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6D878DA3" w14:textId="3149B774" w:rsidR="00FB7CB4" w:rsidRDefault="00FB7CB4" w:rsidP="0001436A">
      <w:pPr>
        <w:pStyle w:val="Titre1"/>
      </w:pPr>
      <w:r>
        <w:t xml:space="preserve">Supplementary </w:t>
      </w:r>
      <w:r w:rsidR="009744F4">
        <w:t>Methods</w:t>
      </w:r>
    </w:p>
    <w:p w14:paraId="72110A05" w14:textId="77777777" w:rsidR="00BF6E84" w:rsidRPr="005008B4" w:rsidRDefault="00BF6E84" w:rsidP="00BF6E84">
      <w:pPr>
        <w:spacing w:before="240" w:line="360" w:lineRule="auto"/>
        <w:jc w:val="both"/>
        <w:rPr>
          <w:rFonts w:eastAsia="Times New Roman" w:cs="Times New Roman"/>
          <w:szCs w:val="24"/>
          <w:lang w:eastAsia="en-CH"/>
        </w:rPr>
      </w:pPr>
      <w:bookmarkStart w:id="0" w:name="_Hlk159769631"/>
      <w:r w:rsidRPr="005008B4">
        <w:rPr>
          <w:rFonts w:eastAsia="Times New Roman" w:cs="Times New Roman"/>
          <w:b/>
          <w:bCs/>
          <w:color w:val="000000"/>
          <w:lang w:eastAsia="en-CH"/>
        </w:rPr>
        <w:t>MRI acquisition</w:t>
      </w:r>
    </w:p>
    <w:p w14:paraId="7DDA8B22" w14:textId="547FCB70" w:rsidR="001B3566" w:rsidRPr="00AB63CD" w:rsidRDefault="00BF6E84" w:rsidP="00BF6E84">
      <w:pPr>
        <w:spacing w:before="240" w:line="360" w:lineRule="auto"/>
        <w:jc w:val="both"/>
        <w:rPr>
          <w:rFonts w:eastAsia="Times New Roman" w:cs="Times New Roman"/>
          <w:color w:val="000000"/>
          <w:lang w:eastAsia="en-CH"/>
        </w:rPr>
      </w:pPr>
      <w:r w:rsidRPr="005008B4">
        <w:rPr>
          <w:rFonts w:eastAsia="Times New Roman" w:cs="Times New Roman"/>
          <w:color w:val="000000"/>
          <w:lang w:eastAsia="en-CH"/>
        </w:rPr>
        <w:t xml:space="preserve">T1- and T2-weighted scans were </w:t>
      </w:r>
      <w:r w:rsidR="001B3566">
        <w:rPr>
          <w:rFonts w:eastAsia="Times New Roman" w:cs="Times New Roman"/>
          <w:color w:val="000000"/>
          <w:lang w:eastAsia="en-CH"/>
        </w:rPr>
        <w:t>obtained using</w:t>
      </w:r>
      <w:r w:rsidRPr="005008B4">
        <w:rPr>
          <w:rFonts w:eastAsia="Times New Roman" w:cs="Times New Roman"/>
          <w:color w:val="000000"/>
          <w:lang w:eastAsia="en-CH"/>
        </w:rPr>
        <w:t xml:space="preserve"> a 3T Siemens Prisma scanner at the </w:t>
      </w:r>
      <w:r w:rsidR="00B16307" w:rsidRPr="008043D8">
        <w:rPr>
          <w:rFonts w:cs="Times New Roman"/>
          <w:szCs w:val="24"/>
        </w:rPr>
        <w:t>Human Neuroscience Platform, Fondation Campus Biotech Geneva</w:t>
      </w:r>
      <w:r w:rsidRPr="005008B4">
        <w:rPr>
          <w:rFonts w:eastAsia="Times New Roman" w:cs="Times New Roman"/>
          <w:color w:val="000000"/>
          <w:lang w:eastAsia="en-CH"/>
        </w:rPr>
        <w:t xml:space="preserve">. </w:t>
      </w:r>
      <w:bookmarkStart w:id="1" w:name="_Hlk159769249"/>
      <w:r w:rsidR="001B3566">
        <w:rPr>
          <w:rFonts w:eastAsia="Times New Roman" w:cs="Times New Roman"/>
          <w:color w:val="000000"/>
          <w:lang w:eastAsia="en-CH"/>
        </w:rPr>
        <w:t>The T</w:t>
      </w:r>
      <w:r w:rsidR="00F2128C">
        <w:rPr>
          <w:rFonts w:eastAsia="Times New Roman" w:cs="Times New Roman"/>
          <w:color w:val="000000"/>
          <w:lang w:eastAsia="en-CH"/>
        </w:rPr>
        <w:t xml:space="preserve">1-weighted </w:t>
      </w:r>
      <w:r w:rsidR="00F2128C" w:rsidRPr="005008B4">
        <w:rPr>
          <w:rFonts w:eastAsia="Times New Roman" w:cs="Times New Roman"/>
          <w:color w:val="000000"/>
          <w:lang w:eastAsia="en-CH"/>
        </w:rPr>
        <w:t>MPRAGE sequence</w:t>
      </w:r>
      <w:r w:rsidR="00F2128C">
        <w:rPr>
          <w:rFonts w:eastAsia="Times New Roman" w:cs="Times New Roman"/>
          <w:color w:val="000000"/>
          <w:lang w:eastAsia="en-CH"/>
        </w:rPr>
        <w:t xml:space="preserve"> parameters </w:t>
      </w:r>
      <w:r w:rsidR="004D6C36">
        <w:rPr>
          <w:rFonts w:eastAsia="Times New Roman" w:cs="Times New Roman"/>
          <w:color w:val="000000"/>
          <w:lang w:eastAsia="en-CH"/>
        </w:rPr>
        <w:t xml:space="preserve">for structural image acquisition </w:t>
      </w:r>
      <w:r w:rsidR="008B09D2">
        <w:rPr>
          <w:rFonts w:eastAsia="Times New Roman" w:cs="Times New Roman"/>
          <w:color w:val="000000"/>
          <w:lang w:eastAsia="en-CH"/>
        </w:rPr>
        <w:t xml:space="preserve">were </w:t>
      </w:r>
      <w:r w:rsidR="008B09D2" w:rsidRPr="005008B4">
        <w:rPr>
          <w:rFonts w:eastAsia="Times New Roman" w:cs="Times New Roman"/>
          <w:color w:val="000000"/>
          <w:lang w:eastAsia="en-CH"/>
        </w:rPr>
        <w:t>TR = 2500 ms, TE = 3 ms, flip angle = 8°, acquisition matrix = 256 × 256, field of view = 23.5 cm, voxel size = 0.9 × 0.9 × 1.1 mm and 192 slices</w:t>
      </w:r>
      <w:r w:rsidR="008B09D2">
        <w:rPr>
          <w:rFonts w:eastAsia="Times New Roman" w:cs="Times New Roman"/>
          <w:color w:val="000000"/>
          <w:lang w:eastAsia="en-CH"/>
        </w:rPr>
        <w:t xml:space="preserve">. </w:t>
      </w:r>
      <w:r w:rsidR="004D6C36">
        <w:rPr>
          <w:rFonts w:eastAsia="Times New Roman" w:cs="Times New Roman"/>
          <w:color w:val="000000"/>
          <w:lang w:eastAsia="en-CH"/>
        </w:rPr>
        <w:t>The T2-</w:t>
      </w:r>
      <w:r w:rsidR="004D6C36" w:rsidRPr="005008B4">
        <w:rPr>
          <w:rFonts w:eastAsia="Times New Roman" w:cs="Times New Roman"/>
          <w:color w:val="000000"/>
          <w:lang w:eastAsia="en-CH"/>
        </w:rPr>
        <w:t xml:space="preserve">weighted sequence </w:t>
      </w:r>
      <w:r w:rsidR="004D6C36">
        <w:rPr>
          <w:rFonts w:eastAsia="Times New Roman" w:cs="Times New Roman"/>
          <w:color w:val="000000"/>
          <w:lang w:eastAsia="en-CH"/>
        </w:rPr>
        <w:t xml:space="preserve">parameters for structural image acquisition </w:t>
      </w:r>
      <w:r w:rsidR="004D6C36" w:rsidRPr="005008B4">
        <w:rPr>
          <w:rFonts w:eastAsia="Times New Roman" w:cs="Times New Roman"/>
          <w:color w:val="000000"/>
          <w:lang w:eastAsia="en-CH"/>
        </w:rPr>
        <w:t xml:space="preserve">were TR = 3000 ms, TE = 409 ms, field of view = 25.6 cm, voxel size = 0.8× 0.8 × 0.8 mm and </w:t>
      </w:r>
      <w:r w:rsidR="004D6C36" w:rsidRPr="00AB63CD">
        <w:rPr>
          <w:rFonts w:eastAsia="Times New Roman" w:cs="Times New Roman"/>
          <w:color w:val="000000"/>
          <w:lang w:eastAsia="en-CH"/>
        </w:rPr>
        <w:t>208 slices.</w:t>
      </w:r>
    </w:p>
    <w:bookmarkEnd w:id="0"/>
    <w:bookmarkEnd w:id="1"/>
    <w:p w14:paraId="1315AE27" w14:textId="77777777" w:rsidR="00BF6E84" w:rsidRPr="00AB63CD" w:rsidRDefault="00BF6E84" w:rsidP="00BF6E84">
      <w:pPr>
        <w:spacing w:before="240" w:line="360" w:lineRule="auto"/>
        <w:jc w:val="both"/>
        <w:rPr>
          <w:rFonts w:eastAsia="Times New Roman" w:cs="Times New Roman"/>
          <w:szCs w:val="24"/>
          <w:lang w:eastAsia="en-CH"/>
        </w:rPr>
      </w:pPr>
      <w:r w:rsidRPr="00AB63CD">
        <w:rPr>
          <w:rFonts w:eastAsia="Times New Roman" w:cs="Times New Roman"/>
          <w:b/>
          <w:bCs/>
          <w:color w:val="000000"/>
          <w:lang w:eastAsia="en-CH"/>
        </w:rPr>
        <w:t>EEG acquisition and preprocessing</w:t>
      </w:r>
    </w:p>
    <w:p w14:paraId="26E69A32" w14:textId="0DADD31B" w:rsidR="006242BF" w:rsidRDefault="00BF6E84" w:rsidP="00BF6E84">
      <w:pPr>
        <w:spacing w:before="240" w:line="360" w:lineRule="auto"/>
        <w:jc w:val="both"/>
        <w:rPr>
          <w:rFonts w:eastAsia="Times New Roman" w:cs="Times New Roman"/>
          <w:color w:val="000000"/>
          <w:lang w:eastAsia="en-CH"/>
        </w:rPr>
      </w:pPr>
      <w:r w:rsidRPr="006242BF">
        <w:rPr>
          <w:rFonts w:eastAsia="Times New Roman" w:cs="Times New Roman"/>
          <w:color w:val="000000"/>
          <w:lang w:eastAsia="en-CH"/>
        </w:rPr>
        <w:t xml:space="preserve">EEG data were continuously recorded </w:t>
      </w:r>
      <w:r w:rsidR="008E6127" w:rsidRPr="006242BF">
        <w:rPr>
          <w:rFonts w:eastAsia="Times New Roman" w:cs="Times New Roman"/>
          <w:color w:val="000000"/>
          <w:lang w:eastAsia="en-CH"/>
        </w:rPr>
        <w:t>at</w:t>
      </w:r>
      <w:r w:rsidRPr="006242BF">
        <w:rPr>
          <w:rFonts w:eastAsia="Times New Roman" w:cs="Times New Roman"/>
          <w:color w:val="000000"/>
          <w:lang w:eastAsia="en-CH"/>
        </w:rPr>
        <w:t xml:space="preserve"> a sampling rate of 1000 Hz using a 256-electrode </w:t>
      </w:r>
      <w:proofErr w:type="spellStart"/>
      <w:r w:rsidRPr="006242BF">
        <w:rPr>
          <w:rFonts w:eastAsia="Times New Roman" w:cs="Times New Roman"/>
          <w:color w:val="000000"/>
          <w:lang w:eastAsia="en-CH"/>
        </w:rPr>
        <w:t>HydroCel</w:t>
      </w:r>
      <w:proofErr w:type="spellEnd"/>
      <w:r w:rsidRPr="006242BF">
        <w:rPr>
          <w:rFonts w:eastAsia="Times New Roman" w:cs="Times New Roman"/>
          <w:color w:val="000000"/>
          <w:lang w:eastAsia="en-CH"/>
        </w:rPr>
        <w:t xml:space="preserve"> cap (EGI-Philips Healthcare) referenced to the vertex (</w:t>
      </w:r>
      <w:proofErr w:type="spellStart"/>
      <w:r w:rsidRPr="006242BF">
        <w:rPr>
          <w:rFonts w:eastAsia="Times New Roman" w:cs="Times New Roman"/>
          <w:color w:val="000000"/>
          <w:lang w:eastAsia="en-CH"/>
        </w:rPr>
        <w:t>Cz</w:t>
      </w:r>
      <w:proofErr w:type="spellEnd"/>
      <w:r w:rsidRPr="006242BF">
        <w:rPr>
          <w:rFonts w:eastAsia="Times New Roman" w:cs="Times New Roman"/>
          <w:color w:val="000000"/>
          <w:lang w:eastAsia="en-CH"/>
        </w:rPr>
        <w:t xml:space="preserve">) during the </w:t>
      </w:r>
      <w:r w:rsidR="008E6127" w:rsidRPr="006242BF">
        <w:rPr>
          <w:rFonts w:eastAsia="Times New Roman" w:cs="Times New Roman"/>
          <w:color w:val="000000"/>
          <w:lang w:eastAsia="en-CH"/>
        </w:rPr>
        <w:t>working memory</w:t>
      </w:r>
      <w:r w:rsidRPr="006242BF">
        <w:rPr>
          <w:rFonts w:eastAsia="Times New Roman" w:cs="Times New Roman"/>
          <w:color w:val="000000"/>
          <w:lang w:eastAsia="en-CH"/>
        </w:rPr>
        <w:t xml:space="preserve"> task at </w:t>
      </w:r>
      <w:r w:rsidR="008E6127" w:rsidRPr="005008B4">
        <w:rPr>
          <w:rFonts w:eastAsia="Times New Roman" w:cs="Times New Roman"/>
          <w:color w:val="000000"/>
          <w:lang w:eastAsia="en-CH"/>
        </w:rPr>
        <w:t xml:space="preserve">the </w:t>
      </w:r>
      <w:r w:rsidR="008E6127" w:rsidRPr="006242BF">
        <w:rPr>
          <w:rFonts w:eastAsia="Times New Roman" w:cs="Times New Roman"/>
          <w:color w:val="000000"/>
          <w:lang w:eastAsia="en-CH"/>
        </w:rPr>
        <w:t>Human Neuroscience Platform, Fondation Campus Biotech Geneva</w:t>
      </w:r>
      <w:r w:rsidRPr="006242BF">
        <w:rPr>
          <w:rFonts w:eastAsia="Times New Roman" w:cs="Times New Roman"/>
          <w:color w:val="000000"/>
          <w:lang w:eastAsia="en-CH"/>
        </w:rPr>
        <w:t xml:space="preserve">. The impedance was kept below 30 </w:t>
      </w:r>
      <w:proofErr w:type="spellStart"/>
      <w:r w:rsidRPr="006242BF">
        <w:rPr>
          <w:rFonts w:eastAsia="Times New Roman" w:cs="Times New Roman"/>
          <w:color w:val="000000"/>
          <w:lang w:eastAsia="en-CH"/>
        </w:rPr>
        <w:t>kΩ</w:t>
      </w:r>
      <w:proofErr w:type="spellEnd"/>
      <w:r w:rsidRPr="006242BF">
        <w:rPr>
          <w:rFonts w:eastAsia="Times New Roman" w:cs="Times New Roman"/>
          <w:color w:val="000000"/>
          <w:lang w:eastAsia="en-CH"/>
        </w:rPr>
        <w:t xml:space="preserve"> for all electrodes and below 10 </w:t>
      </w:r>
      <w:proofErr w:type="spellStart"/>
      <w:r w:rsidRPr="006242BF">
        <w:rPr>
          <w:rFonts w:eastAsia="Times New Roman" w:cs="Times New Roman"/>
          <w:color w:val="000000"/>
          <w:lang w:eastAsia="en-CH"/>
        </w:rPr>
        <w:t>kΩ</w:t>
      </w:r>
      <w:proofErr w:type="spellEnd"/>
      <w:r w:rsidRPr="006242BF">
        <w:rPr>
          <w:rFonts w:eastAsia="Times New Roman" w:cs="Times New Roman"/>
          <w:color w:val="000000"/>
          <w:lang w:eastAsia="en-CH"/>
        </w:rPr>
        <w:t xml:space="preserve"> for the reference and ground electrodes. </w:t>
      </w:r>
    </w:p>
    <w:p w14:paraId="05562AEC" w14:textId="27B2EA9D" w:rsidR="00AB63CD" w:rsidRPr="00AB63CD" w:rsidRDefault="006242BF" w:rsidP="00BF6E84">
      <w:pPr>
        <w:spacing w:before="240" w:line="360" w:lineRule="auto"/>
        <w:jc w:val="both"/>
        <w:rPr>
          <w:rFonts w:eastAsia="Times New Roman" w:cs="Times New Roman"/>
          <w:color w:val="000000"/>
          <w:lang w:eastAsia="en-CH"/>
        </w:rPr>
      </w:pPr>
      <w:r w:rsidRPr="007C044A">
        <w:rPr>
          <w:rFonts w:eastAsia="Times New Roman" w:cs="Times New Roman"/>
          <w:color w:val="000000"/>
          <w:lang w:eastAsia="en-CH"/>
        </w:rPr>
        <w:t>The free academic software Cartool (</w:t>
      </w:r>
      <w:hyperlink r:id="rId12" w:history="1">
        <w:r w:rsidRPr="007C044A">
          <w:rPr>
            <w:rFonts w:eastAsia="Times New Roman" w:cs="Times New Roman"/>
            <w:color w:val="000000"/>
            <w:u w:val="single"/>
            <w:lang w:eastAsia="en-CH"/>
          </w:rPr>
          <w:t>https://sites.google.com/site/cartoolcommunity/home</w:t>
        </w:r>
      </w:hyperlink>
      <w:r w:rsidRPr="007C044A">
        <w:rPr>
          <w:rFonts w:eastAsia="Times New Roman" w:cs="Times New Roman"/>
          <w:szCs w:val="24"/>
          <w:lang w:eastAsia="en-CH"/>
        </w:rPr>
        <w:t>;</w:t>
      </w:r>
      <w:r w:rsidRPr="007C044A">
        <w:rPr>
          <w:rFonts w:eastAsia="Times New Roman" w:cs="Times New Roman"/>
          <w:color w:val="000000"/>
          <w:lang w:eastAsia="en-CH"/>
        </w:rPr>
        <w:t xml:space="preserve"> </w:t>
      </w:r>
      <w:r w:rsidRPr="007C044A">
        <w:rPr>
          <w:rFonts w:eastAsia="Times New Roman" w:cs="Times New Roman"/>
          <w:color w:val="000000"/>
          <w:lang w:eastAsia="en-CH"/>
        </w:rPr>
        <w:fldChar w:fldCharType="begin"/>
      </w:r>
      <w:r w:rsidRPr="007C044A">
        <w:rPr>
          <w:rFonts w:eastAsia="Times New Roman" w:cs="Times New Roman"/>
          <w:color w:val="000000"/>
          <w:lang w:eastAsia="en-CH"/>
        </w:rPr>
        <w:instrText xml:space="preserve"> ADDIN ZOTERO_ITEM CSL_CITATION {"citationID":"rRbABul9","properties":{"formattedCitation":"(Michel and Brunet, 2019)","plainCitation":"(Michel and Brunet, 2019)","noteIndex":0},"citationItems":[{"id":1342,"uris":["http://zotero.org/users/4080327/items/YKUJ9U9L"],"itemData":{"id":1342,"type":"article-journal","abstract":"The electroencephalogram (EEG) is one of the oldest technologies to measure neuronal activity of the human brain. It has its undisputed value in clinical diagnosis, particularly (but not exclusively) in the identification of epilepsy and sleep disorders and in the evaluation of dysfunctions in sensory transmission pathways. With the advancement of digital technologies, the analysis of EEG has moved from pure visual inspection of amplitude and frequency modulations over time to a comprehensive exploration of the temporal and spatial characteristics of the recorded signals. Today, EEG is accepted as a powerful tool to capture brain function with the unique advantage of measuring neuronal processes in the time frame in which these processes occur, namely in the sub-second range. However, it is generally stated that EEG suffers from a poor spatial resolution that makes it difficult to infer to the location of the brain areas generating the neuronal activity measured on the scalp. This statement has challenged a whole community of biomedical engineers to offer solutions to localize more precisely and more reliably the generators of the EEG activity. High-density EEG systems combined with precise information of the head anatomy and sophisticated source localization algorithms now exist that convert the EEG to a true neuroimaging modality. With these tools in hand and with the fact that EEG still remains versatile, inexpensive and portable, electrical neuroimaging has become a widely used technology to study the functions of the pathological and healthy human brain. However, several steps are needed to pass from the recording of the EEG to 3-dimensional images of neuronal activity. This review explains these different steps and illustrates them in a comprehensive analysis pipeline integrated in a stand-alone freely available academic software: Cartool. The information about how the different steps are performed in Cartool is only meant as a suggestion. Other EEG source imaging software may apply similar or different approaches to the different steps.","container-title":"Frontiers in Neurology","DOI":"10.3389/fneur.2019.00325","ISSN":"1664-2295","journalAbbreviation":"Front Neurol","language":"eng","note":"PMID: 31019487\nPMCID: PMC6458265","page":"325","source":"PubMed","title":"EEG Source Imaging: A Practical Review of the Analysis Steps","title-short":"EEG Source Imaging","volume":"10","author":[{"family":"Michel","given":"Christoph M."},{"family":"Brunet","given":"Denis"}],"issued":{"date-parts":[["2019"]]}}}],"schema":"https://github.com/citation-style-language/schema/raw/master/csl-citation.json"} </w:instrText>
      </w:r>
      <w:r w:rsidRPr="007C044A">
        <w:rPr>
          <w:rFonts w:eastAsia="Times New Roman" w:cs="Times New Roman"/>
          <w:color w:val="000000"/>
          <w:lang w:eastAsia="en-CH"/>
        </w:rPr>
        <w:fldChar w:fldCharType="separate"/>
      </w:r>
      <w:r w:rsidRPr="007C044A">
        <w:rPr>
          <w:rFonts w:cs="Times New Roman"/>
        </w:rPr>
        <w:t>Michel and Brunet, 2019)</w:t>
      </w:r>
      <w:r w:rsidRPr="007C044A">
        <w:rPr>
          <w:rFonts w:eastAsia="Times New Roman" w:cs="Times New Roman"/>
          <w:color w:val="000000"/>
          <w:lang w:eastAsia="en-CH"/>
        </w:rPr>
        <w:fldChar w:fldCharType="end"/>
      </w:r>
      <w:r w:rsidRPr="007C044A">
        <w:rPr>
          <w:rFonts w:eastAsia="Times New Roman" w:cs="Times New Roman"/>
          <w:color w:val="000000"/>
          <w:lang w:eastAsia="en-CH"/>
        </w:rPr>
        <w:t xml:space="preserve"> was used to </w:t>
      </w:r>
      <w:r w:rsidR="00ED7F0B" w:rsidRPr="007C044A">
        <w:rPr>
          <w:rFonts w:eastAsia="Times New Roman" w:cs="Times New Roman"/>
          <w:color w:val="000000"/>
          <w:lang w:eastAsia="en-CH"/>
        </w:rPr>
        <w:t xml:space="preserve">perform the pre-processing steps, as described in previous studies </w:t>
      </w:r>
      <w:r w:rsidR="00BF6E84" w:rsidRPr="007C044A">
        <w:rPr>
          <w:rFonts w:eastAsia="Times New Roman" w:cs="Times New Roman"/>
          <w:color w:val="000000"/>
          <w:lang w:eastAsia="en-CH"/>
        </w:rPr>
        <w:fldChar w:fldCharType="begin"/>
      </w:r>
      <w:r w:rsidR="00BF6E84" w:rsidRPr="007C044A">
        <w:rPr>
          <w:rFonts w:eastAsia="Times New Roman" w:cs="Times New Roman"/>
          <w:color w:val="000000"/>
          <w:lang w:eastAsia="en-CH"/>
        </w:rPr>
        <w:instrText xml:space="preserve"> ADDIN ZOTERO_ITEM CSL_CITATION {"citationID":"IQvtSRrS","properties":{"formattedCitation":"(Mancini et al., 2022a, 2022b)","plainCitation":"(Mancini et al., 2022a, 2022b)","noteIndex":0},"citationItems":[{"id":684,"uris":["http://zotero.org/users/4080327/items/G7JJV7FZ"],"itemData":{"id":684,"type":"article-journal","container-title":"Biological Psychiatry","DOI":"10.1016/j.biopsych.2022.02.961","ISSN":"00063223","journalAbbreviation":"Biological Psychiatry","language":"en","page":"S0006322322010691","source":"DOI.org (Crossref)","title":"Oscillatory neural signatures of visual perception across developmental stages in individuals with 22q11.2 deletion syndrome","author":[{"family":"Mancini","given":"Valentina"},{"family":"Rochas","given":"Vincent"},{"family":"Seeber","given":"Martin"},{"family":"Grent-‘t-Jong","given":"Tineke"},{"family":"Rihs","given":"Tonia A."},{"family":"Latrèche","given":"Caren"},{"family":"Uhlhaas","given":"Peter J."},{"family":"Michel","given":"Christoph M."},{"family":"Eliez","given":"Stephan"}],"issued":{"date-parts":[["2022",3]]}}},{"id":686,"uris":["http://zotero.org/users/4080327/items/LIPF9UFT"],"itemData":{"id":686,"type":"article-journal","container-title":"American Journal of Psychiatry","DOI":"10.1176/appi.ajp.2021.21020190","ISSN":"0002-953X, 1535-7228","issue":"3","journalAbbreviation":"AJP","language":"en","page":"204-215","source":"DOI.org (Crossref)","title":"Aberrant Developmental Patterns of Gamma-Band Response and Long-Range Communication Disruption in Youths With 22q11.2 Deletion Syndrome","volume":"179","author":[{"family":"Mancini","given":"Valentina"},{"family":"Rochas","given":"Vincent"},{"family":"Seeber","given":"Martin"},{"family":"Roehri","given":"Nicolas"},{"family":"Rihs","given":"Tonia A."},{"family":"Ferat","given":"Victor"},{"family":"Schneider","given":"Maude"},{"family":"Uhlhaas","given":"Peter J."},{"family":"Eliez","given":"Stephan"},{"family":"Michel","given":"Christoph M."}],"issued":{"date-parts":[["2022",3,1]]}}}],"schema":"https://github.com/citation-style-language/schema/raw/master/csl-citation.json"} </w:instrText>
      </w:r>
      <w:r w:rsidR="00BF6E84" w:rsidRPr="007C044A">
        <w:rPr>
          <w:rFonts w:eastAsia="Times New Roman" w:cs="Times New Roman"/>
          <w:color w:val="000000"/>
          <w:lang w:eastAsia="en-CH"/>
        </w:rPr>
        <w:fldChar w:fldCharType="separate"/>
      </w:r>
      <w:r w:rsidR="00BF6E84" w:rsidRPr="007C044A">
        <w:rPr>
          <w:rFonts w:cs="Times New Roman"/>
        </w:rPr>
        <w:t>(Mancini et al., 2022a, 2022b)</w:t>
      </w:r>
      <w:r w:rsidR="00BF6E84" w:rsidRPr="007C044A">
        <w:rPr>
          <w:rFonts w:eastAsia="Times New Roman" w:cs="Times New Roman"/>
          <w:color w:val="000000"/>
          <w:lang w:eastAsia="en-CH"/>
        </w:rPr>
        <w:fldChar w:fldCharType="end"/>
      </w:r>
      <w:r w:rsidR="00BF6E84" w:rsidRPr="007C044A">
        <w:rPr>
          <w:rFonts w:eastAsia="Times New Roman" w:cs="Times New Roman"/>
          <w:color w:val="000000"/>
          <w:lang w:eastAsia="en-CH"/>
        </w:rPr>
        <w:t>.</w:t>
      </w:r>
      <w:r w:rsidR="007C044A" w:rsidRPr="007C044A">
        <w:rPr>
          <w:rFonts w:eastAsia="Times New Roman" w:cs="Times New Roman"/>
          <w:color w:val="000000"/>
          <w:lang w:eastAsia="en-CH"/>
        </w:rPr>
        <w:t xml:space="preserve"> Specifically</w:t>
      </w:r>
      <w:r w:rsidR="00BF6E84" w:rsidRPr="007C044A">
        <w:rPr>
          <w:rFonts w:eastAsia="Times New Roman" w:cs="Times New Roman"/>
          <w:color w:val="000000"/>
          <w:lang w:eastAsia="en-CH"/>
        </w:rPr>
        <w:t xml:space="preserve">, the number of electrodes was reduced from 256 to 204 by </w:t>
      </w:r>
      <w:r w:rsidR="007C044A" w:rsidRPr="007C044A">
        <w:rPr>
          <w:rFonts w:eastAsia="Times New Roman" w:cs="Times New Roman"/>
          <w:color w:val="000000"/>
          <w:lang w:eastAsia="en-CH"/>
        </w:rPr>
        <w:t>removing</w:t>
      </w:r>
      <w:r w:rsidR="00BF6E84" w:rsidRPr="007C044A">
        <w:rPr>
          <w:rFonts w:eastAsia="Times New Roman" w:cs="Times New Roman"/>
          <w:color w:val="000000"/>
          <w:lang w:eastAsia="en-CH"/>
        </w:rPr>
        <w:t xml:space="preserve"> the noisy electrode signals from the cheeks and neck. The data were band-pass filtered between 1 and 140 Hz using non-causal Butterworth filters</w:t>
      </w:r>
      <w:r w:rsidR="007C044A" w:rsidRPr="007C044A">
        <w:rPr>
          <w:rFonts w:eastAsia="Times New Roman" w:cs="Times New Roman"/>
          <w:color w:val="000000"/>
          <w:lang w:eastAsia="en-CH"/>
        </w:rPr>
        <w:t>, with</w:t>
      </w:r>
      <w:r w:rsidR="00BF6E84" w:rsidRPr="007C044A">
        <w:rPr>
          <w:rFonts w:eastAsia="Times New Roman" w:cs="Times New Roman"/>
          <w:color w:val="000000"/>
          <w:lang w:eastAsia="en-CH"/>
        </w:rPr>
        <w:t xml:space="preserve"> additional notch filters </w:t>
      </w:r>
      <w:r w:rsidR="007C044A" w:rsidRPr="007C044A">
        <w:rPr>
          <w:rFonts w:eastAsia="Times New Roman" w:cs="Times New Roman"/>
          <w:color w:val="000000"/>
          <w:lang w:eastAsia="en-CH"/>
        </w:rPr>
        <w:t xml:space="preserve">applied </w:t>
      </w:r>
      <w:r w:rsidR="00BF6E84" w:rsidRPr="007C044A">
        <w:rPr>
          <w:rFonts w:eastAsia="Times New Roman" w:cs="Times New Roman"/>
          <w:color w:val="000000"/>
          <w:lang w:eastAsia="en-CH"/>
        </w:rPr>
        <w:t>at 50, 100 an</w:t>
      </w:r>
      <w:r w:rsidR="00BF6E84" w:rsidRPr="00AB63CD">
        <w:rPr>
          <w:rFonts w:eastAsia="Times New Roman" w:cs="Times New Roman"/>
          <w:color w:val="000000"/>
          <w:lang w:eastAsia="en-CH"/>
        </w:rPr>
        <w:t xml:space="preserve">d 150 Hz. The periods of artifacts (e.g., muscle contraction) were marked manually and excluded from further analysis. Noisy channels were identified by </w:t>
      </w:r>
      <w:r w:rsidR="00E636CF" w:rsidRPr="00AB63CD">
        <w:rPr>
          <w:rFonts w:eastAsia="Times New Roman" w:cs="Times New Roman"/>
          <w:color w:val="000000"/>
          <w:lang w:eastAsia="en-CH"/>
        </w:rPr>
        <w:t>through</w:t>
      </w:r>
      <w:r w:rsidR="00BF6E84" w:rsidRPr="00AB63CD">
        <w:rPr>
          <w:rFonts w:eastAsia="Times New Roman" w:cs="Times New Roman"/>
          <w:color w:val="000000"/>
          <w:lang w:eastAsia="en-CH"/>
        </w:rPr>
        <w:t xml:space="preserve"> visual inspection and </w:t>
      </w:r>
      <w:r w:rsidR="00E636CF" w:rsidRPr="00AB63CD">
        <w:rPr>
          <w:rFonts w:eastAsia="Times New Roman" w:cs="Times New Roman"/>
          <w:color w:val="000000"/>
          <w:lang w:eastAsia="en-CH"/>
        </w:rPr>
        <w:t xml:space="preserve">subsequently </w:t>
      </w:r>
      <w:r w:rsidR="00BF6E84" w:rsidRPr="00AB63CD">
        <w:rPr>
          <w:rFonts w:eastAsia="Times New Roman" w:cs="Times New Roman"/>
          <w:color w:val="000000"/>
          <w:lang w:eastAsia="en-CH"/>
        </w:rPr>
        <w:t>excluded. Independent Component Analysis</w:t>
      </w:r>
      <w:r w:rsidR="00E636CF" w:rsidRPr="00AB63CD">
        <w:rPr>
          <w:rFonts w:eastAsia="Times New Roman" w:cs="Times New Roman"/>
          <w:color w:val="000000"/>
          <w:lang w:eastAsia="en-CH"/>
        </w:rPr>
        <w:t xml:space="preserve"> (ICA)</w:t>
      </w:r>
      <w:r w:rsidR="00BF6E84" w:rsidRPr="00AB63CD">
        <w:rPr>
          <w:rFonts w:eastAsia="Times New Roman" w:cs="Times New Roman"/>
          <w:color w:val="000000"/>
          <w:lang w:eastAsia="en-CH"/>
        </w:rPr>
        <w:t xml:space="preserve"> was used to remove eye-movements (eye blinks and saccades) and ECG artefacts components using a </w:t>
      </w:r>
      <w:proofErr w:type="spellStart"/>
      <w:r w:rsidR="00BF6E84" w:rsidRPr="00AB63CD">
        <w:rPr>
          <w:rFonts w:eastAsia="Times New Roman" w:cs="Times New Roman"/>
          <w:color w:val="000000"/>
          <w:lang w:eastAsia="en-CH"/>
        </w:rPr>
        <w:t>Matlab</w:t>
      </w:r>
      <w:proofErr w:type="spellEnd"/>
      <w:r w:rsidR="00BF6E84" w:rsidRPr="00AB63CD">
        <w:rPr>
          <w:rFonts w:eastAsia="Times New Roman" w:cs="Times New Roman"/>
          <w:color w:val="000000"/>
          <w:lang w:eastAsia="en-CH"/>
        </w:rPr>
        <w:t xml:space="preserve"> script based on the </w:t>
      </w:r>
      <w:proofErr w:type="spellStart"/>
      <w:r w:rsidR="00BF6E84" w:rsidRPr="00AB63CD">
        <w:rPr>
          <w:rFonts w:eastAsia="Times New Roman" w:cs="Times New Roman"/>
          <w:color w:val="000000"/>
          <w:lang w:eastAsia="en-CH"/>
        </w:rPr>
        <w:t>EEGlab</w:t>
      </w:r>
      <w:proofErr w:type="spellEnd"/>
      <w:r w:rsidR="00BF6E84" w:rsidRPr="00AB63CD">
        <w:rPr>
          <w:rFonts w:eastAsia="Times New Roman" w:cs="Times New Roman"/>
          <w:color w:val="000000"/>
          <w:lang w:eastAsia="en-CH"/>
        </w:rPr>
        <w:t xml:space="preserve"> </w:t>
      </w:r>
      <w:proofErr w:type="spellStart"/>
      <w:r w:rsidR="00BF6E84" w:rsidRPr="00AB63CD">
        <w:rPr>
          <w:rFonts w:eastAsia="Times New Roman" w:cs="Times New Roman"/>
          <w:color w:val="000000"/>
          <w:lang w:eastAsia="en-CH"/>
        </w:rPr>
        <w:t>runica</w:t>
      </w:r>
      <w:proofErr w:type="spellEnd"/>
      <w:r w:rsidR="00BF6E84" w:rsidRPr="00AB63CD">
        <w:rPr>
          <w:rFonts w:eastAsia="Times New Roman" w:cs="Times New Roman"/>
          <w:color w:val="000000"/>
          <w:lang w:eastAsia="en-CH"/>
        </w:rPr>
        <w:t xml:space="preserve"> function (</w:t>
      </w:r>
      <w:hyperlink r:id="rId13" w:history="1">
        <w:r w:rsidR="00BF6E84" w:rsidRPr="002665D5">
          <w:rPr>
            <w:rFonts w:eastAsia="Times New Roman" w:cs="Times New Roman"/>
            <w:u w:val="single"/>
            <w:lang w:eastAsia="en-CH"/>
          </w:rPr>
          <w:t>https://sccn.ucsd.edu/eeglab/</w:t>
        </w:r>
      </w:hyperlink>
      <w:r w:rsidR="00BF6E84" w:rsidRPr="002665D5">
        <w:rPr>
          <w:rFonts w:eastAsia="Times New Roman" w:cs="Times New Roman"/>
          <w:szCs w:val="24"/>
          <w:lang w:eastAsia="en-CH"/>
        </w:rPr>
        <w:t>;</w:t>
      </w:r>
      <w:r w:rsidR="00BF6E84" w:rsidRPr="002665D5">
        <w:rPr>
          <w:rFonts w:eastAsia="Times New Roman" w:cs="Times New Roman"/>
          <w:lang w:eastAsia="en-CH"/>
        </w:rPr>
        <w:t xml:space="preserve"> </w:t>
      </w:r>
      <w:r w:rsidR="00BF6E84" w:rsidRPr="002665D5">
        <w:rPr>
          <w:rFonts w:eastAsia="Times New Roman" w:cs="Times New Roman"/>
          <w:lang w:eastAsia="en-CH"/>
        </w:rPr>
        <w:fldChar w:fldCharType="begin"/>
      </w:r>
      <w:r w:rsidR="00BF6E84" w:rsidRPr="002665D5">
        <w:rPr>
          <w:rFonts w:eastAsia="Times New Roman" w:cs="Times New Roman"/>
          <w:lang w:eastAsia="en-CH"/>
        </w:rPr>
        <w:instrText xml:space="preserve"> ADDIN ZOTERO_ITEM CSL_CITATION {"citationID":"4oCsLxHO","properties":{"formattedCitation":"(Makeig et al., 1997)","plainCitation":"(Makeig et al., 1997)","noteIndex":0},"citationItems":[{"id":1380,"uris":["http://zotero.org/users/4080327/items/ZD2RJHP7"],"itemData":{"id":1380,"type":"article-journal","abstract":"Averaged event-related potential (ERP) data recorded from the human scalp reveal electroencephalographic (EEG) activity that is reliably time-locked and phase-locked to experimental events. We report here the application of a method based on information theory that decomposes one or more ERPs recorded at multiple scalp sensors into a sum of components with fixed scalp distributions and sparsely activated, maximally independent time courses. Independent component analysis (ICA) decomposes ERP data into a number of components equal to the number of sensors. The derived components have distinct but not necessarily orthogonal scalp projections. Unlike dipole-fitting methods, the algorithm does not model the locations of their generators in the head. Unlike methods that remove second-order correlations, such as principal component analysis (PCA), ICA also minimizes higher-order dependencies. Applied to detected—and undetected—target ERPs from an auditory vigilance experiment, the algorithm derived ten components that decomposed each of the major response peaks into one or more ICA components with relatively simple scalp distributions. Three of these components were active only when the subject detected the targets, three other components only when the target went undetected, and one in both cases. Three additional components accounted for the steady-state brain response to a 39-Hz background click train. Major features of the decomposition proved robust across sessions and changes in sensor number and placement. This method of ERP analysis can be used to compare responses from multiple stimuli, task conditions, and subject states.","container-title":"Proceedings of the National Academy of Sciences","DOI":"10.1073/pnas.94.20.10979","issue":"20","note":"publisher: Proceedings of the National Academy of Sciences","page":"10979-10984","source":"pnas.org (Atypon)","title":"Blind separation of auditory event-related brain responses into independent components","volume":"94","author":[{"family":"Makeig","given":"Scott"},{"family":"Jung","given":"Tzyy-Ping"},{"family":"Bell","given":"Anthony J."},{"family":"Ghahremani","given":"Dara"},{"family":"Sejnowski","given":"Terrence J."}],"issued":{"date-parts":[["1997",9,30]]}}}],"schema":"https://github.com/citation-style-language/schema/raw/master/csl-citation.json"} </w:instrText>
      </w:r>
      <w:r w:rsidR="00BF6E84" w:rsidRPr="002665D5">
        <w:rPr>
          <w:rFonts w:eastAsia="Times New Roman" w:cs="Times New Roman"/>
          <w:lang w:eastAsia="en-CH"/>
        </w:rPr>
        <w:fldChar w:fldCharType="separate"/>
      </w:r>
      <w:r w:rsidR="00BF6E84" w:rsidRPr="002665D5">
        <w:rPr>
          <w:rFonts w:cs="Times New Roman"/>
        </w:rPr>
        <w:t>Makeig et al., 1997)</w:t>
      </w:r>
      <w:r w:rsidR="00BF6E84" w:rsidRPr="002665D5">
        <w:rPr>
          <w:rFonts w:eastAsia="Times New Roman" w:cs="Times New Roman"/>
          <w:lang w:eastAsia="en-CH"/>
        </w:rPr>
        <w:fldChar w:fldCharType="end"/>
      </w:r>
      <w:r w:rsidR="00BF6E84" w:rsidRPr="00AB63CD">
        <w:rPr>
          <w:rFonts w:eastAsia="Times New Roman" w:cs="Times New Roman"/>
          <w:color w:val="000000"/>
          <w:lang w:eastAsia="en-CH"/>
        </w:rPr>
        <w:t xml:space="preserve">. The identified noisy channels were interpolated using a 3D spline interpolation </w:t>
      </w:r>
      <w:r w:rsidR="00BF6E84" w:rsidRPr="00AB63CD">
        <w:rPr>
          <w:rFonts w:eastAsia="Times New Roman" w:cs="Times New Roman"/>
          <w:color w:val="000000"/>
          <w:lang w:eastAsia="en-CH"/>
        </w:rPr>
        <w:fldChar w:fldCharType="begin"/>
      </w:r>
      <w:r w:rsidR="00BF6E84" w:rsidRPr="00AB63CD">
        <w:rPr>
          <w:rFonts w:eastAsia="Times New Roman" w:cs="Times New Roman"/>
          <w:color w:val="000000"/>
          <w:lang w:eastAsia="en-CH"/>
        </w:rPr>
        <w:instrText xml:space="preserve"> ADDIN ZOTERO_ITEM CSL_CITATION {"citationID":"TiQyeARt","properties":{"formattedCitation":"(Perrin et al., 1989)","plainCitation":"(Perrin et al., 1989)","noteIndex":0},"citationItems":[{"id":1378,"uris":["http://zotero.org/users/4080327/items/A3S5CWCY"],"itemData":{"id":1378,"type":"article-journal","abstract":"Description of mapping methods using spherical splines, both to interpolate scalp potentials (SPs), and to approximate scalp current densities (SCDs). Compared to a previously published method using thin plate splines, the advantages are a very simple derivation of the SCD approximation, faster computing times, and greater accuracy in areas with few electrodes.","container-title":"Electroencephalography and Clinical Neurophysiology","DOI":"10.1016/0013-4694(89)90180-6","ISSN":"0013-4694","issue":"2","journalAbbreviation":"Electroencephalogr Clin Neurophysiol","language":"eng","note":"PMID: 2464490","page":"184-187","source":"PubMed","title":"Spherical splines for scalp potential and current density mapping","volume":"72","author":[{"family":"Perrin","given":"F."},{"family":"Pernier","given":"J."},{"family":"Bertrand","given":"O."},{"family":"Echallier","given":"J. F."}],"issued":{"date-parts":[["1989",2]]}}}],"schema":"https://github.com/citation-style-language/schema/raw/master/csl-citation.json"} </w:instrText>
      </w:r>
      <w:r w:rsidR="00BF6E84" w:rsidRPr="00AB63CD">
        <w:rPr>
          <w:rFonts w:eastAsia="Times New Roman" w:cs="Times New Roman"/>
          <w:color w:val="000000"/>
          <w:lang w:eastAsia="en-CH"/>
        </w:rPr>
        <w:fldChar w:fldCharType="separate"/>
      </w:r>
      <w:r w:rsidR="00BF6E84" w:rsidRPr="00AB63CD">
        <w:rPr>
          <w:rFonts w:cs="Times New Roman"/>
        </w:rPr>
        <w:t>(Perrin et al., 1989)</w:t>
      </w:r>
      <w:r w:rsidR="00BF6E84" w:rsidRPr="00AB63CD">
        <w:rPr>
          <w:rFonts w:eastAsia="Times New Roman" w:cs="Times New Roman"/>
          <w:color w:val="000000"/>
          <w:lang w:eastAsia="en-CH"/>
        </w:rPr>
        <w:fldChar w:fldCharType="end"/>
      </w:r>
      <w:r w:rsidR="00BF6E84" w:rsidRPr="00AB63CD">
        <w:rPr>
          <w:rFonts w:eastAsia="Times New Roman" w:cs="Times New Roman"/>
          <w:color w:val="000000"/>
          <w:lang w:eastAsia="en-CH"/>
        </w:rPr>
        <w:t>. Finally, data were recalculated to the common average reference.</w:t>
      </w:r>
    </w:p>
    <w:p w14:paraId="21C9D49B" w14:textId="77777777" w:rsidR="00BF6E84" w:rsidRPr="00817D4E" w:rsidRDefault="00BF6E84" w:rsidP="00BF6E84">
      <w:pPr>
        <w:spacing w:before="240" w:line="360" w:lineRule="auto"/>
        <w:jc w:val="both"/>
        <w:rPr>
          <w:rFonts w:eastAsia="Times New Roman" w:cs="Times New Roman"/>
          <w:szCs w:val="24"/>
          <w:lang w:eastAsia="en-CH"/>
        </w:rPr>
      </w:pPr>
      <w:r w:rsidRPr="00817D4E">
        <w:rPr>
          <w:rFonts w:eastAsia="Times New Roman" w:cs="Times New Roman"/>
          <w:b/>
          <w:bCs/>
          <w:color w:val="000000"/>
          <w:lang w:eastAsia="en-CH"/>
        </w:rPr>
        <w:lastRenderedPageBreak/>
        <w:t>Phase-amplitude coupling estimation</w:t>
      </w:r>
    </w:p>
    <w:p w14:paraId="56EDFCE0" w14:textId="4B726753" w:rsidR="00BF6E84" w:rsidRPr="00817D4E" w:rsidRDefault="00F9659D" w:rsidP="00BF6E84">
      <w:pPr>
        <w:spacing w:after="0" w:line="360" w:lineRule="auto"/>
        <w:jc w:val="both"/>
        <w:rPr>
          <w:rFonts w:eastAsia="Times New Roman" w:cs="Times New Roman"/>
          <w:color w:val="000000"/>
          <w:lang w:eastAsia="en-CH"/>
        </w:rPr>
      </w:pPr>
      <w:r w:rsidRPr="00817D4E">
        <w:rPr>
          <w:rFonts w:eastAsia="Times New Roman" w:cs="Times New Roman"/>
          <w:color w:val="000000"/>
          <w:lang w:eastAsia="en-CH"/>
        </w:rPr>
        <w:t>The p</w:t>
      </w:r>
      <w:r w:rsidR="00BF6E84" w:rsidRPr="00817D4E">
        <w:rPr>
          <w:rFonts w:eastAsia="Times New Roman" w:cs="Times New Roman"/>
          <w:color w:val="000000"/>
          <w:lang w:eastAsia="en-CH"/>
        </w:rPr>
        <w:t>re-processed EEG data w</w:t>
      </w:r>
      <w:r w:rsidRPr="00817D4E">
        <w:rPr>
          <w:rFonts w:eastAsia="Times New Roman" w:cs="Times New Roman"/>
          <w:color w:val="000000"/>
          <w:lang w:eastAsia="en-CH"/>
        </w:rPr>
        <w:t>ere</w:t>
      </w:r>
      <w:r w:rsidR="00BF6E84" w:rsidRPr="00817D4E">
        <w:rPr>
          <w:rFonts w:eastAsia="Times New Roman" w:cs="Times New Roman"/>
          <w:color w:val="000000"/>
          <w:lang w:eastAsia="en-CH"/>
        </w:rPr>
        <w:t xml:space="preserve"> filtered into the theta </w:t>
      </w:r>
      <w:r w:rsidRPr="00817D4E">
        <w:rPr>
          <w:rFonts w:eastAsia="Times New Roman" w:cs="Times New Roman"/>
          <w:color w:val="000000"/>
          <w:lang w:eastAsia="en-CH"/>
        </w:rPr>
        <w:t xml:space="preserve">(4-8 Hz) </w:t>
      </w:r>
      <w:r w:rsidR="00BF6E84" w:rsidRPr="00817D4E">
        <w:rPr>
          <w:rFonts w:eastAsia="Times New Roman" w:cs="Times New Roman"/>
          <w:color w:val="000000"/>
          <w:lang w:eastAsia="en-CH"/>
        </w:rPr>
        <w:t>and gamma</w:t>
      </w:r>
      <w:r w:rsidRPr="00817D4E">
        <w:rPr>
          <w:rFonts w:eastAsia="Times New Roman" w:cs="Times New Roman"/>
          <w:color w:val="000000"/>
          <w:lang w:eastAsia="en-CH"/>
        </w:rPr>
        <w:t xml:space="preserve"> (25-35 Hz)</w:t>
      </w:r>
      <w:r w:rsidR="00BF6E84" w:rsidRPr="00817D4E">
        <w:rPr>
          <w:rFonts w:eastAsia="Times New Roman" w:cs="Times New Roman"/>
          <w:color w:val="000000"/>
          <w:lang w:eastAsia="en-CH"/>
        </w:rPr>
        <w:t xml:space="preserve"> frequency bands of interest</w:t>
      </w:r>
      <w:r w:rsidRPr="00817D4E">
        <w:rPr>
          <w:rFonts w:eastAsia="Times New Roman" w:cs="Times New Roman"/>
          <w:color w:val="000000"/>
          <w:lang w:eastAsia="en-CH"/>
        </w:rPr>
        <w:t>,</w:t>
      </w:r>
      <w:r w:rsidR="00AC16B3" w:rsidRPr="00817D4E">
        <w:rPr>
          <w:rFonts w:eastAsia="Times New Roman" w:cs="Times New Roman"/>
          <w:color w:val="000000"/>
          <w:lang w:eastAsia="en-CH"/>
        </w:rPr>
        <w:t xml:space="preserve"> </w:t>
      </w:r>
      <w:r w:rsidR="00BF6E84" w:rsidRPr="00817D4E">
        <w:rPr>
          <w:rFonts w:eastAsia="Times New Roman" w:cs="Times New Roman"/>
          <w:color w:val="000000"/>
          <w:lang w:eastAsia="en-CH"/>
        </w:rPr>
        <w:t xml:space="preserve">and then </w:t>
      </w:r>
      <w:r w:rsidR="00AC16B3" w:rsidRPr="00817D4E">
        <w:rPr>
          <w:rFonts w:eastAsia="Times New Roman" w:cs="Times New Roman"/>
          <w:color w:val="000000"/>
          <w:lang w:eastAsia="en-CH"/>
        </w:rPr>
        <w:t>segmented</w:t>
      </w:r>
      <w:r w:rsidR="00BF6E84" w:rsidRPr="00817D4E">
        <w:rPr>
          <w:rFonts w:eastAsia="Times New Roman" w:cs="Times New Roman"/>
          <w:color w:val="000000"/>
          <w:lang w:eastAsia="en-CH"/>
        </w:rPr>
        <w:t xml:space="preserve"> </w:t>
      </w:r>
      <w:r w:rsidR="00AC16B3" w:rsidRPr="00817D4E">
        <w:rPr>
          <w:rFonts w:eastAsia="Times New Roman" w:cs="Times New Roman"/>
          <w:color w:val="000000"/>
          <w:lang w:eastAsia="en-CH"/>
        </w:rPr>
        <w:t>into</w:t>
      </w:r>
      <w:r w:rsidR="00BF6E84" w:rsidRPr="00817D4E">
        <w:rPr>
          <w:rFonts w:eastAsia="Times New Roman" w:cs="Times New Roman"/>
          <w:color w:val="000000"/>
          <w:lang w:eastAsia="en-CH"/>
        </w:rPr>
        <w:t xml:space="preserve"> epochs from – 0.5 to +1.5 seconds. The clean concatenated EEGs </w:t>
      </w:r>
      <w:r w:rsidR="005D1863" w:rsidRPr="00817D4E">
        <w:rPr>
          <w:rFonts w:eastAsia="Times New Roman" w:cs="Times New Roman"/>
          <w:color w:val="000000"/>
          <w:lang w:eastAsia="en-CH"/>
        </w:rPr>
        <w:t xml:space="preserve">respectively </w:t>
      </w:r>
      <w:r w:rsidR="00BF6E84" w:rsidRPr="00817D4E">
        <w:rPr>
          <w:rFonts w:eastAsia="Times New Roman" w:cs="Times New Roman"/>
          <w:color w:val="000000"/>
          <w:lang w:eastAsia="en-CH"/>
        </w:rPr>
        <w:t xml:space="preserve">filtered for </w:t>
      </w:r>
      <w:r w:rsidR="005829E5" w:rsidRPr="00817D4E">
        <w:rPr>
          <w:rFonts w:eastAsia="Times New Roman" w:cs="Times New Roman"/>
          <w:color w:val="000000"/>
          <w:lang w:eastAsia="en-CH"/>
        </w:rPr>
        <w:t>theta and gamma</w:t>
      </w:r>
      <w:r w:rsidR="00BF6E84" w:rsidRPr="00817D4E">
        <w:rPr>
          <w:rFonts w:eastAsia="Times New Roman" w:cs="Times New Roman"/>
          <w:color w:val="000000"/>
          <w:lang w:eastAsia="en-CH"/>
        </w:rPr>
        <w:t xml:space="preserve"> frequency band</w:t>
      </w:r>
      <w:r w:rsidR="00F0383D" w:rsidRPr="00817D4E">
        <w:rPr>
          <w:rFonts w:eastAsia="Times New Roman" w:cs="Times New Roman"/>
          <w:color w:val="000000"/>
          <w:lang w:eastAsia="en-CH"/>
        </w:rPr>
        <w:t>s</w:t>
      </w:r>
      <w:r w:rsidR="00BF6E84" w:rsidRPr="00817D4E">
        <w:rPr>
          <w:rFonts w:eastAsia="Times New Roman" w:cs="Times New Roman"/>
          <w:color w:val="000000"/>
          <w:lang w:eastAsia="en-CH"/>
        </w:rPr>
        <w:t xml:space="preserve"> were transformed to singular value decomposition (SVD) of the ROIs of interest (left PFC and left temporal cortex) using an in-house toolbox (</w:t>
      </w:r>
      <w:proofErr w:type="spellStart"/>
      <w:r w:rsidR="00BF6E84" w:rsidRPr="00817D4E">
        <w:rPr>
          <w:rFonts w:eastAsia="Times New Roman" w:cs="Times New Roman"/>
          <w:color w:val="000000"/>
          <w:lang w:eastAsia="en-CH"/>
        </w:rPr>
        <w:t>PyCartool</w:t>
      </w:r>
      <w:proofErr w:type="spellEnd"/>
      <w:r w:rsidR="00BF6E84" w:rsidRPr="00817D4E">
        <w:rPr>
          <w:rFonts w:eastAsia="Times New Roman" w:cs="Times New Roman"/>
          <w:color w:val="000000"/>
          <w:lang w:eastAsia="en-CH"/>
        </w:rPr>
        <w:t xml:space="preserve">; </w:t>
      </w:r>
      <w:r w:rsidR="00BF6E84" w:rsidRPr="00817D4E">
        <w:rPr>
          <w:rFonts w:eastAsia="Times New Roman" w:cs="Times New Roman"/>
          <w:color w:val="000000"/>
          <w:lang w:eastAsia="en-CH"/>
        </w:rPr>
        <w:fldChar w:fldCharType="begin"/>
      </w:r>
      <w:r w:rsidR="00BF6E84" w:rsidRPr="00817D4E">
        <w:rPr>
          <w:rFonts w:eastAsia="Times New Roman" w:cs="Times New Roman"/>
          <w:color w:val="000000"/>
          <w:lang w:eastAsia="en-CH"/>
        </w:rPr>
        <w:instrText xml:space="preserve"> ADDIN ZOTERO_ITEM CSL_CITATION {"citationID":"kUhdw7CW","properties":{"formattedCitation":"(Mancini et al., 2022b)","plainCitation":"(Mancini et al., 2022b)","noteIndex":0},"citationItems":[{"id":686,"uris":["http://zotero.org/users/4080327/items/LIPF9UFT"],"itemData":{"id":686,"type":"article-journal","container-title":"American Journal of Psychiatry","DOI":"10.1176/appi.ajp.2021.21020190","ISSN":"0002-953X, 1535-7228","issue":"3","journalAbbreviation":"AJP","language":"en","page":"204-215","source":"DOI.org (Crossref)","title":"Aberrant Developmental Patterns of Gamma-Band Response and Long-Range Communication Disruption in Youths With 22q11.2 Deletion Syndrome","volume":"179","author":[{"family":"Mancini","given":"Valentina"},{"family":"Rochas","given":"Vincent"},{"family":"Seeber","given":"Martin"},{"family":"Roehri","given":"Nicolas"},{"family":"Rihs","given":"Tonia A."},{"family":"Ferat","given":"Victor"},{"family":"Schneider","given":"Maude"},{"family":"Uhlhaas","given":"Peter J."},{"family":"Eliez","given":"Stephan"},{"family":"Michel","given":"Christoph M."}],"issued":{"date-parts":[["2022",3,1]]}}}],"schema":"https://github.com/citation-style-language/schema/raw/master/csl-citation.json"} </w:instrText>
      </w:r>
      <w:r w:rsidR="00BF6E84" w:rsidRPr="00817D4E">
        <w:rPr>
          <w:rFonts w:eastAsia="Times New Roman" w:cs="Times New Roman"/>
          <w:color w:val="000000"/>
          <w:lang w:eastAsia="en-CH"/>
        </w:rPr>
        <w:fldChar w:fldCharType="separate"/>
      </w:r>
      <w:r w:rsidR="00BF6E84" w:rsidRPr="00817D4E">
        <w:rPr>
          <w:rFonts w:cs="Times New Roman"/>
        </w:rPr>
        <w:t>Mancini et al., 2022b)</w:t>
      </w:r>
      <w:r w:rsidR="00BF6E84" w:rsidRPr="00817D4E">
        <w:rPr>
          <w:rFonts w:eastAsia="Times New Roman" w:cs="Times New Roman"/>
          <w:color w:val="000000"/>
          <w:lang w:eastAsia="en-CH"/>
        </w:rPr>
        <w:fldChar w:fldCharType="end"/>
      </w:r>
      <w:r w:rsidR="00BF6E84" w:rsidRPr="00817D4E">
        <w:rPr>
          <w:rFonts w:eastAsia="Times New Roman" w:cs="Times New Roman"/>
          <w:color w:val="000000"/>
          <w:lang w:eastAsia="en-CH"/>
        </w:rPr>
        <w:t xml:space="preserve"> with individual IS model and parcellation atlas. The real SVD signals of each ROIs obtained for each frequency band were computed through Hilbert transform. The instantaneous angles of the SVD for theta frequency band were sorted from complex values. Then, the gamma amplitude envelope of the ROIs of interest was obtained from the complex values of the SVD for the gamma frequency band. Coupling between ROIs was estimated with the modulation index (MI), as described by Tort </w:t>
      </w:r>
      <w:r w:rsidR="00BF6E84" w:rsidRPr="00817D4E">
        <w:rPr>
          <w:rFonts w:eastAsia="Times New Roman" w:cs="Times New Roman"/>
          <w:color w:val="000000"/>
          <w:lang w:eastAsia="en-CH"/>
        </w:rPr>
        <w:fldChar w:fldCharType="begin"/>
      </w:r>
      <w:r w:rsidR="00BF6E84" w:rsidRPr="00817D4E">
        <w:rPr>
          <w:rFonts w:eastAsia="Times New Roman" w:cs="Times New Roman"/>
          <w:color w:val="000000"/>
          <w:lang w:eastAsia="en-CH"/>
        </w:rPr>
        <w:instrText xml:space="preserve"> ADDIN ZOTERO_ITEM CSL_CITATION {"citationID":"7DoLlran","properties":{"formattedCitation":"(Tort et al., 2010)","plainCitation":"(Tort et al., 2010)","noteIndex":0},"citationItems":[{"id":1345,"uris":["http://zotero.org/users/4080327/items/MMNB398R"],"itemData":{"id":1345,"type":"article-journal","abstract":"Neuronal oscillations of different frequencies can interact in several ways. There has been particular interest in the modulation of the amplitude of high-frequency oscillations by the phase of low-frequency oscillations, since recent evidence suggests a functional role for this type of cross-frequency coupling (CFC). Phase-amplitude coupling has been reported in continuous electrophysiological signals obtained from the brain at both local and macroscopic levels. In the present work, we present a new measure for assessing phase-amplitude CFC. This measure is defined as an adaptation of the Kullback-Leibler distance-a function that is used to infer the distance between two distributions-and calculates how much an empirical amplitude distribution-like function over phase bins deviates from the uniform distribution. We show that a CFC measure defined this way is well suited for assessing the intensity of phase-amplitude coupling. We also review seven other CFC measures; we show that, by some performance benchmarks, our measure is especially attractive for this task. We also discuss some technical aspects related to the measure, such as the length of the epochs used for these analyses and the utility of surrogate control analyses. Finally, we apply the measure and a related CFC tool to actual hippocampal recordings obtained from freely moving rats and show, for the first time, that the CA3 and CA1 regions present different CFC characteristics.","container-title":"Journal of Neurophysiology","DOI":"10.1152/jn.00106.2010","ISSN":"1522-1598","issue":"2","journalAbbreviation":"J Neurophysiol","language":"eng","note":"PMID: 20463205\nPMCID: PMC2941206","page":"1195-1210","source":"PubMed","title":"Measuring phase-amplitude coupling between neuronal oscillations of different frequencies","volume":"104","author":[{"family":"Tort","given":"Adriano B. L."},{"family":"Komorowski","given":"Robert"},{"family":"Eichenbaum","given":"Howard"},{"family":"Kopell","given":"Nancy"}],"issued":{"date-parts":[["2010",8]]}}}],"schema":"https://github.com/citation-style-language/schema/raw/master/csl-citation.json"} </w:instrText>
      </w:r>
      <w:r w:rsidR="00BF6E84" w:rsidRPr="00817D4E">
        <w:rPr>
          <w:rFonts w:eastAsia="Times New Roman" w:cs="Times New Roman"/>
          <w:color w:val="000000"/>
          <w:lang w:eastAsia="en-CH"/>
        </w:rPr>
        <w:fldChar w:fldCharType="separate"/>
      </w:r>
      <w:r w:rsidR="00BF6E84" w:rsidRPr="00817D4E">
        <w:rPr>
          <w:rFonts w:cs="Times New Roman"/>
        </w:rPr>
        <w:t>et al. (2010)</w:t>
      </w:r>
      <w:r w:rsidR="00BF6E84" w:rsidRPr="00817D4E">
        <w:rPr>
          <w:rFonts w:eastAsia="Times New Roman" w:cs="Times New Roman"/>
          <w:color w:val="000000"/>
          <w:lang w:eastAsia="en-CH"/>
        </w:rPr>
        <w:fldChar w:fldCharType="end"/>
      </w:r>
      <w:r w:rsidR="00BF6E84" w:rsidRPr="00817D4E">
        <w:rPr>
          <w:rFonts w:eastAsia="Times New Roman" w:cs="Times New Roman"/>
          <w:color w:val="000000"/>
          <w:lang w:eastAsia="en-CH"/>
        </w:rPr>
        <w:t xml:space="preserve"> taking into account the 0 to 0.5 sec periods after the onset of stimulus. In detail, a composite time series was computed as the averaged amplitude of gamma in the temporal cortex at each binned phase of theta rhythm in the PFC. The amplitude distribution was obtained normalizing the mean amplitude by dividing each bin value over the sum of the bins. MI was then defined as the Kullback-Leibler distance of the observed amplitude distribution (P) from the uniform distribution (U) divided by the logarithm of N (i.e., the maximum </w:t>
      </w:r>
      <w:r w:rsidR="00BF6E84" w:rsidRPr="00817D4E">
        <w:rPr>
          <w:rFonts w:eastAsia="Times New Roman" w:cs="Times New Roman"/>
          <w:lang w:eastAsia="en-CH"/>
        </w:rPr>
        <w:t xml:space="preserve">possible entropy value). </w:t>
      </w:r>
      <w:r w:rsidR="001B546A" w:rsidRPr="00817D4E">
        <w:rPr>
          <w:rFonts w:eastAsia="Times New Roman" w:cs="Times New Roman"/>
          <w:lang w:eastAsia="en-CH"/>
        </w:rPr>
        <w:t>Finally, w</w:t>
      </w:r>
      <w:r w:rsidR="00BF6E84" w:rsidRPr="00817D4E">
        <w:rPr>
          <w:rFonts w:eastAsia="Times New Roman" w:cs="Times New Roman"/>
          <w:lang w:eastAsia="en-CH"/>
        </w:rPr>
        <w:t>e calculated the theta frequency corresponding to the highest value of PAC, i.e., to the highest value of the MI.</w:t>
      </w:r>
    </w:p>
    <w:p w14:paraId="192255E9" w14:textId="77777777" w:rsidR="009744F4" w:rsidRDefault="009744F4" w:rsidP="009744F4"/>
    <w:p w14:paraId="4CFACD88" w14:textId="77777777" w:rsidR="00817D4E" w:rsidRPr="009744F4" w:rsidRDefault="00817D4E" w:rsidP="009744F4"/>
    <w:p w14:paraId="1CBE86D5" w14:textId="77777777" w:rsidR="00FB7CB4" w:rsidRDefault="00FB7CB4" w:rsidP="00FB7CB4"/>
    <w:p w14:paraId="4F4234E2" w14:textId="77777777" w:rsidR="00FB7CB4" w:rsidRDefault="00FB7CB4" w:rsidP="00FB7CB4"/>
    <w:p w14:paraId="7DD0F79E" w14:textId="77777777" w:rsidR="009744F4" w:rsidRDefault="009744F4" w:rsidP="00FB7CB4"/>
    <w:p w14:paraId="53F6E419" w14:textId="77777777" w:rsidR="00FB7CB4" w:rsidRDefault="00FB7CB4" w:rsidP="00FB7CB4"/>
    <w:p w14:paraId="5703CED7" w14:textId="77777777" w:rsidR="00AB63CD" w:rsidRDefault="00AB63CD" w:rsidP="00FB7CB4"/>
    <w:p w14:paraId="7DAA8646" w14:textId="77777777" w:rsidR="00AB63CD" w:rsidRDefault="00AB63CD" w:rsidP="00FB7CB4"/>
    <w:p w14:paraId="77690A7A" w14:textId="77777777" w:rsidR="00AB63CD" w:rsidRDefault="00AB63CD" w:rsidP="00FB7CB4"/>
    <w:p w14:paraId="5D31520D" w14:textId="77777777" w:rsidR="00AB63CD" w:rsidRDefault="00AB63CD" w:rsidP="00FB7CB4"/>
    <w:p w14:paraId="30F5F5B1" w14:textId="77777777" w:rsidR="00FE1E41" w:rsidRPr="00FB7CB4" w:rsidRDefault="00FE1E41" w:rsidP="00FB7CB4"/>
    <w:p w14:paraId="55D8C106" w14:textId="3BC3425B" w:rsidR="00012035" w:rsidRPr="009744F4" w:rsidRDefault="00654E8F" w:rsidP="009744F4">
      <w:pPr>
        <w:pStyle w:val="Titre1"/>
      </w:pPr>
      <w:r w:rsidRPr="00994A3D">
        <w:lastRenderedPageBreak/>
        <w:t>Supplementary Tables</w:t>
      </w:r>
    </w:p>
    <w:p w14:paraId="66DBF294" w14:textId="288F6BC5" w:rsidR="00497CBA" w:rsidRPr="00856B54" w:rsidRDefault="00994A3D" w:rsidP="002B4A57">
      <w:pPr>
        <w:keepNext/>
        <w:rPr>
          <w:rFonts w:cs="Times New Roman"/>
          <w:bCs/>
          <w:szCs w:val="24"/>
        </w:rPr>
      </w:pPr>
      <w:r w:rsidRPr="0001436A">
        <w:rPr>
          <w:rFonts w:cs="Times New Roman"/>
          <w:b/>
          <w:szCs w:val="24"/>
        </w:rPr>
        <w:t xml:space="preserve">Supplementary </w:t>
      </w:r>
      <w:r w:rsidR="00F7286A">
        <w:rPr>
          <w:rFonts w:cs="Times New Roman"/>
          <w:b/>
          <w:szCs w:val="24"/>
        </w:rPr>
        <w:t xml:space="preserve">Table 1. </w:t>
      </w:r>
      <w:r w:rsidR="00FA18C0" w:rsidRPr="00856B54">
        <w:rPr>
          <w:rFonts w:cs="Times New Roman"/>
          <w:bCs/>
          <w:szCs w:val="24"/>
        </w:rPr>
        <w:t xml:space="preserve">Psychiatric diagnoses and </w:t>
      </w:r>
      <w:r w:rsidR="006216D1" w:rsidRPr="00856B54">
        <w:rPr>
          <w:rFonts w:cs="Times New Roman"/>
          <w:bCs/>
          <w:szCs w:val="24"/>
        </w:rPr>
        <w:t>psychotropic medication</w:t>
      </w:r>
      <w:r w:rsidR="00250C25" w:rsidRPr="00856B54">
        <w:rPr>
          <w:rFonts w:cs="Times New Roman"/>
          <w:bCs/>
          <w:szCs w:val="24"/>
        </w:rPr>
        <w:t xml:space="preserve"> use</w:t>
      </w:r>
    </w:p>
    <w:tbl>
      <w:tblPr>
        <w:tblW w:w="8160" w:type="dxa"/>
        <w:tblCellMar>
          <w:left w:w="0" w:type="dxa"/>
          <w:right w:w="0" w:type="dxa"/>
        </w:tblCellMar>
        <w:tblLook w:val="04A0" w:firstRow="1" w:lastRow="0" w:firstColumn="1" w:lastColumn="0" w:noHBand="0" w:noVBand="1"/>
      </w:tblPr>
      <w:tblGrid>
        <w:gridCol w:w="2800"/>
        <w:gridCol w:w="3400"/>
        <w:gridCol w:w="1960"/>
      </w:tblGrid>
      <w:tr w:rsidR="00B42B3A" w:rsidRPr="00B42B3A" w14:paraId="1E6EFD8E" w14:textId="77777777" w:rsidTr="00B42B3A">
        <w:trPr>
          <w:trHeight w:val="416"/>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6C1EC" w14:textId="77777777" w:rsidR="00B42B3A" w:rsidRPr="00B42B3A" w:rsidRDefault="00B42B3A" w:rsidP="00B42B3A">
            <w:pPr>
              <w:spacing w:before="0" w:after="160" w:line="256" w:lineRule="auto"/>
              <w:rPr>
                <w:rFonts w:eastAsia="Times New Roman" w:cs="Times New Roman"/>
                <w:szCs w:val="24"/>
                <w:lang w:val="en-CH" w:eastAsia="en-CH"/>
              </w:rPr>
            </w:pPr>
            <w:r w:rsidRPr="00A2221E">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68F5" w14:textId="77777777" w:rsidR="00B42B3A" w:rsidRPr="00B42B3A" w:rsidRDefault="00B42B3A" w:rsidP="00B42B3A">
            <w:pPr>
              <w:spacing w:before="0" w:after="160" w:line="256" w:lineRule="auto"/>
              <w:jc w:val="center"/>
              <w:rPr>
                <w:rFonts w:eastAsia="Times New Roman" w:cs="Times New Roman"/>
                <w:szCs w:val="24"/>
                <w:lang w:val="en-CH" w:eastAsia="en-CH"/>
              </w:rPr>
            </w:pPr>
            <w:r w:rsidRPr="00A2221E">
              <w:rPr>
                <w:rFonts w:eastAsia="Times New Roman" w:cs="Times New Roman"/>
                <w:color w:val="000000" w:themeColor="text1"/>
                <w:szCs w:val="24"/>
                <w:lang w:eastAsia="en-CH"/>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939E6" w14:textId="77777777" w:rsidR="00B42B3A" w:rsidRPr="00B42B3A" w:rsidRDefault="00B42B3A" w:rsidP="00B42B3A">
            <w:pPr>
              <w:spacing w:before="0" w:after="160" w:line="256" w:lineRule="auto"/>
              <w:jc w:val="center"/>
              <w:rPr>
                <w:rFonts w:eastAsia="Times New Roman" w:cs="Times New Roman"/>
                <w:szCs w:val="24"/>
                <w:lang w:val="en-CH" w:eastAsia="en-CH"/>
              </w:rPr>
            </w:pPr>
            <w:r w:rsidRPr="00B42B3A">
              <w:rPr>
                <w:rFonts w:eastAsia="Times New Roman" w:cs="Times New Roman"/>
                <w:color w:val="000000" w:themeColor="text1"/>
                <w:szCs w:val="24"/>
                <w:lang w:eastAsia="en-CH"/>
              </w:rPr>
              <w:t>Participants, n(%)</w:t>
            </w:r>
          </w:p>
        </w:tc>
      </w:tr>
      <w:tr w:rsidR="00B42B3A" w:rsidRPr="00B42B3A" w14:paraId="0D87E49E"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01F1A0"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9F5414"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94BA6" w14:textId="77777777" w:rsidR="00B42B3A" w:rsidRPr="00B42B3A" w:rsidRDefault="00B42B3A" w:rsidP="008C5FB4">
            <w:pPr>
              <w:spacing w:before="0" w:after="160" w:line="256" w:lineRule="auto"/>
              <w:jc w:val="center"/>
              <w:rPr>
                <w:rFonts w:eastAsia="Times New Roman" w:cs="Times New Roman"/>
                <w:szCs w:val="24"/>
                <w:lang w:val="en-CH" w:eastAsia="en-CH"/>
              </w:rPr>
            </w:pPr>
            <w:r w:rsidRPr="00B42B3A">
              <w:rPr>
                <w:rFonts w:eastAsia="Calibri" w:cs="Times New Roman"/>
                <w:color w:val="000000" w:themeColor="text1"/>
                <w:szCs w:val="24"/>
                <w:lang w:eastAsia="en-CH"/>
              </w:rPr>
              <w:t>7</w:t>
            </w:r>
          </w:p>
        </w:tc>
      </w:tr>
      <w:tr w:rsidR="00B42B3A" w:rsidRPr="00B42B3A" w14:paraId="788E15F2" w14:textId="77777777" w:rsidTr="008C5FB4">
        <w:trPr>
          <w:trHeight w:val="63"/>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5A358D"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Psychiatric diagnosis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C525E1"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B29C3" w14:textId="60EF07A2" w:rsidR="00B42B3A" w:rsidRPr="00B42B3A" w:rsidRDefault="00B42B3A" w:rsidP="008C5FB4">
            <w:pPr>
              <w:spacing w:before="0" w:after="160" w:line="256" w:lineRule="auto"/>
              <w:jc w:val="center"/>
              <w:rPr>
                <w:rFonts w:eastAsia="Times New Roman" w:cs="Times New Roman"/>
                <w:szCs w:val="24"/>
                <w:lang w:val="en-CH" w:eastAsia="en-CH"/>
              </w:rPr>
            </w:pPr>
          </w:p>
        </w:tc>
      </w:tr>
      <w:tr w:rsidR="00B42B3A" w:rsidRPr="00B42B3A" w14:paraId="1A061A7B" w14:textId="77777777" w:rsidTr="008C5FB4">
        <w:trPr>
          <w:trHeight w:val="63"/>
        </w:trPr>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ECEBA2"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xml:space="preserve">  Total</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189679"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153BC" w14:textId="77777777" w:rsidR="00B42B3A" w:rsidRPr="00B42B3A" w:rsidRDefault="00B42B3A" w:rsidP="008C5FB4">
            <w:pPr>
              <w:spacing w:before="0" w:after="160" w:line="256" w:lineRule="auto"/>
              <w:jc w:val="center"/>
              <w:rPr>
                <w:rFonts w:eastAsia="Times New Roman" w:cs="Times New Roman"/>
                <w:szCs w:val="24"/>
                <w:lang w:val="en-CH" w:eastAsia="en-CH"/>
              </w:rPr>
            </w:pPr>
            <w:r w:rsidRPr="00B42B3A">
              <w:rPr>
                <w:rFonts w:eastAsia="Calibri" w:cs="Times New Roman"/>
                <w:color w:val="000000" w:themeColor="text1"/>
                <w:kern w:val="2"/>
                <w:szCs w:val="24"/>
                <w:lang w:eastAsia="en-CH"/>
              </w:rPr>
              <w:t xml:space="preserve">5 </w:t>
            </w:r>
            <w:r w:rsidRPr="00B42B3A">
              <w:rPr>
                <w:rFonts w:eastAsia="Times New Roman" w:cs="Times New Roman"/>
                <w:color w:val="000000" w:themeColor="text1"/>
                <w:szCs w:val="24"/>
                <w:lang w:eastAsia="en-CH"/>
              </w:rPr>
              <w:t>(71.43)</w:t>
            </w:r>
          </w:p>
        </w:tc>
      </w:tr>
      <w:tr w:rsidR="00B42B3A" w:rsidRPr="00B42B3A" w14:paraId="66F6C277"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32A996"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xml:space="preserve">  Categories</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A0D594" w14:textId="77777777" w:rsidR="00B42B3A" w:rsidRPr="00B42B3A" w:rsidRDefault="00B42B3A" w:rsidP="00B42B3A">
            <w:pPr>
              <w:spacing w:before="0" w:after="0"/>
              <w:rPr>
                <w:rFonts w:eastAsia="Times New Roman" w:cs="Times New Roman"/>
                <w:szCs w:val="24"/>
                <w:lang w:val="en-CH" w:eastAsia="en-CH"/>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E72CB" w14:textId="77777777" w:rsidR="00B42B3A" w:rsidRPr="00B42B3A" w:rsidRDefault="00B42B3A" w:rsidP="008C5FB4">
            <w:pPr>
              <w:spacing w:before="0" w:after="0"/>
              <w:jc w:val="center"/>
              <w:rPr>
                <w:rFonts w:eastAsia="Times New Roman" w:cs="Times New Roman"/>
                <w:szCs w:val="24"/>
                <w:lang w:val="en-CH" w:eastAsia="en-CH"/>
              </w:rPr>
            </w:pPr>
          </w:p>
        </w:tc>
      </w:tr>
      <w:tr w:rsidR="00B42B3A" w:rsidRPr="00B42B3A" w14:paraId="44730325"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8F3E93"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606418"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Attention deficit disorder</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CCCA1" w14:textId="77777777" w:rsidR="00B42B3A" w:rsidRPr="00B42B3A" w:rsidRDefault="00B42B3A" w:rsidP="008C5FB4">
            <w:pPr>
              <w:spacing w:before="0" w:after="160" w:line="256" w:lineRule="auto"/>
              <w:jc w:val="center"/>
              <w:rPr>
                <w:rFonts w:eastAsia="Times New Roman" w:cs="Times New Roman"/>
                <w:szCs w:val="24"/>
                <w:lang w:val="en-CH" w:eastAsia="en-CH"/>
              </w:rPr>
            </w:pPr>
            <w:r w:rsidRPr="00B42B3A">
              <w:rPr>
                <w:rFonts w:eastAsia="Calibri" w:cs="Times New Roman"/>
                <w:color w:val="000000" w:themeColor="text1"/>
                <w:kern w:val="2"/>
                <w:szCs w:val="24"/>
                <w:lang w:eastAsia="en-CH"/>
              </w:rPr>
              <w:t>3 (42.86)</w:t>
            </w:r>
          </w:p>
        </w:tc>
      </w:tr>
      <w:tr w:rsidR="004A0B84" w:rsidRPr="00B42B3A" w14:paraId="03EDF6D1"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4C874C"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EF34D2"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Generalized anxiety disorder</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A1756" w14:textId="4F1A51BD" w:rsidR="004A0B84" w:rsidRPr="00B42B3A" w:rsidRDefault="004A0B84" w:rsidP="008C5FB4">
            <w:pPr>
              <w:spacing w:before="0" w:after="160" w:line="256" w:lineRule="auto"/>
              <w:jc w:val="center"/>
              <w:rPr>
                <w:rFonts w:eastAsia="Times New Roman" w:cs="Times New Roman"/>
                <w:szCs w:val="24"/>
                <w:lang w:val="en-CH" w:eastAsia="en-CH"/>
              </w:rPr>
            </w:pPr>
            <w:r w:rsidRPr="00B42B3A">
              <w:rPr>
                <w:rFonts w:eastAsia="Calibri" w:cs="Times New Roman"/>
                <w:color w:val="000000" w:themeColor="text1"/>
                <w:kern w:val="2"/>
                <w:szCs w:val="24"/>
                <w:lang w:eastAsia="en-CH"/>
              </w:rPr>
              <w:t>1 (14.29)</w:t>
            </w:r>
          </w:p>
        </w:tc>
      </w:tr>
      <w:tr w:rsidR="00B42B3A" w:rsidRPr="00B42B3A" w14:paraId="2790E303"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268B8"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184EE8" w14:textId="77777777" w:rsidR="00B42B3A" w:rsidRPr="00B42B3A" w:rsidRDefault="00B42B3A" w:rsidP="00B42B3A">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Mood disorder</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801FC" w14:textId="77777777" w:rsidR="00B42B3A" w:rsidRPr="00B42B3A" w:rsidRDefault="00B42B3A" w:rsidP="008C5FB4">
            <w:pPr>
              <w:spacing w:before="0" w:after="160" w:line="256" w:lineRule="auto"/>
              <w:jc w:val="center"/>
              <w:rPr>
                <w:rFonts w:eastAsia="Times New Roman" w:cs="Times New Roman"/>
                <w:szCs w:val="24"/>
                <w:lang w:val="en-CH" w:eastAsia="en-CH"/>
              </w:rPr>
            </w:pPr>
            <w:r w:rsidRPr="00B42B3A">
              <w:rPr>
                <w:rFonts w:eastAsia="Calibri" w:cs="Times New Roman"/>
                <w:color w:val="000000" w:themeColor="text1"/>
                <w:kern w:val="2"/>
                <w:szCs w:val="24"/>
                <w:lang w:eastAsia="en-CH"/>
              </w:rPr>
              <w:t>1 (14.29)</w:t>
            </w:r>
          </w:p>
        </w:tc>
      </w:tr>
      <w:tr w:rsidR="004A0B84" w:rsidRPr="00B42B3A" w14:paraId="744AF343"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61A1FC"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902DB8"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Calibri" w:cs="Times New Roman"/>
                <w:color w:val="000000" w:themeColor="text1"/>
                <w:kern w:val="2"/>
                <w:szCs w:val="24"/>
                <w:lang w:eastAsia="en-CH"/>
              </w:rPr>
              <w:t>Psychosis spectrum disorder</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36B858" w14:textId="44DF78CF" w:rsidR="004A0B84" w:rsidRPr="00B42B3A" w:rsidRDefault="004A0B84" w:rsidP="008C5FB4">
            <w:pPr>
              <w:spacing w:before="0" w:after="160" w:line="256" w:lineRule="auto"/>
              <w:jc w:val="center"/>
              <w:rPr>
                <w:rFonts w:eastAsia="Times New Roman" w:cs="Times New Roman"/>
                <w:szCs w:val="24"/>
                <w:lang w:val="en-CH" w:eastAsia="en-CH"/>
              </w:rPr>
            </w:pPr>
            <w:r w:rsidRPr="00B42B3A">
              <w:rPr>
                <w:rFonts w:eastAsia="Calibri" w:cs="Times New Roman"/>
                <w:color w:val="000000" w:themeColor="text1"/>
                <w:kern w:val="2"/>
                <w:szCs w:val="24"/>
                <w:lang w:eastAsia="en-CH"/>
              </w:rPr>
              <w:t>1 (14.29)</w:t>
            </w:r>
          </w:p>
        </w:tc>
      </w:tr>
      <w:tr w:rsidR="004A0B84" w:rsidRPr="00B42B3A" w14:paraId="325E406F"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6355BC"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DD0C00"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xml:space="preserve">Social phobia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3BD5" w14:textId="53971A33" w:rsidR="004A0B84" w:rsidRPr="00B42B3A" w:rsidRDefault="004A0B84" w:rsidP="008C5FB4">
            <w:pPr>
              <w:spacing w:before="0" w:after="160" w:line="256" w:lineRule="auto"/>
              <w:jc w:val="center"/>
              <w:rPr>
                <w:rFonts w:eastAsia="Times New Roman" w:cs="Times New Roman"/>
                <w:szCs w:val="24"/>
                <w:lang w:val="en-CH" w:eastAsia="en-CH"/>
              </w:rPr>
            </w:pPr>
            <w:r>
              <w:rPr>
                <w:rFonts w:eastAsia="Calibri" w:cs="Times New Roman"/>
                <w:color w:val="000000" w:themeColor="text1"/>
                <w:kern w:val="2"/>
                <w:szCs w:val="24"/>
                <w:lang w:eastAsia="en-CH"/>
              </w:rPr>
              <w:t>2</w:t>
            </w:r>
            <w:r w:rsidRPr="00B42B3A">
              <w:rPr>
                <w:rFonts w:eastAsia="Calibri" w:cs="Times New Roman"/>
                <w:color w:val="000000" w:themeColor="text1"/>
                <w:kern w:val="2"/>
                <w:szCs w:val="24"/>
                <w:lang w:eastAsia="en-CH"/>
              </w:rPr>
              <w:t xml:space="preserve"> (</w:t>
            </w:r>
            <w:r>
              <w:rPr>
                <w:rFonts w:eastAsia="Calibri" w:cs="Times New Roman"/>
                <w:color w:val="000000" w:themeColor="text1"/>
                <w:kern w:val="2"/>
                <w:szCs w:val="24"/>
                <w:lang w:eastAsia="en-CH"/>
              </w:rPr>
              <w:t>28</w:t>
            </w:r>
            <w:r w:rsidRPr="00B42B3A">
              <w:rPr>
                <w:rFonts w:eastAsia="Calibri" w:cs="Times New Roman"/>
                <w:color w:val="000000" w:themeColor="text1"/>
                <w:kern w:val="2"/>
                <w:szCs w:val="24"/>
                <w:lang w:eastAsia="en-CH"/>
              </w:rPr>
              <w:t>.</w:t>
            </w:r>
            <w:r>
              <w:rPr>
                <w:rFonts w:eastAsia="Calibri" w:cs="Times New Roman"/>
                <w:color w:val="000000" w:themeColor="text1"/>
                <w:kern w:val="2"/>
                <w:szCs w:val="24"/>
                <w:lang w:eastAsia="en-CH"/>
              </w:rPr>
              <w:t>57</w:t>
            </w:r>
            <w:r w:rsidRPr="00B42B3A">
              <w:rPr>
                <w:rFonts w:eastAsia="Calibri" w:cs="Times New Roman"/>
                <w:color w:val="000000" w:themeColor="text1"/>
                <w:kern w:val="2"/>
                <w:szCs w:val="24"/>
                <w:lang w:eastAsia="en-CH"/>
              </w:rPr>
              <w:t>)</w:t>
            </w:r>
          </w:p>
        </w:tc>
      </w:tr>
      <w:tr w:rsidR="004A0B84" w:rsidRPr="00B42B3A" w14:paraId="484139F8"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DAA515"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C10C3" w14:textId="77777777" w:rsidR="004A0B84" w:rsidRPr="00B42B3A" w:rsidRDefault="004A0B84" w:rsidP="004A0B84">
            <w:pPr>
              <w:spacing w:before="0" w:after="0"/>
              <w:rPr>
                <w:rFonts w:eastAsia="Times New Roman" w:cs="Times New Roman"/>
                <w:szCs w:val="24"/>
                <w:lang w:val="en-CH" w:eastAsia="en-CH"/>
              </w:rPr>
            </w:pP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BE588" w14:textId="77777777" w:rsidR="004A0B84" w:rsidRPr="00B42B3A" w:rsidRDefault="004A0B84" w:rsidP="008C5FB4">
            <w:pPr>
              <w:spacing w:before="0" w:after="0"/>
              <w:jc w:val="center"/>
              <w:rPr>
                <w:rFonts w:eastAsia="Times New Roman" w:cs="Times New Roman"/>
                <w:szCs w:val="24"/>
                <w:lang w:val="en-CH" w:eastAsia="en-CH"/>
              </w:rPr>
            </w:pPr>
          </w:p>
        </w:tc>
      </w:tr>
      <w:tr w:rsidR="004A0B84" w:rsidRPr="00B42B3A" w14:paraId="2016868A"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59B557"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Medication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8E80B4"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C58C6" w14:textId="4D04CCCF" w:rsidR="004A0B84" w:rsidRPr="00B42B3A" w:rsidRDefault="004A0B84" w:rsidP="008C5FB4">
            <w:pPr>
              <w:spacing w:before="0" w:after="160" w:line="256" w:lineRule="auto"/>
              <w:jc w:val="center"/>
              <w:rPr>
                <w:rFonts w:eastAsia="Times New Roman" w:cs="Times New Roman"/>
                <w:szCs w:val="24"/>
                <w:lang w:val="en-CH" w:eastAsia="en-CH"/>
              </w:rPr>
            </w:pPr>
          </w:p>
        </w:tc>
      </w:tr>
      <w:tr w:rsidR="004A0B84" w:rsidRPr="00B42B3A" w14:paraId="79EDADB3"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34111C"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xml:space="preserve">  Total</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8122C2"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F402B" w14:textId="77777777" w:rsidR="004A0B84" w:rsidRPr="00B42B3A" w:rsidRDefault="004A0B84" w:rsidP="008C5FB4">
            <w:pPr>
              <w:spacing w:before="0" w:after="160" w:line="256" w:lineRule="auto"/>
              <w:jc w:val="center"/>
              <w:rPr>
                <w:rFonts w:eastAsia="Times New Roman" w:cs="Times New Roman"/>
                <w:szCs w:val="24"/>
                <w:lang w:val="en-CH" w:eastAsia="en-CH"/>
              </w:rPr>
            </w:pPr>
            <w:r w:rsidRPr="00B42B3A">
              <w:rPr>
                <w:rFonts w:eastAsia="Times New Roman" w:cs="Times New Roman"/>
                <w:color w:val="000000" w:themeColor="text1"/>
                <w:szCs w:val="24"/>
                <w:lang w:eastAsia="en-CH"/>
              </w:rPr>
              <w:t>7 (100)</w:t>
            </w:r>
          </w:p>
        </w:tc>
      </w:tr>
      <w:tr w:rsidR="004A0B84" w:rsidRPr="00B42B3A" w14:paraId="3B86858E"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2DA470"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xml:space="preserve">  Categories</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0A32A2"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Psychostimulants</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53171" w14:textId="77777777" w:rsidR="004A0B84" w:rsidRPr="00B42B3A" w:rsidRDefault="004A0B84" w:rsidP="008C5FB4">
            <w:pPr>
              <w:spacing w:before="0" w:after="160" w:line="256" w:lineRule="auto"/>
              <w:jc w:val="center"/>
              <w:rPr>
                <w:rFonts w:eastAsia="Times New Roman" w:cs="Times New Roman"/>
                <w:szCs w:val="24"/>
                <w:lang w:val="en-CH" w:eastAsia="en-CH"/>
              </w:rPr>
            </w:pPr>
            <w:r w:rsidRPr="00B42B3A">
              <w:rPr>
                <w:rFonts w:eastAsia="Times New Roman" w:cs="Times New Roman"/>
                <w:color w:val="000000" w:themeColor="text1"/>
                <w:szCs w:val="24"/>
                <w:lang w:eastAsia="en-CH"/>
              </w:rPr>
              <w:t>5 (71.43)</w:t>
            </w:r>
          </w:p>
        </w:tc>
      </w:tr>
      <w:tr w:rsidR="004A0B84" w:rsidRPr="00B42B3A" w14:paraId="490C0366" w14:textId="77777777" w:rsidTr="008C5FB4">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BE79B2"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 </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4F64B9" w14:textId="77777777" w:rsidR="004A0B84" w:rsidRPr="00B42B3A" w:rsidRDefault="004A0B84" w:rsidP="004A0B84">
            <w:pPr>
              <w:spacing w:before="0" w:after="160" w:line="256" w:lineRule="auto"/>
              <w:rPr>
                <w:rFonts w:eastAsia="Times New Roman" w:cs="Times New Roman"/>
                <w:szCs w:val="24"/>
                <w:lang w:val="en-CH" w:eastAsia="en-CH"/>
              </w:rPr>
            </w:pPr>
            <w:r w:rsidRPr="00B42B3A">
              <w:rPr>
                <w:rFonts w:eastAsia="Times New Roman" w:cs="Times New Roman"/>
                <w:color w:val="000000" w:themeColor="text1"/>
                <w:szCs w:val="24"/>
                <w:lang w:eastAsia="en-CH"/>
              </w:rPr>
              <w:t>Antidepressants</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7FCDA" w14:textId="77777777" w:rsidR="004A0B84" w:rsidRPr="00B42B3A" w:rsidRDefault="004A0B84" w:rsidP="008C5FB4">
            <w:pPr>
              <w:spacing w:before="0" w:after="160" w:line="256" w:lineRule="auto"/>
              <w:jc w:val="center"/>
              <w:rPr>
                <w:rFonts w:eastAsia="Times New Roman" w:cs="Times New Roman"/>
                <w:szCs w:val="24"/>
                <w:lang w:val="en-CH" w:eastAsia="en-CH"/>
              </w:rPr>
            </w:pPr>
            <w:r w:rsidRPr="00B42B3A">
              <w:rPr>
                <w:rFonts w:eastAsia="Times New Roman" w:cs="Times New Roman"/>
                <w:color w:val="000000" w:themeColor="text1"/>
                <w:szCs w:val="24"/>
                <w:lang w:eastAsia="en-CH"/>
              </w:rPr>
              <w:t>5 (71.43)</w:t>
            </w:r>
          </w:p>
        </w:tc>
      </w:tr>
    </w:tbl>
    <w:p w14:paraId="7296337E" w14:textId="77777777" w:rsidR="00B42B3A" w:rsidRDefault="00B42B3A" w:rsidP="002B4A57">
      <w:pPr>
        <w:keepNext/>
        <w:rPr>
          <w:rFonts w:cs="Times New Roman"/>
          <w:szCs w:val="24"/>
        </w:rPr>
        <w:sectPr w:rsidR="00B42B3A" w:rsidSect="0093429D">
          <w:footerReference w:type="even" r:id="rId14"/>
          <w:footerReference w:type="default" r:id="rId15"/>
          <w:headerReference w:type="first" r:id="rId16"/>
          <w:footerReference w:type="first" r:id="rId17"/>
          <w:pgSz w:w="12240" w:h="15840"/>
          <w:pgMar w:top="1138" w:right="1181" w:bottom="1138" w:left="1282" w:header="720" w:footer="720" w:gutter="0"/>
          <w:cols w:space="720"/>
          <w:titlePg/>
          <w:docGrid w:linePitch="360"/>
        </w:sectPr>
      </w:pPr>
    </w:p>
    <w:p w14:paraId="58F1AED1" w14:textId="05A51125" w:rsidR="00DE23E8" w:rsidRPr="00856B54" w:rsidRDefault="007245B1" w:rsidP="007245B1">
      <w:pPr>
        <w:keepNext/>
        <w:rPr>
          <w:rFonts w:cs="Times New Roman"/>
          <w:szCs w:val="24"/>
        </w:rPr>
      </w:pPr>
      <w:r w:rsidRPr="0001436A">
        <w:rPr>
          <w:rFonts w:cs="Times New Roman"/>
          <w:b/>
          <w:szCs w:val="24"/>
        </w:rPr>
        <w:lastRenderedPageBreak/>
        <w:t xml:space="preserve">Supplementary </w:t>
      </w:r>
      <w:r>
        <w:rPr>
          <w:rFonts w:cs="Times New Roman"/>
          <w:b/>
          <w:szCs w:val="24"/>
        </w:rPr>
        <w:t xml:space="preserve">Table 2. </w:t>
      </w:r>
      <w:r w:rsidR="00E93B62" w:rsidRPr="00856B54">
        <w:rPr>
          <w:rFonts w:cs="Times New Roman"/>
          <w:szCs w:val="24"/>
        </w:rPr>
        <w:t>Detailed distribution of adverse effects in active and sham tACS groups</w:t>
      </w:r>
    </w:p>
    <w:tbl>
      <w:tblPr>
        <w:tblW w:w="14910" w:type="dxa"/>
        <w:tblInd w:w="-681" w:type="dxa"/>
        <w:tblCellMar>
          <w:left w:w="0" w:type="dxa"/>
          <w:right w:w="0" w:type="dxa"/>
        </w:tblCellMar>
        <w:tblLook w:val="04A0" w:firstRow="1" w:lastRow="0" w:firstColumn="1" w:lastColumn="0" w:noHBand="0" w:noVBand="1"/>
      </w:tblPr>
      <w:tblGrid>
        <w:gridCol w:w="2552"/>
        <w:gridCol w:w="1276"/>
        <w:gridCol w:w="1559"/>
        <w:gridCol w:w="1276"/>
        <w:gridCol w:w="1276"/>
        <w:gridCol w:w="1701"/>
        <w:gridCol w:w="1275"/>
        <w:gridCol w:w="1302"/>
        <w:gridCol w:w="1275"/>
        <w:gridCol w:w="1418"/>
      </w:tblGrid>
      <w:tr w:rsidR="00267BCA" w:rsidRPr="00FD3A0A" w14:paraId="165C8185" w14:textId="1497C4BB" w:rsidTr="008C5631">
        <w:trPr>
          <w:trHeight w:val="375"/>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062032" w14:textId="77777777" w:rsidR="00267BCA" w:rsidRPr="009A0C48" w:rsidRDefault="00267BCA" w:rsidP="009A0C48">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val="en-CH" w:eastAsia="en-CH"/>
              </w:rPr>
              <w:t> </w:t>
            </w:r>
          </w:p>
        </w:tc>
        <w:tc>
          <w:tcPr>
            <w:tcW w:w="41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0DF1EF" w14:textId="0D49B3EB" w:rsidR="00267BCA" w:rsidRPr="009A0C48" w:rsidRDefault="00267BCA"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 xml:space="preserve">Post-active tACS </w:t>
            </w:r>
          </w:p>
        </w:tc>
        <w:tc>
          <w:tcPr>
            <w:tcW w:w="425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73A83" w14:textId="77777777" w:rsidR="00267BCA" w:rsidRPr="009A0C48" w:rsidRDefault="00267BCA"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Post-sham tACS</w:t>
            </w:r>
          </w:p>
        </w:tc>
        <w:tc>
          <w:tcPr>
            <w:tcW w:w="3995" w:type="dxa"/>
            <w:gridSpan w:val="3"/>
            <w:tcBorders>
              <w:top w:val="single" w:sz="8" w:space="0" w:color="000000"/>
              <w:left w:val="single" w:sz="8" w:space="0" w:color="000000"/>
              <w:bottom w:val="single" w:sz="8" w:space="0" w:color="000000"/>
              <w:right w:val="single" w:sz="8" w:space="0" w:color="000000"/>
            </w:tcBorders>
          </w:tcPr>
          <w:p w14:paraId="1D630850" w14:textId="7FA634E4" w:rsidR="00267BCA" w:rsidRPr="00FD3A0A" w:rsidRDefault="00267BCA" w:rsidP="0061713D">
            <w:pPr>
              <w:spacing w:before="0" w:after="160" w:line="256" w:lineRule="auto"/>
              <w:jc w:val="center"/>
              <w:rPr>
                <w:rFonts w:eastAsia="Aptos" w:cs="Times New Roman"/>
                <w:color w:val="000000" w:themeColor="text1"/>
                <w:kern w:val="2"/>
                <w:szCs w:val="24"/>
                <w:lang w:val="fr-FR" w:eastAsia="en-CH"/>
              </w:rPr>
            </w:pPr>
            <w:proofErr w:type="spellStart"/>
            <w:r w:rsidRPr="00FD3A0A">
              <w:rPr>
                <w:rFonts w:eastAsia="Aptos" w:cs="Times New Roman"/>
                <w:color w:val="000000" w:themeColor="text1"/>
                <w:kern w:val="2"/>
                <w:szCs w:val="24"/>
                <w:lang w:val="fr-FR" w:eastAsia="en-CH"/>
              </w:rPr>
              <w:t>Comparison</w:t>
            </w:r>
            <w:proofErr w:type="spellEnd"/>
            <w:r w:rsidRPr="00FD3A0A">
              <w:rPr>
                <w:rFonts w:eastAsia="Aptos" w:cs="Times New Roman"/>
                <w:color w:val="000000" w:themeColor="text1"/>
                <w:kern w:val="2"/>
                <w:szCs w:val="24"/>
                <w:lang w:val="fr-FR" w:eastAsia="en-CH"/>
              </w:rPr>
              <w:t xml:space="preserve"> </w:t>
            </w:r>
            <w:r>
              <w:rPr>
                <w:rFonts w:eastAsia="Aptos" w:cs="Times New Roman"/>
                <w:color w:val="000000" w:themeColor="text1"/>
                <w:kern w:val="2"/>
                <w:szCs w:val="24"/>
                <w:lang w:val="fr-FR" w:eastAsia="en-CH"/>
              </w:rPr>
              <w:br/>
              <w:t>a</w:t>
            </w:r>
            <w:r w:rsidRPr="00FD3A0A">
              <w:rPr>
                <w:rFonts w:eastAsia="Aptos" w:cs="Times New Roman"/>
                <w:color w:val="000000" w:themeColor="text1"/>
                <w:kern w:val="2"/>
                <w:szCs w:val="24"/>
                <w:lang w:val="fr-FR" w:eastAsia="en-CH"/>
              </w:rPr>
              <w:t xml:space="preserve">ctive vs. </w:t>
            </w:r>
            <w:proofErr w:type="spellStart"/>
            <w:r w:rsidRPr="00FD3A0A">
              <w:rPr>
                <w:rFonts w:eastAsia="Aptos" w:cs="Times New Roman"/>
                <w:color w:val="000000" w:themeColor="text1"/>
                <w:kern w:val="2"/>
                <w:szCs w:val="24"/>
                <w:lang w:val="fr-FR" w:eastAsia="en-CH"/>
              </w:rPr>
              <w:t>sham</w:t>
            </w:r>
            <w:proofErr w:type="spellEnd"/>
            <w:r w:rsidRPr="00FD3A0A">
              <w:rPr>
                <w:rFonts w:eastAsia="Aptos" w:cs="Times New Roman"/>
                <w:color w:val="000000" w:themeColor="text1"/>
                <w:kern w:val="2"/>
                <w:szCs w:val="24"/>
                <w:lang w:val="fr-FR" w:eastAsia="en-CH"/>
              </w:rPr>
              <w:t xml:space="preserve"> t</w:t>
            </w:r>
            <w:r>
              <w:rPr>
                <w:rFonts w:eastAsia="Aptos" w:cs="Times New Roman"/>
                <w:color w:val="000000" w:themeColor="text1"/>
                <w:kern w:val="2"/>
                <w:szCs w:val="24"/>
                <w:lang w:val="fr-FR" w:eastAsia="en-CH"/>
              </w:rPr>
              <w:t>ACS</w:t>
            </w:r>
          </w:p>
        </w:tc>
      </w:tr>
      <w:tr w:rsidR="008C5631" w:rsidRPr="009A0C48" w14:paraId="01EC5291" w14:textId="6C255F71" w:rsidTr="008C5631">
        <w:trPr>
          <w:trHeight w:val="375"/>
        </w:trPr>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75E17B31" w14:textId="77777777" w:rsidR="00B82CD0" w:rsidRPr="009A0C48" w:rsidRDefault="00B82CD0" w:rsidP="009A0C48">
            <w:pPr>
              <w:spacing w:before="0" w:after="0"/>
              <w:rPr>
                <w:rFonts w:eastAsia="Times New Roman" w:cs="Times New Roman"/>
                <w:szCs w:val="24"/>
                <w:lang w:val="en-CH" w:eastAsia="en-CH"/>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009A0" w14:textId="77777777" w:rsidR="00B82CD0" w:rsidRPr="009A0C48" w:rsidRDefault="00B82CD0"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 xml:space="preserve">Mild, </w:t>
            </w:r>
            <w:r w:rsidRPr="009A0C48">
              <w:rPr>
                <w:rFonts w:eastAsia="Aptos" w:cs="Times New Roman"/>
                <w:i/>
                <w:iCs/>
                <w:color w:val="000000" w:themeColor="text1"/>
                <w:kern w:val="2"/>
                <w:szCs w:val="24"/>
                <w:lang w:eastAsia="en-CH"/>
              </w:rPr>
              <w:t>n</w:t>
            </w:r>
            <w:r w:rsidRPr="009A0C48">
              <w:rPr>
                <w:rFonts w:eastAsia="Aptos" w:cs="Times New Roman"/>
                <w:color w:val="000000" w:themeColor="text1"/>
                <w:kern w:val="2"/>
                <w:szCs w:val="24"/>
                <w:lang w:eastAsia="en-CH"/>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E1EA9" w14:textId="77777777" w:rsidR="00B82CD0" w:rsidRPr="009A0C48" w:rsidRDefault="00B82CD0"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 xml:space="preserve">Moderate, </w:t>
            </w:r>
            <w:r w:rsidRPr="009A0C48">
              <w:rPr>
                <w:rFonts w:eastAsia="Aptos" w:cs="Times New Roman"/>
                <w:i/>
                <w:iCs/>
                <w:color w:val="000000" w:themeColor="text1"/>
                <w:kern w:val="2"/>
                <w:szCs w:val="24"/>
                <w:lang w:eastAsia="en-CH"/>
              </w:rPr>
              <w:t>n</w:t>
            </w:r>
            <w:r w:rsidRPr="009A0C48">
              <w:rPr>
                <w:rFonts w:eastAsia="Aptos" w:cs="Times New Roman"/>
                <w:color w:val="000000" w:themeColor="text1"/>
                <w:kern w:val="2"/>
                <w:szCs w:val="24"/>
                <w:lang w:eastAsia="en-CH"/>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B0393" w14:textId="77777777" w:rsidR="00B82CD0" w:rsidRPr="009A0C48" w:rsidRDefault="00B82CD0"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val="en-CH" w:eastAsia="en-CH"/>
              </w:rPr>
              <w:t>Severe</w:t>
            </w:r>
            <w:r w:rsidRPr="009A0C48">
              <w:rPr>
                <w:rFonts w:eastAsia="Aptos" w:cs="Times New Roman"/>
                <w:color w:val="000000" w:themeColor="text1"/>
                <w:kern w:val="2"/>
                <w:szCs w:val="24"/>
                <w:lang w:eastAsia="en-CH"/>
              </w:rPr>
              <w:t xml:space="preserve">, </w:t>
            </w:r>
            <w:r w:rsidRPr="009A0C48">
              <w:rPr>
                <w:rFonts w:eastAsia="Aptos" w:cs="Times New Roman"/>
                <w:i/>
                <w:iCs/>
                <w:color w:val="000000" w:themeColor="text1"/>
                <w:kern w:val="2"/>
                <w:szCs w:val="24"/>
                <w:lang w:eastAsia="en-CH"/>
              </w:rPr>
              <w:t>n</w:t>
            </w:r>
            <w:r w:rsidRPr="009A0C48">
              <w:rPr>
                <w:rFonts w:eastAsia="Aptos" w:cs="Times New Roman"/>
                <w:color w:val="000000" w:themeColor="text1"/>
                <w:kern w:val="2"/>
                <w:szCs w:val="24"/>
                <w:lang w:eastAsia="en-CH"/>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4F17F" w14:textId="77777777" w:rsidR="00B82CD0" w:rsidRPr="009A0C48" w:rsidRDefault="00B82CD0"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 xml:space="preserve">Mild, </w:t>
            </w:r>
            <w:r w:rsidRPr="009A0C48">
              <w:rPr>
                <w:rFonts w:eastAsia="Aptos" w:cs="Times New Roman"/>
                <w:i/>
                <w:iCs/>
                <w:color w:val="000000" w:themeColor="text1"/>
                <w:kern w:val="2"/>
                <w:szCs w:val="24"/>
                <w:lang w:eastAsia="en-CH"/>
              </w:rPr>
              <w:t>n</w:t>
            </w:r>
            <w:r w:rsidRPr="009A0C48">
              <w:rPr>
                <w:rFonts w:eastAsia="Aptos" w:cs="Times New Roman"/>
                <w:color w:val="000000" w:themeColor="text1"/>
                <w:kern w:val="2"/>
                <w:szCs w:val="24"/>
                <w:lang w:eastAsia="en-CH"/>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17FD6" w14:textId="77777777" w:rsidR="00B82CD0" w:rsidRPr="009A0C48" w:rsidRDefault="00B82CD0"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Moderate,</w:t>
            </w:r>
            <w:r w:rsidRPr="009A0C48">
              <w:rPr>
                <w:rFonts w:eastAsia="Aptos" w:cs="Times New Roman"/>
                <w:i/>
                <w:iCs/>
                <w:color w:val="000000" w:themeColor="text1"/>
                <w:kern w:val="2"/>
                <w:szCs w:val="24"/>
                <w:lang w:eastAsia="en-CH"/>
              </w:rPr>
              <w:t xml:space="preserve"> n</w:t>
            </w:r>
            <w:r w:rsidRPr="009A0C48">
              <w:rPr>
                <w:rFonts w:eastAsia="Aptos" w:cs="Times New Roman"/>
                <w:color w:val="000000" w:themeColor="text1"/>
                <w:kern w:val="2"/>
                <w:szCs w:val="24"/>
                <w:lang w:eastAsia="en-CH"/>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20166" w14:textId="77777777" w:rsidR="00B82CD0" w:rsidRPr="009A0C48" w:rsidRDefault="00B82CD0" w:rsidP="009A0C48">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 xml:space="preserve">Severe, </w:t>
            </w:r>
            <w:r w:rsidRPr="009A0C48">
              <w:rPr>
                <w:rFonts w:eastAsia="Aptos" w:cs="Times New Roman"/>
                <w:i/>
                <w:iCs/>
                <w:color w:val="000000" w:themeColor="text1"/>
                <w:kern w:val="2"/>
                <w:szCs w:val="24"/>
                <w:lang w:eastAsia="en-CH"/>
              </w:rPr>
              <w:t>n</w:t>
            </w:r>
            <w:r w:rsidRPr="009A0C48">
              <w:rPr>
                <w:rFonts w:eastAsia="Aptos" w:cs="Times New Roman"/>
                <w:color w:val="000000" w:themeColor="text1"/>
                <w:kern w:val="2"/>
                <w:szCs w:val="24"/>
                <w:lang w:eastAsia="en-CH"/>
              </w:rPr>
              <w:t>(%)</w:t>
            </w:r>
          </w:p>
        </w:tc>
        <w:tc>
          <w:tcPr>
            <w:tcW w:w="1302" w:type="dxa"/>
            <w:tcBorders>
              <w:top w:val="single" w:sz="8" w:space="0" w:color="000000"/>
              <w:left w:val="single" w:sz="8" w:space="0" w:color="000000"/>
              <w:bottom w:val="single" w:sz="8" w:space="0" w:color="000000"/>
              <w:right w:val="single" w:sz="8" w:space="0" w:color="000000"/>
            </w:tcBorders>
            <w:vAlign w:val="center"/>
          </w:tcPr>
          <w:p w14:paraId="0FCF3BF6" w14:textId="1BC0BC99" w:rsidR="00B82CD0" w:rsidRPr="0061713D" w:rsidRDefault="00B82CD0" w:rsidP="0061713D">
            <w:pPr>
              <w:spacing w:before="0" w:after="160" w:line="256" w:lineRule="auto"/>
              <w:jc w:val="center"/>
              <w:rPr>
                <w:rFonts w:eastAsia="Times New Roman" w:cs="Times New Roman"/>
                <w:color w:val="000000"/>
                <w:szCs w:val="24"/>
                <w:lang w:eastAsia="fr-FR"/>
              </w:rPr>
            </w:pPr>
            <w:r w:rsidRPr="00FD3A0A">
              <w:rPr>
                <w:rFonts w:eastAsia="Times New Roman" w:cs="Times New Roman"/>
                <w:color w:val="000000"/>
                <w:szCs w:val="24"/>
                <w:lang w:eastAsia="fr-FR"/>
              </w:rPr>
              <w:t>Pearson’s</w:t>
            </w:r>
            <w:r>
              <w:rPr>
                <w:rFonts w:eastAsia="Times New Roman" w:cs="Times New Roman"/>
                <w:color w:val="000000"/>
                <w:szCs w:val="24"/>
                <w:lang w:eastAsia="fr-FR"/>
              </w:rPr>
              <w:br/>
            </w:r>
            <w:r w:rsidRPr="00FD3A0A">
              <w:rPr>
                <w:rFonts w:eastAsia="Times New Roman" w:cs="Times New Roman"/>
                <w:color w:val="000000"/>
                <w:szCs w:val="24"/>
                <w:lang w:eastAsia="fr-FR"/>
              </w:rPr>
              <w:t xml:space="preserve"> Chi square</w:t>
            </w:r>
          </w:p>
        </w:tc>
        <w:tc>
          <w:tcPr>
            <w:tcW w:w="1275" w:type="dxa"/>
            <w:tcBorders>
              <w:top w:val="single" w:sz="8" w:space="0" w:color="000000"/>
              <w:left w:val="single" w:sz="8" w:space="0" w:color="000000"/>
              <w:bottom w:val="single" w:sz="8" w:space="0" w:color="000000"/>
              <w:right w:val="single" w:sz="8" w:space="0" w:color="000000"/>
            </w:tcBorders>
            <w:vAlign w:val="center"/>
          </w:tcPr>
          <w:p w14:paraId="76D4D86A" w14:textId="0EA6BEEB" w:rsidR="00B82CD0" w:rsidRPr="00FD3A0A" w:rsidRDefault="00B82CD0" w:rsidP="0061713D">
            <w:pPr>
              <w:spacing w:before="0" w:after="160" w:line="256" w:lineRule="auto"/>
              <w:jc w:val="center"/>
              <w:rPr>
                <w:rFonts w:eastAsia="Aptos" w:cs="Times New Roman"/>
                <w:color w:val="000000" w:themeColor="text1"/>
                <w:kern w:val="2"/>
                <w:szCs w:val="24"/>
                <w:lang w:eastAsia="en-CH"/>
              </w:rPr>
            </w:pPr>
            <w:r w:rsidRPr="0061713D">
              <w:rPr>
                <w:rFonts w:eastAsia="Aptos" w:cs="Times New Roman"/>
                <w:i/>
                <w:iCs/>
                <w:color w:val="000000" w:themeColor="text1"/>
                <w:kern w:val="2"/>
                <w:szCs w:val="24"/>
                <w:lang w:eastAsia="en-CH"/>
              </w:rPr>
              <w:t>p</w:t>
            </w:r>
            <w:r>
              <w:rPr>
                <w:rFonts w:eastAsia="Aptos" w:cs="Times New Roman"/>
                <w:color w:val="000000" w:themeColor="text1"/>
                <w:kern w:val="2"/>
                <w:szCs w:val="24"/>
                <w:lang w:eastAsia="en-CH"/>
              </w:rPr>
              <w:t xml:space="preserve"> value</w:t>
            </w:r>
          </w:p>
        </w:tc>
        <w:tc>
          <w:tcPr>
            <w:tcW w:w="1418" w:type="dxa"/>
            <w:tcBorders>
              <w:top w:val="single" w:sz="8" w:space="0" w:color="000000"/>
              <w:left w:val="single" w:sz="8" w:space="0" w:color="000000"/>
              <w:bottom w:val="single" w:sz="8" w:space="0" w:color="000000"/>
              <w:right w:val="single" w:sz="8" w:space="0" w:color="000000"/>
            </w:tcBorders>
          </w:tcPr>
          <w:p w14:paraId="70CB65E3" w14:textId="2D9EE65F" w:rsidR="00B82CD0" w:rsidRPr="0061713D" w:rsidRDefault="00236036" w:rsidP="0061713D">
            <w:pPr>
              <w:spacing w:before="0" w:after="160" w:line="256" w:lineRule="auto"/>
              <w:jc w:val="center"/>
              <w:rPr>
                <w:rFonts w:eastAsia="Aptos" w:cs="Times New Roman"/>
                <w:i/>
                <w:iCs/>
                <w:color w:val="000000" w:themeColor="text1"/>
                <w:kern w:val="2"/>
                <w:szCs w:val="24"/>
                <w:lang w:eastAsia="en-CH"/>
              </w:rPr>
            </w:pPr>
            <w:r>
              <w:rPr>
                <w:rFonts w:eastAsia="Aptos" w:cs="Times New Roman"/>
                <w:color w:val="000000" w:themeColor="text1"/>
                <w:kern w:val="2"/>
                <w:szCs w:val="24"/>
                <w:lang w:eastAsia="en-CH"/>
              </w:rPr>
              <w:t>a</w:t>
            </w:r>
            <w:r w:rsidR="00B82CD0" w:rsidRPr="00236036">
              <w:rPr>
                <w:rFonts w:eastAsia="Aptos" w:cs="Times New Roman"/>
                <w:color w:val="000000" w:themeColor="text1"/>
                <w:kern w:val="2"/>
                <w:szCs w:val="24"/>
                <w:lang w:eastAsia="en-CH"/>
              </w:rPr>
              <w:t>djusted</w:t>
            </w:r>
            <w:r w:rsidR="00B82CD0">
              <w:rPr>
                <w:rFonts w:eastAsia="Aptos" w:cs="Times New Roman"/>
                <w:i/>
                <w:iCs/>
                <w:color w:val="000000" w:themeColor="text1"/>
                <w:kern w:val="2"/>
                <w:szCs w:val="24"/>
                <w:lang w:eastAsia="en-CH"/>
              </w:rPr>
              <w:t xml:space="preserve"> </w:t>
            </w:r>
            <w:r w:rsidR="00267055">
              <w:rPr>
                <w:rFonts w:eastAsia="Aptos" w:cs="Times New Roman"/>
                <w:i/>
                <w:iCs/>
                <w:color w:val="000000" w:themeColor="text1"/>
                <w:kern w:val="2"/>
                <w:szCs w:val="24"/>
                <w:lang w:eastAsia="en-CH"/>
              </w:rPr>
              <w:br/>
            </w:r>
            <w:r w:rsidR="00B82CD0">
              <w:rPr>
                <w:rFonts w:eastAsia="Aptos" w:cs="Times New Roman"/>
                <w:i/>
                <w:iCs/>
                <w:color w:val="000000" w:themeColor="text1"/>
                <w:kern w:val="2"/>
                <w:szCs w:val="24"/>
                <w:lang w:eastAsia="en-CH"/>
              </w:rPr>
              <w:t xml:space="preserve">p </w:t>
            </w:r>
            <w:r w:rsidR="00B82CD0" w:rsidRPr="00236036">
              <w:rPr>
                <w:rFonts w:eastAsia="Aptos" w:cs="Times New Roman"/>
                <w:color w:val="000000" w:themeColor="text1"/>
                <w:kern w:val="2"/>
                <w:szCs w:val="24"/>
                <w:lang w:eastAsia="en-CH"/>
              </w:rPr>
              <w:t>value</w:t>
            </w:r>
          </w:p>
        </w:tc>
      </w:tr>
      <w:tr w:rsidR="008C5631" w:rsidRPr="009A0C48" w14:paraId="2A7597E5" w14:textId="6F5C4110" w:rsidTr="008C5631">
        <w:trPr>
          <w:trHeight w:val="177"/>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28341B" w14:textId="77777777" w:rsidR="00B82CD0" w:rsidRPr="009A0C48" w:rsidRDefault="00B82CD0" w:rsidP="009A0C48">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Headache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3DFD3"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13 (16.7)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E62B2"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6 (7.5)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CED40"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val="en-CH"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D69EFF"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8 (15)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E6D69"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3 (5)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827A4"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5D51646E" w14:textId="6AD63B75" w:rsidR="00B82CD0" w:rsidRPr="00FD3A0A" w:rsidRDefault="00B82CD0" w:rsidP="008C5FB4">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0.466</w:t>
            </w:r>
          </w:p>
        </w:tc>
        <w:tc>
          <w:tcPr>
            <w:tcW w:w="1275" w:type="dxa"/>
            <w:tcBorders>
              <w:top w:val="single" w:sz="8" w:space="0" w:color="000000"/>
              <w:left w:val="single" w:sz="8" w:space="0" w:color="000000"/>
              <w:bottom w:val="single" w:sz="8" w:space="0" w:color="000000"/>
              <w:right w:val="single" w:sz="8" w:space="0" w:color="000000"/>
            </w:tcBorders>
            <w:vAlign w:val="center"/>
          </w:tcPr>
          <w:p w14:paraId="554729A5" w14:textId="6A3ABFA0" w:rsidR="00B82CD0" w:rsidRPr="00245AF4" w:rsidRDefault="00B82CD0" w:rsidP="008C5FB4">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0.495</w:t>
            </w:r>
          </w:p>
        </w:tc>
        <w:tc>
          <w:tcPr>
            <w:tcW w:w="1418" w:type="dxa"/>
            <w:tcBorders>
              <w:top w:val="single" w:sz="8" w:space="0" w:color="000000"/>
              <w:left w:val="single" w:sz="8" w:space="0" w:color="000000"/>
              <w:bottom w:val="single" w:sz="8" w:space="0" w:color="000000"/>
              <w:right w:val="single" w:sz="8" w:space="0" w:color="000000"/>
            </w:tcBorders>
          </w:tcPr>
          <w:p w14:paraId="4138F72D" w14:textId="7552D03F" w:rsidR="00B82CD0" w:rsidRPr="00245AF4" w:rsidRDefault="00554C05" w:rsidP="00267BCA">
            <w:pPr>
              <w:spacing w:before="0" w:after="160" w:line="256" w:lineRule="auto"/>
              <w:jc w:val="center"/>
              <w:rPr>
                <w:rFonts w:cs="Times New Roman"/>
                <w:color w:val="000000"/>
                <w:szCs w:val="24"/>
              </w:rPr>
            </w:pPr>
            <w:r w:rsidRPr="00245AF4">
              <w:rPr>
                <w:rFonts w:cs="Times New Roman"/>
                <w:color w:val="000000"/>
                <w:szCs w:val="24"/>
              </w:rPr>
              <w:t>0.61</w:t>
            </w:r>
            <w:r w:rsidR="002F09B9" w:rsidRPr="00245AF4">
              <w:rPr>
                <w:rFonts w:cs="Times New Roman"/>
                <w:color w:val="000000"/>
                <w:szCs w:val="24"/>
              </w:rPr>
              <w:t>4</w:t>
            </w:r>
          </w:p>
        </w:tc>
      </w:tr>
      <w:tr w:rsidR="008C5631" w:rsidRPr="009A0C48" w14:paraId="330F2505" w14:textId="381E5488"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50F372" w14:textId="77777777" w:rsidR="00B82CD0" w:rsidRPr="009A0C48" w:rsidRDefault="00B82CD0" w:rsidP="009A0C48">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Neck pain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852A7"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5 (6.25)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79C6C" w14:textId="13D5F583"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8A736"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3A380"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4 (7.5)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43A04"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 (1.7)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2A775"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5A6A4B6B" w14:textId="277C8A8B" w:rsidR="00B82CD0" w:rsidRPr="00FD3A0A" w:rsidRDefault="00B82CD0" w:rsidP="008C5FB4">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0.649</w:t>
            </w:r>
          </w:p>
        </w:tc>
        <w:tc>
          <w:tcPr>
            <w:tcW w:w="1275" w:type="dxa"/>
            <w:tcBorders>
              <w:top w:val="single" w:sz="8" w:space="0" w:color="000000"/>
              <w:left w:val="single" w:sz="8" w:space="0" w:color="000000"/>
              <w:bottom w:val="single" w:sz="8" w:space="0" w:color="000000"/>
              <w:right w:val="single" w:sz="8" w:space="0" w:color="000000"/>
            </w:tcBorders>
            <w:vAlign w:val="center"/>
          </w:tcPr>
          <w:p w14:paraId="7FDE2AF3" w14:textId="6F798108" w:rsidR="00B82CD0" w:rsidRPr="00245AF4" w:rsidRDefault="00B82CD0" w:rsidP="008C5FB4">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0.421</w:t>
            </w:r>
          </w:p>
        </w:tc>
        <w:tc>
          <w:tcPr>
            <w:tcW w:w="1418" w:type="dxa"/>
            <w:tcBorders>
              <w:top w:val="single" w:sz="8" w:space="0" w:color="000000"/>
              <w:left w:val="single" w:sz="8" w:space="0" w:color="000000"/>
              <w:bottom w:val="single" w:sz="8" w:space="0" w:color="000000"/>
              <w:right w:val="single" w:sz="8" w:space="0" w:color="000000"/>
            </w:tcBorders>
          </w:tcPr>
          <w:p w14:paraId="7E9DC4DD" w14:textId="09998BA4" w:rsidR="00B82CD0" w:rsidRPr="00245AF4" w:rsidRDefault="00267BCA" w:rsidP="00267BCA">
            <w:pPr>
              <w:spacing w:before="0" w:after="160" w:line="256" w:lineRule="auto"/>
              <w:jc w:val="center"/>
              <w:rPr>
                <w:rFonts w:cs="Times New Roman"/>
                <w:color w:val="000000"/>
                <w:szCs w:val="24"/>
              </w:rPr>
            </w:pPr>
            <w:r w:rsidRPr="00245AF4">
              <w:rPr>
                <w:rFonts w:cs="Times New Roman"/>
                <w:color w:val="000000"/>
                <w:szCs w:val="24"/>
              </w:rPr>
              <w:t>0.614</w:t>
            </w:r>
          </w:p>
        </w:tc>
      </w:tr>
      <w:tr w:rsidR="008C5631" w:rsidRPr="009A0C48" w14:paraId="671D7D8B" w14:textId="18F68EE9"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C11D9" w14:textId="77777777" w:rsidR="00B82CD0" w:rsidRPr="009A0C48" w:rsidRDefault="00B82CD0" w:rsidP="009A0C48">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Scalp pain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59449"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18 (21.1)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E6A849"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 (1.3)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2C459"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C35D46"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11 (19.6)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E498E"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4 (5)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8A1A2" w14:textId="77777777" w:rsidR="00B82CD0" w:rsidRPr="009A0C48" w:rsidRDefault="00B82CD0" w:rsidP="008C5FB4">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27EF03B5" w14:textId="32194819" w:rsidR="00B82CD0" w:rsidRPr="00FD3A0A" w:rsidRDefault="00B82CD0" w:rsidP="008C5FB4">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0.250</w:t>
            </w:r>
          </w:p>
        </w:tc>
        <w:tc>
          <w:tcPr>
            <w:tcW w:w="1275" w:type="dxa"/>
            <w:tcBorders>
              <w:top w:val="single" w:sz="8" w:space="0" w:color="000000"/>
              <w:left w:val="single" w:sz="8" w:space="0" w:color="000000"/>
              <w:bottom w:val="single" w:sz="8" w:space="0" w:color="000000"/>
              <w:right w:val="single" w:sz="8" w:space="0" w:color="000000"/>
            </w:tcBorders>
            <w:vAlign w:val="center"/>
          </w:tcPr>
          <w:p w14:paraId="73960398" w14:textId="0351FF86" w:rsidR="00B82CD0" w:rsidRPr="00245AF4" w:rsidRDefault="00B82CD0" w:rsidP="008C5FB4">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0.617</w:t>
            </w:r>
          </w:p>
        </w:tc>
        <w:tc>
          <w:tcPr>
            <w:tcW w:w="1418" w:type="dxa"/>
            <w:tcBorders>
              <w:top w:val="single" w:sz="8" w:space="0" w:color="000000"/>
              <w:left w:val="single" w:sz="8" w:space="0" w:color="000000"/>
              <w:bottom w:val="single" w:sz="8" w:space="0" w:color="000000"/>
              <w:right w:val="single" w:sz="8" w:space="0" w:color="000000"/>
            </w:tcBorders>
          </w:tcPr>
          <w:p w14:paraId="45D54CB2" w14:textId="78DC1258" w:rsidR="00B82CD0" w:rsidRPr="00245AF4" w:rsidRDefault="00267BCA" w:rsidP="00267BCA">
            <w:pPr>
              <w:spacing w:before="0" w:after="160" w:line="256" w:lineRule="auto"/>
              <w:jc w:val="center"/>
              <w:rPr>
                <w:rFonts w:cs="Times New Roman"/>
                <w:color w:val="000000"/>
                <w:szCs w:val="24"/>
              </w:rPr>
            </w:pPr>
            <w:r w:rsidRPr="00245AF4">
              <w:rPr>
                <w:rFonts w:cs="Times New Roman"/>
                <w:color w:val="000000"/>
                <w:szCs w:val="24"/>
              </w:rPr>
              <w:t>0.617</w:t>
            </w:r>
          </w:p>
        </w:tc>
      </w:tr>
      <w:tr w:rsidR="008C5631" w:rsidRPr="009A0C48" w14:paraId="393508D8" w14:textId="67633AB6"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663873" w14:textId="77777777" w:rsidR="00267BCA" w:rsidRPr="009A0C48" w:rsidRDefault="00267BCA" w:rsidP="00267BCA">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Tingling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096C0"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66 (84.2)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43112"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7 (8.8)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B59FA"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87AEE0"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39 (65)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CA628"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8 (14.2)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F441E" w14:textId="123864E8"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4F528010" w14:textId="4C6122B1" w:rsidR="00267BCA" w:rsidRPr="00FD3A0A" w:rsidRDefault="00267BCA" w:rsidP="00267BCA">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8.140</w:t>
            </w:r>
          </w:p>
        </w:tc>
        <w:tc>
          <w:tcPr>
            <w:tcW w:w="1275" w:type="dxa"/>
            <w:tcBorders>
              <w:top w:val="single" w:sz="8" w:space="0" w:color="000000"/>
              <w:left w:val="single" w:sz="8" w:space="0" w:color="000000"/>
              <w:bottom w:val="single" w:sz="8" w:space="0" w:color="000000"/>
              <w:right w:val="single" w:sz="8" w:space="0" w:color="000000"/>
            </w:tcBorders>
            <w:vAlign w:val="center"/>
          </w:tcPr>
          <w:p w14:paraId="39778783" w14:textId="1E86F684"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0.004</w:t>
            </w:r>
          </w:p>
        </w:tc>
        <w:tc>
          <w:tcPr>
            <w:tcW w:w="1418" w:type="dxa"/>
            <w:tcBorders>
              <w:top w:val="single" w:sz="8" w:space="0" w:color="000000"/>
              <w:left w:val="single" w:sz="8" w:space="0" w:color="000000"/>
              <w:bottom w:val="single" w:sz="8" w:space="0" w:color="000000"/>
              <w:right w:val="single" w:sz="8" w:space="0" w:color="000000"/>
            </w:tcBorders>
          </w:tcPr>
          <w:p w14:paraId="64D04609" w14:textId="11013397" w:rsidR="00267BCA" w:rsidRPr="00245AF4" w:rsidRDefault="00267BCA" w:rsidP="00267BCA">
            <w:pPr>
              <w:spacing w:before="0" w:after="160" w:line="256" w:lineRule="auto"/>
              <w:jc w:val="center"/>
              <w:rPr>
                <w:rFonts w:cs="Times New Roman"/>
                <w:b/>
                <w:bCs/>
                <w:color w:val="000000"/>
                <w:szCs w:val="24"/>
              </w:rPr>
            </w:pPr>
            <w:r w:rsidRPr="00245AF4">
              <w:rPr>
                <w:rFonts w:cs="Times New Roman"/>
                <w:b/>
                <w:bCs/>
                <w:color w:val="000000"/>
                <w:szCs w:val="24"/>
              </w:rPr>
              <w:t>0.032</w:t>
            </w:r>
          </w:p>
        </w:tc>
      </w:tr>
      <w:tr w:rsidR="008C5631" w:rsidRPr="009A0C48" w14:paraId="0C700A1A" w14:textId="121893BB"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A1070F" w14:textId="77777777" w:rsidR="00267BCA" w:rsidRPr="009A0C48" w:rsidRDefault="00267BCA" w:rsidP="00267BCA">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Itching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9893F4"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17 (21.25)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70D8C0"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3800D1"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83F4D8"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14 (22.9)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4CEAD"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 (1.7)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982E9"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12672498" w14:textId="6F0F432D" w:rsidR="00267BCA" w:rsidRPr="00FD3A0A" w:rsidRDefault="00267BCA" w:rsidP="00267BCA">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0.452</w:t>
            </w:r>
          </w:p>
        </w:tc>
        <w:tc>
          <w:tcPr>
            <w:tcW w:w="1275" w:type="dxa"/>
            <w:tcBorders>
              <w:top w:val="single" w:sz="8" w:space="0" w:color="000000"/>
              <w:left w:val="single" w:sz="8" w:space="0" w:color="000000"/>
              <w:bottom w:val="single" w:sz="8" w:space="0" w:color="000000"/>
              <w:right w:val="single" w:sz="8" w:space="0" w:color="000000"/>
            </w:tcBorders>
            <w:vAlign w:val="center"/>
          </w:tcPr>
          <w:p w14:paraId="0F499D81" w14:textId="67FD46A8"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0.502</w:t>
            </w:r>
          </w:p>
        </w:tc>
        <w:tc>
          <w:tcPr>
            <w:tcW w:w="1418" w:type="dxa"/>
            <w:tcBorders>
              <w:top w:val="single" w:sz="8" w:space="0" w:color="000000"/>
              <w:left w:val="single" w:sz="8" w:space="0" w:color="000000"/>
              <w:bottom w:val="single" w:sz="8" w:space="0" w:color="000000"/>
              <w:right w:val="single" w:sz="8" w:space="0" w:color="000000"/>
            </w:tcBorders>
          </w:tcPr>
          <w:p w14:paraId="53E8219B" w14:textId="225BBFCB"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cs="Times New Roman"/>
                <w:color w:val="000000"/>
                <w:szCs w:val="24"/>
              </w:rPr>
              <w:t>0.614</w:t>
            </w:r>
          </w:p>
        </w:tc>
      </w:tr>
      <w:tr w:rsidR="008C5631" w:rsidRPr="009A0C48" w14:paraId="7C8D9325" w14:textId="2A57E8E6"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4038AC" w14:textId="77777777" w:rsidR="00267BCA" w:rsidRPr="009A0C48" w:rsidRDefault="00267BCA" w:rsidP="00267BCA">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Burning feeling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B0549"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 (1.3)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6A374"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095C21"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204C"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3FA4B"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604A8"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1B3C23C8" w14:textId="55C412FF" w:rsidR="00267BCA" w:rsidRPr="00FD3A0A" w:rsidRDefault="00267BCA" w:rsidP="00267BCA">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1.005</w:t>
            </w:r>
          </w:p>
        </w:tc>
        <w:tc>
          <w:tcPr>
            <w:tcW w:w="1275" w:type="dxa"/>
            <w:tcBorders>
              <w:top w:val="single" w:sz="8" w:space="0" w:color="000000"/>
              <w:left w:val="single" w:sz="8" w:space="0" w:color="000000"/>
              <w:bottom w:val="single" w:sz="8" w:space="0" w:color="000000"/>
              <w:right w:val="single" w:sz="8" w:space="0" w:color="000000"/>
            </w:tcBorders>
            <w:vAlign w:val="center"/>
          </w:tcPr>
          <w:p w14:paraId="57F8C709" w14:textId="0BE2B84B"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0.316</w:t>
            </w:r>
          </w:p>
        </w:tc>
        <w:tc>
          <w:tcPr>
            <w:tcW w:w="1418" w:type="dxa"/>
            <w:tcBorders>
              <w:top w:val="single" w:sz="8" w:space="0" w:color="000000"/>
              <w:left w:val="single" w:sz="8" w:space="0" w:color="000000"/>
              <w:bottom w:val="single" w:sz="8" w:space="0" w:color="000000"/>
              <w:right w:val="single" w:sz="8" w:space="0" w:color="000000"/>
            </w:tcBorders>
          </w:tcPr>
          <w:p w14:paraId="098E7954" w14:textId="34D98A17" w:rsidR="00267BCA" w:rsidRPr="00245AF4" w:rsidRDefault="00267BCA" w:rsidP="00267BCA">
            <w:pPr>
              <w:spacing w:before="0" w:after="160" w:line="256" w:lineRule="auto"/>
              <w:jc w:val="center"/>
              <w:rPr>
                <w:rFonts w:cs="Times New Roman"/>
                <w:color w:val="000000"/>
                <w:szCs w:val="24"/>
              </w:rPr>
            </w:pPr>
            <w:r w:rsidRPr="00245AF4">
              <w:rPr>
                <w:rFonts w:cs="Times New Roman"/>
                <w:color w:val="000000"/>
                <w:szCs w:val="24"/>
              </w:rPr>
              <w:t>0.614</w:t>
            </w:r>
          </w:p>
        </w:tc>
      </w:tr>
      <w:tr w:rsidR="008C5631" w:rsidRPr="009A0C48" w14:paraId="76EF763E" w14:textId="14760BCB"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2E4DB" w14:textId="77777777" w:rsidR="00267BCA" w:rsidRPr="009A0C48" w:rsidRDefault="00267BCA" w:rsidP="00267BCA">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Skin redness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228D7C"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AA56A"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8A568"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E4EB6"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E8457"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7F0D9"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vAlign w:val="center"/>
          </w:tcPr>
          <w:p w14:paraId="5BFC1BF5" w14:textId="4C31FDCF" w:rsidR="00267BCA" w:rsidRPr="00FD3A0A" w:rsidRDefault="00267BCA" w:rsidP="00267BCA">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7E2970E" w14:textId="34E2DB85"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w:t>
            </w:r>
          </w:p>
        </w:tc>
        <w:tc>
          <w:tcPr>
            <w:tcW w:w="1418" w:type="dxa"/>
            <w:tcBorders>
              <w:top w:val="single" w:sz="8" w:space="0" w:color="000000"/>
              <w:left w:val="single" w:sz="8" w:space="0" w:color="000000"/>
              <w:bottom w:val="single" w:sz="8" w:space="0" w:color="000000"/>
              <w:right w:val="single" w:sz="8" w:space="0" w:color="000000"/>
            </w:tcBorders>
          </w:tcPr>
          <w:p w14:paraId="0FAF1B3A" w14:textId="03C3F08D" w:rsidR="00267BCA" w:rsidRPr="00245AF4" w:rsidRDefault="009D20DD" w:rsidP="00267BCA">
            <w:pPr>
              <w:spacing w:before="0" w:after="160" w:line="256" w:lineRule="auto"/>
              <w:jc w:val="center"/>
              <w:rPr>
                <w:rFonts w:cs="Times New Roman"/>
                <w:color w:val="000000"/>
                <w:szCs w:val="24"/>
              </w:rPr>
            </w:pPr>
            <w:r w:rsidRPr="00245AF4">
              <w:rPr>
                <w:rFonts w:cs="Times New Roman"/>
                <w:color w:val="000000"/>
                <w:szCs w:val="24"/>
              </w:rPr>
              <w:t>-</w:t>
            </w:r>
          </w:p>
        </w:tc>
      </w:tr>
      <w:tr w:rsidR="008C5631" w:rsidRPr="009A0C48" w14:paraId="2C627F06" w14:textId="0543D29B"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981851" w14:textId="77777777" w:rsidR="00267BCA" w:rsidRPr="009A0C48" w:rsidRDefault="00267BCA" w:rsidP="00267BCA">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Sleepiness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9B590"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28 (35.8)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742DC"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14 (17.9)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FCBAF9" w14:textId="1883C23E"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DE67B"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15 (25)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FD89F"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6 (10.8)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620BB"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2 (3.3)</w:t>
            </w:r>
          </w:p>
        </w:tc>
        <w:tc>
          <w:tcPr>
            <w:tcW w:w="1302" w:type="dxa"/>
            <w:tcBorders>
              <w:top w:val="single" w:sz="8" w:space="0" w:color="000000"/>
              <w:left w:val="single" w:sz="8" w:space="0" w:color="000000"/>
              <w:bottom w:val="single" w:sz="8" w:space="0" w:color="000000"/>
              <w:right w:val="single" w:sz="8" w:space="0" w:color="000000"/>
            </w:tcBorders>
          </w:tcPr>
          <w:p w14:paraId="1AB6A00B" w14:textId="7C258EEF" w:rsidR="00267BCA" w:rsidRPr="00FD3A0A" w:rsidRDefault="00267BCA" w:rsidP="00267BCA">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4.522</w:t>
            </w:r>
          </w:p>
        </w:tc>
        <w:tc>
          <w:tcPr>
            <w:tcW w:w="1275" w:type="dxa"/>
            <w:tcBorders>
              <w:top w:val="single" w:sz="8" w:space="0" w:color="000000"/>
              <w:left w:val="single" w:sz="8" w:space="0" w:color="000000"/>
              <w:bottom w:val="single" w:sz="8" w:space="0" w:color="000000"/>
              <w:right w:val="single" w:sz="8" w:space="0" w:color="000000"/>
            </w:tcBorders>
          </w:tcPr>
          <w:p w14:paraId="456219B5" w14:textId="261AA13C"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0.034</w:t>
            </w:r>
          </w:p>
        </w:tc>
        <w:tc>
          <w:tcPr>
            <w:tcW w:w="1418" w:type="dxa"/>
            <w:tcBorders>
              <w:top w:val="single" w:sz="8" w:space="0" w:color="000000"/>
              <w:left w:val="single" w:sz="8" w:space="0" w:color="000000"/>
              <w:bottom w:val="single" w:sz="8" w:space="0" w:color="000000"/>
              <w:right w:val="single" w:sz="8" w:space="0" w:color="000000"/>
            </w:tcBorders>
          </w:tcPr>
          <w:p w14:paraId="15F3437A" w14:textId="7C5FE871" w:rsidR="00267BCA" w:rsidRPr="00245AF4" w:rsidRDefault="00267BCA" w:rsidP="00267BCA">
            <w:pPr>
              <w:spacing w:before="0" w:after="160" w:line="256" w:lineRule="auto"/>
              <w:jc w:val="center"/>
              <w:rPr>
                <w:rFonts w:cs="Times New Roman"/>
                <w:color w:val="000000"/>
                <w:szCs w:val="24"/>
              </w:rPr>
            </w:pPr>
            <w:r w:rsidRPr="00245AF4">
              <w:rPr>
                <w:rFonts w:cs="Times New Roman"/>
                <w:color w:val="000000"/>
                <w:szCs w:val="24"/>
              </w:rPr>
              <w:t>0.136</w:t>
            </w:r>
          </w:p>
        </w:tc>
      </w:tr>
      <w:tr w:rsidR="008C5631" w:rsidRPr="009A0C48" w14:paraId="660135F8" w14:textId="30AE3A29" w:rsidTr="008C5631">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AFE1E5" w14:textId="77777777" w:rsidR="00267BCA" w:rsidRPr="009A0C48" w:rsidRDefault="00267BCA" w:rsidP="00267BCA">
            <w:pPr>
              <w:spacing w:before="0" w:after="160" w:line="256" w:lineRule="auto"/>
              <w:rPr>
                <w:rFonts w:eastAsia="Times New Roman" w:cs="Times New Roman"/>
                <w:szCs w:val="24"/>
                <w:lang w:val="en-CH" w:eastAsia="en-CH"/>
              </w:rPr>
            </w:pPr>
            <w:r w:rsidRPr="009A0C48">
              <w:rPr>
                <w:rFonts w:eastAsia="Aptos" w:cs="Times New Roman"/>
                <w:color w:val="000000" w:themeColor="text1"/>
                <w:kern w:val="2"/>
                <w:szCs w:val="24"/>
                <w:lang w:eastAsia="en-CH"/>
              </w:rPr>
              <w:t>Difficulty concentrating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9EA6E" w14:textId="11BF9393"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25 (31.7)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34871" w14:textId="7D8D3A14"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EDFA8" w14:textId="2DF9FCA4"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70A3F"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16 (26.7)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0E109"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1 (1.7)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6016C" w14:textId="77777777" w:rsidR="00267BCA" w:rsidRPr="009A0C48" w:rsidRDefault="00267BCA" w:rsidP="00267BCA">
            <w:pPr>
              <w:spacing w:before="0" w:after="160" w:line="256" w:lineRule="auto"/>
              <w:jc w:val="center"/>
              <w:rPr>
                <w:rFonts w:eastAsia="Times New Roman" w:cs="Times New Roman"/>
                <w:szCs w:val="24"/>
                <w:lang w:val="en-CH" w:eastAsia="en-CH"/>
              </w:rPr>
            </w:pPr>
            <w:r w:rsidRPr="009A0C48">
              <w:rPr>
                <w:rFonts w:eastAsia="Aptos" w:cs="Times New Roman"/>
                <w:color w:val="000000" w:themeColor="text1"/>
                <w:kern w:val="2"/>
                <w:szCs w:val="24"/>
                <w:lang w:eastAsia="en-CH"/>
              </w:rPr>
              <w:t>0</w:t>
            </w:r>
          </w:p>
        </w:tc>
        <w:tc>
          <w:tcPr>
            <w:tcW w:w="1302" w:type="dxa"/>
            <w:tcBorders>
              <w:top w:val="single" w:sz="8" w:space="0" w:color="000000"/>
              <w:left w:val="single" w:sz="8" w:space="0" w:color="000000"/>
              <w:bottom w:val="single" w:sz="8" w:space="0" w:color="000000"/>
              <w:right w:val="single" w:sz="8" w:space="0" w:color="000000"/>
            </w:tcBorders>
          </w:tcPr>
          <w:p w14:paraId="5119753D" w14:textId="47FBAF91" w:rsidR="00267BCA" w:rsidRPr="00FD3A0A" w:rsidRDefault="00267BCA" w:rsidP="00267BCA">
            <w:pPr>
              <w:spacing w:before="0" w:after="160" w:line="256" w:lineRule="auto"/>
              <w:jc w:val="center"/>
              <w:rPr>
                <w:rFonts w:eastAsia="Aptos" w:cs="Times New Roman"/>
                <w:color w:val="000000" w:themeColor="text1"/>
                <w:kern w:val="2"/>
                <w:szCs w:val="24"/>
                <w:lang w:eastAsia="en-CH"/>
              </w:rPr>
            </w:pPr>
            <w:r>
              <w:rPr>
                <w:rFonts w:eastAsia="Aptos" w:cs="Times New Roman"/>
                <w:color w:val="000000" w:themeColor="text1"/>
                <w:kern w:val="2"/>
                <w:szCs w:val="24"/>
                <w:lang w:eastAsia="en-CH"/>
              </w:rPr>
              <w:t>0.381</w:t>
            </w:r>
          </w:p>
        </w:tc>
        <w:tc>
          <w:tcPr>
            <w:tcW w:w="1275" w:type="dxa"/>
            <w:tcBorders>
              <w:top w:val="single" w:sz="8" w:space="0" w:color="000000"/>
              <w:left w:val="single" w:sz="8" w:space="0" w:color="000000"/>
              <w:bottom w:val="single" w:sz="8" w:space="0" w:color="000000"/>
              <w:right w:val="single" w:sz="8" w:space="0" w:color="000000"/>
            </w:tcBorders>
          </w:tcPr>
          <w:p w14:paraId="7ADCB136" w14:textId="7CBB910B"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eastAsia="Aptos" w:cs="Times New Roman"/>
                <w:color w:val="000000" w:themeColor="text1"/>
                <w:kern w:val="2"/>
                <w:szCs w:val="24"/>
                <w:lang w:eastAsia="en-CH"/>
              </w:rPr>
              <w:t>0.537</w:t>
            </w:r>
          </w:p>
        </w:tc>
        <w:tc>
          <w:tcPr>
            <w:tcW w:w="1418" w:type="dxa"/>
            <w:tcBorders>
              <w:top w:val="single" w:sz="8" w:space="0" w:color="000000"/>
              <w:left w:val="single" w:sz="8" w:space="0" w:color="000000"/>
              <w:bottom w:val="single" w:sz="8" w:space="0" w:color="000000"/>
              <w:right w:val="single" w:sz="8" w:space="0" w:color="000000"/>
            </w:tcBorders>
          </w:tcPr>
          <w:p w14:paraId="26F9F65C" w14:textId="013699B4" w:rsidR="00267BCA" w:rsidRPr="00245AF4" w:rsidRDefault="00267BCA" w:rsidP="00267BCA">
            <w:pPr>
              <w:spacing w:before="0" w:after="160" w:line="256" w:lineRule="auto"/>
              <w:jc w:val="center"/>
              <w:rPr>
                <w:rFonts w:eastAsia="Aptos" w:cs="Times New Roman"/>
                <w:color w:val="000000" w:themeColor="text1"/>
                <w:kern w:val="2"/>
                <w:szCs w:val="24"/>
                <w:lang w:eastAsia="en-CH"/>
              </w:rPr>
            </w:pPr>
            <w:r w:rsidRPr="00245AF4">
              <w:rPr>
                <w:rFonts w:cs="Times New Roman"/>
                <w:color w:val="000000"/>
                <w:szCs w:val="24"/>
              </w:rPr>
              <w:t>0.614</w:t>
            </w:r>
          </w:p>
        </w:tc>
      </w:tr>
    </w:tbl>
    <w:p w14:paraId="665029E3" w14:textId="2E50FA71" w:rsidR="00F7286A" w:rsidRDefault="00F7286A" w:rsidP="00654E8F">
      <w:pPr>
        <w:spacing w:before="240"/>
      </w:pPr>
    </w:p>
    <w:p w14:paraId="1E7AF4B1" w14:textId="77777777" w:rsidR="005635BE" w:rsidRDefault="005635BE" w:rsidP="00654E8F">
      <w:pPr>
        <w:spacing w:before="240"/>
      </w:pPr>
    </w:p>
    <w:p w14:paraId="1ADF8280" w14:textId="77777777" w:rsidR="00012035" w:rsidRDefault="00012035" w:rsidP="00654E8F">
      <w:pPr>
        <w:spacing w:before="240"/>
      </w:pPr>
    </w:p>
    <w:p w14:paraId="61344702" w14:textId="77777777" w:rsidR="0060466C" w:rsidRDefault="0060466C" w:rsidP="00654E8F">
      <w:pPr>
        <w:spacing w:before="240"/>
      </w:pPr>
    </w:p>
    <w:p w14:paraId="7583114F" w14:textId="77777777" w:rsidR="0060466C" w:rsidRDefault="0060466C" w:rsidP="00654E8F">
      <w:pPr>
        <w:spacing w:before="240"/>
        <w:sectPr w:rsidR="0060466C" w:rsidSect="002C12F9">
          <w:pgSz w:w="15840" w:h="12240" w:orient="landscape"/>
          <w:pgMar w:top="1282" w:right="1138" w:bottom="1181" w:left="1138" w:header="720" w:footer="720" w:gutter="0"/>
          <w:cols w:space="720"/>
          <w:docGrid w:linePitch="360"/>
        </w:sectPr>
      </w:pPr>
    </w:p>
    <w:p w14:paraId="7DA15F04" w14:textId="3AA2581D" w:rsidR="00A91636" w:rsidRPr="00E06F2F" w:rsidRDefault="0060466C" w:rsidP="0060466C">
      <w:pPr>
        <w:jc w:val="both"/>
        <w:rPr>
          <w:rFonts w:cs="Times New Roman"/>
          <w:bCs/>
          <w:szCs w:val="24"/>
        </w:rPr>
      </w:pPr>
      <w:r w:rsidRPr="00E06F2F">
        <w:rPr>
          <w:rFonts w:cs="Times New Roman"/>
          <w:b/>
          <w:szCs w:val="24"/>
        </w:rPr>
        <w:lastRenderedPageBreak/>
        <w:t xml:space="preserve">Supplementary Table 3. </w:t>
      </w:r>
      <w:r w:rsidR="00481658" w:rsidRPr="00E06F2F">
        <w:rPr>
          <w:rFonts w:cs="Times New Roman"/>
          <w:bCs/>
          <w:szCs w:val="24"/>
        </w:rPr>
        <w:t>Number</w:t>
      </w:r>
      <w:r w:rsidR="00105F93" w:rsidRPr="00E06F2F">
        <w:rPr>
          <w:rFonts w:cs="Times New Roman"/>
          <w:bCs/>
          <w:szCs w:val="24"/>
        </w:rPr>
        <w:t xml:space="preserve"> of completed, incomplete</w:t>
      </w:r>
      <w:r w:rsidR="00C24D4A" w:rsidRPr="00E06F2F">
        <w:rPr>
          <w:rFonts w:cs="Times New Roman"/>
          <w:bCs/>
          <w:szCs w:val="24"/>
        </w:rPr>
        <w:t>,</w:t>
      </w:r>
      <w:r w:rsidR="00105F93" w:rsidRPr="00E06F2F">
        <w:rPr>
          <w:rFonts w:cs="Times New Roman"/>
          <w:bCs/>
          <w:szCs w:val="24"/>
        </w:rPr>
        <w:t xml:space="preserve"> and missed sessions across the 20 </w:t>
      </w:r>
      <w:proofErr w:type="gramStart"/>
      <w:r w:rsidR="00105F93" w:rsidRPr="00E06F2F">
        <w:rPr>
          <w:rFonts w:cs="Times New Roman"/>
          <w:bCs/>
          <w:szCs w:val="24"/>
        </w:rPr>
        <w:t>active</w:t>
      </w:r>
      <w:proofErr w:type="gramEnd"/>
      <w:r w:rsidR="00105F93" w:rsidRPr="00E06F2F">
        <w:rPr>
          <w:rFonts w:cs="Times New Roman"/>
          <w:bCs/>
          <w:szCs w:val="24"/>
        </w:rPr>
        <w:t xml:space="preserve"> vs. sham tACS sessions per participant.</w:t>
      </w:r>
    </w:p>
    <w:tbl>
      <w:tblPr>
        <w:tblpPr w:leftFromText="180" w:rightFromText="180" w:vertAnchor="page" w:horzAnchor="margin" w:tblpXSpec="center" w:tblpY="2284"/>
        <w:tblW w:w="7939" w:type="dxa"/>
        <w:tblCellMar>
          <w:left w:w="0" w:type="dxa"/>
          <w:right w:w="0" w:type="dxa"/>
        </w:tblCellMar>
        <w:tblLook w:val="04A0" w:firstRow="1" w:lastRow="0" w:firstColumn="1" w:lastColumn="0" w:noHBand="0" w:noVBand="1"/>
      </w:tblPr>
      <w:tblGrid>
        <w:gridCol w:w="1277"/>
        <w:gridCol w:w="841"/>
        <w:gridCol w:w="1852"/>
        <w:gridCol w:w="1985"/>
        <w:gridCol w:w="1984"/>
      </w:tblGrid>
      <w:tr w:rsidR="008E4E15" w:rsidRPr="00B42B3A" w14:paraId="05F9D5E8" w14:textId="77777777" w:rsidTr="008E4E15">
        <w:trPr>
          <w:trHeight w:val="416"/>
        </w:trPr>
        <w:tc>
          <w:tcPr>
            <w:tcW w:w="1277" w:type="dxa"/>
            <w:tcBorders>
              <w:top w:val="single" w:sz="8" w:space="0" w:color="000000"/>
              <w:left w:val="single" w:sz="8" w:space="0" w:color="000000"/>
              <w:bottom w:val="single" w:sz="8" w:space="0" w:color="000000"/>
              <w:right w:val="single" w:sz="8" w:space="0" w:color="000000"/>
            </w:tcBorders>
          </w:tcPr>
          <w:p w14:paraId="78402E7F" w14:textId="77777777" w:rsidR="008E4E15" w:rsidRDefault="008E4E15" w:rsidP="008E4E15">
            <w:pPr>
              <w:spacing w:before="0" w:after="160" w:line="256" w:lineRule="auto"/>
              <w:jc w:val="both"/>
              <w:rPr>
                <w:rFonts w:eastAsia="Times New Roman" w:cs="Times New Roman"/>
                <w:color w:val="000000" w:themeColor="text1"/>
                <w:szCs w:val="24"/>
                <w:lang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44AF47" w14:textId="77777777" w:rsidR="008E4E15" w:rsidRDefault="008E4E15" w:rsidP="008E4E15">
            <w:pPr>
              <w:spacing w:before="0" w:after="160" w:line="256" w:lineRule="auto"/>
              <w:jc w:val="both"/>
              <w:rPr>
                <w:rFonts w:eastAsia="Times New Roman" w:cs="Times New Roman"/>
                <w:color w:val="000000" w:themeColor="text1"/>
                <w:szCs w:val="24"/>
                <w:lang w:eastAsia="en-CH"/>
              </w:rPr>
            </w:pPr>
          </w:p>
        </w:tc>
        <w:tc>
          <w:tcPr>
            <w:tcW w:w="58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051B6C" w14:textId="77777777" w:rsidR="008E4E15"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 xml:space="preserve">Across the 20 active or sham tACS sessions </w:t>
            </w:r>
          </w:p>
        </w:tc>
      </w:tr>
      <w:tr w:rsidR="008E4E15" w:rsidRPr="00B42B3A" w14:paraId="354DCD9F" w14:textId="77777777" w:rsidTr="008E4E15">
        <w:trPr>
          <w:trHeight w:val="416"/>
        </w:trPr>
        <w:tc>
          <w:tcPr>
            <w:tcW w:w="1277" w:type="dxa"/>
            <w:tcBorders>
              <w:top w:val="single" w:sz="8" w:space="0" w:color="000000"/>
              <w:left w:val="single" w:sz="8" w:space="0" w:color="000000"/>
              <w:bottom w:val="single" w:sz="8" w:space="0" w:color="000000"/>
              <w:right w:val="single" w:sz="8" w:space="0" w:color="000000"/>
            </w:tcBorders>
          </w:tcPr>
          <w:p w14:paraId="5C8FC653" w14:textId="77777777" w:rsidR="008E4E15" w:rsidRDefault="008E4E15" w:rsidP="008E4E15">
            <w:pPr>
              <w:spacing w:before="0" w:after="160" w:line="256" w:lineRule="auto"/>
              <w:jc w:val="both"/>
              <w:rPr>
                <w:rFonts w:eastAsia="Times New Roman" w:cs="Times New Roman"/>
                <w:color w:val="000000" w:themeColor="text1"/>
                <w:szCs w:val="24"/>
                <w:lang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B83BF7" w14:textId="77777777" w:rsidR="008E4E15" w:rsidRPr="00B42B3A" w:rsidRDefault="008E4E15" w:rsidP="008E4E15">
            <w:pPr>
              <w:spacing w:before="0" w:after="160" w:line="256" w:lineRule="auto"/>
              <w:jc w:val="both"/>
              <w:rPr>
                <w:rFonts w:eastAsia="Times New Roman" w:cs="Times New Roman"/>
                <w:szCs w:val="24"/>
                <w:lang w:val="en-CH" w:eastAsia="en-CH"/>
              </w:rPr>
            </w:pPr>
            <w:r>
              <w:rPr>
                <w:rFonts w:eastAsia="Times New Roman" w:cs="Times New Roman"/>
                <w:color w:val="000000" w:themeColor="text1"/>
                <w:szCs w:val="24"/>
                <w:lang w:eastAsia="en-CH"/>
              </w:rPr>
              <w:t>Case</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E13617"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 xml:space="preserve">Completed </w:t>
            </w:r>
            <w:r w:rsidRPr="00A2221E">
              <w:rPr>
                <w:rFonts w:eastAsia="Times New Roman" w:cs="Times New Roman"/>
                <w:color w:val="000000" w:themeColor="text1"/>
                <w:szCs w:val="24"/>
                <w:lang w:eastAsia="en-CH"/>
              </w:rPr>
              <w:t> </w:t>
            </w:r>
          </w:p>
        </w:tc>
        <w:tc>
          <w:tcPr>
            <w:tcW w:w="1985" w:type="dxa"/>
            <w:tcBorders>
              <w:top w:val="single" w:sz="8" w:space="0" w:color="000000"/>
              <w:left w:val="single" w:sz="8" w:space="0" w:color="000000"/>
              <w:bottom w:val="single" w:sz="8" w:space="0" w:color="000000"/>
              <w:right w:val="single" w:sz="8" w:space="0" w:color="000000"/>
            </w:tcBorders>
          </w:tcPr>
          <w:p w14:paraId="1AE4F583" w14:textId="77777777" w:rsidR="008E4E15"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Incomplete</w:t>
            </w:r>
          </w:p>
        </w:tc>
        <w:tc>
          <w:tcPr>
            <w:tcW w:w="1984" w:type="dxa"/>
            <w:tcBorders>
              <w:top w:val="single" w:sz="8" w:space="0" w:color="000000"/>
              <w:left w:val="single" w:sz="8" w:space="0" w:color="000000"/>
              <w:bottom w:val="single" w:sz="8" w:space="0" w:color="000000"/>
              <w:right w:val="single" w:sz="8" w:space="0" w:color="000000"/>
            </w:tcBorders>
          </w:tcPr>
          <w:p w14:paraId="5CAB5E4E" w14:textId="77777777" w:rsidR="008E4E15"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Missed</w:t>
            </w:r>
          </w:p>
        </w:tc>
      </w:tr>
      <w:tr w:rsidR="008E4E15" w:rsidRPr="00B42B3A" w14:paraId="55C9C957" w14:textId="77777777" w:rsidTr="008E4E15">
        <w:tc>
          <w:tcPr>
            <w:tcW w:w="1277" w:type="dxa"/>
            <w:vMerge w:val="restart"/>
            <w:tcBorders>
              <w:top w:val="single" w:sz="8" w:space="0" w:color="000000"/>
              <w:left w:val="single" w:sz="8" w:space="0" w:color="000000"/>
              <w:right w:val="single" w:sz="8" w:space="0" w:color="000000"/>
            </w:tcBorders>
            <w:vAlign w:val="center"/>
          </w:tcPr>
          <w:p w14:paraId="04D62D33" w14:textId="77777777" w:rsidR="008E4E15"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Active</w:t>
            </w:r>
            <w:r>
              <w:rPr>
                <w:rFonts w:eastAsia="Times New Roman" w:cs="Times New Roman"/>
                <w:szCs w:val="24"/>
                <w:lang w:val="en-CH" w:eastAsia="en-CH"/>
              </w:rPr>
              <w:br/>
              <w:t xml:space="preserve"> tACS </w:t>
            </w:r>
            <w:r>
              <w:rPr>
                <w:rFonts w:eastAsia="Times New Roman" w:cs="Times New Roman"/>
                <w:szCs w:val="24"/>
                <w:lang w:val="en-CH" w:eastAsia="en-CH"/>
              </w:rPr>
              <w:br/>
              <w:t>group</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0A83D"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2F42A"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20</w:t>
            </w:r>
          </w:p>
        </w:tc>
        <w:tc>
          <w:tcPr>
            <w:tcW w:w="1985" w:type="dxa"/>
            <w:tcBorders>
              <w:top w:val="single" w:sz="8" w:space="0" w:color="000000"/>
              <w:left w:val="single" w:sz="8" w:space="0" w:color="000000"/>
              <w:bottom w:val="single" w:sz="8" w:space="0" w:color="000000"/>
              <w:right w:val="single" w:sz="8" w:space="0" w:color="000000"/>
            </w:tcBorders>
            <w:vAlign w:val="center"/>
          </w:tcPr>
          <w:p w14:paraId="67ADDE73"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0</w:t>
            </w:r>
          </w:p>
        </w:tc>
        <w:tc>
          <w:tcPr>
            <w:tcW w:w="1984" w:type="dxa"/>
            <w:tcBorders>
              <w:top w:val="single" w:sz="8" w:space="0" w:color="000000"/>
              <w:left w:val="single" w:sz="8" w:space="0" w:color="000000"/>
              <w:bottom w:val="single" w:sz="8" w:space="0" w:color="000000"/>
              <w:right w:val="single" w:sz="8" w:space="0" w:color="000000"/>
            </w:tcBorders>
            <w:vAlign w:val="center"/>
          </w:tcPr>
          <w:p w14:paraId="143BD0E6"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0</w:t>
            </w:r>
          </w:p>
        </w:tc>
      </w:tr>
      <w:tr w:rsidR="008E4E15" w:rsidRPr="00B42B3A" w14:paraId="5420299A" w14:textId="77777777" w:rsidTr="008E4E15">
        <w:trPr>
          <w:trHeight w:val="63"/>
        </w:trPr>
        <w:tc>
          <w:tcPr>
            <w:tcW w:w="1277" w:type="dxa"/>
            <w:vMerge/>
            <w:tcBorders>
              <w:left w:val="single" w:sz="8" w:space="0" w:color="000000"/>
              <w:right w:val="single" w:sz="8" w:space="0" w:color="000000"/>
            </w:tcBorders>
          </w:tcPr>
          <w:p w14:paraId="393DFAE1" w14:textId="77777777" w:rsidR="008E4E15" w:rsidRDefault="008E4E15" w:rsidP="008E4E15">
            <w:pPr>
              <w:spacing w:before="0" w:after="160" w:line="256" w:lineRule="auto"/>
              <w:rPr>
                <w:rFonts w:eastAsia="Times New Roman" w:cs="Times New Roman"/>
                <w:szCs w:val="24"/>
                <w:lang w:val="en-CH"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CE4F46"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C3F97D"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20</w:t>
            </w:r>
          </w:p>
        </w:tc>
        <w:tc>
          <w:tcPr>
            <w:tcW w:w="1985" w:type="dxa"/>
            <w:tcBorders>
              <w:top w:val="single" w:sz="8" w:space="0" w:color="000000"/>
              <w:left w:val="single" w:sz="8" w:space="0" w:color="000000"/>
              <w:bottom w:val="single" w:sz="8" w:space="0" w:color="000000"/>
              <w:right w:val="single" w:sz="8" w:space="0" w:color="000000"/>
            </w:tcBorders>
            <w:vAlign w:val="center"/>
          </w:tcPr>
          <w:p w14:paraId="6B46E7B4"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0</w:t>
            </w:r>
          </w:p>
        </w:tc>
        <w:tc>
          <w:tcPr>
            <w:tcW w:w="1984" w:type="dxa"/>
            <w:tcBorders>
              <w:top w:val="single" w:sz="8" w:space="0" w:color="000000"/>
              <w:left w:val="single" w:sz="8" w:space="0" w:color="000000"/>
              <w:bottom w:val="single" w:sz="8" w:space="0" w:color="000000"/>
              <w:right w:val="single" w:sz="8" w:space="0" w:color="000000"/>
            </w:tcBorders>
            <w:vAlign w:val="center"/>
          </w:tcPr>
          <w:p w14:paraId="1A33E68B"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0</w:t>
            </w:r>
          </w:p>
        </w:tc>
      </w:tr>
      <w:tr w:rsidR="008E4E15" w:rsidRPr="00B42B3A" w14:paraId="45B5763C" w14:textId="77777777" w:rsidTr="008E4E15">
        <w:trPr>
          <w:trHeight w:val="63"/>
        </w:trPr>
        <w:tc>
          <w:tcPr>
            <w:tcW w:w="1277" w:type="dxa"/>
            <w:vMerge/>
            <w:tcBorders>
              <w:left w:val="single" w:sz="8" w:space="0" w:color="000000"/>
              <w:right w:val="single" w:sz="8" w:space="0" w:color="000000"/>
            </w:tcBorders>
          </w:tcPr>
          <w:p w14:paraId="70E8E13E" w14:textId="77777777" w:rsidR="008E4E15" w:rsidRDefault="008E4E15" w:rsidP="008E4E15">
            <w:pPr>
              <w:spacing w:before="0" w:after="160" w:line="256" w:lineRule="auto"/>
              <w:rPr>
                <w:rFonts w:eastAsia="Times New Roman" w:cs="Times New Roman"/>
                <w:szCs w:val="24"/>
                <w:lang w:val="en-CH"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601BC"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D46AA"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17</w:t>
            </w:r>
          </w:p>
        </w:tc>
        <w:tc>
          <w:tcPr>
            <w:tcW w:w="1985" w:type="dxa"/>
            <w:tcBorders>
              <w:top w:val="single" w:sz="8" w:space="0" w:color="000000"/>
              <w:left w:val="single" w:sz="8" w:space="0" w:color="000000"/>
              <w:bottom w:val="single" w:sz="8" w:space="0" w:color="000000"/>
              <w:right w:val="single" w:sz="8" w:space="0" w:color="000000"/>
            </w:tcBorders>
            <w:vAlign w:val="center"/>
          </w:tcPr>
          <w:p w14:paraId="139CB889"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1</w:t>
            </w:r>
          </w:p>
        </w:tc>
        <w:tc>
          <w:tcPr>
            <w:tcW w:w="1984" w:type="dxa"/>
            <w:tcBorders>
              <w:top w:val="single" w:sz="8" w:space="0" w:color="000000"/>
              <w:left w:val="single" w:sz="8" w:space="0" w:color="000000"/>
              <w:bottom w:val="single" w:sz="8" w:space="0" w:color="000000"/>
              <w:right w:val="single" w:sz="8" w:space="0" w:color="000000"/>
            </w:tcBorders>
            <w:vAlign w:val="center"/>
          </w:tcPr>
          <w:p w14:paraId="7E600BE6"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color w:val="000000" w:themeColor="text1"/>
                <w:szCs w:val="24"/>
                <w:lang w:eastAsia="en-CH"/>
              </w:rPr>
              <w:t>2</w:t>
            </w:r>
          </w:p>
        </w:tc>
      </w:tr>
      <w:tr w:rsidR="008E4E15" w:rsidRPr="00B42B3A" w14:paraId="46886A00" w14:textId="77777777" w:rsidTr="008E4E15">
        <w:tc>
          <w:tcPr>
            <w:tcW w:w="1277" w:type="dxa"/>
            <w:vMerge/>
            <w:tcBorders>
              <w:left w:val="single" w:sz="8" w:space="0" w:color="000000"/>
              <w:bottom w:val="single" w:sz="8" w:space="0" w:color="000000"/>
              <w:right w:val="single" w:sz="8" w:space="0" w:color="000000"/>
            </w:tcBorders>
          </w:tcPr>
          <w:p w14:paraId="5D85A30D" w14:textId="77777777" w:rsidR="008E4E15" w:rsidRDefault="008E4E15" w:rsidP="008E4E15">
            <w:pPr>
              <w:spacing w:before="0" w:after="160" w:line="256" w:lineRule="auto"/>
              <w:rPr>
                <w:rFonts w:eastAsia="Times New Roman" w:cs="Times New Roman"/>
                <w:szCs w:val="24"/>
                <w:lang w:val="en-CH"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D1FF5"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4FEBF8" w14:textId="77777777" w:rsidR="008E4E15" w:rsidRPr="00B42B3A" w:rsidRDefault="008E4E15" w:rsidP="008E4E15">
            <w:pPr>
              <w:spacing w:before="0" w:after="0"/>
              <w:jc w:val="center"/>
              <w:rPr>
                <w:rFonts w:eastAsia="Times New Roman" w:cs="Times New Roman"/>
                <w:szCs w:val="24"/>
                <w:lang w:val="en-CH" w:eastAsia="en-CH"/>
              </w:rPr>
            </w:pPr>
            <w:r>
              <w:rPr>
                <w:rFonts w:eastAsia="Times New Roman" w:cs="Times New Roman"/>
                <w:szCs w:val="24"/>
                <w:lang w:val="en-CH" w:eastAsia="en-CH"/>
              </w:rPr>
              <w:t>20</w:t>
            </w:r>
          </w:p>
        </w:tc>
        <w:tc>
          <w:tcPr>
            <w:tcW w:w="1985" w:type="dxa"/>
            <w:tcBorders>
              <w:top w:val="single" w:sz="8" w:space="0" w:color="000000"/>
              <w:left w:val="single" w:sz="8" w:space="0" w:color="000000"/>
              <w:bottom w:val="single" w:sz="8" w:space="0" w:color="000000"/>
              <w:right w:val="single" w:sz="8" w:space="0" w:color="000000"/>
            </w:tcBorders>
            <w:vAlign w:val="center"/>
          </w:tcPr>
          <w:p w14:paraId="471C6D93" w14:textId="77777777" w:rsidR="008E4E15" w:rsidRPr="00B42B3A" w:rsidRDefault="008E4E15" w:rsidP="008E4E15">
            <w:pPr>
              <w:spacing w:before="0" w:after="0"/>
              <w:jc w:val="center"/>
              <w:rPr>
                <w:rFonts w:eastAsia="Times New Roman" w:cs="Times New Roman"/>
                <w:szCs w:val="24"/>
                <w:lang w:val="en-CH" w:eastAsia="en-CH"/>
              </w:rPr>
            </w:pPr>
            <w:r>
              <w:rPr>
                <w:rFonts w:eastAsia="Times New Roman" w:cs="Times New Roman"/>
                <w:szCs w:val="24"/>
                <w:lang w:val="en-CH" w:eastAsia="en-CH"/>
              </w:rPr>
              <w:t>0</w:t>
            </w:r>
          </w:p>
        </w:tc>
        <w:tc>
          <w:tcPr>
            <w:tcW w:w="1984" w:type="dxa"/>
            <w:tcBorders>
              <w:top w:val="single" w:sz="8" w:space="0" w:color="000000"/>
              <w:left w:val="single" w:sz="8" w:space="0" w:color="000000"/>
              <w:bottom w:val="single" w:sz="8" w:space="0" w:color="000000"/>
              <w:right w:val="single" w:sz="8" w:space="0" w:color="000000"/>
            </w:tcBorders>
            <w:vAlign w:val="center"/>
          </w:tcPr>
          <w:p w14:paraId="28A46A22" w14:textId="77777777" w:rsidR="008E4E15" w:rsidRPr="00B42B3A" w:rsidRDefault="008E4E15" w:rsidP="008E4E15">
            <w:pPr>
              <w:spacing w:before="0" w:after="0"/>
              <w:jc w:val="center"/>
              <w:rPr>
                <w:rFonts w:eastAsia="Times New Roman" w:cs="Times New Roman"/>
                <w:szCs w:val="24"/>
                <w:lang w:val="en-CH" w:eastAsia="en-CH"/>
              </w:rPr>
            </w:pPr>
            <w:r>
              <w:rPr>
                <w:rFonts w:eastAsia="Times New Roman" w:cs="Times New Roman"/>
                <w:szCs w:val="24"/>
                <w:lang w:val="en-CH" w:eastAsia="en-CH"/>
              </w:rPr>
              <w:t>0</w:t>
            </w:r>
          </w:p>
        </w:tc>
      </w:tr>
      <w:tr w:rsidR="008E4E15" w:rsidRPr="00B42B3A" w14:paraId="77496C39" w14:textId="77777777" w:rsidTr="008E4E15">
        <w:tc>
          <w:tcPr>
            <w:tcW w:w="1277" w:type="dxa"/>
            <w:vMerge w:val="restart"/>
            <w:tcBorders>
              <w:top w:val="single" w:sz="8" w:space="0" w:color="000000"/>
              <w:left w:val="single" w:sz="8" w:space="0" w:color="000000"/>
              <w:right w:val="single" w:sz="8" w:space="0" w:color="000000"/>
            </w:tcBorders>
            <w:vAlign w:val="center"/>
          </w:tcPr>
          <w:p w14:paraId="7A575F0F" w14:textId="77777777" w:rsidR="008E4E15" w:rsidRPr="00B42B3A" w:rsidRDefault="008E4E15" w:rsidP="008E4E15">
            <w:pPr>
              <w:spacing w:before="0" w:after="160" w:line="256" w:lineRule="auto"/>
              <w:jc w:val="center"/>
              <w:rPr>
                <w:rFonts w:eastAsia="Times New Roman" w:cs="Times New Roman"/>
                <w:color w:val="000000" w:themeColor="text1"/>
                <w:szCs w:val="24"/>
                <w:lang w:eastAsia="en-CH"/>
              </w:rPr>
            </w:pPr>
            <w:r>
              <w:rPr>
                <w:rFonts w:eastAsia="Times New Roman" w:cs="Times New Roman"/>
                <w:szCs w:val="24"/>
                <w:lang w:val="en-CH" w:eastAsia="en-CH"/>
              </w:rPr>
              <w:t>Sham</w:t>
            </w:r>
            <w:r>
              <w:rPr>
                <w:rFonts w:eastAsia="Times New Roman" w:cs="Times New Roman"/>
                <w:szCs w:val="24"/>
                <w:lang w:val="en-CH" w:eastAsia="en-CH"/>
              </w:rPr>
              <w:br/>
              <w:t xml:space="preserve">tACS </w:t>
            </w:r>
            <w:r>
              <w:rPr>
                <w:rFonts w:eastAsia="Times New Roman" w:cs="Times New Roman"/>
                <w:szCs w:val="24"/>
                <w:lang w:val="en-CH" w:eastAsia="en-CH"/>
              </w:rPr>
              <w:br/>
              <w:t>group</w:t>
            </w: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E6B338"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5</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762D0F"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20</w:t>
            </w:r>
          </w:p>
        </w:tc>
        <w:tc>
          <w:tcPr>
            <w:tcW w:w="1985" w:type="dxa"/>
            <w:tcBorders>
              <w:top w:val="single" w:sz="8" w:space="0" w:color="000000"/>
              <w:left w:val="single" w:sz="8" w:space="0" w:color="000000"/>
              <w:bottom w:val="single" w:sz="8" w:space="0" w:color="000000"/>
              <w:right w:val="single" w:sz="8" w:space="0" w:color="000000"/>
            </w:tcBorders>
            <w:vAlign w:val="center"/>
          </w:tcPr>
          <w:p w14:paraId="4DAB5763"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0</w:t>
            </w:r>
          </w:p>
        </w:tc>
        <w:tc>
          <w:tcPr>
            <w:tcW w:w="1984" w:type="dxa"/>
            <w:tcBorders>
              <w:top w:val="single" w:sz="8" w:space="0" w:color="000000"/>
              <w:left w:val="single" w:sz="8" w:space="0" w:color="000000"/>
              <w:bottom w:val="single" w:sz="8" w:space="0" w:color="000000"/>
              <w:right w:val="single" w:sz="8" w:space="0" w:color="000000"/>
            </w:tcBorders>
            <w:vAlign w:val="center"/>
          </w:tcPr>
          <w:p w14:paraId="414460FC"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0</w:t>
            </w:r>
          </w:p>
        </w:tc>
      </w:tr>
      <w:tr w:rsidR="008E4E15" w:rsidRPr="00B42B3A" w14:paraId="7D60AAE9" w14:textId="77777777" w:rsidTr="008E4E15">
        <w:tc>
          <w:tcPr>
            <w:tcW w:w="1277" w:type="dxa"/>
            <w:vMerge/>
            <w:tcBorders>
              <w:left w:val="single" w:sz="8" w:space="0" w:color="000000"/>
              <w:right w:val="single" w:sz="8" w:space="0" w:color="000000"/>
            </w:tcBorders>
          </w:tcPr>
          <w:p w14:paraId="56C9CE40" w14:textId="77777777" w:rsidR="008E4E15" w:rsidRPr="00B42B3A" w:rsidRDefault="008E4E15" w:rsidP="008E4E15">
            <w:pPr>
              <w:spacing w:before="0" w:after="160" w:line="256" w:lineRule="auto"/>
              <w:rPr>
                <w:rFonts w:eastAsia="Times New Roman" w:cs="Times New Roman"/>
                <w:color w:val="000000" w:themeColor="text1"/>
                <w:szCs w:val="24"/>
                <w:lang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FA5DB8"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6</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EA27F9"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19</w:t>
            </w:r>
          </w:p>
        </w:tc>
        <w:tc>
          <w:tcPr>
            <w:tcW w:w="1985" w:type="dxa"/>
            <w:tcBorders>
              <w:top w:val="single" w:sz="8" w:space="0" w:color="000000"/>
              <w:left w:val="single" w:sz="8" w:space="0" w:color="000000"/>
              <w:bottom w:val="single" w:sz="8" w:space="0" w:color="000000"/>
              <w:right w:val="single" w:sz="8" w:space="0" w:color="000000"/>
            </w:tcBorders>
            <w:vAlign w:val="center"/>
          </w:tcPr>
          <w:p w14:paraId="3B0C43EA"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w:t>
            </w:r>
          </w:p>
        </w:tc>
        <w:tc>
          <w:tcPr>
            <w:tcW w:w="1984" w:type="dxa"/>
            <w:tcBorders>
              <w:top w:val="single" w:sz="8" w:space="0" w:color="000000"/>
              <w:left w:val="single" w:sz="8" w:space="0" w:color="000000"/>
              <w:bottom w:val="single" w:sz="8" w:space="0" w:color="000000"/>
              <w:right w:val="single" w:sz="8" w:space="0" w:color="000000"/>
            </w:tcBorders>
            <w:vAlign w:val="center"/>
          </w:tcPr>
          <w:p w14:paraId="60963448"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0</w:t>
            </w:r>
          </w:p>
        </w:tc>
      </w:tr>
      <w:tr w:rsidR="008E4E15" w:rsidRPr="00B42B3A" w14:paraId="28159166" w14:textId="77777777" w:rsidTr="008E4E15">
        <w:tc>
          <w:tcPr>
            <w:tcW w:w="1277" w:type="dxa"/>
            <w:vMerge/>
            <w:tcBorders>
              <w:left w:val="single" w:sz="8" w:space="0" w:color="000000"/>
              <w:bottom w:val="single" w:sz="8" w:space="0" w:color="000000"/>
              <w:right w:val="single" w:sz="8" w:space="0" w:color="000000"/>
            </w:tcBorders>
          </w:tcPr>
          <w:p w14:paraId="0089970C" w14:textId="77777777" w:rsidR="008E4E15" w:rsidRPr="00B42B3A" w:rsidRDefault="008E4E15" w:rsidP="008E4E15">
            <w:pPr>
              <w:spacing w:before="0" w:after="160" w:line="256" w:lineRule="auto"/>
              <w:rPr>
                <w:rFonts w:eastAsia="Times New Roman" w:cs="Times New Roman"/>
                <w:color w:val="000000" w:themeColor="text1"/>
                <w:szCs w:val="24"/>
                <w:lang w:eastAsia="en-CH"/>
              </w:rPr>
            </w:pPr>
          </w:p>
        </w:tc>
        <w:tc>
          <w:tcPr>
            <w:tcW w:w="8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45823"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7</w:t>
            </w:r>
          </w:p>
        </w:tc>
        <w:tc>
          <w:tcPr>
            <w:tcW w:w="1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61A12"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19</w:t>
            </w:r>
          </w:p>
        </w:tc>
        <w:tc>
          <w:tcPr>
            <w:tcW w:w="1985" w:type="dxa"/>
            <w:tcBorders>
              <w:top w:val="single" w:sz="8" w:space="0" w:color="000000"/>
              <w:left w:val="single" w:sz="8" w:space="0" w:color="000000"/>
              <w:bottom w:val="single" w:sz="8" w:space="0" w:color="000000"/>
              <w:right w:val="single" w:sz="8" w:space="0" w:color="000000"/>
            </w:tcBorders>
            <w:vAlign w:val="center"/>
          </w:tcPr>
          <w:p w14:paraId="4B03044C"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0</w:t>
            </w:r>
          </w:p>
        </w:tc>
        <w:tc>
          <w:tcPr>
            <w:tcW w:w="1984" w:type="dxa"/>
            <w:tcBorders>
              <w:top w:val="single" w:sz="8" w:space="0" w:color="000000"/>
              <w:left w:val="single" w:sz="8" w:space="0" w:color="000000"/>
              <w:bottom w:val="single" w:sz="8" w:space="0" w:color="000000"/>
              <w:right w:val="single" w:sz="8" w:space="0" w:color="000000"/>
            </w:tcBorders>
            <w:vAlign w:val="center"/>
          </w:tcPr>
          <w:p w14:paraId="4DC8B6B1" w14:textId="77777777" w:rsidR="008E4E15" w:rsidRPr="00B42B3A" w:rsidRDefault="008E4E15" w:rsidP="008E4E15">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w:t>
            </w:r>
          </w:p>
        </w:tc>
      </w:tr>
    </w:tbl>
    <w:p w14:paraId="71253981" w14:textId="77777777" w:rsidR="00A91636" w:rsidRDefault="00A91636" w:rsidP="0060466C">
      <w:pPr>
        <w:jc w:val="both"/>
        <w:rPr>
          <w:rFonts w:cs="Times New Roman"/>
          <w:bCs/>
          <w:szCs w:val="24"/>
        </w:rPr>
      </w:pPr>
    </w:p>
    <w:p w14:paraId="18A17809" w14:textId="77777777" w:rsidR="00A91636" w:rsidRDefault="00A91636" w:rsidP="0060466C">
      <w:pPr>
        <w:jc w:val="both"/>
        <w:rPr>
          <w:rFonts w:cs="Times New Roman"/>
          <w:bCs/>
          <w:szCs w:val="24"/>
        </w:rPr>
      </w:pPr>
    </w:p>
    <w:p w14:paraId="474704AF" w14:textId="77777777" w:rsidR="0060466C" w:rsidRPr="00856B54" w:rsidRDefault="0060466C" w:rsidP="0060466C">
      <w:pPr>
        <w:jc w:val="both"/>
        <w:rPr>
          <w:rFonts w:cs="Times New Roman"/>
          <w:bCs/>
          <w:szCs w:val="24"/>
        </w:rPr>
      </w:pPr>
    </w:p>
    <w:p w14:paraId="42D6AFD2" w14:textId="77777777" w:rsidR="0060466C" w:rsidRDefault="0060466C" w:rsidP="00856B54">
      <w:pPr>
        <w:jc w:val="both"/>
        <w:rPr>
          <w:rFonts w:cs="Times New Roman"/>
          <w:b/>
          <w:szCs w:val="24"/>
        </w:rPr>
      </w:pPr>
    </w:p>
    <w:p w14:paraId="17A72559" w14:textId="77777777" w:rsidR="0060466C" w:rsidRDefault="0060466C" w:rsidP="00856B54">
      <w:pPr>
        <w:jc w:val="both"/>
        <w:rPr>
          <w:rFonts w:cs="Times New Roman"/>
          <w:b/>
          <w:szCs w:val="24"/>
        </w:rPr>
      </w:pPr>
    </w:p>
    <w:p w14:paraId="6792B4BE" w14:textId="77777777" w:rsidR="0060466C" w:rsidRDefault="0060466C" w:rsidP="00856B54">
      <w:pPr>
        <w:jc w:val="both"/>
        <w:rPr>
          <w:rFonts w:cs="Times New Roman"/>
          <w:b/>
          <w:szCs w:val="24"/>
        </w:rPr>
      </w:pPr>
    </w:p>
    <w:p w14:paraId="0B9209E1" w14:textId="77777777" w:rsidR="0060466C" w:rsidRDefault="0060466C" w:rsidP="00856B54">
      <w:pPr>
        <w:jc w:val="both"/>
        <w:rPr>
          <w:rFonts w:cs="Times New Roman"/>
          <w:b/>
          <w:szCs w:val="24"/>
        </w:rPr>
      </w:pPr>
    </w:p>
    <w:p w14:paraId="7C3BF57B" w14:textId="77777777" w:rsidR="0060466C" w:rsidRDefault="0060466C" w:rsidP="00856B54">
      <w:pPr>
        <w:jc w:val="both"/>
        <w:rPr>
          <w:rFonts w:cs="Times New Roman"/>
          <w:b/>
          <w:szCs w:val="24"/>
        </w:rPr>
      </w:pPr>
    </w:p>
    <w:p w14:paraId="0B4F6DAA" w14:textId="77777777" w:rsidR="0060466C" w:rsidRDefault="0060466C" w:rsidP="00856B54">
      <w:pPr>
        <w:jc w:val="both"/>
        <w:rPr>
          <w:rFonts w:cs="Times New Roman"/>
          <w:b/>
          <w:szCs w:val="24"/>
        </w:rPr>
      </w:pPr>
    </w:p>
    <w:p w14:paraId="78A373B5" w14:textId="77777777" w:rsidR="0060466C" w:rsidRDefault="0060466C" w:rsidP="00856B54">
      <w:pPr>
        <w:jc w:val="both"/>
        <w:rPr>
          <w:rFonts w:cs="Times New Roman"/>
          <w:b/>
          <w:szCs w:val="24"/>
        </w:rPr>
      </w:pPr>
    </w:p>
    <w:p w14:paraId="35447F1D" w14:textId="77777777" w:rsidR="00EA7BC1" w:rsidRDefault="00EA7BC1" w:rsidP="00856B54">
      <w:pPr>
        <w:jc w:val="both"/>
        <w:rPr>
          <w:rFonts w:cs="Times New Roman"/>
          <w:b/>
          <w:szCs w:val="24"/>
        </w:rPr>
      </w:pPr>
    </w:p>
    <w:p w14:paraId="2B42544F" w14:textId="4E19163B" w:rsidR="00FE1E41" w:rsidRPr="00856B54" w:rsidRDefault="00012035" w:rsidP="00856B54">
      <w:pPr>
        <w:jc w:val="both"/>
        <w:rPr>
          <w:rFonts w:cs="Times New Roman"/>
          <w:bCs/>
          <w:szCs w:val="24"/>
        </w:rPr>
      </w:pPr>
      <w:r w:rsidRPr="00E06F2F">
        <w:rPr>
          <w:rFonts w:cs="Times New Roman"/>
          <w:b/>
          <w:szCs w:val="24"/>
        </w:rPr>
        <w:t xml:space="preserve">Supplementary Table </w:t>
      </w:r>
      <w:r w:rsidR="0096694F" w:rsidRPr="00E06F2F">
        <w:rPr>
          <w:rFonts w:cs="Times New Roman"/>
          <w:b/>
          <w:szCs w:val="24"/>
        </w:rPr>
        <w:t>4</w:t>
      </w:r>
      <w:r w:rsidRPr="00E06F2F">
        <w:rPr>
          <w:rFonts w:cs="Times New Roman"/>
          <w:b/>
          <w:szCs w:val="24"/>
        </w:rPr>
        <w:t xml:space="preserve">. </w:t>
      </w:r>
      <w:r w:rsidR="00C921F6" w:rsidRPr="00E06F2F">
        <w:rPr>
          <w:rFonts w:cs="Times New Roman"/>
          <w:bCs/>
          <w:szCs w:val="24"/>
        </w:rPr>
        <w:t>R</w:t>
      </w:r>
      <w:r w:rsidRPr="00E06F2F">
        <w:rPr>
          <w:rFonts w:cs="Times New Roman"/>
          <w:bCs/>
          <w:szCs w:val="24"/>
        </w:rPr>
        <w:t xml:space="preserve">esults </w:t>
      </w:r>
      <w:r w:rsidR="00B70808" w:rsidRPr="00856B54">
        <w:rPr>
          <w:rFonts w:cs="Times New Roman"/>
          <w:bCs/>
          <w:szCs w:val="24"/>
        </w:rPr>
        <w:t>of</w:t>
      </w:r>
      <w:r w:rsidRPr="00856B54">
        <w:rPr>
          <w:rFonts w:cs="Times New Roman"/>
          <w:bCs/>
          <w:szCs w:val="24"/>
        </w:rPr>
        <w:t xml:space="preserve"> the </w:t>
      </w:r>
      <w:r w:rsidR="007265E9" w:rsidRPr="00856B54">
        <w:rPr>
          <w:rFonts w:cs="Times New Roman"/>
          <w:bCs/>
          <w:szCs w:val="24"/>
        </w:rPr>
        <w:t xml:space="preserve">six </w:t>
      </w:r>
      <w:r w:rsidR="00C921F6" w:rsidRPr="00856B54">
        <w:rPr>
          <w:rFonts w:cs="Times New Roman"/>
          <w:bCs/>
          <w:szCs w:val="24"/>
        </w:rPr>
        <w:t>scales</w:t>
      </w:r>
      <w:r w:rsidR="007265E9" w:rsidRPr="00856B54">
        <w:rPr>
          <w:rFonts w:cs="Times New Roman"/>
          <w:bCs/>
          <w:szCs w:val="24"/>
        </w:rPr>
        <w:t xml:space="preserve"> from the</w:t>
      </w:r>
      <w:r w:rsidR="00C921F6" w:rsidRPr="00856B54">
        <w:rPr>
          <w:rFonts w:cs="Times New Roman"/>
          <w:bCs/>
          <w:szCs w:val="24"/>
        </w:rPr>
        <w:t xml:space="preserve"> </w:t>
      </w:r>
      <w:r w:rsidR="00C73372" w:rsidRPr="00856B54">
        <w:rPr>
          <w:rFonts w:cs="Times New Roman"/>
          <w:bCs/>
          <w:szCs w:val="24"/>
        </w:rPr>
        <w:t>u</w:t>
      </w:r>
      <w:r w:rsidR="00C921F6" w:rsidRPr="00856B54">
        <w:rPr>
          <w:rFonts w:cs="Times New Roman"/>
          <w:bCs/>
          <w:szCs w:val="24"/>
        </w:rPr>
        <w:t>ser experience questionnaire (UEQ)</w:t>
      </w:r>
      <w:r w:rsidR="00B065AF" w:rsidRPr="00856B54">
        <w:rPr>
          <w:rFonts w:cs="Times New Roman"/>
          <w:bCs/>
          <w:szCs w:val="24"/>
        </w:rPr>
        <w:t>. Each scale has a mean value, where values between -0.8 and 0.8 represent neutral evaluation, values &gt; 0.8 represent a positive evaluation</w:t>
      </w:r>
      <w:r w:rsidR="005A468D">
        <w:rPr>
          <w:rFonts w:cs="Times New Roman"/>
          <w:bCs/>
          <w:szCs w:val="24"/>
        </w:rPr>
        <w:t>,</w:t>
      </w:r>
      <w:r w:rsidR="00B065AF" w:rsidRPr="00856B54">
        <w:rPr>
          <w:rFonts w:cs="Times New Roman"/>
          <w:bCs/>
          <w:szCs w:val="24"/>
        </w:rPr>
        <w:t xml:space="preserve"> and &lt;0.8 a negative one. </w:t>
      </w:r>
    </w:p>
    <w:p w14:paraId="65547AD8" w14:textId="77777777" w:rsidR="00A957CD" w:rsidRPr="00FE1E41" w:rsidRDefault="00A957CD" w:rsidP="00F425AF">
      <w:pPr>
        <w:spacing w:line="276" w:lineRule="auto"/>
        <w:jc w:val="both"/>
        <w:rPr>
          <w:rFonts w:cs="Times New Roman"/>
          <w:b/>
          <w:szCs w:val="24"/>
        </w:rPr>
      </w:pPr>
    </w:p>
    <w:tbl>
      <w:tblPr>
        <w:tblW w:w="3818" w:type="dxa"/>
        <w:jc w:val="center"/>
        <w:tblCellMar>
          <w:left w:w="0" w:type="dxa"/>
          <w:right w:w="0" w:type="dxa"/>
        </w:tblCellMar>
        <w:tblLook w:val="04A0" w:firstRow="1" w:lastRow="0" w:firstColumn="1" w:lastColumn="0" w:noHBand="0" w:noVBand="1"/>
      </w:tblPr>
      <w:tblGrid>
        <w:gridCol w:w="2117"/>
        <w:gridCol w:w="1701"/>
      </w:tblGrid>
      <w:tr w:rsidR="00E87766" w:rsidRPr="00B42B3A" w14:paraId="579A1BF7" w14:textId="77777777" w:rsidTr="00BD5D21">
        <w:trPr>
          <w:trHeight w:val="416"/>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6682F" w14:textId="0D4FC296" w:rsidR="00E87766" w:rsidRPr="00B42B3A" w:rsidRDefault="00C36883" w:rsidP="00BD5D21">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UEQ S</w:t>
            </w:r>
            <w:r w:rsidR="00E87766">
              <w:rPr>
                <w:rFonts w:eastAsia="Times New Roman" w:cs="Times New Roman"/>
                <w:color w:val="000000" w:themeColor="text1"/>
                <w:szCs w:val="24"/>
                <w:lang w:eastAsia="en-CH"/>
              </w:rPr>
              <w:t>cales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67CAF" w14:textId="56B6C883" w:rsidR="00E87766" w:rsidRPr="00B42B3A" w:rsidRDefault="00DB2552" w:rsidP="00F42147">
            <w:pPr>
              <w:spacing w:before="0" w:after="160" w:line="256" w:lineRule="auto"/>
              <w:jc w:val="center"/>
              <w:rPr>
                <w:rFonts w:eastAsia="Times New Roman" w:cs="Times New Roman"/>
                <w:szCs w:val="24"/>
                <w:lang w:val="en-CH" w:eastAsia="en-CH"/>
              </w:rPr>
            </w:pPr>
            <w:r>
              <w:rPr>
                <w:rFonts w:eastAsia="Times New Roman" w:cs="Times New Roman"/>
                <w:color w:val="000000" w:themeColor="text1"/>
                <w:szCs w:val="24"/>
                <w:lang w:eastAsia="en-CH"/>
              </w:rPr>
              <w:t>Mean</w:t>
            </w:r>
            <w:r w:rsidR="00C36883">
              <w:rPr>
                <w:rFonts w:eastAsia="Times New Roman" w:cs="Times New Roman"/>
                <w:color w:val="000000" w:themeColor="text1"/>
                <w:szCs w:val="24"/>
                <w:lang w:eastAsia="en-CH"/>
              </w:rPr>
              <w:t xml:space="preserve"> (SD)</w:t>
            </w:r>
          </w:p>
        </w:tc>
      </w:tr>
      <w:tr w:rsidR="005C4EBB" w:rsidRPr="00B42B3A" w14:paraId="0924E744" w14:textId="77777777" w:rsidTr="008C5FB4">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FBD21" w14:textId="4AE90E27" w:rsidR="005C4EBB" w:rsidRPr="00B42B3A" w:rsidRDefault="005C4EBB" w:rsidP="005C4EBB">
            <w:pPr>
              <w:spacing w:before="0" w:after="160" w:line="256" w:lineRule="auto"/>
              <w:rPr>
                <w:rFonts w:eastAsia="Times New Roman" w:cs="Times New Roman"/>
                <w:szCs w:val="24"/>
                <w:lang w:val="en-CH" w:eastAsia="en-CH"/>
              </w:rPr>
            </w:pPr>
            <w:r w:rsidRPr="003C1883">
              <w:t>Attractiveness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23F58" w14:textId="06CF574E" w:rsidR="005C4EBB" w:rsidRPr="00B42B3A" w:rsidRDefault="00D63F98" w:rsidP="008C5FB4">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0.</w:t>
            </w:r>
            <w:r w:rsidR="00DD011A">
              <w:rPr>
                <w:rFonts w:eastAsia="Times New Roman" w:cs="Times New Roman"/>
                <w:szCs w:val="24"/>
                <w:lang w:val="en-CH" w:eastAsia="en-CH"/>
              </w:rPr>
              <w:t>595</w:t>
            </w:r>
            <w:r w:rsidR="002B49F3">
              <w:rPr>
                <w:rFonts w:eastAsia="Times New Roman" w:cs="Times New Roman"/>
                <w:szCs w:val="24"/>
                <w:lang w:val="en-CH" w:eastAsia="en-CH"/>
              </w:rPr>
              <w:t xml:space="preserve"> </w:t>
            </w:r>
            <w:r w:rsidR="00BD5D21">
              <w:rPr>
                <w:rFonts w:eastAsia="Times New Roman" w:cs="Times New Roman"/>
                <w:szCs w:val="24"/>
                <w:lang w:val="en-CH" w:eastAsia="en-CH"/>
              </w:rPr>
              <w:t>(</w:t>
            </w:r>
            <w:r w:rsidR="002B49F3">
              <w:rPr>
                <w:rFonts w:eastAsia="Times New Roman" w:cs="Times New Roman"/>
                <w:szCs w:val="24"/>
                <w:lang w:val="en-CH" w:eastAsia="en-CH"/>
              </w:rPr>
              <w:t>2.30</w:t>
            </w:r>
            <w:r w:rsidR="00BD5D21">
              <w:rPr>
                <w:rFonts w:eastAsia="Times New Roman" w:cs="Times New Roman"/>
                <w:szCs w:val="24"/>
                <w:lang w:val="en-CH" w:eastAsia="en-CH"/>
              </w:rPr>
              <w:t>)</w:t>
            </w:r>
          </w:p>
        </w:tc>
      </w:tr>
      <w:tr w:rsidR="005C4EBB" w:rsidRPr="00B42B3A" w14:paraId="71A2AB63" w14:textId="77777777" w:rsidTr="008C5FB4">
        <w:trPr>
          <w:trHeight w:val="63"/>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8DC70" w14:textId="07AFFC42" w:rsidR="005C4EBB" w:rsidRPr="00B42B3A" w:rsidRDefault="005C4EBB" w:rsidP="005C4EBB">
            <w:pPr>
              <w:spacing w:before="0" w:after="160" w:line="256" w:lineRule="auto"/>
              <w:rPr>
                <w:rFonts w:eastAsia="Times New Roman" w:cs="Times New Roman"/>
                <w:szCs w:val="24"/>
                <w:lang w:val="en-CH" w:eastAsia="en-CH"/>
              </w:rPr>
            </w:pPr>
            <w:r w:rsidRPr="003C1883">
              <w:t>Perspicuity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564A3" w14:textId="1166BA7F" w:rsidR="005C4EBB" w:rsidRPr="00B42B3A" w:rsidRDefault="00DD011A" w:rsidP="008C5FB4">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2.107</w:t>
            </w:r>
            <w:r w:rsidR="002B49F3">
              <w:rPr>
                <w:rFonts w:eastAsia="Times New Roman" w:cs="Times New Roman"/>
                <w:szCs w:val="24"/>
                <w:lang w:val="en-CH" w:eastAsia="en-CH"/>
              </w:rPr>
              <w:t xml:space="preserve"> </w:t>
            </w:r>
            <w:r w:rsidR="00BD5D21">
              <w:rPr>
                <w:rFonts w:eastAsia="Times New Roman" w:cs="Times New Roman"/>
                <w:szCs w:val="24"/>
                <w:lang w:val="en-CH" w:eastAsia="en-CH"/>
              </w:rPr>
              <w:t>(</w:t>
            </w:r>
            <w:r w:rsidR="002B49F3">
              <w:rPr>
                <w:rFonts w:eastAsia="Times New Roman" w:cs="Times New Roman"/>
                <w:szCs w:val="24"/>
                <w:lang w:val="en-CH" w:eastAsia="en-CH"/>
              </w:rPr>
              <w:t>1.</w:t>
            </w:r>
            <w:r>
              <w:rPr>
                <w:rFonts w:eastAsia="Times New Roman" w:cs="Times New Roman"/>
                <w:szCs w:val="24"/>
                <w:lang w:val="en-CH" w:eastAsia="en-CH"/>
              </w:rPr>
              <w:t>35</w:t>
            </w:r>
            <w:r w:rsidR="00BD5D21">
              <w:rPr>
                <w:rFonts w:eastAsia="Times New Roman" w:cs="Times New Roman"/>
                <w:szCs w:val="24"/>
                <w:lang w:val="en-CH" w:eastAsia="en-CH"/>
              </w:rPr>
              <w:t>)</w:t>
            </w:r>
          </w:p>
        </w:tc>
      </w:tr>
      <w:tr w:rsidR="005C4EBB" w:rsidRPr="00B42B3A" w14:paraId="302EEDB8" w14:textId="77777777" w:rsidTr="008C5FB4">
        <w:trPr>
          <w:trHeight w:val="63"/>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95DD92" w14:textId="47C7C15F" w:rsidR="005C4EBB" w:rsidRPr="00B42B3A" w:rsidRDefault="005C4EBB" w:rsidP="00C36883">
            <w:pPr>
              <w:spacing w:before="0" w:after="160" w:line="256" w:lineRule="auto"/>
              <w:rPr>
                <w:rFonts w:eastAsia="Times New Roman" w:cs="Times New Roman"/>
                <w:szCs w:val="24"/>
                <w:lang w:val="en-CH" w:eastAsia="en-CH"/>
              </w:rPr>
            </w:pPr>
            <w:r w:rsidRPr="003C1883">
              <w:t>Efficiency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37F13" w14:textId="0056C0DA" w:rsidR="005C4EBB" w:rsidRPr="00B42B3A" w:rsidRDefault="002B49F3" w:rsidP="008C5FB4">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1.2</w:t>
            </w:r>
            <w:r w:rsidR="00DD011A">
              <w:rPr>
                <w:rFonts w:eastAsia="Times New Roman" w:cs="Times New Roman"/>
                <w:szCs w:val="24"/>
                <w:lang w:val="en-CH" w:eastAsia="en-CH"/>
              </w:rPr>
              <w:t>14</w:t>
            </w:r>
            <w:r>
              <w:rPr>
                <w:rFonts w:eastAsia="Times New Roman" w:cs="Times New Roman"/>
                <w:szCs w:val="24"/>
                <w:lang w:val="en-CH" w:eastAsia="en-CH"/>
              </w:rPr>
              <w:t xml:space="preserve"> </w:t>
            </w:r>
            <w:r w:rsidR="00BD5D21">
              <w:rPr>
                <w:rFonts w:eastAsia="Times New Roman" w:cs="Times New Roman"/>
                <w:szCs w:val="24"/>
                <w:lang w:val="en-CH" w:eastAsia="en-CH"/>
              </w:rPr>
              <w:t>(</w:t>
            </w:r>
            <w:r>
              <w:rPr>
                <w:rFonts w:eastAsia="Times New Roman" w:cs="Times New Roman"/>
                <w:szCs w:val="24"/>
                <w:lang w:val="en-CH" w:eastAsia="en-CH"/>
              </w:rPr>
              <w:t>1.</w:t>
            </w:r>
            <w:r w:rsidR="00DD011A">
              <w:rPr>
                <w:rFonts w:eastAsia="Times New Roman" w:cs="Times New Roman"/>
                <w:szCs w:val="24"/>
                <w:lang w:val="en-CH" w:eastAsia="en-CH"/>
              </w:rPr>
              <w:t>15</w:t>
            </w:r>
            <w:r w:rsidR="00BD5D21">
              <w:rPr>
                <w:rFonts w:eastAsia="Times New Roman" w:cs="Times New Roman"/>
                <w:szCs w:val="24"/>
                <w:lang w:val="en-CH" w:eastAsia="en-CH"/>
              </w:rPr>
              <w:t>)</w:t>
            </w:r>
          </w:p>
        </w:tc>
      </w:tr>
      <w:tr w:rsidR="005C4EBB" w:rsidRPr="00B42B3A" w14:paraId="7E5D76E4" w14:textId="77777777" w:rsidTr="008C5FB4">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628250" w14:textId="4E606BAB" w:rsidR="005C4EBB" w:rsidRPr="00B42B3A" w:rsidRDefault="005C4EBB" w:rsidP="005C4EBB">
            <w:pPr>
              <w:spacing w:before="0" w:after="160" w:line="256" w:lineRule="auto"/>
              <w:rPr>
                <w:rFonts w:eastAsia="Times New Roman" w:cs="Times New Roman"/>
                <w:szCs w:val="24"/>
                <w:lang w:val="en-CH" w:eastAsia="en-CH"/>
              </w:rPr>
            </w:pPr>
            <w:r w:rsidRPr="003C1883">
              <w:t>Dependability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121933" w14:textId="2B2EC570" w:rsidR="005C4EBB" w:rsidRPr="00B42B3A" w:rsidRDefault="002B49F3" w:rsidP="008C5FB4">
            <w:pPr>
              <w:spacing w:before="0" w:after="0"/>
              <w:jc w:val="center"/>
              <w:rPr>
                <w:rFonts w:eastAsia="Times New Roman" w:cs="Times New Roman"/>
                <w:szCs w:val="24"/>
                <w:lang w:val="en-CH" w:eastAsia="en-CH"/>
              </w:rPr>
            </w:pPr>
            <w:r>
              <w:rPr>
                <w:rFonts w:eastAsia="Times New Roman" w:cs="Times New Roman"/>
                <w:szCs w:val="24"/>
                <w:lang w:val="en-CH" w:eastAsia="en-CH"/>
              </w:rPr>
              <w:t>1.</w:t>
            </w:r>
            <w:r w:rsidR="00DD011A">
              <w:rPr>
                <w:rFonts w:eastAsia="Times New Roman" w:cs="Times New Roman"/>
                <w:szCs w:val="24"/>
                <w:lang w:val="en-CH" w:eastAsia="en-CH"/>
              </w:rPr>
              <w:t>321</w:t>
            </w:r>
            <w:r w:rsidR="0043721C">
              <w:rPr>
                <w:rFonts w:eastAsia="Times New Roman" w:cs="Times New Roman"/>
                <w:szCs w:val="24"/>
                <w:lang w:val="en-CH" w:eastAsia="en-CH"/>
              </w:rPr>
              <w:t xml:space="preserve"> </w:t>
            </w:r>
            <w:r w:rsidR="00BD5D21">
              <w:rPr>
                <w:rFonts w:eastAsia="Times New Roman" w:cs="Times New Roman"/>
                <w:szCs w:val="24"/>
                <w:lang w:val="en-CH" w:eastAsia="en-CH"/>
              </w:rPr>
              <w:t>(</w:t>
            </w:r>
            <w:r w:rsidR="0043721C">
              <w:rPr>
                <w:rFonts w:eastAsia="Times New Roman" w:cs="Times New Roman"/>
                <w:szCs w:val="24"/>
                <w:lang w:val="en-CH" w:eastAsia="en-CH"/>
              </w:rPr>
              <w:t>0.</w:t>
            </w:r>
            <w:r w:rsidR="00DD011A">
              <w:rPr>
                <w:rFonts w:eastAsia="Times New Roman" w:cs="Times New Roman"/>
                <w:szCs w:val="24"/>
                <w:lang w:val="en-CH" w:eastAsia="en-CH"/>
              </w:rPr>
              <w:t>41</w:t>
            </w:r>
            <w:r w:rsidR="00BD5D21">
              <w:rPr>
                <w:rFonts w:eastAsia="Times New Roman" w:cs="Times New Roman"/>
                <w:szCs w:val="24"/>
                <w:lang w:val="en-CH" w:eastAsia="en-CH"/>
              </w:rPr>
              <w:t>)</w:t>
            </w:r>
          </w:p>
        </w:tc>
      </w:tr>
      <w:tr w:rsidR="005C4EBB" w:rsidRPr="00B42B3A" w14:paraId="61919400" w14:textId="77777777" w:rsidTr="008C5FB4">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A6FFF6" w14:textId="3B700B91" w:rsidR="005C4EBB" w:rsidRPr="00B42B3A" w:rsidRDefault="005C4EBB" w:rsidP="005C4EBB">
            <w:pPr>
              <w:spacing w:before="0" w:after="160" w:line="256" w:lineRule="auto"/>
              <w:rPr>
                <w:rFonts w:eastAsia="Times New Roman" w:cs="Times New Roman"/>
                <w:szCs w:val="24"/>
                <w:lang w:val="en-CH" w:eastAsia="en-CH"/>
              </w:rPr>
            </w:pPr>
            <w:r w:rsidRPr="003C1883">
              <w:t>Stimulation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B3F20" w14:textId="4521F2AF" w:rsidR="005C4EBB" w:rsidRPr="00B42B3A" w:rsidRDefault="00005D8F" w:rsidP="008C5FB4">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0.</w:t>
            </w:r>
            <w:r w:rsidR="00DD011A">
              <w:rPr>
                <w:rFonts w:eastAsia="Times New Roman" w:cs="Times New Roman"/>
                <w:szCs w:val="24"/>
                <w:lang w:val="en-CH" w:eastAsia="en-CH"/>
              </w:rPr>
              <w:t>321</w:t>
            </w:r>
            <w:r>
              <w:rPr>
                <w:rFonts w:eastAsia="Times New Roman" w:cs="Times New Roman"/>
                <w:szCs w:val="24"/>
                <w:lang w:val="en-CH" w:eastAsia="en-CH"/>
              </w:rPr>
              <w:t xml:space="preserve"> </w:t>
            </w:r>
            <w:r w:rsidR="00BD5D21">
              <w:rPr>
                <w:rFonts w:eastAsia="Times New Roman" w:cs="Times New Roman"/>
                <w:szCs w:val="24"/>
                <w:lang w:val="en-CH" w:eastAsia="en-CH"/>
              </w:rPr>
              <w:t>(</w:t>
            </w:r>
            <w:r>
              <w:rPr>
                <w:rFonts w:eastAsia="Times New Roman" w:cs="Times New Roman"/>
                <w:szCs w:val="24"/>
                <w:lang w:val="en-CH" w:eastAsia="en-CH"/>
              </w:rPr>
              <w:t>2.</w:t>
            </w:r>
            <w:r w:rsidR="00DD011A">
              <w:rPr>
                <w:rFonts w:eastAsia="Times New Roman" w:cs="Times New Roman"/>
                <w:szCs w:val="24"/>
                <w:lang w:val="en-CH" w:eastAsia="en-CH"/>
              </w:rPr>
              <w:t>45</w:t>
            </w:r>
            <w:r w:rsidR="00BD5D21">
              <w:rPr>
                <w:rFonts w:eastAsia="Times New Roman" w:cs="Times New Roman"/>
                <w:szCs w:val="24"/>
                <w:lang w:val="en-CH" w:eastAsia="en-CH"/>
              </w:rPr>
              <w:t>)</w:t>
            </w:r>
          </w:p>
        </w:tc>
      </w:tr>
      <w:tr w:rsidR="00CF6D44" w:rsidRPr="00B42B3A" w14:paraId="6A43DC40" w14:textId="77777777" w:rsidTr="008C5FB4">
        <w:trPr>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07C2BE" w14:textId="27544917" w:rsidR="00CF6D44" w:rsidRPr="003C1883" w:rsidRDefault="00CF6D44" w:rsidP="005C4EBB">
            <w:pPr>
              <w:spacing w:before="0" w:after="160" w:line="256" w:lineRule="auto"/>
            </w:pPr>
            <w:r>
              <w:t>Novelty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C6C36C" w14:textId="0128C386" w:rsidR="00CF6D44" w:rsidRDefault="00CF6D44" w:rsidP="008C5FB4">
            <w:pPr>
              <w:spacing w:before="0" w:after="160" w:line="256" w:lineRule="auto"/>
              <w:jc w:val="center"/>
              <w:rPr>
                <w:rFonts w:eastAsia="Times New Roman" w:cs="Times New Roman"/>
                <w:szCs w:val="24"/>
                <w:lang w:val="en-CH" w:eastAsia="en-CH"/>
              </w:rPr>
            </w:pPr>
            <w:r>
              <w:rPr>
                <w:rFonts w:eastAsia="Times New Roman" w:cs="Times New Roman"/>
                <w:szCs w:val="24"/>
                <w:lang w:val="en-CH" w:eastAsia="en-CH"/>
              </w:rPr>
              <w:t>1.</w:t>
            </w:r>
            <w:r w:rsidR="00DD011A">
              <w:rPr>
                <w:rFonts w:eastAsia="Times New Roman" w:cs="Times New Roman"/>
                <w:szCs w:val="24"/>
                <w:lang w:val="en-CH" w:eastAsia="en-CH"/>
              </w:rPr>
              <w:t>250</w:t>
            </w:r>
            <w:r>
              <w:rPr>
                <w:rFonts w:eastAsia="Times New Roman" w:cs="Times New Roman"/>
                <w:szCs w:val="24"/>
                <w:lang w:val="en-CH" w:eastAsia="en-CH"/>
              </w:rPr>
              <w:t xml:space="preserve"> (</w:t>
            </w:r>
            <w:r w:rsidR="00DD011A">
              <w:rPr>
                <w:rFonts w:eastAsia="Times New Roman" w:cs="Times New Roman"/>
                <w:szCs w:val="24"/>
                <w:lang w:val="en-CH" w:eastAsia="en-CH"/>
              </w:rPr>
              <w:t>1</w:t>
            </w:r>
            <w:r>
              <w:rPr>
                <w:rFonts w:eastAsia="Times New Roman" w:cs="Times New Roman"/>
                <w:szCs w:val="24"/>
                <w:lang w:val="en-CH" w:eastAsia="en-CH"/>
              </w:rPr>
              <w:t>.</w:t>
            </w:r>
            <w:r w:rsidR="00DD011A">
              <w:rPr>
                <w:rFonts w:eastAsia="Times New Roman" w:cs="Times New Roman"/>
                <w:szCs w:val="24"/>
                <w:lang w:val="en-CH" w:eastAsia="en-CH"/>
              </w:rPr>
              <w:t>4</w:t>
            </w:r>
            <w:r>
              <w:rPr>
                <w:rFonts w:eastAsia="Times New Roman" w:cs="Times New Roman"/>
                <w:szCs w:val="24"/>
                <w:lang w:val="en-CH" w:eastAsia="en-CH"/>
              </w:rPr>
              <w:t>4)</w:t>
            </w:r>
          </w:p>
        </w:tc>
      </w:tr>
    </w:tbl>
    <w:p w14:paraId="677ACC00" w14:textId="77777777" w:rsidR="00012035" w:rsidRDefault="00012035" w:rsidP="00654E8F">
      <w:pPr>
        <w:spacing w:before="240"/>
      </w:pPr>
    </w:p>
    <w:p w14:paraId="1F05FCA8" w14:textId="77777777" w:rsidR="005635BE" w:rsidRDefault="005635BE" w:rsidP="00654E8F">
      <w:pPr>
        <w:spacing w:before="240"/>
      </w:pPr>
    </w:p>
    <w:p w14:paraId="2D7FAE58" w14:textId="36FA9B11" w:rsidR="005635BE" w:rsidRPr="001549D3" w:rsidRDefault="005635BE" w:rsidP="005635BE">
      <w:pPr>
        <w:spacing w:before="0" w:after="200" w:line="276" w:lineRule="auto"/>
      </w:pPr>
    </w:p>
    <w:sectPr w:rsidR="005635BE" w:rsidRPr="001549D3" w:rsidSect="002C12F9">
      <w:pgSz w:w="12240" w:h="15840"/>
      <w:pgMar w:top="1138" w:right="1181" w:bottom="1138" w:left="12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00E7" w14:textId="77777777" w:rsidR="007E3021" w:rsidRDefault="007E3021" w:rsidP="00117666">
      <w:pPr>
        <w:spacing w:after="0"/>
      </w:pPr>
      <w:r>
        <w:separator/>
      </w:r>
    </w:p>
  </w:endnote>
  <w:endnote w:type="continuationSeparator" w:id="0">
    <w:p w14:paraId="315F5A2E" w14:textId="77777777" w:rsidR="007E3021" w:rsidRDefault="007E302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A6222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6222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A6222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A6222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6222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A6222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962078"/>
      <w:docPartObj>
        <w:docPartGallery w:val="Page Numbers (Bottom of Page)"/>
        <w:docPartUnique/>
      </w:docPartObj>
    </w:sdtPr>
    <w:sdtEndPr/>
    <w:sdtContent>
      <w:p w14:paraId="4E0DFBEC" w14:textId="32C6BBEE" w:rsidR="00381380" w:rsidRDefault="00381380">
        <w:pPr>
          <w:pStyle w:val="Pieddepage"/>
          <w:jc w:val="right"/>
        </w:pPr>
        <w:r>
          <w:fldChar w:fldCharType="begin"/>
        </w:r>
        <w:r>
          <w:instrText>PAGE   \* MERGEFORMAT</w:instrText>
        </w:r>
        <w:r>
          <w:fldChar w:fldCharType="separate"/>
        </w:r>
        <w:r>
          <w:rPr>
            <w:lang w:val="fr-FR"/>
          </w:rPr>
          <w:t>2</w:t>
        </w:r>
        <w:r>
          <w:fldChar w:fldCharType="end"/>
        </w:r>
      </w:p>
    </w:sdtContent>
  </w:sdt>
  <w:p w14:paraId="088A4671" w14:textId="77777777" w:rsidR="00381380" w:rsidRDefault="003813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6826" w14:textId="77777777" w:rsidR="007E3021" w:rsidRDefault="007E3021" w:rsidP="00117666">
      <w:pPr>
        <w:spacing w:after="0"/>
      </w:pPr>
      <w:r>
        <w:separator/>
      </w:r>
    </w:p>
  </w:footnote>
  <w:footnote w:type="continuationSeparator" w:id="0">
    <w:p w14:paraId="23FC745F" w14:textId="77777777" w:rsidR="007E3021" w:rsidRDefault="007E302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A6222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663754978"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5D8F"/>
    <w:rsid w:val="00012035"/>
    <w:rsid w:val="0001436A"/>
    <w:rsid w:val="00034304"/>
    <w:rsid w:val="00035434"/>
    <w:rsid w:val="00052A14"/>
    <w:rsid w:val="00077D53"/>
    <w:rsid w:val="00105F93"/>
    <w:rsid w:val="00105FD9"/>
    <w:rsid w:val="00117666"/>
    <w:rsid w:val="001549D3"/>
    <w:rsid w:val="00160065"/>
    <w:rsid w:val="00177D84"/>
    <w:rsid w:val="001B06F2"/>
    <w:rsid w:val="001B3566"/>
    <w:rsid w:val="001B546A"/>
    <w:rsid w:val="001E0933"/>
    <w:rsid w:val="001F2477"/>
    <w:rsid w:val="001F3057"/>
    <w:rsid w:val="00212315"/>
    <w:rsid w:val="00236036"/>
    <w:rsid w:val="00241B9F"/>
    <w:rsid w:val="00245AF4"/>
    <w:rsid w:val="00250C25"/>
    <w:rsid w:val="002665D5"/>
    <w:rsid w:val="00267055"/>
    <w:rsid w:val="00267BCA"/>
    <w:rsid w:val="00267D18"/>
    <w:rsid w:val="00283DBC"/>
    <w:rsid w:val="002868E2"/>
    <w:rsid w:val="002869C3"/>
    <w:rsid w:val="002936E4"/>
    <w:rsid w:val="002B49F3"/>
    <w:rsid w:val="002B4A57"/>
    <w:rsid w:val="002C08FE"/>
    <w:rsid w:val="002C12F9"/>
    <w:rsid w:val="002C74CA"/>
    <w:rsid w:val="002F09B9"/>
    <w:rsid w:val="00303BDF"/>
    <w:rsid w:val="003418FA"/>
    <w:rsid w:val="003544FB"/>
    <w:rsid w:val="00381380"/>
    <w:rsid w:val="003B299D"/>
    <w:rsid w:val="003B517C"/>
    <w:rsid w:val="003B7FEE"/>
    <w:rsid w:val="003D2D47"/>
    <w:rsid w:val="003D2F2D"/>
    <w:rsid w:val="003E1D6C"/>
    <w:rsid w:val="003F413D"/>
    <w:rsid w:val="00401590"/>
    <w:rsid w:val="00410FEF"/>
    <w:rsid w:val="0043721C"/>
    <w:rsid w:val="00447801"/>
    <w:rsid w:val="00452E9C"/>
    <w:rsid w:val="004735C8"/>
    <w:rsid w:val="00481658"/>
    <w:rsid w:val="00487FF9"/>
    <w:rsid w:val="004961FF"/>
    <w:rsid w:val="00497CBA"/>
    <w:rsid w:val="004A0B84"/>
    <w:rsid w:val="004C1840"/>
    <w:rsid w:val="004D6C36"/>
    <w:rsid w:val="005008B4"/>
    <w:rsid w:val="005017FC"/>
    <w:rsid w:val="00517A89"/>
    <w:rsid w:val="00524D5B"/>
    <w:rsid w:val="005250F2"/>
    <w:rsid w:val="00535CA5"/>
    <w:rsid w:val="00554C05"/>
    <w:rsid w:val="005635BE"/>
    <w:rsid w:val="005829E5"/>
    <w:rsid w:val="00593EEA"/>
    <w:rsid w:val="005A468D"/>
    <w:rsid w:val="005A5EEE"/>
    <w:rsid w:val="005C4EBB"/>
    <w:rsid w:val="005D1863"/>
    <w:rsid w:val="005E41F4"/>
    <w:rsid w:val="0060466C"/>
    <w:rsid w:val="0061713D"/>
    <w:rsid w:val="00617930"/>
    <w:rsid w:val="006216D1"/>
    <w:rsid w:val="006242BF"/>
    <w:rsid w:val="006375C7"/>
    <w:rsid w:val="00643E2F"/>
    <w:rsid w:val="00654E8F"/>
    <w:rsid w:val="00660D05"/>
    <w:rsid w:val="006820B1"/>
    <w:rsid w:val="006A4FE8"/>
    <w:rsid w:val="006B7D14"/>
    <w:rsid w:val="006F332E"/>
    <w:rsid w:val="006F36D3"/>
    <w:rsid w:val="00701727"/>
    <w:rsid w:val="0070566C"/>
    <w:rsid w:val="00714C50"/>
    <w:rsid w:val="007245B1"/>
    <w:rsid w:val="00725A7D"/>
    <w:rsid w:val="007265E9"/>
    <w:rsid w:val="007501BE"/>
    <w:rsid w:val="00761FDA"/>
    <w:rsid w:val="00790BB3"/>
    <w:rsid w:val="007B4D16"/>
    <w:rsid w:val="007C044A"/>
    <w:rsid w:val="007C206C"/>
    <w:rsid w:val="007E3021"/>
    <w:rsid w:val="00803D24"/>
    <w:rsid w:val="008174C0"/>
    <w:rsid w:val="00817D4E"/>
    <w:rsid w:val="00817DD6"/>
    <w:rsid w:val="00840B00"/>
    <w:rsid w:val="00856B54"/>
    <w:rsid w:val="00885156"/>
    <w:rsid w:val="008876D9"/>
    <w:rsid w:val="00894EE0"/>
    <w:rsid w:val="008B09D2"/>
    <w:rsid w:val="008C5631"/>
    <w:rsid w:val="008C5FB4"/>
    <w:rsid w:val="008E4E15"/>
    <w:rsid w:val="008E6127"/>
    <w:rsid w:val="009151AA"/>
    <w:rsid w:val="0093429D"/>
    <w:rsid w:val="009371F0"/>
    <w:rsid w:val="00943573"/>
    <w:rsid w:val="0096694F"/>
    <w:rsid w:val="00970F7D"/>
    <w:rsid w:val="009744F4"/>
    <w:rsid w:val="009810F9"/>
    <w:rsid w:val="00994A3D"/>
    <w:rsid w:val="009A0C48"/>
    <w:rsid w:val="009A36EB"/>
    <w:rsid w:val="009C2B12"/>
    <w:rsid w:val="009C70F3"/>
    <w:rsid w:val="009D20DD"/>
    <w:rsid w:val="00A01D51"/>
    <w:rsid w:val="00A04123"/>
    <w:rsid w:val="00A12EBD"/>
    <w:rsid w:val="00A174D9"/>
    <w:rsid w:val="00A21F4B"/>
    <w:rsid w:val="00A2221E"/>
    <w:rsid w:val="00A40168"/>
    <w:rsid w:val="00A569CD"/>
    <w:rsid w:val="00A62224"/>
    <w:rsid w:val="00A91636"/>
    <w:rsid w:val="00A957CD"/>
    <w:rsid w:val="00AA6CCE"/>
    <w:rsid w:val="00AB5EE2"/>
    <w:rsid w:val="00AB63CD"/>
    <w:rsid w:val="00AB6715"/>
    <w:rsid w:val="00AC16B3"/>
    <w:rsid w:val="00AE48ED"/>
    <w:rsid w:val="00B065AF"/>
    <w:rsid w:val="00B16307"/>
    <w:rsid w:val="00B1671E"/>
    <w:rsid w:val="00B25EB8"/>
    <w:rsid w:val="00B354E1"/>
    <w:rsid w:val="00B37F4D"/>
    <w:rsid w:val="00B42B3A"/>
    <w:rsid w:val="00B70808"/>
    <w:rsid w:val="00B81676"/>
    <w:rsid w:val="00B82CD0"/>
    <w:rsid w:val="00BA7C9E"/>
    <w:rsid w:val="00BD5D21"/>
    <w:rsid w:val="00BE0532"/>
    <w:rsid w:val="00BF6E84"/>
    <w:rsid w:val="00C1783C"/>
    <w:rsid w:val="00C24D4A"/>
    <w:rsid w:val="00C316AC"/>
    <w:rsid w:val="00C36883"/>
    <w:rsid w:val="00C52A7B"/>
    <w:rsid w:val="00C56BAF"/>
    <w:rsid w:val="00C679AA"/>
    <w:rsid w:val="00C73372"/>
    <w:rsid w:val="00C75972"/>
    <w:rsid w:val="00C921F6"/>
    <w:rsid w:val="00CC0A3A"/>
    <w:rsid w:val="00CD066B"/>
    <w:rsid w:val="00CD71D2"/>
    <w:rsid w:val="00CE4FEE"/>
    <w:rsid w:val="00CF6D44"/>
    <w:rsid w:val="00D21D6B"/>
    <w:rsid w:val="00D36E4A"/>
    <w:rsid w:val="00D46801"/>
    <w:rsid w:val="00D63F98"/>
    <w:rsid w:val="00D96DD6"/>
    <w:rsid w:val="00DB2552"/>
    <w:rsid w:val="00DB59C3"/>
    <w:rsid w:val="00DC259A"/>
    <w:rsid w:val="00DD011A"/>
    <w:rsid w:val="00DD11E4"/>
    <w:rsid w:val="00DE23E8"/>
    <w:rsid w:val="00E06F2F"/>
    <w:rsid w:val="00E52377"/>
    <w:rsid w:val="00E636CF"/>
    <w:rsid w:val="00E64E17"/>
    <w:rsid w:val="00E75512"/>
    <w:rsid w:val="00E866C9"/>
    <w:rsid w:val="00E87766"/>
    <w:rsid w:val="00E93632"/>
    <w:rsid w:val="00E93B62"/>
    <w:rsid w:val="00E9487A"/>
    <w:rsid w:val="00EA21D3"/>
    <w:rsid w:val="00EA3D3C"/>
    <w:rsid w:val="00EA7BC1"/>
    <w:rsid w:val="00EB4DBE"/>
    <w:rsid w:val="00ED7F0B"/>
    <w:rsid w:val="00F0383D"/>
    <w:rsid w:val="00F17B7E"/>
    <w:rsid w:val="00F2128C"/>
    <w:rsid w:val="00F22677"/>
    <w:rsid w:val="00F425AF"/>
    <w:rsid w:val="00F46900"/>
    <w:rsid w:val="00F61D89"/>
    <w:rsid w:val="00F7286A"/>
    <w:rsid w:val="00F911F6"/>
    <w:rsid w:val="00F9659D"/>
    <w:rsid w:val="00FA18C0"/>
    <w:rsid w:val="00FB7CB4"/>
    <w:rsid w:val="00FD3A0A"/>
    <w:rsid w:val="00FE1E41"/>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6C"/>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Accentuation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Accentuationlgr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styleId="R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6683">
      <w:bodyDiv w:val="1"/>
      <w:marLeft w:val="0"/>
      <w:marRight w:val="0"/>
      <w:marTop w:val="0"/>
      <w:marBottom w:val="0"/>
      <w:divBdr>
        <w:top w:val="none" w:sz="0" w:space="0" w:color="auto"/>
        <w:left w:val="none" w:sz="0" w:space="0" w:color="auto"/>
        <w:bottom w:val="none" w:sz="0" w:space="0" w:color="auto"/>
        <w:right w:val="none" w:sz="0" w:space="0" w:color="auto"/>
      </w:divBdr>
    </w:div>
    <w:div w:id="250085533">
      <w:bodyDiv w:val="1"/>
      <w:marLeft w:val="0"/>
      <w:marRight w:val="0"/>
      <w:marTop w:val="0"/>
      <w:marBottom w:val="0"/>
      <w:divBdr>
        <w:top w:val="none" w:sz="0" w:space="0" w:color="auto"/>
        <w:left w:val="none" w:sz="0" w:space="0" w:color="auto"/>
        <w:bottom w:val="none" w:sz="0" w:space="0" w:color="auto"/>
        <w:right w:val="none" w:sz="0" w:space="0" w:color="auto"/>
      </w:divBdr>
    </w:div>
    <w:div w:id="297541444">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3199032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896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cn.ucsd.edu/eegla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tes.google.com/site/cartoolcommunity/ho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337</TotalTime>
  <Pages>5</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Caren Latreche</cp:lastModifiedBy>
  <cp:revision>126</cp:revision>
  <cp:lastPrinted>2013-10-03T12:51:00Z</cp:lastPrinted>
  <dcterms:created xsi:type="dcterms:W3CDTF">2022-11-17T16:58:00Z</dcterms:created>
  <dcterms:modified xsi:type="dcterms:W3CDTF">2024-09-12T07:50:00Z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