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50"/>
        <w:tblW w:w="11880" w:type="dxa"/>
        <w:tblLayout w:type="fixed"/>
        <w:tblLook w:val="04A0" w:firstRow="1" w:lastRow="0" w:firstColumn="1" w:lastColumn="0" w:noHBand="0" w:noVBand="1"/>
      </w:tblPr>
      <w:tblGrid>
        <w:gridCol w:w="810"/>
        <w:gridCol w:w="810"/>
        <w:gridCol w:w="720"/>
        <w:gridCol w:w="810"/>
        <w:gridCol w:w="900"/>
        <w:gridCol w:w="990"/>
        <w:gridCol w:w="990"/>
        <w:gridCol w:w="810"/>
        <w:gridCol w:w="810"/>
        <w:gridCol w:w="810"/>
        <w:gridCol w:w="810"/>
        <w:gridCol w:w="810"/>
        <w:gridCol w:w="1800"/>
      </w:tblGrid>
      <w:tr w:rsidR="00586055" w:rsidRPr="0083785E" w:rsidTr="00586055">
        <w:trPr>
          <w:trHeight w:val="552"/>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Coronavirus</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S protein length</w:t>
            </w:r>
          </w:p>
        </w:tc>
        <w:tc>
          <w:tcPr>
            <w:tcW w:w="72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NTD</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CTD</w:t>
            </w:r>
          </w:p>
        </w:tc>
        <w:tc>
          <w:tcPr>
            <w:tcW w:w="90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RBM</w:t>
            </w:r>
          </w:p>
        </w:tc>
        <w:tc>
          <w:tcPr>
            <w:tcW w:w="99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S1/S2 cleavage site</w:t>
            </w:r>
          </w:p>
        </w:tc>
        <w:tc>
          <w:tcPr>
            <w:tcW w:w="99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S2 cleavage site</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Fusion peptide 1</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Fusion peptide 2</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Heptad repeat 1</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Heptad repeat 2</w:t>
            </w:r>
          </w:p>
        </w:tc>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TM</w:t>
            </w:r>
          </w:p>
        </w:tc>
        <w:tc>
          <w:tcPr>
            <w:tcW w:w="180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Ref</w:t>
            </w:r>
          </w:p>
        </w:tc>
      </w:tr>
      <w:tr w:rsidR="00586055" w:rsidRPr="0083785E" w:rsidTr="00586055">
        <w:trPr>
          <w:trHeight w:val="876"/>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SARS-CoV-2</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1273</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14-303</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334-527</w:t>
            </w:r>
          </w:p>
        </w:tc>
        <w:tc>
          <w:tcPr>
            <w:tcW w:w="90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437-508</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680-685</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808</w:t>
            </w:r>
            <w:r w:rsidR="00180BA8">
              <w:rPr>
                <w:rFonts w:ascii="Times New Roman" w:hAnsi="Times New Roman" w:cs="Times New Roman"/>
              </w:rPr>
              <w:t xml:space="preserve"> </w:t>
            </w:r>
            <w:r w:rsidRPr="0083785E">
              <w:rPr>
                <w:rFonts w:ascii="Times New Roman" w:hAnsi="Times New Roman" w:cs="Times New Roman"/>
              </w:rPr>
              <w:t>-820</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816-837</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835</w:t>
            </w:r>
            <w:r w:rsidR="00180BA8">
              <w:rPr>
                <w:rFonts w:ascii="Times New Roman" w:hAnsi="Times New Roman" w:cs="Times New Roman"/>
              </w:rPr>
              <w:t xml:space="preserve"> -</w:t>
            </w:r>
            <w:r w:rsidRPr="0083785E">
              <w:rPr>
                <w:rFonts w:ascii="Times New Roman" w:hAnsi="Times New Roman" w:cs="Times New Roman"/>
              </w:rPr>
              <w:t>855</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920</w:t>
            </w:r>
            <w:r w:rsidR="00180BA8">
              <w:rPr>
                <w:rFonts w:ascii="Times New Roman" w:hAnsi="Times New Roman" w:cs="Times New Roman"/>
              </w:rPr>
              <w:t xml:space="preserve"> </w:t>
            </w:r>
            <w:r w:rsidRPr="0083785E">
              <w:rPr>
                <w:rFonts w:ascii="Times New Roman" w:hAnsi="Times New Roman" w:cs="Times New Roman"/>
              </w:rPr>
              <w:t>-970</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1163-1202</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1214-1237</w:t>
            </w:r>
          </w:p>
        </w:tc>
        <w:tc>
          <w:tcPr>
            <w:tcW w:w="1800" w:type="dxa"/>
          </w:tcPr>
          <w:p w:rsidR="00D6726F" w:rsidRDefault="002A6F1D" w:rsidP="0058605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NTD, CTD, RBM, FP1, </w:t>
            </w:r>
            <w:r w:rsidR="00D6726F" w:rsidRPr="0083785E">
              <w:rPr>
                <w:rFonts w:ascii="Times New Roman" w:eastAsia="Times New Roman" w:hAnsi="Times New Roman" w:cs="Times New Roman"/>
                <w:color w:val="000000"/>
                <w:sz w:val="16"/>
                <w:szCs w:val="16"/>
              </w:rPr>
              <w:t>FP2, HR1,HR2, TM domains</w:t>
            </w:r>
            <w:r>
              <w:rPr>
                <w:rStyle w:val="Hyperlink"/>
                <w:rFonts w:ascii="Times New Roman" w:hAnsi="Times New Roman" w:cs="Times New Roman"/>
                <w:color w:val="000000" w:themeColor="text1"/>
                <w:sz w:val="16"/>
                <w:szCs w:val="16"/>
                <w:u w:val="none"/>
              </w:rPr>
              <w:t xml:space="preserve"> - </w:t>
            </w:r>
            <w:r>
              <w:rPr>
                <w:rStyle w:val="Hyperlink"/>
                <w:rFonts w:ascii="Times New Roman" w:hAnsi="Times New Roman" w:cs="Times New Roman"/>
                <w:color w:val="000000" w:themeColor="text1"/>
                <w:sz w:val="16"/>
                <w:szCs w:val="16"/>
                <w:u w:val="none"/>
              </w:rPr>
              <w:t xml:space="preserve">UniProt - </w:t>
            </w:r>
            <w:r w:rsidRPr="00D6726F">
              <w:rPr>
                <w:rStyle w:val="Hyperlink"/>
                <w:rFonts w:ascii="Times New Roman" w:hAnsi="Times New Roman" w:cs="Times New Roman"/>
                <w:color w:val="000000" w:themeColor="text1"/>
                <w:sz w:val="16"/>
                <w:szCs w:val="16"/>
                <w:u w:val="none"/>
              </w:rPr>
              <w:t>P0DTC2</w:t>
            </w:r>
            <w:r w:rsidR="00180BA8">
              <w:rPr>
                <w:rFonts w:ascii="Times New Roman" w:eastAsia="Times New Roman" w:hAnsi="Times New Roman" w:cs="Times New Roman"/>
                <w:color w:val="000000"/>
                <w:sz w:val="16"/>
                <w:szCs w:val="16"/>
              </w:rPr>
              <w:t>;</w:t>
            </w:r>
          </w:p>
          <w:p w:rsidR="00D6726F" w:rsidRPr="0083785E" w:rsidRDefault="002A6F1D" w:rsidP="00586055">
            <w:pPr>
              <w:rPr>
                <w:rFonts w:ascii="Times New Roman" w:hAnsi="Times New Roman" w:cs="Times New Roman"/>
                <w:sz w:val="16"/>
                <w:szCs w:val="16"/>
              </w:rPr>
            </w:pPr>
            <w:r w:rsidRPr="0083785E">
              <w:rPr>
                <w:rFonts w:ascii="Times New Roman" w:hAnsi="Times New Roman" w:cs="Times New Roman"/>
                <w:color w:val="000000"/>
                <w:sz w:val="16"/>
                <w:szCs w:val="16"/>
              </w:rPr>
              <w:t>S1/S2 and S2 cleavage sites</w:t>
            </w:r>
            <w:r>
              <w:rPr>
                <w:rFonts w:ascii="Times New Roman" w:hAnsi="Times New Roman" w:cs="Times New Roman"/>
                <w:color w:val="000000"/>
                <w:sz w:val="16"/>
                <w:szCs w:val="16"/>
              </w:rPr>
              <w:t xml:space="preserve"> -</w:t>
            </w:r>
            <w:r>
              <w:rPr>
                <w:rFonts w:ascii="Times New Roman" w:hAnsi="Times New Roman" w:cs="Times New Roman"/>
                <w:sz w:val="16"/>
                <w:szCs w:val="16"/>
              </w:rPr>
              <w:t xml:space="preserve"> </w:t>
            </w:r>
            <w:r w:rsidR="00D6726F">
              <w:rPr>
                <w:rFonts w:ascii="Times New Roman" w:hAnsi="Times New Roman" w:cs="Times New Roman"/>
                <w:sz w:val="16"/>
                <w:szCs w:val="16"/>
              </w:rPr>
              <w:fldChar w:fldCharType="begin"/>
            </w:r>
            <w:r w:rsidR="00D6726F">
              <w:rPr>
                <w:rFonts w:ascii="Times New Roman" w:hAnsi="Times New Roman" w:cs="Times New Roman"/>
                <w:sz w:val="16"/>
                <w:szCs w:val="16"/>
              </w:rPr>
              <w:instrText xml:space="preserve"> ADDIN ZOTERO_ITEM CSL_CITATION {"citationID":"lg8Xd4dQ","properties":{"formattedCitation":"(Winger and Caspari 2021)","plainCitation":"(Winger and Caspari 2021)","noteIndex":0},"citationItems":[{"id":412,"uris":["http://zotero.org/users/local/YzCIES2Q/items/DN8KYETX"],"itemData":{"id":412,"type":"article-journal","abstract":"The high sequence identity of the first SARS-CoV-2 samples collected in December 2019 at Wuhan did not foretell the emergence of novel variants in the United Kingdom, North and South America, India, or South Africa that drive the current waves of the pandemic. The viral spike receptor possesses two surface areas of high mutagenic plasticity: the supersite in its N-terminal domain (NTD) that is recognised by all anti-NTD antibodies and its receptor binding domain (RBD) where 17 residues make contact with the human Ace2 protein (angiotensin I converting enzyme 2) and many neutralising antibodies bind. While NTD mutations appear at first glance very diverse, they converge on the structure of the supersite. The mutations within the RBD, on the other hand, hone in on only a small number of key sites (K417, L452, E484, N501) that are allosteric control points enabling spike to escape neutralising antibodies while maintaining or even gaining Ace2-binding activity. The D614G mutation is the hallmark of all variants, as it promotes viral spread by increasing the number of open spike protomers in the homo-trimeric receptor complex. This review discusses the recent spike mutations as well as their evolution.","container-title":"Viruses","DOI":"10.3390/v13061002","ISSN":"1999-4915","issue":"6","title":"The Spike of Concern—The Novel Variants of SARS-CoV-2","URL":"https://www.mdpi.com/1999-4915/13/6/1002","volume":"13","author":[{"family":"Winger","given":"Anna"},{"family":"Caspari","given":"Thomas"}],"issued":{"date-parts":[["2021"]]}}}],"schema":"https://github.com/citation-style-language/schema/raw/master/csl-citation.json"} </w:instrText>
            </w:r>
            <w:r w:rsidR="00D6726F">
              <w:rPr>
                <w:rFonts w:ascii="Times New Roman" w:hAnsi="Times New Roman" w:cs="Times New Roman"/>
                <w:sz w:val="16"/>
                <w:szCs w:val="16"/>
              </w:rPr>
              <w:fldChar w:fldCharType="separate"/>
            </w:r>
            <w:r w:rsidR="00D6726F" w:rsidRPr="00D6726F">
              <w:rPr>
                <w:rFonts w:ascii="Times New Roman" w:hAnsi="Times New Roman" w:cs="Times New Roman"/>
                <w:sz w:val="16"/>
              </w:rPr>
              <w:t xml:space="preserve">(Winger and </w:t>
            </w:r>
            <w:proofErr w:type="spellStart"/>
            <w:r w:rsidR="00D6726F" w:rsidRPr="00D6726F">
              <w:rPr>
                <w:rFonts w:ascii="Times New Roman" w:hAnsi="Times New Roman" w:cs="Times New Roman"/>
                <w:sz w:val="16"/>
              </w:rPr>
              <w:t>Caspari</w:t>
            </w:r>
            <w:proofErr w:type="spellEnd"/>
            <w:r w:rsidR="00D6726F" w:rsidRPr="00D6726F">
              <w:rPr>
                <w:rFonts w:ascii="Times New Roman" w:hAnsi="Times New Roman" w:cs="Times New Roman"/>
                <w:sz w:val="16"/>
              </w:rPr>
              <w:t xml:space="preserve"> 2021)</w:t>
            </w:r>
            <w:r w:rsidR="00D6726F">
              <w:rPr>
                <w:rFonts w:ascii="Times New Roman" w:hAnsi="Times New Roman" w:cs="Times New Roman"/>
                <w:sz w:val="16"/>
                <w:szCs w:val="16"/>
              </w:rPr>
              <w:fldChar w:fldCharType="end"/>
            </w:r>
          </w:p>
        </w:tc>
      </w:tr>
      <w:tr w:rsidR="00586055" w:rsidRPr="0083785E" w:rsidTr="00586055">
        <w:trPr>
          <w:trHeight w:val="1322"/>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SARS-</w:t>
            </w:r>
            <w:proofErr w:type="spellStart"/>
            <w:r w:rsidRPr="0083785E">
              <w:rPr>
                <w:rFonts w:ascii="Times New Roman" w:eastAsia="Times New Roman" w:hAnsi="Times New Roman" w:cs="Times New Roman"/>
                <w:color w:val="000000"/>
                <w:sz w:val="20"/>
                <w:szCs w:val="20"/>
              </w:rPr>
              <w:t>CoV</w:t>
            </w:r>
            <w:proofErr w:type="spellEnd"/>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1255</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14-290</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321-513</w:t>
            </w:r>
          </w:p>
        </w:tc>
        <w:tc>
          <w:tcPr>
            <w:tcW w:w="90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424-494</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662-672</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797-798</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798-819</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817-837</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902-952</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1145-1184</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1194-1227</w:t>
            </w:r>
          </w:p>
        </w:tc>
        <w:tc>
          <w:tcPr>
            <w:tcW w:w="1800" w:type="dxa"/>
          </w:tcPr>
          <w:p w:rsidR="00D6726F" w:rsidRDefault="00D6726F" w:rsidP="00586055">
            <w:pPr>
              <w:rPr>
                <w:rFonts w:ascii="Times New Roman" w:eastAsia="Times New Roman" w:hAnsi="Times New Roman" w:cs="Times New Roman"/>
                <w:color w:val="000000"/>
                <w:sz w:val="16"/>
                <w:szCs w:val="16"/>
              </w:rPr>
            </w:pPr>
            <w:r w:rsidRPr="0083785E">
              <w:rPr>
                <w:rFonts w:ascii="Times New Roman" w:eastAsia="Times New Roman" w:hAnsi="Times New Roman" w:cs="Times New Roman"/>
                <w:color w:val="000000"/>
                <w:sz w:val="16"/>
                <w:szCs w:val="16"/>
              </w:rPr>
              <w:t>NTD, CTD, RBM, FP1, FP2, HR1, HR2, TM domains</w:t>
            </w:r>
            <w:r w:rsidR="002A6F1D">
              <w:rPr>
                <w:rFonts w:ascii="Times New Roman" w:eastAsia="Times New Roman" w:hAnsi="Times New Roman" w:cs="Times New Roman"/>
                <w:color w:val="000000"/>
                <w:sz w:val="16"/>
                <w:szCs w:val="16"/>
              </w:rPr>
              <w:t xml:space="preserve"> -</w:t>
            </w:r>
            <w:r w:rsidR="002A6F1D">
              <w:rPr>
                <w:rStyle w:val="Hyperlink"/>
                <w:rFonts w:ascii="Times New Roman" w:hAnsi="Times New Roman" w:cs="Times New Roman"/>
                <w:color w:val="000000" w:themeColor="text1"/>
                <w:sz w:val="16"/>
                <w:szCs w:val="16"/>
                <w:u w:val="none"/>
              </w:rPr>
              <w:t xml:space="preserve"> </w:t>
            </w:r>
            <w:r w:rsidR="002A6F1D">
              <w:rPr>
                <w:rStyle w:val="Hyperlink"/>
                <w:rFonts w:ascii="Times New Roman" w:hAnsi="Times New Roman" w:cs="Times New Roman"/>
                <w:color w:val="000000" w:themeColor="text1"/>
                <w:sz w:val="16"/>
                <w:szCs w:val="16"/>
                <w:u w:val="none"/>
              </w:rPr>
              <w:t>UniProt – P59594</w:t>
            </w:r>
            <w:r w:rsidR="00180BA8">
              <w:rPr>
                <w:rFonts w:ascii="Times New Roman" w:eastAsia="Times New Roman" w:hAnsi="Times New Roman" w:cs="Times New Roman"/>
                <w:color w:val="000000"/>
                <w:sz w:val="16"/>
                <w:szCs w:val="16"/>
              </w:rPr>
              <w:t>;</w:t>
            </w:r>
          </w:p>
          <w:p w:rsidR="004D748D" w:rsidRPr="0083785E" w:rsidRDefault="002A6F1D" w:rsidP="00586055">
            <w:pPr>
              <w:rPr>
                <w:rFonts w:ascii="Times New Roman" w:eastAsia="Times New Roman" w:hAnsi="Times New Roman" w:cs="Times New Roman"/>
                <w:sz w:val="16"/>
                <w:szCs w:val="16"/>
              </w:rPr>
            </w:pPr>
            <w:r w:rsidRPr="0083785E">
              <w:rPr>
                <w:rFonts w:ascii="Times New Roman" w:hAnsi="Times New Roman" w:cs="Times New Roman"/>
                <w:color w:val="000000"/>
                <w:sz w:val="16"/>
                <w:szCs w:val="16"/>
              </w:rPr>
              <w:t>S1/S2 and S2 cleavage sites</w:t>
            </w:r>
            <w:r>
              <w:rPr>
                <w:rFonts w:ascii="Times New Roman" w:hAnsi="Times New Roman" w:cs="Times New Roman"/>
                <w:color w:val="000000"/>
                <w:sz w:val="16"/>
                <w:szCs w:val="16"/>
              </w:rPr>
              <w:t xml:space="preserve"> -</w:t>
            </w:r>
          </w:p>
          <w:p w:rsidR="00D6726F" w:rsidRDefault="00180BA8" w:rsidP="00586055">
            <w:pPr>
              <w:rPr>
                <w:rFonts w:ascii="Times New Roman" w:hAnsi="Times New Roman" w:cs="Times New Roman"/>
                <w:color w:val="000000"/>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ZOTERO_ITEM CSL_CITATION {"citationID":"2EKpdQTM","properties":{"formattedCitation":"(Yuan et al. 2017)","plainCitation":"(Yuan et al. 2017)","noteIndex":0},"citationItems":[{"id":413,"uris":["http://zotero.org/users/local/YzCIES2Q/items/424IUUJI"],"itemData":{"id":413,"type":"article-journal","abstract":"The envelope spike (S) proteins of MERS-CoV and SARS-CoV determine the virus host tropism and entry into host cells, and constitute a promising target for the development of prophylactics and therapeutics. Here, we present high-resolution structures of the trimeric MERS-CoV and SARS-CoV S proteins in its pre-fusion conformation by single particle cryo-electron microscopy. The overall structures resemble that from other coronaviruses including HKU1, MHV and NL63 reported recently, with the exception of the receptor binding domain (RBD). We captured two states of the RBD with receptor binding region either buried (lying state) or exposed (standing state), demonstrating an inherently flexible RBD readily recognized by the receptor. Further sequence conservation analysis of six human-infecting coronaviruses revealed that the fusion peptide, HR1 region and the central helix are potential targets for eliciting broadly neutralizing antibodies.","container-title":"Nature Communications","DOI":"10.1038/ncomms15092","ISSN":"2041-1723","issue":"1","journalAbbreviation":"Nature Communications","page":"15092","title":"Cryo-EM structures of MERS-CoV and SARS-CoV spike glycoproteins reveal the dynamic receptor binding domains","volume":"8","author":[{"family":"Yuan","given":"Yuan"},{"family":"Cao","given":"Duanfang"},{"family":"Zhang","given":"Yanfang"},{"family":"Ma","given":"Jun"},{"family":"Qi","given":"Jianxun"},{"family":"Wang","given":"Qihui"},{"family":"Lu","given":"Guangwen"},{"family":"Wu","given":"Ying"},{"family":"Yan","given":"Jinghua"},{"family":"Shi","given":"Yi"},{"family":"Zhang","given":"Xinzheng"},{"family":"Gao","given":"George F."}],"issued":{"date-parts":[["2017",4,10]]}}}],"schema":"https://github.com/citation-style-language/schema/raw/master/csl-citation.json"} </w:instrText>
            </w:r>
            <w:r>
              <w:rPr>
                <w:rFonts w:ascii="Times New Roman" w:hAnsi="Times New Roman" w:cs="Times New Roman"/>
                <w:sz w:val="16"/>
                <w:szCs w:val="16"/>
              </w:rPr>
              <w:fldChar w:fldCharType="separate"/>
            </w:r>
            <w:r w:rsidRPr="00180BA8">
              <w:rPr>
                <w:rFonts w:ascii="Times New Roman" w:hAnsi="Times New Roman" w:cs="Times New Roman"/>
                <w:sz w:val="16"/>
              </w:rPr>
              <w:t>(Yuan et al. 2017)</w:t>
            </w:r>
            <w:r>
              <w:rPr>
                <w:rFonts w:ascii="Times New Roman" w:hAnsi="Times New Roman" w:cs="Times New Roman"/>
                <w:sz w:val="16"/>
                <w:szCs w:val="16"/>
              </w:rPr>
              <w:fldChar w:fldCharType="end"/>
            </w:r>
            <w:r w:rsidR="004D748D">
              <w:rPr>
                <w:rFonts w:ascii="Times New Roman" w:hAnsi="Times New Roman" w:cs="Times New Roman"/>
                <w:color w:val="000000"/>
                <w:sz w:val="16"/>
                <w:szCs w:val="16"/>
              </w:rPr>
              <w:t>;</w:t>
            </w:r>
          </w:p>
          <w:p w:rsidR="00D6726F" w:rsidRPr="00180BA8" w:rsidRDefault="002A6F1D" w:rsidP="00586055">
            <w:pPr>
              <w:rPr>
                <w:rFonts w:ascii="Times New Roman" w:hAnsi="Times New Roman" w:cs="Times New Roman"/>
                <w:color w:val="000000"/>
                <w:sz w:val="16"/>
                <w:szCs w:val="16"/>
              </w:rPr>
            </w:pPr>
            <w:r w:rsidRPr="0083785E">
              <w:rPr>
                <w:rFonts w:ascii="Times New Roman" w:hAnsi="Times New Roman" w:cs="Times New Roman"/>
                <w:color w:val="000000"/>
                <w:sz w:val="16"/>
                <w:szCs w:val="16"/>
              </w:rPr>
              <w:t>TM domain</w:t>
            </w:r>
            <w:r>
              <w:rPr>
                <w:rFonts w:ascii="Times New Roman" w:hAnsi="Times New Roman" w:cs="Times New Roman"/>
                <w:color w:val="000000"/>
                <w:sz w:val="16"/>
                <w:szCs w:val="16"/>
              </w:rPr>
              <w:t xml:space="preserve"> – </w:t>
            </w:r>
            <w:r w:rsidR="00180BA8">
              <w:rPr>
                <w:rFonts w:ascii="Times New Roman" w:hAnsi="Times New Roman" w:cs="Times New Roman"/>
                <w:color w:val="000000"/>
                <w:sz w:val="16"/>
                <w:szCs w:val="16"/>
              </w:rPr>
              <w:fldChar w:fldCharType="begin"/>
            </w:r>
            <w:r w:rsidR="00180BA8">
              <w:rPr>
                <w:rFonts w:ascii="Times New Roman" w:hAnsi="Times New Roman" w:cs="Times New Roman"/>
                <w:color w:val="000000"/>
                <w:sz w:val="16"/>
                <w:szCs w:val="16"/>
              </w:rPr>
              <w:instrText xml:space="preserve"> ADDIN ZOTERO_ITEM CSL_CITATION {"citationID":"hlYgQBwc","properties":{"formattedCitation":"(Broer et al. 2006)","plainCitation":"(Broer et al. 2006)","noteIndex":0},"citationItems":[{"id":414,"uris":["http://zotero.org/users/local/YzCIES2Q/items/XYKPXGV5"],"itemData":{"id":414,"type":"article-journal","abstract":"The spike protein (S) of severe acute respiratory syndrome coronavirus (SARS-CoV) is responsible for receptor binding and membrane fusion. It contains a highly  conserved transmembrane domain that consists of three parts: an N-terminal  tryptophan-rich domain, a central domain, and a cysteine-rich C-terminal domain.  The cytoplasmic tail of S has previously been shown to be required for assembly.  Here, the roles of the transmembrane and cytoplasmic domains of S in the  infectivity and membrane fusion activity of SARS-CoV have been studied. SARS-CoV  S-pseudotyped retrovirus (SARSpp) was used to measure S-mediated infectivity. In  addition, the cell-cell fusion activity of S was monitored by a Renilla  luciferase-based cell-cell fusion assay. S(VSV-Cyt), an S chimera with a  cytoplasmic tail derived from vesicular stomatitis virus G protein (VSV-G), and  S(MHV-TMDCyt), an S chimera with the cytoplasmic and transmembrane domains of  mouse hepatitis virus, displayed wild-type-like activity in both assays.  S(VSV-TMDCyt), a chimera with the cytoplasmic and transmembrane domains of VSV-G,  was impaired in the SARSpp and cell-cell fusion assays, showing 3 to 25% activity  compared to the wild type, depending on the assay and the cells used. Examination  of the oligomeric state of the chimeric S proteins in SARSpp revealed that  S(VSV-TMDCyt) trimers were less stable than wild-type S trimers, possibly  explaining the lowered fusogenicity and infectivity.","container-title":"Journal of virology","DOI":"10.1128/JVI.80.3.1302-1310.2006","ISSN":"0022-538X 1098-5514","issue":"3","journalAbbreviation":"J Virol","language":"eng","note":"publisher-place: United States\nPMID: 16415007 \nPMCID: PMC1346921","page":"1302-1310","title":"Important role for the transmembrane domain of severe acute respiratory syndrome coronavirus spike protein during entry.","volume":"80","author":[{"family":"Broer","given":"Rene"},{"family":"Boson","given":"Bertrand"},{"family":"Spaan","given":"Willy"},{"family":"Cosset","given":"François-Loïc"},{"family":"Corver","given":"Jeroen"}],"issued":{"date-parts":[["2006",2]]}}}],"schema":"https://github.com/citation-style-language/schema/raw/master/csl-citation.json"} </w:instrText>
            </w:r>
            <w:r w:rsidR="00180BA8">
              <w:rPr>
                <w:rFonts w:ascii="Times New Roman" w:hAnsi="Times New Roman" w:cs="Times New Roman"/>
                <w:color w:val="000000"/>
                <w:sz w:val="16"/>
                <w:szCs w:val="16"/>
              </w:rPr>
              <w:fldChar w:fldCharType="separate"/>
            </w:r>
            <w:r w:rsidR="00180BA8" w:rsidRPr="00180BA8">
              <w:rPr>
                <w:rFonts w:ascii="Times New Roman" w:hAnsi="Times New Roman" w:cs="Times New Roman"/>
                <w:sz w:val="16"/>
              </w:rPr>
              <w:t>(</w:t>
            </w:r>
            <w:proofErr w:type="spellStart"/>
            <w:r w:rsidR="00180BA8" w:rsidRPr="00180BA8">
              <w:rPr>
                <w:rFonts w:ascii="Times New Roman" w:hAnsi="Times New Roman" w:cs="Times New Roman"/>
                <w:sz w:val="16"/>
              </w:rPr>
              <w:t>Broer</w:t>
            </w:r>
            <w:proofErr w:type="spellEnd"/>
            <w:r w:rsidR="00180BA8" w:rsidRPr="00180BA8">
              <w:rPr>
                <w:rFonts w:ascii="Times New Roman" w:hAnsi="Times New Roman" w:cs="Times New Roman"/>
                <w:sz w:val="16"/>
              </w:rPr>
              <w:t xml:space="preserve"> et al. 2006)</w:t>
            </w:r>
            <w:r w:rsidR="00180BA8">
              <w:rPr>
                <w:rFonts w:ascii="Times New Roman" w:hAnsi="Times New Roman" w:cs="Times New Roman"/>
                <w:color w:val="000000"/>
                <w:sz w:val="16"/>
                <w:szCs w:val="16"/>
              </w:rPr>
              <w:fldChar w:fldCharType="end"/>
            </w:r>
          </w:p>
        </w:tc>
      </w:tr>
      <w:tr w:rsidR="00586055" w:rsidRPr="0083785E" w:rsidTr="00586055">
        <w:trPr>
          <w:trHeight w:val="1448"/>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MERS-</w:t>
            </w:r>
            <w:proofErr w:type="spellStart"/>
            <w:r w:rsidRPr="0083785E">
              <w:rPr>
                <w:rFonts w:ascii="Times New Roman" w:eastAsia="Times New Roman" w:hAnsi="Times New Roman" w:cs="Times New Roman"/>
                <w:color w:val="000000"/>
                <w:sz w:val="20"/>
                <w:szCs w:val="20"/>
              </w:rPr>
              <w:t>CoV</w:t>
            </w:r>
            <w:proofErr w:type="spellEnd"/>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1353</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18-351</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381-587</w:t>
            </w:r>
          </w:p>
        </w:tc>
        <w:tc>
          <w:tcPr>
            <w:tcW w:w="90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424-454</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751-752</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887-888</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888-909</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907-929</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994-1044</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1246-1285</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1295-1326</w:t>
            </w:r>
          </w:p>
        </w:tc>
        <w:tc>
          <w:tcPr>
            <w:tcW w:w="1800" w:type="dxa"/>
          </w:tcPr>
          <w:p w:rsidR="00D6726F" w:rsidRDefault="004D748D" w:rsidP="0058605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NTD, CTD, </w:t>
            </w:r>
            <w:r w:rsidR="00D6726F" w:rsidRPr="0083785E">
              <w:rPr>
                <w:rFonts w:ascii="Times New Roman" w:eastAsia="Times New Roman" w:hAnsi="Times New Roman" w:cs="Times New Roman"/>
                <w:color w:val="000000"/>
                <w:sz w:val="16"/>
                <w:szCs w:val="16"/>
              </w:rPr>
              <w:t>FP1, FP2, HR1,HR2 domains</w:t>
            </w:r>
            <w:r w:rsidR="002A6F1D">
              <w:rPr>
                <w:rFonts w:ascii="Times New Roman" w:eastAsia="Times New Roman" w:hAnsi="Times New Roman" w:cs="Times New Roman"/>
                <w:color w:val="000000"/>
                <w:sz w:val="16"/>
                <w:szCs w:val="16"/>
              </w:rPr>
              <w:t xml:space="preserve"> - </w:t>
            </w:r>
            <w:r w:rsidR="002A6F1D">
              <w:rPr>
                <w:rFonts w:ascii="Times New Roman" w:eastAsia="Times New Roman" w:hAnsi="Times New Roman" w:cs="Times New Roman"/>
                <w:color w:val="000000"/>
                <w:sz w:val="16"/>
                <w:szCs w:val="16"/>
              </w:rPr>
              <w:t>UniProt – K9N5Q8</w:t>
            </w:r>
            <w:r>
              <w:rPr>
                <w:rFonts w:ascii="Times New Roman" w:eastAsia="Times New Roman" w:hAnsi="Times New Roman" w:cs="Times New Roman"/>
                <w:color w:val="000000"/>
                <w:sz w:val="16"/>
                <w:szCs w:val="16"/>
              </w:rPr>
              <w:t>;</w:t>
            </w:r>
          </w:p>
          <w:p w:rsidR="004D748D" w:rsidRDefault="002A6F1D" w:rsidP="00586055">
            <w:pPr>
              <w:rPr>
                <w:rFonts w:ascii="Times New Roman" w:eastAsia="Times New Roman" w:hAnsi="Times New Roman" w:cs="Times New Roman"/>
                <w:sz w:val="16"/>
                <w:szCs w:val="16"/>
              </w:rPr>
            </w:pPr>
            <w:r>
              <w:rPr>
                <w:rFonts w:ascii="Times New Roman" w:eastAsia="Times New Roman" w:hAnsi="Times New Roman" w:cs="Times New Roman"/>
                <w:sz w:val="16"/>
                <w:szCs w:val="16"/>
              </w:rPr>
              <w:t>RBM</w:t>
            </w:r>
            <w:r>
              <w:rPr>
                <w:rFonts w:ascii="Times New Roman" w:eastAsia="Times New Roman" w:hAnsi="Times New Roman" w:cs="Times New Roman"/>
                <w:sz w:val="16"/>
                <w:szCs w:val="16"/>
              </w:rPr>
              <w:t xml:space="preserve"> - </w:t>
            </w:r>
            <w:r w:rsidR="004D748D">
              <w:rPr>
                <w:rFonts w:ascii="Times New Roman" w:eastAsia="Times New Roman" w:hAnsi="Times New Roman" w:cs="Times New Roman"/>
                <w:sz w:val="16"/>
                <w:szCs w:val="16"/>
              </w:rPr>
              <w:fldChar w:fldCharType="begin"/>
            </w:r>
            <w:r w:rsidR="004D748D">
              <w:rPr>
                <w:rFonts w:ascii="Times New Roman" w:eastAsia="Times New Roman" w:hAnsi="Times New Roman" w:cs="Times New Roman"/>
                <w:sz w:val="16"/>
                <w:szCs w:val="16"/>
              </w:rPr>
              <w:instrText xml:space="preserve"> ADDIN ZOTERO_ITEM CSL_CITATION {"citationID":"Fg98HQX0","properties":{"formattedCitation":"(Hatmal et al. 2020)","plainCitation":"(Hatmal et al. 2020)","noteIndex":0},"citationItems":[{"id":415,"uris":["http://zotero.org/users/local/YzCIES2Q/items/QF77ZPCB"],"itemData":{"id":415,"type":"article-journal","abstract":"The severe acute respiratory syndrome coronavirus-2 (SARS-CoV-2) has recently emerged in China and caused a disease called coronavirus disease 2019 (COVID-19).  The virus quickly spread around the world, causing a sustained global outbreak.  Although SARS-CoV-2, and other coronaviruses, SARS-CoV and Middle East  respiratory syndrome CoV (MERS-CoV) are highly similar genetically and at the  protein production level, there are significant differences between them.  Research has shown that the structural spike (S) protein plays an important role  in the evolution and transmission of SARS-CoV-2. So far, studies have shown that  various genes encoding primarily for elements of S protein undergo frequent  mutation. We have performed an in-depth review of the literature covering the  structural and mutational aspects of S protein in the context of SARS-CoV-2, and  compared them with those of SARS-CoV and MERS-CoV. Our analytical approach  consisted in an initial genome and transcriptome analysis, followed by primary,  secondary and tertiary protein structure analysis. Additionally, we investigated  the potential effects of these differences on the S protein binding and  interactions to angiotensin-converting enzyme 2 (ACE2), and we established, after  extensive analysis of previous research articles, that SARS-CoV-2 and SARS-CoV  use different ends/regions in S protein receptor-binding motif (RBM) and  different types of interactions for their chief binding with ACE2. These  differences may have significant implications on pathogenesis, entry and ability  to infect intermediate hosts for these coronaviruses. This review comprehensively  addresses in detail the variations in S protein, its receptor-binding  characteristics and detailed structural interactions, the process of cleavage  involved in priming, as well as other differences between coronaviruses.","container-title":"Cells","DOI":"10.3390/cells9122638","ISSN":"2073-4409","issue":"12","journalAbbreviation":"Cells","language":"eng","note":"publisher-place: Switzerland\nPMID: 33302501 \nPMCID: PMC7763676","title":"Comprehensive Structural and Molecular Comparison of Spike Proteins of SARS-CoV-2, SARS-CoV and MERS-CoV, and Their Interactions with ACE2.","volume":"9","author":[{"family":"Hatmal","given":"Ma'mon M."},{"family":"Alshaer","given":"Walhan"},{"family":"Al-Hatamleh","given":"Mohammad A. I."},{"family":"Hatmal","given":"Malik"},{"family":"Smadi","given":"Othman"},{"family":"Taha","given":"Mutasem O."},{"family":"Oweida","given":"Ayman J."},{"family":"Boer","given":"Jennifer C."},{"family":"Mohamud","given":"Rohimah"},{"family":"Plebanski","given":"Magdalena"}],"issued":{"date-parts":[["2020",12,8]]}}}],"schema":"https://github.com/citation-style-language/schema/raw/master/csl-citation.json"} </w:instrText>
            </w:r>
            <w:r w:rsidR="004D748D">
              <w:rPr>
                <w:rFonts w:ascii="Times New Roman" w:eastAsia="Times New Roman" w:hAnsi="Times New Roman" w:cs="Times New Roman"/>
                <w:sz w:val="16"/>
                <w:szCs w:val="16"/>
              </w:rPr>
              <w:fldChar w:fldCharType="separate"/>
            </w:r>
            <w:r w:rsidR="004D748D" w:rsidRPr="004D748D">
              <w:rPr>
                <w:rFonts w:ascii="Times New Roman" w:hAnsi="Times New Roman" w:cs="Times New Roman"/>
                <w:sz w:val="16"/>
              </w:rPr>
              <w:t>(</w:t>
            </w:r>
            <w:proofErr w:type="spellStart"/>
            <w:r w:rsidR="004D748D" w:rsidRPr="004D748D">
              <w:rPr>
                <w:rFonts w:ascii="Times New Roman" w:hAnsi="Times New Roman" w:cs="Times New Roman"/>
                <w:sz w:val="16"/>
              </w:rPr>
              <w:t>Hatmal</w:t>
            </w:r>
            <w:proofErr w:type="spellEnd"/>
            <w:r w:rsidR="004D748D" w:rsidRPr="004D748D">
              <w:rPr>
                <w:rFonts w:ascii="Times New Roman" w:hAnsi="Times New Roman" w:cs="Times New Roman"/>
                <w:sz w:val="16"/>
              </w:rPr>
              <w:t xml:space="preserve"> et al. 2020)</w:t>
            </w:r>
            <w:r w:rsidR="004D748D">
              <w:rPr>
                <w:rFonts w:ascii="Times New Roman" w:eastAsia="Times New Roman" w:hAnsi="Times New Roman" w:cs="Times New Roman"/>
                <w:sz w:val="16"/>
                <w:szCs w:val="16"/>
              </w:rPr>
              <w:fldChar w:fldCharType="end"/>
            </w:r>
            <w:r w:rsidR="004D748D">
              <w:rPr>
                <w:rFonts w:ascii="Times New Roman" w:eastAsia="Times New Roman" w:hAnsi="Times New Roman" w:cs="Times New Roman"/>
                <w:sz w:val="16"/>
                <w:szCs w:val="16"/>
              </w:rPr>
              <w:t xml:space="preserve"> ;</w:t>
            </w:r>
          </w:p>
          <w:p w:rsidR="004D748D" w:rsidRPr="0083785E" w:rsidRDefault="002A6F1D" w:rsidP="00586055">
            <w:pPr>
              <w:rPr>
                <w:rFonts w:ascii="Times New Roman" w:eastAsia="Times New Roman" w:hAnsi="Times New Roman" w:cs="Times New Roman"/>
                <w:sz w:val="16"/>
                <w:szCs w:val="16"/>
              </w:rPr>
            </w:pPr>
            <w:r w:rsidRPr="0083785E">
              <w:rPr>
                <w:rFonts w:ascii="Times New Roman" w:hAnsi="Times New Roman" w:cs="Times New Roman"/>
                <w:color w:val="000000"/>
                <w:sz w:val="16"/>
                <w:szCs w:val="16"/>
              </w:rPr>
              <w:t>S1/S2 and S2 cleavage sites</w:t>
            </w:r>
            <w:r>
              <w:rPr>
                <w:rFonts w:ascii="Times New Roman" w:hAnsi="Times New Roman" w:cs="Times New Roman"/>
                <w:color w:val="000000"/>
                <w:sz w:val="16"/>
                <w:szCs w:val="16"/>
              </w:rPr>
              <w:t xml:space="preserve"> -</w:t>
            </w:r>
          </w:p>
          <w:p w:rsidR="00D6726F" w:rsidRPr="0083785E" w:rsidRDefault="004D748D" w:rsidP="00586055">
            <w:pPr>
              <w:rPr>
                <w:rFonts w:ascii="Times New Roman" w:hAnsi="Times New Roman" w:cs="Times New Roman"/>
                <w:sz w:val="16"/>
                <w:szCs w:val="16"/>
              </w:rPr>
            </w:pPr>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 ADDIN ZOTERO_ITEM CSL_CITATION {"citationID":"fJn4O7ni","properties":{"formattedCitation":"(Yuan et al. 2017)","plainCitation":"(Yuan et al. 2017)","noteIndex":0},"citationItems":[{"id":413,"uris":["http://zotero.org/users/local/YzCIES2Q/items/424IUUJI"],"itemData":{"id":413,"type":"article-journal","abstract":"The envelope spike (S) proteins of MERS-CoV and SARS-CoV determine the virus host tropism and entry into host cells, and constitute a promising target for the development of prophylactics and therapeutics. Here, we present high-resolution structures of the trimeric MERS-CoV and SARS-CoV S proteins in its pre-fusion conformation by single particle cryo-electron microscopy. The overall structures resemble that from other coronaviruses including HKU1, MHV and NL63 reported recently, with the exception of the receptor binding domain (RBD). We captured two states of the RBD with receptor binding region either buried (lying state) or exposed (standing state), demonstrating an inherently flexible RBD readily recognized by the receptor. Further sequence conservation analysis of six human-infecting coronaviruses revealed that the fusion peptide, HR1 region and the central helix are potential targets for eliciting broadly neutralizing antibodies.","container-title":"Nature Communications","DOI":"10.1038/ncomms15092","ISSN":"2041-1723","issue":"1","journalAbbreviation":"Nature Communications","page":"15092","title":"Cryo-EM structures of MERS-CoV and SARS-CoV spike glycoproteins reveal the dynamic receptor binding domains","volume":"8","author":[{"family":"Yuan","given":"Yuan"},{"family":"Cao","given":"Duanfang"},{"family":"Zhang","given":"Yanfang"},{"family":"Ma","given":"Jun"},{"family":"Qi","given":"Jianxun"},{"family":"Wang","given":"Qihui"},{"family":"Lu","given":"Guangwen"},{"family":"Wu","given":"Ying"},{"family":"Yan","given":"Jinghua"},{"family":"Shi","given":"Yi"},{"family":"Zhang","given":"Xinzheng"},{"family":"Gao","given":"George F."}],"issued":{"date-parts":[["2017",4,10]]}}}],"schema":"https://github.com/citation-style-language/schema/raw/master/csl-citation.json"} </w:instrText>
            </w:r>
            <w:r>
              <w:rPr>
                <w:rFonts w:ascii="Times New Roman" w:hAnsi="Times New Roman" w:cs="Times New Roman"/>
                <w:color w:val="000000"/>
                <w:sz w:val="16"/>
                <w:szCs w:val="16"/>
              </w:rPr>
              <w:fldChar w:fldCharType="separate"/>
            </w:r>
            <w:r w:rsidRPr="004D748D">
              <w:rPr>
                <w:rFonts w:ascii="Times New Roman" w:hAnsi="Times New Roman" w:cs="Times New Roman"/>
                <w:sz w:val="16"/>
              </w:rPr>
              <w:t>(Yuan et al. 2017)</w:t>
            </w:r>
            <w:r>
              <w:rPr>
                <w:rFonts w:ascii="Times New Roman" w:hAnsi="Times New Roman" w:cs="Times New Roman"/>
                <w:color w:val="000000"/>
                <w:sz w:val="16"/>
                <w:szCs w:val="16"/>
              </w:rPr>
              <w:fldChar w:fldCharType="end"/>
            </w:r>
            <w:r>
              <w:rPr>
                <w:rFonts w:ascii="Times New Roman" w:hAnsi="Times New Roman" w:cs="Times New Roman"/>
                <w:color w:val="000000"/>
                <w:sz w:val="16"/>
                <w:szCs w:val="16"/>
              </w:rPr>
              <w:t>;</w:t>
            </w:r>
          </w:p>
          <w:p w:rsidR="00D6726F" w:rsidRPr="004D748D" w:rsidRDefault="002A6F1D" w:rsidP="00586055">
            <w:pPr>
              <w:tabs>
                <w:tab w:val="left" w:pos="3332"/>
              </w:tabs>
              <w:rPr>
                <w:rFonts w:ascii="Times New Roman" w:hAnsi="Times New Roman" w:cs="Times New Roman"/>
                <w:sz w:val="16"/>
                <w:szCs w:val="16"/>
              </w:rPr>
            </w:pPr>
            <w:r w:rsidRPr="0083785E">
              <w:rPr>
                <w:rFonts w:ascii="Times New Roman" w:hAnsi="Times New Roman" w:cs="Times New Roman"/>
                <w:color w:val="000000"/>
                <w:sz w:val="16"/>
                <w:szCs w:val="16"/>
              </w:rPr>
              <w:t>TM</w:t>
            </w:r>
            <w:r>
              <w:rPr>
                <w:rFonts w:ascii="Times New Roman" w:hAnsi="Times New Roman" w:cs="Times New Roman"/>
                <w:color w:val="000000"/>
                <w:sz w:val="16"/>
                <w:szCs w:val="16"/>
              </w:rPr>
              <w:t xml:space="preserve"> d</w:t>
            </w:r>
            <w:r w:rsidRPr="0083785E">
              <w:rPr>
                <w:rFonts w:ascii="Times New Roman" w:hAnsi="Times New Roman" w:cs="Times New Roman"/>
                <w:color w:val="000000"/>
                <w:sz w:val="16"/>
                <w:szCs w:val="16"/>
              </w:rPr>
              <w:t>omain</w:t>
            </w:r>
            <w:r>
              <w:rPr>
                <w:rFonts w:ascii="Times New Roman" w:hAnsi="Times New Roman" w:cs="Times New Roman"/>
                <w:color w:val="000000"/>
                <w:sz w:val="16"/>
                <w:szCs w:val="16"/>
              </w:rPr>
              <w:t xml:space="preserve"> - </w:t>
            </w:r>
            <w:r w:rsidR="004D748D">
              <w:rPr>
                <w:rFonts w:ascii="Times New Roman" w:hAnsi="Times New Roman" w:cs="Times New Roman"/>
                <w:sz w:val="16"/>
                <w:szCs w:val="16"/>
              </w:rPr>
              <w:fldChar w:fldCharType="begin"/>
            </w:r>
            <w:r w:rsidR="004D748D">
              <w:rPr>
                <w:rFonts w:ascii="Times New Roman" w:hAnsi="Times New Roman" w:cs="Times New Roman"/>
                <w:sz w:val="16"/>
                <w:szCs w:val="16"/>
              </w:rPr>
              <w:instrText xml:space="preserve"> ADDIN ZOTERO_ITEM CSL_CITATION {"citationID":"M2kh7x0d","properties":{"formattedCitation":"(Zhou et al. 2019)","plainCitation":"(Zhou et al. 2019)","noteIndex":0},"citationItems":[{"id":416,"uris":["http://zotero.org/users/local/YzCIES2Q/items/XCQ82K4B"],"itemData":{"id":416,"type":"article-journal","abstract":"Middle East respiratory syndrome (MERS) coronavirus (MERS-CoV) is an infectious virus that was first reported in 2012. The MERS-CoV genome encodes four major  structural proteins, among which the spike (S) protein has a key role in viral  infection and pathogenesis. The receptor-binding domain (RBD) of the S protein  contains a critical neutralizing domain and is an important target for  development of MERS vaccines and therapeutics. In this review, we describe the  relevant features of the MERS-CoV S-protein RBD, summarize recent advances in the  development of MERS-CoV RBD-based vaccines and therapeutic antibodies, and  illustrate potential challenges and strategies to further improve their efficacy.","container-title":"Viruses","DOI":"10.3390/v11010060","ISSN":"1999-4915","issue":"1","journalAbbreviation":"Viruses","language":"eng","note":"publisher-place: Switzerland\nPMID: 30646569 \nPMCID: PMC6357101","title":"Advances in MERS-CoV Vaccines and Therapeutics Based on the Receptor-Binding Domain.","volume":"11","author":[{"family":"Zhou","given":"Yusen"},{"family":"Yang","given":"Yang"},{"family":"Huang","given":"Jingwei"},{"family":"Jiang","given":"Shibo"},{"family":"Du","given":"Lanying"}],"issued":{"date-parts":[["2019",1,14]]}}}],"schema":"https://github.com/citation-style-language/schema/raw/master/csl-citation.json"} </w:instrText>
            </w:r>
            <w:r w:rsidR="004D748D">
              <w:rPr>
                <w:rFonts w:ascii="Times New Roman" w:hAnsi="Times New Roman" w:cs="Times New Roman"/>
                <w:sz w:val="16"/>
                <w:szCs w:val="16"/>
              </w:rPr>
              <w:fldChar w:fldCharType="separate"/>
            </w:r>
            <w:r w:rsidR="004D748D" w:rsidRPr="004D748D">
              <w:rPr>
                <w:rFonts w:ascii="Times New Roman" w:hAnsi="Times New Roman" w:cs="Times New Roman"/>
                <w:sz w:val="16"/>
              </w:rPr>
              <w:t>(Zhou et al. 2019)</w:t>
            </w:r>
            <w:r w:rsidR="004D748D">
              <w:rPr>
                <w:rFonts w:ascii="Times New Roman" w:hAnsi="Times New Roman" w:cs="Times New Roman"/>
                <w:sz w:val="16"/>
                <w:szCs w:val="16"/>
              </w:rPr>
              <w:fldChar w:fldCharType="end"/>
            </w:r>
            <w:r w:rsidR="004D748D">
              <w:rPr>
                <w:rFonts w:ascii="Times New Roman" w:hAnsi="Times New Roman" w:cs="Times New Roman"/>
                <w:sz w:val="16"/>
                <w:szCs w:val="16"/>
              </w:rPr>
              <w:t xml:space="preserve"> </w:t>
            </w:r>
          </w:p>
        </w:tc>
      </w:tr>
      <w:tr w:rsidR="00586055" w:rsidRPr="0083785E" w:rsidTr="00586055">
        <w:trPr>
          <w:trHeight w:val="1133"/>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HCoV-HKU1</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1356</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14-294</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325-607</w:t>
            </w:r>
          </w:p>
        </w:tc>
        <w:tc>
          <w:tcPr>
            <w:tcW w:w="90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500-530</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757</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900</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905-926</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924-944</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1005-1055</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1249-1289</w:t>
            </w:r>
          </w:p>
        </w:tc>
        <w:tc>
          <w:tcPr>
            <w:tcW w:w="810" w:type="dxa"/>
          </w:tcPr>
          <w:p w:rsidR="00D6726F" w:rsidRPr="0083785E" w:rsidRDefault="00D6726F" w:rsidP="00586055">
            <w:pPr>
              <w:rPr>
                <w:rFonts w:ascii="Times New Roman" w:hAnsi="Times New Roman" w:cs="Times New Roman"/>
              </w:rPr>
            </w:pPr>
          </w:p>
        </w:tc>
        <w:tc>
          <w:tcPr>
            <w:tcW w:w="1800" w:type="dxa"/>
          </w:tcPr>
          <w:p w:rsidR="00D6726F" w:rsidRPr="0083785E" w:rsidRDefault="00D6726F" w:rsidP="00586055">
            <w:pPr>
              <w:rPr>
                <w:rFonts w:ascii="Times New Roman" w:hAnsi="Times New Roman" w:cs="Times New Roman"/>
                <w:color w:val="0000FF"/>
                <w:sz w:val="16"/>
                <w:szCs w:val="16"/>
                <w:u w:val="single"/>
              </w:rPr>
            </w:pPr>
            <w:r w:rsidRPr="0083785E">
              <w:rPr>
                <w:rFonts w:ascii="Times New Roman" w:eastAsia="Times New Roman" w:hAnsi="Times New Roman" w:cs="Times New Roman"/>
                <w:color w:val="000000"/>
                <w:sz w:val="16"/>
                <w:szCs w:val="16"/>
              </w:rPr>
              <w:t>NTD, CTD,  FP1, FP2, HR1,HR2 domains</w:t>
            </w:r>
            <w:r w:rsidR="002A6F1D" w:rsidRPr="002A6F1D">
              <w:rPr>
                <w:rFonts w:ascii="Times New Roman" w:hAnsi="Times New Roman" w:cs="Times New Roman"/>
                <w:sz w:val="16"/>
                <w:szCs w:val="16"/>
              </w:rPr>
              <w:t xml:space="preserve"> </w:t>
            </w:r>
            <w:r w:rsidR="002A6F1D">
              <w:rPr>
                <w:rFonts w:ascii="Times New Roman" w:hAnsi="Times New Roman" w:cs="Times New Roman"/>
                <w:sz w:val="16"/>
                <w:szCs w:val="16"/>
              </w:rPr>
              <w:t xml:space="preserve">- </w:t>
            </w:r>
            <w:r w:rsidR="002A6F1D" w:rsidRPr="002A6F1D">
              <w:rPr>
                <w:rFonts w:ascii="Times New Roman" w:hAnsi="Times New Roman" w:cs="Times New Roman"/>
                <w:sz w:val="16"/>
                <w:szCs w:val="16"/>
              </w:rPr>
              <w:t xml:space="preserve">UniProt – </w:t>
            </w:r>
            <w:r w:rsidR="002A6F1D">
              <w:rPr>
                <w:rFonts w:ascii="Times New Roman" w:hAnsi="Times New Roman" w:cs="Times New Roman"/>
                <w:sz w:val="16"/>
                <w:szCs w:val="16"/>
              </w:rPr>
              <w:t>Q5MQD0</w:t>
            </w:r>
            <w:r w:rsidR="002A6F1D">
              <w:rPr>
                <w:rFonts w:ascii="Times New Roman" w:hAnsi="Times New Roman" w:cs="Times New Roman"/>
                <w:sz w:val="16"/>
                <w:szCs w:val="16"/>
              </w:rPr>
              <w:t>;</w:t>
            </w:r>
          </w:p>
          <w:p w:rsidR="00D6726F" w:rsidRPr="0083785E" w:rsidRDefault="002A6F1D" w:rsidP="00586055">
            <w:pPr>
              <w:rPr>
                <w:rFonts w:ascii="Times New Roman" w:hAnsi="Times New Roman" w:cs="Times New Roman"/>
                <w:sz w:val="16"/>
                <w:szCs w:val="16"/>
              </w:rPr>
            </w:pPr>
            <w:r>
              <w:rPr>
                <w:rFonts w:ascii="Times New Roman" w:hAnsi="Times New Roman" w:cs="Times New Roman"/>
                <w:sz w:val="16"/>
                <w:szCs w:val="16"/>
              </w:rPr>
              <w:t>RB</w:t>
            </w:r>
            <w:r w:rsidRPr="0083785E">
              <w:rPr>
                <w:rFonts w:ascii="Times New Roman" w:hAnsi="Times New Roman" w:cs="Times New Roman"/>
                <w:sz w:val="16"/>
                <w:szCs w:val="16"/>
              </w:rPr>
              <w:t>M</w:t>
            </w:r>
            <w:r>
              <w:rPr>
                <w:rFonts w:ascii="Times New Roman" w:hAnsi="Times New Roman" w:cs="Times New Roman"/>
                <w:sz w:val="16"/>
                <w:szCs w:val="16"/>
              </w:rPr>
              <w:t xml:space="preserve">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ZOTERO_ITEM CSL_CITATION {"citationID":"bOdfnYg8","properties":{"formattedCitation":"(Saunders et al. 2023)","plainCitation":"(Saunders et al. 2023)","noteIndex":0},"citationItems":[{"id":168,"uris":["http://zotero.org/users/local/YzCIES2Q/items/6XSGZQPW"],"itemData":{"id":168,"type":"article-journal","abstract":"Four endemic seasonal human coronaviruses causing common colds circulate worldwide: HKU1, 229E, NL63 and OC43 (ref. 1). After binding to cellular receptors, coronavirus spike proteins are primed for fusion by transmembrane serine protease 2 (TMPRSS2) or endosomal cathepsins2–9. NL63 uses angiotensin-converting enzyme 2 as a receptor10, whereas 229E uses human aminopeptidase-N11. HKU1 and OC43 spikes bind cells through 9-O-acetylated sialic acid, but their protein receptors remain unknown12. Here we show that TMPRSS2 is a functional receptor for HKU1. TMPRSS2 triggers HKU1 spike-mediated cell–cell fusion and pseudovirus infection. Catalytically inactive TMPRSS2 mutants do not cleave HKU1 spike but allow pseudovirus infection. Furthermore, TMPRSS2 binds with high affinity to the HKU1 receptor binding domain (Kd 334 and 137 nM for HKU1A and HKU1B genotypes) but not to SARS-CoV-2. Conserved amino acids in the HKU1 receptor binding domain are essential for binding to TMPRSS2 and pseudovirus infection. Newly designed anti-TMPRSS2 nanobodies potently inhibit HKU1 spike attachment to TMPRSS2, fusion and pseudovirus infection. The nanobodies also reduce infection of primary human bronchial cells by an authentic HKU1 virus. Our findings illustrate the various evolution strategies of coronaviruses, which use TMPRSS2 to either directly bind to target cells or prime their spike for membrane fusion and entry.","container-title":"Nature","DOI":"10.1038/s41586-023-06761-7","ISSN":"1476-4687","issue":"7990","journalAbbreviation":"Nature","page":"207-214","title":"TMPRSS2 is a functional receptor for human coronavirus HKU1","volume":"624","author":[{"family":"Saunders","given":"Nell"},{"family":"Fernandez","given":"Ignacio"},{"family":"Planchais","given":"Cyril"},{"family":"Michel","given":"Vincent"},{"family":"Rajah","given":"Maaran Michael"},{"family":"Baquero Salazar","given":"Eduard"},{"family":"Postal","given":"Jeanne"},{"family":"Porrot","given":"Francoise"},{"family":"Guivel-Benhassine","given":"Florence"},{"family":"Blanc","given":"Catherine"},{"family":"Chauveau-Le Friec","given":"Gaëlle"},{"family":"Martin","given":"Augustin"},{"family":"Grzelak","given":"Ludivine"},{"family":"Oktavia","given":"Rischa Maya"},{"family":"Meola","given":"Annalisa"},{"family":"Ahouzi","given":"Olivia"},{"family":"Hoover-Watson","given":"Hunter"},{"family":"Prot","given":"Matthieu"},{"family":"Delaune","given":"Deborah"},{"family":"Cornelissen","given":"Marion"},{"family":"Deijs","given":"Martin"},{"family":"Meriaux","given":"Véronique"},{"family":"Mouquet","given":"Hugo"},{"family":"Simon-Lorière","given":"Etienne"},{"family":"Hoek","given":"Lia","non-dropping-particle":"van der"},{"family":"Lafaye","given":"Pierre"},{"family":"Rey","given":"Felix"},{"family":"Buchrieser","given":"Julian"},{"family":"Schwartz","given":"Olivier"}],"issued":{"date-parts":[["2023",12,1]]}}}],"schema":"https://github.com/citation-style-language/schema/raw/master/csl-citation.json"} </w:instrText>
            </w:r>
            <w:r>
              <w:rPr>
                <w:rFonts w:ascii="Times New Roman" w:hAnsi="Times New Roman" w:cs="Times New Roman"/>
                <w:sz w:val="16"/>
                <w:szCs w:val="16"/>
              </w:rPr>
              <w:fldChar w:fldCharType="separate"/>
            </w:r>
            <w:r w:rsidRPr="002A6F1D">
              <w:rPr>
                <w:rFonts w:ascii="Times New Roman" w:hAnsi="Times New Roman" w:cs="Times New Roman"/>
                <w:sz w:val="16"/>
              </w:rPr>
              <w:t>(Saunders et al. 2023)</w:t>
            </w:r>
            <w:r>
              <w:rPr>
                <w:rFonts w:ascii="Times New Roman" w:hAnsi="Times New Roman" w:cs="Times New Roman"/>
                <w:sz w:val="16"/>
                <w:szCs w:val="16"/>
              </w:rPr>
              <w:fldChar w:fldCharType="end"/>
            </w:r>
            <w:r>
              <w:rPr>
                <w:rFonts w:ascii="Times New Roman" w:hAnsi="Times New Roman" w:cs="Times New Roman"/>
                <w:sz w:val="16"/>
                <w:szCs w:val="16"/>
              </w:rPr>
              <w:t xml:space="preserve">; </w:t>
            </w:r>
          </w:p>
          <w:p w:rsidR="00D6726F" w:rsidRDefault="002A6F1D" w:rsidP="00586055">
            <w:pPr>
              <w:rPr>
                <w:rFonts w:ascii="Times New Roman" w:hAnsi="Times New Roman" w:cs="Times New Roman"/>
                <w:color w:val="000000"/>
                <w:sz w:val="16"/>
                <w:szCs w:val="16"/>
              </w:rPr>
            </w:pPr>
            <w:r w:rsidRPr="0083785E">
              <w:rPr>
                <w:rFonts w:ascii="Times New Roman" w:hAnsi="Times New Roman" w:cs="Times New Roman"/>
                <w:color w:val="000000"/>
                <w:sz w:val="16"/>
                <w:szCs w:val="16"/>
              </w:rPr>
              <w:t>S1/S2 and S2 cleavage sites</w:t>
            </w:r>
            <w:r>
              <w:rPr>
                <w:rFonts w:ascii="Times New Roman" w:hAnsi="Times New Roman" w:cs="Times New Roman"/>
                <w:color w:val="000000"/>
                <w:sz w:val="16"/>
                <w:szCs w:val="16"/>
              </w:rPr>
              <w:t xml:space="preserve"> -</w:t>
            </w:r>
          </w:p>
          <w:p w:rsidR="00D6726F" w:rsidRPr="0083785E" w:rsidRDefault="002A6F1D" w:rsidP="00586055">
            <w:pPr>
              <w:rPr>
                <w:rFonts w:ascii="Times New Roman" w:hAnsi="Times New Roman" w:cs="Times New Roman"/>
              </w:rPr>
            </w:pPr>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 ADDIN ZOTERO_ITEM CSL_CITATION {"citationID":"AAFYYQzE","properties":{"formattedCitation":"(Kirchdoerfer et al. 2016)","plainCitation":"(Kirchdoerfer et al. 2016)","noteIndex":0},"citationItems":[{"id":242,"uris":["http://zotero.org/users/local/YzCIES2Q/items/QTBHSTMQ"],"itemData":{"id":242,"type":"article-journal","abstract":"A 4.0 Å resolution cryo-electron microscopy structure of the pre-fusion form of the trimeric spike from the human coronavirus HKU1 provides insight into how the spike protein mediates host-cell attachment and membrane fusion.","container-title":"Nature","DOI":"10.1038/nature17200","ISSN":"1476-4687","issue":"7592","journalAbbreviation":"Nature","page":"118-121","title":"Pre-fusion structure of a human coronavirus spike protein","volume":"531","author":[{"family":"Kirchdoerfer","given":"Robert N."},{"family":"Cottrell","given":"Christopher A."},{"family":"Wang","given":"Nianshuang"},{"family":"Pallesen","given":"Jesper"},{"family":"Yassine","given":"Hadi M."},{"family":"Turner","given":"Hannah L."},{"family":"Corbett","given":"Kizzmekia S."},{"family":"Graham","given":"Barney S."},{"family":"McLellan","given":"Jason S."},{"family":"Ward","given":"Andrew B."}],"issued":{"date-parts":[["2016",3,1]]}}}],"schema":"https://github.com/citation-style-language/schema/raw/master/csl-citation.json"} </w:instrText>
            </w:r>
            <w:r>
              <w:rPr>
                <w:rFonts w:ascii="Times New Roman" w:hAnsi="Times New Roman" w:cs="Times New Roman"/>
                <w:color w:val="000000"/>
                <w:sz w:val="16"/>
                <w:szCs w:val="16"/>
              </w:rPr>
              <w:fldChar w:fldCharType="separate"/>
            </w:r>
            <w:r w:rsidRPr="002A6F1D">
              <w:rPr>
                <w:rFonts w:ascii="Times New Roman" w:hAnsi="Times New Roman" w:cs="Times New Roman"/>
                <w:sz w:val="16"/>
              </w:rPr>
              <w:t>(</w:t>
            </w:r>
            <w:proofErr w:type="spellStart"/>
            <w:r w:rsidRPr="002A6F1D">
              <w:rPr>
                <w:rFonts w:ascii="Times New Roman" w:hAnsi="Times New Roman" w:cs="Times New Roman"/>
                <w:sz w:val="16"/>
              </w:rPr>
              <w:t>Kirchdoerfer</w:t>
            </w:r>
            <w:proofErr w:type="spellEnd"/>
            <w:r w:rsidRPr="002A6F1D">
              <w:rPr>
                <w:rFonts w:ascii="Times New Roman" w:hAnsi="Times New Roman" w:cs="Times New Roman"/>
                <w:sz w:val="16"/>
              </w:rPr>
              <w:t xml:space="preserve"> et al. 2016)</w:t>
            </w:r>
            <w:r>
              <w:rPr>
                <w:rFonts w:ascii="Times New Roman" w:hAnsi="Times New Roman" w:cs="Times New Roman"/>
                <w:color w:val="000000"/>
                <w:sz w:val="16"/>
                <w:szCs w:val="16"/>
              </w:rPr>
              <w:fldChar w:fldCharType="end"/>
            </w:r>
          </w:p>
        </w:tc>
      </w:tr>
      <w:tr w:rsidR="00586055" w:rsidRPr="0083785E" w:rsidTr="00586055">
        <w:trPr>
          <w:trHeight w:val="1250"/>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HCoV-OC43</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1362</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15-302</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333-607</w:t>
            </w:r>
          </w:p>
        </w:tc>
        <w:tc>
          <w:tcPr>
            <w:tcW w:w="900" w:type="dxa"/>
          </w:tcPr>
          <w:p w:rsidR="00D6726F" w:rsidRPr="0083785E" w:rsidRDefault="00D6726F" w:rsidP="00586055">
            <w:pPr>
              <w:rPr>
                <w:rFonts w:ascii="Times New Roman" w:hAnsi="Times New Roman" w:cs="Times New Roman"/>
              </w:rPr>
            </w:pP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754-758</w:t>
            </w: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903</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904-925</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923-943</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1004-1054</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1248-1286</w:t>
            </w:r>
          </w:p>
        </w:tc>
        <w:tc>
          <w:tcPr>
            <w:tcW w:w="810" w:type="dxa"/>
          </w:tcPr>
          <w:p w:rsidR="00D6726F" w:rsidRPr="0083785E" w:rsidRDefault="00D6726F" w:rsidP="00586055">
            <w:pPr>
              <w:rPr>
                <w:rFonts w:ascii="Times New Roman" w:hAnsi="Times New Roman" w:cs="Times New Roman"/>
              </w:rPr>
            </w:pPr>
          </w:p>
        </w:tc>
        <w:tc>
          <w:tcPr>
            <w:tcW w:w="1800" w:type="dxa"/>
          </w:tcPr>
          <w:p w:rsidR="00D6726F" w:rsidRDefault="00D6726F" w:rsidP="00586055">
            <w:pPr>
              <w:rPr>
                <w:rFonts w:ascii="Times New Roman" w:eastAsia="Times New Roman" w:hAnsi="Times New Roman" w:cs="Times New Roman"/>
                <w:color w:val="000000"/>
                <w:sz w:val="16"/>
                <w:szCs w:val="16"/>
              </w:rPr>
            </w:pPr>
            <w:r w:rsidRPr="0083785E">
              <w:rPr>
                <w:rFonts w:ascii="Times New Roman" w:eastAsia="Times New Roman" w:hAnsi="Times New Roman" w:cs="Times New Roman"/>
                <w:color w:val="000000"/>
                <w:sz w:val="16"/>
                <w:szCs w:val="16"/>
              </w:rPr>
              <w:t>NTD, CTD,  FP1, FP2, HR1,HR2 domains</w:t>
            </w:r>
            <w:r w:rsidR="00D575D1">
              <w:rPr>
                <w:rFonts w:ascii="Times New Roman" w:eastAsia="Times New Roman" w:hAnsi="Times New Roman" w:cs="Times New Roman"/>
                <w:color w:val="000000"/>
                <w:sz w:val="16"/>
                <w:szCs w:val="16"/>
              </w:rPr>
              <w:t xml:space="preserve"> – UniProt - P36334; </w:t>
            </w:r>
          </w:p>
          <w:p w:rsidR="00D575D1" w:rsidRPr="0083785E" w:rsidRDefault="00D575D1" w:rsidP="00586055">
            <w:pPr>
              <w:rPr>
                <w:rFonts w:ascii="Times New Roman" w:eastAsia="Times New Roman" w:hAnsi="Times New Roman" w:cs="Times New Roman"/>
                <w:sz w:val="16"/>
                <w:szCs w:val="16"/>
              </w:rPr>
            </w:pPr>
            <w:r w:rsidRPr="0083785E">
              <w:rPr>
                <w:rFonts w:ascii="Times New Roman" w:hAnsi="Times New Roman" w:cs="Times New Roman"/>
                <w:color w:val="000000"/>
                <w:sz w:val="16"/>
                <w:szCs w:val="16"/>
              </w:rPr>
              <w:t>S1/S2 cleavage site</w:t>
            </w:r>
            <w:r>
              <w:rPr>
                <w:rFonts w:ascii="Times New Roman" w:hAnsi="Times New Roman" w:cs="Times New Roman"/>
                <w:color w:val="000000"/>
                <w:sz w:val="16"/>
                <w:szCs w:val="16"/>
              </w:rPr>
              <w:t xml:space="preserve"> - </w:t>
            </w:r>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 ADDIN ZOTERO_ITEM CSL_CITATION {"citationID":"YKrnTfUU","properties":{"formattedCitation":"(Wang et al. 2022)","plainCitation":"(Wang et al. 2022)","noteIndex":0},"citationItems":[{"id":417,"uris":["http://zotero.org/users/local/YzCIES2Q/items/29RWRXNQ"],"itemData":{"id":417,"type":"article-journal","abstract":"Human coronavirus OC43 is a globally circulating common cold virus sustained by recurrent reinfections. How it persists in the population and defies existing herd immunity is unknown. Here we focus on viral glycoprotein S, the target for neutralizing antibodies, and provide an in-depth analysis of its antigenic structure. Neutralizing antibodies are directed to the sialoglycan-receptor binding site in S1A domain, but, remarkably, also to S1B. The latter block infection yet do not prevent sialoglycan binding. While two distinct neutralizing S1B epitopes are readily accessible in the prefusion S trimer, other sites are occluded such that their accessibility must be subject to conformational changes in S during cell-entry. While non-neutralizing antibodies were broadly reactive against a collection of natural OC43 variants, neutralizing antibodies generally displayed restricted binding breadth. Our data provide a structure-based understanding of protective immunity and adaptive evolution for this endemic coronavirus which emerged in humans long before SARS-CoV-2.","container-title":"Nature Communications","DOI":"10.1038/s41467-022-30658-0","ISSN":"2041-1723","issue":"1","journalAbbreviation":"Nature Communications","page":"2921","title":"Antigenic structure of the human coronavirus OC43 spike reveals exposed and occluded neutralizing epitopes","volume":"13","author":[{"family":"Wang","given":"Chunyan"},{"family":"Hesketh","given":"Emma L."},{"family":"Shamorkina","given":"Tatiana M."},{"family":"Li","given":"Wentao"},{"family":"Franken","given":"Peter J."},{"family":"Drabek","given":"Dubravka"},{"family":"Haperen","given":"Rien","non-dropping-particle":"van"},{"family":"Townend","given":"Sarah"},{"family":"Kuppeveld","given":"Frank J. M.","non-dropping-particle":"van"},{"family":"Grosveld","given":"Frank"},{"family":"Ranson","given":"Neil A."},{"family":"Snijder","given":"Joost"},{"family":"Groot","given":"Raoul J.","non-dropping-particle":"de"},{"family":"Hurdiss","given":"Daniel L."},{"family":"Bosch","given":"Berend-Jan"}],"issued":{"date-parts":[["2022",5,25]]}}}],"schema":"https://github.com/citation-style-language/schema/raw/master/csl-citation.json"} </w:instrText>
            </w:r>
            <w:r>
              <w:rPr>
                <w:rFonts w:ascii="Times New Roman" w:hAnsi="Times New Roman" w:cs="Times New Roman"/>
                <w:color w:val="000000"/>
                <w:sz w:val="16"/>
                <w:szCs w:val="16"/>
              </w:rPr>
              <w:fldChar w:fldCharType="separate"/>
            </w:r>
            <w:r w:rsidRPr="00D575D1">
              <w:rPr>
                <w:rFonts w:ascii="Times New Roman" w:hAnsi="Times New Roman" w:cs="Times New Roman"/>
                <w:sz w:val="16"/>
              </w:rPr>
              <w:t>(Wang et al. 2022)</w:t>
            </w:r>
            <w:r>
              <w:rPr>
                <w:rFonts w:ascii="Times New Roman" w:hAnsi="Times New Roman" w:cs="Times New Roman"/>
                <w:color w:val="000000"/>
                <w:sz w:val="16"/>
                <w:szCs w:val="16"/>
              </w:rPr>
              <w:fldChar w:fldCharType="end"/>
            </w:r>
            <w:r>
              <w:rPr>
                <w:rFonts w:ascii="Times New Roman" w:hAnsi="Times New Roman" w:cs="Times New Roman"/>
                <w:color w:val="000000"/>
                <w:sz w:val="16"/>
                <w:szCs w:val="16"/>
              </w:rPr>
              <w:t>;</w:t>
            </w:r>
          </w:p>
          <w:p w:rsidR="00D6726F" w:rsidRPr="0083785E" w:rsidRDefault="00D575D1" w:rsidP="00586055">
            <w:pPr>
              <w:rPr>
                <w:rFonts w:ascii="Times New Roman" w:hAnsi="Times New Roman" w:cs="Times New Roman"/>
              </w:rPr>
            </w:pPr>
            <w:r w:rsidRPr="0083785E">
              <w:rPr>
                <w:rFonts w:ascii="Times New Roman" w:hAnsi="Times New Roman" w:cs="Times New Roman"/>
                <w:color w:val="000000"/>
                <w:sz w:val="16"/>
                <w:szCs w:val="16"/>
              </w:rPr>
              <w:t>S2 cleavage site</w:t>
            </w:r>
            <w:r>
              <w:rPr>
                <w:rFonts w:ascii="Times New Roman" w:hAnsi="Times New Roman" w:cs="Times New Roman"/>
                <w:color w:val="000000"/>
                <w:sz w:val="16"/>
                <w:szCs w:val="16"/>
              </w:rPr>
              <w:t xml:space="preserve"> - </w:t>
            </w:r>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 ADDIN ZOTERO_ITEM CSL_CITATION {"citationID":"Buw8dWbT","properties":{"formattedCitation":"(Millet and Whittaker 2015)","plainCitation":"(Millet and Whittaker 2015)","noteIndex":0},"citationItems":[{"id":418,"uris":["http://zotero.org/users/local/YzCIES2Q/items/2KJF7YJQ"],"itemData":{"id":418,"type":"article-journal","abstract":"Coronaviruses are a large group of enveloped, single-stranded positive-sense RNA viruses that infect a wide range of avian and mammalian species, including  humans. The emergence of deadly human coronaviruses, severe acute respiratory  syndrome coronavirus (SARS-CoV), and Middle East respiratory syndrome coronavirus  (MERS-CoV) have bolstered research in these viral and often zoonotic pathogens.  While coronavirus cell and tissue tropism, host range, and pathogenesis are  initially controlled by interactions between the spike envelope glycoprotein and  host cell receptor, it is becoming increasingly apparent that proteolytic  activation of spike by host cell proteases also plays a critical role.  Coronavirus spike proteins are the main determinant of entry as they possess both  receptor binding and fusion functions. Whereas binding to the host cell receptor  is an essential first step in establishing infection, the proteolytic activation  step is often critical for the fusion function of spike, as it allows for  controlled release of the fusion peptide into target cellular membranes.  Coronaviruses have evolved multiple strategies for proteolytic activation of  spike, and a large number of host proteases have been shown to proteolytically  process the spike protein. These include, but are not limited to, endosomal  cathepsins, cell surface transmembrane protease/serine (TMPRSS) proteases, furin,  and trypsin. This review focuses on the diversity of strategies coronaviruses  have evolved to proteolytically activate their fusion protein during spike  protein biosynthesis and the critical entry step of their life cycle, and  highlights important findings on how proteolytic activation of coronavirus spike  influences tissue and cell tropism, host range and pathogenicity.","container-title":"Virus research","DOI":"10.1016/j.virusres.2014.11.021","ISSN":"1872-7492 0168-1702","journalAbbreviation":"Virus Res","language":"eng","license":"Copyright © 2014 Elsevier B.V. All rights reserved.","note":"publisher-place: Netherlands\nPMID: 25445340 \nPMCID: PMC4465284","page":"120-134","title":"Host cell proteases: Critical determinants of coronavirus tropism and pathogenesis.","volume":"202","author":[{"family":"Millet","given":"Jean Kaoru"},{"family":"Whittaker","given":"Gary R."}],"issued":{"date-parts":[["2015",4,16]]}}}],"schema":"https://github.com/citation-style-language/schema/raw/master/csl-citation.json"} </w:instrText>
            </w:r>
            <w:r>
              <w:rPr>
                <w:rFonts w:ascii="Times New Roman" w:hAnsi="Times New Roman" w:cs="Times New Roman"/>
                <w:color w:val="000000"/>
                <w:sz w:val="16"/>
                <w:szCs w:val="16"/>
              </w:rPr>
              <w:fldChar w:fldCharType="separate"/>
            </w:r>
            <w:r w:rsidRPr="00D575D1">
              <w:rPr>
                <w:rFonts w:ascii="Times New Roman" w:hAnsi="Times New Roman" w:cs="Times New Roman"/>
                <w:sz w:val="16"/>
              </w:rPr>
              <w:t>(Millet and Whittaker 2015)</w:t>
            </w:r>
            <w:r>
              <w:rPr>
                <w:rFonts w:ascii="Times New Roman" w:hAnsi="Times New Roman" w:cs="Times New Roman"/>
                <w:color w:val="000000"/>
                <w:sz w:val="16"/>
                <w:szCs w:val="16"/>
              </w:rPr>
              <w:fldChar w:fldCharType="end"/>
            </w:r>
          </w:p>
        </w:tc>
      </w:tr>
      <w:tr w:rsidR="00586055" w:rsidRPr="0083785E" w:rsidTr="00586055">
        <w:trPr>
          <w:trHeight w:val="1910"/>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HCoV-NL63</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1356</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179-481</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481-616</w:t>
            </w:r>
          </w:p>
        </w:tc>
        <w:tc>
          <w:tcPr>
            <w:tcW w:w="90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RBM1 493-513 RBM2 531-541 RBM3 585-590</w:t>
            </w:r>
          </w:p>
        </w:tc>
        <w:tc>
          <w:tcPr>
            <w:tcW w:w="990" w:type="dxa"/>
          </w:tcPr>
          <w:p w:rsidR="00D6726F" w:rsidRPr="0083785E" w:rsidRDefault="00D6726F" w:rsidP="00586055">
            <w:pPr>
              <w:rPr>
                <w:rFonts w:ascii="Times New Roman" w:hAnsi="Times New Roman" w:cs="Times New Roman"/>
              </w:rPr>
            </w:pP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870</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934-954</w:t>
            </w:r>
          </w:p>
        </w:tc>
        <w:tc>
          <w:tcPr>
            <w:tcW w:w="810" w:type="dxa"/>
          </w:tcPr>
          <w:p w:rsidR="00D6726F" w:rsidRPr="0083785E" w:rsidRDefault="00D6726F" w:rsidP="00586055">
            <w:pPr>
              <w:rPr>
                <w:rFonts w:ascii="Times New Roman" w:hAnsi="Times New Roman" w:cs="Times New Roman"/>
              </w:rPr>
            </w:pP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948-1067</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1212-1308</w:t>
            </w:r>
          </w:p>
        </w:tc>
        <w:tc>
          <w:tcPr>
            <w:tcW w:w="810" w:type="dxa"/>
          </w:tcPr>
          <w:p w:rsidR="00D6726F" w:rsidRPr="0083785E" w:rsidRDefault="00D6726F" w:rsidP="00586055">
            <w:pPr>
              <w:rPr>
                <w:rFonts w:ascii="Times New Roman" w:hAnsi="Times New Roman" w:cs="Times New Roman"/>
              </w:rPr>
            </w:pPr>
          </w:p>
        </w:tc>
        <w:tc>
          <w:tcPr>
            <w:tcW w:w="1800" w:type="dxa"/>
          </w:tcPr>
          <w:p w:rsidR="00D575D1" w:rsidRDefault="00D575D1" w:rsidP="00586055">
            <w:pPr>
              <w:rPr>
                <w:rFonts w:ascii="Times New Roman" w:hAnsi="Times New Roman" w:cs="Times New Roman"/>
                <w:sz w:val="16"/>
                <w:szCs w:val="16"/>
              </w:rPr>
            </w:pPr>
            <w:r w:rsidRPr="0083785E">
              <w:rPr>
                <w:rFonts w:ascii="Times New Roman" w:eastAsia="Times New Roman" w:hAnsi="Times New Roman" w:cs="Times New Roman"/>
                <w:color w:val="000000"/>
                <w:sz w:val="16"/>
                <w:szCs w:val="16"/>
              </w:rPr>
              <w:t>NTD, CTD, RBMs</w:t>
            </w:r>
            <w:r w:rsidRPr="0083785E">
              <w:rPr>
                <w:rFonts w:ascii="Times New Roman" w:hAnsi="Times New Roman" w:cs="Times New Roman"/>
                <w:sz w:val="16"/>
                <w:szCs w:val="16"/>
              </w:rPr>
              <w:t xml:space="preserve"> </w:t>
            </w:r>
            <w:r>
              <w:rPr>
                <w:rFonts w:ascii="Times New Roman" w:hAnsi="Times New Roman" w:cs="Times New Roman"/>
                <w:sz w:val="16"/>
                <w:szCs w:val="16"/>
              </w:rPr>
              <w:t xml:space="preserve">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ZOTERO_ITEM CSL_CITATION {"citationID":"hm7jRA85","properties":{"formattedCitation":"(Wu et al. 2009)","plainCitation":"(Wu et al. 2009)","noteIndex":0},"citationItems":[{"id":419,"uris":["http://zotero.org/users/local/YzCIES2Q/items/55PFE867"],"itemData":{"id":419,"type":"article-journal","abstract":"NL63 coronavirus (NL63-CoV), a prevalent human respiratory virus, is the only group I coronavirus known to use angiotensin-converting enzyme 2 (ACE2) as its  receptor. Incidentally, ACE2 is also used by group II SARS coronavirus  (SARS-CoV). We investigated how different groups of coronaviruses recognize the  same receptor, whereas homologous group I coronaviruses recognize different  receptors. We determined the crystal structure of NL63-CoV spike protein  receptor-binding domain (RBD) complexed with human ACE2. NL63-CoV RBD has a novel  beta-sandwich core structure consisting of 2 layers of beta-sheets, presenting 3  discontinuous receptor-binding motifs (RBMs) to bind ACE2. NL63-CoV and SARS-CoV  have no structural homology in RBD cores or RBMs; yet the 2 viruses recognize  common ACE2 regions, largely because of a \"virus-binding hotspot\" on ACE2. Among  group I coronaviruses, RBD cores are conserved but RBMs are variable, explaining  how these viruses recognize different receptors. These results provide a  structural basis for understanding viral evolution and virus-receptor  interactions.","container-title":"Proceedings of the National Academy of Sciences of the United States of America","DOI":"10.1073/pnas.0908837106","ISSN":"1091-6490 0027-8424","issue":"47","journalAbbreviation":"Proc Natl Acad Sci U S A","language":"eng","note":"publisher-place: United States\nPMID: 19901337 \nPMCID: PMC2785276","page":"19970-19974","title":"Crystal structure of NL63 respiratory coronavirus receptor-binding domain complexed with its human receptor.","volume":"106","author":[{"family":"Wu","given":"Kailang"},{"family":"Li","given":"Weikai"},{"family":"Peng","given":"Guiqing"},{"family":"Li","given":"Fang"}],"issued":{"date-parts":[["2009",11,24]]}}}],"schema":"https://github.com/citation-style-language/schema/raw/master/csl-citation.json"} </w:instrText>
            </w:r>
            <w:r>
              <w:rPr>
                <w:rFonts w:ascii="Times New Roman" w:hAnsi="Times New Roman" w:cs="Times New Roman"/>
                <w:sz w:val="16"/>
                <w:szCs w:val="16"/>
              </w:rPr>
              <w:fldChar w:fldCharType="separate"/>
            </w:r>
            <w:r w:rsidRPr="00D575D1">
              <w:rPr>
                <w:rFonts w:ascii="Times New Roman" w:hAnsi="Times New Roman" w:cs="Times New Roman"/>
                <w:sz w:val="16"/>
              </w:rPr>
              <w:t>(Wu et al. 2009)</w:t>
            </w:r>
            <w:r>
              <w:rPr>
                <w:rFonts w:ascii="Times New Roman" w:hAnsi="Times New Roman" w:cs="Times New Roman"/>
                <w:sz w:val="16"/>
                <w:szCs w:val="16"/>
              </w:rPr>
              <w:fldChar w:fldCharType="end"/>
            </w:r>
            <w:r w:rsidR="00586055">
              <w:rPr>
                <w:rFonts w:ascii="Times New Roman" w:hAnsi="Times New Roman" w:cs="Times New Roman"/>
                <w:sz w:val="16"/>
                <w:szCs w:val="16"/>
              </w:rPr>
              <w:t>;</w:t>
            </w:r>
          </w:p>
          <w:p w:rsidR="00D6726F" w:rsidRPr="0083785E" w:rsidRDefault="00D575D1" w:rsidP="00586055">
            <w:pPr>
              <w:rPr>
                <w:rFonts w:ascii="Times New Roman" w:hAnsi="Times New Roman" w:cs="Times New Roman"/>
                <w:sz w:val="16"/>
                <w:szCs w:val="16"/>
              </w:rPr>
            </w:pPr>
            <w:r w:rsidRPr="0083785E">
              <w:rPr>
                <w:rFonts w:ascii="Times New Roman" w:hAnsi="Times New Roman" w:cs="Times New Roman"/>
                <w:color w:val="000000"/>
                <w:sz w:val="16"/>
                <w:szCs w:val="16"/>
              </w:rPr>
              <w:t>S2 cleavage site</w:t>
            </w:r>
            <w:r w:rsidRPr="0083785E">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ZOTERO_ITEM CSL_CITATION {"citationID":"RdptFrs9","properties":{"formattedCitation":"(Millet and Whittaker 2015)","plainCitation":"(Millet and Whittaker 2015)","noteIndex":0},"citationItems":[{"id":418,"uris":["http://zotero.org/users/local/YzCIES2Q/items/2KJF7YJQ"],"itemData":{"id":418,"type":"article-journal","abstract":"Coronaviruses are a large group of enveloped, single-stranded positive-sense RNA viruses that infect a wide range of avian and mammalian species, including  humans. The emergence of deadly human coronaviruses, severe acute respiratory  syndrome coronavirus (SARS-CoV), and Middle East respiratory syndrome coronavirus  (MERS-CoV) have bolstered research in these viral and often zoonotic pathogens.  While coronavirus cell and tissue tropism, host range, and pathogenesis are  initially controlled by interactions between the spike envelope glycoprotein and  host cell receptor, it is becoming increasingly apparent that proteolytic  activation of spike by host cell proteases also plays a critical role.  Coronavirus spike proteins are the main determinant of entry as they possess both  receptor binding and fusion functions. Whereas binding to the host cell receptor  is an essential first step in establishing infection, the proteolytic activation  step is often critical for the fusion function of spike, as it allows for  controlled release of the fusion peptide into target cellular membranes.  Coronaviruses have evolved multiple strategies for proteolytic activation of  spike, and a large number of host proteases have been shown to proteolytically  process the spike protein. These include, but are not limited to, endosomal  cathepsins, cell surface transmembrane protease/serine (TMPRSS) proteases, furin,  and trypsin. This review focuses on the diversity of strategies coronaviruses  have evolved to proteolytically activate their fusion protein during spike  protein biosynthesis and the critical entry step of their life cycle, and  highlights important findings on how proteolytic activation of coronavirus spike  influences tissue and cell tropism, host range and pathogenicity.","container-title":"Virus research","DOI":"10.1016/j.virusres.2014.11.021","ISSN":"1872-7492 0168-1702","journalAbbreviation":"Virus Res","language":"eng","license":"Copyright © 2014 Elsevier B.V. All rights reserved.","note":"publisher-place: Netherlands\nPMID: 25445340 \nPMCID: PMC4465284","page":"120-134","title":"Host cell proteases: Critical determinants of coronavirus tropism and pathogenesis.","volume":"202","author":[{"family":"Millet","given":"Jean Kaoru"},{"family":"Whittaker","given":"Gary R."}],"issued":{"date-parts":[["2015",4,16]]}}}],"schema":"https://github.com/citation-style-language/schema/raw/master/csl-citation.json"} </w:instrText>
            </w:r>
            <w:r>
              <w:rPr>
                <w:rFonts w:ascii="Times New Roman" w:hAnsi="Times New Roman" w:cs="Times New Roman"/>
                <w:sz w:val="16"/>
                <w:szCs w:val="16"/>
              </w:rPr>
              <w:fldChar w:fldCharType="separate"/>
            </w:r>
            <w:r w:rsidRPr="00D575D1">
              <w:rPr>
                <w:rFonts w:ascii="Times New Roman" w:hAnsi="Times New Roman" w:cs="Times New Roman"/>
                <w:sz w:val="16"/>
              </w:rPr>
              <w:t>(Millet and Whittaker 2015)</w:t>
            </w:r>
            <w:r>
              <w:rPr>
                <w:rFonts w:ascii="Times New Roman" w:hAnsi="Times New Roman" w:cs="Times New Roman"/>
                <w:sz w:val="16"/>
                <w:szCs w:val="16"/>
              </w:rPr>
              <w:fldChar w:fldCharType="end"/>
            </w:r>
            <w:r w:rsidR="00586055">
              <w:rPr>
                <w:rFonts w:ascii="Times New Roman" w:hAnsi="Times New Roman" w:cs="Times New Roman"/>
                <w:sz w:val="16"/>
                <w:szCs w:val="16"/>
              </w:rPr>
              <w:t>;</w:t>
            </w:r>
          </w:p>
          <w:p w:rsidR="00D6726F" w:rsidRPr="0083785E" w:rsidRDefault="00D575D1" w:rsidP="00586055">
            <w:pPr>
              <w:rPr>
                <w:rStyle w:val="Hyperlink"/>
                <w:rFonts w:ascii="Times New Roman" w:hAnsi="Times New Roman" w:cs="Times New Roman"/>
                <w:sz w:val="16"/>
                <w:szCs w:val="16"/>
              </w:rPr>
            </w:pPr>
            <w:r w:rsidRPr="0083785E">
              <w:rPr>
                <w:rFonts w:ascii="Times New Roman" w:eastAsia="Times New Roman" w:hAnsi="Times New Roman" w:cs="Times New Roman"/>
                <w:color w:val="000000"/>
                <w:sz w:val="16"/>
                <w:szCs w:val="16"/>
              </w:rPr>
              <w:t>FP1, HR1, HR2</w:t>
            </w:r>
            <w:r>
              <w:rPr>
                <w:rFonts w:ascii="Times New Roman" w:eastAsia="Times New Roman" w:hAnsi="Times New Roman" w:cs="Times New Roman"/>
                <w:color w:val="000000"/>
                <w:sz w:val="16"/>
                <w:szCs w:val="16"/>
              </w:rPr>
              <w:t xml:space="preserve"> – UniProt – Q6Q1S2</w:t>
            </w:r>
          </w:p>
          <w:p w:rsidR="00D6726F" w:rsidRPr="0083785E" w:rsidRDefault="00D6726F" w:rsidP="00586055">
            <w:pPr>
              <w:rPr>
                <w:rFonts w:ascii="Times New Roman" w:eastAsia="Times New Roman" w:hAnsi="Times New Roman" w:cs="Times New Roman"/>
                <w:sz w:val="16"/>
                <w:szCs w:val="16"/>
              </w:rPr>
            </w:pPr>
          </w:p>
        </w:tc>
      </w:tr>
      <w:tr w:rsidR="00586055" w:rsidRPr="0083785E" w:rsidTr="00586055">
        <w:trPr>
          <w:trHeight w:val="1021"/>
        </w:trPr>
        <w:tc>
          <w:tcPr>
            <w:tcW w:w="810" w:type="dxa"/>
            <w:vAlign w:val="center"/>
          </w:tcPr>
          <w:p w:rsidR="00D6726F" w:rsidRPr="0083785E" w:rsidRDefault="00D6726F" w:rsidP="00586055">
            <w:pPr>
              <w:rPr>
                <w:rFonts w:ascii="Times New Roman" w:eastAsia="Times New Roman" w:hAnsi="Times New Roman" w:cs="Times New Roman"/>
                <w:color w:val="000000"/>
                <w:sz w:val="20"/>
                <w:szCs w:val="20"/>
              </w:rPr>
            </w:pPr>
            <w:r w:rsidRPr="0083785E">
              <w:rPr>
                <w:rFonts w:ascii="Times New Roman" w:eastAsia="Times New Roman" w:hAnsi="Times New Roman" w:cs="Times New Roman"/>
                <w:color w:val="000000"/>
                <w:sz w:val="20"/>
                <w:szCs w:val="20"/>
              </w:rPr>
              <w:t>HCoV-229E</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1173</w:t>
            </w:r>
          </w:p>
        </w:tc>
        <w:tc>
          <w:tcPr>
            <w:tcW w:w="72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17-268</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297-434</w:t>
            </w:r>
          </w:p>
        </w:tc>
        <w:tc>
          <w:tcPr>
            <w:tcW w:w="900" w:type="dxa"/>
          </w:tcPr>
          <w:p w:rsidR="00D6726F" w:rsidRPr="0083785E" w:rsidRDefault="00D6726F" w:rsidP="00586055">
            <w:pPr>
              <w:rPr>
                <w:rFonts w:ascii="Times New Roman" w:hAnsi="Times New Roman" w:cs="Times New Roman"/>
              </w:rPr>
            </w:pPr>
          </w:p>
        </w:tc>
        <w:tc>
          <w:tcPr>
            <w:tcW w:w="990" w:type="dxa"/>
          </w:tcPr>
          <w:p w:rsidR="00D6726F" w:rsidRPr="0083785E" w:rsidRDefault="00D6726F" w:rsidP="00586055">
            <w:pPr>
              <w:rPr>
                <w:rFonts w:ascii="Times New Roman" w:hAnsi="Times New Roman" w:cs="Times New Roman"/>
              </w:rPr>
            </w:pPr>
          </w:p>
        </w:tc>
        <w:tc>
          <w:tcPr>
            <w:tcW w:w="99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685-686</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753-773</w:t>
            </w:r>
          </w:p>
        </w:tc>
        <w:tc>
          <w:tcPr>
            <w:tcW w:w="810" w:type="dxa"/>
          </w:tcPr>
          <w:p w:rsidR="00D6726F" w:rsidRPr="0083785E" w:rsidRDefault="00D6726F" w:rsidP="00586055">
            <w:pPr>
              <w:rPr>
                <w:rFonts w:ascii="Times New Roman" w:hAnsi="Times New Roman" w:cs="Times New Roman"/>
              </w:rPr>
            </w:pP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767-886</w:t>
            </w:r>
          </w:p>
        </w:tc>
        <w:tc>
          <w:tcPr>
            <w:tcW w:w="810" w:type="dxa"/>
          </w:tcPr>
          <w:p w:rsidR="00D6726F" w:rsidRPr="0083785E" w:rsidRDefault="00D6726F" w:rsidP="00586055">
            <w:pPr>
              <w:rPr>
                <w:rFonts w:ascii="Times New Roman" w:hAnsi="Times New Roman" w:cs="Times New Roman"/>
              </w:rPr>
            </w:pPr>
            <w:r w:rsidRPr="0083785E">
              <w:rPr>
                <w:rFonts w:ascii="Times New Roman" w:hAnsi="Times New Roman" w:cs="Times New Roman"/>
              </w:rPr>
              <w:t>1031-1127</w:t>
            </w:r>
          </w:p>
        </w:tc>
        <w:tc>
          <w:tcPr>
            <w:tcW w:w="810" w:type="dxa"/>
          </w:tcPr>
          <w:p w:rsidR="00D6726F" w:rsidRPr="0083785E" w:rsidRDefault="00D6726F" w:rsidP="00586055">
            <w:pPr>
              <w:rPr>
                <w:rFonts w:ascii="Times New Roman" w:hAnsi="Times New Roman" w:cs="Times New Roman"/>
              </w:rPr>
            </w:pPr>
          </w:p>
        </w:tc>
        <w:tc>
          <w:tcPr>
            <w:tcW w:w="1800" w:type="dxa"/>
          </w:tcPr>
          <w:p w:rsidR="00586055" w:rsidRDefault="00586055" w:rsidP="00586055">
            <w:pPr>
              <w:rPr>
                <w:rFonts w:ascii="Times New Roman" w:hAnsi="Times New Roman" w:cs="Times New Roman"/>
                <w:sz w:val="16"/>
                <w:szCs w:val="16"/>
              </w:rPr>
            </w:pPr>
            <w:r w:rsidRPr="0083785E">
              <w:rPr>
                <w:rFonts w:ascii="Times New Roman" w:eastAsia="Times New Roman" w:hAnsi="Times New Roman" w:cs="Times New Roman"/>
                <w:color w:val="000000"/>
                <w:sz w:val="16"/>
                <w:szCs w:val="16"/>
              </w:rPr>
              <w:t xml:space="preserve">NTD, CTD,  </w:t>
            </w:r>
            <w:r w:rsidRPr="0083785E">
              <w:rPr>
                <w:rFonts w:ascii="Times New Roman" w:hAnsi="Times New Roman" w:cs="Times New Roman"/>
                <w:color w:val="000000"/>
                <w:sz w:val="16"/>
                <w:szCs w:val="16"/>
              </w:rPr>
              <w:t>S2 cleavage site</w:t>
            </w:r>
            <w:r>
              <w:rPr>
                <w:rFonts w:ascii="Times New Roman" w:hAnsi="Times New Roman" w:cs="Times New Roman"/>
                <w:color w:val="000000"/>
                <w:sz w:val="16"/>
                <w:szCs w:val="16"/>
              </w:rPr>
              <w:t xml:space="preserve"> - </w:t>
            </w:r>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 ADDIN ZOTERO_ITEM CSL_CITATION {"citationID":"fteW3NF1","properties":{"formattedCitation":"(Song et al. 2021)","plainCitation":"(Song et al. 2021)","noteIndex":0},"citationItems":[{"id":309,"uris":["http://zotero.org/users/local/YzCIES2Q/items/BKW4H3PC"],"itemData":{"id":309,"type":"article-journal","abstract":"Coronaviruses spike (S) glycoproteins mediate viral entry into host cells by binding to host receptors. However, how the S1 subunit undergoes conformational changes for receptor recognition has not been elucidated in Alphacoronavirus. Here, we report the cryo-EM structures of the HCoV-229E S trimer in prefusion state with two conformations. The activated conformation may pose the potential exposure of the S1-RBDs by decreasing of the interaction area between the S1-RBDs and the surrounding S1-NTDs and S1-RBDs compared to the closed conformation. Furthermore, structural comparison of our structures with the previously reported HCoV-229E S structure showed that the S trimers trended to open the S2 subunit from the closed conformation to open conformation, which could promote the transition from pre- to postfusion. Our results provide insights into the mechanisms involved in S glycoprotein-mediated Alphacoronavirus entry and have implications for vaccine and therapeutic antibody design.","container-title":"Nature Communications","DOI":"10.1038/s41467-020-20401-y","ISSN":"2041-1723","issue":"1","journalAbbreviation":"Nature Communications","page":"141","title":"Cryo-EM analysis of the HCoV-229E spike glycoprotein reveals dynamic prefusion conformational changes","volume":"12","author":[{"family":"Song","given":"Xiyong"},{"family":"Shi","given":"Yuejun"},{"family":"Ding","given":"Wei"},{"family":"Niu","given":"Tongxin"},{"family":"Sun","given":"Limeng"},{"family":"Tan","given":"Yubei"},{"family":"Chen","given":"Yong"},{"family":"Shi","given":"Jiale"},{"family":"Xiong","given":"Qiqi"},{"family":"Huang","given":"Xiaojun"},{"family":"Xiao","given":"Shaobo"},{"family":"Zhu","given":"Yanping"},{"family":"Cheng","given":"Chongyun"},{"family":"Fu","given":"Zhen F."},{"family":"Liu","given":"Zhi-Jie"},{"family":"Peng","given":"Guiqing"}],"issued":{"date-parts":[["2021",1,8]]}}}],"schema":"https://github.com/citation-style-language/schema/raw/master/csl-citation.json"} </w:instrText>
            </w:r>
            <w:r>
              <w:rPr>
                <w:rFonts w:ascii="Times New Roman" w:hAnsi="Times New Roman" w:cs="Times New Roman"/>
                <w:color w:val="000000"/>
                <w:sz w:val="16"/>
                <w:szCs w:val="16"/>
              </w:rPr>
              <w:fldChar w:fldCharType="separate"/>
            </w:r>
            <w:r w:rsidRPr="00586055">
              <w:rPr>
                <w:rFonts w:ascii="Times New Roman" w:hAnsi="Times New Roman" w:cs="Times New Roman"/>
                <w:sz w:val="16"/>
              </w:rPr>
              <w:t>(Song et al. 2021)</w:t>
            </w:r>
            <w:r>
              <w:rPr>
                <w:rFonts w:ascii="Times New Roman" w:hAnsi="Times New Roman" w:cs="Times New Roman"/>
                <w:color w:val="000000"/>
                <w:sz w:val="16"/>
                <w:szCs w:val="16"/>
              </w:rPr>
              <w:fldChar w:fldCharType="end"/>
            </w:r>
            <w:r>
              <w:rPr>
                <w:rFonts w:ascii="Times New Roman" w:hAnsi="Times New Roman" w:cs="Times New Roman"/>
                <w:color w:val="000000"/>
                <w:sz w:val="16"/>
                <w:szCs w:val="16"/>
              </w:rPr>
              <w:t>;</w:t>
            </w:r>
          </w:p>
          <w:p w:rsidR="00D6726F" w:rsidRPr="00586055" w:rsidRDefault="00586055" w:rsidP="00586055">
            <w:pPr>
              <w:rPr>
                <w:rFonts w:ascii="Times New Roman" w:hAnsi="Times New Roman" w:cs="Times New Roman"/>
                <w:color w:val="0000FF"/>
                <w:sz w:val="16"/>
                <w:szCs w:val="16"/>
                <w:u w:val="single"/>
              </w:rPr>
            </w:pPr>
            <w:r w:rsidRPr="0083785E">
              <w:rPr>
                <w:rFonts w:ascii="Times New Roman" w:eastAsia="Times New Roman" w:hAnsi="Times New Roman" w:cs="Times New Roman"/>
                <w:color w:val="000000"/>
                <w:sz w:val="16"/>
                <w:szCs w:val="16"/>
              </w:rPr>
              <w:t>FP1, HR1, HR2 domains</w:t>
            </w:r>
            <w:r>
              <w:rPr>
                <w:rFonts w:ascii="Times New Roman" w:eastAsia="Times New Roman" w:hAnsi="Times New Roman" w:cs="Times New Roman"/>
                <w:color w:val="000000"/>
                <w:sz w:val="16"/>
                <w:szCs w:val="16"/>
              </w:rPr>
              <w:t xml:space="preserve"> – UniProt – P15423</w:t>
            </w:r>
          </w:p>
        </w:tc>
      </w:tr>
    </w:tbl>
    <w:p w:rsidR="00586055" w:rsidRPr="00586055" w:rsidRDefault="00586055" w:rsidP="00586055">
      <w:pPr>
        <w:pStyle w:val="Bibliography"/>
        <w:rPr>
          <w:rFonts w:ascii="Times New Roman" w:hAnsi="Times New Roman" w:cs="Times New Roman"/>
          <w:b/>
        </w:rPr>
      </w:pPr>
      <w:r w:rsidRPr="00586055">
        <w:rPr>
          <w:rFonts w:ascii="Times New Roman" w:hAnsi="Times New Roman" w:cs="Times New Roman"/>
          <w:b/>
        </w:rPr>
        <w:t xml:space="preserve">Supplementary Table 1. </w:t>
      </w:r>
      <w:r>
        <w:rPr>
          <w:rFonts w:ascii="Times New Roman" w:hAnsi="Times New Roman" w:cs="Times New Roman"/>
          <w:b/>
        </w:rPr>
        <w:t xml:space="preserve"> The length</w:t>
      </w:r>
      <w:r w:rsidR="00B03A76">
        <w:rPr>
          <w:rFonts w:ascii="Times New Roman" w:hAnsi="Times New Roman" w:cs="Times New Roman"/>
          <w:b/>
        </w:rPr>
        <w:t>s</w:t>
      </w:r>
      <w:r>
        <w:rPr>
          <w:rFonts w:ascii="Times New Roman" w:hAnsi="Times New Roman" w:cs="Times New Roman"/>
          <w:b/>
        </w:rPr>
        <w:t xml:space="preserve"> </w:t>
      </w:r>
      <w:r w:rsidR="00B03A76">
        <w:rPr>
          <w:rFonts w:ascii="Times New Roman" w:hAnsi="Times New Roman" w:cs="Times New Roman"/>
          <w:b/>
        </w:rPr>
        <w:t>and boundaries of S protein structural domains.</w:t>
      </w:r>
      <w:bookmarkStart w:id="0" w:name="_GoBack"/>
      <w:bookmarkEnd w:id="0"/>
      <w:r w:rsidR="00B03A76">
        <w:rPr>
          <w:rFonts w:ascii="Times New Roman" w:hAnsi="Times New Roman" w:cs="Times New Roman"/>
          <w:b/>
        </w:rPr>
        <w:t xml:space="preserve"> </w:t>
      </w:r>
    </w:p>
    <w:p w:rsidR="00586055" w:rsidRDefault="00586055" w:rsidP="00586055">
      <w:pPr>
        <w:pStyle w:val="Bibliography"/>
      </w:pPr>
    </w:p>
    <w:p w:rsidR="00586055" w:rsidRPr="00586055" w:rsidRDefault="004D748D" w:rsidP="00586055">
      <w:pPr>
        <w:pStyle w:val="Bibliography"/>
        <w:rPr>
          <w:rFonts w:ascii="Calibri" w:hAnsi="Calibri" w:cs="Calibri"/>
        </w:rPr>
      </w:pPr>
      <w:r>
        <w:lastRenderedPageBreak/>
        <w:fldChar w:fldCharType="begin"/>
      </w:r>
      <w:r>
        <w:instrText xml:space="preserve"> ADDIN ZOTERO_BIBL {"uncited":[],"omitted":[],"custom":[]} CSL_BIBLIOGRAPHY </w:instrText>
      </w:r>
      <w:r>
        <w:fldChar w:fldCharType="separate"/>
      </w:r>
      <w:proofErr w:type="spellStart"/>
      <w:r w:rsidR="00586055" w:rsidRPr="00586055">
        <w:rPr>
          <w:rFonts w:ascii="Calibri" w:hAnsi="Calibri" w:cs="Calibri"/>
        </w:rPr>
        <w:t>Broer</w:t>
      </w:r>
      <w:proofErr w:type="spellEnd"/>
      <w:r w:rsidR="00586055" w:rsidRPr="00586055">
        <w:rPr>
          <w:rFonts w:ascii="Calibri" w:hAnsi="Calibri" w:cs="Calibri"/>
        </w:rPr>
        <w:t xml:space="preserve">, Rene, Bertrand Boson, Willy </w:t>
      </w:r>
      <w:proofErr w:type="spellStart"/>
      <w:r w:rsidR="00586055" w:rsidRPr="00586055">
        <w:rPr>
          <w:rFonts w:ascii="Calibri" w:hAnsi="Calibri" w:cs="Calibri"/>
        </w:rPr>
        <w:t>Spaan</w:t>
      </w:r>
      <w:proofErr w:type="spellEnd"/>
      <w:r w:rsidR="00586055" w:rsidRPr="00586055">
        <w:rPr>
          <w:rFonts w:ascii="Calibri" w:hAnsi="Calibri" w:cs="Calibri"/>
        </w:rPr>
        <w:t>, François-</w:t>
      </w:r>
      <w:proofErr w:type="spellStart"/>
      <w:r w:rsidR="00586055" w:rsidRPr="00586055">
        <w:rPr>
          <w:rFonts w:ascii="Calibri" w:hAnsi="Calibri" w:cs="Calibri"/>
        </w:rPr>
        <w:t>Loïc</w:t>
      </w:r>
      <w:proofErr w:type="spellEnd"/>
      <w:r w:rsidR="00586055" w:rsidRPr="00586055">
        <w:rPr>
          <w:rFonts w:ascii="Calibri" w:hAnsi="Calibri" w:cs="Calibri"/>
        </w:rPr>
        <w:t xml:space="preserve"> Cosset, and </w:t>
      </w:r>
      <w:proofErr w:type="spellStart"/>
      <w:r w:rsidR="00586055" w:rsidRPr="00586055">
        <w:rPr>
          <w:rFonts w:ascii="Calibri" w:hAnsi="Calibri" w:cs="Calibri"/>
        </w:rPr>
        <w:t>Jeroen</w:t>
      </w:r>
      <w:proofErr w:type="spellEnd"/>
      <w:r w:rsidR="00586055" w:rsidRPr="00586055">
        <w:rPr>
          <w:rFonts w:ascii="Calibri" w:hAnsi="Calibri" w:cs="Calibri"/>
        </w:rPr>
        <w:t xml:space="preserve"> </w:t>
      </w:r>
      <w:proofErr w:type="spellStart"/>
      <w:r w:rsidR="00586055" w:rsidRPr="00586055">
        <w:rPr>
          <w:rFonts w:ascii="Calibri" w:hAnsi="Calibri" w:cs="Calibri"/>
        </w:rPr>
        <w:t>Corver</w:t>
      </w:r>
      <w:proofErr w:type="spellEnd"/>
      <w:r w:rsidR="00586055" w:rsidRPr="00586055">
        <w:rPr>
          <w:rFonts w:ascii="Calibri" w:hAnsi="Calibri" w:cs="Calibri"/>
        </w:rPr>
        <w:t xml:space="preserve">. 2006. “Important Role for the Transmembrane Domain of Severe Acute Respiratory Syndrome Coronavirus Spike Protein during Entry.” </w:t>
      </w:r>
      <w:r w:rsidR="00586055" w:rsidRPr="00586055">
        <w:rPr>
          <w:rFonts w:ascii="Calibri" w:hAnsi="Calibri" w:cs="Calibri"/>
          <w:i/>
          <w:iCs/>
        </w:rPr>
        <w:t>Journal of Virology</w:t>
      </w:r>
      <w:r w:rsidR="00586055" w:rsidRPr="00586055">
        <w:rPr>
          <w:rFonts w:ascii="Calibri" w:hAnsi="Calibri" w:cs="Calibri"/>
        </w:rPr>
        <w:t xml:space="preserve"> 80 (3): 1302–10. https://doi.org/10.1128/JVI.80.3.1302-1310.2006.</w:t>
      </w:r>
    </w:p>
    <w:p w:rsidR="00586055" w:rsidRPr="00586055" w:rsidRDefault="00586055" w:rsidP="00586055">
      <w:pPr>
        <w:pStyle w:val="Bibliography"/>
        <w:rPr>
          <w:rFonts w:ascii="Calibri" w:hAnsi="Calibri" w:cs="Calibri"/>
        </w:rPr>
      </w:pPr>
      <w:proofErr w:type="spellStart"/>
      <w:r w:rsidRPr="00586055">
        <w:rPr>
          <w:rFonts w:ascii="Calibri" w:hAnsi="Calibri" w:cs="Calibri"/>
        </w:rPr>
        <w:t>Hatmal</w:t>
      </w:r>
      <w:proofErr w:type="spellEnd"/>
      <w:r w:rsidRPr="00586055">
        <w:rPr>
          <w:rFonts w:ascii="Calibri" w:hAnsi="Calibri" w:cs="Calibri"/>
        </w:rPr>
        <w:t xml:space="preserve">, </w:t>
      </w:r>
      <w:proofErr w:type="spellStart"/>
      <w:r w:rsidRPr="00586055">
        <w:rPr>
          <w:rFonts w:ascii="Calibri" w:hAnsi="Calibri" w:cs="Calibri"/>
        </w:rPr>
        <w:t>Ma’mon</w:t>
      </w:r>
      <w:proofErr w:type="spellEnd"/>
      <w:r w:rsidRPr="00586055">
        <w:rPr>
          <w:rFonts w:ascii="Calibri" w:hAnsi="Calibri" w:cs="Calibri"/>
        </w:rPr>
        <w:t xml:space="preserve"> M., </w:t>
      </w:r>
      <w:proofErr w:type="spellStart"/>
      <w:r w:rsidRPr="00586055">
        <w:rPr>
          <w:rFonts w:ascii="Calibri" w:hAnsi="Calibri" w:cs="Calibri"/>
        </w:rPr>
        <w:t>Walhan</w:t>
      </w:r>
      <w:proofErr w:type="spellEnd"/>
      <w:r w:rsidRPr="00586055">
        <w:rPr>
          <w:rFonts w:ascii="Calibri" w:hAnsi="Calibri" w:cs="Calibri"/>
        </w:rPr>
        <w:t xml:space="preserve"> </w:t>
      </w:r>
      <w:proofErr w:type="spellStart"/>
      <w:r w:rsidRPr="00586055">
        <w:rPr>
          <w:rFonts w:ascii="Calibri" w:hAnsi="Calibri" w:cs="Calibri"/>
        </w:rPr>
        <w:t>Alshaer</w:t>
      </w:r>
      <w:proofErr w:type="spellEnd"/>
      <w:r w:rsidRPr="00586055">
        <w:rPr>
          <w:rFonts w:ascii="Calibri" w:hAnsi="Calibri" w:cs="Calibri"/>
        </w:rPr>
        <w:t>, Mohammad A. I. Al-</w:t>
      </w:r>
      <w:proofErr w:type="spellStart"/>
      <w:r w:rsidRPr="00586055">
        <w:rPr>
          <w:rFonts w:ascii="Calibri" w:hAnsi="Calibri" w:cs="Calibri"/>
        </w:rPr>
        <w:t>Hatamleh</w:t>
      </w:r>
      <w:proofErr w:type="spellEnd"/>
      <w:r w:rsidRPr="00586055">
        <w:rPr>
          <w:rFonts w:ascii="Calibri" w:hAnsi="Calibri" w:cs="Calibri"/>
        </w:rPr>
        <w:t xml:space="preserve">, Malik </w:t>
      </w:r>
      <w:proofErr w:type="spellStart"/>
      <w:r w:rsidRPr="00586055">
        <w:rPr>
          <w:rFonts w:ascii="Calibri" w:hAnsi="Calibri" w:cs="Calibri"/>
        </w:rPr>
        <w:t>Hatmal</w:t>
      </w:r>
      <w:proofErr w:type="spellEnd"/>
      <w:r w:rsidRPr="00586055">
        <w:rPr>
          <w:rFonts w:ascii="Calibri" w:hAnsi="Calibri" w:cs="Calibri"/>
        </w:rPr>
        <w:t xml:space="preserve">, Othman </w:t>
      </w:r>
      <w:proofErr w:type="spellStart"/>
      <w:r w:rsidRPr="00586055">
        <w:rPr>
          <w:rFonts w:ascii="Calibri" w:hAnsi="Calibri" w:cs="Calibri"/>
        </w:rPr>
        <w:t>Smadi</w:t>
      </w:r>
      <w:proofErr w:type="spellEnd"/>
      <w:r w:rsidRPr="00586055">
        <w:rPr>
          <w:rFonts w:ascii="Calibri" w:hAnsi="Calibri" w:cs="Calibri"/>
        </w:rPr>
        <w:t xml:space="preserve">, </w:t>
      </w:r>
      <w:proofErr w:type="spellStart"/>
      <w:r w:rsidRPr="00586055">
        <w:rPr>
          <w:rFonts w:ascii="Calibri" w:hAnsi="Calibri" w:cs="Calibri"/>
        </w:rPr>
        <w:t>Mutasem</w:t>
      </w:r>
      <w:proofErr w:type="spellEnd"/>
      <w:r w:rsidRPr="00586055">
        <w:rPr>
          <w:rFonts w:ascii="Calibri" w:hAnsi="Calibri" w:cs="Calibri"/>
        </w:rPr>
        <w:t xml:space="preserve"> O. </w:t>
      </w:r>
      <w:proofErr w:type="spellStart"/>
      <w:r w:rsidRPr="00586055">
        <w:rPr>
          <w:rFonts w:ascii="Calibri" w:hAnsi="Calibri" w:cs="Calibri"/>
        </w:rPr>
        <w:t>Taha</w:t>
      </w:r>
      <w:proofErr w:type="spellEnd"/>
      <w:r w:rsidRPr="00586055">
        <w:rPr>
          <w:rFonts w:ascii="Calibri" w:hAnsi="Calibri" w:cs="Calibri"/>
        </w:rPr>
        <w:t xml:space="preserve">, Ayman J. </w:t>
      </w:r>
      <w:proofErr w:type="spellStart"/>
      <w:r w:rsidRPr="00586055">
        <w:rPr>
          <w:rFonts w:ascii="Calibri" w:hAnsi="Calibri" w:cs="Calibri"/>
        </w:rPr>
        <w:t>Oweida</w:t>
      </w:r>
      <w:proofErr w:type="spellEnd"/>
      <w:r w:rsidRPr="00586055">
        <w:rPr>
          <w:rFonts w:ascii="Calibri" w:hAnsi="Calibri" w:cs="Calibri"/>
        </w:rPr>
        <w:t xml:space="preserve">, Jennifer C. Boer, </w:t>
      </w:r>
      <w:proofErr w:type="spellStart"/>
      <w:r w:rsidRPr="00586055">
        <w:rPr>
          <w:rFonts w:ascii="Calibri" w:hAnsi="Calibri" w:cs="Calibri"/>
        </w:rPr>
        <w:t>Rohimah</w:t>
      </w:r>
      <w:proofErr w:type="spellEnd"/>
      <w:r w:rsidRPr="00586055">
        <w:rPr>
          <w:rFonts w:ascii="Calibri" w:hAnsi="Calibri" w:cs="Calibri"/>
        </w:rPr>
        <w:t xml:space="preserve"> </w:t>
      </w:r>
      <w:proofErr w:type="spellStart"/>
      <w:r w:rsidRPr="00586055">
        <w:rPr>
          <w:rFonts w:ascii="Calibri" w:hAnsi="Calibri" w:cs="Calibri"/>
        </w:rPr>
        <w:t>Mohamud</w:t>
      </w:r>
      <w:proofErr w:type="spellEnd"/>
      <w:r w:rsidRPr="00586055">
        <w:rPr>
          <w:rFonts w:ascii="Calibri" w:hAnsi="Calibri" w:cs="Calibri"/>
        </w:rPr>
        <w:t xml:space="preserve">, and Magdalena </w:t>
      </w:r>
      <w:proofErr w:type="spellStart"/>
      <w:r w:rsidRPr="00586055">
        <w:rPr>
          <w:rFonts w:ascii="Calibri" w:hAnsi="Calibri" w:cs="Calibri"/>
        </w:rPr>
        <w:t>Plebanski</w:t>
      </w:r>
      <w:proofErr w:type="spellEnd"/>
      <w:r w:rsidRPr="00586055">
        <w:rPr>
          <w:rFonts w:ascii="Calibri" w:hAnsi="Calibri" w:cs="Calibri"/>
        </w:rPr>
        <w:t>. 2020. “Comprehensive Structural and Molecular Comparison of Spike Proteins of SARS-CoV-2, SARS-</w:t>
      </w:r>
      <w:proofErr w:type="spellStart"/>
      <w:r w:rsidRPr="00586055">
        <w:rPr>
          <w:rFonts w:ascii="Calibri" w:hAnsi="Calibri" w:cs="Calibri"/>
        </w:rPr>
        <w:t>CoV</w:t>
      </w:r>
      <w:proofErr w:type="spellEnd"/>
      <w:r w:rsidRPr="00586055">
        <w:rPr>
          <w:rFonts w:ascii="Calibri" w:hAnsi="Calibri" w:cs="Calibri"/>
        </w:rPr>
        <w:t xml:space="preserve"> and MERS-</w:t>
      </w:r>
      <w:proofErr w:type="spellStart"/>
      <w:r w:rsidRPr="00586055">
        <w:rPr>
          <w:rFonts w:ascii="Calibri" w:hAnsi="Calibri" w:cs="Calibri"/>
        </w:rPr>
        <w:t>CoV</w:t>
      </w:r>
      <w:proofErr w:type="spellEnd"/>
      <w:r w:rsidRPr="00586055">
        <w:rPr>
          <w:rFonts w:ascii="Calibri" w:hAnsi="Calibri" w:cs="Calibri"/>
        </w:rPr>
        <w:t xml:space="preserve">, and Their Interactions with ACE2.” </w:t>
      </w:r>
      <w:r w:rsidRPr="00586055">
        <w:rPr>
          <w:rFonts w:ascii="Calibri" w:hAnsi="Calibri" w:cs="Calibri"/>
          <w:i/>
          <w:iCs/>
        </w:rPr>
        <w:t>Cells</w:t>
      </w:r>
      <w:r w:rsidRPr="00586055">
        <w:rPr>
          <w:rFonts w:ascii="Calibri" w:hAnsi="Calibri" w:cs="Calibri"/>
        </w:rPr>
        <w:t xml:space="preserve"> 9 (12). https://doi.org/10.3390/cells9122638.</w:t>
      </w:r>
    </w:p>
    <w:p w:rsidR="00586055" w:rsidRPr="00586055" w:rsidRDefault="00586055" w:rsidP="00586055">
      <w:pPr>
        <w:pStyle w:val="Bibliography"/>
        <w:rPr>
          <w:rFonts w:ascii="Calibri" w:hAnsi="Calibri" w:cs="Calibri"/>
        </w:rPr>
      </w:pPr>
      <w:proofErr w:type="spellStart"/>
      <w:r w:rsidRPr="00586055">
        <w:rPr>
          <w:rFonts w:ascii="Calibri" w:hAnsi="Calibri" w:cs="Calibri"/>
        </w:rPr>
        <w:t>Kirchdoerfer</w:t>
      </w:r>
      <w:proofErr w:type="spellEnd"/>
      <w:r w:rsidRPr="00586055">
        <w:rPr>
          <w:rFonts w:ascii="Calibri" w:hAnsi="Calibri" w:cs="Calibri"/>
        </w:rPr>
        <w:t xml:space="preserve">, Robert N., Christopher A. Cottrell, </w:t>
      </w:r>
      <w:proofErr w:type="spellStart"/>
      <w:r w:rsidRPr="00586055">
        <w:rPr>
          <w:rFonts w:ascii="Calibri" w:hAnsi="Calibri" w:cs="Calibri"/>
        </w:rPr>
        <w:t>Nianshuang</w:t>
      </w:r>
      <w:proofErr w:type="spellEnd"/>
      <w:r w:rsidRPr="00586055">
        <w:rPr>
          <w:rFonts w:ascii="Calibri" w:hAnsi="Calibri" w:cs="Calibri"/>
        </w:rPr>
        <w:t xml:space="preserve"> Wang, </w:t>
      </w:r>
      <w:proofErr w:type="spellStart"/>
      <w:r w:rsidRPr="00586055">
        <w:rPr>
          <w:rFonts w:ascii="Calibri" w:hAnsi="Calibri" w:cs="Calibri"/>
        </w:rPr>
        <w:t>Jesper</w:t>
      </w:r>
      <w:proofErr w:type="spellEnd"/>
      <w:r w:rsidRPr="00586055">
        <w:rPr>
          <w:rFonts w:ascii="Calibri" w:hAnsi="Calibri" w:cs="Calibri"/>
        </w:rPr>
        <w:t xml:space="preserve"> </w:t>
      </w:r>
      <w:proofErr w:type="spellStart"/>
      <w:r w:rsidRPr="00586055">
        <w:rPr>
          <w:rFonts w:ascii="Calibri" w:hAnsi="Calibri" w:cs="Calibri"/>
        </w:rPr>
        <w:t>Pallesen</w:t>
      </w:r>
      <w:proofErr w:type="spellEnd"/>
      <w:r w:rsidRPr="00586055">
        <w:rPr>
          <w:rFonts w:ascii="Calibri" w:hAnsi="Calibri" w:cs="Calibri"/>
        </w:rPr>
        <w:t xml:space="preserve">, </w:t>
      </w:r>
      <w:proofErr w:type="spellStart"/>
      <w:r w:rsidRPr="00586055">
        <w:rPr>
          <w:rFonts w:ascii="Calibri" w:hAnsi="Calibri" w:cs="Calibri"/>
        </w:rPr>
        <w:t>Hadi</w:t>
      </w:r>
      <w:proofErr w:type="spellEnd"/>
      <w:r w:rsidRPr="00586055">
        <w:rPr>
          <w:rFonts w:ascii="Calibri" w:hAnsi="Calibri" w:cs="Calibri"/>
        </w:rPr>
        <w:t xml:space="preserve"> M. </w:t>
      </w:r>
      <w:proofErr w:type="spellStart"/>
      <w:r w:rsidRPr="00586055">
        <w:rPr>
          <w:rFonts w:ascii="Calibri" w:hAnsi="Calibri" w:cs="Calibri"/>
        </w:rPr>
        <w:t>Yassine</w:t>
      </w:r>
      <w:proofErr w:type="spellEnd"/>
      <w:r w:rsidRPr="00586055">
        <w:rPr>
          <w:rFonts w:ascii="Calibri" w:hAnsi="Calibri" w:cs="Calibri"/>
        </w:rPr>
        <w:t xml:space="preserve">, Hannah L. Turner, </w:t>
      </w:r>
      <w:proofErr w:type="spellStart"/>
      <w:r w:rsidRPr="00586055">
        <w:rPr>
          <w:rFonts w:ascii="Calibri" w:hAnsi="Calibri" w:cs="Calibri"/>
        </w:rPr>
        <w:t>Kizzmekia</w:t>
      </w:r>
      <w:proofErr w:type="spellEnd"/>
      <w:r w:rsidRPr="00586055">
        <w:rPr>
          <w:rFonts w:ascii="Calibri" w:hAnsi="Calibri" w:cs="Calibri"/>
        </w:rPr>
        <w:t xml:space="preserve"> S. Corbett, Barney S. Graham, Jason S. McLellan, and Andrew B. Ward. 2016. “Pre-Fusion Structure of a Human Coronavirus Spike Protein.” </w:t>
      </w:r>
      <w:r w:rsidRPr="00586055">
        <w:rPr>
          <w:rFonts w:ascii="Calibri" w:hAnsi="Calibri" w:cs="Calibri"/>
          <w:i/>
          <w:iCs/>
        </w:rPr>
        <w:t>Nature</w:t>
      </w:r>
      <w:r w:rsidRPr="00586055">
        <w:rPr>
          <w:rFonts w:ascii="Calibri" w:hAnsi="Calibri" w:cs="Calibri"/>
        </w:rPr>
        <w:t xml:space="preserve"> 531 (7592): 118–21. https://doi.org/10.1038/nature17200.</w:t>
      </w:r>
    </w:p>
    <w:p w:rsidR="00586055" w:rsidRPr="00586055" w:rsidRDefault="00586055" w:rsidP="00586055">
      <w:pPr>
        <w:pStyle w:val="Bibliography"/>
        <w:rPr>
          <w:rFonts w:ascii="Calibri" w:hAnsi="Calibri" w:cs="Calibri"/>
        </w:rPr>
      </w:pPr>
      <w:r w:rsidRPr="00586055">
        <w:rPr>
          <w:rFonts w:ascii="Calibri" w:hAnsi="Calibri" w:cs="Calibri"/>
        </w:rPr>
        <w:t xml:space="preserve">Millet, Jean Kaoru, and Gary R. Whittaker. 2015. “Host Cell Proteases: Critical Determinants of Coronavirus Tropism and Pathogenesis.” </w:t>
      </w:r>
      <w:r w:rsidRPr="00586055">
        <w:rPr>
          <w:rFonts w:ascii="Calibri" w:hAnsi="Calibri" w:cs="Calibri"/>
          <w:i/>
          <w:iCs/>
        </w:rPr>
        <w:t>Virus Research</w:t>
      </w:r>
      <w:r w:rsidRPr="00586055">
        <w:rPr>
          <w:rFonts w:ascii="Calibri" w:hAnsi="Calibri" w:cs="Calibri"/>
        </w:rPr>
        <w:t xml:space="preserve"> 202 (April):120–34. https://doi.org/10.1016/j.virusres.2014.11.021.</w:t>
      </w:r>
    </w:p>
    <w:p w:rsidR="00586055" w:rsidRPr="00586055" w:rsidRDefault="00586055" w:rsidP="00586055">
      <w:pPr>
        <w:pStyle w:val="Bibliography"/>
        <w:rPr>
          <w:rFonts w:ascii="Calibri" w:hAnsi="Calibri" w:cs="Calibri"/>
        </w:rPr>
      </w:pPr>
      <w:r w:rsidRPr="00586055">
        <w:rPr>
          <w:rFonts w:ascii="Calibri" w:hAnsi="Calibri" w:cs="Calibri"/>
        </w:rPr>
        <w:t xml:space="preserve">Saunders, Nell, Ignacio Fernandez, Cyril </w:t>
      </w:r>
      <w:proofErr w:type="spellStart"/>
      <w:r w:rsidRPr="00586055">
        <w:rPr>
          <w:rFonts w:ascii="Calibri" w:hAnsi="Calibri" w:cs="Calibri"/>
        </w:rPr>
        <w:t>Planchais</w:t>
      </w:r>
      <w:proofErr w:type="spellEnd"/>
      <w:r w:rsidRPr="00586055">
        <w:rPr>
          <w:rFonts w:ascii="Calibri" w:hAnsi="Calibri" w:cs="Calibri"/>
        </w:rPr>
        <w:t xml:space="preserve">, Vincent Michel, </w:t>
      </w:r>
      <w:proofErr w:type="spellStart"/>
      <w:r w:rsidRPr="00586055">
        <w:rPr>
          <w:rFonts w:ascii="Calibri" w:hAnsi="Calibri" w:cs="Calibri"/>
        </w:rPr>
        <w:t>Maaran</w:t>
      </w:r>
      <w:proofErr w:type="spellEnd"/>
      <w:r w:rsidRPr="00586055">
        <w:rPr>
          <w:rFonts w:ascii="Calibri" w:hAnsi="Calibri" w:cs="Calibri"/>
        </w:rPr>
        <w:t xml:space="preserve"> Michael Rajah, Eduard </w:t>
      </w:r>
      <w:proofErr w:type="spellStart"/>
      <w:r w:rsidRPr="00586055">
        <w:rPr>
          <w:rFonts w:ascii="Calibri" w:hAnsi="Calibri" w:cs="Calibri"/>
        </w:rPr>
        <w:t>Baquero</w:t>
      </w:r>
      <w:proofErr w:type="spellEnd"/>
      <w:r w:rsidRPr="00586055">
        <w:rPr>
          <w:rFonts w:ascii="Calibri" w:hAnsi="Calibri" w:cs="Calibri"/>
        </w:rPr>
        <w:t xml:space="preserve"> Salazar, Jeanne Postal, et al. 2023. “TMPRSS2 Is a Functional Receptor for Human Coronavirus HKU1.” </w:t>
      </w:r>
      <w:r w:rsidRPr="00586055">
        <w:rPr>
          <w:rFonts w:ascii="Calibri" w:hAnsi="Calibri" w:cs="Calibri"/>
          <w:i/>
          <w:iCs/>
        </w:rPr>
        <w:t>Nature</w:t>
      </w:r>
      <w:r w:rsidRPr="00586055">
        <w:rPr>
          <w:rFonts w:ascii="Calibri" w:hAnsi="Calibri" w:cs="Calibri"/>
        </w:rPr>
        <w:t xml:space="preserve"> 624 (7990): 207–14. https://doi.org/10.1038/s41586-023-06761-7.</w:t>
      </w:r>
    </w:p>
    <w:p w:rsidR="00586055" w:rsidRPr="00586055" w:rsidRDefault="00586055" w:rsidP="00586055">
      <w:pPr>
        <w:pStyle w:val="Bibliography"/>
        <w:rPr>
          <w:rFonts w:ascii="Calibri" w:hAnsi="Calibri" w:cs="Calibri"/>
        </w:rPr>
      </w:pPr>
      <w:r w:rsidRPr="00586055">
        <w:rPr>
          <w:rFonts w:ascii="Calibri" w:hAnsi="Calibri" w:cs="Calibri"/>
        </w:rPr>
        <w:t xml:space="preserve">Song, </w:t>
      </w:r>
      <w:proofErr w:type="spellStart"/>
      <w:r w:rsidRPr="00586055">
        <w:rPr>
          <w:rFonts w:ascii="Calibri" w:hAnsi="Calibri" w:cs="Calibri"/>
        </w:rPr>
        <w:t>Xiyong</w:t>
      </w:r>
      <w:proofErr w:type="spellEnd"/>
      <w:r w:rsidRPr="00586055">
        <w:rPr>
          <w:rFonts w:ascii="Calibri" w:hAnsi="Calibri" w:cs="Calibri"/>
        </w:rPr>
        <w:t xml:space="preserve">, </w:t>
      </w:r>
      <w:proofErr w:type="spellStart"/>
      <w:r w:rsidRPr="00586055">
        <w:rPr>
          <w:rFonts w:ascii="Calibri" w:hAnsi="Calibri" w:cs="Calibri"/>
        </w:rPr>
        <w:t>Yuejun</w:t>
      </w:r>
      <w:proofErr w:type="spellEnd"/>
      <w:r w:rsidRPr="00586055">
        <w:rPr>
          <w:rFonts w:ascii="Calibri" w:hAnsi="Calibri" w:cs="Calibri"/>
        </w:rPr>
        <w:t xml:space="preserve"> Shi, Wei Ding, </w:t>
      </w:r>
      <w:proofErr w:type="spellStart"/>
      <w:r w:rsidRPr="00586055">
        <w:rPr>
          <w:rFonts w:ascii="Calibri" w:hAnsi="Calibri" w:cs="Calibri"/>
        </w:rPr>
        <w:t>Tongxin</w:t>
      </w:r>
      <w:proofErr w:type="spellEnd"/>
      <w:r w:rsidRPr="00586055">
        <w:rPr>
          <w:rFonts w:ascii="Calibri" w:hAnsi="Calibri" w:cs="Calibri"/>
        </w:rPr>
        <w:t xml:space="preserve"> </w:t>
      </w:r>
      <w:proofErr w:type="spellStart"/>
      <w:r w:rsidRPr="00586055">
        <w:rPr>
          <w:rFonts w:ascii="Calibri" w:hAnsi="Calibri" w:cs="Calibri"/>
        </w:rPr>
        <w:t>Niu</w:t>
      </w:r>
      <w:proofErr w:type="spellEnd"/>
      <w:r w:rsidRPr="00586055">
        <w:rPr>
          <w:rFonts w:ascii="Calibri" w:hAnsi="Calibri" w:cs="Calibri"/>
        </w:rPr>
        <w:t xml:space="preserve">, </w:t>
      </w:r>
      <w:proofErr w:type="spellStart"/>
      <w:r w:rsidRPr="00586055">
        <w:rPr>
          <w:rFonts w:ascii="Calibri" w:hAnsi="Calibri" w:cs="Calibri"/>
        </w:rPr>
        <w:t>Limeng</w:t>
      </w:r>
      <w:proofErr w:type="spellEnd"/>
      <w:r w:rsidRPr="00586055">
        <w:rPr>
          <w:rFonts w:ascii="Calibri" w:hAnsi="Calibri" w:cs="Calibri"/>
        </w:rPr>
        <w:t xml:space="preserve"> Sun, </w:t>
      </w:r>
      <w:proofErr w:type="spellStart"/>
      <w:r w:rsidRPr="00586055">
        <w:rPr>
          <w:rFonts w:ascii="Calibri" w:hAnsi="Calibri" w:cs="Calibri"/>
        </w:rPr>
        <w:t>Yubei</w:t>
      </w:r>
      <w:proofErr w:type="spellEnd"/>
      <w:r w:rsidRPr="00586055">
        <w:rPr>
          <w:rFonts w:ascii="Calibri" w:hAnsi="Calibri" w:cs="Calibri"/>
        </w:rPr>
        <w:t xml:space="preserve"> Tan, Yong Chen, et al. 2021. “</w:t>
      </w:r>
      <w:proofErr w:type="spellStart"/>
      <w:r w:rsidRPr="00586055">
        <w:rPr>
          <w:rFonts w:ascii="Calibri" w:hAnsi="Calibri" w:cs="Calibri"/>
        </w:rPr>
        <w:t>Cryo</w:t>
      </w:r>
      <w:proofErr w:type="spellEnd"/>
      <w:r w:rsidRPr="00586055">
        <w:rPr>
          <w:rFonts w:ascii="Calibri" w:hAnsi="Calibri" w:cs="Calibri"/>
        </w:rPr>
        <w:t xml:space="preserve">-EM Analysis of the HCoV-229E Spike Glycoprotein Reveals Dynamic </w:t>
      </w:r>
      <w:proofErr w:type="spellStart"/>
      <w:r w:rsidRPr="00586055">
        <w:rPr>
          <w:rFonts w:ascii="Calibri" w:hAnsi="Calibri" w:cs="Calibri"/>
        </w:rPr>
        <w:t>Prefusion</w:t>
      </w:r>
      <w:proofErr w:type="spellEnd"/>
      <w:r w:rsidRPr="00586055">
        <w:rPr>
          <w:rFonts w:ascii="Calibri" w:hAnsi="Calibri" w:cs="Calibri"/>
        </w:rPr>
        <w:t xml:space="preserve"> Conformational Changes.” </w:t>
      </w:r>
      <w:r w:rsidRPr="00586055">
        <w:rPr>
          <w:rFonts w:ascii="Calibri" w:hAnsi="Calibri" w:cs="Calibri"/>
          <w:i/>
          <w:iCs/>
        </w:rPr>
        <w:t>Nature Communications</w:t>
      </w:r>
      <w:r w:rsidRPr="00586055">
        <w:rPr>
          <w:rFonts w:ascii="Calibri" w:hAnsi="Calibri" w:cs="Calibri"/>
        </w:rPr>
        <w:t xml:space="preserve"> 12 (1): 141. https://doi.org/10.1038/s41467-020-20401-y.</w:t>
      </w:r>
    </w:p>
    <w:p w:rsidR="00586055" w:rsidRPr="00586055" w:rsidRDefault="00586055" w:rsidP="00586055">
      <w:pPr>
        <w:pStyle w:val="Bibliography"/>
        <w:rPr>
          <w:rFonts w:ascii="Calibri" w:hAnsi="Calibri" w:cs="Calibri"/>
        </w:rPr>
      </w:pPr>
      <w:r w:rsidRPr="00586055">
        <w:rPr>
          <w:rFonts w:ascii="Calibri" w:hAnsi="Calibri" w:cs="Calibri"/>
        </w:rPr>
        <w:t xml:space="preserve">Wang, </w:t>
      </w:r>
      <w:proofErr w:type="spellStart"/>
      <w:r w:rsidRPr="00586055">
        <w:rPr>
          <w:rFonts w:ascii="Calibri" w:hAnsi="Calibri" w:cs="Calibri"/>
        </w:rPr>
        <w:t>Chunyan</w:t>
      </w:r>
      <w:proofErr w:type="spellEnd"/>
      <w:r w:rsidRPr="00586055">
        <w:rPr>
          <w:rFonts w:ascii="Calibri" w:hAnsi="Calibri" w:cs="Calibri"/>
        </w:rPr>
        <w:t xml:space="preserve">, Emma L. </w:t>
      </w:r>
      <w:proofErr w:type="spellStart"/>
      <w:r w:rsidRPr="00586055">
        <w:rPr>
          <w:rFonts w:ascii="Calibri" w:hAnsi="Calibri" w:cs="Calibri"/>
        </w:rPr>
        <w:t>Hesketh</w:t>
      </w:r>
      <w:proofErr w:type="spellEnd"/>
      <w:r w:rsidRPr="00586055">
        <w:rPr>
          <w:rFonts w:ascii="Calibri" w:hAnsi="Calibri" w:cs="Calibri"/>
        </w:rPr>
        <w:t xml:space="preserve">, Tatiana M. </w:t>
      </w:r>
      <w:proofErr w:type="spellStart"/>
      <w:r w:rsidRPr="00586055">
        <w:rPr>
          <w:rFonts w:ascii="Calibri" w:hAnsi="Calibri" w:cs="Calibri"/>
        </w:rPr>
        <w:t>Shamorkina</w:t>
      </w:r>
      <w:proofErr w:type="spellEnd"/>
      <w:r w:rsidRPr="00586055">
        <w:rPr>
          <w:rFonts w:ascii="Calibri" w:hAnsi="Calibri" w:cs="Calibri"/>
        </w:rPr>
        <w:t xml:space="preserve">, </w:t>
      </w:r>
      <w:proofErr w:type="spellStart"/>
      <w:r w:rsidRPr="00586055">
        <w:rPr>
          <w:rFonts w:ascii="Calibri" w:hAnsi="Calibri" w:cs="Calibri"/>
        </w:rPr>
        <w:t>Wentao</w:t>
      </w:r>
      <w:proofErr w:type="spellEnd"/>
      <w:r w:rsidRPr="00586055">
        <w:rPr>
          <w:rFonts w:ascii="Calibri" w:hAnsi="Calibri" w:cs="Calibri"/>
        </w:rPr>
        <w:t xml:space="preserve"> Li, Peter J. Franken, </w:t>
      </w:r>
      <w:proofErr w:type="spellStart"/>
      <w:r w:rsidRPr="00586055">
        <w:rPr>
          <w:rFonts w:ascii="Calibri" w:hAnsi="Calibri" w:cs="Calibri"/>
        </w:rPr>
        <w:t>Dubravka</w:t>
      </w:r>
      <w:proofErr w:type="spellEnd"/>
      <w:r w:rsidRPr="00586055">
        <w:rPr>
          <w:rFonts w:ascii="Calibri" w:hAnsi="Calibri" w:cs="Calibri"/>
        </w:rPr>
        <w:t xml:space="preserve"> </w:t>
      </w:r>
      <w:proofErr w:type="spellStart"/>
      <w:r w:rsidRPr="00586055">
        <w:rPr>
          <w:rFonts w:ascii="Calibri" w:hAnsi="Calibri" w:cs="Calibri"/>
        </w:rPr>
        <w:t>Drabek</w:t>
      </w:r>
      <w:proofErr w:type="spellEnd"/>
      <w:r w:rsidRPr="00586055">
        <w:rPr>
          <w:rFonts w:ascii="Calibri" w:hAnsi="Calibri" w:cs="Calibri"/>
        </w:rPr>
        <w:t xml:space="preserve">, </w:t>
      </w:r>
      <w:proofErr w:type="spellStart"/>
      <w:r w:rsidRPr="00586055">
        <w:rPr>
          <w:rFonts w:ascii="Calibri" w:hAnsi="Calibri" w:cs="Calibri"/>
        </w:rPr>
        <w:t>Rien</w:t>
      </w:r>
      <w:proofErr w:type="spellEnd"/>
      <w:r w:rsidRPr="00586055">
        <w:rPr>
          <w:rFonts w:ascii="Calibri" w:hAnsi="Calibri" w:cs="Calibri"/>
        </w:rPr>
        <w:t xml:space="preserve"> van </w:t>
      </w:r>
      <w:proofErr w:type="spellStart"/>
      <w:r w:rsidRPr="00586055">
        <w:rPr>
          <w:rFonts w:ascii="Calibri" w:hAnsi="Calibri" w:cs="Calibri"/>
        </w:rPr>
        <w:t>Haperen</w:t>
      </w:r>
      <w:proofErr w:type="spellEnd"/>
      <w:r w:rsidRPr="00586055">
        <w:rPr>
          <w:rFonts w:ascii="Calibri" w:hAnsi="Calibri" w:cs="Calibri"/>
        </w:rPr>
        <w:t xml:space="preserve">, et al. 2022. “Antigenic Structure of the Human Coronavirus OC43 Spike Reveals Exposed and Occluded Neutralizing Epitopes.” </w:t>
      </w:r>
      <w:r w:rsidRPr="00586055">
        <w:rPr>
          <w:rFonts w:ascii="Calibri" w:hAnsi="Calibri" w:cs="Calibri"/>
          <w:i/>
          <w:iCs/>
        </w:rPr>
        <w:t>Nature Communications</w:t>
      </w:r>
      <w:r w:rsidRPr="00586055">
        <w:rPr>
          <w:rFonts w:ascii="Calibri" w:hAnsi="Calibri" w:cs="Calibri"/>
        </w:rPr>
        <w:t xml:space="preserve"> 13 (1): 2921. https://doi.org/10.1038/s41467-022-30658-0.</w:t>
      </w:r>
    </w:p>
    <w:p w:rsidR="00586055" w:rsidRPr="00586055" w:rsidRDefault="00586055" w:rsidP="00586055">
      <w:pPr>
        <w:pStyle w:val="Bibliography"/>
        <w:rPr>
          <w:rFonts w:ascii="Calibri" w:hAnsi="Calibri" w:cs="Calibri"/>
        </w:rPr>
      </w:pPr>
      <w:r w:rsidRPr="00586055">
        <w:rPr>
          <w:rFonts w:ascii="Calibri" w:hAnsi="Calibri" w:cs="Calibri"/>
        </w:rPr>
        <w:t xml:space="preserve">Winger, Anna, and Thomas </w:t>
      </w:r>
      <w:proofErr w:type="spellStart"/>
      <w:r w:rsidRPr="00586055">
        <w:rPr>
          <w:rFonts w:ascii="Calibri" w:hAnsi="Calibri" w:cs="Calibri"/>
        </w:rPr>
        <w:t>Caspari</w:t>
      </w:r>
      <w:proofErr w:type="spellEnd"/>
      <w:r w:rsidRPr="00586055">
        <w:rPr>
          <w:rFonts w:ascii="Calibri" w:hAnsi="Calibri" w:cs="Calibri"/>
        </w:rPr>
        <w:t>. 2021. “The Spike of Concern—</w:t>
      </w:r>
      <w:proofErr w:type="gramStart"/>
      <w:r w:rsidRPr="00586055">
        <w:rPr>
          <w:rFonts w:ascii="Calibri" w:hAnsi="Calibri" w:cs="Calibri"/>
        </w:rPr>
        <w:t>The</w:t>
      </w:r>
      <w:proofErr w:type="gramEnd"/>
      <w:r w:rsidRPr="00586055">
        <w:rPr>
          <w:rFonts w:ascii="Calibri" w:hAnsi="Calibri" w:cs="Calibri"/>
        </w:rPr>
        <w:t xml:space="preserve"> Novel Variants of SARS-CoV-2.” </w:t>
      </w:r>
      <w:r w:rsidRPr="00586055">
        <w:rPr>
          <w:rFonts w:ascii="Calibri" w:hAnsi="Calibri" w:cs="Calibri"/>
          <w:i/>
          <w:iCs/>
        </w:rPr>
        <w:t>Viruses</w:t>
      </w:r>
      <w:r w:rsidRPr="00586055">
        <w:rPr>
          <w:rFonts w:ascii="Calibri" w:hAnsi="Calibri" w:cs="Calibri"/>
        </w:rPr>
        <w:t xml:space="preserve"> 13 (6). https://doi.org/10.3390/v13061002.</w:t>
      </w:r>
    </w:p>
    <w:p w:rsidR="00586055" w:rsidRPr="00586055" w:rsidRDefault="00586055" w:rsidP="00586055">
      <w:pPr>
        <w:pStyle w:val="Bibliography"/>
        <w:rPr>
          <w:rFonts w:ascii="Calibri" w:hAnsi="Calibri" w:cs="Calibri"/>
        </w:rPr>
      </w:pPr>
      <w:r w:rsidRPr="00586055">
        <w:rPr>
          <w:rFonts w:ascii="Calibri" w:hAnsi="Calibri" w:cs="Calibri"/>
        </w:rPr>
        <w:t xml:space="preserve">Wu, </w:t>
      </w:r>
      <w:proofErr w:type="spellStart"/>
      <w:r w:rsidRPr="00586055">
        <w:rPr>
          <w:rFonts w:ascii="Calibri" w:hAnsi="Calibri" w:cs="Calibri"/>
        </w:rPr>
        <w:t>Kailang</w:t>
      </w:r>
      <w:proofErr w:type="spellEnd"/>
      <w:r w:rsidRPr="00586055">
        <w:rPr>
          <w:rFonts w:ascii="Calibri" w:hAnsi="Calibri" w:cs="Calibri"/>
        </w:rPr>
        <w:t xml:space="preserve">, </w:t>
      </w:r>
      <w:proofErr w:type="spellStart"/>
      <w:r w:rsidRPr="00586055">
        <w:rPr>
          <w:rFonts w:ascii="Calibri" w:hAnsi="Calibri" w:cs="Calibri"/>
        </w:rPr>
        <w:t>Weikai</w:t>
      </w:r>
      <w:proofErr w:type="spellEnd"/>
      <w:r w:rsidRPr="00586055">
        <w:rPr>
          <w:rFonts w:ascii="Calibri" w:hAnsi="Calibri" w:cs="Calibri"/>
        </w:rPr>
        <w:t xml:space="preserve"> Li, </w:t>
      </w:r>
      <w:proofErr w:type="spellStart"/>
      <w:r w:rsidRPr="00586055">
        <w:rPr>
          <w:rFonts w:ascii="Calibri" w:hAnsi="Calibri" w:cs="Calibri"/>
        </w:rPr>
        <w:t>Guiqing</w:t>
      </w:r>
      <w:proofErr w:type="spellEnd"/>
      <w:r w:rsidRPr="00586055">
        <w:rPr>
          <w:rFonts w:ascii="Calibri" w:hAnsi="Calibri" w:cs="Calibri"/>
        </w:rPr>
        <w:t xml:space="preserve"> Peng, and Fang Li. 2009. “Crystal Structure of NL63 Respiratory Coronavirus Receptor-Binding Domain Complexed with Its Human Receptor.” </w:t>
      </w:r>
      <w:r w:rsidRPr="00586055">
        <w:rPr>
          <w:rFonts w:ascii="Calibri" w:hAnsi="Calibri" w:cs="Calibri"/>
          <w:i/>
          <w:iCs/>
        </w:rPr>
        <w:t>Proceedings of the National Academy of Sciences of the United States of America</w:t>
      </w:r>
      <w:r w:rsidRPr="00586055">
        <w:rPr>
          <w:rFonts w:ascii="Calibri" w:hAnsi="Calibri" w:cs="Calibri"/>
        </w:rPr>
        <w:t xml:space="preserve"> 106 (47): 19970–74. https://doi.org/10.1073/pnas.0908837106.</w:t>
      </w:r>
    </w:p>
    <w:p w:rsidR="00586055" w:rsidRPr="00586055" w:rsidRDefault="00586055" w:rsidP="00586055">
      <w:pPr>
        <w:pStyle w:val="Bibliography"/>
        <w:rPr>
          <w:rFonts w:ascii="Calibri" w:hAnsi="Calibri" w:cs="Calibri"/>
        </w:rPr>
      </w:pPr>
      <w:r w:rsidRPr="00586055">
        <w:rPr>
          <w:rFonts w:ascii="Calibri" w:hAnsi="Calibri" w:cs="Calibri"/>
        </w:rPr>
        <w:t xml:space="preserve">Yuan, Yuan, </w:t>
      </w:r>
      <w:proofErr w:type="spellStart"/>
      <w:r w:rsidRPr="00586055">
        <w:rPr>
          <w:rFonts w:ascii="Calibri" w:hAnsi="Calibri" w:cs="Calibri"/>
        </w:rPr>
        <w:t>Duanfang</w:t>
      </w:r>
      <w:proofErr w:type="spellEnd"/>
      <w:r w:rsidRPr="00586055">
        <w:rPr>
          <w:rFonts w:ascii="Calibri" w:hAnsi="Calibri" w:cs="Calibri"/>
        </w:rPr>
        <w:t xml:space="preserve"> Cao, </w:t>
      </w:r>
      <w:proofErr w:type="spellStart"/>
      <w:r w:rsidRPr="00586055">
        <w:rPr>
          <w:rFonts w:ascii="Calibri" w:hAnsi="Calibri" w:cs="Calibri"/>
        </w:rPr>
        <w:t>Yanfang</w:t>
      </w:r>
      <w:proofErr w:type="spellEnd"/>
      <w:r w:rsidRPr="00586055">
        <w:rPr>
          <w:rFonts w:ascii="Calibri" w:hAnsi="Calibri" w:cs="Calibri"/>
        </w:rPr>
        <w:t xml:space="preserve"> Zhang, Jun Ma, </w:t>
      </w:r>
      <w:proofErr w:type="spellStart"/>
      <w:r w:rsidRPr="00586055">
        <w:rPr>
          <w:rFonts w:ascii="Calibri" w:hAnsi="Calibri" w:cs="Calibri"/>
        </w:rPr>
        <w:t>Jianxun</w:t>
      </w:r>
      <w:proofErr w:type="spellEnd"/>
      <w:r w:rsidRPr="00586055">
        <w:rPr>
          <w:rFonts w:ascii="Calibri" w:hAnsi="Calibri" w:cs="Calibri"/>
        </w:rPr>
        <w:t xml:space="preserve"> Qi, </w:t>
      </w:r>
      <w:proofErr w:type="spellStart"/>
      <w:r w:rsidRPr="00586055">
        <w:rPr>
          <w:rFonts w:ascii="Calibri" w:hAnsi="Calibri" w:cs="Calibri"/>
        </w:rPr>
        <w:t>Qihui</w:t>
      </w:r>
      <w:proofErr w:type="spellEnd"/>
      <w:r w:rsidRPr="00586055">
        <w:rPr>
          <w:rFonts w:ascii="Calibri" w:hAnsi="Calibri" w:cs="Calibri"/>
        </w:rPr>
        <w:t xml:space="preserve"> Wang, </w:t>
      </w:r>
      <w:proofErr w:type="spellStart"/>
      <w:r w:rsidRPr="00586055">
        <w:rPr>
          <w:rFonts w:ascii="Calibri" w:hAnsi="Calibri" w:cs="Calibri"/>
        </w:rPr>
        <w:t>Guangwen</w:t>
      </w:r>
      <w:proofErr w:type="spellEnd"/>
      <w:r w:rsidRPr="00586055">
        <w:rPr>
          <w:rFonts w:ascii="Calibri" w:hAnsi="Calibri" w:cs="Calibri"/>
        </w:rPr>
        <w:t xml:space="preserve"> Lu, et al. 2017. “</w:t>
      </w:r>
      <w:proofErr w:type="spellStart"/>
      <w:r w:rsidRPr="00586055">
        <w:rPr>
          <w:rFonts w:ascii="Calibri" w:hAnsi="Calibri" w:cs="Calibri"/>
        </w:rPr>
        <w:t>Cryo</w:t>
      </w:r>
      <w:proofErr w:type="spellEnd"/>
      <w:r w:rsidRPr="00586055">
        <w:rPr>
          <w:rFonts w:ascii="Calibri" w:hAnsi="Calibri" w:cs="Calibri"/>
        </w:rPr>
        <w:t>-EM Structures of MERS-</w:t>
      </w:r>
      <w:proofErr w:type="spellStart"/>
      <w:r w:rsidRPr="00586055">
        <w:rPr>
          <w:rFonts w:ascii="Calibri" w:hAnsi="Calibri" w:cs="Calibri"/>
        </w:rPr>
        <w:t>CoV</w:t>
      </w:r>
      <w:proofErr w:type="spellEnd"/>
      <w:r w:rsidRPr="00586055">
        <w:rPr>
          <w:rFonts w:ascii="Calibri" w:hAnsi="Calibri" w:cs="Calibri"/>
        </w:rPr>
        <w:t xml:space="preserve"> and SARS-</w:t>
      </w:r>
      <w:proofErr w:type="spellStart"/>
      <w:r w:rsidRPr="00586055">
        <w:rPr>
          <w:rFonts w:ascii="Calibri" w:hAnsi="Calibri" w:cs="Calibri"/>
        </w:rPr>
        <w:t>CoV</w:t>
      </w:r>
      <w:proofErr w:type="spellEnd"/>
      <w:r w:rsidRPr="00586055">
        <w:rPr>
          <w:rFonts w:ascii="Calibri" w:hAnsi="Calibri" w:cs="Calibri"/>
        </w:rPr>
        <w:t xml:space="preserve"> Spike Glycoproteins Reveal the Dynamic Receptor Binding Domains.” </w:t>
      </w:r>
      <w:r w:rsidRPr="00586055">
        <w:rPr>
          <w:rFonts w:ascii="Calibri" w:hAnsi="Calibri" w:cs="Calibri"/>
          <w:i/>
          <w:iCs/>
        </w:rPr>
        <w:t>Nature Communications</w:t>
      </w:r>
      <w:r w:rsidRPr="00586055">
        <w:rPr>
          <w:rFonts w:ascii="Calibri" w:hAnsi="Calibri" w:cs="Calibri"/>
        </w:rPr>
        <w:t xml:space="preserve"> 8 (1): 15092. https://doi.org/10.1038/ncomms15092.</w:t>
      </w:r>
    </w:p>
    <w:p w:rsidR="00586055" w:rsidRPr="00586055" w:rsidRDefault="00586055" w:rsidP="00586055">
      <w:pPr>
        <w:pStyle w:val="Bibliography"/>
        <w:rPr>
          <w:rFonts w:ascii="Calibri" w:hAnsi="Calibri" w:cs="Calibri"/>
        </w:rPr>
      </w:pPr>
      <w:r w:rsidRPr="00586055">
        <w:rPr>
          <w:rFonts w:ascii="Calibri" w:hAnsi="Calibri" w:cs="Calibri"/>
        </w:rPr>
        <w:t xml:space="preserve">Zhou, Yusen, Yang </w:t>
      </w:r>
      <w:proofErr w:type="spellStart"/>
      <w:r w:rsidRPr="00586055">
        <w:rPr>
          <w:rFonts w:ascii="Calibri" w:hAnsi="Calibri" w:cs="Calibri"/>
        </w:rPr>
        <w:t>Yang</w:t>
      </w:r>
      <w:proofErr w:type="spellEnd"/>
      <w:r w:rsidRPr="00586055">
        <w:rPr>
          <w:rFonts w:ascii="Calibri" w:hAnsi="Calibri" w:cs="Calibri"/>
        </w:rPr>
        <w:t xml:space="preserve">, </w:t>
      </w:r>
      <w:proofErr w:type="spellStart"/>
      <w:r w:rsidRPr="00586055">
        <w:rPr>
          <w:rFonts w:ascii="Calibri" w:hAnsi="Calibri" w:cs="Calibri"/>
        </w:rPr>
        <w:t>Jingwei</w:t>
      </w:r>
      <w:proofErr w:type="spellEnd"/>
      <w:r w:rsidRPr="00586055">
        <w:rPr>
          <w:rFonts w:ascii="Calibri" w:hAnsi="Calibri" w:cs="Calibri"/>
        </w:rPr>
        <w:t xml:space="preserve"> Huang, </w:t>
      </w:r>
      <w:proofErr w:type="spellStart"/>
      <w:r w:rsidRPr="00586055">
        <w:rPr>
          <w:rFonts w:ascii="Calibri" w:hAnsi="Calibri" w:cs="Calibri"/>
        </w:rPr>
        <w:t>Shibo</w:t>
      </w:r>
      <w:proofErr w:type="spellEnd"/>
      <w:r w:rsidRPr="00586055">
        <w:rPr>
          <w:rFonts w:ascii="Calibri" w:hAnsi="Calibri" w:cs="Calibri"/>
        </w:rPr>
        <w:t xml:space="preserve"> Jiang, and </w:t>
      </w:r>
      <w:proofErr w:type="spellStart"/>
      <w:r w:rsidRPr="00586055">
        <w:rPr>
          <w:rFonts w:ascii="Calibri" w:hAnsi="Calibri" w:cs="Calibri"/>
        </w:rPr>
        <w:t>Lanying</w:t>
      </w:r>
      <w:proofErr w:type="spellEnd"/>
      <w:r w:rsidRPr="00586055">
        <w:rPr>
          <w:rFonts w:ascii="Calibri" w:hAnsi="Calibri" w:cs="Calibri"/>
        </w:rPr>
        <w:t xml:space="preserve"> Du. 2019. “Advances in MERS-</w:t>
      </w:r>
      <w:proofErr w:type="spellStart"/>
      <w:r w:rsidRPr="00586055">
        <w:rPr>
          <w:rFonts w:ascii="Calibri" w:hAnsi="Calibri" w:cs="Calibri"/>
        </w:rPr>
        <w:t>CoV</w:t>
      </w:r>
      <w:proofErr w:type="spellEnd"/>
      <w:r w:rsidRPr="00586055">
        <w:rPr>
          <w:rFonts w:ascii="Calibri" w:hAnsi="Calibri" w:cs="Calibri"/>
        </w:rPr>
        <w:t xml:space="preserve"> Vaccines and Therapeutics Based on the Receptor-Binding Domain.” </w:t>
      </w:r>
      <w:r w:rsidRPr="00586055">
        <w:rPr>
          <w:rFonts w:ascii="Calibri" w:hAnsi="Calibri" w:cs="Calibri"/>
          <w:i/>
          <w:iCs/>
        </w:rPr>
        <w:t>Viruses</w:t>
      </w:r>
      <w:r w:rsidRPr="00586055">
        <w:rPr>
          <w:rFonts w:ascii="Calibri" w:hAnsi="Calibri" w:cs="Calibri"/>
        </w:rPr>
        <w:t xml:space="preserve"> 11 (1). https://doi.org/10.3390/v11010060.</w:t>
      </w:r>
    </w:p>
    <w:p w:rsidR="005365DC" w:rsidRDefault="004D748D">
      <w:r>
        <w:fldChar w:fldCharType="end"/>
      </w:r>
    </w:p>
    <w:sectPr w:rsidR="00536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3F" w:rsidRDefault="00F1363F" w:rsidP="00586055">
      <w:pPr>
        <w:spacing w:after="0" w:line="240" w:lineRule="auto"/>
      </w:pPr>
      <w:r>
        <w:separator/>
      </w:r>
    </w:p>
  </w:endnote>
  <w:endnote w:type="continuationSeparator" w:id="0">
    <w:p w:rsidR="00F1363F" w:rsidRDefault="00F1363F" w:rsidP="0058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3F" w:rsidRDefault="00F1363F" w:rsidP="00586055">
      <w:pPr>
        <w:spacing w:after="0" w:line="240" w:lineRule="auto"/>
      </w:pPr>
      <w:r>
        <w:separator/>
      </w:r>
    </w:p>
  </w:footnote>
  <w:footnote w:type="continuationSeparator" w:id="0">
    <w:p w:rsidR="00F1363F" w:rsidRDefault="00F1363F" w:rsidP="00586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6F"/>
    <w:rsid w:val="00180BA8"/>
    <w:rsid w:val="002A6F1D"/>
    <w:rsid w:val="004D748D"/>
    <w:rsid w:val="005365DC"/>
    <w:rsid w:val="00586055"/>
    <w:rsid w:val="00B03A76"/>
    <w:rsid w:val="00D575D1"/>
    <w:rsid w:val="00D6726F"/>
    <w:rsid w:val="00F1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0B560-773C-4D16-B48C-0C829118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26F"/>
    <w:rPr>
      <w:color w:val="0000FF"/>
      <w:u w:val="single"/>
    </w:rPr>
  </w:style>
  <w:style w:type="paragraph" w:styleId="Bibliography">
    <w:name w:val="Bibliography"/>
    <w:basedOn w:val="Normal"/>
    <w:next w:val="Normal"/>
    <w:uiPriority w:val="37"/>
    <w:unhideWhenUsed/>
    <w:rsid w:val="004D748D"/>
    <w:pPr>
      <w:spacing w:after="0" w:line="240" w:lineRule="auto"/>
      <w:ind w:left="720" w:hanging="720"/>
    </w:pPr>
  </w:style>
  <w:style w:type="paragraph" w:styleId="Header">
    <w:name w:val="header"/>
    <w:basedOn w:val="Normal"/>
    <w:link w:val="HeaderChar"/>
    <w:uiPriority w:val="99"/>
    <w:unhideWhenUsed/>
    <w:rsid w:val="0058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55"/>
  </w:style>
  <w:style w:type="paragraph" w:styleId="Footer">
    <w:name w:val="footer"/>
    <w:basedOn w:val="Normal"/>
    <w:link w:val="FooterChar"/>
    <w:uiPriority w:val="99"/>
    <w:unhideWhenUsed/>
    <w:rsid w:val="0058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249CC-1B12-4D39-8ED9-BCA8EA58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Filchakova</dc:creator>
  <cp:keywords/>
  <dc:description/>
  <cp:lastModifiedBy>Olena Filchakova</cp:lastModifiedBy>
  <cp:revision>1</cp:revision>
  <dcterms:created xsi:type="dcterms:W3CDTF">2024-10-16T05:23:00Z</dcterms:created>
  <dcterms:modified xsi:type="dcterms:W3CDTF">2024-10-16T06:37:00Z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id="IiAjBP2C"/&gt;&lt;style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