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1"/>
      </w:pPr>
      <w:r w:rsidRPr="00994A3D">
        <w:t>Supplementary Data</w:t>
      </w:r>
    </w:p>
    <w:p w14:paraId="5B9F45C9" w14:textId="77777777"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p>
    <w:p w14:paraId="08451C38" w14:textId="77777777"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5E584EE8" w14:textId="3199E95E" w:rsidR="00994A3D" w:rsidRPr="00994A3D" w:rsidRDefault="00B457D2" w:rsidP="0001436A">
      <w:pPr>
        <w:pStyle w:val="1"/>
      </w:pPr>
      <w:r>
        <w:rPr>
          <w:rFonts w:eastAsiaTheme="minorEastAsia" w:hint="eastAsia"/>
          <w:lang w:eastAsia="zh-CN"/>
        </w:rPr>
        <w:t>Additional files</w:t>
      </w:r>
    </w:p>
    <w:p w14:paraId="07970E94" w14:textId="5A644D45" w:rsidR="00994A3D" w:rsidRDefault="00EE1367" w:rsidP="0001436A">
      <w:pPr>
        <w:pStyle w:val="2"/>
        <w:rPr>
          <w:rFonts w:eastAsiaTheme="minorEastAsia"/>
          <w:lang w:eastAsia="zh-CN"/>
        </w:rPr>
      </w:pPr>
      <w:r>
        <w:rPr>
          <w:rFonts w:eastAsiaTheme="minorEastAsia" w:hint="eastAsia"/>
          <w:lang w:eastAsia="zh-CN"/>
        </w:rPr>
        <w:t>Table</w:t>
      </w:r>
      <w:r w:rsidR="00B457D2">
        <w:rPr>
          <w:rFonts w:eastAsiaTheme="minorEastAsia" w:hint="eastAsia"/>
          <w:lang w:eastAsia="zh-CN"/>
        </w:rPr>
        <w:t xml:space="preserve"> 1</w:t>
      </w:r>
      <w:r w:rsidR="00786DA0">
        <w:rPr>
          <w:rFonts w:eastAsiaTheme="minorEastAsia" w:hint="eastAsia"/>
          <w:lang w:eastAsia="zh-CN"/>
        </w:rPr>
        <w:t>_v2</w:t>
      </w:r>
    </w:p>
    <w:p w14:paraId="20F790C7" w14:textId="73F08FF6" w:rsidR="00320438" w:rsidRPr="00320438" w:rsidRDefault="008C5612" w:rsidP="00320438">
      <w:pPr>
        <w:rPr>
          <w:lang w:eastAsia="zh-CN"/>
        </w:rPr>
      </w:pPr>
      <w:r w:rsidRPr="0026787D">
        <w:rPr>
          <w:lang w:eastAsia="zh-CN"/>
        </w:rPr>
        <w:t>Supplementary Table 1.</w:t>
      </w:r>
      <w:r>
        <w:rPr>
          <w:rFonts w:hint="eastAsia"/>
          <w:lang w:eastAsia="zh-CN"/>
        </w:rPr>
        <w:t xml:space="preserve">1 </w:t>
      </w:r>
      <w:r w:rsidR="00320438">
        <w:rPr>
          <w:rFonts w:hint="eastAsia"/>
          <w:lang w:eastAsia="zh-CN"/>
        </w:rPr>
        <w:t>STORBE-MR</w:t>
      </w:r>
    </w:p>
    <w:p w14:paraId="141D6723" w14:textId="5A09670D" w:rsidR="00B457D2" w:rsidRDefault="00EE1367" w:rsidP="00B457D2">
      <w:pPr>
        <w:pStyle w:val="2"/>
        <w:rPr>
          <w:lang w:eastAsia="zh-CN"/>
        </w:rPr>
      </w:pPr>
      <w:r>
        <w:rPr>
          <w:rFonts w:eastAsiaTheme="minorEastAsia" w:hint="eastAsia"/>
          <w:lang w:eastAsia="zh-CN"/>
        </w:rPr>
        <w:t>Table</w:t>
      </w:r>
      <w:r w:rsidR="00B457D2">
        <w:rPr>
          <w:rFonts w:eastAsiaTheme="minorEastAsia" w:hint="eastAsia"/>
          <w:lang w:eastAsia="zh-CN"/>
        </w:rPr>
        <w:t xml:space="preserve"> 2</w:t>
      </w:r>
      <w:r w:rsidR="00786DA0">
        <w:rPr>
          <w:rFonts w:eastAsiaTheme="minorEastAsia" w:hint="eastAsia"/>
          <w:lang w:eastAsia="zh-CN"/>
        </w:rPr>
        <w:t>_v1</w:t>
      </w:r>
    </w:p>
    <w:p w14:paraId="39DB07C5" w14:textId="085DE9F6"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w:t>
      </w:r>
      <w:r w:rsidR="008C5612">
        <w:rPr>
          <w:rFonts w:hint="eastAsia"/>
          <w:lang w:eastAsia="zh-CN"/>
        </w:rPr>
        <w:t>1</w:t>
      </w:r>
      <w:r w:rsidRPr="0026787D">
        <w:rPr>
          <w:lang w:eastAsia="zh-CN"/>
        </w:rPr>
        <w:t xml:space="preserve"> Details data sources of the GWAS included in the Mendelian randomization.</w:t>
      </w:r>
    </w:p>
    <w:p w14:paraId="22C5DCB2" w14:textId="17E77345"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2. UVMR estimates for the associations between digital device use and overall migraine</w:t>
      </w:r>
    </w:p>
    <w:p w14:paraId="1BB0611F" w14:textId="509C67A8"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3. UVMR estimates for the associations between digital device use and migraine with aura.</w:t>
      </w:r>
    </w:p>
    <w:p w14:paraId="588AAE8A" w14:textId="3B2FCD5D"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4. UVMR estimates for the associations between digital device use and migraine without aura.</w:t>
      </w:r>
    </w:p>
    <w:p w14:paraId="5B56BA86" w14:textId="2080495D"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 xml:space="preserve">5. Heterogeneity and Horizontal pleiotropy of MR analysis. </w:t>
      </w:r>
    </w:p>
    <w:p w14:paraId="293E9114" w14:textId="1C9F60F8"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6. Heterogeneity and Horizontal pleiotropy of initial MR analysis.</w:t>
      </w:r>
    </w:p>
    <w:p w14:paraId="60508368" w14:textId="7BD892E0"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 xml:space="preserve">7. Estimates from MVMR between digital device use and migraine. </w:t>
      </w:r>
    </w:p>
    <w:p w14:paraId="0BCE1024" w14:textId="7545790B"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8. Estimates from MVMR between digital device use and migraine with aura</w:t>
      </w:r>
    </w:p>
    <w:p w14:paraId="7B4DE302" w14:textId="3D1D510B"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 xml:space="preserve">9. Estimates from MVMR between digital device use and migraine with no aura. </w:t>
      </w:r>
    </w:p>
    <w:p w14:paraId="760AAAD3" w14:textId="22AFE6DC"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 xml:space="preserve">10. Removed outliers of UVMR in discovery </w:t>
      </w:r>
      <w:proofErr w:type="spellStart"/>
      <w:r w:rsidRPr="0026787D">
        <w:rPr>
          <w:lang w:eastAsia="zh-CN"/>
        </w:rPr>
        <w:t>corhort</w:t>
      </w:r>
      <w:proofErr w:type="spellEnd"/>
      <w:r w:rsidRPr="0026787D">
        <w:rPr>
          <w:lang w:eastAsia="zh-CN"/>
        </w:rPr>
        <w:t>.</w:t>
      </w:r>
    </w:p>
    <w:p w14:paraId="6C53813F" w14:textId="79517DEF" w:rsidR="00B457D2" w:rsidRPr="0026787D" w:rsidRDefault="00B457D2" w:rsidP="00B457D2">
      <w:pPr>
        <w:rPr>
          <w:lang w:eastAsia="zh-CN"/>
        </w:rPr>
      </w:pPr>
      <w:r w:rsidRPr="0026787D">
        <w:rPr>
          <w:lang w:eastAsia="zh-CN"/>
        </w:rPr>
        <w:t xml:space="preserve">Supplementary Table </w:t>
      </w:r>
      <w:r w:rsidR="008C5612">
        <w:rPr>
          <w:rFonts w:hint="eastAsia"/>
          <w:lang w:eastAsia="zh-CN"/>
        </w:rPr>
        <w:t>2.</w:t>
      </w:r>
      <w:r w:rsidRPr="0026787D">
        <w:rPr>
          <w:lang w:eastAsia="zh-CN"/>
        </w:rPr>
        <w:t xml:space="preserve">11. Removed outliers of UVMR in validation </w:t>
      </w:r>
      <w:proofErr w:type="spellStart"/>
      <w:r w:rsidRPr="0026787D">
        <w:rPr>
          <w:lang w:eastAsia="zh-CN"/>
        </w:rPr>
        <w:t>corhort</w:t>
      </w:r>
      <w:proofErr w:type="spellEnd"/>
      <w:r w:rsidRPr="0026787D">
        <w:rPr>
          <w:lang w:eastAsia="zh-CN"/>
        </w:rPr>
        <w:t>.</w:t>
      </w:r>
    </w:p>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650C660A" w14:textId="3183EEF8" w:rsidR="00B457D2" w:rsidRDefault="00EE1367" w:rsidP="00B457D2">
      <w:pPr>
        <w:pStyle w:val="2"/>
        <w:rPr>
          <w:rFonts w:eastAsiaTheme="minorEastAsia"/>
          <w:lang w:eastAsia="zh-CN"/>
        </w:rPr>
      </w:pPr>
      <w:r>
        <w:rPr>
          <w:rFonts w:eastAsiaTheme="minorEastAsia" w:hint="eastAsia"/>
          <w:lang w:eastAsia="zh-CN"/>
        </w:rPr>
        <w:t>Table</w:t>
      </w:r>
      <w:r w:rsidR="00B457D2">
        <w:rPr>
          <w:rFonts w:eastAsiaTheme="minorEastAsia" w:hint="eastAsia"/>
          <w:lang w:eastAsia="zh-CN"/>
        </w:rPr>
        <w:t xml:space="preserve"> </w:t>
      </w:r>
      <w:r w:rsidR="00D842B7">
        <w:rPr>
          <w:rFonts w:eastAsiaTheme="minorEastAsia" w:hint="eastAsia"/>
          <w:lang w:eastAsia="zh-CN"/>
        </w:rPr>
        <w:t>3</w:t>
      </w:r>
      <w:r w:rsidR="00786DA0">
        <w:rPr>
          <w:rFonts w:eastAsiaTheme="minorEastAsia" w:hint="eastAsia"/>
          <w:lang w:eastAsia="zh-CN"/>
        </w:rPr>
        <w:t>_v1</w:t>
      </w:r>
    </w:p>
    <w:p w14:paraId="6E23C5B0" w14:textId="65F4A8CE" w:rsidR="00D842B7" w:rsidRDefault="00D842B7" w:rsidP="00D842B7">
      <w:pPr>
        <w:rPr>
          <w:lang w:eastAsia="zh-CN"/>
        </w:rPr>
      </w:pPr>
      <w:r>
        <w:rPr>
          <w:lang w:eastAsia="zh-CN"/>
        </w:rPr>
        <w:t xml:space="preserve">Supplementary Table </w:t>
      </w:r>
      <w:r w:rsidR="008C5612">
        <w:rPr>
          <w:rFonts w:hint="eastAsia"/>
          <w:lang w:eastAsia="zh-CN"/>
        </w:rPr>
        <w:t>3.</w:t>
      </w:r>
      <w:r>
        <w:rPr>
          <w:lang w:eastAsia="zh-CN"/>
        </w:rPr>
        <w:t>1. Association of mobile phone use instrumental variants with risk of migraine across 2 databases.</w:t>
      </w:r>
    </w:p>
    <w:p w14:paraId="6D63F496" w14:textId="003B7333" w:rsidR="00D842B7" w:rsidRDefault="00D842B7" w:rsidP="00D842B7">
      <w:pPr>
        <w:rPr>
          <w:lang w:eastAsia="zh-CN"/>
        </w:rPr>
      </w:pPr>
      <w:r>
        <w:rPr>
          <w:lang w:eastAsia="zh-CN"/>
        </w:rPr>
        <w:t xml:space="preserve">Supplementary Table </w:t>
      </w:r>
      <w:r w:rsidR="008C5612">
        <w:rPr>
          <w:rFonts w:hint="eastAsia"/>
          <w:lang w:eastAsia="zh-CN"/>
        </w:rPr>
        <w:t>3.</w:t>
      </w:r>
      <w:r>
        <w:rPr>
          <w:lang w:eastAsia="zh-CN"/>
        </w:rPr>
        <w:t>2. Association of computer use instrumental variants with risk of migraine across 2 databases.</w:t>
      </w:r>
    </w:p>
    <w:p w14:paraId="2EAAFDE1" w14:textId="561AFAC7" w:rsidR="00D842B7" w:rsidRDefault="00D842B7" w:rsidP="00D842B7">
      <w:pPr>
        <w:rPr>
          <w:lang w:eastAsia="zh-CN"/>
        </w:rPr>
      </w:pPr>
      <w:r>
        <w:rPr>
          <w:lang w:eastAsia="zh-CN"/>
        </w:rPr>
        <w:t xml:space="preserve">Supplementary Table </w:t>
      </w:r>
      <w:r w:rsidR="008C5612">
        <w:rPr>
          <w:rFonts w:hint="eastAsia"/>
          <w:lang w:eastAsia="zh-CN"/>
        </w:rPr>
        <w:t>3.</w:t>
      </w:r>
      <w:r>
        <w:rPr>
          <w:lang w:eastAsia="zh-CN"/>
        </w:rPr>
        <w:t>3. Association of playing computer games instrumental variants with risk of migraine across 2 databases.</w:t>
      </w:r>
    </w:p>
    <w:p w14:paraId="70DA5D0E" w14:textId="5BB49C40" w:rsidR="00D842B7" w:rsidRDefault="00D842B7" w:rsidP="00D842B7">
      <w:pPr>
        <w:rPr>
          <w:lang w:eastAsia="zh-CN"/>
        </w:rPr>
      </w:pPr>
      <w:r>
        <w:rPr>
          <w:lang w:eastAsia="zh-CN"/>
        </w:rPr>
        <w:t xml:space="preserve">Supplementary Table </w:t>
      </w:r>
      <w:r w:rsidR="008C5612">
        <w:rPr>
          <w:rFonts w:hint="eastAsia"/>
          <w:lang w:eastAsia="zh-CN"/>
        </w:rPr>
        <w:t>3.</w:t>
      </w:r>
      <w:r>
        <w:rPr>
          <w:lang w:eastAsia="zh-CN"/>
        </w:rPr>
        <w:t>4. Association of watching television instrumental variants with risk of migraine across 2 databases.</w:t>
      </w:r>
    </w:p>
    <w:p w14:paraId="3CCFE450" w14:textId="056790F8" w:rsidR="00D842B7" w:rsidRPr="00D842B7" w:rsidRDefault="00D842B7" w:rsidP="00D842B7">
      <w:pPr>
        <w:rPr>
          <w:lang w:eastAsia="zh-CN"/>
        </w:rPr>
      </w:pPr>
      <w:r>
        <w:rPr>
          <w:lang w:eastAsia="zh-CN"/>
        </w:rPr>
        <w:t xml:space="preserve">Supplementary Table </w:t>
      </w:r>
      <w:r w:rsidR="008C5612">
        <w:rPr>
          <w:rFonts w:hint="eastAsia"/>
          <w:lang w:eastAsia="zh-CN"/>
        </w:rPr>
        <w:t>3.</w:t>
      </w:r>
      <w:r>
        <w:rPr>
          <w:lang w:eastAsia="zh-CN"/>
        </w:rPr>
        <w:t>5. The members of the International Headache Genetics Consortium (IHGC).</w:t>
      </w:r>
    </w:p>
    <w:p w14:paraId="3FC063B4" w14:textId="0D6B4F02" w:rsidR="00FF7AD7" w:rsidRPr="00FF7AD7" w:rsidRDefault="00EE1367" w:rsidP="00D51AB7">
      <w:pPr>
        <w:pStyle w:val="2"/>
        <w:rPr>
          <w:lang w:eastAsia="zh-CN"/>
        </w:rPr>
      </w:pPr>
      <w:r>
        <w:rPr>
          <w:rFonts w:eastAsiaTheme="minorEastAsia" w:hint="eastAsia"/>
          <w:lang w:eastAsia="zh-CN"/>
        </w:rPr>
        <w:t>Image</w:t>
      </w:r>
      <w:r w:rsidR="00D51AB7">
        <w:rPr>
          <w:rFonts w:eastAsiaTheme="minorEastAsia" w:hint="eastAsia"/>
          <w:lang w:eastAsia="zh-CN"/>
        </w:rPr>
        <w:t xml:space="preserve"> </w:t>
      </w:r>
      <w:r w:rsidR="00C10F86">
        <w:rPr>
          <w:rFonts w:eastAsiaTheme="minorEastAsia" w:hint="eastAsia"/>
          <w:lang w:eastAsia="zh-CN"/>
        </w:rPr>
        <w:t>1_v1</w:t>
      </w:r>
    </w:p>
    <w:p w14:paraId="78877341" w14:textId="71312134" w:rsidR="00D842B7"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1. MR Leave−One−Out analysis for assessing causal effect of digital devices use on overall migraine risk. This forest plot presents the results of the leave-one-out analysis, where each point estimate represents the causal effect of digital device use on migraine risk when one single nucleotide polymorphism (SNP) is removed from the analysis at a time. The x-axis shows the estimated causal effect, and the horizontal lines represent the 95% confidence intervals for each analysis. (A) Causal effects of mobile phone use on overall migraine from </w:t>
      </w:r>
      <w:proofErr w:type="spellStart"/>
      <w:r>
        <w:rPr>
          <w:lang w:eastAsia="zh-CN"/>
        </w:rPr>
        <w:t>FinnGen</w:t>
      </w:r>
      <w:proofErr w:type="spellEnd"/>
      <w:r>
        <w:rPr>
          <w:lang w:eastAsia="zh-CN"/>
        </w:rPr>
        <w:t xml:space="preserve">; (B) Causal effects of computer use on  overall migraine from </w:t>
      </w:r>
      <w:proofErr w:type="spellStart"/>
      <w:r>
        <w:rPr>
          <w:lang w:eastAsia="zh-CN"/>
        </w:rPr>
        <w:t>FinnGen</w:t>
      </w:r>
      <w:proofErr w:type="spellEnd"/>
      <w:r>
        <w:rPr>
          <w:lang w:eastAsia="zh-CN"/>
        </w:rPr>
        <w:t xml:space="preserve">; (C) Causal effects of playing computer games on overall migraine from </w:t>
      </w:r>
      <w:proofErr w:type="spellStart"/>
      <w:r>
        <w:rPr>
          <w:lang w:eastAsia="zh-CN"/>
        </w:rPr>
        <w:t>FinnGen</w:t>
      </w:r>
      <w:proofErr w:type="spellEnd"/>
      <w:r>
        <w:rPr>
          <w:lang w:eastAsia="zh-CN"/>
        </w:rPr>
        <w:t xml:space="preserve">; (D) Causal effects of computer use on  overall migraine from </w:t>
      </w:r>
      <w:proofErr w:type="spellStart"/>
      <w:r>
        <w:rPr>
          <w:lang w:eastAsia="zh-CN"/>
        </w:rPr>
        <w:t>FinnGen</w:t>
      </w:r>
      <w:proofErr w:type="spellEnd"/>
      <w:r>
        <w:rPr>
          <w:lang w:eastAsia="zh-CN"/>
        </w:rPr>
        <w:t>; (E) Causal effects of mobile phone use on overall migraine from IHGC; (F) Causal effects of computer use on  overall migraine from IHGC; (G) Causal effects of playing computer games on overall migraine from IHGC; (H) Causal effects of computer use on  overall migraine from IHGC.</w:t>
      </w:r>
    </w:p>
    <w:p w14:paraId="7F5D6FC2" w14:textId="04D3C10E" w:rsidR="00D842B7"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2. MR Leave−One−Out analysis for assessing causal effect of digital devices use on migraine with aura risk. This forest plot presents the results of the leave-one-out analysis, where each point estimate represents the causal effect of digital device use on migraine risk when one single nucleotide polymorphism (SNP) is removed from the analysis at a time. The x-axis shows the estimated causal effect, and the horizontal lines represent the 95% confidence intervals for each analysis. (A) Causal effects of mobile phone use on migraine with aura from </w:t>
      </w:r>
      <w:proofErr w:type="spellStart"/>
      <w:r>
        <w:rPr>
          <w:lang w:eastAsia="zh-CN"/>
        </w:rPr>
        <w:t>FinnGen</w:t>
      </w:r>
      <w:proofErr w:type="spellEnd"/>
      <w:r>
        <w:rPr>
          <w:lang w:eastAsia="zh-CN"/>
        </w:rPr>
        <w:t xml:space="preserve">; (B) Causal effects of computer use on  migraine with aura from </w:t>
      </w:r>
      <w:proofErr w:type="spellStart"/>
      <w:r>
        <w:rPr>
          <w:lang w:eastAsia="zh-CN"/>
        </w:rPr>
        <w:t>FinnGen</w:t>
      </w:r>
      <w:proofErr w:type="spellEnd"/>
      <w:r>
        <w:rPr>
          <w:lang w:eastAsia="zh-CN"/>
        </w:rPr>
        <w:t xml:space="preserve">; (C) Causal effects of playing computer games on </w:t>
      </w:r>
      <w:r>
        <w:rPr>
          <w:lang w:eastAsia="zh-CN"/>
        </w:rPr>
        <w:lastRenderedPageBreak/>
        <w:t xml:space="preserve">migraine with aura from </w:t>
      </w:r>
      <w:proofErr w:type="spellStart"/>
      <w:r>
        <w:rPr>
          <w:lang w:eastAsia="zh-CN"/>
        </w:rPr>
        <w:t>FinnGen</w:t>
      </w:r>
      <w:proofErr w:type="spellEnd"/>
      <w:r>
        <w:rPr>
          <w:lang w:eastAsia="zh-CN"/>
        </w:rPr>
        <w:t xml:space="preserve">; (D) Causal effects of computer use on migraine with aura from </w:t>
      </w:r>
      <w:proofErr w:type="spellStart"/>
      <w:r>
        <w:rPr>
          <w:lang w:eastAsia="zh-CN"/>
        </w:rPr>
        <w:t>FinnGen</w:t>
      </w:r>
      <w:proofErr w:type="spellEnd"/>
      <w:r>
        <w:rPr>
          <w:lang w:eastAsia="zh-CN"/>
        </w:rPr>
        <w:t>; (E) Causal effects of mobile phone use on migraine with aura from IHGC; (F) Causal effects of computer use on  migraine with aura from IHGC; (G) Causal effects of playing computer games on migraine with aura from IHGC; (H) Causal effects of computer use on  migraine with aura from IHGC.</w:t>
      </w:r>
    </w:p>
    <w:p w14:paraId="3E955C17" w14:textId="4AA1DE9F" w:rsidR="00D842B7"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3. MR Leave−One−Out analysis for assessing causal effect of digital devices use on migraine with no aura risk. This forest plot presents the results of the leave-one-out analysis, where each point estimate represents the causal effect of digital devices use on migraine with no aura risk when one single nucleotide polymorphism (SNP) is removed from the analysis at a time. The x-axis shows the estimated causal effect, and the horizontal lines represent the 95% confidence intervals for each analysis. (A) Causal effects of mobile phone use on migraine with no aura from </w:t>
      </w:r>
      <w:proofErr w:type="spellStart"/>
      <w:r>
        <w:rPr>
          <w:lang w:eastAsia="zh-CN"/>
        </w:rPr>
        <w:t>FinnGen</w:t>
      </w:r>
      <w:proofErr w:type="spellEnd"/>
      <w:r>
        <w:rPr>
          <w:lang w:eastAsia="zh-CN"/>
        </w:rPr>
        <w:t xml:space="preserve">; (B) Causal effects of computer use on  migraine with no aura from </w:t>
      </w:r>
      <w:proofErr w:type="spellStart"/>
      <w:r>
        <w:rPr>
          <w:lang w:eastAsia="zh-CN"/>
        </w:rPr>
        <w:t>FinnGen</w:t>
      </w:r>
      <w:proofErr w:type="spellEnd"/>
      <w:r>
        <w:rPr>
          <w:lang w:eastAsia="zh-CN"/>
        </w:rPr>
        <w:t xml:space="preserve">; (C) Causal effects of playing computer games on migraine with no aura from </w:t>
      </w:r>
      <w:proofErr w:type="spellStart"/>
      <w:r>
        <w:rPr>
          <w:lang w:eastAsia="zh-CN"/>
        </w:rPr>
        <w:t>FinnGen</w:t>
      </w:r>
      <w:proofErr w:type="spellEnd"/>
      <w:r>
        <w:rPr>
          <w:lang w:eastAsia="zh-CN"/>
        </w:rPr>
        <w:t xml:space="preserve">; (D) Causal effects of computer use on migraine with no aura from </w:t>
      </w:r>
      <w:proofErr w:type="spellStart"/>
      <w:r>
        <w:rPr>
          <w:lang w:eastAsia="zh-CN"/>
        </w:rPr>
        <w:t>FinnGen</w:t>
      </w:r>
      <w:proofErr w:type="spellEnd"/>
      <w:r>
        <w:rPr>
          <w:lang w:eastAsia="zh-CN"/>
        </w:rPr>
        <w:t>; (E) Causal effects of mobile phone use on migraine with no aura from IHGC; (F) Causal effects of computer use on  migraine with no aura from IHGC; (G) Causal effects of playing computer games on migraine with no aura from IHGC; (H) Causal effects of computer use on  migraine with no aura from IHGC.</w:t>
      </w:r>
    </w:p>
    <w:p w14:paraId="02FAA684" w14:textId="3EE65DDE" w:rsidR="00D842B7"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4. Scatter Plot of instrumental variable estimates for digital devices use and overall migraine risk. This scatter plot displays the instrumental variable estimates from the Mendelian randomization analysis. Each point represents a genetic variant used as an instrument, with the x-axis showing the effect of the variant on digital device use and the y-axis showing the effect of the variant on migraine risk. The line indicates the causal relationship estimated by the instrumental variables. (A) Causal effects of mobile phone use on overall migraine from </w:t>
      </w:r>
      <w:proofErr w:type="spellStart"/>
      <w:r>
        <w:rPr>
          <w:lang w:eastAsia="zh-CN"/>
        </w:rPr>
        <w:t>FinnGen</w:t>
      </w:r>
      <w:proofErr w:type="spellEnd"/>
      <w:r>
        <w:rPr>
          <w:lang w:eastAsia="zh-CN"/>
        </w:rPr>
        <w:t xml:space="preserve">; (B) Causal effects of computer use on  overall migraine from </w:t>
      </w:r>
      <w:proofErr w:type="spellStart"/>
      <w:r>
        <w:rPr>
          <w:lang w:eastAsia="zh-CN"/>
        </w:rPr>
        <w:t>FinnGen</w:t>
      </w:r>
      <w:proofErr w:type="spellEnd"/>
      <w:r>
        <w:rPr>
          <w:lang w:eastAsia="zh-CN"/>
        </w:rPr>
        <w:t xml:space="preserve">; (C) Causal effects of playing computer games on overall migraine from </w:t>
      </w:r>
      <w:proofErr w:type="spellStart"/>
      <w:r>
        <w:rPr>
          <w:lang w:eastAsia="zh-CN"/>
        </w:rPr>
        <w:t>FinnGen</w:t>
      </w:r>
      <w:proofErr w:type="spellEnd"/>
      <w:r>
        <w:rPr>
          <w:lang w:eastAsia="zh-CN"/>
        </w:rPr>
        <w:t xml:space="preserve">; (D) Causal effects of computer use on  overall migraine from </w:t>
      </w:r>
      <w:proofErr w:type="spellStart"/>
      <w:r>
        <w:rPr>
          <w:lang w:eastAsia="zh-CN"/>
        </w:rPr>
        <w:t>FinnGen</w:t>
      </w:r>
      <w:proofErr w:type="spellEnd"/>
      <w:r>
        <w:rPr>
          <w:lang w:eastAsia="zh-CN"/>
        </w:rPr>
        <w:t>; (E) Causal effects of mobile phone use on overall migraine from IHGC; (F) Causal effects of computer use on  overall migraine from IHGC; (G) Causal effects of playing computer games on overall migraine from IHGC; (H) Causal effects of computer use on  overall migraine from IHGC.</w:t>
      </w:r>
    </w:p>
    <w:p w14:paraId="64D2C65B" w14:textId="26ABDAE7" w:rsidR="00D842B7"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5. Scatter Plot of instrumental variable estimates for digital devices use and migraine with aura risk. This scatter plot displays the instrumental variable estimates from the Mendelian randomization analysis. Each point represents a genetic variant used as an instrument, with the x-axis showing the effect of the variant on digital device use and the y-axis showing the effect of the variant on migraine risk. The line indicates the causal relationship estimated by the instrumental variables. (A) Causal effects of mobile phone use on migraine with aura from </w:t>
      </w:r>
      <w:proofErr w:type="spellStart"/>
      <w:r>
        <w:rPr>
          <w:lang w:eastAsia="zh-CN"/>
        </w:rPr>
        <w:t>FinnGen</w:t>
      </w:r>
      <w:proofErr w:type="spellEnd"/>
      <w:r>
        <w:rPr>
          <w:lang w:eastAsia="zh-CN"/>
        </w:rPr>
        <w:t xml:space="preserve">; (B) Causal effects of computer use on  migraine with aura from </w:t>
      </w:r>
      <w:proofErr w:type="spellStart"/>
      <w:r>
        <w:rPr>
          <w:lang w:eastAsia="zh-CN"/>
        </w:rPr>
        <w:t>FinnGen</w:t>
      </w:r>
      <w:proofErr w:type="spellEnd"/>
      <w:r>
        <w:rPr>
          <w:lang w:eastAsia="zh-CN"/>
        </w:rPr>
        <w:t xml:space="preserve">; (C) Causal effects of playing computer games on migraine with aura from </w:t>
      </w:r>
      <w:proofErr w:type="spellStart"/>
      <w:r>
        <w:rPr>
          <w:lang w:eastAsia="zh-CN"/>
        </w:rPr>
        <w:t>FinnGen</w:t>
      </w:r>
      <w:proofErr w:type="spellEnd"/>
      <w:r>
        <w:rPr>
          <w:lang w:eastAsia="zh-CN"/>
        </w:rPr>
        <w:t xml:space="preserve">; (D) Causal effects of computer use on migraine with aura from </w:t>
      </w:r>
      <w:proofErr w:type="spellStart"/>
      <w:r>
        <w:rPr>
          <w:lang w:eastAsia="zh-CN"/>
        </w:rPr>
        <w:t>FinnGen</w:t>
      </w:r>
      <w:proofErr w:type="spellEnd"/>
      <w:r>
        <w:rPr>
          <w:lang w:eastAsia="zh-CN"/>
        </w:rPr>
        <w:t>; (E) Causal effects of mobile phone use on migraine with aura from IHGC; (F) Causal effects of computer use on  migraine with aura from IHGC; (G) Causal effects of playing computer games on migraine with aura from IHGC; (H) Causal effects of computer use on  migraine with aura from IHGC.</w:t>
      </w:r>
    </w:p>
    <w:p w14:paraId="0030906E" w14:textId="29F98DCF" w:rsidR="00D842B7" w:rsidRPr="005F2D1F" w:rsidRDefault="00D842B7" w:rsidP="00D842B7">
      <w:pPr>
        <w:spacing w:before="240"/>
        <w:jc w:val="both"/>
        <w:rPr>
          <w:lang w:eastAsia="zh-CN"/>
        </w:rPr>
      </w:pPr>
      <w:r>
        <w:rPr>
          <w:lang w:eastAsia="zh-CN"/>
        </w:rPr>
        <w:t xml:space="preserve">Supplementary Figure </w:t>
      </w:r>
      <w:r w:rsidR="008C5612">
        <w:rPr>
          <w:rFonts w:hint="eastAsia"/>
          <w:lang w:eastAsia="zh-CN"/>
        </w:rPr>
        <w:t>S</w:t>
      </w:r>
      <w:r>
        <w:rPr>
          <w:lang w:eastAsia="zh-CN"/>
        </w:rPr>
        <w:t xml:space="preserve">6. Scatter Plot of instrumental variable estimates for digital devices use and migraine with no aura risk. This scatter plot displays the instrumental variable estimates from the Mendelian randomization analysis. Each point represents a genetic variant used as an instrument, with the x-axis showing the effect of the variant on digital device use and the y-axis showing the effect of the variant on migraine risk. The line indicates the causal relationship estimated by the instrumental variables. (A) Causal effects of mobile phone use on migraine with no aura from </w:t>
      </w:r>
      <w:proofErr w:type="spellStart"/>
      <w:r>
        <w:rPr>
          <w:lang w:eastAsia="zh-CN"/>
        </w:rPr>
        <w:t>FinnGen</w:t>
      </w:r>
      <w:proofErr w:type="spellEnd"/>
      <w:r>
        <w:rPr>
          <w:lang w:eastAsia="zh-CN"/>
        </w:rPr>
        <w:t xml:space="preserve">; (B) Causal </w:t>
      </w:r>
      <w:r>
        <w:rPr>
          <w:lang w:eastAsia="zh-CN"/>
        </w:rPr>
        <w:lastRenderedPageBreak/>
        <w:t xml:space="preserve">effects of computer use on  migraine with no aura from </w:t>
      </w:r>
      <w:proofErr w:type="spellStart"/>
      <w:r>
        <w:rPr>
          <w:lang w:eastAsia="zh-CN"/>
        </w:rPr>
        <w:t>FinnGen</w:t>
      </w:r>
      <w:proofErr w:type="spellEnd"/>
      <w:r>
        <w:rPr>
          <w:lang w:eastAsia="zh-CN"/>
        </w:rPr>
        <w:t xml:space="preserve">; (C) Causal effects of playing computer games on migraine with no aura from </w:t>
      </w:r>
      <w:proofErr w:type="spellStart"/>
      <w:r>
        <w:rPr>
          <w:lang w:eastAsia="zh-CN"/>
        </w:rPr>
        <w:t>FinnGen</w:t>
      </w:r>
      <w:proofErr w:type="spellEnd"/>
      <w:r>
        <w:rPr>
          <w:lang w:eastAsia="zh-CN"/>
        </w:rPr>
        <w:t xml:space="preserve">; (D) Causal effects of computer use on migraine with no aura from </w:t>
      </w:r>
      <w:proofErr w:type="spellStart"/>
      <w:r>
        <w:rPr>
          <w:lang w:eastAsia="zh-CN"/>
        </w:rPr>
        <w:t>FinnGen</w:t>
      </w:r>
      <w:proofErr w:type="spellEnd"/>
      <w:r>
        <w:rPr>
          <w:lang w:eastAsia="zh-CN"/>
        </w:rPr>
        <w:t>; (E) Causal effects of mobile phone use on migraine with no aura from IHGC; (F) Causal effects of computer use on  migraine with no aura from IHGC; (G) Causal effects of playing computer games on migraine with no aura from IHGC; (H) Causal effects of computer use on  migraine with no aura from IHGC.</w:t>
      </w:r>
    </w:p>
    <w:sectPr w:rsidR="00D842B7" w:rsidRPr="005F2D1F"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98E8" w14:textId="77777777" w:rsidR="00700CFA" w:rsidRDefault="00700CFA" w:rsidP="00117666">
      <w:pPr>
        <w:spacing w:after="0"/>
      </w:pPr>
      <w:r>
        <w:separator/>
      </w:r>
    </w:p>
  </w:endnote>
  <w:endnote w:type="continuationSeparator" w:id="0">
    <w:p w14:paraId="3C9DEC58" w14:textId="77777777" w:rsidR="00700CFA" w:rsidRDefault="00700CF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B0683F"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0683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B0683F"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0683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CCD13" w14:textId="77777777" w:rsidR="00700CFA" w:rsidRDefault="00700CFA" w:rsidP="00117666">
      <w:pPr>
        <w:spacing w:after="0"/>
      </w:pPr>
      <w:r>
        <w:separator/>
      </w:r>
    </w:p>
  </w:footnote>
  <w:footnote w:type="continuationSeparator" w:id="0">
    <w:p w14:paraId="7F5DCFE7" w14:textId="77777777" w:rsidR="00700CFA" w:rsidRDefault="00700CF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B0683F"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B0683F"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23F1"/>
    <w:rsid w:val="0001436A"/>
    <w:rsid w:val="00034304"/>
    <w:rsid w:val="00035434"/>
    <w:rsid w:val="00052A14"/>
    <w:rsid w:val="00077D53"/>
    <w:rsid w:val="000A4E65"/>
    <w:rsid w:val="00105FD9"/>
    <w:rsid w:val="00117666"/>
    <w:rsid w:val="001549D3"/>
    <w:rsid w:val="00160065"/>
    <w:rsid w:val="00177D84"/>
    <w:rsid w:val="001962E8"/>
    <w:rsid w:val="0026787D"/>
    <w:rsid w:val="00267D18"/>
    <w:rsid w:val="002703B4"/>
    <w:rsid w:val="00271CB9"/>
    <w:rsid w:val="002868E2"/>
    <w:rsid w:val="002869C3"/>
    <w:rsid w:val="002936E4"/>
    <w:rsid w:val="002B4A57"/>
    <w:rsid w:val="002C74CA"/>
    <w:rsid w:val="00320438"/>
    <w:rsid w:val="003544FB"/>
    <w:rsid w:val="00381933"/>
    <w:rsid w:val="003D2D47"/>
    <w:rsid w:val="003D2F2D"/>
    <w:rsid w:val="00401590"/>
    <w:rsid w:val="00447801"/>
    <w:rsid w:val="00452E9C"/>
    <w:rsid w:val="00471263"/>
    <w:rsid w:val="004735C8"/>
    <w:rsid w:val="004961FF"/>
    <w:rsid w:val="004C09E9"/>
    <w:rsid w:val="004E1BDB"/>
    <w:rsid w:val="00517A89"/>
    <w:rsid w:val="005250F2"/>
    <w:rsid w:val="00593EEA"/>
    <w:rsid w:val="005A5EEE"/>
    <w:rsid w:val="005F2D1F"/>
    <w:rsid w:val="006375C7"/>
    <w:rsid w:val="00654E8F"/>
    <w:rsid w:val="00660D05"/>
    <w:rsid w:val="006820B1"/>
    <w:rsid w:val="006B7D14"/>
    <w:rsid w:val="00700CFA"/>
    <w:rsid w:val="00701727"/>
    <w:rsid w:val="0070566C"/>
    <w:rsid w:val="00714C50"/>
    <w:rsid w:val="00725A7D"/>
    <w:rsid w:val="007501BE"/>
    <w:rsid w:val="00786DA0"/>
    <w:rsid w:val="00790BB3"/>
    <w:rsid w:val="007C206C"/>
    <w:rsid w:val="007C2127"/>
    <w:rsid w:val="00803D24"/>
    <w:rsid w:val="00817DD6"/>
    <w:rsid w:val="00885156"/>
    <w:rsid w:val="008C5612"/>
    <w:rsid w:val="009151AA"/>
    <w:rsid w:val="0093429D"/>
    <w:rsid w:val="00943573"/>
    <w:rsid w:val="00970F7D"/>
    <w:rsid w:val="00994A3D"/>
    <w:rsid w:val="009C2B12"/>
    <w:rsid w:val="009C402C"/>
    <w:rsid w:val="009C70F3"/>
    <w:rsid w:val="00A174D9"/>
    <w:rsid w:val="00A569CD"/>
    <w:rsid w:val="00AB563B"/>
    <w:rsid w:val="00AB5EE2"/>
    <w:rsid w:val="00AB6715"/>
    <w:rsid w:val="00B0683F"/>
    <w:rsid w:val="00B1671E"/>
    <w:rsid w:val="00B25EB8"/>
    <w:rsid w:val="00B354E1"/>
    <w:rsid w:val="00B37333"/>
    <w:rsid w:val="00B37F4D"/>
    <w:rsid w:val="00B457D2"/>
    <w:rsid w:val="00B855E1"/>
    <w:rsid w:val="00C10F86"/>
    <w:rsid w:val="00C52A7B"/>
    <w:rsid w:val="00C56BAF"/>
    <w:rsid w:val="00C679AA"/>
    <w:rsid w:val="00C75972"/>
    <w:rsid w:val="00CA2657"/>
    <w:rsid w:val="00CC0A3A"/>
    <w:rsid w:val="00CD066B"/>
    <w:rsid w:val="00CE4FEE"/>
    <w:rsid w:val="00D51AB7"/>
    <w:rsid w:val="00D842B7"/>
    <w:rsid w:val="00DB59C3"/>
    <w:rsid w:val="00DC259A"/>
    <w:rsid w:val="00DE23E8"/>
    <w:rsid w:val="00E01551"/>
    <w:rsid w:val="00E52377"/>
    <w:rsid w:val="00E64E17"/>
    <w:rsid w:val="00E866C9"/>
    <w:rsid w:val="00EA3D3C"/>
    <w:rsid w:val="00EE1367"/>
    <w:rsid w:val="00F46900"/>
    <w:rsid w:val="00F61D89"/>
    <w:rsid w:val="00FF2D0C"/>
    <w:rsid w:val="00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106</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宗卿 何</cp:lastModifiedBy>
  <cp:revision>22</cp:revision>
  <cp:lastPrinted>2013-10-03T12:51:00Z</cp:lastPrinted>
  <dcterms:created xsi:type="dcterms:W3CDTF">2022-11-17T16:58:00Z</dcterms:created>
  <dcterms:modified xsi:type="dcterms:W3CDTF">2024-10-23T05:53:00Z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