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5413">
      <w:pPr>
        <w:ind w:firstLine="660" w:firstLineChars="300"/>
        <w:jc w:val="center"/>
      </w:pPr>
      <w:r>
        <w:drawing>
          <wp:inline distT="0" distB="0" distL="0" distR="0">
            <wp:extent cx="4843145" cy="2329815"/>
            <wp:effectExtent l="0" t="0" r="5080" b="3810"/>
            <wp:docPr id="103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2329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0FB0">
      <w:pPr>
        <w:tabs>
          <w:tab w:val="left" w:pos="10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1"/>
        </w:rPr>
        <w:t xml:space="preserve">Supplemental </w:t>
      </w:r>
      <w:r>
        <w:rPr>
          <w:rFonts w:hint="eastAsia" w:ascii="Times New Roman" w:hAnsi="Times New Roman" w:cs="Times New Roman"/>
          <w:b/>
          <w:bCs/>
          <w:sz w:val="21"/>
          <w:lang w:val="en-US" w:eastAsia="zh-CN"/>
        </w:rPr>
        <w:t>F</w:t>
      </w:r>
      <w:r>
        <w:rPr>
          <w:rFonts w:ascii="Times New Roman" w:hAnsi="Times New Roman" w:cs="Times New Roman"/>
          <w:b/>
          <w:bCs/>
          <w:sz w:val="21"/>
        </w:rPr>
        <w:t xml:space="preserve">igure </w:t>
      </w:r>
      <w:r>
        <w:rPr>
          <w:rFonts w:hint="eastAsia" w:ascii="Times New Roman" w:hAnsi="Times New Roman" w:cs="Times New Roman"/>
          <w:b/>
          <w:bCs/>
          <w:sz w:val="21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1"/>
        </w:rPr>
        <w:t>.</w:t>
      </w:r>
      <w:r>
        <w:rPr>
          <w:rFonts w:ascii="Times New Roman" w:hAnsi="Times New Roman" w:cs="Times New Roman"/>
        </w:rPr>
        <w:t xml:space="preserve"> Line chart of the ranking of the four indicators for each hospital</w:t>
      </w:r>
    </w:p>
    <w:p w14:paraId="7C1F519F">
      <w:pPr>
        <w:ind w:firstLine="660" w:firstLineChars="300"/>
        <w:jc w:val="center"/>
        <w:rPr>
          <w:rFonts w:hint="eastAsia"/>
          <w:lang w:val="en-GB" w:eastAsia="zh-CN"/>
        </w:rPr>
      </w:pPr>
    </w:p>
    <w:p w14:paraId="08B607B6">
      <w:pPr>
        <w:ind w:firstLine="660" w:firstLineChars="300"/>
        <w:jc w:val="center"/>
        <w:rPr>
          <w:rFonts w:hint="eastAsia" w:ascii="Times New Roman" w:hAnsi="Times New Roman" w:eastAsia="宋体" w:cs="Times New Roman"/>
          <w:lang w:val="en-GB" w:eastAsia="zh-CN"/>
        </w:rPr>
      </w:pPr>
      <w:r>
        <w:drawing>
          <wp:inline distT="0" distB="0" distL="114300" distR="114300">
            <wp:extent cx="5259070" cy="2842260"/>
            <wp:effectExtent l="0" t="0" r="825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0D1E">
      <w:pPr>
        <w:jc w:val="left"/>
        <w:rPr>
          <w:rFonts w:hint="default"/>
          <w:highlight w:val="none"/>
          <w:lang w:val="en-US"/>
        </w:rPr>
      </w:pPr>
      <w:r>
        <w:rPr>
          <w:rFonts w:ascii="Times New Roman" w:hAnsi="Times New Roman" w:cs="Times New Roman"/>
          <w:b/>
          <w:bCs/>
          <w:sz w:val="21"/>
        </w:rPr>
        <w:t xml:space="preserve">Supplemental </w:t>
      </w:r>
      <w:r>
        <w:rPr>
          <w:rFonts w:hint="eastAsia" w:ascii="Times New Roman" w:hAnsi="Times New Roman" w:cs="Times New Roman"/>
          <w:b/>
          <w:bCs/>
          <w:sz w:val="21"/>
          <w:lang w:val="en-US" w:eastAsia="zh-CN"/>
        </w:rPr>
        <w:t>F</w:t>
      </w:r>
      <w:r>
        <w:rPr>
          <w:rFonts w:ascii="Times New Roman" w:hAnsi="Times New Roman" w:cs="Times New Roman"/>
          <w:b/>
          <w:bCs/>
          <w:sz w:val="21"/>
        </w:rPr>
        <w:t xml:space="preserve">igure </w:t>
      </w:r>
      <w:r>
        <w:rPr>
          <w:rFonts w:hint="eastAsia" w:ascii="Times New Roman" w:hAnsi="Times New Roman" w:cs="Times New Roman"/>
          <w:b/>
          <w:bCs/>
          <w:sz w:val="21"/>
          <w:lang w:val="en-US" w:eastAsia="zh-CN"/>
        </w:rPr>
        <w:t>2</w:t>
      </w:r>
      <w:r>
        <w:rPr>
          <w:rFonts w:hint="default" w:ascii="Times New Roman" w:hAnsi="Times New Roman" w:cs="Times New Roman"/>
          <w:highlight w:val="none"/>
        </w:rPr>
        <w:t xml:space="preserve"> Distribution of antibiotics in each </w:t>
      </w:r>
      <w:r>
        <w:rPr>
          <w:rFonts w:hint="default" w:ascii="Times New Roman" w:hAnsi="Times New Roman" w:cs="Times New Roman"/>
        </w:rPr>
        <w:t>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kern w:val="0"/>
          <w:sz w:val="21"/>
          <w:szCs w:val="21"/>
          <w:highlight w:val="none"/>
          <w:lang w:val="en-US" w:eastAsia="zh-CN" w:bidi="ar-SA"/>
        </w:rPr>
        <w:t xml:space="preserve">(A) by </w:t>
      </w:r>
      <w:r>
        <w:rPr>
          <w:rFonts w:hint="eastAsia" w:ascii="Times New Roman" w:hAnsi="Times New Roman" w:cs="Times New Roman"/>
          <w:kern w:val="0"/>
          <w:sz w:val="21"/>
          <w:szCs w:val="21"/>
          <w:highlight w:val="none"/>
          <w:lang w:val="en-US" w:eastAsia="zh-CN" w:bidi="ar-SA"/>
        </w:rPr>
        <w:t>medical orders</w:t>
      </w:r>
      <w:r>
        <w:rPr>
          <w:rFonts w:hint="eastAsia" w:ascii="Times New Roman" w:hAnsi="Times New Roman" w:cs="Times New Roman" w:eastAsiaTheme="minorEastAsia"/>
          <w:kern w:val="0"/>
          <w:sz w:val="21"/>
          <w:szCs w:val="21"/>
          <w:highlight w:val="none"/>
          <w:lang w:val="en-US" w:eastAsia="zh-CN" w:bidi="ar-SA"/>
        </w:rPr>
        <w:t xml:space="preserve">; (B) by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IV</w:t>
      </w:r>
      <w:r>
        <w:rPr>
          <w:rFonts w:hint="default" w:ascii="Times New Roman" w:hAnsi="Times New Roman" w:cs="Times New Roman"/>
          <w:highlight w:val="none"/>
        </w:rPr>
        <w:t xml:space="preserve"> administration methods</w:t>
      </w:r>
      <w:r>
        <w:rPr>
          <w:rFonts w:hint="eastAsia" w:ascii="Times New Roman" w:hAnsi="Times New Roman" w:cs="Times New Roman" w:eastAsiaTheme="minorEastAsia"/>
          <w:kern w:val="0"/>
          <w:sz w:val="21"/>
          <w:szCs w:val="21"/>
          <w:highlight w:val="none"/>
          <w:lang w:val="en-US" w:eastAsia="zh-CN" w:bidi="ar-SA"/>
        </w:rPr>
        <w:t xml:space="preserve">; (C) by </w:t>
      </w:r>
      <w:r>
        <w:rPr>
          <w:rFonts w:hint="eastAsia" w:ascii="Times New Roman" w:hAnsi="Times New Roman" w:cs="Times New Roman"/>
          <w:kern w:val="0"/>
          <w:sz w:val="21"/>
          <w:szCs w:val="21"/>
          <w:highlight w:val="none"/>
          <w:lang w:val="en-US" w:eastAsia="zh-CN" w:bidi="ar-SA"/>
        </w:rPr>
        <w:t>different restriction level</w:t>
      </w:r>
      <w:r>
        <w:rPr>
          <w:rFonts w:hint="eastAsia" w:ascii="Times New Roman" w:hAnsi="Times New Roman" w:cs="Times New Roman" w:eastAsiaTheme="minorEastAsia"/>
          <w:kern w:val="0"/>
          <w:sz w:val="21"/>
          <w:szCs w:val="21"/>
          <w:highlight w:val="none"/>
          <w:lang w:val="en-US" w:eastAsia="zh-CN" w:bidi="ar-SA"/>
        </w:rPr>
        <w:t xml:space="preserve">; (D) by </w:t>
      </w:r>
      <w:r>
        <w:rPr>
          <w:rFonts w:hint="default" w:ascii="Times New Roman" w:hAnsi="Times New Roman" w:cs="Times New Roman"/>
        </w:rPr>
        <w:t>utilization rate, AUD, LOT and DOT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highlight w:val="none"/>
        </w:rPr>
        <w:t>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of surgery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:DOS,</w:t>
      </w:r>
      <w:r>
        <w:rPr>
          <w:rFonts w:hint="default" w:ascii="Times New Roman" w:hAnsi="Times New Roman" w:cs="Times New Roman"/>
          <w:highlight w:val="none"/>
        </w:rPr>
        <w:t>Respiratory medicine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:RM,</w:t>
      </w:r>
      <w:r>
        <w:rPr>
          <w:rFonts w:hint="default" w:ascii="Times New Roman" w:hAnsi="Times New Roman" w:cs="Times New Roman"/>
          <w:highlight w:val="none"/>
        </w:rPr>
        <w:t>Cardiovascular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medicin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e:CM, </w:t>
      </w:r>
      <w:r>
        <w:rPr>
          <w:rFonts w:hint="default" w:ascii="Times New Roman" w:hAnsi="Times New Roman" w:cs="Times New Roman"/>
          <w:highlight w:val="none"/>
        </w:rPr>
        <w:t>Gastroenterology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:GD,</w:t>
      </w:r>
      <w:r>
        <w:rPr>
          <w:rFonts w:hint="default" w:ascii="Times New Roman" w:hAnsi="Times New Roman" w:cs="Times New Roman"/>
          <w:highlight w:val="none"/>
        </w:rPr>
        <w:t>Department of neurology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:DON,</w:t>
      </w:r>
      <w:r>
        <w:rPr>
          <w:rFonts w:hint="default" w:ascii="Times New Roman" w:hAnsi="Times New Roman" w:cs="Times New Roman"/>
          <w:highlight w:val="none"/>
        </w:rPr>
        <w:t>Department of pediatrics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:DOP,</w:t>
      </w:r>
      <w:r>
        <w:rPr>
          <w:rFonts w:hint="default" w:ascii="Times New Roman" w:hAnsi="Times New Roman" w:cs="Times New Roman"/>
          <w:highlight w:val="none"/>
        </w:rPr>
        <w:t>Oncology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:OD,</w:t>
      </w:r>
      <w:r>
        <w:rPr>
          <w:rFonts w:hint="default" w:ascii="Times New Roman" w:hAnsi="Times New Roman" w:cs="Times New Roman"/>
          <w:highlight w:val="none"/>
        </w:rPr>
        <w:t>Infectious disease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:IDD,</w:t>
      </w:r>
      <w:r>
        <w:rPr>
          <w:rFonts w:hint="default" w:ascii="Times New Roman" w:hAnsi="Times New Roman" w:cs="Times New Roman"/>
          <w:highlight w:val="none"/>
        </w:rPr>
        <w:t>Endocrinology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:ED,</w:t>
      </w:r>
      <w:r>
        <w:rPr>
          <w:rFonts w:hint="default" w:ascii="Times New Roman" w:hAnsi="Times New Roman" w:cs="Times New Roman"/>
          <w:highlight w:val="none"/>
        </w:rPr>
        <w:t>Nephrology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:ND,</w:t>
      </w:r>
      <w:r>
        <w:rPr>
          <w:rFonts w:hint="default" w:ascii="Times New Roman" w:hAnsi="Times New Roman" w:cs="Times New Roman"/>
          <w:highlight w:val="none"/>
        </w:rPr>
        <w:t>Intensive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care unit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:ICU,</w:t>
      </w:r>
      <w:r>
        <w:rPr>
          <w:rFonts w:hint="default" w:ascii="Times New Roman" w:hAnsi="Times New Roman" w:cs="Times New Roman"/>
          <w:highlight w:val="none"/>
        </w:rPr>
        <w:t>Department of hematology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:DOH,</w:t>
      </w:r>
      <w:r>
        <w:rPr>
          <w:rFonts w:hint="default" w:ascii="Times New Roman" w:hAnsi="Times New Roman" w:cs="Times New Roman"/>
          <w:highlight w:val="none"/>
        </w:rPr>
        <w:t>Other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departments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:Od</w:t>
      </w:r>
    </w:p>
    <w:p w14:paraId="0DA1AFC3">
      <w:pPr>
        <w:jc w:val="both"/>
        <w:rPr>
          <w:rFonts w:hint="eastAsia" w:ascii="Times New Roman" w:hAnsi="Times New Roman" w:cs="Times New Roman"/>
          <w:lang w:val="en-GB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C3D81F">
      <w:pPr>
        <w:pStyle w:val="1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bCs w:val="0"/>
          <w:sz w:val="21"/>
          <w:highlight w:val="none"/>
        </w:rPr>
        <w:t xml:space="preserve">Supplemental </w:t>
      </w:r>
      <w:r>
        <w:rPr>
          <w:rFonts w:hint="eastAsia" w:ascii="Times New Roman" w:hAnsi="Times New Roman" w:cs="Times New Roman"/>
          <w:b/>
          <w:bCs w:val="0"/>
          <w:sz w:val="21"/>
          <w:highlight w:val="none"/>
          <w:lang w:val="en-US" w:eastAsia="zh-CN"/>
        </w:rPr>
        <w:t>Table1-1</w:t>
      </w:r>
      <w:r>
        <w:rPr>
          <w:rFonts w:ascii="Times New Roman" w:hAnsi="Times New Roman" w:cs="Times New Roman"/>
          <w:b/>
          <w:bCs w:val="0"/>
          <w:sz w:val="21"/>
          <w:highlight w:val="none"/>
        </w:rPr>
        <w:t>.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Percentage of antimicrobial use by department, DOT and LOT per 1000 patient days, and DOT/LOT</w:t>
      </w:r>
    </w:p>
    <w:tbl>
      <w:tblPr>
        <w:tblStyle w:val="14"/>
        <w:tblW w:w="48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023"/>
        <w:gridCol w:w="987"/>
        <w:gridCol w:w="1122"/>
        <w:gridCol w:w="851"/>
        <w:gridCol w:w="913"/>
        <w:gridCol w:w="1010"/>
      </w:tblGrid>
      <w:tr w14:paraId="3982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4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tl2br w:val="nil"/>
            </w:tcBorders>
            <w:shd w:val="clear" w:color="auto" w:fill="FFFFFF"/>
            <w:vAlign w:val="center"/>
          </w:tcPr>
          <w:p w14:paraId="1A3F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Variable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7CF6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DOS</w:t>
            </w:r>
          </w:p>
        </w:tc>
        <w:tc>
          <w:tcPr>
            <w:tcW w:w="1044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3E6C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RM</w:t>
            </w: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46D9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CM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1120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GD</w:t>
            </w:r>
          </w:p>
        </w:tc>
        <w:tc>
          <w:tcPr>
            <w:tcW w:w="96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25F9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DON</w:t>
            </w:r>
          </w:p>
        </w:tc>
        <w:tc>
          <w:tcPr>
            <w:tcW w:w="106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46F6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DOP</w:t>
            </w:r>
          </w:p>
        </w:tc>
      </w:tr>
      <w:tr w14:paraId="0C25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5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Number of patients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6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4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C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1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06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6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 w14:paraId="4A9A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0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Usage rate of Antibiotics (%)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6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58.76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9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2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3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A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0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84.55</w:t>
            </w:r>
          </w:p>
        </w:tc>
      </w:tr>
      <w:tr w14:paraId="139A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2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Antibiotics Use Density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9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105.46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0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A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6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89.96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A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5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53.77</w:t>
            </w:r>
          </w:p>
        </w:tc>
      </w:tr>
      <w:tr w14:paraId="0C2C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F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the number of medical orders for antibiotics</w:t>
            </w:r>
            <w:r>
              <w:rPr>
                <w:rFonts w:hint="default" w:ascii="Times New Roman" w:hAnsi="Times New Roman" w:eastAsia="MyriadPro-LightSemiCn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（%）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5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E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6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F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5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0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6.1</w:t>
            </w:r>
          </w:p>
        </w:tc>
      </w:tr>
      <w:tr w14:paraId="42C9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5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highly-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restricted antibiotics（%）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2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2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7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C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2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3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</w:t>
            </w:r>
          </w:p>
        </w:tc>
      </w:tr>
      <w:tr w14:paraId="559E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E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items of intravenous infusion medical orders（%）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F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F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97.56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9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0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97.87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9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4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97.46</w:t>
            </w:r>
          </w:p>
        </w:tc>
      </w:tr>
      <w:tr w14:paraId="7342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9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Utilization rate of antibiotic intravenous infusion in hospitalized patients（%）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F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5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C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2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B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84.55 </w:t>
            </w:r>
          </w:p>
        </w:tc>
      </w:tr>
      <w:tr w14:paraId="12FF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0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LOT/1000pd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F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3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2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D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B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5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959</w:t>
            </w:r>
          </w:p>
        </w:tc>
      </w:tr>
      <w:tr w14:paraId="79BD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7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DOT/1000pd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2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4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8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6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B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A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1106</w:t>
            </w:r>
          </w:p>
        </w:tc>
      </w:tr>
      <w:tr w14:paraId="4844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2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enicillin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0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5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3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D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8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6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</w:tr>
      <w:tr w14:paraId="3CB0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E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Combinations of penicillins, including β-lactamase inhibitors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E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5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A1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9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6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4558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4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First-generation cephalosporin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9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9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0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7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4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F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868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F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Second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generation cephalosporin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0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F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B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7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B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5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</w:tr>
      <w:tr w14:paraId="3555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F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Third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generation cephalosporin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1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6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F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D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F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3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488</w:t>
            </w:r>
          </w:p>
        </w:tc>
      </w:tr>
      <w:tr w14:paraId="3A1B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8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Cefoperazone and Sulbactam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F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1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3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2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B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8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 w14:paraId="5366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3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Other cephalosporins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5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1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C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6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B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6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57A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E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Carbapenems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9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C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B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0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C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2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5F2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2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Macrolides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F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C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8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6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3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</w:t>
            </w:r>
          </w:p>
        </w:tc>
      </w:tr>
      <w:tr w14:paraId="25B5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7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Fluoroquinolones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B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9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9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9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7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9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847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D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Nitroimidazole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3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3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9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3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0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2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2DC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2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ulfonamides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8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F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9D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8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E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2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F6A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E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lindamycin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5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B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2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5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C7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2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FFF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0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Aminoglycosides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8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3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7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4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E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6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EA8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E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ancomycin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A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D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7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7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B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F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07E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3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Linezolid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5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3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B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5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B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D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B87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3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Polymyxins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7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0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1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2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8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2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D96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4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Tig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cycline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8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5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8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D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3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7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369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3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osfomycin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C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E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5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0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D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9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D2B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0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Antifungal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3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7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8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4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7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5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 w14:paraId="6122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6FF3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DOT/LOT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C89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4580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8E4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455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3F6A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BF5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</w:tr>
    </w:tbl>
    <w:p w14:paraId="67BD98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</w:p>
    <w:p w14:paraId="4BDDB8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bCs w:val="0"/>
          <w:sz w:val="21"/>
          <w:highlight w:val="none"/>
        </w:rPr>
        <w:t xml:space="preserve">Supplemental </w:t>
      </w:r>
      <w:r>
        <w:rPr>
          <w:rFonts w:hint="eastAsia" w:ascii="Times New Roman" w:hAnsi="Times New Roman" w:cs="Times New Roman"/>
          <w:b/>
          <w:bCs w:val="0"/>
          <w:sz w:val="21"/>
          <w:highlight w:val="none"/>
          <w:lang w:val="en-US" w:eastAsia="zh-CN"/>
        </w:rPr>
        <w:t>Table1-2</w:t>
      </w:r>
      <w:r>
        <w:rPr>
          <w:rFonts w:ascii="Times New Roman" w:hAnsi="Times New Roman" w:cs="Times New Roman"/>
          <w:b/>
          <w:bCs w:val="0"/>
          <w:sz w:val="21"/>
          <w:highlight w:val="none"/>
        </w:rPr>
        <w:t>.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212121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Percentage of antimicrobial use by department, DOT and LOT per 1000 patient days, and DOT/LOT (continued table)</w:t>
      </w:r>
    </w:p>
    <w:tbl>
      <w:tblPr>
        <w:tblStyle w:val="14"/>
        <w:tblW w:w="48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847"/>
        <w:gridCol w:w="847"/>
        <w:gridCol w:w="847"/>
        <w:gridCol w:w="847"/>
        <w:gridCol w:w="847"/>
        <w:gridCol w:w="847"/>
        <w:gridCol w:w="850"/>
      </w:tblGrid>
      <w:tr w14:paraId="7102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5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tl2br w:val="nil"/>
            </w:tcBorders>
            <w:shd w:val="clear" w:color="auto" w:fill="FFFFFF"/>
            <w:vAlign w:val="center"/>
          </w:tcPr>
          <w:p w14:paraId="2C17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Variable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73F9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OD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33C5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IDD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775C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ED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3FC1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ND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7B92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ICU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4416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DOH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 w14:paraId="7257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Od</w:t>
            </w:r>
          </w:p>
        </w:tc>
      </w:tr>
      <w:tr w14:paraId="4359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4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Number of patients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F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6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8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5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4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1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254</w:t>
            </w:r>
          </w:p>
        </w:tc>
      </w:tr>
      <w:tr w14:paraId="4A83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0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Usage rate of Antibiotics (%)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4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39.32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B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59.46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2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52.38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1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3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91.67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4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6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59.45</w:t>
            </w:r>
          </w:p>
        </w:tc>
      </w:tr>
      <w:tr w14:paraId="1AA4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8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Antibiotics Use Density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D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6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120.24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4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95.63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3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101.44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0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133.28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A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99.78</w:t>
            </w:r>
          </w:p>
        </w:tc>
      </w:tr>
      <w:tr w14:paraId="3DA9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8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the number of medical orders for antibiotics</w:t>
            </w:r>
            <w:r>
              <w:rPr>
                <w:rFonts w:hint="default" w:ascii="Times New Roman" w:hAnsi="Times New Roman" w:eastAsia="MyriadPro-LightSemiCn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（%）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2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E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6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0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2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D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B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13.4</w:t>
            </w:r>
          </w:p>
        </w:tc>
      </w:tr>
      <w:tr w14:paraId="76BF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F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highly-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restricted antibiotics（%）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1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6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2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B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5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18.79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1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1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3.37</w:t>
            </w:r>
          </w:p>
        </w:tc>
      </w:tr>
      <w:tr w14:paraId="3414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8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Proportion of items of intravenous infusion medical orders（%）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6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F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D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94.03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C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92.59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4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F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F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94.23</w:t>
            </w:r>
          </w:p>
        </w:tc>
      </w:tr>
      <w:tr w14:paraId="3E8C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6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Utilization rate of antibiotic intravenous infusion in hospitalized patients（%）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2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38.46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C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8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E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49.12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8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B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5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57.87 </w:t>
            </w:r>
          </w:p>
        </w:tc>
      </w:tr>
      <w:tr w14:paraId="20C4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3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LOT/1000pd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CE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1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D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9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A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D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8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824</w:t>
            </w:r>
          </w:p>
        </w:tc>
      </w:tr>
      <w:tr w14:paraId="4986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D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DOT/1000pd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5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2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C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8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1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E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1026</w:t>
            </w:r>
          </w:p>
        </w:tc>
      </w:tr>
      <w:tr w14:paraId="143A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F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enicillin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E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C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0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B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7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D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4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 w14:paraId="0EDD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A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Combinations of penicillins, including β-lactamase inhibitors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2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D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9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6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5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E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D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71B3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7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First-generation cephalosporin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B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7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7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4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0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B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CEF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F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Second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generation cephalosporin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E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A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5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D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D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3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1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</w:tr>
      <w:tr w14:paraId="7223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D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Third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generation cephalosporin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C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6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2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A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4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1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224</w:t>
            </w:r>
          </w:p>
        </w:tc>
      </w:tr>
      <w:tr w14:paraId="1D67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A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Cefoperazone and Sulbactam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8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B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A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9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B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2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D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213</w:t>
            </w:r>
          </w:p>
        </w:tc>
      </w:tr>
      <w:tr w14:paraId="5B1B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7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Other cephalosporins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C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9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4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A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4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4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3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 w14:paraId="77C2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F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  <w:t>Carbapenems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4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0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2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A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0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3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</w:tr>
      <w:tr w14:paraId="34B8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7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Macrolides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7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1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2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F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E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1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8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0B5F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E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Fluoroquinolones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D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1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82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0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B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6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A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</w:t>
            </w:r>
          </w:p>
        </w:tc>
      </w:tr>
      <w:tr w14:paraId="199D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A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Nitroimidazole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5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6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4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C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F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F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7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640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D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ulfonamides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5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5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6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C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55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C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F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7B72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A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lindamycin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3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A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E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B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8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5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5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46EC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6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Aminoglycosides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E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2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1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B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4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C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0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</w:tr>
      <w:tr w14:paraId="6BA4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5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V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ancomycin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3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E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0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CD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E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1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757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B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Linezolid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6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2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0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2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D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D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2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BA5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3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Polymyxins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5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8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5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B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0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5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A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D20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C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Tig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cycline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2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3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4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C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7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1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2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E5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8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osfomycin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5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9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3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A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B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7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E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070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1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Antifungal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1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3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F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4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5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0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C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 w14:paraId="6AC3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285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DOT/LOT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42F4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0E0C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02E0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4B9C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68FD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66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05C3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1.24</w:t>
            </w:r>
          </w:p>
        </w:tc>
      </w:tr>
    </w:tbl>
    <w:p w14:paraId="6A7D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</w:rPr>
        <w:t>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of surgery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:DOS,</w:t>
      </w:r>
      <w:r>
        <w:rPr>
          <w:rFonts w:hint="default" w:ascii="Times New Roman" w:hAnsi="Times New Roman" w:cs="Times New Roman"/>
          <w:highlight w:val="none"/>
        </w:rPr>
        <w:t>Respiratory medicine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:RM,</w:t>
      </w:r>
      <w:r>
        <w:rPr>
          <w:rFonts w:hint="default" w:ascii="Times New Roman" w:hAnsi="Times New Roman" w:cs="Times New Roman"/>
          <w:highlight w:val="none"/>
        </w:rPr>
        <w:t>Cardiovascular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medicin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e:CM, </w:t>
      </w:r>
      <w:r>
        <w:rPr>
          <w:rFonts w:hint="default" w:ascii="Times New Roman" w:hAnsi="Times New Roman" w:cs="Times New Roman"/>
          <w:highlight w:val="none"/>
        </w:rPr>
        <w:t>Gastroenterology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:GD,</w:t>
      </w:r>
      <w:r>
        <w:rPr>
          <w:rFonts w:hint="default" w:ascii="Times New Roman" w:hAnsi="Times New Roman" w:cs="Times New Roman"/>
          <w:highlight w:val="none"/>
        </w:rPr>
        <w:t>Department of neurology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:DON,</w:t>
      </w:r>
      <w:r>
        <w:rPr>
          <w:rFonts w:hint="default" w:ascii="Times New Roman" w:hAnsi="Times New Roman" w:cs="Times New Roman"/>
          <w:highlight w:val="none"/>
        </w:rPr>
        <w:t>Department of pediatrics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:DOP,</w:t>
      </w:r>
      <w:r>
        <w:rPr>
          <w:rFonts w:hint="default" w:ascii="Times New Roman" w:hAnsi="Times New Roman" w:cs="Times New Roman"/>
          <w:highlight w:val="none"/>
        </w:rPr>
        <w:t>Oncology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:OD,</w:t>
      </w:r>
      <w:r>
        <w:rPr>
          <w:rFonts w:hint="default" w:ascii="Times New Roman" w:hAnsi="Times New Roman" w:cs="Times New Roman"/>
          <w:highlight w:val="none"/>
        </w:rPr>
        <w:t>Infectious disease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:IDD,</w:t>
      </w:r>
      <w:r>
        <w:rPr>
          <w:rFonts w:hint="default" w:ascii="Times New Roman" w:hAnsi="Times New Roman" w:cs="Times New Roman"/>
          <w:highlight w:val="none"/>
        </w:rPr>
        <w:t>Endocrinology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:ED,</w:t>
      </w:r>
      <w:r>
        <w:rPr>
          <w:rFonts w:hint="default" w:ascii="Times New Roman" w:hAnsi="Times New Roman" w:cs="Times New Roman"/>
          <w:highlight w:val="none"/>
        </w:rPr>
        <w:t>Nephrology department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:ND,</w:t>
      </w:r>
      <w:r>
        <w:rPr>
          <w:rFonts w:hint="default" w:ascii="Times New Roman" w:hAnsi="Times New Roman" w:cs="Times New Roman"/>
          <w:highlight w:val="none"/>
        </w:rPr>
        <w:t>Intensive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care unit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:ICU,</w:t>
      </w:r>
      <w:r>
        <w:rPr>
          <w:rFonts w:hint="default" w:ascii="Times New Roman" w:hAnsi="Times New Roman" w:cs="Times New Roman"/>
          <w:highlight w:val="none"/>
        </w:rPr>
        <w:t>Department of hematology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:DOH,</w:t>
      </w:r>
      <w:r>
        <w:rPr>
          <w:rFonts w:hint="default" w:ascii="Times New Roman" w:hAnsi="Times New Roman" w:cs="Times New Roman"/>
          <w:highlight w:val="none"/>
        </w:rPr>
        <w:t>Other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departments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:Od</w:t>
      </w:r>
    </w:p>
    <w:p w14:paraId="396A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highlight w:val="none"/>
        </w:rPr>
      </w:pPr>
    </w:p>
    <w:p w14:paraId="70705573">
      <w:pPr>
        <w:jc w:val="center"/>
        <w:rPr>
          <w:rFonts w:hint="eastAsia" w:ascii="Times New Roman" w:hAnsi="Times New Roman" w:cs="Times New Roman"/>
          <w:lang w:val="en-GB" w:eastAsia="zh-CN"/>
        </w:rPr>
      </w:pPr>
    </w:p>
    <w:p w14:paraId="042DB7CB">
      <w:pPr>
        <w:widowControl/>
        <w:spacing w:after="0" w:line="240" w:lineRule="auto"/>
        <w:ind w:firstLine="422"/>
        <w:jc w:val="both"/>
        <w:rPr>
          <w:rFonts w:ascii="Times New Roman" w:hAnsi="Times New Roman" w:cs="Times New Roman"/>
          <w:sz w:val="21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yriadPro-LightSemiC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A8"/>
    <w:rsid w:val="001C37A6"/>
    <w:rsid w:val="0090509E"/>
    <w:rsid w:val="00AF10A8"/>
    <w:rsid w:val="037F5937"/>
    <w:rsid w:val="04854128"/>
    <w:rsid w:val="069939BB"/>
    <w:rsid w:val="0A0F5299"/>
    <w:rsid w:val="0D0A78C0"/>
    <w:rsid w:val="10484987"/>
    <w:rsid w:val="15D3448F"/>
    <w:rsid w:val="19501BCE"/>
    <w:rsid w:val="1ABA5098"/>
    <w:rsid w:val="1FB50D8B"/>
    <w:rsid w:val="28A644E9"/>
    <w:rsid w:val="3436309A"/>
    <w:rsid w:val="374C0FF2"/>
    <w:rsid w:val="39C742BF"/>
    <w:rsid w:val="3DC405BB"/>
    <w:rsid w:val="480224E2"/>
    <w:rsid w:val="4D5D581E"/>
    <w:rsid w:val="555411D1"/>
    <w:rsid w:val="57911E46"/>
    <w:rsid w:val="659C10BC"/>
    <w:rsid w:val="69C45FA2"/>
    <w:rsid w:val="6ED45BA1"/>
    <w:rsid w:val="714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5">
    <w:name w:val="无格式表格 21"/>
    <w:autoRedefine/>
    <w:qFormat/>
    <w:uiPriority w:val="42"/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6864</Characters>
  <Lines>5</Lines>
  <Paragraphs>1</Paragraphs>
  <TotalTime>0</TotalTime>
  <ScaleCrop>false</ScaleCrop>
  <LinksUpToDate>false</LinksUpToDate>
  <CharactersWithSpaces>7453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2024-11-04T00:19:00Z</dcterms:created>
  <dc:creator>王淞</dc:creator>
  <cp:lastModifiedBy>尹冬虹</cp:lastModifiedBy>
  <cp:lastPrinted>2025-02-04T06:13:00Z</cp:lastPrinted>
  <dcterms:modified xsi:type="dcterms:W3CDTF">2025-06-11T15:03:33Z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2024-11-04T00:21:26Z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32d2b985-1a3d-4ae7-a4c7-c77094e3e36e</vt:lpwstr>
  </property>
  <property fmtid="{D5CDD505-2E9C-101B-9397-08002B2CF9AE}" pid="7" name="MSIP_Label_defa4170-0d19-0005-0004-bc88714345d2_ActionId">
    <vt:lpwstr>7955a9b1-7a18-40ce-a898-f29fb7710f52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TemplateDocerSaveRecord">
    <vt:lpwstr>eyJoZGlkIjoiYTk0ODFlZTgxMWY0NzZkZWIwMDQ2ZjhhYmE4ZTU0OWQiLCJ1c2VySWQiOiIyNDQ5Nzg4MTYifQ==</vt:lpwstr>
  </property>
  <property fmtid="{D5CDD505-2E9C-101B-9397-08002B2CF9AE}" pid="10" name="KSOProductBuildVer">
    <vt:lpwstr>2052-12.1.0.21171</vt:lpwstr>
  </property>
  <property fmtid="{D5CDD505-2E9C-101B-9397-08002B2CF9AE}" pid="11" name="ICV">
    <vt:lpwstr>061302DBA8C74676AFD5FF069E7FB4B9_12</vt:lpwstr>
  </property>
</Properties>
</file>