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B8942" w14:textId="77777777" w:rsidR="00455753" w:rsidRPr="00455753" w:rsidRDefault="00455753" w:rsidP="00455753">
      <w:pPr>
        <w:spacing w:line="360" w:lineRule="auto"/>
        <w:jc w:val="center"/>
        <w:rPr>
          <w:rFonts w:cs="Times New Roman"/>
          <w:b/>
          <w:bCs/>
          <w:sz w:val="36"/>
          <w:szCs w:val="28"/>
        </w:rPr>
      </w:pPr>
      <w:bookmarkStart w:id="0" w:name="_Hlk175146946"/>
      <w:bookmarkStart w:id="1" w:name="_Hlk175147973"/>
      <w:r w:rsidRPr="00455753">
        <w:rPr>
          <w:b/>
          <w:sz w:val="36"/>
          <w:szCs w:val="24"/>
        </w:rPr>
        <w:t xml:space="preserve">Supplementary </w:t>
      </w:r>
      <w:r w:rsidRPr="00455753">
        <w:rPr>
          <w:rFonts w:cs="Times New Roman"/>
          <w:b/>
          <w:bCs/>
          <w:sz w:val="36"/>
          <w:szCs w:val="28"/>
        </w:rPr>
        <w:t>Materials</w:t>
      </w:r>
      <w:bookmarkEnd w:id="0"/>
    </w:p>
    <w:bookmarkEnd w:id="1"/>
    <w:p w14:paraId="72B0787F" w14:textId="77777777" w:rsidR="00455753" w:rsidRDefault="00455753" w:rsidP="00B629C8">
      <w:pPr>
        <w:spacing w:line="360" w:lineRule="auto"/>
        <w:rPr>
          <w:b/>
          <w:sz w:val="28"/>
          <w:szCs w:val="24"/>
        </w:rPr>
      </w:pPr>
    </w:p>
    <w:p w14:paraId="635AA17C" w14:textId="0A8A25CF" w:rsidR="004626F1" w:rsidRPr="00615109" w:rsidRDefault="004626F1" w:rsidP="00B629C8">
      <w:pPr>
        <w:widowControl/>
        <w:spacing w:line="360" w:lineRule="auto"/>
        <w:rPr>
          <w:rFonts w:cs="Times New Roman"/>
          <w:b/>
          <w:bCs/>
          <w:iCs/>
          <w:szCs w:val="24"/>
        </w:rPr>
      </w:pPr>
      <w:r w:rsidRPr="00615109">
        <w:rPr>
          <w:rFonts w:cs="Times New Roman"/>
          <w:b/>
          <w:bCs/>
          <w:iCs/>
          <w:szCs w:val="24"/>
        </w:rPr>
        <w:t>Diurnal field visitation</w:t>
      </w:r>
    </w:p>
    <w:p w14:paraId="26F20F1B" w14:textId="5CCE98F6" w:rsidR="004626F1" w:rsidRDefault="004626F1" w:rsidP="00455753">
      <w:pPr>
        <w:widowControl/>
        <w:spacing w:line="360" w:lineRule="auto"/>
        <w:ind w:firstLineChars="200" w:firstLine="480"/>
        <w:rPr>
          <w:rFonts w:cs="Times New Roman"/>
          <w:szCs w:val="24"/>
          <w:lang w:val="en-GB"/>
        </w:rPr>
      </w:pPr>
      <w:r w:rsidRPr="00BE2E04">
        <w:rPr>
          <w:rFonts w:cs="Times New Roman"/>
          <w:szCs w:val="24"/>
          <w:lang w:val="en-GB"/>
        </w:rPr>
        <w:t xml:space="preserve">Each census was conducted over a span of </w:t>
      </w:r>
      <w:r w:rsidRPr="00330762">
        <w:rPr>
          <w:rFonts w:cs="Times New Roman"/>
          <w:szCs w:val="24"/>
          <w:lang w:val="en-GB"/>
        </w:rPr>
        <w:t>3</w:t>
      </w:r>
      <w:r w:rsidRPr="00F6425E">
        <w:rPr>
          <w:rFonts w:cs="Times New Roman"/>
          <w:szCs w:val="24"/>
          <w:lang w:val="en-GB"/>
        </w:rPr>
        <w:t>–</w:t>
      </w:r>
      <w:r w:rsidRPr="00330762">
        <w:rPr>
          <w:rFonts w:cs="Times New Roman"/>
          <w:szCs w:val="24"/>
          <w:lang w:val="en-GB"/>
        </w:rPr>
        <w:t>4</w:t>
      </w:r>
      <w:r w:rsidRPr="00BE2E04">
        <w:rPr>
          <w:rFonts w:cs="Times New Roman"/>
          <w:szCs w:val="24"/>
          <w:lang w:val="en-GB"/>
        </w:rPr>
        <w:t xml:space="preserve"> consecutive days, with a gap of </w:t>
      </w:r>
      <w:r w:rsidRPr="00330762">
        <w:rPr>
          <w:rFonts w:cs="Times New Roman"/>
          <w:szCs w:val="24"/>
          <w:lang w:val="en-GB"/>
        </w:rPr>
        <w:t>3</w:t>
      </w:r>
      <w:r w:rsidRPr="00F6425E">
        <w:rPr>
          <w:rFonts w:cs="Times New Roman"/>
          <w:szCs w:val="24"/>
          <w:lang w:val="en-GB"/>
        </w:rPr>
        <w:t>–</w:t>
      </w:r>
      <w:r>
        <w:rPr>
          <w:rFonts w:cs="Times New Roman"/>
          <w:szCs w:val="24"/>
          <w:lang w:val="en-GB"/>
        </w:rPr>
        <w:t xml:space="preserve">5 </w:t>
      </w:r>
      <w:r w:rsidRPr="00BE2E04">
        <w:rPr>
          <w:rFonts w:cs="Times New Roman"/>
          <w:szCs w:val="24"/>
          <w:lang w:val="en-GB"/>
        </w:rPr>
        <w:t>days before commencing the next census.</w:t>
      </w:r>
      <w:r w:rsidRPr="00615109">
        <w:rPr>
          <w:rFonts w:cs="Times New Roman"/>
          <w:szCs w:val="24"/>
          <w:lang w:val="en-GB"/>
        </w:rPr>
        <w:t xml:space="preserve"> </w:t>
      </w:r>
      <w:r w:rsidRPr="00BE2E04">
        <w:rPr>
          <w:rFonts w:cs="Times New Roman"/>
          <w:szCs w:val="24"/>
          <w:lang w:val="en-GB"/>
        </w:rPr>
        <w:t xml:space="preserve">To ensure systematic sampling, each meadow was divided into four quadrants. During each 15-min observation period, we randomly selected one quadrant within the meadow as the focal quadrant. The remaining quadrants were then sampled in a random order. This process was repeated for all </w:t>
      </w:r>
      <w:r>
        <w:rPr>
          <w:rFonts w:cs="Times New Roman"/>
          <w:szCs w:val="24"/>
          <w:lang w:val="en-GB"/>
        </w:rPr>
        <w:t>six</w:t>
      </w:r>
      <w:r w:rsidRPr="00BE2E04">
        <w:rPr>
          <w:rFonts w:cs="Times New Roman"/>
          <w:szCs w:val="24"/>
          <w:lang w:val="en-GB"/>
        </w:rPr>
        <w:t xml:space="preserve"> meadows. To eliminate bias, we alternated the starting meadow on successive observation days, following a consistent pattern</w:t>
      </w:r>
      <w:r>
        <w:rPr>
          <w:rFonts w:cs="Times New Roman"/>
          <w:szCs w:val="24"/>
          <w:lang w:val="en-GB"/>
        </w:rPr>
        <w:t xml:space="preserve"> </w:t>
      </w:r>
      <w:r w:rsidRPr="00330762">
        <w:rPr>
          <w:rFonts w:cs="Times New Roman"/>
          <w:kern w:val="0"/>
          <w:szCs w:val="24"/>
          <w:lang w:val="en-GB" w:bidi="ar"/>
        </w:rPr>
        <w:fldChar w:fldCharType="begin">
          <w:fldData xml:space="preserve">PEVuZE5vdGU+PENpdGU+PEF1dGhvcj5DYXJhRG9ubmE8L0F1dGhvcj48WWVhcj4yMDE3PC9ZZWFy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</w:fldData>
        </w:fldChar>
      </w:r>
      <w:r w:rsidRPr="00330762">
        <w:rPr>
          <w:rFonts w:cs="Times New Roman"/>
          <w:kern w:val="0"/>
          <w:szCs w:val="24"/>
          <w:lang w:val="en-GB" w:bidi="ar"/>
        </w:rPr>
        <w:instrText xml:space="preserve"> ADDIN EN.CITE </w:instrText>
      </w:r>
      <w:r w:rsidRPr="00330762">
        <w:rPr>
          <w:rFonts w:cs="Times New Roman"/>
          <w:kern w:val="0"/>
          <w:szCs w:val="24"/>
          <w:lang w:val="en-GB" w:bidi="ar"/>
        </w:rPr>
        <w:fldChar w:fldCharType="begin">
          <w:fldData xml:space="preserve">PEVuZE5vdGU+PENpdGU+PEF1dGhvcj5DYXJhRG9ubmE8L0F1dGhvcj48WWVhcj4yMDE3PC9ZZWFy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</w:fldData>
        </w:fldChar>
      </w:r>
      <w:r w:rsidRPr="00330762">
        <w:rPr>
          <w:rFonts w:cs="Times New Roman"/>
          <w:kern w:val="0"/>
          <w:szCs w:val="24"/>
          <w:lang w:val="en-GB" w:bidi="ar"/>
        </w:rPr>
        <w:instrText xml:space="preserve"> ADDIN EN.CITE.DATA </w:instrText>
      </w:r>
      <w:r w:rsidRPr="00330762">
        <w:rPr>
          <w:rFonts w:cs="Times New Roman"/>
          <w:kern w:val="0"/>
          <w:szCs w:val="24"/>
          <w:lang w:val="en-GB" w:bidi="ar"/>
        </w:rPr>
      </w:r>
      <w:r w:rsidRPr="00330762">
        <w:rPr>
          <w:rFonts w:cs="Times New Roman"/>
          <w:kern w:val="0"/>
          <w:szCs w:val="24"/>
          <w:lang w:val="en-GB" w:bidi="ar"/>
        </w:rPr>
        <w:fldChar w:fldCharType="end"/>
      </w:r>
      <w:r w:rsidRPr="00330762">
        <w:rPr>
          <w:rFonts w:cs="Times New Roman"/>
          <w:kern w:val="0"/>
          <w:szCs w:val="24"/>
          <w:lang w:val="en-GB" w:bidi="ar"/>
        </w:rPr>
      </w:r>
      <w:r w:rsidRPr="00330762">
        <w:rPr>
          <w:rFonts w:cs="Times New Roman"/>
          <w:kern w:val="0"/>
          <w:szCs w:val="24"/>
          <w:lang w:val="en-GB" w:bidi="ar"/>
        </w:rPr>
        <w:fldChar w:fldCharType="separate"/>
      </w:r>
      <w:r>
        <w:rPr>
          <w:rFonts w:cs="Times New Roman"/>
          <w:kern w:val="0"/>
          <w:szCs w:val="24"/>
          <w:lang w:val="en-GB" w:bidi="ar"/>
        </w:rPr>
        <w:fldChar w:fldCharType="begin"/>
      </w:r>
      <w:r>
        <w:rPr>
          <w:rFonts w:cs="Times New Roman"/>
          <w:kern w:val="0"/>
          <w:szCs w:val="24"/>
          <w:lang w:val="en-GB" w:bidi="ar"/>
        </w:rPr>
        <w:instrText xml:space="preserve"> ADDIN ZOTERO_ITEM CSL_CITATION {"citationID":"jGDjX3rB","properties":{"formattedCitation":"(CaraDonna et al., 2017)","plainCitation":"(CaraDonna et al., 2017)","noteIndex":0},"citationItems":[{"id":19,"uris":["http://zotero.org/users/8285980/items/494T9DKJ"],"itemData":{"id":19,"type":"article-journal","abstract":"Whether species interactions are static or change over time has wide-reaching ecological and evolutionary consequences. However, species interaction networks are typically constructed from temporally aggregated interaction data, thereby implicitly assuming that interactions are ﬁxed. This approach has advanced our understanding of communities, but it obscures the timescale at which interactions form (or dissolve) and the drivers and consequences of such dynamics. We address this knowledge gap by quantifying the within-season turnover of plant–pollinator interactions from weekly censuses across 3 years in a subalpine ecosystem. Week-to-week turnover of interactions (1) was high, (2) followed a consistent seasonal progression in all years of study and (3) was dominated by interaction rewiring (the reassembly of interactions among species). Simulation models revealed that species’ phenologies and relative abundances constrained both total interaction turnover and rewiring. Our ﬁndings reveal the diversity of species interactions that may be missed when the temporal dynamics of networks are ignored.","container-title":"Ecology Letters","DOI":"10.1111/ele.12740","ISSN":"1461-023X, 1461-0248","issue":"3","journalAbbreviation":"Ecol Lett","language":"en","page":"385-394","source":"DOI.org (Crossref)","title":"Interaction rewiring and the rapid turnover of plant–pollinator networks","volume":"20","author":[{"family":"CaraDonna","given":"Paul J."},{"family":"Petry","given":"William K."},{"family":"Brennan","given":"Ross M."},{"family":"Cunningham","given":"James L."},{"family":"Bronstein","given":"Judith L."},{"family":"Waser","given":"Nickolas M."},{"family":"Sanders","given":"Nathan J."}],"editor":[{"family":"Jordan","given":"Ferenc"}],"issued":{"date-parts":[["2017",3]]}}}],"schema":"https://github.com/citation-style-language/schema/raw/master/csl-citation.json"} </w:instrText>
      </w:r>
      <w:r>
        <w:rPr>
          <w:rFonts w:cs="Times New Roman"/>
          <w:kern w:val="0"/>
          <w:szCs w:val="24"/>
          <w:lang w:val="en-GB" w:bidi="ar"/>
        </w:rPr>
        <w:fldChar w:fldCharType="separate"/>
      </w:r>
      <w:r w:rsidR="00F02A37" w:rsidRPr="00F02A37">
        <w:rPr>
          <w:rFonts w:cs="Times New Roman"/>
        </w:rPr>
        <w:t>(CaraDonna et al., 2017)</w:t>
      </w:r>
      <w:r>
        <w:rPr>
          <w:rFonts w:cs="Times New Roman"/>
          <w:kern w:val="0"/>
          <w:szCs w:val="24"/>
          <w:lang w:val="en-GB" w:bidi="ar"/>
        </w:rPr>
        <w:fldChar w:fldCharType="end"/>
      </w:r>
      <w:r w:rsidRPr="00330762">
        <w:rPr>
          <w:rFonts w:cs="Times New Roman"/>
          <w:kern w:val="0"/>
          <w:szCs w:val="24"/>
          <w:lang w:val="en-GB" w:bidi="ar"/>
        </w:rPr>
        <w:fldChar w:fldCharType="end"/>
      </w:r>
      <w:r w:rsidRPr="00BE2E04">
        <w:rPr>
          <w:rFonts w:cs="Times New Roman"/>
          <w:szCs w:val="24"/>
          <w:lang w:val="en-GB"/>
        </w:rPr>
        <w:t>.</w:t>
      </w:r>
      <w:r>
        <w:rPr>
          <w:rFonts w:cs="Times New Roman"/>
          <w:szCs w:val="24"/>
          <w:lang w:val="en-GB"/>
        </w:rPr>
        <w:t xml:space="preserve"> </w:t>
      </w:r>
      <w:r w:rsidRPr="00BE2E04">
        <w:rPr>
          <w:rFonts w:cs="Times New Roman"/>
          <w:szCs w:val="24"/>
          <w:lang w:val="en-GB"/>
        </w:rPr>
        <w:t>During each observation period, we walked at a consistent speed around the focal quadrant, meticulously documenting all observed plant-pollinator interactions.</w:t>
      </w:r>
      <w:bookmarkStart w:id="2" w:name="_Hlk139787717"/>
      <w:r w:rsidRPr="00BE2E04">
        <w:rPr>
          <w:rFonts w:cs="Times New Roman"/>
          <w:szCs w:val="24"/>
          <w:lang w:val="en-GB"/>
        </w:rPr>
        <w:t xml:space="preserve"> For every visitor collected, we recorded the corresponding plant species.</w:t>
      </w:r>
      <w:bookmarkEnd w:id="2"/>
      <w:r w:rsidRPr="00BE2E04">
        <w:rPr>
          <w:rFonts w:cs="Times New Roman"/>
          <w:szCs w:val="24"/>
          <w:lang w:val="en-GB"/>
        </w:rPr>
        <w:t xml:space="preserve"> All observations were conducted between </w:t>
      </w:r>
      <w:r w:rsidRPr="00330762">
        <w:rPr>
          <w:rFonts w:cs="Times New Roman"/>
          <w:kern w:val="0"/>
          <w:szCs w:val="24"/>
          <w:lang w:val="en-GB" w:bidi="ar"/>
        </w:rPr>
        <w:t xml:space="preserve">0900 and </w:t>
      </w:r>
      <w:r w:rsidRPr="00E37EF8">
        <w:rPr>
          <w:rFonts w:cs="Times New Roman"/>
          <w:kern w:val="0"/>
          <w:szCs w:val="24"/>
          <w:lang w:val="en-GB" w:bidi="ar"/>
        </w:rPr>
        <w:t>1600 h</w:t>
      </w:r>
      <w:r w:rsidRPr="00BE2E04">
        <w:rPr>
          <w:rFonts w:cs="Times New Roman"/>
          <w:szCs w:val="24"/>
          <w:lang w:val="en-GB"/>
        </w:rPr>
        <w:t>, specifically during weather conditions that were favorable for pollinator activity, characterized by low wind speeds and the absence of snow or rain.</w:t>
      </w:r>
    </w:p>
    <w:p w14:paraId="2F3A385B" w14:textId="77777777" w:rsidR="004626F1" w:rsidRDefault="004626F1" w:rsidP="00455753">
      <w:pPr>
        <w:widowControl/>
        <w:spacing w:line="360" w:lineRule="auto"/>
        <w:rPr>
          <w:b/>
          <w:bCs/>
          <w:kern w:val="0"/>
          <w:szCs w:val="28"/>
          <w:lang w:val="en-GB"/>
        </w:rPr>
      </w:pPr>
    </w:p>
    <w:p w14:paraId="6790C1B7" w14:textId="77777777" w:rsidR="004626F1" w:rsidRPr="007F66D7" w:rsidRDefault="004626F1" w:rsidP="00455753">
      <w:pPr>
        <w:widowControl/>
        <w:spacing w:line="360" w:lineRule="auto"/>
        <w:rPr>
          <w:b/>
          <w:bCs/>
          <w:kern w:val="0"/>
          <w:szCs w:val="28"/>
          <w:lang w:val="en-GB"/>
        </w:rPr>
      </w:pPr>
      <w:r w:rsidRPr="007F66D7">
        <w:rPr>
          <w:b/>
          <w:bCs/>
          <w:kern w:val="0"/>
          <w:szCs w:val="28"/>
          <w:lang w:val="en-GB"/>
        </w:rPr>
        <w:t>Plant abundance</w:t>
      </w:r>
    </w:p>
    <w:p w14:paraId="37646E56" w14:textId="77777777" w:rsidR="004626F1" w:rsidRDefault="004626F1" w:rsidP="00455753">
      <w:pPr>
        <w:widowControl/>
        <w:spacing w:line="360" w:lineRule="auto"/>
        <w:ind w:firstLineChars="200" w:firstLine="480"/>
        <w:rPr>
          <w:kern w:val="0"/>
          <w:lang w:val="en-GB"/>
        </w:rPr>
      </w:pPr>
      <w:r w:rsidRPr="004A3960">
        <w:rPr>
          <w:kern w:val="0"/>
          <w:lang w:val="en-GB"/>
        </w:rPr>
        <w:t xml:space="preserve">We considered a floral visual unit, which acted as a functional unit for pollinator attraction, to be a solitary flower (e.g., </w:t>
      </w:r>
      <w:bookmarkStart w:id="3" w:name="OLE_LINK40"/>
      <w:bookmarkStart w:id="4" w:name="OLE_LINK62"/>
      <w:r w:rsidRPr="004A3960">
        <w:rPr>
          <w:i/>
          <w:iCs/>
          <w:kern w:val="0"/>
          <w:lang w:val="en-GB"/>
        </w:rPr>
        <w:t>Geranium</w:t>
      </w:r>
      <w:bookmarkEnd w:id="3"/>
      <w:bookmarkEnd w:id="4"/>
      <w:r w:rsidRPr="004A3960">
        <w:rPr>
          <w:i/>
          <w:iCs/>
          <w:kern w:val="0"/>
          <w:lang w:val="en-GB"/>
        </w:rPr>
        <w:t xml:space="preserve"> rosthornii</w:t>
      </w:r>
      <w:r w:rsidRPr="004A3960">
        <w:rPr>
          <w:kern w:val="0"/>
          <w:lang w:val="en-GB"/>
        </w:rPr>
        <w:t xml:space="preserve">) or an inflorescence (e.g., </w:t>
      </w:r>
      <w:r w:rsidRPr="004A3960">
        <w:rPr>
          <w:i/>
          <w:iCs/>
          <w:kern w:val="0"/>
          <w:lang w:val="en-GB"/>
        </w:rPr>
        <w:t>Inula hupehensis</w:t>
      </w:r>
      <w:r w:rsidRPr="004A3960">
        <w:rPr>
          <w:kern w:val="0"/>
          <w:lang w:val="en-GB"/>
        </w:rPr>
        <w:t>) with individual florets clustered together and which cannot be easily counted in the field. The average abundance of each plant in the sample was calculated (excluding plant species for which no visitors were recorded). Each plant species was collected in triplicate and preserved as specimens in the Herbarium of Wuhan University.</w:t>
      </w:r>
    </w:p>
    <w:p w14:paraId="22E99F74" w14:textId="77777777" w:rsidR="004626F1" w:rsidRDefault="004626F1" w:rsidP="00455753">
      <w:pPr>
        <w:widowControl/>
        <w:spacing w:line="360" w:lineRule="auto"/>
        <w:rPr>
          <w:kern w:val="0"/>
          <w:lang w:val="en-GB"/>
        </w:rPr>
      </w:pPr>
    </w:p>
    <w:p w14:paraId="50D1EEE9" w14:textId="56D563EA" w:rsidR="00711C02" w:rsidRPr="00052E02" w:rsidRDefault="004626F1" w:rsidP="00052E02">
      <w:pPr>
        <w:widowControl/>
        <w:spacing w:line="360" w:lineRule="auto"/>
        <w:rPr>
          <w:rFonts w:eastAsia="FangSong" w:cs="Times New Roman"/>
          <w:b/>
          <w:bCs/>
          <w:szCs w:val="28"/>
          <w:lang w:val="en-GB"/>
        </w:rPr>
      </w:pPr>
      <w:r w:rsidRPr="00E66EAB">
        <w:rPr>
          <w:rFonts w:eastAsia="FangSong" w:cs="Times New Roman"/>
          <w:b/>
          <w:bCs/>
          <w:szCs w:val="28"/>
          <w:lang w:val="en-GB"/>
        </w:rPr>
        <w:t>Pollen analysis</w:t>
      </w:r>
    </w:p>
    <w:p w14:paraId="72234A01" w14:textId="355674F7" w:rsidR="004626F1" w:rsidRPr="0064427E" w:rsidRDefault="004626F1" w:rsidP="00455753">
      <w:pPr>
        <w:widowControl/>
        <w:spacing w:line="360" w:lineRule="auto"/>
        <w:ind w:firstLineChars="200" w:firstLine="480"/>
        <w:rPr>
          <w:rFonts w:eastAsia="FangSong" w:cs="Times New Roman"/>
          <w:kern w:val="0"/>
          <w:szCs w:val="24"/>
          <w:lang w:val="en-GB"/>
        </w:rPr>
      </w:pPr>
      <w:r w:rsidRPr="00E66EAB">
        <w:rPr>
          <w:rFonts w:eastAsia="FangSong" w:cs="Times New Roman"/>
          <w:kern w:val="0"/>
          <w:szCs w:val="24"/>
          <w:lang w:val="en-GB"/>
        </w:rPr>
        <w:lastRenderedPageBreak/>
        <w:t xml:space="preserve">To </w:t>
      </w:r>
      <w:bookmarkStart w:id="5" w:name="_Hlk139788717"/>
      <w:r w:rsidRPr="00E66EAB">
        <w:rPr>
          <w:rFonts w:eastAsia="FangSong" w:cs="Times New Roman"/>
          <w:kern w:val="0"/>
          <w:szCs w:val="24"/>
          <w:lang w:val="en-GB"/>
        </w:rPr>
        <w:t>facilitate pollen analysis</w:t>
      </w:r>
      <w:bookmarkEnd w:id="5"/>
      <w:r w:rsidRPr="00E66EAB">
        <w:rPr>
          <w:rFonts w:eastAsia="FangSong" w:cs="Times New Roman"/>
          <w:kern w:val="0"/>
          <w:szCs w:val="24"/>
          <w:lang w:val="en-GB"/>
        </w:rPr>
        <w:t xml:space="preserve">, a pollen reference collection was prepared by sampling pollen from each flower species present at the sites, fixing them on microscope slides, and taking photos under a </w:t>
      </w:r>
      <w:bookmarkStart w:id="6" w:name="_Hlk127299378"/>
      <w:r w:rsidRPr="00E66EAB">
        <w:rPr>
          <w:rFonts w:eastAsia="FangSong" w:cs="Times New Roman"/>
          <w:kern w:val="0"/>
          <w:szCs w:val="24"/>
          <w:lang w:val="en-GB"/>
        </w:rPr>
        <w:t>microscope</w:t>
      </w:r>
      <w:bookmarkEnd w:id="6"/>
      <w:r w:rsidRPr="00E66EAB">
        <w:rPr>
          <w:rFonts w:eastAsia="FangSong" w:cs="Times New Roman"/>
          <w:kern w:val="0"/>
          <w:szCs w:val="24"/>
          <w:lang w:val="en-GB"/>
        </w:rPr>
        <w:t xml:space="preserve"> (</w:t>
      </w:r>
      <w:r w:rsidRPr="00E66EAB">
        <w:rPr>
          <w:rFonts w:eastAsia="FangSong" w:cs="Times New Roman"/>
          <w:szCs w:val="24"/>
          <w:lang w:val="en-GB"/>
        </w:rPr>
        <w:t>Binocular Nikon E100 microscope, Tokyo, Japan</w:t>
      </w:r>
      <w:r w:rsidRPr="00E66EAB">
        <w:rPr>
          <w:rFonts w:eastAsia="FangSong" w:cs="Times New Roman"/>
          <w:kern w:val="0"/>
          <w:szCs w:val="24"/>
          <w:lang w:val="en-GB"/>
        </w:rPr>
        <w:t>) at ×400 magnification. To sample the pollen carried by flower visitors, insects were softened in a relaxing chamber for 24 h before handling</w:t>
      </w:r>
      <w:r w:rsidRPr="00E66EAB">
        <w:rPr>
          <w:rFonts w:eastAsia="FangSong" w:cs="Times New Roman"/>
          <w:kern w:val="0"/>
          <w:szCs w:val="24"/>
          <w:lang w:val="en-GB" w:bidi="ar"/>
        </w:rPr>
        <w:t xml:space="preserve"> </w:t>
      </w:r>
      <w:bookmarkStart w:id="7" w:name="_Hlk56435597"/>
      <w:r w:rsidRPr="00E66EAB">
        <w:rPr>
          <w:rFonts w:eastAsia="FangSong" w:cs="Times New Roman"/>
          <w:kern w:val="0"/>
          <w:szCs w:val="24"/>
          <w:lang w:val="en-GB" w:bidi="ar"/>
        </w:rPr>
        <w:fldChar w:fldCharType="begin"/>
      </w:r>
      <w:r w:rsidRPr="00E66EAB">
        <w:rPr>
          <w:rFonts w:eastAsia="FangSong" w:cs="Times New Roman"/>
          <w:kern w:val="0"/>
          <w:szCs w:val="24"/>
          <w:lang w:val="en-GB" w:bidi="ar"/>
        </w:rPr>
        <w:instrText xml:space="preserve"> ADDIN EN.CITE &lt;EndNote&gt;&lt;Cite&gt;&lt;Author&gt;Devoto&lt;/Author&gt;&lt;Year&gt;2011&lt;/Year&gt;&lt;RecNum&gt;1314&lt;/RecNum&gt;&lt;DisplayText&gt;(Devoto et al. 2011)&lt;/DisplayText&gt;&lt;record&gt;&lt;rec-number&gt;1314&lt;/rec-number&gt;&lt;foreign-keys&gt;&lt;key app="EN" db-id="seawvxfajd5sdwedx5axtp9oxetzspxefrpz" timestamp="1605319831"&gt;1314&lt;/key&gt;&lt;key app="ENWeb" db-id=""&gt;0&lt;/key&gt;&lt;/foreign-keys&gt;&lt;ref-type name="Journal Article"&gt;17&lt;/ref-type&gt;&lt;contributors&gt;&lt;authors&gt;&lt;author&gt;Devoto, Mariano&lt;/author&gt;&lt;author&gt;Bailey, Sallie&lt;/author&gt;&lt;author&gt;Memmott, Jane&lt;/author&gt;&lt;/authors&gt;&lt;/contributors&gt;&lt;titles&gt;&lt;title&gt;The ‘night shift’: nocturnal pollen-transport networks in a boreal pine forest&lt;/title&gt;&lt;secondary-title&gt;Ecological Entomology&lt;/secondary-title&gt;&lt;/titles&gt;&lt;periodical&gt;&lt;full-title&gt;Ecological Entomology&lt;/full-title&gt;&lt;/periodical&gt;&lt;pages&gt;25-35&lt;/pages&gt;&lt;volume&gt;36&lt;/volume&gt;&lt;number&gt;1&lt;/number&gt;&lt;section&gt;25&lt;/section&gt;&lt;dates&gt;&lt;year&gt;2011&lt;/year&gt;&lt;/dates&gt;&lt;isbn&gt;03076946&lt;/isbn&gt;&lt;urls&gt;&lt;/urls&gt;&lt;electronic-resource-num&gt;10.1111/j.1365-2311.2010.01247.x&lt;/electronic-resource-num&gt;&lt;/record&gt;&lt;/Cite&gt;&lt;/EndNote&gt;</w:instrText>
      </w:r>
      <w:r w:rsidRPr="00E66EAB">
        <w:rPr>
          <w:rFonts w:eastAsia="FangSong" w:cs="Times New Roman"/>
          <w:kern w:val="0"/>
          <w:szCs w:val="24"/>
          <w:lang w:val="en-GB" w:bidi="ar"/>
        </w:rPr>
        <w:fldChar w:fldCharType="separate"/>
      </w:r>
      <w:r w:rsidRPr="00E66EAB">
        <w:rPr>
          <w:rFonts w:eastAsia="FangSong" w:cs="Times New Roman"/>
          <w:kern w:val="0"/>
          <w:szCs w:val="24"/>
          <w:lang w:val="en-GB" w:bidi="ar"/>
        </w:rPr>
        <w:t>(Devoto et al. 2011)</w:t>
      </w:r>
      <w:r w:rsidRPr="00E66EAB">
        <w:rPr>
          <w:rFonts w:eastAsia="FangSong" w:cs="Times New Roman"/>
          <w:kern w:val="0"/>
          <w:szCs w:val="24"/>
          <w:lang w:val="en-GB" w:bidi="ar"/>
        </w:rPr>
        <w:fldChar w:fldCharType="end"/>
      </w:r>
      <w:bookmarkEnd w:id="7"/>
      <w:r w:rsidRPr="00E66EAB">
        <w:rPr>
          <w:rFonts w:eastAsia="FangSong" w:cs="Times New Roman"/>
          <w:kern w:val="0"/>
          <w:szCs w:val="24"/>
          <w:lang w:val="en-GB"/>
        </w:rPr>
        <w:t>.</w:t>
      </w:r>
      <w:r w:rsidRPr="00E66EAB">
        <w:rPr>
          <w:rFonts w:eastAsia="FangSong" w:cs="Times New Roman"/>
          <w:sz w:val="21"/>
          <w:szCs w:val="21"/>
          <w:lang w:val="en-GB"/>
        </w:rPr>
        <w:t xml:space="preserve"> </w:t>
      </w:r>
      <w:bookmarkStart w:id="8" w:name="_GoBack"/>
      <w:bookmarkEnd w:id="8"/>
      <w:r w:rsidRPr="00E66EAB">
        <w:rPr>
          <w:rFonts w:eastAsia="FangSong" w:cs="Times New Roman"/>
          <w:szCs w:val="24"/>
          <w:lang w:val="en-GB"/>
        </w:rPr>
        <w:t xml:space="preserve">We added 70% ethanol to submerged insect bodies in tubes (Hymenoptera were washed without corbicula and Lepidoptera were washed without wings). </w:t>
      </w:r>
      <w:bookmarkStart w:id="9" w:name="OLE_LINK18"/>
      <w:bookmarkStart w:id="10" w:name="OLE_LINK19"/>
      <w:r w:rsidRPr="00E66EAB">
        <w:rPr>
          <w:rFonts w:eastAsia="FangSong" w:cs="Times New Roman"/>
          <w:kern w:val="0"/>
          <w:szCs w:val="24"/>
          <w:lang w:val="en-GB"/>
        </w:rPr>
        <w:t>Pollen grains attached to the bodies of these insects</w:t>
      </w:r>
      <w:bookmarkEnd w:id="9"/>
      <w:bookmarkEnd w:id="10"/>
      <w:r w:rsidRPr="00E66EAB">
        <w:rPr>
          <w:rFonts w:eastAsia="FangSong" w:cs="Times New Roman"/>
          <w:kern w:val="0"/>
          <w:szCs w:val="24"/>
          <w:lang w:val="en-GB"/>
        </w:rPr>
        <w:t xml:space="preserve"> were detached using an ultrasonic cleaner for 4 min </w:t>
      </w:r>
      <w:bookmarkStart w:id="11" w:name="_Hlk56436603"/>
      <w:r w:rsidRPr="00E66EAB">
        <w:rPr>
          <w:rFonts w:eastAsia="FangSong" w:cs="Times New Roman"/>
          <w:kern w:val="0"/>
          <w:szCs w:val="24"/>
          <w:lang w:val="en-GB"/>
        </w:rPr>
        <w:t>(40 kHz; JP-010T, Skymen Cleaning Equipment Shenzhen Co., Ltd., Shenzhen, China)</w:t>
      </w:r>
      <w:bookmarkEnd w:id="11"/>
      <w:r w:rsidRPr="00E66EAB">
        <w:rPr>
          <w:rFonts w:eastAsia="FangSong" w:cs="Times New Roman"/>
          <w:kern w:val="0"/>
          <w:szCs w:val="24"/>
          <w:lang w:val="en-GB" w:bidi="ar"/>
        </w:rPr>
        <w:t xml:space="preserve"> </w:t>
      </w:r>
      <w:r w:rsidRPr="00E66EAB">
        <w:rPr>
          <w:rFonts w:eastAsia="FangSong" w:cs="Times New Roman"/>
          <w:kern w:val="0"/>
          <w:szCs w:val="24"/>
          <w:lang w:val="en-GB" w:bidi="ar"/>
        </w:rPr>
        <w:fldChar w:fldCharType="begin"/>
      </w:r>
      <w:r>
        <w:rPr>
          <w:rFonts w:eastAsia="FangSong" w:cs="Times New Roman"/>
          <w:kern w:val="0"/>
          <w:szCs w:val="24"/>
          <w:lang w:val="en-GB" w:bidi="ar"/>
        </w:rPr>
        <w:instrText xml:space="preserve"> ADDIN ZOTERO_ITEM CSL_CITATION {"citationID":"MjiQliLX","properties":{"formattedCitation":"(Gong et al., 2016)","plainCitation":"(Gong et al., 2016)","noteIndex":0},"citationItems":[{"id":296,"uris":["http://zotero.org/users/8285980/items/2AQF77DA"],"itemData":{"id":296,"type":"article-journal","abstract":"Gnetum (Gnetales) has long been regarded as insect pollinated due to its range-restricted distribution in tropical rain forests, where wind pollination is supposed to be detrimental. However, ubiquitous pollen limitation in the tropics might cause transition to anemophily, or even ambophily for reproductive assurance, especially for gymnosperms such as Gnetum, which exhibit various anemophilous syndromes, including absence of petals, greenish color of strobili, dioecy and uniovulate </w:instrText>
      </w:r>
      <w:r>
        <w:rPr>
          <w:rFonts w:ascii="MS Mincho" w:eastAsia="MS Mincho" w:hAnsi="MS Mincho" w:cs="MS Mincho" w:hint="eastAsia"/>
          <w:kern w:val="0"/>
          <w:szCs w:val="24"/>
          <w:lang w:val="en-GB" w:bidi="ar"/>
        </w:rPr>
        <w:instrText>ﬂ</w:instrText>
      </w:r>
      <w:r>
        <w:rPr>
          <w:rFonts w:eastAsia="FangSong" w:cs="Times New Roman"/>
          <w:kern w:val="0"/>
          <w:szCs w:val="24"/>
          <w:lang w:val="en-GB" w:bidi="ar"/>
        </w:rPr>
        <w:instrText>owers. Pollination treatments applied to Gnetum parvifolium in southern China revealed this rare and endangered species to be pollen limited and incapable of apomixis. Pollen grains of G. parvifolium did not adhere to each other and could be trapped by interception traps near the male and female strobili. Seed set in the netted treatment (anemophily) was signi</w:instrText>
      </w:r>
      <w:r>
        <w:rPr>
          <w:rFonts w:ascii="MS Mincho" w:eastAsia="MS Mincho" w:hAnsi="MS Mincho" w:cs="MS Mincho" w:hint="eastAsia"/>
          <w:kern w:val="0"/>
          <w:szCs w:val="24"/>
          <w:lang w:val="en-GB" w:bidi="ar"/>
        </w:rPr>
        <w:instrText>ﬁ</w:instrText>
      </w:r>
      <w:r>
        <w:rPr>
          <w:rFonts w:eastAsia="FangSong" w:cs="Times New Roman"/>
          <w:kern w:val="0"/>
          <w:szCs w:val="24"/>
          <w:lang w:val="en-GB" w:bidi="ar"/>
        </w:rPr>
        <w:instrText xml:space="preserve">cantly higher than in the bagged treatment (apomixis) but lower than open pollination (anemophily and entomophily), indicating that both wind and biotic pollination contributed to seed production of G. parvifolium. The occurrence of ambophily in Gnetum and the prevalence of anemophily in Ehpedra and Welwitschia suggest that wind may also play a role in the pollination of the ancient Gnetales.","container-title":"Plant Species Biology","DOI":"10.1111/1442-1984.12112","ISSN":"0913557X","issue":"4","journalAbbreviation":"Plant Species Biol.","language":"en","page":"272-279","source":"DOI.org (Crossref)","title":"Wind or insect pollination? Ambophily in a subtropical gymnosperm &lt;i&gt;Gnetum parvifolium&lt;/i&gt; (Gnetales): Ambophily in &lt;i&gt;Gnetum&lt;/i&gt;","title-short":"Wind or insect pollination?","volume":"31","author":[{"family":"Gong","given":"Yan-Bing"},{"family":"Yang","given":"Min"},{"family":"Vamosi","given":"Jana C."},{"family":"Yang","given":"Hong-Mei"},{"family":"Mu","given":"Wei-Xue"},{"family":"Li","given":"Jiao-Kun"},{"family":"Wan","given":"Tao"}],"issued":{"date-parts":[["2016",10]]}}}],"schema":"https://github.com/citation-style-language/schema/raw/master/csl-citation.json"} </w:instrText>
      </w:r>
      <w:r w:rsidRPr="00E66EAB">
        <w:rPr>
          <w:rFonts w:eastAsia="FangSong" w:cs="Times New Roman"/>
          <w:kern w:val="0"/>
          <w:szCs w:val="24"/>
          <w:lang w:val="en-GB" w:bidi="ar"/>
        </w:rPr>
        <w:fldChar w:fldCharType="separate"/>
      </w:r>
      <w:r w:rsidR="00F02A37" w:rsidRPr="00F02A37">
        <w:rPr>
          <w:rFonts w:cs="Times New Roman"/>
        </w:rPr>
        <w:t>(Gong et al., 2016)</w:t>
      </w:r>
      <w:r w:rsidRPr="00E66EAB">
        <w:rPr>
          <w:rFonts w:eastAsia="FangSong" w:cs="Times New Roman"/>
          <w:kern w:val="0"/>
          <w:szCs w:val="24"/>
          <w:lang w:val="en-GB" w:bidi="ar"/>
        </w:rPr>
        <w:fldChar w:fldCharType="end"/>
      </w:r>
      <w:r w:rsidRPr="00E66EAB">
        <w:rPr>
          <w:rFonts w:eastAsia="FangSong" w:cs="Times New Roman"/>
          <w:kern w:val="0"/>
          <w:szCs w:val="24"/>
          <w:lang w:val="en-GB"/>
        </w:rPr>
        <w:t>. We washed each insect 1</w:t>
      </w:r>
      <w:r w:rsidRPr="00E66EAB">
        <w:rPr>
          <w:rFonts w:eastAsia="FangSong" w:cs="Times New Roman"/>
          <w:szCs w:val="24"/>
          <w:lang w:val="en-GB"/>
        </w:rPr>
        <w:t>–</w:t>
      </w:r>
      <w:r w:rsidRPr="00E66EAB">
        <w:rPr>
          <w:rFonts w:eastAsia="FangSong" w:cs="Times New Roman"/>
          <w:kern w:val="0"/>
          <w:szCs w:val="24"/>
          <w:lang w:val="en-GB"/>
        </w:rPr>
        <w:t xml:space="preserve">10 times to ensure all pollen grains were removed. The pollen suspension was then placed into 2 mL tubes, which were then centrifuged for 2 min, until all the pollen was deposited on the bottom. The supernatant was discarded and </w:t>
      </w:r>
      <w:bookmarkStart w:id="12" w:name="_Hlk56867365"/>
      <w:r w:rsidRPr="00E66EAB">
        <w:rPr>
          <w:rFonts w:eastAsia="FangSong" w:cs="Times New Roman"/>
          <w:kern w:val="0"/>
          <w:szCs w:val="24"/>
          <w:lang w:val="en-GB"/>
        </w:rPr>
        <w:t>Alexander’s solution</w:t>
      </w:r>
      <w:bookmarkEnd w:id="12"/>
      <w:r w:rsidRPr="00E66EAB">
        <w:rPr>
          <w:rFonts w:eastAsia="FangSong" w:cs="Times New Roman"/>
          <w:kern w:val="0"/>
          <w:szCs w:val="24"/>
          <w:lang w:val="en-GB"/>
        </w:rPr>
        <w:t xml:space="preserve"> was added to the centrifuge tube. The solution was mixed with a vortex oscillator for 30 s, removed with a pipette, dropped on a slide, and then examined under a microscope for identification and counting of pollen grains.</w:t>
      </w:r>
      <w:r>
        <w:rPr>
          <w:rFonts w:eastAsia="FangSong" w:cs="Times New Roman"/>
          <w:kern w:val="0"/>
          <w:szCs w:val="24"/>
          <w:lang w:val="en-GB"/>
        </w:rPr>
        <w:t xml:space="preserve"> </w:t>
      </w:r>
      <w:r w:rsidRPr="0064427E">
        <w:rPr>
          <w:rFonts w:eastAsia="FangSong" w:cs="Times New Roman"/>
          <w:szCs w:val="24"/>
          <w:lang w:val="en-GB"/>
        </w:rPr>
        <w:t>We established the presence of five pollen grains from a given plant species in our pollen counts as proof of visitation to that species (Knop et al.</w:t>
      </w:r>
      <w:r>
        <w:rPr>
          <w:rFonts w:eastAsia="FangSong" w:cs="Times New Roman"/>
          <w:szCs w:val="24"/>
          <w:lang w:val="en-GB"/>
        </w:rPr>
        <w:t>,</w:t>
      </w:r>
      <w:r w:rsidRPr="0064427E">
        <w:rPr>
          <w:rFonts w:eastAsia="FangSong" w:cs="Times New Roman"/>
          <w:szCs w:val="24"/>
          <w:lang w:val="en-GB"/>
        </w:rPr>
        <w:t xml:space="preserve"> 2017). Although we did not record the timing of pollen deposited on the insect body, we assumed that the diurnal and nocturnal activity of those insects meant that they were likely to spread pollen to plants in both periods.</w:t>
      </w:r>
    </w:p>
    <w:p w14:paraId="4EDB0DF6" w14:textId="77777777" w:rsidR="004626F1" w:rsidRPr="00400F54" w:rsidRDefault="004626F1" w:rsidP="00455753">
      <w:pPr>
        <w:widowControl/>
        <w:spacing w:line="360" w:lineRule="auto"/>
        <w:rPr>
          <w:kern w:val="0"/>
          <w:lang w:val="en-GB"/>
        </w:rPr>
      </w:pPr>
    </w:p>
    <w:p w14:paraId="24104030" w14:textId="4B70AF5B" w:rsidR="00B629C8" w:rsidRPr="00B629C8" w:rsidRDefault="004626F1" w:rsidP="00455753">
      <w:pPr>
        <w:widowControl/>
        <w:spacing w:line="360" w:lineRule="auto"/>
        <w:rPr>
          <w:b/>
          <w:kern w:val="0"/>
          <w:lang w:val="en-GB"/>
        </w:rPr>
      </w:pPr>
      <w:r>
        <w:rPr>
          <w:rFonts w:hint="eastAsia"/>
          <w:b/>
          <w:kern w:val="0"/>
          <w:lang w:val="en-GB"/>
        </w:rPr>
        <w:t>References</w:t>
      </w:r>
    </w:p>
    <w:p w14:paraId="3220FBB9" w14:textId="2C932572" w:rsidR="004626F1" w:rsidRPr="00BA04C2" w:rsidRDefault="004626F1" w:rsidP="00455753">
      <w:pPr>
        <w:pStyle w:val="a7"/>
        <w:spacing w:line="360" w:lineRule="auto"/>
      </w:pPr>
      <w:r>
        <w:t>Devoto, M., Bailey, S., Memmott, J., 2011. The ‘night shift’: nocturnal pollen-transport networks in a boreal pine forest. Ecological Entomology 36, 25–35. https://doi.org/10.1111/j.1365-2311.2010.01247.x.</w:t>
      </w:r>
    </w:p>
    <w:p w14:paraId="07F02851" w14:textId="77777777" w:rsidR="00F02A37" w:rsidRPr="00F02A37" w:rsidRDefault="004626F1" w:rsidP="00F02A37">
      <w:pPr>
        <w:pStyle w:val="a7"/>
        <w:rPr>
          <w:rFonts w:cs="Times New Roman"/>
        </w:rPr>
      </w:pPr>
      <w:r>
        <w:rPr>
          <w:b/>
          <w:lang w:val="en-GB"/>
        </w:rPr>
        <w:fldChar w:fldCharType="begin"/>
      </w:r>
      <w:r w:rsidR="00F02A37">
        <w:rPr>
          <w:b/>
          <w:lang w:val="en-GB"/>
        </w:rPr>
        <w:instrText xml:space="preserve"> ADDIN ZOTERO_BIBL {"uncited":[],"omitted":[],"custom":[]} CSL_BIBLIOGRAPHY </w:instrText>
      </w:r>
      <w:r>
        <w:rPr>
          <w:b/>
          <w:lang w:val="en-GB"/>
        </w:rPr>
        <w:fldChar w:fldCharType="separate"/>
      </w:r>
      <w:r w:rsidR="00F02A37" w:rsidRPr="00F02A37">
        <w:rPr>
          <w:rFonts w:cs="Times New Roman"/>
        </w:rPr>
        <w:t xml:space="preserve">CaraDonna, P. J., Petry, W. K., Brennan, R. M., Cunningham, J. L., Bronstein, J. L., Waser, N. M., et al. (2017). Interaction rewiring and the rapid turnover of plant–pollinator networks. </w:t>
      </w:r>
      <w:r w:rsidR="00F02A37" w:rsidRPr="00F02A37">
        <w:rPr>
          <w:rFonts w:cs="Times New Roman"/>
          <w:i/>
          <w:iCs/>
        </w:rPr>
        <w:t>Ecol Lett</w:t>
      </w:r>
      <w:r w:rsidR="00F02A37" w:rsidRPr="00F02A37">
        <w:rPr>
          <w:rFonts w:cs="Times New Roman"/>
        </w:rPr>
        <w:t xml:space="preserve"> 20, 385–394. doi: 10.1111/ele.12740</w:t>
      </w:r>
    </w:p>
    <w:p w14:paraId="23476340" w14:textId="77777777" w:rsidR="00F02A37" w:rsidRPr="00F02A37" w:rsidRDefault="00F02A37" w:rsidP="00F02A37">
      <w:pPr>
        <w:pStyle w:val="a7"/>
        <w:rPr>
          <w:rFonts w:cs="Times New Roman"/>
        </w:rPr>
      </w:pPr>
      <w:r w:rsidRPr="00F02A37">
        <w:rPr>
          <w:rFonts w:cs="Times New Roman"/>
        </w:rPr>
        <w:lastRenderedPageBreak/>
        <w:t xml:space="preserve">Gong, Y.-B., Yang, M., Vamosi, J. C., Yang, H.-M., Mu, W.-X., Li, J.-K., et al. (2016). Wind or insect pollination? Ambophily in a subtropical gymnosperm </w:t>
      </w:r>
      <w:r w:rsidRPr="00F02A37">
        <w:rPr>
          <w:rFonts w:cs="Times New Roman"/>
          <w:i/>
          <w:iCs/>
        </w:rPr>
        <w:t>Gnetum parvifolium</w:t>
      </w:r>
      <w:r w:rsidRPr="00F02A37">
        <w:rPr>
          <w:rFonts w:cs="Times New Roman"/>
        </w:rPr>
        <w:t xml:space="preserve"> (Gnetales): Ambophily in </w:t>
      </w:r>
      <w:r w:rsidRPr="00F02A37">
        <w:rPr>
          <w:rFonts w:cs="Times New Roman"/>
          <w:i/>
          <w:iCs/>
        </w:rPr>
        <w:t>Gnetum</w:t>
      </w:r>
      <w:r w:rsidRPr="00F02A37">
        <w:rPr>
          <w:rFonts w:cs="Times New Roman"/>
        </w:rPr>
        <w:t xml:space="preserve">. </w:t>
      </w:r>
      <w:r w:rsidRPr="00F02A37">
        <w:rPr>
          <w:rFonts w:cs="Times New Roman"/>
          <w:i/>
          <w:iCs/>
        </w:rPr>
        <w:t>Plant Species Biol.</w:t>
      </w:r>
      <w:r w:rsidRPr="00F02A37">
        <w:rPr>
          <w:rFonts w:cs="Times New Roman"/>
        </w:rPr>
        <w:t xml:space="preserve"> 31, 272–279. doi: 10.1111/1442-1984.12112</w:t>
      </w:r>
    </w:p>
    <w:p w14:paraId="3F5F07E0" w14:textId="04B74E18" w:rsidR="004626F1" w:rsidRDefault="004626F1" w:rsidP="00455753">
      <w:pPr>
        <w:pStyle w:val="a7"/>
        <w:spacing w:line="360" w:lineRule="auto"/>
      </w:pPr>
      <w:r>
        <w:rPr>
          <w:b/>
          <w:kern w:val="0"/>
          <w:lang w:val="en-GB"/>
        </w:rPr>
        <w:fldChar w:fldCharType="end"/>
      </w:r>
      <w:r w:rsidRPr="00BB2BFF">
        <w:t xml:space="preserve"> </w:t>
      </w:r>
      <w:r>
        <w:t>Knop, E., Zoller, L., Ryser, R., Gerpe, C., Hörler, M., Fontaine, C., 2017. Artificial light at night as a new threat to pollination. Nature 548, 206–209. https://doi.org/10.1038/nature23288</w:t>
      </w:r>
    </w:p>
    <w:p w14:paraId="230C5D48" w14:textId="05FB382B" w:rsidR="009A63E3" w:rsidRPr="009A63E3" w:rsidRDefault="00014C98" w:rsidP="00014C98">
      <w:r w:rsidRPr="009A63E3">
        <w:t xml:space="preserve"> </w:t>
      </w:r>
    </w:p>
    <w:sectPr w:rsidR="009A63E3" w:rsidRPr="009A63E3" w:rsidSect="00CF1265">
      <w:footerReference w:type="default" r:id="rId6"/>
      <w:pgSz w:w="11906" w:h="16838" w:code="9"/>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F95F" w14:textId="77777777" w:rsidR="00CF475C" w:rsidRDefault="00CF475C" w:rsidP="004626F1">
      <w:r>
        <w:separator/>
      </w:r>
    </w:p>
  </w:endnote>
  <w:endnote w:type="continuationSeparator" w:id="0">
    <w:p w14:paraId="5B11B575" w14:textId="77777777" w:rsidR="00CF475C" w:rsidRDefault="00CF475C" w:rsidP="0046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475974"/>
      <w:docPartObj>
        <w:docPartGallery w:val="Page Numbers (Bottom of Page)"/>
        <w:docPartUnique/>
      </w:docPartObj>
    </w:sdtPr>
    <w:sdtEndPr>
      <w:rPr>
        <w:noProof/>
      </w:rPr>
    </w:sdtEndPr>
    <w:sdtContent>
      <w:p w14:paraId="038E7784" w14:textId="77777777" w:rsidR="000D14EA" w:rsidRDefault="000D14EA">
        <w:pPr>
          <w:pStyle w:val="a5"/>
          <w:jc w:val="center"/>
        </w:pPr>
        <w:r>
          <w:fldChar w:fldCharType="begin"/>
        </w:r>
        <w:r>
          <w:instrText xml:space="preserve"> PAGE   \* MERGEFORMAT </w:instrText>
        </w:r>
        <w:r>
          <w:fldChar w:fldCharType="separate"/>
        </w:r>
        <w:r>
          <w:rPr>
            <w:noProof/>
          </w:rPr>
          <w:t>37</w:t>
        </w:r>
        <w:r>
          <w:rPr>
            <w:noProof/>
          </w:rPr>
          <w:fldChar w:fldCharType="end"/>
        </w:r>
      </w:p>
    </w:sdtContent>
  </w:sdt>
  <w:p w14:paraId="0B8BA905" w14:textId="77777777" w:rsidR="000D14EA" w:rsidRDefault="000D1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53A23" w14:textId="77777777" w:rsidR="00CF475C" w:rsidRDefault="00CF475C" w:rsidP="004626F1">
      <w:r>
        <w:separator/>
      </w:r>
    </w:p>
  </w:footnote>
  <w:footnote w:type="continuationSeparator" w:id="0">
    <w:p w14:paraId="4532B570" w14:textId="77777777" w:rsidR="00CF475C" w:rsidRDefault="00CF475C" w:rsidP="00462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FB"/>
    <w:rsid w:val="00012E69"/>
    <w:rsid w:val="00014C98"/>
    <w:rsid w:val="000306FC"/>
    <w:rsid w:val="000518B8"/>
    <w:rsid w:val="00052E02"/>
    <w:rsid w:val="000A2AA7"/>
    <w:rsid w:val="000A4686"/>
    <w:rsid w:val="000D14EA"/>
    <w:rsid w:val="00124C78"/>
    <w:rsid w:val="001C7D17"/>
    <w:rsid w:val="001E67E7"/>
    <w:rsid w:val="00206FDE"/>
    <w:rsid w:val="002C3DE4"/>
    <w:rsid w:val="00455753"/>
    <w:rsid w:val="004626F1"/>
    <w:rsid w:val="005372CA"/>
    <w:rsid w:val="00564F3E"/>
    <w:rsid w:val="00565564"/>
    <w:rsid w:val="00585F43"/>
    <w:rsid w:val="00612582"/>
    <w:rsid w:val="00681B1B"/>
    <w:rsid w:val="00711C02"/>
    <w:rsid w:val="007578FB"/>
    <w:rsid w:val="0078755B"/>
    <w:rsid w:val="007C281B"/>
    <w:rsid w:val="00846A70"/>
    <w:rsid w:val="00864369"/>
    <w:rsid w:val="008A1A4E"/>
    <w:rsid w:val="008A6952"/>
    <w:rsid w:val="008C6C4E"/>
    <w:rsid w:val="008E5922"/>
    <w:rsid w:val="009A63E3"/>
    <w:rsid w:val="00A00ACF"/>
    <w:rsid w:val="00A96588"/>
    <w:rsid w:val="00AD0378"/>
    <w:rsid w:val="00AE5A8F"/>
    <w:rsid w:val="00B629C8"/>
    <w:rsid w:val="00B96EA5"/>
    <w:rsid w:val="00BA7897"/>
    <w:rsid w:val="00BB1B09"/>
    <w:rsid w:val="00C02C48"/>
    <w:rsid w:val="00CD3BA1"/>
    <w:rsid w:val="00CE3F39"/>
    <w:rsid w:val="00CF1265"/>
    <w:rsid w:val="00CF475C"/>
    <w:rsid w:val="00D20372"/>
    <w:rsid w:val="00D3266E"/>
    <w:rsid w:val="00D4447A"/>
    <w:rsid w:val="00D73766"/>
    <w:rsid w:val="00DA26A3"/>
    <w:rsid w:val="00E11DE6"/>
    <w:rsid w:val="00E375EE"/>
    <w:rsid w:val="00F02A37"/>
    <w:rsid w:val="00FC38B5"/>
    <w:rsid w:val="00FD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4E80"/>
  <w15:chartTrackingRefBased/>
  <w15:docId w15:val="{513DC11E-5E20-4A61-9D99-4A0E1D36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heme="minorBidi"/>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26F1"/>
    <w:rPr>
      <w:sz w:val="18"/>
      <w:szCs w:val="18"/>
    </w:rPr>
  </w:style>
  <w:style w:type="paragraph" w:styleId="a5">
    <w:name w:val="footer"/>
    <w:basedOn w:val="a"/>
    <w:link w:val="a6"/>
    <w:uiPriority w:val="99"/>
    <w:unhideWhenUsed/>
    <w:rsid w:val="004626F1"/>
    <w:pPr>
      <w:tabs>
        <w:tab w:val="center" w:pos="4153"/>
        <w:tab w:val="right" w:pos="8306"/>
      </w:tabs>
      <w:snapToGrid w:val="0"/>
      <w:jc w:val="left"/>
    </w:pPr>
    <w:rPr>
      <w:sz w:val="18"/>
      <w:szCs w:val="18"/>
    </w:rPr>
  </w:style>
  <w:style w:type="character" w:customStyle="1" w:styleId="a6">
    <w:name w:val="页脚 字符"/>
    <w:basedOn w:val="a0"/>
    <w:link w:val="a5"/>
    <w:uiPriority w:val="99"/>
    <w:rsid w:val="004626F1"/>
    <w:rPr>
      <w:sz w:val="18"/>
      <w:szCs w:val="18"/>
    </w:rPr>
  </w:style>
  <w:style w:type="paragraph" w:styleId="a7">
    <w:name w:val="Bibliography"/>
    <w:basedOn w:val="a"/>
    <w:next w:val="a"/>
    <w:uiPriority w:val="37"/>
    <w:unhideWhenUsed/>
    <w:rsid w:val="004626F1"/>
    <w:pPr>
      <w:spacing w:after="240"/>
      <w:ind w:left="720" w:hanging="720"/>
    </w:pPr>
  </w:style>
  <w:style w:type="table" w:styleId="a8">
    <w:name w:val="Table Grid"/>
    <w:basedOn w:val="a1"/>
    <w:uiPriority w:val="39"/>
    <w:rsid w:val="00DA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CF1265"/>
  </w:style>
  <w:style w:type="table" w:customStyle="1" w:styleId="1">
    <w:name w:val="网格型1"/>
    <w:basedOn w:val="a1"/>
    <w:next w:val="a8"/>
    <w:uiPriority w:val="39"/>
    <w:rsid w:val="001C7D17"/>
    <w:rPr>
      <w:rFonts w:eastAsia="FangS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8233">
      <w:bodyDiv w:val="1"/>
      <w:marLeft w:val="0"/>
      <w:marRight w:val="0"/>
      <w:marTop w:val="0"/>
      <w:marBottom w:val="0"/>
      <w:divBdr>
        <w:top w:val="none" w:sz="0" w:space="0" w:color="auto"/>
        <w:left w:val="none" w:sz="0" w:space="0" w:color="auto"/>
        <w:bottom w:val="none" w:sz="0" w:space="0" w:color="auto"/>
        <w:right w:val="none" w:sz="0" w:space="0" w:color="auto"/>
      </w:divBdr>
    </w:div>
    <w:div w:id="1023239213">
      <w:bodyDiv w:val="1"/>
      <w:marLeft w:val="0"/>
      <w:marRight w:val="0"/>
      <w:marTop w:val="0"/>
      <w:marBottom w:val="0"/>
      <w:divBdr>
        <w:top w:val="none" w:sz="0" w:space="0" w:color="auto"/>
        <w:left w:val="none" w:sz="0" w:space="0" w:color="auto"/>
        <w:bottom w:val="none" w:sz="0" w:space="0" w:color="auto"/>
        <w:right w:val="none" w:sz="0" w:space="0" w:color="auto"/>
      </w:divBdr>
    </w:div>
    <w:div w:id="16698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Teng</dc:creator>
  <cp:keywords/>
  <dc:description/>
  <cp:lastModifiedBy>Yue Teng</cp:lastModifiedBy>
  <cp:revision>4</cp:revision>
  <dcterms:created xsi:type="dcterms:W3CDTF">2024-08-21T07:34:00Z</dcterms:created>
  <dcterms:modified xsi:type="dcterms:W3CDTF">2024-08-26T09:08:00Z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id="FPrBS7r9"/&gt;&lt;style id="http://www.zotero.org/styles/frontiers-in-plant-science" hasBibliography="1" bibliographyStyleHasBeenSet="1"/&gt;&lt;prefs&gt;&lt;pref name="fieldType" value="Field"/&gt;&lt;/prefs&gt;&lt;/data&gt;</vt:lpwstr>
  </property>
</Properties>
</file>