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30230" w14:textId="1636C558" w:rsidR="007A6861" w:rsidRPr="00DF484E" w:rsidRDefault="008F3C0D" w:rsidP="0044435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DF484E">
        <w:rPr>
          <w:rFonts w:ascii="Arial" w:hAnsi="Arial" w:cs="Arial"/>
          <w:b/>
          <w:bCs/>
          <w:sz w:val="24"/>
          <w:szCs w:val="24"/>
          <w:lang w:val="en-US"/>
        </w:rPr>
        <w:t>Supplementary</w:t>
      </w:r>
      <w:r w:rsidR="00B95FF9" w:rsidRPr="00DF484E">
        <w:rPr>
          <w:rFonts w:ascii="Arial" w:hAnsi="Arial" w:cs="Arial"/>
          <w:b/>
          <w:bCs/>
          <w:sz w:val="24"/>
          <w:szCs w:val="24"/>
          <w:lang w:val="en-US"/>
        </w:rPr>
        <w:t xml:space="preserve"> 1</w:t>
      </w:r>
    </w:p>
    <w:p w14:paraId="01FA35EC" w14:textId="2754FC62" w:rsidR="0013355F" w:rsidRPr="00DF484E" w:rsidRDefault="00C91CEA" w:rsidP="0044435F">
      <w:pPr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  <w:r w:rsidRPr="00DF484E">
        <w:rPr>
          <w:rFonts w:ascii="Arial" w:hAnsi="Arial" w:cs="Arial"/>
          <w:sz w:val="20"/>
          <w:szCs w:val="20"/>
        </w:rPr>
        <w:t>Definition of Covariate</w:t>
      </w:r>
    </w:p>
    <w:p w14:paraId="0EF92A6B" w14:textId="3F6E3529" w:rsidR="0044435F" w:rsidRPr="003135B7" w:rsidRDefault="0044435F" w:rsidP="0044435F">
      <w:p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b/>
          <w:bCs/>
          <w:sz w:val="20"/>
          <w:szCs w:val="20"/>
          <w:lang w:val="en-US"/>
        </w:rPr>
        <w:t>Body Mass Index (BMI) Categories</w:t>
      </w:r>
      <w:r w:rsidRPr="003135B7">
        <w:rPr>
          <w:rFonts w:ascii="Arial" w:hAnsi="Arial" w:cs="Arial"/>
          <w:sz w:val="20"/>
          <w:szCs w:val="20"/>
          <w:lang w:val="en-US"/>
        </w:rPr>
        <w:t>:</w:t>
      </w:r>
    </w:p>
    <w:p w14:paraId="4497C82F" w14:textId="725E8212" w:rsidR="0044435F" w:rsidRPr="003135B7" w:rsidRDefault="0044435F" w:rsidP="0044435F">
      <w:p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BMI was calculated as weight in kilograms divided by the square of height in meters (kg/m²). Categories were defined according to the World Health Organization (WHO) criteria:</w:t>
      </w:r>
    </w:p>
    <w:p w14:paraId="0DE792D6" w14:textId="7E545A39" w:rsidR="0044435F" w:rsidRPr="003135B7" w:rsidRDefault="0044435F" w:rsidP="0044435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Underweight: BMI &lt; 18.5 kg/m²</w:t>
      </w:r>
    </w:p>
    <w:p w14:paraId="07F8D477" w14:textId="1DD06F36" w:rsidR="0044435F" w:rsidRPr="003135B7" w:rsidRDefault="0044435F" w:rsidP="0044435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Normal weight: BMI 18.5–24.9 kg/m²</w:t>
      </w:r>
    </w:p>
    <w:p w14:paraId="6FFB9FF6" w14:textId="1EFAA8EF" w:rsidR="0044435F" w:rsidRPr="003135B7" w:rsidRDefault="0044435F" w:rsidP="0044435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Overweight: BMI 25.0–29.9 kg/m²</w:t>
      </w:r>
    </w:p>
    <w:p w14:paraId="23348C31" w14:textId="5800A9B0" w:rsidR="0044435F" w:rsidRPr="003135B7" w:rsidRDefault="0044435F" w:rsidP="0044435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Obesity: BMI ≥ 30 kg/m²</w:t>
      </w:r>
    </w:p>
    <w:p w14:paraId="31F2F5F7" w14:textId="77777777" w:rsidR="0044435F" w:rsidRPr="003135B7" w:rsidRDefault="0044435F" w:rsidP="0044435F">
      <w:pPr>
        <w:rPr>
          <w:rFonts w:ascii="Arial" w:hAnsi="Arial" w:cs="Arial"/>
          <w:sz w:val="20"/>
          <w:szCs w:val="20"/>
          <w:lang w:val="en-US"/>
        </w:rPr>
      </w:pPr>
    </w:p>
    <w:p w14:paraId="50D2C71E" w14:textId="77777777" w:rsidR="0044435F" w:rsidRPr="003135B7" w:rsidRDefault="0044435F" w:rsidP="0044435F">
      <w:p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b/>
          <w:bCs/>
          <w:sz w:val="20"/>
          <w:szCs w:val="20"/>
          <w:lang w:val="en-US"/>
        </w:rPr>
        <w:t>Ethnicity Classification</w:t>
      </w:r>
      <w:r w:rsidRPr="003135B7">
        <w:rPr>
          <w:rFonts w:ascii="Arial" w:hAnsi="Arial" w:cs="Arial"/>
          <w:sz w:val="20"/>
          <w:szCs w:val="20"/>
          <w:lang w:val="en-US"/>
        </w:rPr>
        <w:t>:</w:t>
      </w:r>
    </w:p>
    <w:p w14:paraId="0E8D9FBB" w14:textId="00F34EC8" w:rsidR="0044435F" w:rsidRPr="003135B7" w:rsidRDefault="0044435F" w:rsidP="0044435F">
      <w:p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Participants self-reported their ethnicity, which was categorized into three main groups for analysis:</w:t>
      </w:r>
    </w:p>
    <w:p w14:paraId="6A3594FC" w14:textId="659A1D9E" w:rsidR="0044435F" w:rsidRPr="003135B7" w:rsidRDefault="0044435F" w:rsidP="0044435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British Caucasian</w:t>
      </w:r>
    </w:p>
    <w:p w14:paraId="24A16F66" w14:textId="5C5D7576" w:rsidR="0044435F" w:rsidRPr="003135B7" w:rsidRDefault="0044435F" w:rsidP="0044435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Asian (including any sub-groups identified by participants)</w:t>
      </w:r>
    </w:p>
    <w:p w14:paraId="603B6C73" w14:textId="75B201B9" w:rsidR="0044435F" w:rsidRPr="003135B7" w:rsidRDefault="0044435F" w:rsidP="0044435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Other (encompassing any ethnicities not classified as British Caucasian or Asian)</w:t>
      </w:r>
    </w:p>
    <w:p w14:paraId="62BC7428" w14:textId="77777777" w:rsidR="0044435F" w:rsidRPr="003135B7" w:rsidRDefault="0044435F" w:rsidP="0044435F">
      <w:pPr>
        <w:rPr>
          <w:rFonts w:ascii="Arial" w:hAnsi="Arial" w:cs="Arial"/>
          <w:sz w:val="20"/>
          <w:szCs w:val="20"/>
          <w:lang w:val="en-US"/>
        </w:rPr>
      </w:pPr>
    </w:p>
    <w:p w14:paraId="72C11073" w14:textId="77777777" w:rsidR="0044435F" w:rsidRPr="003135B7" w:rsidRDefault="0044435F" w:rsidP="0044435F">
      <w:p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b/>
          <w:bCs/>
          <w:sz w:val="20"/>
          <w:szCs w:val="20"/>
          <w:lang w:val="en-US"/>
        </w:rPr>
        <w:t>Annual Household Income Brackets</w:t>
      </w:r>
      <w:r w:rsidRPr="003135B7">
        <w:rPr>
          <w:rFonts w:ascii="Arial" w:hAnsi="Arial" w:cs="Arial"/>
          <w:sz w:val="20"/>
          <w:szCs w:val="20"/>
          <w:lang w:val="en-US"/>
        </w:rPr>
        <w:t>:</w:t>
      </w:r>
    </w:p>
    <w:p w14:paraId="0144B151" w14:textId="2A6497CF" w:rsidR="0044435F" w:rsidRPr="003135B7" w:rsidRDefault="0044435F" w:rsidP="0044435F">
      <w:p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Income levels were self-reported, with participants selecting the bracket that best described their annual household income before taxes:</w:t>
      </w:r>
    </w:p>
    <w:p w14:paraId="4353179D" w14:textId="13E9FB60" w:rsidR="0044435F" w:rsidRPr="003135B7" w:rsidRDefault="0044435F" w:rsidP="0044435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Level 1: &lt;£18,000</w:t>
      </w:r>
    </w:p>
    <w:p w14:paraId="65BDBBCC" w14:textId="7063B283" w:rsidR="0044435F" w:rsidRPr="003135B7" w:rsidRDefault="0044435F" w:rsidP="0044435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Level 2: £18,000–£30,999</w:t>
      </w:r>
    </w:p>
    <w:p w14:paraId="3ADA7DA4" w14:textId="57CBFE73" w:rsidR="0044435F" w:rsidRPr="003135B7" w:rsidRDefault="0044435F" w:rsidP="0044435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Level 3: £31,000–£51,999</w:t>
      </w:r>
    </w:p>
    <w:p w14:paraId="6B12D212" w14:textId="609AD090" w:rsidR="0044435F" w:rsidRPr="003135B7" w:rsidRDefault="0044435F" w:rsidP="0044435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Level 4: &gt;£52,000</w:t>
      </w:r>
    </w:p>
    <w:p w14:paraId="4C11E00B" w14:textId="77777777" w:rsidR="0044435F" w:rsidRPr="003135B7" w:rsidRDefault="0044435F" w:rsidP="0044435F">
      <w:pPr>
        <w:rPr>
          <w:rFonts w:ascii="Arial" w:hAnsi="Arial" w:cs="Arial"/>
          <w:sz w:val="20"/>
          <w:szCs w:val="20"/>
          <w:lang w:val="en-US"/>
        </w:rPr>
      </w:pPr>
    </w:p>
    <w:p w14:paraId="64CCE83A" w14:textId="77777777" w:rsidR="0044435F" w:rsidRPr="003135B7" w:rsidRDefault="0044435F" w:rsidP="0044435F">
      <w:p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b/>
          <w:bCs/>
          <w:sz w:val="20"/>
          <w:szCs w:val="20"/>
          <w:lang w:val="en-US"/>
        </w:rPr>
        <w:t>Townsend Deprivation Index</w:t>
      </w:r>
      <w:r w:rsidRPr="003135B7">
        <w:rPr>
          <w:rFonts w:ascii="Arial" w:hAnsi="Arial" w:cs="Arial"/>
          <w:sz w:val="20"/>
          <w:szCs w:val="20"/>
          <w:lang w:val="en-US"/>
        </w:rPr>
        <w:t>:</w:t>
      </w:r>
    </w:p>
    <w:p w14:paraId="29699DA7" w14:textId="70209E3D" w:rsidR="0044435F" w:rsidRPr="003135B7" w:rsidRDefault="0044435F" w:rsidP="0044435F">
      <w:p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This index measures deprivation at the area level, considering unemployment, non-car ownership, non-home ownership, and household overcrowding. Scores were divided into quartiles, with a higher quartile indicating greater deprivation.</w:t>
      </w:r>
    </w:p>
    <w:p w14:paraId="4F845515" w14:textId="77777777" w:rsidR="004C2B88" w:rsidRPr="003135B7" w:rsidRDefault="004C2B88" w:rsidP="0044435F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3D1E17D" w14:textId="2B1E969A" w:rsidR="0044435F" w:rsidRPr="003135B7" w:rsidRDefault="0044435F" w:rsidP="0044435F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3135B7">
        <w:rPr>
          <w:rFonts w:ascii="Arial" w:hAnsi="Arial" w:cs="Arial"/>
          <w:b/>
          <w:bCs/>
          <w:sz w:val="20"/>
          <w:szCs w:val="20"/>
          <w:lang w:val="en-US"/>
        </w:rPr>
        <w:t>Smoking Status</w:t>
      </w:r>
      <w:r w:rsidRPr="003135B7">
        <w:rPr>
          <w:rFonts w:ascii="Arial" w:hAnsi="Arial" w:cs="Arial"/>
          <w:sz w:val="20"/>
          <w:szCs w:val="20"/>
          <w:lang w:val="en-US"/>
        </w:rPr>
        <w:t>:</w:t>
      </w:r>
    </w:p>
    <w:p w14:paraId="49999BA5" w14:textId="26BBB4D9" w:rsidR="0044435F" w:rsidRPr="003135B7" w:rsidRDefault="0044435F" w:rsidP="0044435F">
      <w:p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Participants were categorized based on their current smoking behavior:</w:t>
      </w:r>
    </w:p>
    <w:p w14:paraId="24F4D572" w14:textId="3939DBD6" w:rsidR="0044435F" w:rsidRPr="003135B7" w:rsidRDefault="0044435F" w:rsidP="0044435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Never smoker</w:t>
      </w:r>
    </w:p>
    <w:p w14:paraId="5FAD3B59" w14:textId="08FB8876" w:rsidR="0044435F" w:rsidRPr="003135B7" w:rsidRDefault="0044435F" w:rsidP="0044435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Former smoker (having quit smoking at the time of assessment)</w:t>
      </w:r>
    </w:p>
    <w:p w14:paraId="13CAA35F" w14:textId="7DA1B8B7" w:rsidR="0044435F" w:rsidRPr="003135B7" w:rsidRDefault="0044435F" w:rsidP="0044435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Current smoker</w:t>
      </w:r>
    </w:p>
    <w:p w14:paraId="5FEA256A" w14:textId="77777777" w:rsidR="0044435F" w:rsidRPr="003135B7" w:rsidRDefault="0044435F" w:rsidP="0044435F">
      <w:pPr>
        <w:rPr>
          <w:rFonts w:ascii="Arial" w:hAnsi="Arial" w:cs="Arial"/>
          <w:sz w:val="20"/>
          <w:szCs w:val="20"/>
          <w:lang w:val="en-US"/>
        </w:rPr>
      </w:pPr>
    </w:p>
    <w:p w14:paraId="65CB0AF6" w14:textId="77777777" w:rsidR="002C444D" w:rsidRDefault="002C444D" w:rsidP="0044435F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7432A9B" w14:textId="77777777" w:rsidR="002C444D" w:rsidRDefault="002C444D" w:rsidP="0044435F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173A686" w14:textId="77777777" w:rsidR="002C444D" w:rsidRDefault="002C444D" w:rsidP="0044435F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40C626F" w14:textId="77777777" w:rsidR="002C444D" w:rsidRDefault="002C444D" w:rsidP="0044435F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4AA2C4D" w14:textId="1CC81CFA" w:rsidR="0044435F" w:rsidRPr="003135B7" w:rsidRDefault="0044435F" w:rsidP="0044435F">
      <w:p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Alcohol Intake Frequency</w:t>
      </w:r>
      <w:r w:rsidRPr="003135B7">
        <w:rPr>
          <w:rFonts w:ascii="Arial" w:hAnsi="Arial" w:cs="Arial"/>
          <w:sz w:val="20"/>
          <w:szCs w:val="20"/>
          <w:lang w:val="en-US"/>
        </w:rPr>
        <w:t>:</w:t>
      </w:r>
    </w:p>
    <w:p w14:paraId="5D7A1248" w14:textId="3941AA9E" w:rsidR="0044435F" w:rsidRPr="003135B7" w:rsidRDefault="0044435F" w:rsidP="0044435F">
      <w:p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Self-reported frequency of alcohol consumption was categorized as follows:</w:t>
      </w:r>
    </w:p>
    <w:p w14:paraId="2F1C4393" w14:textId="423705BB" w:rsidR="0044435F" w:rsidRPr="003135B7" w:rsidRDefault="0044435F" w:rsidP="0044435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Daily or almost daily</w:t>
      </w:r>
    </w:p>
    <w:p w14:paraId="6A593C0F" w14:textId="362719AA" w:rsidR="0044435F" w:rsidRPr="003135B7" w:rsidRDefault="0044435F" w:rsidP="0044435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3–4 times per week</w:t>
      </w:r>
    </w:p>
    <w:p w14:paraId="7C620D99" w14:textId="4E32575F" w:rsidR="0044435F" w:rsidRPr="003135B7" w:rsidRDefault="0044435F" w:rsidP="0044435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1–2 times per week</w:t>
      </w:r>
    </w:p>
    <w:p w14:paraId="58B093FA" w14:textId="5ADF748F" w:rsidR="0044435F" w:rsidRPr="003135B7" w:rsidRDefault="0044435F" w:rsidP="0044435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Occasional (less than once a week)</w:t>
      </w:r>
    </w:p>
    <w:p w14:paraId="0929BF28" w14:textId="4931FFCB" w:rsidR="0044435F" w:rsidRPr="003135B7" w:rsidRDefault="0044435F" w:rsidP="0044435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Never</w:t>
      </w:r>
    </w:p>
    <w:p w14:paraId="21971323" w14:textId="77777777" w:rsidR="0044435F" w:rsidRPr="003135B7" w:rsidRDefault="0044435F" w:rsidP="0044435F">
      <w:pPr>
        <w:rPr>
          <w:rFonts w:ascii="Arial" w:hAnsi="Arial" w:cs="Arial"/>
          <w:sz w:val="20"/>
          <w:szCs w:val="20"/>
          <w:lang w:val="en-US"/>
        </w:rPr>
      </w:pPr>
    </w:p>
    <w:p w14:paraId="3BC5E2A2" w14:textId="77777777" w:rsidR="0044435F" w:rsidRPr="003135B7" w:rsidRDefault="0044435F" w:rsidP="0044435F">
      <w:p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b/>
          <w:bCs/>
          <w:sz w:val="20"/>
          <w:szCs w:val="20"/>
          <w:lang w:val="en-US"/>
        </w:rPr>
        <w:t>Hypertension Status</w:t>
      </w:r>
      <w:r w:rsidRPr="003135B7">
        <w:rPr>
          <w:rFonts w:ascii="Arial" w:hAnsi="Arial" w:cs="Arial"/>
          <w:sz w:val="20"/>
          <w:szCs w:val="20"/>
          <w:lang w:val="en-US"/>
        </w:rPr>
        <w:t>:</w:t>
      </w:r>
    </w:p>
    <w:p w14:paraId="31942E2E" w14:textId="77777777" w:rsidR="0044435F" w:rsidRPr="003135B7" w:rsidRDefault="0044435F" w:rsidP="0044435F">
      <w:p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Hypertension was defined based on self-report or medical records, categorized as either present (Yes) or absent (No).</w:t>
      </w:r>
    </w:p>
    <w:p w14:paraId="1CBC5F93" w14:textId="77777777" w:rsidR="0044435F" w:rsidRPr="003135B7" w:rsidRDefault="0044435F" w:rsidP="0044435F">
      <w:pPr>
        <w:rPr>
          <w:rFonts w:ascii="Arial" w:hAnsi="Arial" w:cs="Arial"/>
          <w:sz w:val="20"/>
          <w:szCs w:val="20"/>
          <w:lang w:val="en-US"/>
        </w:rPr>
      </w:pPr>
    </w:p>
    <w:p w14:paraId="01AB3B1C" w14:textId="77777777" w:rsidR="0044435F" w:rsidRPr="003135B7" w:rsidRDefault="0044435F" w:rsidP="0044435F">
      <w:p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b/>
          <w:bCs/>
          <w:sz w:val="20"/>
          <w:szCs w:val="20"/>
          <w:lang w:val="en-US"/>
        </w:rPr>
        <w:t>Social Isolation and Loneliness</w:t>
      </w:r>
      <w:r w:rsidRPr="003135B7">
        <w:rPr>
          <w:rFonts w:ascii="Arial" w:hAnsi="Arial" w:cs="Arial"/>
          <w:sz w:val="20"/>
          <w:szCs w:val="20"/>
          <w:lang w:val="en-US"/>
        </w:rPr>
        <w:t>:</w:t>
      </w:r>
    </w:p>
    <w:p w14:paraId="21075733" w14:textId="77777777" w:rsidR="0044435F" w:rsidRPr="003135B7" w:rsidRDefault="0044435F" w:rsidP="0044435F">
      <w:p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Social isolation was quantified using a composite score previously developed within the UK Biobank, based on living alone, frequency of engaging with friends or family, and participation in social activities. Loneliness was assessed through self-reported queries, identifying feelings of loneliness experienced over the past week.</w:t>
      </w:r>
    </w:p>
    <w:p w14:paraId="31A8F195" w14:textId="77777777" w:rsidR="0044435F" w:rsidRPr="003135B7" w:rsidRDefault="0044435F" w:rsidP="0044435F">
      <w:pPr>
        <w:rPr>
          <w:rFonts w:ascii="Arial" w:hAnsi="Arial" w:cs="Arial"/>
          <w:sz w:val="20"/>
          <w:szCs w:val="20"/>
          <w:lang w:val="en-US"/>
        </w:rPr>
      </w:pPr>
    </w:p>
    <w:p w14:paraId="3948B87F" w14:textId="77777777" w:rsidR="0044435F" w:rsidRPr="003135B7" w:rsidRDefault="0044435F" w:rsidP="0044435F">
      <w:p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b/>
          <w:bCs/>
          <w:sz w:val="20"/>
          <w:szCs w:val="20"/>
          <w:lang w:val="en-US"/>
        </w:rPr>
        <w:t>Depression</w:t>
      </w:r>
      <w:r w:rsidRPr="003135B7">
        <w:rPr>
          <w:rFonts w:ascii="Arial" w:hAnsi="Arial" w:cs="Arial"/>
          <w:sz w:val="20"/>
          <w:szCs w:val="20"/>
          <w:lang w:val="en-US"/>
        </w:rPr>
        <w:t>:</w:t>
      </w:r>
    </w:p>
    <w:p w14:paraId="35DAB209" w14:textId="77777777" w:rsidR="0044435F" w:rsidRPr="003135B7" w:rsidRDefault="0044435F" w:rsidP="0044435F">
      <w:p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Depression was identified through self-reports, defined as experiencing a continuous state of depression lasting for an entire week.</w:t>
      </w:r>
    </w:p>
    <w:p w14:paraId="21ECCB34" w14:textId="77777777" w:rsidR="0044435F" w:rsidRPr="003135B7" w:rsidRDefault="0044435F" w:rsidP="0044435F">
      <w:pPr>
        <w:rPr>
          <w:rFonts w:ascii="Arial" w:hAnsi="Arial" w:cs="Arial"/>
          <w:sz w:val="20"/>
          <w:szCs w:val="20"/>
          <w:lang w:val="en-US"/>
        </w:rPr>
      </w:pPr>
    </w:p>
    <w:p w14:paraId="143C4BC1" w14:textId="77777777" w:rsidR="0044435F" w:rsidRPr="003135B7" w:rsidRDefault="0044435F" w:rsidP="0044435F">
      <w:p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b/>
          <w:bCs/>
          <w:sz w:val="20"/>
          <w:szCs w:val="20"/>
          <w:lang w:val="en-US"/>
        </w:rPr>
        <w:t>Dietary Scores</w:t>
      </w:r>
      <w:r w:rsidRPr="003135B7">
        <w:rPr>
          <w:rFonts w:ascii="Arial" w:hAnsi="Arial" w:cs="Arial"/>
          <w:sz w:val="20"/>
          <w:szCs w:val="20"/>
          <w:lang w:val="en-US"/>
        </w:rPr>
        <w:t>:</w:t>
      </w:r>
    </w:p>
    <w:p w14:paraId="06608CB1" w14:textId="588EECAE" w:rsidR="0044435F" w:rsidRPr="003135B7" w:rsidRDefault="0044435F" w:rsidP="0044435F">
      <w:p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Dietary intake was quantified based on the frequency of consumption of fruits, vegetables, fish, and processed/red meat (inverted). Scores ranged from 0 to 20, with a higher score indicating a healthier diet. The scoring system was:</w:t>
      </w:r>
    </w:p>
    <w:p w14:paraId="4102055E" w14:textId="3689337E" w:rsidR="0044435F" w:rsidRPr="003135B7" w:rsidRDefault="0044435F" w:rsidP="0044435F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Never = 0</w:t>
      </w:r>
    </w:p>
    <w:p w14:paraId="0594C14B" w14:textId="5AFB226F" w:rsidR="0044435F" w:rsidRPr="003135B7" w:rsidRDefault="0044435F" w:rsidP="0044435F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Less than once a week = 1</w:t>
      </w:r>
    </w:p>
    <w:p w14:paraId="36C7FB11" w14:textId="3195F9ED" w:rsidR="0044435F" w:rsidRPr="003135B7" w:rsidRDefault="0044435F" w:rsidP="0044435F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Once a week = 2</w:t>
      </w:r>
    </w:p>
    <w:p w14:paraId="30F78415" w14:textId="32C79801" w:rsidR="0044435F" w:rsidRPr="003135B7" w:rsidRDefault="0044435F" w:rsidP="0044435F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2-4 times a week = 3</w:t>
      </w:r>
    </w:p>
    <w:p w14:paraId="2292E95B" w14:textId="3019796B" w:rsidR="0044435F" w:rsidRPr="003135B7" w:rsidRDefault="0044435F" w:rsidP="0044435F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4-6 times a week = 4</w:t>
      </w:r>
    </w:p>
    <w:p w14:paraId="790F05B9" w14:textId="3FF9C208" w:rsidR="0044435F" w:rsidRPr="003135B7" w:rsidRDefault="0044435F" w:rsidP="0044435F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Once or more daily = 5</w:t>
      </w:r>
    </w:p>
    <w:p w14:paraId="5FEB71B8" w14:textId="77777777" w:rsidR="0044435F" w:rsidRPr="003135B7" w:rsidRDefault="0044435F" w:rsidP="0044435F">
      <w:p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b/>
          <w:bCs/>
          <w:sz w:val="20"/>
          <w:szCs w:val="20"/>
          <w:lang w:val="en-US"/>
        </w:rPr>
        <w:t>Medication Use</w:t>
      </w:r>
      <w:r w:rsidRPr="003135B7">
        <w:rPr>
          <w:rFonts w:ascii="Arial" w:hAnsi="Arial" w:cs="Arial"/>
          <w:sz w:val="20"/>
          <w:szCs w:val="20"/>
          <w:lang w:val="en-US"/>
        </w:rPr>
        <w:t>:</w:t>
      </w:r>
    </w:p>
    <w:p w14:paraId="66768897" w14:textId="77777777" w:rsidR="0044435F" w:rsidRPr="003135B7" w:rsidRDefault="0044435F" w:rsidP="0044435F">
      <w:p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Participants reported the use of any medication, categorized for this study as:</w:t>
      </w:r>
    </w:p>
    <w:p w14:paraId="2DFD9A85" w14:textId="10758C95" w:rsidR="0044435F" w:rsidRPr="003135B7" w:rsidRDefault="0044435F" w:rsidP="0044435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Antihypertensive medications</w:t>
      </w:r>
    </w:p>
    <w:p w14:paraId="751DAC5E" w14:textId="0E72EA55" w:rsidR="0044435F" w:rsidRPr="003135B7" w:rsidRDefault="0044435F" w:rsidP="0044435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Blood-glucose-lowering medications</w:t>
      </w:r>
    </w:p>
    <w:p w14:paraId="0E6A7A01" w14:textId="07678BCE" w:rsidR="0044435F" w:rsidRPr="003135B7" w:rsidRDefault="0044435F" w:rsidP="0044435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Cholesterol-lowering medications</w:t>
      </w:r>
    </w:p>
    <w:p w14:paraId="25D7228D" w14:textId="77777777" w:rsidR="0044435F" w:rsidRPr="003135B7" w:rsidRDefault="0044435F" w:rsidP="0044435F">
      <w:pPr>
        <w:rPr>
          <w:rFonts w:ascii="Arial" w:hAnsi="Arial" w:cs="Arial"/>
          <w:sz w:val="20"/>
          <w:szCs w:val="20"/>
          <w:lang w:val="en-US"/>
        </w:rPr>
      </w:pPr>
    </w:p>
    <w:p w14:paraId="067D6CD6" w14:textId="77777777" w:rsidR="002C444D" w:rsidRDefault="002C444D" w:rsidP="0044435F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667A085" w14:textId="77777777" w:rsidR="002C444D" w:rsidRDefault="002C444D" w:rsidP="0044435F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FC2CEB1" w14:textId="77777777" w:rsidR="002C444D" w:rsidRDefault="002C444D" w:rsidP="0044435F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95538D0" w14:textId="30860035" w:rsidR="0044435F" w:rsidRPr="003135B7" w:rsidRDefault="0044435F" w:rsidP="0044435F">
      <w:p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APOE Allele Status</w:t>
      </w:r>
      <w:r w:rsidRPr="003135B7">
        <w:rPr>
          <w:rFonts w:ascii="Arial" w:hAnsi="Arial" w:cs="Arial"/>
          <w:sz w:val="20"/>
          <w:szCs w:val="20"/>
          <w:lang w:val="en-US"/>
        </w:rPr>
        <w:t>:</w:t>
      </w:r>
    </w:p>
    <w:p w14:paraId="4ADF35A8" w14:textId="6A6E0E52" w:rsidR="0044435F" w:rsidRPr="003135B7" w:rsidRDefault="0044435F" w:rsidP="0044435F">
      <w:p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Determined through genotyping two single nucleotide polymorphisms (SNPs), rs7412 and rs429358. The APOE e4 allele status for each individual was categorized based on the combination of these SNPs into:</w:t>
      </w:r>
    </w:p>
    <w:p w14:paraId="701A4878" w14:textId="155C0721" w:rsidR="0044435F" w:rsidRPr="003135B7" w:rsidRDefault="0044435F" w:rsidP="0044435F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No e4 alleles (e2/e2, e2/e3, or e3/e3 haplotypes)</w:t>
      </w:r>
    </w:p>
    <w:p w14:paraId="3B5B06A6" w14:textId="7AAF5F68" w:rsidR="0044435F" w:rsidRPr="003135B7" w:rsidRDefault="0044435F" w:rsidP="0044435F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One e4 allele (e3/e4 and sporadic e2/e4 haplotypes)</w:t>
      </w:r>
    </w:p>
    <w:p w14:paraId="4B12F6D0" w14:textId="3FABEE82" w:rsidR="0044435F" w:rsidRPr="003135B7" w:rsidRDefault="0044435F" w:rsidP="0044435F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3135B7">
        <w:rPr>
          <w:rFonts w:ascii="Arial" w:hAnsi="Arial" w:cs="Arial"/>
          <w:sz w:val="20"/>
          <w:szCs w:val="20"/>
          <w:lang w:val="en-US"/>
        </w:rPr>
        <w:t>Two e4 alleles (e4/e4 haplotypes)</w:t>
      </w:r>
    </w:p>
    <w:p w14:paraId="62A8501C" w14:textId="77777777" w:rsidR="00937A34" w:rsidRDefault="00937A34" w:rsidP="00937A34">
      <w:pPr>
        <w:rPr>
          <w:rFonts w:ascii="Arial" w:hAnsi="Arial" w:cs="Arial"/>
          <w:sz w:val="20"/>
          <w:szCs w:val="20"/>
          <w:lang w:val="en-US"/>
        </w:rPr>
      </w:pPr>
    </w:p>
    <w:p w14:paraId="5AE7F9FF" w14:textId="6421025D" w:rsidR="00BC54E6" w:rsidRDefault="00BC54E6" w:rsidP="00937A34">
      <w:pPr>
        <w:rPr>
          <w:rFonts w:ascii="Arial" w:hAnsi="Arial" w:cs="Arial"/>
          <w:sz w:val="24"/>
          <w:szCs w:val="24"/>
          <w:lang w:val="en-US"/>
        </w:rPr>
      </w:pPr>
      <w:r w:rsidRPr="00BC54E6">
        <w:rPr>
          <w:rFonts w:ascii="Arial" w:hAnsi="Arial" w:cs="Arial"/>
          <w:b/>
          <w:bCs/>
          <w:sz w:val="24"/>
          <w:szCs w:val="24"/>
          <w:lang w:val="en-US"/>
        </w:rPr>
        <w:t>Supplementary 2</w:t>
      </w:r>
      <w:r w:rsidRPr="00BC54E6">
        <w:rPr>
          <w:rFonts w:ascii="Arial" w:hAnsi="Arial" w:cs="Arial"/>
          <w:sz w:val="24"/>
          <w:szCs w:val="24"/>
          <w:lang w:val="en-US"/>
        </w:rPr>
        <w:t>. International Classification of Diseases (ICD) for the chronic diseases</w:t>
      </w:r>
    </w:p>
    <w:p w14:paraId="0847AEE8" w14:textId="3DA0E42A" w:rsidR="00BC54E6" w:rsidRPr="00DF484E" w:rsidRDefault="00BC54E6" w:rsidP="00937A34">
      <w:pPr>
        <w:rPr>
          <w:rFonts w:ascii="Arial" w:hAnsi="Arial" w:cs="Arial"/>
          <w:sz w:val="20"/>
          <w:szCs w:val="20"/>
          <w:lang w:val="en-US"/>
        </w:rPr>
      </w:pPr>
      <w:r w:rsidRPr="00DF484E">
        <w:rPr>
          <w:rFonts w:ascii="Arial" w:hAnsi="Arial" w:cs="Arial"/>
          <w:sz w:val="20"/>
          <w:szCs w:val="20"/>
          <w:lang w:val="en-US"/>
        </w:rPr>
        <w:t xml:space="preserve">Codes of International Classification of Diseases (ICD) were used to adjudicate HTN cases (ICD-10: I10, I11, I12, I13, I16), ASCVD cases (ICD-10: I25), CVD cases (ICD-10: I60, I61, I63, I64), ND cases (ICD-10: A81, F00, F01, F02, F03, F05, F10, G30, G31, I67, G20), </w:t>
      </w:r>
      <w:proofErr w:type="spellStart"/>
      <w:r w:rsidRPr="00DF484E">
        <w:rPr>
          <w:rFonts w:ascii="Arial" w:hAnsi="Arial" w:cs="Arial"/>
          <w:sz w:val="20"/>
          <w:szCs w:val="20"/>
          <w:lang w:val="en-US"/>
        </w:rPr>
        <w:t>MetS</w:t>
      </w:r>
      <w:proofErr w:type="spellEnd"/>
      <w:r w:rsidRPr="00DF484E">
        <w:rPr>
          <w:rFonts w:ascii="Arial" w:hAnsi="Arial" w:cs="Arial"/>
          <w:sz w:val="20"/>
          <w:szCs w:val="20"/>
          <w:lang w:val="en-US"/>
        </w:rPr>
        <w:t xml:space="preserve"> cases (ICD-10: E70, E71, E72, E73, E74, E75, E76, E77, E78, E79, E80, E83, E84, E85, E86, E87, E88, E89, E90) and T2DM cases (ICD-10: E11).  </w:t>
      </w:r>
    </w:p>
    <w:p w14:paraId="2660E19C" w14:textId="411841DB" w:rsidR="0013355F" w:rsidRPr="003135B7" w:rsidRDefault="008F3C0D" w:rsidP="001E156B">
      <w:pPr>
        <w:pStyle w:val="NormalWeb"/>
        <w:jc w:val="both"/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>Supplementary</w:t>
      </w:r>
      <w:r w:rsidR="007A6861">
        <w:rPr>
          <w:rFonts w:ascii="Arial" w:hAnsi="Arial" w:cs="Arial"/>
          <w:b/>
          <w:bCs/>
          <w:noProof/>
        </w:rPr>
        <w:t xml:space="preserve"> </w:t>
      </w:r>
      <w:r w:rsidR="00BC54E6">
        <w:rPr>
          <w:rFonts w:ascii="Arial" w:hAnsi="Arial" w:cs="Arial"/>
          <w:b/>
          <w:bCs/>
          <w:noProof/>
        </w:rPr>
        <w:t>3</w:t>
      </w:r>
      <w:r w:rsidR="0013355F" w:rsidRPr="003135B7">
        <w:rPr>
          <w:rFonts w:ascii="Arial" w:hAnsi="Arial" w:cs="Arial"/>
          <w:b/>
          <w:bCs/>
          <w:noProof/>
        </w:rPr>
        <w:t>.</w:t>
      </w:r>
      <w:r w:rsidR="00D33D02" w:rsidRPr="003135B7">
        <w:rPr>
          <w:rFonts w:ascii="Arial" w:hAnsi="Arial" w:cs="Arial"/>
        </w:rPr>
        <w:t xml:space="preserve"> </w:t>
      </w:r>
      <w:r w:rsidR="00D33D02" w:rsidRPr="003135B7">
        <w:rPr>
          <w:rFonts w:ascii="Arial" w:hAnsi="Arial" w:cs="Arial"/>
          <w:noProof/>
        </w:rPr>
        <w:t>Formula for Odds Ratio</w:t>
      </w:r>
    </w:p>
    <w:p w14:paraId="775DB672" w14:textId="69AE3166" w:rsidR="001E156B" w:rsidRPr="003135B7" w:rsidRDefault="001E156B" w:rsidP="001E156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135B7">
        <w:rPr>
          <w:rFonts w:ascii="Arial" w:hAnsi="Arial" w:cs="Arial"/>
          <w:sz w:val="20"/>
          <w:szCs w:val="20"/>
        </w:rPr>
        <w:t xml:space="preserve">The </w:t>
      </w:r>
      <w:r w:rsidR="00BC54E6">
        <w:rPr>
          <w:rFonts w:ascii="Arial" w:hAnsi="Arial" w:cs="Arial"/>
          <w:sz w:val="20"/>
          <w:szCs w:val="20"/>
        </w:rPr>
        <w:t>o</w:t>
      </w:r>
      <w:r w:rsidRPr="003135B7">
        <w:rPr>
          <w:rFonts w:ascii="Arial" w:hAnsi="Arial" w:cs="Arial"/>
          <w:sz w:val="20"/>
          <w:szCs w:val="20"/>
        </w:rPr>
        <w:t xml:space="preserve">dds ratio indicates how much likely participants with low or medium MVPA are to develop chronic diseases compared to those with high MVPA levels. The </w:t>
      </w:r>
      <w:r w:rsidR="00BC54E6">
        <w:rPr>
          <w:rFonts w:ascii="Arial" w:hAnsi="Arial" w:cs="Arial"/>
          <w:sz w:val="20"/>
          <w:szCs w:val="20"/>
        </w:rPr>
        <w:t>o</w:t>
      </w:r>
      <w:r w:rsidRPr="003135B7">
        <w:rPr>
          <w:rFonts w:ascii="Arial" w:hAnsi="Arial" w:cs="Arial"/>
          <w:sz w:val="20"/>
          <w:szCs w:val="20"/>
        </w:rPr>
        <w:t xml:space="preserve">dds </w:t>
      </w:r>
      <w:r w:rsidR="00BC54E6">
        <w:rPr>
          <w:rFonts w:ascii="Arial" w:hAnsi="Arial" w:cs="Arial"/>
          <w:sz w:val="20"/>
          <w:szCs w:val="20"/>
        </w:rPr>
        <w:t>r</w:t>
      </w:r>
      <w:r w:rsidRPr="003135B7">
        <w:rPr>
          <w:rFonts w:ascii="Arial" w:hAnsi="Arial" w:cs="Arial"/>
          <w:sz w:val="20"/>
          <w:szCs w:val="20"/>
        </w:rPr>
        <w:t>atio is given as</w:t>
      </w:r>
    </w:p>
    <w:p w14:paraId="612D2D05" w14:textId="77777777" w:rsidR="001E156B" w:rsidRPr="003135B7" w:rsidRDefault="00DB5ED9" w:rsidP="001E156B">
      <w:pPr>
        <w:pStyle w:val="NormalWeb"/>
        <w:ind w:firstLine="720"/>
        <w:rPr>
          <w:rFonts w:ascii="Arial" w:hAnsi="Arial" w:cs="Arial"/>
          <w:sz w:val="20"/>
          <w:szCs w:val="20"/>
        </w:rPr>
      </w:pPr>
      <w:r w:rsidRPr="00DB5ED9">
        <w:rPr>
          <w:rFonts w:ascii="Arial" w:hAnsi="Arial" w:cs="Arial"/>
          <w:noProof/>
          <w:position w:val="-24"/>
          <w:sz w:val="20"/>
          <w:szCs w:val="20"/>
          <w14:ligatures w14:val="standardContextual"/>
        </w:rPr>
        <w:object w:dxaOrig="940" w:dyaOrig="620" w14:anchorId="036290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9.5pt;height:29.25pt;mso-width-percent:0;mso-height-percent:0;mso-width-percent:0;mso-height-percent:0" o:ole="">
            <v:imagedata r:id="rId10" o:title=""/>
          </v:shape>
          <o:OLEObject Type="Embed" ProgID="Equation.DSMT4" ShapeID="_x0000_i1025" DrawAspect="Content" ObjectID="_1793064687" r:id="rId11"/>
        </w:object>
      </w:r>
      <w:r w:rsidR="001E156B" w:rsidRPr="003135B7">
        <w:rPr>
          <w:rFonts w:ascii="Arial" w:hAnsi="Arial" w:cs="Arial"/>
          <w:sz w:val="20"/>
          <w:szCs w:val="20"/>
        </w:rPr>
        <w:t xml:space="preserve">, </w:t>
      </w:r>
    </w:p>
    <w:p w14:paraId="1D251187" w14:textId="77777777" w:rsidR="001E156B" w:rsidRPr="003135B7" w:rsidRDefault="001E156B" w:rsidP="001E156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135B7">
        <w:rPr>
          <w:rFonts w:ascii="Arial" w:hAnsi="Arial" w:cs="Arial"/>
          <w:sz w:val="20"/>
          <w:szCs w:val="20"/>
        </w:rPr>
        <w:t xml:space="preserve">where </w:t>
      </w:r>
      <w:r w:rsidRPr="003135B7">
        <w:rPr>
          <w:rFonts w:ascii="Arial" w:hAnsi="Arial" w:cs="Arial"/>
          <w:i/>
          <w:iCs/>
          <w:sz w:val="20"/>
          <w:szCs w:val="20"/>
        </w:rPr>
        <w:t>a</w:t>
      </w:r>
      <w:r w:rsidRPr="003135B7">
        <w:rPr>
          <w:rFonts w:ascii="Arial" w:hAnsi="Arial" w:cs="Arial"/>
          <w:sz w:val="20"/>
          <w:szCs w:val="20"/>
        </w:rPr>
        <w:t xml:space="preserve"> = number of low or medium MVPA participants with chronic diseases, </w:t>
      </w:r>
      <w:r w:rsidRPr="003135B7">
        <w:rPr>
          <w:rFonts w:ascii="Arial" w:hAnsi="Arial" w:cs="Arial"/>
          <w:i/>
          <w:iCs/>
          <w:sz w:val="20"/>
          <w:szCs w:val="20"/>
        </w:rPr>
        <w:t>b</w:t>
      </w:r>
      <w:r w:rsidRPr="003135B7">
        <w:rPr>
          <w:rFonts w:ascii="Arial" w:hAnsi="Arial" w:cs="Arial"/>
          <w:sz w:val="20"/>
          <w:szCs w:val="20"/>
        </w:rPr>
        <w:t xml:space="preserve"> = number of low or medium MVPA participants without chronic diseases, </w:t>
      </w:r>
      <w:r w:rsidRPr="003135B7">
        <w:rPr>
          <w:rFonts w:ascii="Arial" w:hAnsi="Arial" w:cs="Arial"/>
          <w:i/>
          <w:iCs/>
          <w:sz w:val="20"/>
          <w:szCs w:val="20"/>
        </w:rPr>
        <w:t>c</w:t>
      </w:r>
      <w:r w:rsidRPr="003135B7">
        <w:rPr>
          <w:rFonts w:ascii="Arial" w:hAnsi="Arial" w:cs="Arial"/>
          <w:sz w:val="20"/>
          <w:szCs w:val="20"/>
        </w:rPr>
        <w:t xml:space="preserve"> = number of high MVPA participants with chronic diseases and </w:t>
      </w:r>
      <w:r w:rsidRPr="003135B7">
        <w:rPr>
          <w:rFonts w:ascii="Arial" w:hAnsi="Arial" w:cs="Arial"/>
          <w:i/>
          <w:iCs/>
          <w:sz w:val="20"/>
          <w:szCs w:val="20"/>
        </w:rPr>
        <w:t>d</w:t>
      </w:r>
      <w:r w:rsidRPr="003135B7">
        <w:rPr>
          <w:rFonts w:ascii="Arial" w:hAnsi="Arial" w:cs="Arial"/>
          <w:sz w:val="20"/>
          <w:szCs w:val="20"/>
        </w:rPr>
        <w:t xml:space="preserve"> = number of high MVPA participants without chronic diseases.</w:t>
      </w:r>
    </w:p>
    <w:p w14:paraId="2C24306D" w14:textId="77777777" w:rsidR="001E156B" w:rsidRPr="003135B7" w:rsidRDefault="001E156B" w:rsidP="00937A34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BFD2F69" w14:textId="42B33E88" w:rsidR="0013355F" w:rsidRPr="003135B7" w:rsidRDefault="008F3C0D" w:rsidP="0013355F">
      <w:pPr>
        <w:pStyle w:val="NormalWeb"/>
        <w:jc w:val="both"/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>Supplementary</w:t>
      </w:r>
      <w:r w:rsidR="007A6861">
        <w:rPr>
          <w:rFonts w:ascii="Arial" w:hAnsi="Arial" w:cs="Arial"/>
          <w:b/>
          <w:bCs/>
          <w:noProof/>
        </w:rPr>
        <w:t xml:space="preserve"> </w:t>
      </w:r>
      <w:r w:rsidR="00BC54E6">
        <w:rPr>
          <w:rFonts w:ascii="Arial" w:hAnsi="Arial" w:cs="Arial"/>
          <w:b/>
          <w:bCs/>
          <w:noProof/>
        </w:rPr>
        <w:t>4</w:t>
      </w:r>
      <w:r w:rsidR="0013355F" w:rsidRPr="003135B7">
        <w:rPr>
          <w:rFonts w:ascii="Arial" w:hAnsi="Arial" w:cs="Arial"/>
          <w:noProof/>
        </w:rPr>
        <w:t>.</w:t>
      </w:r>
      <w:r w:rsidR="003C0884" w:rsidRPr="003135B7">
        <w:rPr>
          <w:rFonts w:ascii="Arial" w:hAnsi="Arial" w:cs="Arial"/>
        </w:rPr>
        <w:t xml:space="preserve"> HR Stratified by Age and BMI</w:t>
      </w:r>
    </w:p>
    <w:p w14:paraId="169AA90D" w14:textId="77777777" w:rsidR="00EB46BA" w:rsidRPr="003135B7" w:rsidRDefault="00EB46BA" w:rsidP="00EB46BA">
      <w:pPr>
        <w:pStyle w:val="NormalWeb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3135B7">
        <w:rPr>
          <w:rFonts w:ascii="Arial" w:hAnsi="Arial" w:cs="Arial"/>
          <w:i/>
          <w:iCs/>
          <w:sz w:val="20"/>
          <w:szCs w:val="20"/>
          <w:u w:val="single"/>
        </w:rPr>
        <w:t>Age</w:t>
      </w:r>
    </w:p>
    <w:p w14:paraId="46542593" w14:textId="77777777" w:rsidR="00EB46BA" w:rsidRPr="003135B7" w:rsidRDefault="00EB46BA" w:rsidP="00EB46B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135B7">
        <w:rPr>
          <w:rFonts w:ascii="Arial" w:hAnsi="Arial" w:cs="Arial"/>
          <w:sz w:val="20"/>
          <w:szCs w:val="20"/>
        </w:rPr>
        <w:t>In evaluating the risk of developing chronic diseases across varying age groups, our analysis focused on the differences observed between middle-aged (45-60) and older (above 60) males and females over a 5-year period.</w:t>
      </w:r>
    </w:p>
    <w:p w14:paraId="253247AE" w14:textId="77777777" w:rsidR="00EB46BA" w:rsidRPr="003135B7" w:rsidRDefault="00EB46BA" w:rsidP="00EB46B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135B7">
        <w:rPr>
          <w:rFonts w:ascii="Arial" w:hAnsi="Arial" w:cs="Arial"/>
          <w:b/>
          <w:bCs/>
          <w:sz w:val="20"/>
          <w:szCs w:val="20"/>
        </w:rPr>
        <w:t>Male Participants</w:t>
      </w:r>
      <w:r w:rsidRPr="003135B7">
        <w:rPr>
          <w:rFonts w:ascii="Arial" w:hAnsi="Arial" w:cs="Arial"/>
          <w:sz w:val="20"/>
          <w:szCs w:val="20"/>
        </w:rPr>
        <w:t>:</w:t>
      </w:r>
    </w:p>
    <w:p w14:paraId="14F4986F" w14:textId="372572F6" w:rsidR="00EB46BA" w:rsidRPr="003135B7" w:rsidRDefault="00EB46BA" w:rsidP="00692514">
      <w:pPr>
        <w:pStyle w:val="NormalWeb"/>
        <w:jc w:val="both"/>
        <w:rPr>
          <w:rStyle w:val="Strong"/>
          <w:rFonts w:ascii="Arial" w:hAnsi="Arial" w:cs="Arial"/>
          <w:sz w:val="20"/>
          <w:szCs w:val="20"/>
        </w:rPr>
      </w:pPr>
      <w:r w:rsidRPr="003135B7">
        <w:rPr>
          <w:rFonts w:ascii="Arial" w:hAnsi="Arial" w:cs="Arial"/>
          <w:sz w:val="20"/>
          <w:szCs w:val="20"/>
        </w:rPr>
        <w:t>Within middle aged cohort, we identified a</w:t>
      </w:r>
      <w:r w:rsidR="00345C2D" w:rsidRPr="003135B7">
        <w:rPr>
          <w:rFonts w:ascii="Arial" w:hAnsi="Arial" w:cs="Arial"/>
          <w:sz w:val="20"/>
          <w:szCs w:val="20"/>
        </w:rPr>
        <w:t>n</w:t>
      </w:r>
      <w:r w:rsidRPr="003135B7">
        <w:rPr>
          <w:rFonts w:ascii="Arial" w:hAnsi="Arial" w:cs="Arial"/>
          <w:sz w:val="20"/>
          <w:szCs w:val="20"/>
        </w:rPr>
        <w:t xml:space="preserve"> elevated risk, with a </w:t>
      </w:r>
      <w:r w:rsidR="008140C7" w:rsidRPr="003135B7">
        <w:rPr>
          <w:rFonts w:ascii="Arial" w:hAnsi="Arial" w:cs="Arial"/>
          <w:sz w:val="20"/>
          <w:szCs w:val="20"/>
        </w:rPr>
        <w:t>10</w:t>
      </w:r>
      <w:r w:rsidR="00CD57EE" w:rsidRPr="003135B7">
        <w:rPr>
          <w:rFonts w:ascii="Arial" w:hAnsi="Arial" w:cs="Arial"/>
          <w:sz w:val="20"/>
          <w:szCs w:val="20"/>
        </w:rPr>
        <w:t xml:space="preserve">-fold </w:t>
      </w:r>
      <w:r w:rsidRPr="003135B7">
        <w:rPr>
          <w:rFonts w:ascii="Arial" w:hAnsi="Arial" w:cs="Arial"/>
          <w:sz w:val="20"/>
          <w:szCs w:val="20"/>
        </w:rPr>
        <w:t>increase chance of developing hypertension compared to the younger age group (&lt;45). Other chronic diseases did not show significant differences in risk within this time frame.</w:t>
      </w:r>
      <w:r w:rsidRPr="003135B7">
        <w:rPr>
          <w:rStyle w:val="Strong"/>
          <w:rFonts w:ascii="Arial" w:hAnsi="Arial" w:cs="Arial"/>
          <w:sz w:val="20"/>
          <w:szCs w:val="20"/>
        </w:rPr>
        <w:t xml:space="preserve"> </w:t>
      </w:r>
    </w:p>
    <w:p w14:paraId="068892F9" w14:textId="7285F48D" w:rsidR="00EB46BA" w:rsidRPr="003135B7" w:rsidRDefault="00EB46BA" w:rsidP="00EB46B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135B7">
        <w:rPr>
          <w:rFonts w:ascii="Arial" w:hAnsi="Arial" w:cs="Arial"/>
          <w:sz w:val="20"/>
          <w:szCs w:val="20"/>
        </w:rPr>
        <w:t xml:space="preserve">Among older males, the risk of developing certain chronic conditions showed a marked increase when compared to those under 45. Specifically, the likelihood of being diagnosed with </w:t>
      </w:r>
      <w:r w:rsidR="00345C2D" w:rsidRPr="003135B7">
        <w:rPr>
          <w:rFonts w:ascii="Arial" w:hAnsi="Arial" w:cs="Arial"/>
          <w:sz w:val="20"/>
          <w:szCs w:val="20"/>
        </w:rPr>
        <w:t>hypertension was elevated by 20 times</w:t>
      </w:r>
      <w:r w:rsidR="00B26CD5" w:rsidRPr="003135B7">
        <w:rPr>
          <w:rFonts w:ascii="Arial" w:hAnsi="Arial" w:cs="Arial"/>
          <w:sz w:val="20"/>
          <w:szCs w:val="20"/>
        </w:rPr>
        <w:t xml:space="preserve">, the risk of </w:t>
      </w:r>
      <w:r w:rsidRPr="003135B7">
        <w:rPr>
          <w:rFonts w:ascii="Arial" w:hAnsi="Arial" w:cs="Arial"/>
          <w:sz w:val="20"/>
          <w:szCs w:val="20"/>
        </w:rPr>
        <w:t xml:space="preserve">ASCVD was </w:t>
      </w:r>
      <w:r w:rsidR="00B26CD5" w:rsidRPr="003135B7">
        <w:rPr>
          <w:rFonts w:ascii="Arial" w:hAnsi="Arial" w:cs="Arial"/>
          <w:sz w:val="20"/>
          <w:szCs w:val="20"/>
        </w:rPr>
        <w:t>329</w:t>
      </w:r>
      <w:r w:rsidRPr="003135B7">
        <w:rPr>
          <w:rFonts w:ascii="Arial" w:hAnsi="Arial" w:cs="Arial"/>
          <w:sz w:val="20"/>
          <w:szCs w:val="20"/>
        </w:rPr>
        <w:t xml:space="preserve">% higher, the risk of metabolic syndrome was </w:t>
      </w:r>
      <w:r w:rsidR="00B26CD5" w:rsidRPr="003135B7">
        <w:rPr>
          <w:rFonts w:ascii="Arial" w:hAnsi="Arial" w:cs="Arial"/>
          <w:sz w:val="20"/>
          <w:szCs w:val="20"/>
        </w:rPr>
        <w:t>246</w:t>
      </w:r>
      <w:r w:rsidRPr="003135B7">
        <w:rPr>
          <w:rFonts w:ascii="Arial" w:hAnsi="Arial" w:cs="Arial"/>
          <w:sz w:val="20"/>
          <w:szCs w:val="20"/>
        </w:rPr>
        <w:t>% greater. Risks for other chronic conditions did not demonstrate statistical significance.</w:t>
      </w:r>
    </w:p>
    <w:p w14:paraId="407B1A39" w14:textId="77777777" w:rsidR="00EB46BA" w:rsidRPr="003135B7" w:rsidRDefault="00EB46BA" w:rsidP="00EB46B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135B7">
        <w:rPr>
          <w:rFonts w:ascii="Arial" w:hAnsi="Arial" w:cs="Arial"/>
          <w:b/>
          <w:bCs/>
          <w:sz w:val="20"/>
          <w:szCs w:val="20"/>
        </w:rPr>
        <w:t>Female Participants</w:t>
      </w:r>
      <w:r w:rsidRPr="003135B7">
        <w:rPr>
          <w:rFonts w:ascii="Arial" w:hAnsi="Arial" w:cs="Arial"/>
          <w:sz w:val="20"/>
          <w:szCs w:val="20"/>
        </w:rPr>
        <w:t>:</w:t>
      </w:r>
    </w:p>
    <w:p w14:paraId="4DA9C649" w14:textId="77777777" w:rsidR="00EB46BA" w:rsidRPr="003135B7" w:rsidRDefault="00EB46BA" w:rsidP="00EB46B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135B7">
        <w:rPr>
          <w:rFonts w:ascii="Arial" w:hAnsi="Arial" w:cs="Arial"/>
          <w:sz w:val="20"/>
          <w:szCs w:val="20"/>
        </w:rPr>
        <w:t>For females in the middle-aged group, the analysis did not reveal significant risks for the chronic diseases examined, indicating a comparable risk profile to the younger age group for the conditions studied.</w:t>
      </w:r>
    </w:p>
    <w:p w14:paraId="0528C699" w14:textId="592A1784" w:rsidR="00EB46BA" w:rsidRPr="003135B7" w:rsidRDefault="00EB46BA" w:rsidP="00EB46B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135B7">
        <w:rPr>
          <w:rFonts w:ascii="Arial" w:hAnsi="Arial" w:cs="Arial"/>
          <w:sz w:val="20"/>
          <w:szCs w:val="20"/>
        </w:rPr>
        <w:lastRenderedPageBreak/>
        <w:t xml:space="preserve">In older females, significant risk increases were observed for </w:t>
      </w:r>
      <w:r w:rsidR="00481A87" w:rsidRPr="003135B7">
        <w:rPr>
          <w:rFonts w:ascii="Arial" w:hAnsi="Arial" w:cs="Arial"/>
          <w:sz w:val="20"/>
          <w:szCs w:val="20"/>
        </w:rPr>
        <w:t xml:space="preserve">hypertension </w:t>
      </w:r>
      <w:r w:rsidRPr="003135B7">
        <w:rPr>
          <w:rFonts w:ascii="Arial" w:hAnsi="Arial" w:cs="Arial"/>
          <w:sz w:val="20"/>
          <w:szCs w:val="20"/>
        </w:rPr>
        <w:t xml:space="preserve">and </w:t>
      </w:r>
      <w:r w:rsidR="00481A87" w:rsidRPr="003135B7">
        <w:rPr>
          <w:rFonts w:ascii="Arial" w:hAnsi="Arial" w:cs="Arial"/>
          <w:sz w:val="20"/>
          <w:szCs w:val="20"/>
        </w:rPr>
        <w:t>metabolic syndrome</w:t>
      </w:r>
      <w:r w:rsidRPr="003135B7">
        <w:rPr>
          <w:rFonts w:ascii="Arial" w:hAnsi="Arial" w:cs="Arial"/>
          <w:sz w:val="20"/>
          <w:szCs w:val="20"/>
        </w:rPr>
        <w:t xml:space="preserve">, with risks </w:t>
      </w:r>
      <w:r w:rsidR="000B2842" w:rsidRPr="003135B7">
        <w:rPr>
          <w:rFonts w:ascii="Arial" w:hAnsi="Arial" w:cs="Arial"/>
          <w:sz w:val="20"/>
          <w:szCs w:val="20"/>
        </w:rPr>
        <w:t>467</w:t>
      </w:r>
      <w:r w:rsidRPr="003135B7">
        <w:rPr>
          <w:rFonts w:ascii="Arial" w:hAnsi="Arial" w:cs="Arial"/>
          <w:sz w:val="20"/>
          <w:szCs w:val="20"/>
        </w:rPr>
        <w:t xml:space="preserve">% and </w:t>
      </w:r>
      <w:r w:rsidR="000B2842" w:rsidRPr="003135B7">
        <w:rPr>
          <w:rFonts w:ascii="Arial" w:hAnsi="Arial" w:cs="Arial"/>
          <w:sz w:val="20"/>
          <w:szCs w:val="20"/>
        </w:rPr>
        <w:t>426</w:t>
      </w:r>
      <w:r w:rsidRPr="003135B7">
        <w:rPr>
          <w:rFonts w:ascii="Arial" w:hAnsi="Arial" w:cs="Arial"/>
          <w:sz w:val="20"/>
          <w:szCs w:val="20"/>
        </w:rPr>
        <w:t>% higher, respectively, than in the younger age group. Like their male counterparts, the risks for other chronic diseases remained non-significant.</w:t>
      </w:r>
    </w:p>
    <w:p w14:paraId="08579A87" w14:textId="5B4631CF" w:rsidR="00EB46BA" w:rsidRPr="003135B7" w:rsidRDefault="00EB46BA" w:rsidP="00EB46B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135B7">
        <w:rPr>
          <w:rFonts w:ascii="Arial" w:hAnsi="Arial" w:cs="Arial"/>
          <w:sz w:val="20"/>
          <w:szCs w:val="20"/>
        </w:rPr>
        <w:t>A very large non-significant HRs were observed for neurological diseases, including Cerebrovascular disease</w:t>
      </w:r>
      <w:r w:rsidR="00194425" w:rsidRPr="003135B7">
        <w:rPr>
          <w:rFonts w:ascii="Arial" w:hAnsi="Arial" w:cs="Arial"/>
          <w:sz w:val="20"/>
          <w:szCs w:val="20"/>
        </w:rPr>
        <w:t xml:space="preserve"> and </w:t>
      </w:r>
      <w:r w:rsidR="00B0395E" w:rsidRPr="003135B7">
        <w:rPr>
          <w:rFonts w:ascii="Arial" w:hAnsi="Arial" w:cs="Arial"/>
          <w:sz w:val="20"/>
          <w:szCs w:val="20"/>
        </w:rPr>
        <w:t>neurodegenerative disease</w:t>
      </w:r>
      <w:r w:rsidRPr="003135B7">
        <w:rPr>
          <w:rFonts w:ascii="Arial" w:hAnsi="Arial" w:cs="Arial"/>
          <w:sz w:val="20"/>
          <w:szCs w:val="20"/>
        </w:rPr>
        <w:t xml:space="preserve">. This is primarily because the events of interest in these cases were rare, which can be resulted in large </w:t>
      </w:r>
      <w:proofErr w:type="spellStart"/>
      <w:r w:rsidRPr="003135B7">
        <w:rPr>
          <w:rFonts w:ascii="Arial" w:hAnsi="Arial" w:cs="Arial"/>
          <w:sz w:val="20"/>
          <w:szCs w:val="20"/>
        </w:rPr>
        <w:t>HRs.</w:t>
      </w:r>
      <w:proofErr w:type="spellEnd"/>
    </w:p>
    <w:p w14:paraId="76783BEB" w14:textId="77777777" w:rsidR="00EB46BA" w:rsidRPr="003135B7" w:rsidRDefault="00EB46BA" w:rsidP="00EB46BA">
      <w:pPr>
        <w:pStyle w:val="NormalWeb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3135B7">
        <w:rPr>
          <w:rFonts w:ascii="Arial" w:hAnsi="Arial" w:cs="Arial"/>
          <w:i/>
          <w:iCs/>
          <w:sz w:val="20"/>
          <w:szCs w:val="20"/>
          <w:u w:val="single"/>
        </w:rPr>
        <w:t>BMI</w:t>
      </w:r>
    </w:p>
    <w:p w14:paraId="7D9FADEA" w14:textId="77777777" w:rsidR="00EB46BA" w:rsidRPr="003135B7" w:rsidRDefault="00EB46BA" w:rsidP="00EB46B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135B7">
        <w:rPr>
          <w:rFonts w:ascii="Arial" w:hAnsi="Arial" w:cs="Arial"/>
          <w:sz w:val="20"/>
          <w:szCs w:val="20"/>
        </w:rPr>
        <w:t>We analysed the health risks associated with body mass index (BMI) among male and female individuals over a 5-year period, distinguishing between those classified as overweight (BMI = 25 to 30) and those classified as obese (BMI &gt; 30).</w:t>
      </w:r>
    </w:p>
    <w:p w14:paraId="71DFDA79" w14:textId="77777777" w:rsidR="00EB46BA" w:rsidRPr="003135B7" w:rsidRDefault="00EB46BA" w:rsidP="00EB46B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135B7">
        <w:rPr>
          <w:rFonts w:ascii="Arial" w:hAnsi="Arial" w:cs="Arial"/>
          <w:b/>
          <w:bCs/>
          <w:sz w:val="20"/>
          <w:szCs w:val="20"/>
        </w:rPr>
        <w:t>Male Participants</w:t>
      </w:r>
      <w:r w:rsidRPr="003135B7">
        <w:rPr>
          <w:rFonts w:ascii="Arial" w:hAnsi="Arial" w:cs="Arial"/>
          <w:sz w:val="20"/>
          <w:szCs w:val="20"/>
        </w:rPr>
        <w:t>:</w:t>
      </w:r>
    </w:p>
    <w:p w14:paraId="0C660ADC" w14:textId="77777777" w:rsidR="000555B6" w:rsidRPr="003135B7" w:rsidRDefault="00EB46BA" w:rsidP="000555B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135B7">
        <w:rPr>
          <w:rFonts w:ascii="Arial" w:hAnsi="Arial" w:cs="Arial"/>
          <w:sz w:val="20"/>
          <w:szCs w:val="20"/>
        </w:rPr>
        <w:t>Within the overweight category, significant hazard ratios (HRs) were identified, indicating an elevated risk for type 2 diabetes (HR = 1.</w:t>
      </w:r>
      <w:r w:rsidR="00CC4909" w:rsidRPr="003135B7">
        <w:rPr>
          <w:rFonts w:ascii="Arial" w:hAnsi="Arial" w:cs="Arial"/>
          <w:sz w:val="20"/>
          <w:szCs w:val="20"/>
        </w:rPr>
        <w:t>6</w:t>
      </w:r>
      <w:r w:rsidRPr="003135B7">
        <w:rPr>
          <w:rFonts w:ascii="Arial" w:hAnsi="Arial" w:cs="Arial"/>
          <w:sz w:val="20"/>
          <w:szCs w:val="20"/>
        </w:rPr>
        <w:t>5, 95% CI: 1.</w:t>
      </w:r>
      <w:r w:rsidR="00CC4909" w:rsidRPr="003135B7">
        <w:rPr>
          <w:rFonts w:ascii="Arial" w:hAnsi="Arial" w:cs="Arial"/>
          <w:sz w:val="20"/>
          <w:szCs w:val="20"/>
        </w:rPr>
        <w:t>16</w:t>
      </w:r>
      <w:r w:rsidRPr="003135B7">
        <w:rPr>
          <w:rFonts w:ascii="Arial" w:hAnsi="Arial" w:cs="Arial"/>
          <w:sz w:val="20"/>
          <w:szCs w:val="20"/>
        </w:rPr>
        <w:t xml:space="preserve"> to 2.</w:t>
      </w:r>
      <w:r w:rsidR="00CC4909" w:rsidRPr="003135B7">
        <w:rPr>
          <w:rFonts w:ascii="Arial" w:hAnsi="Arial" w:cs="Arial"/>
          <w:sz w:val="20"/>
          <w:szCs w:val="20"/>
        </w:rPr>
        <w:t>36</w:t>
      </w:r>
      <w:r w:rsidRPr="003135B7">
        <w:rPr>
          <w:rFonts w:ascii="Arial" w:hAnsi="Arial" w:cs="Arial"/>
          <w:sz w:val="20"/>
          <w:szCs w:val="20"/>
        </w:rPr>
        <w:t>, p &lt; 0.01) and hypertension (HR = 1.36, 95% CI: 1.19 to 1.5</w:t>
      </w:r>
      <w:r w:rsidR="009A1BA2" w:rsidRPr="003135B7">
        <w:rPr>
          <w:rFonts w:ascii="Arial" w:hAnsi="Arial" w:cs="Arial"/>
          <w:sz w:val="20"/>
          <w:szCs w:val="20"/>
        </w:rPr>
        <w:t>6</w:t>
      </w:r>
      <w:r w:rsidRPr="003135B7">
        <w:rPr>
          <w:rFonts w:ascii="Arial" w:hAnsi="Arial" w:cs="Arial"/>
          <w:sz w:val="20"/>
          <w:szCs w:val="20"/>
        </w:rPr>
        <w:t>, p &lt; 0.0</w:t>
      </w:r>
      <w:r w:rsidR="009A1BA2" w:rsidRPr="003135B7">
        <w:rPr>
          <w:rFonts w:ascii="Arial" w:hAnsi="Arial" w:cs="Arial"/>
          <w:sz w:val="20"/>
          <w:szCs w:val="20"/>
        </w:rPr>
        <w:t>0</w:t>
      </w:r>
      <w:r w:rsidRPr="003135B7">
        <w:rPr>
          <w:rFonts w:ascii="Arial" w:hAnsi="Arial" w:cs="Arial"/>
          <w:sz w:val="20"/>
          <w:szCs w:val="20"/>
        </w:rPr>
        <w:t>1).</w:t>
      </w:r>
      <w:r w:rsidR="000555B6" w:rsidRPr="003135B7">
        <w:rPr>
          <w:rFonts w:ascii="Arial" w:hAnsi="Arial" w:cs="Arial"/>
          <w:sz w:val="20"/>
          <w:szCs w:val="20"/>
        </w:rPr>
        <w:t xml:space="preserve"> </w:t>
      </w:r>
    </w:p>
    <w:p w14:paraId="6517522D" w14:textId="40E9E359" w:rsidR="00EB46BA" w:rsidRPr="003135B7" w:rsidRDefault="00EB46BA" w:rsidP="00E1559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135B7">
        <w:rPr>
          <w:rFonts w:ascii="Arial" w:hAnsi="Arial" w:cs="Arial"/>
          <w:sz w:val="20"/>
          <w:szCs w:val="20"/>
        </w:rPr>
        <w:t>Obese males exhibited even higher risks compared to their overweight counterparts. Notably, the risk for type 2 diabetes (HR = 4.5</w:t>
      </w:r>
      <w:r w:rsidR="000555B6" w:rsidRPr="003135B7">
        <w:rPr>
          <w:rFonts w:ascii="Arial" w:hAnsi="Arial" w:cs="Arial"/>
          <w:sz w:val="20"/>
          <w:szCs w:val="20"/>
        </w:rPr>
        <w:t>5</w:t>
      </w:r>
      <w:r w:rsidRPr="003135B7">
        <w:rPr>
          <w:rFonts w:ascii="Arial" w:hAnsi="Arial" w:cs="Arial"/>
          <w:sz w:val="20"/>
          <w:szCs w:val="20"/>
        </w:rPr>
        <w:t>, 95% CI: 3.1</w:t>
      </w:r>
      <w:r w:rsidR="000555B6" w:rsidRPr="003135B7">
        <w:rPr>
          <w:rFonts w:ascii="Arial" w:hAnsi="Arial" w:cs="Arial"/>
          <w:sz w:val="20"/>
          <w:szCs w:val="20"/>
        </w:rPr>
        <w:t>4</w:t>
      </w:r>
      <w:r w:rsidRPr="003135B7">
        <w:rPr>
          <w:rFonts w:ascii="Arial" w:hAnsi="Arial" w:cs="Arial"/>
          <w:sz w:val="20"/>
          <w:szCs w:val="20"/>
        </w:rPr>
        <w:t xml:space="preserve"> to 6.5</w:t>
      </w:r>
      <w:r w:rsidR="000555B6" w:rsidRPr="003135B7">
        <w:rPr>
          <w:rFonts w:ascii="Arial" w:hAnsi="Arial" w:cs="Arial"/>
          <w:sz w:val="20"/>
          <w:szCs w:val="20"/>
        </w:rPr>
        <w:t>8</w:t>
      </w:r>
      <w:r w:rsidRPr="003135B7">
        <w:rPr>
          <w:rFonts w:ascii="Arial" w:hAnsi="Arial" w:cs="Arial"/>
          <w:sz w:val="20"/>
          <w:szCs w:val="20"/>
        </w:rPr>
        <w:t>, p &lt; 0.0</w:t>
      </w:r>
      <w:r w:rsidR="000555B6" w:rsidRPr="003135B7">
        <w:rPr>
          <w:rFonts w:ascii="Arial" w:hAnsi="Arial" w:cs="Arial"/>
          <w:sz w:val="20"/>
          <w:szCs w:val="20"/>
        </w:rPr>
        <w:t>0</w:t>
      </w:r>
      <w:r w:rsidRPr="003135B7">
        <w:rPr>
          <w:rFonts w:ascii="Arial" w:hAnsi="Arial" w:cs="Arial"/>
          <w:sz w:val="20"/>
          <w:szCs w:val="20"/>
        </w:rPr>
        <w:t>1) and hypertension (HR = 2.0</w:t>
      </w:r>
      <w:r w:rsidR="00791AF4" w:rsidRPr="003135B7">
        <w:rPr>
          <w:rFonts w:ascii="Arial" w:hAnsi="Arial" w:cs="Arial"/>
          <w:sz w:val="20"/>
          <w:szCs w:val="20"/>
        </w:rPr>
        <w:t>8</w:t>
      </w:r>
      <w:r w:rsidRPr="003135B7">
        <w:rPr>
          <w:rFonts w:ascii="Arial" w:hAnsi="Arial" w:cs="Arial"/>
          <w:sz w:val="20"/>
          <w:szCs w:val="20"/>
        </w:rPr>
        <w:t>, 95% CI: 1.7</w:t>
      </w:r>
      <w:r w:rsidR="00791AF4" w:rsidRPr="003135B7">
        <w:rPr>
          <w:rFonts w:ascii="Arial" w:hAnsi="Arial" w:cs="Arial"/>
          <w:sz w:val="20"/>
          <w:szCs w:val="20"/>
        </w:rPr>
        <w:t>6</w:t>
      </w:r>
      <w:r w:rsidRPr="003135B7">
        <w:rPr>
          <w:rFonts w:ascii="Arial" w:hAnsi="Arial" w:cs="Arial"/>
          <w:sz w:val="20"/>
          <w:szCs w:val="20"/>
        </w:rPr>
        <w:t xml:space="preserve"> to 2.4</w:t>
      </w:r>
      <w:r w:rsidR="00791AF4" w:rsidRPr="003135B7">
        <w:rPr>
          <w:rFonts w:ascii="Arial" w:hAnsi="Arial" w:cs="Arial"/>
          <w:sz w:val="20"/>
          <w:szCs w:val="20"/>
        </w:rPr>
        <w:t>4</w:t>
      </w:r>
      <w:r w:rsidRPr="003135B7">
        <w:rPr>
          <w:rFonts w:ascii="Arial" w:hAnsi="Arial" w:cs="Arial"/>
          <w:sz w:val="20"/>
          <w:szCs w:val="20"/>
        </w:rPr>
        <w:t>, p &lt; 0.0</w:t>
      </w:r>
      <w:r w:rsidR="00252FE5" w:rsidRPr="003135B7">
        <w:rPr>
          <w:rFonts w:ascii="Arial" w:hAnsi="Arial" w:cs="Arial"/>
          <w:sz w:val="20"/>
          <w:szCs w:val="20"/>
        </w:rPr>
        <w:t>0</w:t>
      </w:r>
      <w:r w:rsidRPr="003135B7">
        <w:rPr>
          <w:rFonts w:ascii="Arial" w:hAnsi="Arial" w:cs="Arial"/>
          <w:sz w:val="20"/>
          <w:szCs w:val="20"/>
        </w:rPr>
        <w:t xml:space="preserve">1) were significantly elevated, alongside increases in </w:t>
      </w:r>
      <w:r w:rsidR="00E15597" w:rsidRPr="003135B7">
        <w:rPr>
          <w:rFonts w:ascii="Arial" w:hAnsi="Arial" w:cs="Arial"/>
          <w:sz w:val="20"/>
          <w:szCs w:val="20"/>
        </w:rPr>
        <w:t>ASCVD (HR = 1.37, 95% CI: 1.04 to 1.79, p &lt; 0.05)</w:t>
      </w:r>
      <w:r w:rsidRPr="003135B7">
        <w:rPr>
          <w:rFonts w:ascii="Arial" w:hAnsi="Arial" w:cs="Arial"/>
          <w:sz w:val="20"/>
          <w:szCs w:val="20"/>
        </w:rPr>
        <w:t xml:space="preserve"> and</w:t>
      </w:r>
      <w:r w:rsidR="00E15597" w:rsidRPr="003135B7">
        <w:rPr>
          <w:rFonts w:ascii="Arial" w:hAnsi="Arial" w:cs="Arial"/>
          <w:sz w:val="20"/>
          <w:szCs w:val="20"/>
        </w:rPr>
        <w:t xml:space="preserve"> metabolic syndrome (HR = 1.3</w:t>
      </w:r>
      <w:r w:rsidR="008842F4" w:rsidRPr="003135B7">
        <w:rPr>
          <w:rFonts w:ascii="Arial" w:hAnsi="Arial" w:cs="Arial"/>
          <w:sz w:val="20"/>
          <w:szCs w:val="20"/>
        </w:rPr>
        <w:t>5</w:t>
      </w:r>
      <w:r w:rsidR="00E15597" w:rsidRPr="003135B7">
        <w:rPr>
          <w:rFonts w:ascii="Arial" w:hAnsi="Arial" w:cs="Arial"/>
          <w:sz w:val="20"/>
          <w:szCs w:val="20"/>
        </w:rPr>
        <w:t>, 95% CI: 1.1</w:t>
      </w:r>
      <w:r w:rsidR="008842F4" w:rsidRPr="003135B7">
        <w:rPr>
          <w:rFonts w:ascii="Arial" w:hAnsi="Arial" w:cs="Arial"/>
          <w:sz w:val="20"/>
          <w:szCs w:val="20"/>
        </w:rPr>
        <w:t>3</w:t>
      </w:r>
      <w:r w:rsidR="00E15597" w:rsidRPr="003135B7">
        <w:rPr>
          <w:rFonts w:ascii="Arial" w:hAnsi="Arial" w:cs="Arial"/>
          <w:sz w:val="20"/>
          <w:szCs w:val="20"/>
        </w:rPr>
        <w:t xml:space="preserve"> to 1.6</w:t>
      </w:r>
      <w:r w:rsidR="008842F4" w:rsidRPr="003135B7">
        <w:rPr>
          <w:rFonts w:ascii="Arial" w:hAnsi="Arial" w:cs="Arial"/>
          <w:sz w:val="20"/>
          <w:szCs w:val="20"/>
        </w:rPr>
        <w:t>2</w:t>
      </w:r>
      <w:r w:rsidR="00E15597" w:rsidRPr="003135B7">
        <w:rPr>
          <w:rFonts w:ascii="Arial" w:hAnsi="Arial" w:cs="Arial"/>
          <w:sz w:val="20"/>
          <w:szCs w:val="20"/>
        </w:rPr>
        <w:t>, p &lt; 0.01)</w:t>
      </w:r>
      <w:r w:rsidRPr="003135B7">
        <w:rPr>
          <w:rFonts w:ascii="Arial" w:hAnsi="Arial" w:cs="Arial"/>
          <w:sz w:val="20"/>
          <w:szCs w:val="20"/>
        </w:rPr>
        <w:t>. The risk for cerebrovascular diseases did not significantly vary with BMI.</w:t>
      </w:r>
      <w:r w:rsidR="00E15597" w:rsidRPr="003135B7">
        <w:rPr>
          <w:rFonts w:ascii="Arial" w:hAnsi="Arial" w:cs="Arial"/>
          <w:sz w:val="20"/>
          <w:szCs w:val="20"/>
        </w:rPr>
        <w:t xml:space="preserve"> </w:t>
      </w:r>
    </w:p>
    <w:p w14:paraId="4AB87DD6" w14:textId="1D255A30" w:rsidR="00EB46BA" w:rsidRPr="00DF484E" w:rsidRDefault="00EB46BA" w:rsidP="00EB46BA">
      <w:pPr>
        <w:pStyle w:val="NormalWeb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DF484E">
        <w:rPr>
          <w:rFonts w:ascii="Arial" w:hAnsi="Arial" w:cs="Arial"/>
          <w:b/>
          <w:bCs/>
          <w:sz w:val="20"/>
          <w:szCs w:val="20"/>
        </w:rPr>
        <w:t>Female Participants</w:t>
      </w:r>
      <w:r w:rsidRPr="00DF484E">
        <w:rPr>
          <w:rFonts w:ascii="Arial" w:hAnsi="Arial" w:cs="Arial"/>
          <w:sz w:val="20"/>
          <w:szCs w:val="20"/>
        </w:rPr>
        <w:t>:</w:t>
      </w:r>
    </w:p>
    <w:p w14:paraId="79FFA24A" w14:textId="397605FF" w:rsidR="000C1DDD" w:rsidRPr="00DF484E" w:rsidRDefault="00EB46BA" w:rsidP="00EB46B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F484E">
        <w:rPr>
          <w:rFonts w:ascii="Arial" w:hAnsi="Arial" w:cs="Arial"/>
          <w:sz w:val="20"/>
          <w:szCs w:val="20"/>
        </w:rPr>
        <w:t>Similarly, overweight females faced significant risks for type 2 diabetes (HR = 3.18, 95% CI: 2.1</w:t>
      </w:r>
      <w:r w:rsidR="000C1DDD" w:rsidRPr="00DF484E">
        <w:rPr>
          <w:rFonts w:ascii="Arial" w:hAnsi="Arial" w:cs="Arial"/>
          <w:sz w:val="20"/>
          <w:szCs w:val="20"/>
        </w:rPr>
        <w:t>3</w:t>
      </w:r>
      <w:r w:rsidRPr="00DF484E">
        <w:rPr>
          <w:rFonts w:ascii="Arial" w:hAnsi="Arial" w:cs="Arial"/>
          <w:sz w:val="20"/>
          <w:szCs w:val="20"/>
        </w:rPr>
        <w:t xml:space="preserve"> to 4.7</w:t>
      </w:r>
      <w:r w:rsidR="000C1DDD" w:rsidRPr="00DF484E">
        <w:rPr>
          <w:rFonts w:ascii="Arial" w:hAnsi="Arial" w:cs="Arial"/>
          <w:sz w:val="20"/>
          <w:szCs w:val="20"/>
        </w:rPr>
        <w:t>6</w:t>
      </w:r>
      <w:r w:rsidRPr="00DF484E">
        <w:rPr>
          <w:rFonts w:ascii="Arial" w:hAnsi="Arial" w:cs="Arial"/>
          <w:sz w:val="20"/>
          <w:szCs w:val="20"/>
        </w:rPr>
        <w:t>, p &lt; 0.</w:t>
      </w:r>
      <w:r w:rsidR="000C1DDD" w:rsidRPr="00DF484E">
        <w:rPr>
          <w:rFonts w:ascii="Arial" w:hAnsi="Arial" w:cs="Arial"/>
          <w:sz w:val="20"/>
          <w:szCs w:val="20"/>
        </w:rPr>
        <w:t>0</w:t>
      </w:r>
      <w:r w:rsidRPr="00DF484E">
        <w:rPr>
          <w:rFonts w:ascii="Arial" w:hAnsi="Arial" w:cs="Arial"/>
          <w:sz w:val="20"/>
          <w:szCs w:val="20"/>
        </w:rPr>
        <w:t>01), hypertension (HR = 1.30, 95% CI: 1.1</w:t>
      </w:r>
      <w:r w:rsidR="00D076E8" w:rsidRPr="00DF484E">
        <w:rPr>
          <w:rFonts w:ascii="Arial" w:hAnsi="Arial" w:cs="Arial"/>
          <w:sz w:val="20"/>
          <w:szCs w:val="20"/>
        </w:rPr>
        <w:t>6</w:t>
      </w:r>
      <w:r w:rsidRPr="00DF484E">
        <w:rPr>
          <w:rFonts w:ascii="Arial" w:hAnsi="Arial" w:cs="Arial"/>
          <w:sz w:val="20"/>
          <w:szCs w:val="20"/>
        </w:rPr>
        <w:t xml:space="preserve"> to 1.4</w:t>
      </w:r>
      <w:r w:rsidR="00D076E8" w:rsidRPr="00DF484E">
        <w:rPr>
          <w:rFonts w:ascii="Arial" w:hAnsi="Arial" w:cs="Arial"/>
          <w:sz w:val="20"/>
          <w:szCs w:val="20"/>
        </w:rPr>
        <w:t>7</w:t>
      </w:r>
      <w:r w:rsidRPr="00DF484E">
        <w:rPr>
          <w:rFonts w:ascii="Arial" w:hAnsi="Arial" w:cs="Arial"/>
          <w:sz w:val="20"/>
          <w:szCs w:val="20"/>
        </w:rPr>
        <w:t>, p &lt; 0.0</w:t>
      </w:r>
      <w:r w:rsidR="00D076E8" w:rsidRPr="00DF484E">
        <w:rPr>
          <w:rFonts w:ascii="Arial" w:hAnsi="Arial" w:cs="Arial"/>
          <w:sz w:val="20"/>
          <w:szCs w:val="20"/>
        </w:rPr>
        <w:t>0</w:t>
      </w:r>
      <w:r w:rsidRPr="00DF484E">
        <w:rPr>
          <w:rFonts w:ascii="Arial" w:hAnsi="Arial" w:cs="Arial"/>
          <w:sz w:val="20"/>
          <w:szCs w:val="20"/>
        </w:rPr>
        <w:t>1), and metabolic syndrome (HR = 1.1</w:t>
      </w:r>
      <w:r w:rsidR="000C1DDD" w:rsidRPr="00DF484E">
        <w:rPr>
          <w:rFonts w:ascii="Arial" w:hAnsi="Arial" w:cs="Arial"/>
          <w:sz w:val="20"/>
          <w:szCs w:val="20"/>
        </w:rPr>
        <w:t>5</w:t>
      </w:r>
      <w:r w:rsidRPr="00DF484E">
        <w:rPr>
          <w:rFonts w:ascii="Arial" w:hAnsi="Arial" w:cs="Arial"/>
          <w:sz w:val="20"/>
          <w:szCs w:val="20"/>
        </w:rPr>
        <w:t>, 95% CI: 1.0</w:t>
      </w:r>
      <w:r w:rsidR="000C1DDD" w:rsidRPr="00DF484E">
        <w:rPr>
          <w:rFonts w:ascii="Arial" w:hAnsi="Arial" w:cs="Arial"/>
          <w:sz w:val="20"/>
          <w:szCs w:val="20"/>
        </w:rPr>
        <w:t>1</w:t>
      </w:r>
      <w:r w:rsidRPr="00DF484E">
        <w:rPr>
          <w:rFonts w:ascii="Arial" w:hAnsi="Arial" w:cs="Arial"/>
          <w:sz w:val="20"/>
          <w:szCs w:val="20"/>
        </w:rPr>
        <w:t xml:space="preserve"> to 1.3</w:t>
      </w:r>
      <w:r w:rsidR="000C1DDD" w:rsidRPr="00DF484E">
        <w:rPr>
          <w:rFonts w:ascii="Arial" w:hAnsi="Arial" w:cs="Arial"/>
          <w:sz w:val="20"/>
          <w:szCs w:val="20"/>
        </w:rPr>
        <w:t>0</w:t>
      </w:r>
      <w:r w:rsidRPr="00DF484E">
        <w:rPr>
          <w:rFonts w:ascii="Arial" w:hAnsi="Arial" w:cs="Arial"/>
          <w:sz w:val="20"/>
          <w:szCs w:val="20"/>
        </w:rPr>
        <w:t>, p &lt; 0.0</w:t>
      </w:r>
      <w:r w:rsidR="000C1DDD" w:rsidRPr="00DF484E">
        <w:rPr>
          <w:rFonts w:ascii="Arial" w:hAnsi="Arial" w:cs="Arial"/>
          <w:sz w:val="20"/>
          <w:szCs w:val="20"/>
        </w:rPr>
        <w:t>5</w:t>
      </w:r>
      <w:r w:rsidRPr="00DF484E">
        <w:rPr>
          <w:rFonts w:ascii="Arial" w:hAnsi="Arial" w:cs="Arial"/>
          <w:sz w:val="20"/>
          <w:szCs w:val="20"/>
        </w:rPr>
        <w:t>).</w:t>
      </w:r>
    </w:p>
    <w:p w14:paraId="16E3B2EC" w14:textId="65DDE8E2" w:rsidR="00EB46BA" w:rsidRPr="00DF484E" w:rsidRDefault="00EB46BA" w:rsidP="00EB46BA">
      <w:pPr>
        <w:rPr>
          <w:rFonts w:ascii="Arial" w:hAnsi="Arial" w:cs="Arial"/>
          <w:sz w:val="20"/>
          <w:szCs w:val="20"/>
        </w:rPr>
      </w:pPr>
      <w:r w:rsidRPr="00DF484E">
        <w:rPr>
          <w:rFonts w:ascii="Arial" w:hAnsi="Arial" w:cs="Arial"/>
          <w:sz w:val="20"/>
          <w:szCs w:val="20"/>
        </w:rPr>
        <w:t>The obesity group showed a more pronounced risk across all examined conditions compared to the overweight group. This included remarkably high HRs for type 2 diabetes (HR = 8.</w:t>
      </w:r>
      <w:r w:rsidR="007506CF" w:rsidRPr="00DF484E">
        <w:rPr>
          <w:rFonts w:ascii="Arial" w:hAnsi="Arial" w:cs="Arial"/>
          <w:sz w:val="20"/>
          <w:szCs w:val="20"/>
        </w:rPr>
        <w:t>50</w:t>
      </w:r>
      <w:r w:rsidRPr="00DF484E">
        <w:rPr>
          <w:rFonts w:ascii="Arial" w:hAnsi="Arial" w:cs="Arial"/>
          <w:sz w:val="20"/>
          <w:szCs w:val="20"/>
        </w:rPr>
        <w:t>, 95% CI: 5.</w:t>
      </w:r>
      <w:r w:rsidR="007506CF" w:rsidRPr="00DF484E">
        <w:rPr>
          <w:rFonts w:ascii="Arial" w:hAnsi="Arial" w:cs="Arial"/>
          <w:sz w:val="20"/>
          <w:szCs w:val="20"/>
        </w:rPr>
        <w:t>67</w:t>
      </w:r>
      <w:r w:rsidRPr="00DF484E">
        <w:rPr>
          <w:rFonts w:ascii="Arial" w:hAnsi="Arial" w:cs="Arial"/>
          <w:sz w:val="20"/>
          <w:szCs w:val="20"/>
        </w:rPr>
        <w:t xml:space="preserve"> to 1</w:t>
      </w:r>
      <w:r w:rsidR="007506CF" w:rsidRPr="00DF484E">
        <w:rPr>
          <w:rFonts w:ascii="Arial" w:hAnsi="Arial" w:cs="Arial"/>
          <w:sz w:val="20"/>
          <w:szCs w:val="20"/>
        </w:rPr>
        <w:t>2</w:t>
      </w:r>
      <w:r w:rsidRPr="00DF484E">
        <w:rPr>
          <w:rFonts w:ascii="Arial" w:hAnsi="Arial" w:cs="Arial"/>
          <w:sz w:val="20"/>
          <w:szCs w:val="20"/>
        </w:rPr>
        <w:t>.</w:t>
      </w:r>
      <w:r w:rsidR="007506CF" w:rsidRPr="00DF484E">
        <w:rPr>
          <w:rFonts w:ascii="Arial" w:hAnsi="Arial" w:cs="Arial"/>
          <w:sz w:val="20"/>
          <w:szCs w:val="20"/>
        </w:rPr>
        <w:t>73</w:t>
      </w:r>
      <w:r w:rsidRPr="00DF484E">
        <w:rPr>
          <w:rFonts w:ascii="Arial" w:hAnsi="Arial" w:cs="Arial"/>
          <w:sz w:val="20"/>
          <w:szCs w:val="20"/>
        </w:rPr>
        <w:t>, p &lt; 0.0</w:t>
      </w:r>
      <w:r w:rsidR="007506CF" w:rsidRPr="00DF484E">
        <w:rPr>
          <w:rFonts w:ascii="Arial" w:hAnsi="Arial" w:cs="Arial"/>
          <w:sz w:val="20"/>
          <w:szCs w:val="20"/>
        </w:rPr>
        <w:t>0</w:t>
      </w:r>
      <w:r w:rsidRPr="00DF484E">
        <w:rPr>
          <w:rFonts w:ascii="Arial" w:hAnsi="Arial" w:cs="Arial"/>
          <w:sz w:val="20"/>
          <w:szCs w:val="20"/>
        </w:rPr>
        <w:t>1), hypertension (HR = 2.2</w:t>
      </w:r>
      <w:r w:rsidR="00D076E8" w:rsidRPr="00DF484E">
        <w:rPr>
          <w:rFonts w:ascii="Arial" w:hAnsi="Arial" w:cs="Arial"/>
          <w:sz w:val="20"/>
          <w:szCs w:val="20"/>
        </w:rPr>
        <w:t>7</w:t>
      </w:r>
      <w:r w:rsidRPr="00DF484E">
        <w:rPr>
          <w:rFonts w:ascii="Arial" w:hAnsi="Arial" w:cs="Arial"/>
          <w:sz w:val="20"/>
          <w:szCs w:val="20"/>
        </w:rPr>
        <w:t>, 95% CI: 1.9</w:t>
      </w:r>
      <w:r w:rsidR="00D076E8" w:rsidRPr="00DF484E">
        <w:rPr>
          <w:rFonts w:ascii="Arial" w:hAnsi="Arial" w:cs="Arial"/>
          <w:sz w:val="20"/>
          <w:szCs w:val="20"/>
        </w:rPr>
        <w:t>8</w:t>
      </w:r>
      <w:r w:rsidRPr="00DF484E">
        <w:rPr>
          <w:rFonts w:ascii="Arial" w:hAnsi="Arial" w:cs="Arial"/>
          <w:sz w:val="20"/>
          <w:szCs w:val="20"/>
        </w:rPr>
        <w:t xml:space="preserve"> to 2.</w:t>
      </w:r>
      <w:r w:rsidR="00D076E8" w:rsidRPr="00DF484E">
        <w:rPr>
          <w:rFonts w:ascii="Arial" w:hAnsi="Arial" w:cs="Arial"/>
          <w:sz w:val="20"/>
          <w:szCs w:val="20"/>
        </w:rPr>
        <w:t>61</w:t>
      </w:r>
      <w:r w:rsidRPr="00DF484E">
        <w:rPr>
          <w:rFonts w:ascii="Arial" w:hAnsi="Arial" w:cs="Arial"/>
          <w:sz w:val="20"/>
          <w:szCs w:val="20"/>
        </w:rPr>
        <w:t>, p &lt; 0.0</w:t>
      </w:r>
      <w:r w:rsidR="00D076E8" w:rsidRPr="00DF484E">
        <w:rPr>
          <w:rFonts w:ascii="Arial" w:hAnsi="Arial" w:cs="Arial"/>
          <w:sz w:val="20"/>
          <w:szCs w:val="20"/>
        </w:rPr>
        <w:t>0</w:t>
      </w:r>
      <w:r w:rsidRPr="00DF484E">
        <w:rPr>
          <w:rFonts w:ascii="Arial" w:hAnsi="Arial" w:cs="Arial"/>
          <w:sz w:val="20"/>
          <w:szCs w:val="20"/>
        </w:rPr>
        <w:t>1), ASCVD (HR = 1.</w:t>
      </w:r>
      <w:r w:rsidR="007506CF" w:rsidRPr="00DF484E">
        <w:rPr>
          <w:rFonts w:ascii="Arial" w:hAnsi="Arial" w:cs="Arial"/>
          <w:sz w:val="20"/>
          <w:szCs w:val="20"/>
        </w:rPr>
        <w:t>87</w:t>
      </w:r>
      <w:r w:rsidRPr="00DF484E">
        <w:rPr>
          <w:rFonts w:ascii="Arial" w:hAnsi="Arial" w:cs="Arial"/>
          <w:sz w:val="20"/>
          <w:szCs w:val="20"/>
        </w:rPr>
        <w:t>, 95% CI: 1.</w:t>
      </w:r>
      <w:r w:rsidR="007506CF" w:rsidRPr="00DF484E">
        <w:rPr>
          <w:rFonts w:ascii="Arial" w:hAnsi="Arial" w:cs="Arial"/>
          <w:sz w:val="20"/>
          <w:szCs w:val="20"/>
        </w:rPr>
        <w:t>35</w:t>
      </w:r>
      <w:r w:rsidRPr="00DF484E">
        <w:rPr>
          <w:rFonts w:ascii="Arial" w:hAnsi="Arial" w:cs="Arial"/>
          <w:sz w:val="20"/>
          <w:szCs w:val="20"/>
        </w:rPr>
        <w:t xml:space="preserve"> to 2.</w:t>
      </w:r>
      <w:r w:rsidR="007506CF" w:rsidRPr="00DF484E">
        <w:rPr>
          <w:rFonts w:ascii="Arial" w:hAnsi="Arial" w:cs="Arial"/>
          <w:sz w:val="20"/>
          <w:szCs w:val="20"/>
        </w:rPr>
        <w:t>59</w:t>
      </w:r>
      <w:r w:rsidRPr="00DF484E">
        <w:rPr>
          <w:rFonts w:ascii="Arial" w:hAnsi="Arial" w:cs="Arial"/>
          <w:sz w:val="20"/>
          <w:szCs w:val="20"/>
        </w:rPr>
        <w:t>, p &lt; 0.0</w:t>
      </w:r>
      <w:r w:rsidR="007506CF" w:rsidRPr="00DF484E">
        <w:rPr>
          <w:rFonts w:ascii="Arial" w:hAnsi="Arial" w:cs="Arial"/>
          <w:sz w:val="20"/>
          <w:szCs w:val="20"/>
        </w:rPr>
        <w:t>0</w:t>
      </w:r>
      <w:r w:rsidRPr="00DF484E">
        <w:rPr>
          <w:rFonts w:ascii="Arial" w:hAnsi="Arial" w:cs="Arial"/>
          <w:sz w:val="20"/>
          <w:szCs w:val="20"/>
        </w:rPr>
        <w:t>1), and metabolic syndrome (HR = 1.3</w:t>
      </w:r>
      <w:r w:rsidR="007506CF" w:rsidRPr="00DF484E">
        <w:rPr>
          <w:rFonts w:ascii="Arial" w:hAnsi="Arial" w:cs="Arial"/>
          <w:sz w:val="20"/>
          <w:szCs w:val="20"/>
        </w:rPr>
        <w:t>7</w:t>
      </w:r>
      <w:r w:rsidRPr="00DF484E">
        <w:rPr>
          <w:rFonts w:ascii="Arial" w:hAnsi="Arial" w:cs="Arial"/>
          <w:sz w:val="20"/>
          <w:szCs w:val="20"/>
        </w:rPr>
        <w:t>, 95% CI: 1.1</w:t>
      </w:r>
      <w:r w:rsidR="007506CF" w:rsidRPr="00DF484E">
        <w:rPr>
          <w:rFonts w:ascii="Arial" w:hAnsi="Arial" w:cs="Arial"/>
          <w:sz w:val="20"/>
          <w:szCs w:val="20"/>
        </w:rPr>
        <w:t>7</w:t>
      </w:r>
      <w:r w:rsidRPr="00DF484E">
        <w:rPr>
          <w:rFonts w:ascii="Arial" w:hAnsi="Arial" w:cs="Arial"/>
          <w:sz w:val="20"/>
          <w:szCs w:val="20"/>
        </w:rPr>
        <w:t xml:space="preserve"> to 1.</w:t>
      </w:r>
      <w:r w:rsidR="007506CF" w:rsidRPr="00DF484E">
        <w:rPr>
          <w:rFonts w:ascii="Arial" w:hAnsi="Arial" w:cs="Arial"/>
          <w:sz w:val="20"/>
          <w:szCs w:val="20"/>
        </w:rPr>
        <w:t>62</w:t>
      </w:r>
      <w:r w:rsidRPr="00DF484E">
        <w:rPr>
          <w:rFonts w:ascii="Arial" w:hAnsi="Arial" w:cs="Arial"/>
          <w:sz w:val="20"/>
          <w:szCs w:val="20"/>
        </w:rPr>
        <w:t>, p &lt; 0.01).</w:t>
      </w:r>
    </w:p>
    <w:p w14:paraId="76E2045A" w14:textId="77777777" w:rsidR="0013355F" w:rsidRPr="003135B7" w:rsidRDefault="0013355F" w:rsidP="00EB46BA">
      <w:pPr>
        <w:rPr>
          <w:rFonts w:ascii="Arial" w:hAnsi="Arial" w:cs="Arial"/>
        </w:rPr>
      </w:pPr>
    </w:p>
    <w:p w14:paraId="3AEC05FE" w14:textId="58833505" w:rsidR="007A6861" w:rsidRPr="007A6861" w:rsidRDefault="008F3C0D" w:rsidP="007A6861">
      <w:pPr>
        <w:spacing w:beforeLines="100" w:before="240" w:after="0"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Supplementary</w:t>
      </w:r>
      <w:r w:rsidR="007A6861" w:rsidRPr="007A6861">
        <w:rPr>
          <w:rFonts w:ascii="Arial" w:hAnsi="Arial" w:cs="Arial"/>
          <w:b/>
          <w:bCs/>
        </w:rPr>
        <w:t xml:space="preserve"> Figures and Tables</w:t>
      </w:r>
    </w:p>
    <w:p w14:paraId="0BAEBDE3" w14:textId="600E415E" w:rsidR="007A6861" w:rsidRPr="00DF484E" w:rsidRDefault="008F3C0D" w:rsidP="007A6861">
      <w:pPr>
        <w:spacing w:after="0" w:line="480" w:lineRule="auto"/>
        <w:rPr>
          <w:rFonts w:ascii="Arial" w:hAnsi="Arial" w:cs="Arial"/>
          <w:i/>
          <w:iCs/>
          <w:sz w:val="20"/>
          <w:szCs w:val="20"/>
        </w:rPr>
      </w:pPr>
      <w:r w:rsidRPr="00DF484E">
        <w:rPr>
          <w:rFonts w:ascii="Arial" w:hAnsi="Arial" w:cs="Arial"/>
          <w:i/>
          <w:iCs/>
          <w:sz w:val="20"/>
          <w:szCs w:val="20"/>
        </w:rPr>
        <w:t>Supplementary</w:t>
      </w:r>
      <w:r w:rsidR="007A6861" w:rsidRPr="00DF484E">
        <w:rPr>
          <w:rFonts w:ascii="Arial" w:hAnsi="Arial" w:cs="Arial"/>
          <w:i/>
          <w:iCs/>
          <w:sz w:val="20"/>
          <w:szCs w:val="20"/>
        </w:rPr>
        <w:t xml:space="preserve"> Figure Legends and File Names</w:t>
      </w:r>
    </w:p>
    <w:p w14:paraId="49B7746C" w14:textId="21EDF366" w:rsidR="007A6861" w:rsidRPr="00DF484E" w:rsidRDefault="008F3C0D" w:rsidP="007A6861">
      <w:pPr>
        <w:snapToGrid w:val="0"/>
        <w:spacing w:after="0" w:line="480" w:lineRule="auto"/>
        <w:ind w:firstLineChars="200" w:firstLine="402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DF484E">
        <w:rPr>
          <w:rFonts w:ascii="Arial" w:hAnsi="Arial" w:cs="Arial"/>
          <w:b/>
          <w:sz w:val="20"/>
          <w:szCs w:val="20"/>
        </w:rPr>
        <w:t>Supplementary</w:t>
      </w:r>
      <w:r w:rsidR="007A6861" w:rsidRPr="00DF484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Fig</w:t>
      </w:r>
      <w:r w:rsidR="007A6861" w:rsidRPr="00DF484E">
        <w:rPr>
          <w:rFonts w:ascii="Arial" w:hAnsi="Arial" w:cs="Arial"/>
          <w:b/>
          <w:bCs/>
          <w:color w:val="000000" w:themeColor="text1"/>
          <w:sz w:val="20"/>
          <w:szCs w:val="20"/>
          <w:lang w:eastAsia="zh-CN"/>
        </w:rPr>
        <w:t>ure</w:t>
      </w:r>
      <w:r w:rsidR="007A6861" w:rsidRPr="00DF484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S1</w:t>
      </w:r>
      <w:r w:rsidR="007A6861" w:rsidRPr="00DF484E">
        <w:rPr>
          <w:rFonts w:ascii="Arial" w:hAnsi="Arial" w:cs="Arial"/>
          <w:b/>
          <w:bCs/>
          <w:color w:val="000000" w:themeColor="text1"/>
          <w:sz w:val="20"/>
          <w:szCs w:val="20"/>
          <w:lang w:eastAsia="zh-CN"/>
        </w:rPr>
        <w:t>:</w:t>
      </w:r>
      <w:r w:rsidR="007A6861" w:rsidRPr="00DF484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7A6861" w:rsidRPr="00DF484E">
        <w:rPr>
          <w:rFonts w:ascii="Arial" w:hAnsi="Arial" w:cs="Arial"/>
          <w:color w:val="000000" w:themeColor="text1"/>
          <w:sz w:val="20"/>
          <w:szCs w:val="20"/>
        </w:rPr>
        <w:t>Overview of an ML pipeline for accelerometer data processing</w:t>
      </w:r>
      <w:r w:rsidR="007A6861" w:rsidRPr="00DF484E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</w:p>
    <w:p w14:paraId="1F5017AD" w14:textId="409F65FF" w:rsidR="007A6861" w:rsidRPr="00DF484E" w:rsidRDefault="008F3C0D" w:rsidP="007A6861">
      <w:pPr>
        <w:snapToGrid w:val="0"/>
        <w:spacing w:after="0" w:line="480" w:lineRule="auto"/>
        <w:ind w:firstLineChars="200" w:firstLine="402"/>
        <w:jc w:val="both"/>
        <w:rPr>
          <w:rFonts w:ascii="Arial" w:hAnsi="Arial" w:cs="Arial"/>
          <w:sz w:val="20"/>
          <w:szCs w:val="20"/>
          <w:lang w:eastAsia="zh-CN"/>
        </w:rPr>
      </w:pPr>
      <w:r w:rsidRPr="00DF484E">
        <w:rPr>
          <w:rFonts w:ascii="Arial" w:hAnsi="Arial" w:cs="Arial"/>
          <w:b/>
          <w:sz w:val="20"/>
          <w:szCs w:val="20"/>
        </w:rPr>
        <w:t>Supplementary</w:t>
      </w:r>
      <w:r w:rsidR="007A6861" w:rsidRPr="00DF484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Table S1</w:t>
      </w:r>
      <w:r w:rsidR="007A6861" w:rsidRPr="00DF484E">
        <w:rPr>
          <w:rFonts w:ascii="Arial" w:hAnsi="Arial" w:cs="Arial"/>
          <w:b/>
          <w:bCs/>
          <w:color w:val="000000" w:themeColor="text1"/>
          <w:sz w:val="20"/>
          <w:szCs w:val="20"/>
          <w:lang w:eastAsia="zh-CN"/>
        </w:rPr>
        <w:t xml:space="preserve">: </w:t>
      </w:r>
      <w:r w:rsidR="007A6861" w:rsidRPr="00DF484E">
        <w:rPr>
          <w:rFonts w:ascii="Arial" w:hAnsi="Arial" w:cs="Arial"/>
          <w:color w:val="000000" w:themeColor="text1"/>
          <w:sz w:val="20"/>
          <w:szCs w:val="20"/>
          <w:lang w:eastAsia="zh-CN"/>
        </w:rPr>
        <w:t>Odds ratios, 95% confidence intervals, and p-values for chronic diseases by other covariates.</w:t>
      </w:r>
      <w:r w:rsidR="007A6861" w:rsidRPr="00DF484E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683F7DAD" w14:textId="3E18CE97" w:rsidR="007A6861" w:rsidRPr="00DF484E" w:rsidRDefault="008F3C0D" w:rsidP="007A6861">
      <w:pPr>
        <w:snapToGrid w:val="0"/>
        <w:spacing w:after="0" w:line="480" w:lineRule="auto"/>
        <w:ind w:firstLineChars="200" w:firstLine="402"/>
        <w:jc w:val="both"/>
        <w:rPr>
          <w:rFonts w:ascii="Arial" w:hAnsi="Arial" w:cs="Arial"/>
          <w:sz w:val="20"/>
          <w:szCs w:val="20"/>
          <w:lang w:eastAsia="zh-CN"/>
        </w:rPr>
      </w:pPr>
      <w:r w:rsidRPr="00DF484E">
        <w:rPr>
          <w:rFonts w:ascii="Arial" w:hAnsi="Arial" w:cs="Arial"/>
          <w:b/>
          <w:sz w:val="20"/>
          <w:szCs w:val="20"/>
        </w:rPr>
        <w:t>Supplementary</w:t>
      </w:r>
      <w:r w:rsidR="007A6861" w:rsidRPr="00DF484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Table S2</w:t>
      </w:r>
      <w:r w:rsidR="007A6861" w:rsidRPr="00DF484E">
        <w:rPr>
          <w:rFonts w:ascii="Arial" w:hAnsi="Arial" w:cs="Arial"/>
          <w:b/>
          <w:bCs/>
          <w:color w:val="000000" w:themeColor="text1"/>
          <w:sz w:val="20"/>
          <w:szCs w:val="20"/>
          <w:lang w:eastAsia="zh-CN"/>
        </w:rPr>
        <w:t xml:space="preserve">: </w:t>
      </w:r>
      <w:r w:rsidR="007A6861" w:rsidRPr="00DF484E">
        <w:rPr>
          <w:rFonts w:ascii="Arial" w:hAnsi="Arial" w:cs="Arial"/>
          <w:color w:val="000000" w:themeColor="text1"/>
          <w:sz w:val="20"/>
          <w:szCs w:val="20"/>
          <w:lang w:eastAsia="zh-CN"/>
        </w:rPr>
        <w:t>Hazard ratio of chronic disease development at 3 years with MVPA levels, gender, age, and BMI.</w:t>
      </w:r>
      <w:r w:rsidR="007A6861" w:rsidRPr="00DF484E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0ECB457B" w14:textId="1DFA2D9A" w:rsidR="0013355F" w:rsidRPr="003135B7" w:rsidRDefault="0013355F" w:rsidP="0013355F">
      <w:pPr>
        <w:rPr>
          <w:rFonts w:ascii="Arial" w:hAnsi="Arial" w:cs="Arial"/>
          <w:b/>
          <w:bCs/>
          <w:lang w:val="en-US"/>
        </w:rPr>
      </w:pPr>
    </w:p>
    <w:sectPr w:rsidR="0013355F" w:rsidRPr="003135B7" w:rsidSect="0018192D">
      <w:footerReference w:type="default" r:id="rId12"/>
      <w:pgSz w:w="11906" w:h="16838"/>
      <w:pgMar w:top="1440" w:right="99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ADF8D" w14:textId="77777777" w:rsidR="00E372B6" w:rsidRDefault="00E372B6" w:rsidP="004224D1">
      <w:pPr>
        <w:spacing w:after="0" w:line="240" w:lineRule="auto"/>
      </w:pPr>
      <w:r>
        <w:separator/>
      </w:r>
    </w:p>
  </w:endnote>
  <w:endnote w:type="continuationSeparator" w:id="0">
    <w:p w14:paraId="0B08A814" w14:textId="77777777" w:rsidR="00E372B6" w:rsidRDefault="00E372B6" w:rsidP="00422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58957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6F1AA5A" w14:textId="7961AA7F" w:rsidR="004224D1" w:rsidRPr="004224D1" w:rsidRDefault="004224D1">
        <w:pPr>
          <w:pStyle w:val="Footer"/>
          <w:jc w:val="center"/>
          <w:rPr>
            <w:sz w:val="20"/>
            <w:szCs w:val="20"/>
          </w:rPr>
        </w:pPr>
        <w:r w:rsidRPr="004224D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224D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224D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224D1">
          <w:rPr>
            <w:rFonts w:ascii="Times New Roman" w:hAnsi="Times New Roman" w:cs="Times New Roman"/>
            <w:sz w:val="20"/>
            <w:szCs w:val="20"/>
          </w:rPr>
          <w:t>2</w:t>
        </w:r>
        <w:r w:rsidRPr="004224D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A53B721" w14:textId="77777777" w:rsidR="004224D1" w:rsidRDefault="00422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9A29E" w14:textId="77777777" w:rsidR="00E372B6" w:rsidRDefault="00E372B6" w:rsidP="004224D1">
      <w:pPr>
        <w:spacing w:after="0" w:line="240" w:lineRule="auto"/>
      </w:pPr>
      <w:r>
        <w:separator/>
      </w:r>
    </w:p>
  </w:footnote>
  <w:footnote w:type="continuationSeparator" w:id="0">
    <w:p w14:paraId="04E86E1C" w14:textId="77777777" w:rsidR="00E372B6" w:rsidRDefault="00E372B6" w:rsidP="00422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3803"/>
    <w:multiLevelType w:val="hybridMultilevel"/>
    <w:tmpl w:val="203E5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21B0B"/>
    <w:multiLevelType w:val="hybridMultilevel"/>
    <w:tmpl w:val="6B864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001EC"/>
    <w:multiLevelType w:val="hybridMultilevel"/>
    <w:tmpl w:val="C47AF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5423B"/>
    <w:multiLevelType w:val="hybridMultilevel"/>
    <w:tmpl w:val="38268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F7901"/>
    <w:multiLevelType w:val="hybridMultilevel"/>
    <w:tmpl w:val="E10C4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1495F"/>
    <w:multiLevelType w:val="hybridMultilevel"/>
    <w:tmpl w:val="07A00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57781"/>
    <w:multiLevelType w:val="hybridMultilevel"/>
    <w:tmpl w:val="C592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91E5D"/>
    <w:multiLevelType w:val="hybridMultilevel"/>
    <w:tmpl w:val="0A164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528077">
    <w:abstractNumId w:val="5"/>
  </w:num>
  <w:num w:numId="2" w16cid:durableId="1814178918">
    <w:abstractNumId w:val="7"/>
  </w:num>
  <w:num w:numId="3" w16cid:durableId="1710765171">
    <w:abstractNumId w:val="6"/>
  </w:num>
  <w:num w:numId="4" w16cid:durableId="1879583766">
    <w:abstractNumId w:val="1"/>
  </w:num>
  <w:num w:numId="5" w16cid:durableId="1176654092">
    <w:abstractNumId w:val="2"/>
  </w:num>
  <w:num w:numId="6" w16cid:durableId="686640444">
    <w:abstractNumId w:val="4"/>
  </w:num>
  <w:num w:numId="7" w16cid:durableId="1969191994">
    <w:abstractNumId w:val="0"/>
  </w:num>
  <w:num w:numId="8" w16cid:durableId="2087725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5F"/>
    <w:rsid w:val="000555B6"/>
    <w:rsid w:val="000B2842"/>
    <w:rsid w:val="000C1DDD"/>
    <w:rsid w:val="0013355F"/>
    <w:rsid w:val="00133FAE"/>
    <w:rsid w:val="0018192D"/>
    <w:rsid w:val="00194425"/>
    <w:rsid w:val="001A072F"/>
    <w:rsid w:val="001A636F"/>
    <w:rsid w:val="001B4C27"/>
    <w:rsid w:val="001E0E42"/>
    <w:rsid w:val="001E156B"/>
    <w:rsid w:val="001F62D0"/>
    <w:rsid w:val="002163CE"/>
    <w:rsid w:val="002327AA"/>
    <w:rsid w:val="00245971"/>
    <w:rsid w:val="00252FE5"/>
    <w:rsid w:val="00297751"/>
    <w:rsid w:val="002B6521"/>
    <w:rsid w:val="002C444D"/>
    <w:rsid w:val="002F2997"/>
    <w:rsid w:val="003135B7"/>
    <w:rsid w:val="00345C2D"/>
    <w:rsid w:val="003C0884"/>
    <w:rsid w:val="003D10E9"/>
    <w:rsid w:val="004224D1"/>
    <w:rsid w:val="0044435F"/>
    <w:rsid w:val="00471B4C"/>
    <w:rsid w:val="004765FD"/>
    <w:rsid w:val="00481A87"/>
    <w:rsid w:val="004C2B88"/>
    <w:rsid w:val="004C3E36"/>
    <w:rsid w:val="00532C33"/>
    <w:rsid w:val="00532E1C"/>
    <w:rsid w:val="0053737E"/>
    <w:rsid w:val="005C58A0"/>
    <w:rsid w:val="00607E79"/>
    <w:rsid w:val="00617288"/>
    <w:rsid w:val="0065525D"/>
    <w:rsid w:val="006878EC"/>
    <w:rsid w:val="00692514"/>
    <w:rsid w:val="006A0622"/>
    <w:rsid w:val="006A31E1"/>
    <w:rsid w:val="006E487D"/>
    <w:rsid w:val="00710390"/>
    <w:rsid w:val="00725FAF"/>
    <w:rsid w:val="00732ADA"/>
    <w:rsid w:val="007506CF"/>
    <w:rsid w:val="00790A04"/>
    <w:rsid w:val="00791AF4"/>
    <w:rsid w:val="007A6861"/>
    <w:rsid w:val="007B5A14"/>
    <w:rsid w:val="008140C7"/>
    <w:rsid w:val="00845C0E"/>
    <w:rsid w:val="00846D8B"/>
    <w:rsid w:val="008842F4"/>
    <w:rsid w:val="008F3C0D"/>
    <w:rsid w:val="00902736"/>
    <w:rsid w:val="0092562D"/>
    <w:rsid w:val="00937A34"/>
    <w:rsid w:val="0099475F"/>
    <w:rsid w:val="009A1BA2"/>
    <w:rsid w:val="009A4808"/>
    <w:rsid w:val="009F0A8B"/>
    <w:rsid w:val="00AC5D11"/>
    <w:rsid w:val="00B0395E"/>
    <w:rsid w:val="00B10656"/>
    <w:rsid w:val="00B26CD5"/>
    <w:rsid w:val="00B530D5"/>
    <w:rsid w:val="00B7526C"/>
    <w:rsid w:val="00B95FF9"/>
    <w:rsid w:val="00BC03A4"/>
    <w:rsid w:val="00BC54E6"/>
    <w:rsid w:val="00BC5859"/>
    <w:rsid w:val="00BF2E9C"/>
    <w:rsid w:val="00C260D6"/>
    <w:rsid w:val="00C30953"/>
    <w:rsid w:val="00C91CEA"/>
    <w:rsid w:val="00CB29A0"/>
    <w:rsid w:val="00CC4909"/>
    <w:rsid w:val="00CD57EE"/>
    <w:rsid w:val="00D076E8"/>
    <w:rsid w:val="00D33D02"/>
    <w:rsid w:val="00D71EFE"/>
    <w:rsid w:val="00DB5ED9"/>
    <w:rsid w:val="00DC7A58"/>
    <w:rsid w:val="00DF484E"/>
    <w:rsid w:val="00E15597"/>
    <w:rsid w:val="00E372B6"/>
    <w:rsid w:val="00E648C0"/>
    <w:rsid w:val="00E736A8"/>
    <w:rsid w:val="00E766A5"/>
    <w:rsid w:val="00E95B88"/>
    <w:rsid w:val="00EB46BA"/>
    <w:rsid w:val="00EB6E3C"/>
    <w:rsid w:val="00EB75BF"/>
    <w:rsid w:val="00ED2511"/>
    <w:rsid w:val="00ED4B38"/>
    <w:rsid w:val="00F46B57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3241"/>
  <w15:chartTrackingRefBased/>
  <w15:docId w15:val="{5B02601E-1C6A-4672-A205-4AE68A95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35F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71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WebChar">
    <w:name w:val="Normal (Web) Char"/>
    <w:basedOn w:val="DefaultParagraphFont"/>
    <w:link w:val="NormalWeb"/>
    <w:uiPriority w:val="99"/>
    <w:rsid w:val="00710390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71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C03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3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3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3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3A4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B46B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22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4D1"/>
  </w:style>
  <w:style w:type="paragraph" w:styleId="Footer">
    <w:name w:val="footer"/>
    <w:basedOn w:val="Normal"/>
    <w:link w:val="FooterChar"/>
    <w:uiPriority w:val="99"/>
    <w:unhideWhenUsed/>
    <w:rsid w:val="00422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620605A9D27E408E4D416A80BD8976" ma:contentTypeVersion="14" ma:contentTypeDescription="Create a new document." ma:contentTypeScope="" ma:versionID="0c3260a79b53683c5f976e1df0c1045b">
  <xsd:schema xmlns:xsd="http://www.w3.org/2001/XMLSchema" xmlns:xs="http://www.w3.org/2001/XMLSchema" xmlns:p="http://schemas.microsoft.com/office/2006/metadata/properties" xmlns:ns2="47798578-feaa-4bf8-852e-e392d4d67ed9" xmlns:ns3="829df03b-36ad-49d0-acfe-70bd3a50c4b9" targetNamespace="http://schemas.microsoft.com/office/2006/metadata/properties" ma:root="true" ma:fieldsID="0da216fccfd3c7062dd109f482ba0953" ns2:_="" ns3:_="">
    <xsd:import namespace="47798578-feaa-4bf8-852e-e392d4d67ed9"/>
    <xsd:import namespace="829df03b-36ad-49d0-acfe-70bd3a50c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8578-feaa-4bf8-852e-e392d4d6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674aaf4-de6e-43dc-8d8d-12e3986c98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df03b-36ad-49d0-acfe-70bd3a50c4b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98578-feaa-4bf8-852e-e392d4d67ed9">
      <Terms xmlns="http://schemas.microsoft.com/office/infopath/2007/PartnerControls"/>
    </lcf76f155ced4ddcb4097134ff3c332f>
    <SharedWithUsers xmlns="829df03b-36ad-49d0-acfe-70bd3a50c4b9">
      <UserInfo>
        <DisplayName>Snowhill Science Members</DisplayName>
        <AccountId>72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CE3A927-7BDB-4C71-BEE0-D31B9D2DB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98578-feaa-4bf8-852e-e392d4d67ed9"/>
    <ds:schemaRef ds:uri="829df03b-36ad-49d0-acfe-70bd3a50c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E4B80-2A4C-4FE3-8979-00F0DF838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A3F55-5391-42C1-86C6-5B382D3F5898}">
  <ds:schemaRefs>
    <ds:schemaRef ds:uri="http://schemas.microsoft.com/office/2006/metadata/properties"/>
    <ds:schemaRef ds:uri="http://schemas.microsoft.com/office/infopath/2007/PartnerControls"/>
    <ds:schemaRef ds:uri="47798578-feaa-4bf8-852e-e392d4d67ed9"/>
    <ds:schemaRef ds:uri="829df03b-36ad-49d0-acfe-70bd3a50c4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Ng</dc:creator>
  <cp:keywords/>
  <dc:description/>
  <cp:lastModifiedBy>Joey Kwok</cp:lastModifiedBy>
  <cp:revision>2</cp:revision>
  <cp:lastPrinted>2024-04-21T15:20:00Z</cp:lastPrinted>
  <dcterms:created xsi:type="dcterms:W3CDTF">2024-11-13T20:45:00Z</dcterms:created>
  <dcterms:modified xsi:type="dcterms:W3CDTF">2024-11-13T20:45:00Z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0x010100BB620605A9D27E408E4D416A80BD8976</vt:lpwstr>
  </property>
  <property fmtid="{D5CDD505-2E9C-101B-9397-08002B2CF9AE}" pid="3" name="MediaServiceImageTags">
    <vt:lpwstr/>
  </property>
</Properties>
</file>