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5E584EE8" w14:textId="790E767B" w:rsidR="00994A3D" w:rsidRPr="00994A3D" w:rsidRDefault="00654E8F" w:rsidP="0001436A">
      <w:pPr>
        <w:pStyle w:val="Heading1"/>
      </w:pPr>
      <w:r w:rsidRPr="00994A3D">
        <w:t>Supplementary Tables</w:t>
      </w:r>
    </w:p>
    <w:p w14:paraId="13B816EB" w14:textId="4FFDB821" w:rsidR="00807494" w:rsidRDefault="00A21A44" w:rsidP="00807494">
      <w:pPr>
        <w:spacing w:after="0"/>
        <w:jc w:val="center"/>
        <w:rPr>
          <w:rFonts w:cs="Times New Roman"/>
          <w:b/>
          <w:bCs/>
          <w:szCs w:val="24"/>
        </w:rPr>
      </w:pPr>
      <w:bookmarkStart w:id="0" w:name="_Hlk171347358"/>
      <w:r>
        <w:rPr>
          <w:rFonts w:cs="Times New Roman"/>
          <w:b/>
          <w:bCs/>
          <w:szCs w:val="24"/>
        </w:rPr>
        <w:t>Supplementary Table 1</w:t>
      </w:r>
      <w:r w:rsidR="00807494">
        <w:rPr>
          <w:rFonts w:cs="Times New Roman"/>
          <w:b/>
          <w:bCs/>
          <w:szCs w:val="24"/>
        </w:rPr>
        <w:t xml:space="preserve"> </w:t>
      </w:r>
      <w:bookmarkEnd w:id="0"/>
      <w:r w:rsidR="00807494">
        <w:rPr>
          <w:rFonts w:cs="Times New Roman"/>
          <w:b/>
          <w:bCs/>
          <w:szCs w:val="24"/>
        </w:rPr>
        <w:t>– Panel of 52 experts involved in the AMPLITUDE consensus</w:t>
      </w:r>
    </w:p>
    <w:p w14:paraId="1853EF25" w14:textId="77777777" w:rsidR="00807494" w:rsidRDefault="00807494" w:rsidP="00807494">
      <w:pPr>
        <w:spacing w:after="0"/>
        <w:rPr>
          <w:rFonts w:cs="Times New Roman"/>
          <w:b/>
          <w:bCs/>
          <w:szCs w:val="24"/>
        </w:rPr>
      </w:pPr>
    </w:p>
    <w:tbl>
      <w:tblPr>
        <w:tblStyle w:val="PlainTable3"/>
        <w:tblW w:w="11625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2410"/>
        <w:gridCol w:w="7514"/>
        <w:gridCol w:w="850"/>
        <w:gridCol w:w="851"/>
      </w:tblGrid>
      <w:tr w:rsidR="00807494" w14:paraId="2015D60B" w14:textId="77777777" w:rsidTr="000F7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10" w:type="dxa"/>
            <w:tcBorders>
              <w:top w:val="nil"/>
              <w:left w:val="nil"/>
            </w:tcBorders>
            <w:vAlign w:val="center"/>
            <w:hideMark/>
          </w:tcPr>
          <w:p w14:paraId="670A13A3" w14:textId="77777777" w:rsidR="00807494" w:rsidRDefault="00807494" w:rsidP="000F7527">
            <w:pPr>
              <w:rPr>
                <w:rFonts w:cs="Times New Roman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caps w:val="0"/>
                <w:sz w:val="18"/>
                <w:szCs w:val="18"/>
                <w:lang w:val="en-US"/>
              </w:rPr>
              <w:t>Name</w:t>
            </w:r>
          </w:p>
        </w:tc>
        <w:tc>
          <w:tcPr>
            <w:tcW w:w="7514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08A05312" w14:textId="77777777" w:rsidR="00807494" w:rsidRDefault="00807494" w:rsidP="000F75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caps w:val="0"/>
                <w:sz w:val="18"/>
                <w:szCs w:val="18"/>
                <w:lang w:val="en-US"/>
              </w:rPr>
              <w:t>IVF Center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099FA0E0" w14:textId="77777777" w:rsidR="00807494" w:rsidRDefault="00807494" w:rsidP="000F75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caps w:val="0"/>
                <w:sz w:val="18"/>
                <w:szCs w:val="18"/>
                <w:lang w:val="en-US"/>
              </w:rPr>
              <w:t>Round 1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  <w:hideMark/>
          </w:tcPr>
          <w:p w14:paraId="4BEB61DA" w14:textId="77777777" w:rsidR="00807494" w:rsidRDefault="00807494" w:rsidP="000F75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caps w:val="0"/>
                <w:sz w:val="18"/>
                <w:szCs w:val="18"/>
                <w:lang w:val="en-US"/>
              </w:rPr>
              <w:t>Round 2</w:t>
            </w:r>
          </w:p>
        </w:tc>
      </w:tr>
      <w:tr w:rsidR="00807494" w14:paraId="3B7E3778" w14:textId="77777777" w:rsidTr="000F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00C1226A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Florence ALEXANDRE</w:t>
            </w:r>
          </w:p>
        </w:tc>
        <w:tc>
          <w:tcPr>
            <w:tcW w:w="7514" w:type="dxa"/>
            <w:vAlign w:val="center"/>
            <w:hideMark/>
          </w:tcPr>
          <w:p w14:paraId="0C51FBC0" w14:textId="77777777" w:rsidR="00807494" w:rsidRDefault="00807494" w:rsidP="000F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Hôpital Privé de La Chataigneraie, Clermont-Ferrand, Auvergne-Rhône-Alpes, France</w:t>
            </w:r>
          </w:p>
        </w:tc>
        <w:tc>
          <w:tcPr>
            <w:tcW w:w="850" w:type="dxa"/>
            <w:vAlign w:val="center"/>
            <w:hideMark/>
          </w:tcPr>
          <w:p w14:paraId="4033B3EB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1A8A0212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38F20A14" w14:textId="77777777" w:rsidTr="000F752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7422C2A5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Aurélie AMAR</w:t>
            </w:r>
          </w:p>
        </w:tc>
        <w:tc>
          <w:tcPr>
            <w:tcW w:w="7514" w:type="dxa"/>
            <w:vAlign w:val="center"/>
            <w:hideMark/>
          </w:tcPr>
          <w:p w14:paraId="74921BCA" w14:textId="77777777" w:rsidR="00807494" w:rsidRDefault="00807494" w:rsidP="000F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Centre Sainte-Colette, Marseille, Provence-Alpes-Côte d’Azur, France</w:t>
            </w:r>
          </w:p>
        </w:tc>
        <w:tc>
          <w:tcPr>
            <w:tcW w:w="850" w:type="dxa"/>
            <w:vAlign w:val="center"/>
            <w:hideMark/>
          </w:tcPr>
          <w:p w14:paraId="24410B4C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6E5B2046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665FD423" w14:textId="77777777" w:rsidTr="000F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3879636E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Mikaël AGOPIANTZ</w:t>
            </w:r>
          </w:p>
        </w:tc>
        <w:tc>
          <w:tcPr>
            <w:tcW w:w="7514" w:type="dxa"/>
            <w:vAlign w:val="center"/>
            <w:hideMark/>
          </w:tcPr>
          <w:p w14:paraId="23E83559" w14:textId="77777777" w:rsidR="00807494" w:rsidRDefault="00807494" w:rsidP="000F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Centre Hospitalier Régional Universitaire, Nancy, Grand-Est, France</w:t>
            </w:r>
          </w:p>
        </w:tc>
        <w:tc>
          <w:tcPr>
            <w:tcW w:w="850" w:type="dxa"/>
            <w:vAlign w:val="center"/>
            <w:hideMark/>
          </w:tcPr>
          <w:p w14:paraId="1E536EA0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01C7BB0F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352720C0" w14:textId="77777777" w:rsidTr="000F752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055A2A92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Candice AUTIN</w:t>
            </w:r>
          </w:p>
        </w:tc>
        <w:tc>
          <w:tcPr>
            <w:tcW w:w="7514" w:type="dxa"/>
            <w:vAlign w:val="center"/>
            <w:hideMark/>
          </w:tcPr>
          <w:p w14:paraId="6F1FE413" w14:textId="77777777" w:rsidR="00807494" w:rsidRDefault="00807494" w:rsidP="000F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Centre Hospitalier Universitaire Saint-Pierre, Brussels, Belgium</w:t>
            </w:r>
          </w:p>
        </w:tc>
        <w:tc>
          <w:tcPr>
            <w:tcW w:w="850" w:type="dxa"/>
            <w:vAlign w:val="center"/>
            <w:hideMark/>
          </w:tcPr>
          <w:p w14:paraId="357DA038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2F784CCD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72B74700" w14:textId="77777777" w:rsidTr="000F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39203C25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Catherine AVRIL</w:t>
            </w:r>
          </w:p>
        </w:tc>
        <w:tc>
          <w:tcPr>
            <w:tcW w:w="7514" w:type="dxa"/>
            <w:vAlign w:val="center"/>
            <w:hideMark/>
          </w:tcPr>
          <w:p w14:paraId="24B01B7A" w14:textId="77777777" w:rsidR="00807494" w:rsidRDefault="00807494" w:rsidP="000F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Clinique Mathilde, Rouen, Normandie, France</w:t>
            </w:r>
          </w:p>
        </w:tc>
        <w:tc>
          <w:tcPr>
            <w:tcW w:w="850" w:type="dxa"/>
            <w:vAlign w:val="center"/>
            <w:hideMark/>
          </w:tcPr>
          <w:p w14:paraId="131AEE77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0B3B083A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4123B594" w14:textId="77777777" w:rsidTr="000F752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7C2BB219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Paul BARRIERE</w:t>
            </w:r>
          </w:p>
        </w:tc>
        <w:tc>
          <w:tcPr>
            <w:tcW w:w="7514" w:type="dxa"/>
            <w:vAlign w:val="center"/>
            <w:hideMark/>
          </w:tcPr>
          <w:p w14:paraId="335C66E3" w14:textId="77777777" w:rsidR="00807494" w:rsidRDefault="00807494" w:rsidP="000F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Centre Hospitalier Universitaire, Nantes, Pays de la Loire, France</w:t>
            </w:r>
          </w:p>
        </w:tc>
        <w:tc>
          <w:tcPr>
            <w:tcW w:w="850" w:type="dxa"/>
            <w:vAlign w:val="center"/>
            <w:hideMark/>
          </w:tcPr>
          <w:p w14:paraId="7AE3EB67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14CABF90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759F0C89" w14:textId="77777777" w:rsidTr="000F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11F9C66F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Aurélie BERDIN</w:t>
            </w:r>
          </w:p>
        </w:tc>
        <w:tc>
          <w:tcPr>
            <w:tcW w:w="7514" w:type="dxa"/>
            <w:vAlign w:val="center"/>
            <w:hideMark/>
          </w:tcPr>
          <w:p w14:paraId="363E57BB" w14:textId="77777777" w:rsidR="00807494" w:rsidRDefault="00807494" w:rsidP="000F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Centre Hospitalier Régional Universitaire, Besançon, Bourgogne-Franche-Comté, France</w:t>
            </w:r>
          </w:p>
        </w:tc>
        <w:tc>
          <w:tcPr>
            <w:tcW w:w="850" w:type="dxa"/>
            <w:vAlign w:val="center"/>
            <w:hideMark/>
          </w:tcPr>
          <w:p w14:paraId="10B87EBF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10E328C0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3BC6E0AB" w14:textId="77777777" w:rsidTr="000F752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71B0EC36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Maud BIDET</w:t>
            </w:r>
          </w:p>
        </w:tc>
        <w:tc>
          <w:tcPr>
            <w:tcW w:w="7514" w:type="dxa"/>
            <w:vAlign w:val="center"/>
            <w:hideMark/>
          </w:tcPr>
          <w:p w14:paraId="2B62CAFB" w14:textId="77777777" w:rsidR="00807494" w:rsidRDefault="00807494" w:rsidP="000F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Cabinet de Gynécologie Malakoff, Rennes, Bretagne, France</w:t>
            </w:r>
          </w:p>
        </w:tc>
        <w:tc>
          <w:tcPr>
            <w:tcW w:w="850" w:type="dxa"/>
            <w:vAlign w:val="center"/>
            <w:hideMark/>
          </w:tcPr>
          <w:p w14:paraId="0811C04D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2C0AF788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3C2AEC46" w14:textId="77777777" w:rsidTr="000F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57A5C5CE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Myriam BOURRAT</w:t>
            </w:r>
          </w:p>
        </w:tc>
        <w:tc>
          <w:tcPr>
            <w:tcW w:w="7514" w:type="dxa"/>
            <w:vAlign w:val="center"/>
            <w:hideMark/>
          </w:tcPr>
          <w:p w14:paraId="0DA246D5" w14:textId="77777777" w:rsidR="00807494" w:rsidRDefault="00807494" w:rsidP="000F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Hôpital Privé Drôme Ardèche, Guilherand-Granges, Auvergne-Rhône-Alpes, France</w:t>
            </w:r>
          </w:p>
        </w:tc>
        <w:tc>
          <w:tcPr>
            <w:tcW w:w="850" w:type="dxa"/>
            <w:vAlign w:val="center"/>
            <w:hideMark/>
          </w:tcPr>
          <w:p w14:paraId="25840870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554466DC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61A2D5C7" w14:textId="77777777" w:rsidTr="000F752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55B717EA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Mathilde BOURDON</w:t>
            </w:r>
          </w:p>
        </w:tc>
        <w:tc>
          <w:tcPr>
            <w:tcW w:w="7514" w:type="dxa"/>
            <w:vAlign w:val="center"/>
            <w:hideMark/>
          </w:tcPr>
          <w:p w14:paraId="6C1D47B8" w14:textId="77777777" w:rsidR="00807494" w:rsidRDefault="00807494" w:rsidP="000F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Hôpital Cochin, Paris, Ile-de-France, France</w:t>
            </w:r>
          </w:p>
        </w:tc>
        <w:tc>
          <w:tcPr>
            <w:tcW w:w="850" w:type="dxa"/>
            <w:vAlign w:val="center"/>
            <w:hideMark/>
          </w:tcPr>
          <w:p w14:paraId="3A554445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7428F097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183CA9BD" w14:textId="77777777" w:rsidTr="000F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3EF01620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Véronique CHABERT-ORSINI</w:t>
            </w:r>
          </w:p>
        </w:tc>
        <w:tc>
          <w:tcPr>
            <w:tcW w:w="7514" w:type="dxa"/>
            <w:vAlign w:val="center"/>
            <w:hideMark/>
          </w:tcPr>
          <w:p w14:paraId="1B8D9382" w14:textId="77777777" w:rsidR="00807494" w:rsidRDefault="00807494" w:rsidP="000F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Cabinet Carré Saint-Giniez, Marseille, Provence-Alpes-Côte d’Azur, France</w:t>
            </w:r>
          </w:p>
        </w:tc>
        <w:tc>
          <w:tcPr>
            <w:tcW w:w="850" w:type="dxa"/>
            <w:vAlign w:val="center"/>
            <w:hideMark/>
          </w:tcPr>
          <w:p w14:paraId="21609973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11EBA599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3C1EC754" w14:textId="77777777" w:rsidTr="000F752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A487240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Martine CHOMIER</w:t>
            </w:r>
          </w:p>
        </w:tc>
        <w:tc>
          <w:tcPr>
            <w:tcW w:w="7514" w:type="dxa"/>
            <w:vAlign w:val="center"/>
            <w:hideMark/>
          </w:tcPr>
          <w:p w14:paraId="78540319" w14:textId="77777777" w:rsidR="00807494" w:rsidRDefault="00807494" w:rsidP="000F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Institut Rhônalpin, Ecully, Auvergne-Rhône-Alpes, France</w:t>
            </w:r>
          </w:p>
        </w:tc>
        <w:tc>
          <w:tcPr>
            <w:tcW w:w="850" w:type="dxa"/>
            <w:vAlign w:val="center"/>
            <w:hideMark/>
          </w:tcPr>
          <w:p w14:paraId="4A07CDF8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28756E8C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21694E15" w14:textId="77777777" w:rsidTr="000F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03D1AC86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Rosalie CABRY</w:t>
            </w:r>
          </w:p>
        </w:tc>
        <w:tc>
          <w:tcPr>
            <w:tcW w:w="7514" w:type="dxa"/>
            <w:vAlign w:val="center"/>
            <w:hideMark/>
          </w:tcPr>
          <w:p w14:paraId="1DD43D57" w14:textId="77777777" w:rsidR="00807494" w:rsidRDefault="00807494" w:rsidP="000F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Centre Hospitalier Universitaire, Amiens, Hauts-de-France, France</w:t>
            </w:r>
          </w:p>
        </w:tc>
        <w:tc>
          <w:tcPr>
            <w:tcW w:w="850" w:type="dxa"/>
            <w:vAlign w:val="center"/>
            <w:hideMark/>
          </w:tcPr>
          <w:p w14:paraId="7241EFF8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669FF43A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3BBA37CB" w14:textId="77777777" w:rsidTr="000F752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5FE53C84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Peter DE LOECKER</w:t>
            </w:r>
          </w:p>
        </w:tc>
        <w:tc>
          <w:tcPr>
            <w:tcW w:w="7514" w:type="dxa"/>
            <w:vAlign w:val="center"/>
            <w:hideMark/>
          </w:tcPr>
          <w:p w14:paraId="784F7954" w14:textId="77777777" w:rsidR="00807494" w:rsidRDefault="00807494" w:rsidP="000F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nl-BE"/>
              </w:rPr>
            </w:pPr>
            <w:r>
              <w:rPr>
                <w:rFonts w:cs="Times New Roman"/>
                <w:sz w:val="18"/>
                <w:szCs w:val="18"/>
                <w:lang w:val="nl-BE"/>
              </w:rPr>
              <w:t>GZA Ziekenhuizen, Antwerpen, Vlaanderen, Belgium</w:t>
            </w:r>
          </w:p>
        </w:tc>
        <w:tc>
          <w:tcPr>
            <w:tcW w:w="850" w:type="dxa"/>
            <w:vAlign w:val="center"/>
            <w:hideMark/>
          </w:tcPr>
          <w:p w14:paraId="1BEE8281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2811536D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051755F6" w14:textId="77777777" w:rsidTr="000F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71FB2D40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Michel DE VOS</w:t>
            </w:r>
          </w:p>
        </w:tc>
        <w:tc>
          <w:tcPr>
            <w:tcW w:w="7514" w:type="dxa"/>
            <w:vAlign w:val="center"/>
            <w:hideMark/>
          </w:tcPr>
          <w:p w14:paraId="4C03ED88" w14:textId="77777777" w:rsidR="00807494" w:rsidRPr="007A26F2" w:rsidRDefault="00807494" w:rsidP="000F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nl-BE"/>
              </w:rPr>
            </w:pPr>
            <w:r w:rsidRPr="007A26F2">
              <w:rPr>
                <w:rFonts w:cs="Times New Roman"/>
                <w:sz w:val="18"/>
                <w:szCs w:val="18"/>
                <w:lang w:val="nl-BE"/>
              </w:rPr>
              <w:t>Brussels IVF, Universitair Ziekenhuis Brussel, Brussels, Belgium</w:t>
            </w:r>
          </w:p>
        </w:tc>
        <w:tc>
          <w:tcPr>
            <w:tcW w:w="850" w:type="dxa"/>
            <w:vAlign w:val="center"/>
            <w:hideMark/>
          </w:tcPr>
          <w:p w14:paraId="4DBC48DB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4B43DA37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6BDD2505" w14:textId="77777777" w:rsidTr="000F752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B497A02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Anne DELBAERE</w:t>
            </w:r>
          </w:p>
        </w:tc>
        <w:tc>
          <w:tcPr>
            <w:tcW w:w="7514" w:type="dxa"/>
            <w:vAlign w:val="center"/>
            <w:hideMark/>
          </w:tcPr>
          <w:p w14:paraId="7CDA8F0A" w14:textId="77777777" w:rsidR="00807494" w:rsidRDefault="00807494" w:rsidP="000F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Hôpital Erasme-Université Libre de Bruxelles, Brussels, Belgium</w:t>
            </w:r>
          </w:p>
        </w:tc>
        <w:tc>
          <w:tcPr>
            <w:tcW w:w="850" w:type="dxa"/>
            <w:vAlign w:val="center"/>
            <w:hideMark/>
          </w:tcPr>
          <w:p w14:paraId="67AE7D9F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2C163ADE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18E1F83F" w14:textId="77777777" w:rsidTr="000F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1DE230DF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Annick DELVIGNE</w:t>
            </w:r>
          </w:p>
        </w:tc>
        <w:tc>
          <w:tcPr>
            <w:tcW w:w="7514" w:type="dxa"/>
            <w:vAlign w:val="center"/>
            <w:hideMark/>
          </w:tcPr>
          <w:p w14:paraId="09799ED3" w14:textId="77777777" w:rsidR="00807494" w:rsidRDefault="00807494" w:rsidP="000F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Clinique CHC MontLégia, Liège, Wallonie, Belgium</w:t>
            </w:r>
          </w:p>
        </w:tc>
        <w:tc>
          <w:tcPr>
            <w:tcW w:w="850" w:type="dxa"/>
            <w:vAlign w:val="center"/>
            <w:hideMark/>
          </w:tcPr>
          <w:p w14:paraId="19CEC6E4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2CB0E22F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5F4788F6" w14:textId="77777777" w:rsidTr="000F752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2FFD5431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lastRenderedPageBreak/>
              <w:t>Elodie DESCAT</w:t>
            </w:r>
          </w:p>
        </w:tc>
        <w:tc>
          <w:tcPr>
            <w:tcW w:w="7514" w:type="dxa"/>
            <w:vAlign w:val="center"/>
            <w:hideMark/>
          </w:tcPr>
          <w:p w14:paraId="2493A455" w14:textId="77777777" w:rsidR="00807494" w:rsidRDefault="00807494" w:rsidP="000F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Polyclinique Jean Villar, Bordeaux, Nouvelle-Aquitaine, France</w:t>
            </w:r>
          </w:p>
        </w:tc>
        <w:tc>
          <w:tcPr>
            <w:tcW w:w="850" w:type="dxa"/>
            <w:vAlign w:val="center"/>
            <w:hideMark/>
          </w:tcPr>
          <w:p w14:paraId="4F142420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52BAB1E5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1668C503" w14:textId="77777777" w:rsidTr="000F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565E3F59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Nathalie DHONT</w:t>
            </w:r>
          </w:p>
        </w:tc>
        <w:tc>
          <w:tcPr>
            <w:tcW w:w="7514" w:type="dxa"/>
            <w:vAlign w:val="center"/>
            <w:hideMark/>
          </w:tcPr>
          <w:p w14:paraId="78B12E71" w14:textId="77777777" w:rsidR="00807494" w:rsidRDefault="00807494" w:rsidP="000F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Genk Institute for Fertility Technology, Genk, Vlaanderen, Belgium</w:t>
            </w:r>
          </w:p>
        </w:tc>
        <w:tc>
          <w:tcPr>
            <w:tcW w:w="850" w:type="dxa"/>
            <w:vAlign w:val="center"/>
            <w:hideMark/>
          </w:tcPr>
          <w:p w14:paraId="404FA195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49F6A6C6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562131D0" w14:textId="77777777" w:rsidTr="000F752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4C5AB7B7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Sophie DUBOURDIEU</w:t>
            </w:r>
          </w:p>
        </w:tc>
        <w:tc>
          <w:tcPr>
            <w:tcW w:w="7514" w:type="dxa"/>
            <w:vAlign w:val="center"/>
            <w:hideMark/>
          </w:tcPr>
          <w:p w14:paraId="4F46C717" w14:textId="77777777" w:rsidR="00807494" w:rsidRDefault="00807494" w:rsidP="000F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Santé Atlantique, Nantes, Pays de la Loire, France</w:t>
            </w:r>
          </w:p>
        </w:tc>
        <w:tc>
          <w:tcPr>
            <w:tcW w:w="850" w:type="dxa"/>
            <w:vAlign w:val="center"/>
            <w:hideMark/>
          </w:tcPr>
          <w:p w14:paraId="69508E80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5277B9D6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741AA76D" w14:textId="77777777" w:rsidTr="000F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5280E80E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Sylvie EPELBOIN</w:t>
            </w:r>
          </w:p>
        </w:tc>
        <w:tc>
          <w:tcPr>
            <w:tcW w:w="7514" w:type="dxa"/>
            <w:vAlign w:val="center"/>
            <w:hideMark/>
          </w:tcPr>
          <w:p w14:paraId="365345B7" w14:textId="77777777" w:rsidR="00807494" w:rsidRDefault="00807494" w:rsidP="000F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Hôpital Bichat Claude Bernard, Paris, Ile-de-France, France</w:t>
            </w:r>
          </w:p>
        </w:tc>
        <w:tc>
          <w:tcPr>
            <w:tcW w:w="850" w:type="dxa"/>
            <w:vAlign w:val="center"/>
            <w:hideMark/>
          </w:tcPr>
          <w:p w14:paraId="33A65526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0F1D5A37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390D5E91" w14:textId="77777777" w:rsidTr="000F752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3D95EA52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Imène FATFOUTA</w:t>
            </w:r>
          </w:p>
        </w:tc>
        <w:tc>
          <w:tcPr>
            <w:tcW w:w="7514" w:type="dxa"/>
            <w:vAlign w:val="center"/>
            <w:hideMark/>
          </w:tcPr>
          <w:p w14:paraId="3B4B3105" w14:textId="77777777" w:rsidR="00807494" w:rsidRDefault="00807494" w:rsidP="000F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Centre Matisse, Nice, Provence-Alpes-Côte d’Azur, France</w:t>
            </w:r>
          </w:p>
        </w:tc>
        <w:tc>
          <w:tcPr>
            <w:tcW w:w="850" w:type="dxa"/>
            <w:vAlign w:val="center"/>
            <w:hideMark/>
          </w:tcPr>
          <w:p w14:paraId="4EA44F81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108AD4AB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2B2EB7F3" w14:textId="77777777" w:rsidTr="000F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50F1AE3A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André FORCE</w:t>
            </w:r>
          </w:p>
        </w:tc>
        <w:tc>
          <w:tcPr>
            <w:tcW w:w="7514" w:type="dxa"/>
            <w:vAlign w:val="center"/>
            <w:hideMark/>
          </w:tcPr>
          <w:p w14:paraId="62B5C0D5" w14:textId="77777777" w:rsidR="00807494" w:rsidRDefault="00807494" w:rsidP="000F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Clinique du Val de l’Ouest, Ecully, Auvergne-Rhône-Alpes, France</w:t>
            </w:r>
          </w:p>
        </w:tc>
        <w:tc>
          <w:tcPr>
            <w:tcW w:w="850" w:type="dxa"/>
            <w:vAlign w:val="center"/>
            <w:hideMark/>
          </w:tcPr>
          <w:p w14:paraId="71B39C71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12859EED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0CC1C92A" w14:textId="77777777" w:rsidTr="000F752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3A53B48D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Olivia GERVERAU</w:t>
            </w:r>
          </w:p>
        </w:tc>
        <w:tc>
          <w:tcPr>
            <w:tcW w:w="7514" w:type="dxa"/>
            <w:vAlign w:val="center"/>
            <w:hideMark/>
          </w:tcPr>
          <w:p w14:paraId="384265CE" w14:textId="77777777" w:rsidR="00807494" w:rsidRDefault="00807494" w:rsidP="000F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Centre Hospitalier Universitaire, Tours, Centre-Val de Loire, France</w:t>
            </w:r>
          </w:p>
        </w:tc>
        <w:tc>
          <w:tcPr>
            <w:tcW w:w="850" w:type="dxa"/>
            <w:vAlign w:val="center"/>
            <w:hideMark/>
          </w:tcPr>
          <w:p w14:paraId="66486ED8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03D13A9A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5EEEA381" w14:textId="77777777" w:rsidTr="000F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014F11F9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Anne GRELAT</w:t>
            </w:r>
          </w:p>
        </w:tc>
        <w:tc>
          <w:tcPr>
            <w:tcW w:w="7514" w:type="dxa"/>
            <w:vAlign w:val="center"/>
            <w:hideMark/>
          </w:tcPr>
          <w:p w14:paraId="51713C65" w14:textId="77777777" w:rsidR="00807494" w:rsidRDefault="00807494" w:rsidP="000F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Hôpital Privé Drôme Ardèche, Guilherand-Granges, Auvergne-Rhône-Alpes, France</w:t>
            </w:r>
          </w:p>
        </w:tc>
        <w:tc>
          <w:tcPr>
            <w:tcW w:w="850" w:type="dxa"/>
            <w:vAlign w:val="center"/>
            <w:hideMark/>
          </w:tcPr>
          <w:p w14:paraId="0026DEB7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6E3AC042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3328E848" w14:textId="77777777" w:rsidTr="000F752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040379F0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Solenne GRICOURT</w:t>
            </w:r>
          </w:p>
        </w:tc>
        <w:tc>
          <w:tcPr>
            <w:tcW w:w="7514" w:type="dxa"/>
            <w:vAlign w:val="center"/>
            <w:hideMark/>
          </w:tcPr>
          <w:p w14:paraId="14699926" w14:textId="77777777" w:rsidR="00807494" w:rsidRDefault="00807494" w:rsidP="000F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Hôpital Bichat Claude Bernard, Paris, Ile-de-France, France</w:t>
            </w:r>
          </w:p>
        </w:tc>
        <w:tc>
          <w:tcPr>
            <w:tcW w:w="850" w:type="dxa"/>
            <w:vAlign w:val="center"/>
            <w:hideMark/>
          </w:tcPr>
          <w:p w14:paraId="3224F9AF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4F8B6EDD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33B785EE" w14:textId="77777777" w:rsidTr="000F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4363DD62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Marie-Victoire GRIZEAU-SERGEANT</w:t>
            </w:r>
          </w:p>
        </w:tc>
        <w:tc>
          <w:tcPr>
            <w:tcW w:w="7514" w:type="dxa"/>
            <w:vAlign w:val="center"/>
            <w:hideMark/>
          </w:tcPr>
          <w:p w14:paraId="6930E086" w14:textId="77777777" w:rsidR="00807494" w:rsidRDefault="00807494" w:rsidP="000F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Centre Procrealis, La-Roche-sur-Yon, Pays de la Loire, France</w:t>
            </w:r>
          </w:p>
        </w:tc>
        <w:tc>
          <w:tcPr>
            <w:tcW w:w="850" w:type="dxa"/>
            <w:vAlign w:val="center"/>
            <w:hideMark/>
          </w:tcPr>
          <w:p w14:paraId="1322726A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</w:tcPr>
          <w:p w14:paraId="2B8BF80B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</w:p>
        </w:tc>
      </w:tr>
      <w:tr w:rsidR="00807494" w14:paraId="03D3175B" w14:textId="77777777" w:rsidTr="000F752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2299BD53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Michaël GRYNBERG</w:t>
            </w:r>
          </w:p>
        </w:tc>
        <w:tc>
          <w:tcPr>
            <w:tcW w:w="7514" w:type="dxa"/>
            <w:vAlign w:val="center"/>
            <w:hideMark/>
          </w:tcPr>
          <w:p w14:paraId="7F00E606" w14:textId="77777777" w:rsidR="00807494" w:rsidRDefault="00807494" w:rsidP="000F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Hôpital Antoine Beclère, Clamart, Ile-de-France, France</w:t>
            </w:r>
          </w:p>
        </w:tc>
        <w:tc>
          <w:tcPr>
            <w:tcW w:w="850" w:type="dxa"/>
            <w:vAlign w:val="center"/>
            <w:hideMark/>
          </w:tcPr>
          <w:p w14:paraId="60858251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7CE54D4A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5B455B4C" w14:textId="77777777" w:rsidTr="000F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5433C11E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Veronika GRZEGORCZYK-MARTIN</w:t>
            </w:r>
          </w:p>
        </w:tc>
        <w:tc>
          <w:tcPr>
            <w:tcW w:w="7514" w:type="dxa"/>
            <w:vAlign w:val="center"/>
            <w:hideMark/>
          </w:tcPr>
          <w:p w14:paraId="60848B8A" w14:textId="77777777" w:rsidR="00807494" w:rsidRDefault="00807494" w:rsidP="000F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Clinique Mathilde, Rouen, Normandie, France</w:t>
            </w:r>
          </w:p>
        </w:tc>
        <w:tc>
          <w:tcPr>
            <w:tcW w:w="850" w:type="dxa"/>
            <w:vAlign w:val="center"/>
            <w:hideMark/>
          </w:tcPr>
          <w:p w14:paraId="57EA1FB2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4BCEE573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67FE7F74" w14:textId="77777777" w:rsidTr="000F752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0ECC4961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Laurie HENRY</w:t>
            </w:r>
          </w:p>
        </w:tc>
        <w:tc>
          <w:tcPr>
            <w:tcW w:w="7514" w:type="dxa"/>
            <w:vAlign w:val="center"/>
            <w:hideMark/>
          </w:tcPr>
          <w:p w14:paraId="4E27CEC0" w14:textId="77777777" w:rsidR="00807494" w:rsidRDefault="00807494" w:rsidP="000F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Centre Hospitalier Universitaire, Liège, Wallonie, Belgium</w:t>
            </w:r>
          </w:p>
        </w:tc>
        <w:tc>
          <w:tcPr>
            <w:tcW w:w="850" w:type="dxa"/>
            <w:vAlign w:val="center"/>
            <w:hideMark/>
          </w:tcPr>
          <w:p w14:paraId="683384A6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1B74B989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31413156" w14:textId="77777777" w:rsidTr="000F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296C784F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Claude HOCKE</w:t>
            </w:r>
          </w:p>
        </w:tc>
        <w:tc>
          <w:tcPr>
            <w:tcW w:w="7514" w:type="dxa"/>
            <w:vAlign w:val="center"/>
            <w:hideMark/>
          </w:tcPr>
          <w:p w14:paraId="41502925" w14:textId="77777777" w:rsidR="00807494" w:rsidRDefault="00807494" w:rsidP="000F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Groupe Hospitalier Pellegrin, Bordeaux, Nouvelle-Aquitaine, France</w:t>
            </w:r>
          </w:p>
        </w:tc>
        <w:tc>
          <w:tcPr>
            <w:tcW w:w="850" w:type="dxa"/>
            <w:vAlign w:val="center"/>
            <w:hideMark/>
          </w:tcPr>
          <w:p w14:paraId="3B473DFE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3722130A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4CAAB5FF" w14:textId="77777777" w:rsidTr="000F752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2D0E8DC1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Romain IMBERT</w:t>
            </w:r>
          </w:p>
        </w:tc>
        <w:tc>
          <w:tcPr>
            <w:tcW w:w="7514" w:type="dxa"/>
            <w:vAlign w:val="center"/>
            <w:hideMark/>
          </w:tcPr>
          <w:p w14:paraId="2260F2F7" w14:textId="77777777" w:rsidR="00807494" w:rsidRDefault="00807494" w:rsidP="000F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Chirec Hôpital Delta, Brussels, Belgium</w:t>
            </w:r>
          </w:p>
        </w:tc>
        <w:tc>
          <w:tcPr>
            <w:tcW w:w="850" w:type="dxa"/>
            <w:vAlign w:val="center"/>
            <w:hideMark/>
          </w:tcPr>
          <w:p w14:paraId="7C55BD00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0040AFF3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1A8FC611" w14:textId="77777777" w:rsidTr="000F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4C14E4BC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Laëtitia JACQUESSON</w:t>
            </w:r>
          </w:p>
        </w:tc>
        <w:tc>
          <w:tcPr>
            <w:tcW w:w="7514" w:type="dxa"/>
            <w:vAlign w:val="center"/>
            <w:hideMark/>
          </w:tcPr>
          <w:p w14:paraId="5897D424" w14:textId="77777777" w:rsidR="00807494" w:rsidRDefault="00807494" w:rsidP="000F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Cabinet medical, Paris, Ile-de-France, France</w:t>
            </w:r>
          </w:p>
        </w:tc>
        <w:tc>
          <w:tcPr>
            <w:tcW w:w="850" w:type="dxa"/>
            <w:vAlign w:val="center"/>
            <w:hideMark/>
          </w:tcPr>
          <w:p w14:paraId="53B24CBB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7A369219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3BBE8C8E" w14:textId="77777777" w:rsidTr="000F752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18AE2CC1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Gwenola KERMONES</w:t>
            </w:r>
          </w:p>
        </w:tc>
        <w:tc>
          <w:tcPr>
            <w:tcW w:w="7514" w:type="dxa"/>
            <w:vAlign w:val="center"/>
            <w:hideMark/>
          </w:tcPr>
          <w:p w14:paraId="6CF7B2E4" w14:textId="77777777" w:rsidR="00807494" w:rsidRDefault="00807494" w:rsidP="000F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Groupe Hospitalier Diaconesses Croix Saint-Simon, Paris, Ile-de-France, France</w:t>
            </w:r>
          </w:p>
        </w:tc>
        <w:tc>
          <w:tcPr>
            <w:tcW w:w="850" w:type="dxa"/>
            <w:vAlign w:val="center"/>
            <w:hideMark/>
          </w:tcPr>
          <w:p w14:paraId="7596B94E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324FD581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1DE03494" w14:textId="77777777" w:rsidTr="000F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1823037F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Elisabeth LAMARCA</w:t>
            </w:r>
          </w:p>
        </w:tc>
        <w:tc>
          <w:tcPr>
            <w:tcW w:w="7514" w:type="dxa"/>
            <w:vAlign w:val="center"/>
            <w:hideMark/>
          </w:tcPr>
          <w:p w14:paraId="1249E5CC" w14:textId="77777777" w:rsidR="00807494" w:rsidRDefault="00807494" w:rsidP="000F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Cabinet de Gynécologie Altkirsch, Mulhouse, Grand-Est, France</w:t>
            </w:r>
          </w:p>
        </w:tc>
        <w:tc>
          <w:tcPr>
            <w:tcW w:w="850" w:type="dxa"/>
            <w:vAlign w:val="center"/>
            <w:hideMark/>
          </w:tcPr>
          <w:p w14:paraId="3801819A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2CD5B728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50AA5D47" w14:textId="77777777" w:rsidTr="000F752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3D4DCA56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Frédéric LAMAZOU</w:t>
            </w:r>
          </w:p>
        </w:tc>
        <w:tc>
          <w:tcPr>
            <w:tcW w:w="7514" w:type="dxa"/>
            <w:vAlign w:val="center"/>
            <w:hideMark/>
          </w:tcPr>
          <w:p w14:paraId="6C582466" w14:textId="77777777" w:rsidR="00807494" w:rsidRDefault="00807494" w:rsidP="000F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Clinique Ambroise Paré Hartmann, Neuilly-sur-Seine, Ile-de-France, France</w:t>
            </w:r>
          </w:p>
        </w:tc>
        <w:tc>
          <w:tcPr>
            <w:tcW w:w="850" w:type="dxa"/>
            <w:vAlign w:val="center"/>
            <w:hideMark/>
          </w:tcPr>
          <w:p w14:paraId="0C79511F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2529D3AD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01D8644E" w14:textId="77777777" w:rsidTr="000F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32C946EF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Pascale LAURENT</w:t>
            </w:r>
          </w:p>
        </w:tc>
        <w:tc>
          <w:tcPr>
            <w:tcW w:w="7514" w:type="dxa"/>
            <w:vAlign w:val="center"/>
            <w:hideMark/>
          </w:tcPr>
          <w:p w14:paraId="6EB30601" w14:textId="77777777" w:rsidR="00807494" w:rsidRDefault="00807494" w:rsidP="000F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Cliniques Universitaires Saint-Luc, Brussels, Belgium</w:t>
            </w:r>
          </w:p>
        </w:tc>
        <w:tc>
          <w:tcPr>
            <w:tcW w:w="850" w:type="dxa"/>
            <w:vAlign w:val="center"/>
            <w:hideMark/>
          </w:tcPr>
          <w:p w14:paraId="64FA43A1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70016DA6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59C0F044" w14:textId="77777777" w:rsidTr="000F752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58CC67F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Xenia LECHAT</w:t>
            </w:r>
          </w:p>
        </w:tc>
        <w:tc>
          <w:tcPr>
            <w:tcW w:w="7514" w:type="dxa"/>
            <w:vAlign w:val="center"/>
            <w:hideMark/>
          </w:tcPr>
          <w:p w14:paraId="64A7DEE3" w14:textId="77777777" w:rsidR="00807494" w:rsidRDefault="00807494" w:rsidP="000F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Groupe Hospitalier Diaconesses Croix Saint-Simon, Paris, Ile-de-France, France</w:t>
            </w:r>
          </w:p>
        </w:tc>
        <w:tc>
          <w:tcPr>
            <w:tcW w:w="850" w:type="dxa"/>
            <w:vAlign w:val="center"/>
            <w:hideMark/>
          </w:tcPr>
          <w:p w14:paraId="171E98C3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0BD732B5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5AFC81CF" w14:textId="77777777" w:rsidTr="000F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59CE487A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Chloé MAIGNIEN</w:t>
            </w:r>
          </w:p>
        </w:tc>
        <w:tc>
          <w:tcPr>
            <w:tcW w:w="7514" w:type="dxa"/>
            <w:vAlign w:val="center"/>
            <w:hideMark/>
          </w:tcPr>
          <w:p w14:paraId="59BF601D" w14:textId="77777777" w:rsidR="00807494" w:rsidRDefault="00807494" w:rsidP="000F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Hôpital Cochin, Paris, Ile-de-France, France</w:t>
            </w:r>
          </w:p>
        </w:tc>
        <w:tc>
          <w:tcPr>
            <w:tcW w:w="850" w:type="dxa"/>
            <w:vAlign w:val="center"/>
            <w:hideMark/>
          </w:tcPr>
          <w:p w14:paraId="1DD712AD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5EF43E07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677F030C" w14:textId="77777777" w:rsidTr="000F752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240CD84A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lastRenderedPageBreak/>
              <w:t>Anne-Laure MARGULIES</w:t>
            </w:r>
          </w:p>
        </w:tc>
        <w:tc>
          <w:tcPr>
            <w:tcW w:w="7514" w:type="dxa"/>
            <w:vAlign w:val="center"/>
            <w:hideMark/>
          </w:tcPr>
          <w:p w14:paraId="1BD24C8D" w14:textId="77777777" w:rsidR="00807494" w:rsidRDefault="00807494" w:rsidP="000F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Groupe Hospitalier Privé Ambroise Paré – Hartmann, Paris, Ile-de-France, France</w:t>
            </w:r>
          </w:p>
        </w:tc>
        <w:tc>
          <w:tcPr>
            <w:tcW w:w="850" w:type="dxa"/>
            <w:vAlign w:val="center"/>
            <w:hideMark/>
          </w:tcPr>
          <w:p w14:paraId="6DCF8381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4CF4D43D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450077B2" w14:textId="77777777" w:rsidTr="000F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0EA4C9DD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Emmanuelle MATHIEU-D’ARGENT</w:t>
            </w:r>
          </w:p>
        </w:tc>
        <w:tc>
          <w:tcPr>
            <w:tcW w:w="7514" w:type="dxa"/>
            <w:vAlign w:val="center"/>
            <w:hideMark/>
          </w:tcPr>
          <w:p w14:paraId="62E0E957" w14:textId="77777777" w:rsidR="00807494" w:rsidRDefault="00807494" w:rsidP="000F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Hôpital Tenon, Paris, Ile-de-France, France</w:t>
            </w:r>
          </w:p>
        </w:tc>
        <w:tc>
          <w:tcPr>
            <w:tcW w:w="850" w:type="dxa"/>
            <w:vAlign w:val="center"/>
            <w:hideMark/>
          </w:tcPr>
          <w:p w14:paraId="6964A870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559EB7DD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336FFAEC" w14:textId="77777777" w:rsidTr="000F752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3DFCBC69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Pascale MIRAKIAN</w:t>
            </w:r>
          </w:p>
        </w:tc>
        <w:tc>
          <w:tcPr>
            <w:tcW w:w="7514" w:type="dxa"/>
            <w:vAlign w:val="center"/>
            <w:hideMark/>
          </w:tcPr>
          <w:p w14:paraId="23D4CC55" w14:textId="77777777" w:rsidR="00807494" w:rsidRDefault="00807494" w:rsidP="000F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Hôpital Privé Natécia, Lyon, Auvergne-Rhône-Alpes, France</w:t>
            </w:r>
          </w:p>
        </w:tc>
        <w:tc>
          <w:tcPr>
            <w:tcW w:w="850" w:type="dxa"/>
            <w:vAlign w:val="center"/>
            <w:hideMark/>
          </w:tcPr>
          <w:p w14:paraId="35AF9798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2C577D55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29561856" w14:textId="77777777" w:rsidTr="000F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9FA0FCA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Pierre OGER</w:t>
            </w:r>
          </w:p>
        </w:tc>
        <w:tc>
          <w:tcPr>
            <w:tcW w:w="7514" w:type="dxa"/>
            <w:vAlign w:val="center"/>
            <w:hideMark/>
          </w:tcPr>
          <w:p w14:paraId="393CB357" w14:textId="77777777" w:rsidR="00807494" w:rsidRDefault="00807494" w:rsidP="000F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Cabinet médical Fertilité et Enfance, Rueil-Malmaison, Ile-de-France, France</w:t>
            </w:r>
          </w:p>
        </w:tc>
        <w:tc>
          <w:tcPr>
            <w:tcW w:w="850" w:type="dxa"/>
            <w:vAlign w:val="center"/>
            <w:hideMark/>
          </w:tcPr>
          <w:p w14:paraId="68B8ED37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1971444E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55B894E9" w14:textId="77777777" w:rsidTr="000F752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6F07754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Maud PASQUIER</w:t>
            </w:r>
          </w:p>
        </w:tc>
        <w:tc>
          <w:tcPr>
            <w:tcW w:w="7514" w:type="dxa"/>
            <w:vAlign w:val="center"/>
            <w:hideMark/>
          </w:tcPr>
          <w:p w14:paraId="321EB46C" w14:textId="77777777" w:rsidR="00807494" w:rsidRDefault="00807494" w:rsidP="000F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Centre Hospitalier Intercommunal, Créteil, Ile-de-France, France</w:t>
            </w:r>
          </w:p>
        </w:tc>
        <w:tc>
          <w:tcPr>
            <w:tcW w:w="850" w:type="dxa"/>
            <w:vAlign w:val="center"/>
            <w:hideMark/>
          </w:tcPr>
          <w:p w14:paraId="5EFC6415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13985319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6F74EE31" w14:textId="77777777" w:rsidTr="000F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25359CA4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Maeliss PEIGNE</w:t>
            </w:r>
          </w:p>
        </w:tc>
        <w:tc>
          <w:tcPr>
            <w:tcW w:w="7514" w:type="dxa"/>
            <w:vAlign w:val="center"/>
            <w:hideMark/>
          </w:tcPr>
          <w:p w14:paraId="14C70BEF" w14:textId="77777777" w:rsidR="00807494" w:rsidRDefault="00807494" w:rsidP="000F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Hôpital Jean Verdier, Bondy, Ile-de-France, France</w:t>
            </w:r>
          </w:p>
        </w:tc>
        <w:tc>
          <w:tcPr>
            <w:tcW w:w="850" w:type="dxa"/>
            <w:vAlign w:val="center"/>
            <w:hideMark/>
          </w:tcPr>
          <w:p w14:paraId="332186D3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283E0C91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18282F34" w14:textId="77777777" w:rsidTr="000F752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73E2ADA2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Noémie RANISLAVJEVIC</w:t>
            </w:r>
          </w:p>
        </w:tc>
        <w:tc>
          <w:tcPr>
            <w:tcW w:w="7514" w:type="dxa"/>
            <w:vAlign w:val="center"/>
            <w:hideMark/>
          </w:tcPr>
          <w:p w14:paraId="5A2C05FA" w14:textId="77777777" w:rsidR="00807494" w:rsidRDefault="00807494" w:rsidP="000F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Centre Hospitalier Universitaire, Montpellier, Occitanie, France</w:t>
            </w:r>
          </w:p>
        </w:tc>
        <w:tc>
          <w:tcPr>
            <w:tcW w:w="850" w:type="dxa"/>
            <w:vAlign w:val="center"/>
            <w:hideMark/>
          </w:tcPr>
          <w:p w14:paraId="65EE37D6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7EE0FBC8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691CDFE0" w14:textId="77777777" w:rsidTr="000F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58A7A7FE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Anne-Céline REYSS</w:t>
            </w:r>
          </w:p>
        </w:tc>
        <w:tc>
          <w:tcPr>
            <w:tcW w:w="7514" w:type="dxa"/>
            <w:vAlign w:val="center"/>
            <w:hideMark/>
          </w:tcPr>
          <w:p w14:paraId="32E4ADC4" w14:textId="77777777" w:rsidR="00807494" w:rsidRDefault="00807494" w:rsidP="000F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Maison d'Asclepios , Avignon, Provence-Alpes-Côte d’Azur, France</w:t>
            </w:r>
          </w:p>
        </w:tc>
        <w:tc>
          <w:tcPr>
            <w:tcW w:w="850" w:type="dxa"/>
            <w:vAlign w:val="center"/>
            <w:hideMark/>
          </w:tcPr>
          <w:p w14:paraId="09EB00AA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17851FAD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77155725" w14:textId="77777777" w:rsidTr="000F752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13C57EC7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Geoffroy ROBIN</w:t>
            </w:r>
          </w:p>
        </w:tc>
        <w:tc>
          <w:tcPr>
            <w:tcW w:w="7514" w:type="dxa"/>
            <w:vAlign w:val="center"/>
            <w:hideMark/>
          </w:tcPr>
          <w:p w14:paraId="1A9D4913" w14:textId="77777777" w:rsidR="00807494" w:rsidRDefault="00807494" w:rsidP="000F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Hôpital Jeanne de Flandre, Lille, Hauts-de-France, France</w:t>
            </w:r>
          </w:p>
        </w:tc>
        <w:tc>
          <w:tcPr>
            <w:tcW w:w="850" w:type="dxa"/>
            <w:vAlign w:val="center"/>
            <w:hideMark/>
          </w:tcPr>
          <w:p w14:paraId="1F091AE5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3B59977D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2B9EA2CD" w14:textId="77777777" w:rsidTr="000F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08BD2440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Marc SCHNEIDER</w:t>
            </w:r>
          </w:p>
        </w:tc>
        <w:tc>
          <w:tcPr>
            <w:tcW w:w="7514" w:type="dxa"/>
            <w:vAlign w:val="center"/>
            <w:hideMark/>
          </w:tcPr>
          <w:p w14:paraId="5B245DD3" w14:textId="77777777" w:rsidR="00807494" w:rsidRDefault="00807494" w:rsidP="000F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Clinique Belledonne, Saint-Martin d’Hères, Auvergne-Rhône-Alpes, France</w:t>
            </w:r>
          </w:p>
        </w:tc>
        <w:tc>
          <w:tcPr>
            <w:tcW w:w="850" w:type="dxa"/>
            <w:vAlign w:val="center"/>
            <w:hideMark/>
          </w:tcPr>
          <w:p w14:paraId="1D3058CC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62CB4839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1CB3559C" w14:textId="77777777" w:rsidTr="000F752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7FD8621E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Thérèse SCHWEITZER</w:t>
            </w:r>
          </w:p>
        </w:tc>
        <w:tc>
          <w:tcPr>
            <w:tcW w:w="7514" w:type="dxa"/>
            <w:vAlign w:val="center"/>
            <w:hideMark/>
          </w:tcPr>
          <w:p w14:paraId="2B391C53" w14:textId="77777777" w:rsidR="00807494" w:rsidRDefault="00807494" w:rsidP="000F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Hôpital de Mercy, Peltre, Grand-Est, France</w:t>
            </w:r>
          </w:p>
        </w:tc>
        <w:tc>
          <w:tcPr>
            <w:tcW w:w="850" w:type="dxa"/>
            <w:vAlign w:val="center"/>
            <w:hideMark/>
          </w:tcPr>
          <w:p w14:paraId="490066B5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2F70FD54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57E570ED" w14:textId="77777777" w:rsidTr="000F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26E81033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Dominic STOOP</w:t>
            </w:r>
          </w:p>
        </w:tc>
        <w:tc>
          <w:tcPr>
            <w:tcW w:w="7514" w:type="dxa"/>
            <w:vAlign w:val="center"/>
            <w:hideMark/>
          </w:tcPr>
          <w:p w14:paraId="2FC235CB" w14:textId="77777777" w:rsidR="00807494" w:rsidRDefault="00807494" w:rsidP="000F75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Ghent University Hospital, Ghent, Vlaanderen, Belgium</w:t>
            </w:r>
          </w:p>
        </w:tc>
        <w:tc>
          <w:tcPr>
            <w:tcW w:w="850" w:type="dxa"/>
            <w:vAlign w:val="center"/>
            <w:hideMark/>
          </w:tcPr>
          <w:p w14:paraId="4896683D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vAlign w:val="center"/>
            <w:hideMark/>
          </w:tcPr>
          <w:p w14:paraId="4D29CE8A" w14:textId="77777777" w:rsidR="00807494" w:rsidRDefault="00807494" w:rsidP="000F752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  <w:tr w:rsidR="00807494" w14:paraId="5304EFDA" w14:textId="77777777" w:rsidTr="000F752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14:paraId="182A2A6A" w14:textId="77777777" w:rsidR="00807494" w:rsidRDefault="00807494" w:rsidP="000F7527">
            <w:pP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</w:pP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Herman TOURNAYE</w:t>
            </w:r>
          </w:p>
        </w:tc>
        <w:tc>
          <w:tcPr>
            <w:tcW w:w="7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4A9D0B8" w14:textId="77777777" w:rsidR="00807494" w:rsidRDefault="00807494" w:rsidP="000F75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18"/>
                <w:szCs w:val="18"/>
                <w:lang w:val="nl-BE"/>
              </w:rPr>
            </w:pPr>
            <w:r w:rsidRPr="007A26F2">
              <w:rPr>
                <w:rFonts w:cs="Times New Roman"/>
                <w:sz w:val="18"/>
                <w:szCs w:val="18"/>
                <w:lang w:val="nl-BE"/>
              </w:rPr>
              <w:t>Brussels IVF, Universitair Ziekenhuis Brussel, Brussels, Belgium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B8DCC4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FA0E57" w14:textId="77777777" w:rsidR="00807494" w:rsidRDefault="00807494" w:rsidP="000F752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  <w:lang w:val="en-US"/>
              </w:rPr>
            </w:pPr>
            <w:r>
              <w:rPr>
                <w:rFonts w:asciiTheme="majorHAnsi" w:hAnsiTheme="majorHAnsi" w:cstheme="majorHAnsi"/>
                <w:sz w:val="18"/>
                <w:szCs w:val="18"/>
                <w:lang w:val="en-US"/>
              </w:rPr>
              <w:t>X</w:t>
            </w:r>
          </w:p>
        </w:tc>
      </w:tr>
    </w:tbl>
    <w:p w14:paraId="7F726CA3" w14:textId="77777777" w:rsidR="00807494" w:rsidRDefault="00807494" w:rsidP="00807494">
      <w:pPr>
        <w:spacing w:after="0"/>
        <w:jc w:val="center"/>
        <w:rPr>
          <w:rFonts w:cs="Times New Roman"/>
          <w:b/>
          <w:bCs/>
          <w:szCs w:val="24"/>
        </w:rPr>
      </w:pPr>
    </w:p>
    <w:p w14:paraId="63BE9F60" w14:textId="77777777" w:rsidR="00807494" w:rsidRDefault="00807494" w:rsidP="00807494">
      <w:pPr>
        <w:spacing w:after="0"/>
        <w:jc w:val="center"/>
        <w:rPr>
          <w:rFonts w:cs="Times New Roman"/>
          <w:b/>
          <w:bCs/>
          <w:szCs w:val="24"/>
        </w:rPr>
      </w:pPr>
    </w:p>
    <w:p w14:paraId="22F510F3" w14:textId="77777777" w:rsidR="00807494" w:rsidRDefault="00807494" w:rsidP="00807494">
      <w:pPr>
        <w:spacing w:after="0"/>
        <w:jc w:val="center"/>
        <w:rPr>
          <w:rFonts w:cs="Times New Roman"/>
          <w:b/>
          <w:bCs/>
          <w:szCs w:val="24"/>
        </w:rPr>
      </w:pPr>
    </w:p>
    <w:p w14:paraId="2E980369" w14:textId="77777777" w:rsidR="00807494" w:rsidRDefault="00807494" w:rsidP="00807494">
      <w:pPr>
        <w:spacing w:after="0"/>
        <w:jc w:val="center"/>
        <w:rPr>
          <w:rFonts w:cs="Times New Roman"/>
          <w:b/>
          <w:bCs/>
          <w:szCs w:val="24"/>
        </w:rPr>
      </w:pPr>
    </w:p>
    <w:p w14:paraId="18C7916A" w14:textId="77777777" w:rsidR="00807494" w:rsidRDefault="00807494" w:rsidP="00807494">
      <w:pPr>
        <w:spacing w:after="0"/>
        <w:jc w:val="center"/>
        <w:rPr>
          <w:rFonts w:cs="Times New Roman"/>
          <w:b/>
          <w:bCs/>
          <w:szCs w:val="24"/>
        </w:rPr>
      </w:pPr>
    </w:p>
    <w:p w14:paraId="3B2240D0" w14:textId="77777777" w:rsidR="00807494" w:rsidRDefault="00807494" w:rsidP="00807494">
      <w:pPr>
        <w:spacing w:after="0"/>
        <w:jc w:val="center"/>
        <w:rPr>
          <w:rFonts w:cs="Times New Roman"/>
          <w:b/>
          <w:bCs/>
          <w:szCs w:val="24"/>
        </w:rPr>
      </w:pPr>
    </w:p>
    <w:p w14:paraId="2C1D32F9" w14:textId="77777777" w:rsidR="00807494" w:rsidRDefault="00807494" w:rsidP="00807494">
      <w:pPr>
        <w:spacing w:after="0"/>
        <w:jc w:val="center"/>
        <w:rPr>
          <w:rFonts w:cs="Times New Roman"/>
          <w:b/>
          <w:bCs/>
          <w:szCs w:val="24"/>
        </w:rPr>
      </w:pPr>
    </w:p>
    <w:p w14:paraId="773931E7" w14:textId="77777777" w:rsidR="00807494" w:rsidRDefault="00807494" w:rsidP="00807494">
      <w:pPr>
        <w:spacing w:after="0"/>
        <w:jc w:val="center"/>
        <w:rPr>
          <w:rFonts w:cs="Times New Roman"/>
          <w:b/>
          <w:bCs/>
          <w:szCs w:val="24"/>
        </w:rPr>
      </w:pPr>
    </w:p>
    <w:p w14:paraId="683C54A4" w14:textId="77777777" w:rsidR="00807494" w:rsidRDefault="00807494" w:rsidP="00807494">
      <w:pPr>
        <w:spacing w:after="0"/>
        <w:jc w:val="center"/>
        <w:rPr>
          <w:rFonts w:cs="Times New Roman"/>
          <w:b/>
          <w:bCs/>
          <w:szCs w:val="24"/>
        </w:rPr>
      </w:pPr>
    </w:p>
    <w:p w14:paraId="6D87FCCE" w14:textId="77777777" w:rsidR="00807494" w:rsidRDefault="00807494" w:rsidP="00807494">
      <w:pPr>
        <w:spacing w:after="0"/>
        <w:jc w:val="center"/>
        <w:rPr>
          <w:rFonts w:cs="Times New Roman"/>
          <w:b/>
          <w:bCs/>
          <w:szCs w:val="24"/>
        </w:rPr>
      </w:pPr>
    </w:p>
    <w:p w14:paraId="14FA53E3" w14:textId="77777777" w:rsidR="00807494" w:rsidRDefault="00807494" w:rsidP="00807494">
      <w:pPr>
        <w:spacing w:after="0"/>
        <w:jc w:val="center"/>
        <w:rPr>
          <w:rFonts w:cs="Times New Roman"/>
          <w:b/>
          <w:bCs/>
          <w:szCs w:val="24"/>
        </w:rPr>
      </w:pPr>
    </w:p>
    <w:p w14:paraId="54C0D24C" w14:textId="77777777" w:rsidR="00807494" w:rsidRDefault="00807494" w:rsidP="00807494">
      <w:pPr>
        <w:spacing w:after="0"/>
        <w:rPr>
          <w:rFonts w:cs="Times New Roman"/>
          <w:b/>
          <w:bCs/>
          <w:szCs w:val="24"/>
        </w:rPr>
      </w:pPr>
    </w:p>
    <w:p w14:paraId="5E2FCFDB" w14:textId="77777777" w:rsidR="00A21A44" w:rsidRDefault="00A21A44" w:rsidP="00807494">
      <w:pPr>
        <w:spacing w:after="0"/>
        <w:rPr>
          <w:rFonts w:cs="Times New Roman"/>
          <w:b/>
          <w:bCs/>
          <w:szCs w:val="24"/>
        </w:rPr>
      </w:pPr>
    </w:p>
    <w:p w14:paraId="04508009" w14:textId="77777777" w:rsidR="00807494" w:rsidRDefault="00807494" w:rsidP="00807494">
      <w:pPr>
        <w:spacing w:after="0"/>
        <w:rPr>
          <w:rFonts w:cs="Times New Roman"/>
          <w:b/>
          <w:bCs/>
          <w:szCs w:val="24"/>
        </w:rPr>
      </w:pPr>
    </w:p>
    <w:p w14:paraId="1F4C8541" w14:textId="62983493" w:rsidR="00807494" w:rsidRDefault="00A21A44" w:rsidP="00807494">
      <w:pPr>
        <w:spacing w:after="0"/>
        <w:jc w:val="center"/>
        <w:rPr>
          <w:rFonts w:cs="Times New Roman"/>
          <w:b/>
          <w:bCs/>
          <w:szCs w:val="24"/>
        </w:rPr>
      </w:pPr>
      <w:bookmarkStart w:id="1" w:name="_Hlk171347386"/>
      <w:r>
        <w:rPr>
          <w:rFonts w:cs="Times New Roman"/>
          <w:b/>
          <w:bCs/>
          <w:szCs w:val="24"/>
        </w:rPr>
        <w:t>Supplementary Table 2</w:t>
      </w:r>
      <w:r w:rsidR="00807494">
        <w:rPr>
          <w:rFonts w:cs="Times New Roman"/>
          <w:b/>
          <w:bCs/>
          <w:szCs w:val="24"/>
        </w:rPr>
        <w:t xml:space="preserve"> </w:t>
      </w:r>
      <w:bookmarkEnd w:id="1"/>
      <w:r w:rsidR="00807494">
        <w:rPr>
          <w:rFonts w:cs="Times New Roman"/>
          <w:b/>
          <w:bCs/>
          <w:szCs w:val="24"/>
        </w:rPr>
        <w:t>– Statements approved by the AMPLITUDE Scientific Committee</w:t>
      </w:r>
    </w:p>
    <w:tbl>
      <w:tblPr>
        <w:tblStyle w:val="PlainTable3"/>
        <w:tblW w:w="11625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11625"/>
      </w:tblGrid>
      <w:tr w:rsidR="00807494" w14:paraId="16D7B4C6" w14:textId="77777777" w:rsidTr="000F75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1625" w:type="dxa"/>
            <w:tcBorders>
              <w:top w:val="nil"/>
              <w:left w:val="nil"/>
            </w:tcBorders>
            <w:vAlign w:val="center"/>
            <w:hideMark/>
          </w:tcPr>
          <w:p w14:paraId="55A0D9FD" w14:textId="77777777" w:rsidR="00807494" w:rsidRDefault="00807494" w:rsidP="000F7527">
            <w:pPr>
              <w:rPr>
                <w:rFonts w:cs="Times New Roman"/>
                <w:caps w:val="0"/>
                <w:lang w:val="en-US"/>
              </w:rPr>
            </w:pPr>
            <w:r>
              <w:rPr>
                <w:rFonts w:cs="Times New Roman"/>
                <w:caps w:val="0"/>
                <w:lang w:val="en-US"/>
              </w:rPr>
              <w:t>Statements</w:t>
            </w:r>
          </w:p>
        </w:tc>
      </w:tr>
      <w:tr w:rsidR="00807494" w:rsidRPr="0023425D" w14:paraId="42FFEEBB" w14:textId="77777777" w:rsidTr="000F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5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C3EDF0D" w14:textId="77777777" w:rsidR="00807494" w:rsidRDefault="00807494" w:rsidP="000F7527">
            <w:pPr>
              <w:rPr>
                <w:rFonts w:cs="Times New Roman"/>
                <w:b w:val="0"/>
                <w:bCs w:val="0"/>
                <w:i/>
                <w:iCs/>
                <w:caps w:val="0"/>
                <w:sz w:val="20"/>
                <w:szCs w:val="20"/>
                <w:lang w:val="en-US"/>
              </w:rPr>
            </w:pPr>
            <w:r>
              <w:rPr>
                <w:rFonts w:cs="Times New Roman"/>
                <w:b w:val="0"/>
                <w:bCs w:val="0"/>
                <w:i/>
                <w:iCs/>
                <w:caps w:val="0"/>
                <w:sz w:val="20"/>
                <w:szCs w:val="20"/>
                <w:lang w:val="en-US"/>
              </w:rPr>
              <w:t>Patient profile and personalization of the initial gonadotropin dose</w:t>
            </w:r>
          </w:p>
        </w:tc>
      </w:tr>
      <w:tr w:rsidR="00807494" w:rsidRPr="0023425D" w14:paraId="2BCAC753" w14:textId="77777777" w:rsidTr="000F7527">
        <w:trPr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5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6F766342" w14:textId="77777777" w:rsidR="00807494" w:rsidRDefault="00807494" w:rsidP="000F7527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caps w:val="0"/>
                <w:sz w:val="20"/>
                <w:szCs w:val="20"/>
                <w:lang w:val="en-US"/>
              </w:rPr>
              <w:t>1.</w:t>
            </w:r>
            <w:r>
              <w:rPr>
                <w:rFonts w:cs="Times New Roman"/>
                <w:b w:val="0"/>
                <w:bCs w:val="0"/>
                <w:caps w:val="0"/>
                <w:sz w:val="20"/>
                <w:szCs w:val="20"/>
                <w:lang w:val="en-US"/>
              </w:rPr>
              <w:t xml:space="preserve"> The initial dose of gonadotropins administered should be personalized for each patient profile: poor, normal or high response profile</w:t>
            </w:r>
          </w:p>
        </w:tc>
      </w:tr>
      <w:tr w:rsidR="00807494" w:rsidRPr="0023425D" w14:paraId="23C91320" w14:textId="77777777" w:rsidTr="000F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5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1D4D87CE" w14:textId="77777777" w:rsidR="00807494" w:rsidRDefault="00807494" w:rsidP="000F7527">
            <w:pPr>
              <w:spacing w:after="100"/>
              <w:jc w:val="both"/>
              <w:rPr>
                <w:rFonts w:cs="Times New Roman"/>
                <w:b w:val="0"/>
                <w:bCs w:val="0"/>
                <w:caps w:val="0"/>
                <w:sz w:val="20"/>
                <w:szCs w:val="20"/>
                <w:lang w:val="en-US"/>
              </w:rPr>
            </w:pPr>
            <w:r>
              <w:rPr>
                <w:rFonts w:cs="Times New Roman"/>
                <w:caps w:val="0"/>
                <w:sz w:val="20"/>
                <w:szCs w:val="20"/>
                <w:lang w:val="en-US"/>
              </w:rPr>
              <w:t>2.</w:t>
            </w:r>
            <w:r>
              <w:rPr>
                <w:rFonts w:cs="Times New Roman"/>
                <w:b w:val="0"/>
                <w:bCs w:val="0"/>
                <w:caps w:val="0"/>
                <w:sz w:val="20"/>
                <w:szCs w:val="20"/>
                <w:lang w:val="en-US"/>
              </w:rPr>
              <w:t xml:space="preserve"> In addition to the criteria defining the response profile (AFC and AMH), the parameters for personalizing the gonadotropin dose in a patient who is naïve to all stimulation treatments are as follow:</w:t>
            </w:r>
          </w:p>
          <w:p w14:paraId="425FBCB5" w14:textId="77777777" w:rsidR="00807494" w:rsidRDefault="00807494" w:rsidP="000F7527">
            <w:pPr>
              <w:spacing w:after="100"/>
              <w:ind w:left="318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caps w:val="0"/>
                <w:sz w:val="20"/>
                <w:szCs w:val="20"/>
                <w:lang w:val="en-US"/>
              </w:rPr>
              <w:t>2.1</w:t>
            </w:r>
            <w:r>
              <w:rPr>
                <w:rFonts w:cs="Times New Roman"/>
                <w:b w:val="0"/>
                <w:bCs w:val="0"/>
                <w:caps w:val="0"/>
                <w:sz w:val="20"/>
                <w:szCs w:val="20"/>
                <w:lang w:val="en-US"/>
              </w:rPr>
              <w:t xml:space="preserve"> Poor response profile : Basal FSH level; Basal E2/FSH couple; Extreme values of LH (low or high); Age; Weight; BMI; Gynecological history (pelvic surgery); Obstetrical history (history of uterine rupture, ectopic pregnancy,…); Parental project (desired number of children); General history (chronic inflammation disease, cancer, etc…); Endometriosis (depending on the stage and the phenotype); Nature of cycle (ovulatory, dysovulatory, anovulatory); Opting for a fresh transfer or freeze-all</w:t>
            </w:r>
          </w:p>
          <w:p w14:paraId="6DD7418B" w14:textId="77777777" w:rsidR="00807494" w:rsidRDefault="00807494" w:rsidP="000F7527">
            <w:pPr>
              <w:spacing w:after="100"/>
              <w:ind w:left="318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caps w:val="0"/>
                <w:sz w:val="20"/>
                <w:szCs w:val="20"/>
                <w:lang w:val="en-US"/>
              </w:rPr>
              <w:t>2.2</w:t>
            </w:r>
            <w:r>
              <w:rPr>
                <w:rFonts w:cs="Times New Roman"/>
                <w:b w:val="0"/>
                <w:bCs w:val="0"/>
                <w:caps w:val="0"/>
                <w:sz w:val="20"/>
                <w:szCs w:val="20"/>
                <w:lang w:val="en-US"/>
              </w:rPr>
              <w:t xml:space="preserve"> Normal response profile : Basal FSH level; Basal E2/FSH couple; Extreme values of LH (low or high); Age; Weight; BMI; Gynecological history (pelvic surgery); Obstetrical history (history of uterine rupture, ectopic pregnancy,…); Parental project (desired number of children); General history (chronic inflammation disease, cancer, etc…); Endometriosis (depending on the stage and the phenotype); Nature of cycle (ovulatory, dysovulatory, anovulatory); Opting for a fresh transfer or freeze-all</w:t>
            </w:r>
          </w:p>
          <w:p w14:paraId="75FA70DF" w14:textId="77777777" w:rsidR="00807494" w:rsidRDefault="00807494" w:rsidP="000F7527">
            <w:pPr>
              <w:spacing w:after="100"/>
              <w:ind w:left="318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caps w:val="0"/>
                <w:sz w:val="20"/>
                <w:szCs w:val="20"/>
                <w:lang w:val="en-US"/>
              </w:rPr>
              <w:t>2.3</w:t>
            </w:r>
            <w:r>
              <w:rPr>
                <w:rFonts w:cs="Times New Roman"/>
                <w:b w:val="0"/>
                <w:bCs w:val="0"/>
                <w:caps w:val="0"/>
                <w:sz w:val="20"/>
                <w:szCs w:val="20"/>
                <w:lang w:val="en-US"/>
              </w:rPr>
              <w:t xml:space="preserve"> High response profile : Basal FSH level; Basal E2/FSH couple; Extreme values of LH (low or high); Age; Weight; BMI; Gynecological history (pelvic surgery); Obstetrical history (history of uterine rupture, ectopic pregnancy,…); Parental project (desired number of children); General history (chronic inflammation disease, cancer, etc…); Endometriosis (depending on the stage and the phenotype); Nature of cycle (ovulatory, dysovulatory, anovulatory); Opting for a fresh transfer or freeze-all</w:t>
            </w:r>
          </w:p>
        </w:tc>
      </w:tr>
      <w:tr w:rsidR="00807494" w:rsidRPr="0023425D" w14:paraId="4329B9BD" w14:textId="77777777" w:rsidTr="000F7527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5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73EF6CB1" w14:textId="77777777" w:rsidR="00807494" w:rsidRDefault="00807494" w:rsidP="000F7527">
            <w:pPr>
              <w:jc w:val="both"/>
              <w:rPr>
                <w:rFonts w:cs="Times New Roman"/>
                <w:b w:val="0"/>
                <w:bCs w:val="0"/>
                <w:caps w:val="0"/>
                <w:sz w:val="20"/>
                <w:szCs w:val="20"/>
                <w:lang w:val="en-US"/>
              </w:rPr>
            </w:pPr>
            <w:r>
              <w:rPr>
                <w:rFonts w:cs="Times New Roman"/>
                <w:caps w:val="0"/>
                <w:sz w:val="20"/>
                <w:szCs w:val="20"/>
                <w:lang w:val="en-US"/>
              </w:rPr>
              <w:t>3.</w:t>
            </w:r>
            <w:r>
              <w:rPr>
                <w:rFonts w:cs="Times New Roman"/>
                <w:b w:val="0"/>
                <w:bCs w:val="0"/>
                <w:caps w:val="0"/>
                <w:sz w:val="20"/>
                <w:szCs w:val="20"/>
                <w:lang w:val="en-US"/>
              </w:rPr>
              <w:t xml:space="preserve"> The maximum initial dose of gonadotropins for a poor-responding patient should not exceed 300 IU for the first attempt</w:t>
            </w:r>
          </w:p>
        </w:tc>
      </w:tr>
      <w:tr w:rsidR="00807494" w:rsidRPr="00095684" w14:paraId="234DDBB2" w14:textId="77777777" w:rsidTr="000F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5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32C74FD1" w14:textId="77777777" w:rsidR="00807494" w:rsidRDefault="00807494" w:rsidP="000F7527">
            <w:pPr>
              <w:jc w:val="both"/>
              <w:rPr>
                <w:rFonts w:cs="Times New Roman"/>
                <w:b w:val="0"/>
                <w:bCs w:val="0"/>
                <w:caps w:val="0"/>
                <w:sz w:val="20"/>
                <w:szCs w:val="20"/>
                <w:lang w:val="en-US"/>
              </w:rPr>
            </w:pPr>
            <w:r>
              <w:rPr>
                <w:rFonts w:cs="Times New Roman"/>
                <w:b w:val="0"/>
                <w:bCs w:val="0"/>
                <w:i/>
                <w:iCs/>
                <w:caps w:val="0"/>
                <w:sz w:val="20"/>
                <w:szCs w:val="20"/>
                <w:lang w:val="en-US"/>
              </w:rPr>
              <w:t>Fresh transfer vs. Freeze-all</w:t>
            </w:r>
          </w:p>
        </w:tc>
      </w:tr>
      <w:tr w:rsidR="00807494" w:rsidRPr="0023425D" w14:paraId="6A64333F" w14:textId="77777777" w:rsidTr="000F7527">
        <w:trPr>
          <w:trHeight w:val="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5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7CF1FC2D" w14:textId="77777777" w:rsidR="00807494" w:rsidRDefault="00807494" w:rsidP="000F7527">
            <w:pPr>
              <w:jc w:val="both"/>
              <w:rPr>
                <w:rFonts w:cs="Times New Roman"/>
                <w:b w:val="0"/>
                <w:bCs w:val="0"/>
                <w:caps w:val="0"/>
                <w:sz w:val="20"/>
                <w:szCs w:val="20"/>
                <w:lang w:val="en-US"/>
              </w:rPr>
            </w:pPr>
            <w:r>
              <w:rPr>
                <w:rFonts w:cs="Times New Roman"/>
                <w:caps w:val="0"/>
                <w:sz w:val="20"/>
                <w:szCs w:val="20"/>
                <w:lang w:val="en-US"/>
              </w:rPr>
              <w:t>4.</w:t>
            </w:r>
            <w:r>
              <w:rPr>
                <w:rFonts w:cs="Times New Roman"/>
                <w:b w:val="0"/>
                <w:bCs w:val="0"/>
                <w:caps w:val="0"/>
                <w:sz w:val="20"/>
                <w:szCs w:val="20"/>
                <w:lang w:val="en-US"/>
              </w:rPr>
              <w:t xml:space="preserve"> When initiating ovarian stimulation, a fresh transfer strategy is preferred as the first-line treatment for: poor response profile; normal response profile; high response profile</w:t>
            </w:r>
          </w:p>
        </w:tc>
      </w:tr>
      <w:tr w:rsidR="00807494" w:rsidRPr="0023425D" w14:paraId="52458A95" w14:textId="77777777" w:rsidTr="000F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5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210EDD1E" w14:textId="77777777" w:rsidR="00807494" w:rsidRDefault="00807494" w:rsidP="000F7527">
            <w:pPr>
              <w:jc w:val="both"/>
              <w:rPr>
                <w:rFonts w:cs="Times New Roman"/>
                <w:caps w:val="0"/>
                <w:sz w:val="20"/>
                <w:szCs w:val="20"/>
                <w:lang w:val="en-US"/>
              </w:rPr>
            </w:pPr>
            <w:bookmarkStart w:id="2" w:name="_Hlk138779516"/>
            <w:r>
              <w:rPr>
                <w:rFonts w:cs="Times New Roman"/>
                <w:caps w:val="0"/>
                <w:sz w:val="20"/>
                <w:szCs w:val="20"/>
                <w:lang w:val="en-US"/>
              </w:rPr>
              <w:t xml:space="preserve">5. </w:t>
            </w:r>
            <w:r>
              <w:rPr>
                <w:rFonts w:cs="Times New Roman"/>
                <w:b w:val="0"/>
                <w:bCs w:val="0"/>
                <w:caps w:val="0"/>
                <w:sz w:val="20"/>
                <w:szCs w:val="20"/>
                <w:lang w:val="en-US"/>
              </w:rPr>
              <w:t>Certain events discovered at initiation or during ovarian stimulation may lead to freezing all embryos. A freeze-all strategy is therefore preferable if the following events occur: High risk of hyperstimulation; Inadequate endometrium; New pathology of the uterine cavity; Premature elevation of progesterone (&gt; 1.5 ng/ml); New diagnosis of tubal pathology (hydrosalpinx)</w:t>
            </w:r>
            <w:bookmarkEnd w:id="2"/>
          </w:p>
        </w:tc>
      </w:tr>
      <w:tr w:rsidR="00807494" w14:paraId="18EE430E" w14:textId="77777777" w:rsidTr="000F7527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50E2694B" w14:textId="77777777" w:rsidR="00807494" w:rsidRDefault="00807494" w:rsidP="000F7527">
            <w:pPr>
              <w:jc w:val="both"/>
              <w:rPr>
                <w:rFonts w:cs="Times New Roman"/>
                <w:caps w:val="0"/>
                <w:sz w:val="20"/>
                <w:szCs w:val="20"/>
                <w:lang w:val="en-US"/>
              </w:rPr>
            </w:pPr>
            <w:r>
              <w:rPr>
                <w:rFonts w:cs="Times New Roman"/>
                <w:b w:val="0"/>
                <w:bCs w:val="0"/>
                <w:i/>
                <w:iCs/>
                <w:caps w:val="0"/>
                <w:sz w:val="20"/>
                <w:szCs w:val="20"/>
                <w:lang w:val="en-US"/>
              </w:rPr>
              <w:t>Ovarian response</w:t>
            </w:r>
          </w:p>
        </w:tc>
      </w:tr>
      <w:tr w:rsidR="00807494" w:rsidRPr="0023425D" w14:paraId="1D3C6FFB" w14:textId="77777777" w:rsidTr="000F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5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078F3DA4" w14:textId="77777777" w:rsidR="00807494" w:rsidRDefault="00807494" w:rsidP="000F7527">
            <w:pPr>
              <w:jc w:val="both"/>
              <w:rPr>
                <w:rFonts w:cs="Times New Roman"/>
                <w:caps w:val="0"/>
                <w:sz w:val="20"/>
                <w:szCs w:val="20"/>
                <w:lang w:val="en-US"/>
              </w:rPr>
            </w:pPr>
            <w:r>
              <w:rPr>
                <w:rFonts w:cs="Times New Roman"/>
                <w:caps w:val="0"/>
                <w:sz w:val="20"/>
                <w:szCs w:val="20"/>
                <w:lang w:val="en-US"/>
              </w:rPr>
              <w:t xml:space="preserve">6. </w:t>
            </w:r>
            <w:r>
              <w:rPr>
                <w:rFonts w:cs="Times New Roman"/>
                <w:b w:val="0"/>
                <w:bCs w:val="0"/>
                <w:caps w:val="0"/>
                <w:sz w:val="20"/>
                <w:szCs w:val="20"/>
                <w:lang w:val="en-US"/>
              </w:rPr>
              <w:t xml:space="preserve">During ovarian stimulation with an antagonist protocol in fresh transfer, a number of 3 follicles measuring </w:t>
            </w: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≥</w:t>
            </w:r>
            <w:r>
              <w:rPr>
                <w:rFonts w:cs="Times New Roman"/>
                <w:b w:val="0"/>
                <w:bCs w:val="0"/>
                <w:caps w:val="0"/>
                <w:sz w:val="20"/>
                <w:szCs w:val="20"/>
                <w:lang w:val="en-US"/>
              </w:rPr>
              <w:t>17 mm is a trigger criterion</w:t>
            </w:r>
          </w:p>
        </w:tc>
      </w:tr>
      <w:tr w:rsidR="00807494" w:rsidRPr="0023425D" w14:paraId="5B2E73F9" w14:textId="77777777" w:rsidTr="000F7527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5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32A0BAE3" w14:textId="77777777" w:rsidR="00807494" w:rsidRDefault="00807494" w:rsidP="000F7527">
            <w:pPr>
              <w:jc w:val="both"/>
              <w:rPr>
                <w:rFonts w:cs="Times New Roman"/>
                <w:caps w:val="0"/>
                <w:sz w:val="20"/>
                <w:szCs w:val="20"/>
                <w:lang w:val="en-US"/>
              </w:rPr>
            </w:pPr>
            <w:r>
              <w:rPr>
                <w:rFonts w:cs="Times New Roman"/>
                <w:caps w:val="0"/>
                <w:sz w:val="20"/>
                <w:szCs w:val="20"/>
                <w:lang w:val="en-US"/>
              </w:rPr>
              <w:t xml:space="preserve">7. </w:t>
            </w:r>
            <w:r>
              <w:rPr>
                <w:rFonts w:cs="Times New Roman"/>
                <w:b w:val="0"/>
                <w:bCs w:val="0"/>
                <w:caps w:val="0"/>
                <w:sz w:val="20"/>
                <w:szCs w:val="20"/>
                <w:lang w:val="en-US"/>
              </w:rPr>
              <w:t>During ovarian stimulation with an antagonist protocol, a GnRH agonist trigger:</w:t>
            </w:r>
            <w:r>
              <w:rPr>
                <w:rFonts w:cs="Times New Roman"/>
                <w:caps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cs="Times New Roman"/>
                <w:b w:val="0"/>
                <w:bCs w:val="0"/>
                <w:caps w:val="0"/>
                <w:sz w:val="20"/>
                <w:szCs w:val="20"/>
                <w:lang w:val="en-US"/>
              </w:rPr>
              <w:t xml:space="preserve">Should be performed if there are </w:t>
            </w: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≥</w:t>
            </w:r>
            <w:r>
              <w:rPr>
                <w:rFonts w:cs="Times New Roman"/>
                <w:b w:val="0"/>
                <w:bCs w:val="0"/>
                <w:caps w:val="0"/>
                <w:sz w:val="20"/>
                <w:szCs w:val="20"/>
                <w:lang w:val="en-US"/>
              </w:rPr>
              <w:t xml:space="preserve">18 follicles </w:t>
            </w: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≥</w:t>
            </w:r>
            <w:r>
              <w:rPr>
                <w:rFonts w:cs="Times New Roman"/>
                <w:b w:val="0"/>
                <w:bCs w:val="0"/>
                <w:caps w:val="0"/>
                <w:sz w:val="20"/>
                <w:szCs w:val="20"/>
                <w:lang w:val="en-US"/>
              </w:rPr>
              <w:t xml:space="preserve">11 mm; Should be performed if the estradiol level is </w:t>
            </w:r>
            <w:r>
              <w:rPr>
                <w:rFonts w:cs="Times New Roman"/>
                <w:b w:val="0"/>
                <w:bCs w:val="0"/>
                <w:caps w:val="0"/>
                <w:sz w:val="18"/>
                <w:szCs w:val="18"/>
                <w:lang w:val="en-US"/>
              </w:rPr>
              <w:t>≥</w:t>
            </w:r>
            <w:r>
              <w:rPr>
                <w:rFonts w:cs="Times New Roman"/>
                <w:b w:val="0"/>
                <w:bCs w:val="0"/>
                <w:caps w:val="0"/>
                <w:sz w:val="20"/>
                <w:szCs w:val="20"/>
                <w:lang w:val="en-US"/>
              </w:rPr>
              <w:t>5000 ng/ml; Should be followed systematically by a freeze-all</w:t>
            </w:r>
          </w:p>
        </w:tc>
      </w:tr>
      <w:tr w:rsidR="00807494" w:rsidRPr="0023425D" w14:paraId="21E094C3" w14:textId="77777777" w:rsidTr="000F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5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20240BAC" w14:textId="77777777" w:rsidR="00807494" w:rsidRDefault="00807494" w:rsidP="000F7527">
            <w:pPr>
              <w:jc w:val="both"/>
              <w:rPr>
                <w:rFonts w:cs="Times New Roman"/>
                <w:caps w:val="0"/>
                <w:sz w:val="20"/>
                <w:szCs w:val="20"/>
                <w:lang w:val="en-US"/>
              </w:rPr>
            </w:pPr>
            <w:r>
              <w:rPr>
                <w:rFonts w:cs="Times New Roman"/>
                <w:caps w:val="0"/>
                <w:sz w:val="20"/>
                <w:szCs w:val="20"/>
                <w:lang w:val="en-US"/>
              </w:rPr>
              <w:t xml:space="preserve">8. </w:t>
            </w:r>
            <w:r>
              <w:rPr>
                <w:rFonts w:cs="Times New Roman"/>
                <w:b w:val="0"/>
                <w:bCs w:val="0"/>
                <w:caps w:val="0"/>
                <w:sz w:val="20"/>
                <w:szCs w:val="20"/>
                <w:lang w:val="en-US"/>
              </w:rPr>
              <w:t>The optimal oocyte target (with the best benefit/risk balance) for ovarian stimulation is: 5-10 oocytes; 10-15 oocytes; 15-20 oocytes, &gt;20 oocytes</w:t>
            </w:r>
          </w:p>
        </w:tc>
      </w:tr>
      <w:tr w:rsidR="00807494" w:rsidRPr="0023425D" w14:paraId="2C678F0A" w14:textId="77777777" w:rsidTr="000F7527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5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3FB7B70F" w14:textId="77777777" w:rsidR="00807494" w:rsidRDefault="00807494" w:rsidP="000F7527">
            <w:pPr>
              <w:spacing w:after="100"/>
              <w:jc w:val="both"/>
              <w:rPr>
                <w:rFonts w:cs="Times New Roman"/>
                <w:b w:val="0"/>
                <w:bCs w:val="0"/>
                <w:caps w:val="0"/>
                <w:sz w:val="20"/>
                <w:szCs w:val="20"/>
                <w:lang w:val="en-US"/>
              </w:rPr>
            </w:pPr>
            <w:r>
              <w:rPr>
                <w:rFonts w:cs="Times New Roman"/>
                <w:caps w:val="0"/>
                <w:sz w:val="20"/>
                <w:szCs w:val="20"/>
                <w:lang w:val="en-US"/>
              </w:rPr>
              <w:t xml:space="preserve">9. </w:t>
            </w:r>
            <w:r>
              <w:rPr>
                <w:rFonts w:cs="Times New Roman"/>
                <w:b w:val="0"/>
                <w:bCs w:val="0"/>
                <w:caps w:val="0"/>
                <w:sz w:val="20"/>
                <w:szCs w:val="20"/>
                <w:lang w:val="en-US"/>
              </w:rPr>
              <w:t xml:space="preserve">If the ovarian response is insufficient compared to the expected response on the first attempt, for a subsequent cycle: </w:t>
            </w:r>
          </w:p>
          <w:p w14:paraId="05F69976" w14:textId="77777777" w:rsidR="00807494" w:rsidRDefault="00807494" w:rsidP="000F7527">
            <w:pPr>
              <w:spacing w:after="100"/>
              <w:ind w:left="318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caps w:val="0"/>
                <w:sz w:val="20"/>
                <w:szCs w:val="20"/>
                <w:lang w:val="en-US"/>
              </w:rPr>
              <w:lastRenderedPageBreak/>
              <w:t>9.1</w:t>
            </w:r>
            <w:r>
              <w:rPr>
                <w:rFonts w:cs="Times New Roman"/>
                <w:b w:val="0"/>
                <w:bCs w:val="0"/>
                <w:caps w:val="0"/>
                <w:sz w:val="20"/>
                <w:szCs w:val="20"/>
                <w:lang w:val="en-US"/>
              </w:rPr>
              <w:t xml:space="preserve"> Poor response profile: The gonadotropin dose should be increased; Gonadotropin should be replaced; Another gonadotropin should be administered simultaneously; Another gonadotropin should be administered sequentially; In case of antagonist protocol in the first attempt, the protocol should be modified; In case of short/long agonist protocol in the first attempt, the protocol should be modified; An LH/hCG activity should be added</w:t>
            </w:r>
          </w:p>
          <w:p w14:paraId="606A03A1" w14:textId="77777777" w:rsidR="00807494" w:rsidRDefault="00807494" w:rsidP="000F7527">
            <w:pPr>
              <w:spacing w:after="100"/>
              <w:ind w:left="318"/>
              <w:jc w:val="both"/>
              <w:rPr>
                <w:rFonts w:cs="Times New Roman"/>
                <w:b w:val="0"/>
                <w:bCs w:val="0"/>
                <w:caps w:val="0"/>
                <w:sz w:val="20"/>
                <w:szCs w:val="20"/>
                <w:lang w:val="en-US"/>
              </w:rPr>
            </w:pPr>
            <w:r>
              <w:rPr>
                <w:rFonts w:cs="Times New Roman"/>
                <w:caps w:val="0"/>
                <w:sz w:val="20"/>
                <w:szCs w:val="20"/>
                <w:lang w:val="en-US"/>
              </w:rPr>
              <w:t>9.2</w:t>
            </w:r>
            <w:r>
              <w:rPr>
                <w:rFonts w:cs="Times New Roman"/>
                <w:b w:val="0"/>
                <w:bCs w:val="0"/>
                <w:caps w:val="0"/>
                <w:sz w:val="20"/>
                <w:szCs w:val="20"/>
                <w:lang w:val="en-US"/>
              </w:rPr>
              <w:t xml:space="preserve"> Normal response profile: The gonadotropin dose should be increased; Gonadotropin should be replaced; Another gonadotropin should be administered simultaneously; Another gonadotropin should be administered sequentially; In case of antagonist protocol in the first attempt, the protocol should be modified; In case of short/long agonist protocol in the first attempt, the protocol should be modified; An LH/hCG activity should be added</w:t>
            </w:r>
          </w:p>
          <w:p w14:paraId="5E1A276E" w14:textId="77777777" w:rsidR="00807494" w:rsidRDefault="00807494" w:rsidP="000F7527">
            <w:pPr>
              <w:spacing w:after="100"/>
              <w:ind w:left="318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caps w:val="0"/>
                <w:sz w:val="20"/>
                <w:szCs w:val="20"/>
                <w:lang w:val="en-US"/>
              </w:rPr>
              <w:t>9.3</w:t>
            </w:r>
            <w:r>
              <w:rPr>
                <w:rFonts w:cs="Times New Roman"/>
                <w:b w:val="0"/>
                <w:bCs w:val="0"/>
                <w:caps w:val="0"/>
                <w:sz w:val="20"/>
                <w:szCs w:val="20"/>
                <w:lang w:val="en-US"/>
              </w:rPr>
              <w:t xml:space="preserve"> High response profile: The gonadotropin dose should be increased; Gonadotropin should be replaced; Another gonadotropin should be administered simultaneously; Another gonadotropin should be administered sequentially; In case of antagonist protocol in the first attempt, the protocol should be modified; In case of short/long agonist protocol in the first attempt, the protocol should be modified; A LH activity should be added</w:t>
            </w:r>
          </w:p>
        </w:tc>
      </w:tr>
      <w:tr w:rsidR="00807494" w:rsidRPr="0023425D" w14:paraId="2926C92C" w14:textId="77777777" w:rsidTr="000F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5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14:paraId="1BE73193" w14:textId="77777777" w:rsidR="00807494" w:rsidRDefault="00807494" w:rsidP="000F7527">
            <w:pPr>
              <w:spacing w:after="100"/>
              <w:jc w:val="both"/>
              <w:rPr>
                <w:rFonts w:cs="Times New Roman"/>
                <w:b w:val="0"/>
                <w:bCs w:val="0"/>
                <w:caps w:val="0"/>
                <w:sz w:val="20"/>
                <w:szCs w:val="20"/>
                <w:lang w:val="en-US"/>
              </w:rPr>
            </w:pPr>
            <w:r>
              <w:rPr>
                <w:rFonts w:cs="Times New Roman"/>
                <w:caps w:val="0"/>
                <w:sz w:val="20"/>
                <w:szCs w:val="20"/>
                <w:lang w:val="en-US"/>
              </w:rPr>
              <w:lastRenderedPageBreak/>
              <w:t xml:space="preserve">10. </w:t>
            </w:r>
            <w:r>
              <w:rPr>
                <w:rFonts w:cs="Times New Roman"/>
                <w:b w:val="0"/>
                <w:bCs w:val="0"/>
                <w:caps w:val="0"/>
                <w:sz w:val="20"/>
                <w:szCs w:val="20"/>
                <w:lang w:val="en-US"/>
              </w:rPr>
              <w:t xml:space="preserve">If the ovarian response is excessive compared to the expected response on the first attempt, for a subsequent cycle: </w:t>
            </w:r>
          </w:p>
          <w:p w14:paraId="0F659E0F" w14:textId="77777777" w:rsidR="00807494" w:rsidRDefault="00807494" w:rsidP="000F7527">
            <w:pPr>
              <w:spacing w:after="100"/>
              <w:ind w:left="318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>
              <w:rPr>
                <w:rFonts w:cs="Times New Roman"/>
                <w:caps w:val="0"/>
                <w:sz w:val="20"/>
                <w:szCs w:val="20"/>
                <w:lang w:val="en-US"/>
              </w:rPr>
              <w:t>10.1</w:t>
            </w:r>
            <w:r>
              <w:rPr>
                <w:rFonts w:cs="Times New Roman"/>
                <w:b w:val="0"/>
                <w:bCs w:val="0"/>
                <w:caps w:val="0"/>
                <w:sz w:val="20"/>
                <w:szCs w:val="20"/>
                <w:lang w:val="en-US"/>
              </w:rPr>
              <w:t xml:space="preserve"> Normal response profile: The gonadotropin dose should be reduced; Gonadotropin should be replaced;</w:t>
            </w:r>
            <w:r>
              <w:rPr>
                <w:lang w:val="en-US"/>
              </w:rPr>
              <w:t xml:space="preserve"> </w:t>
            </w:r>
            <w:r>
              <w:rPr>
                <w:rFonts w:cs="Times New Roman"/>
                <w:b w:val="0"/>
                <w:bCs w:val="0"/>
                <w:caps w:val="0"/>
                <w:sz w:val="20"/>
                <w:szCs w:val="20"/>
                <w:lang w:val="en-US"/>
              </w:rPr>
              <w:t>An antagonist protocol should be preferred; The protocol should be unchanged with freeze-all</w:t>
            </w:r>
          </w:p>
          <w:p w14:paraId="486D6E21" w14:textId="77777777" w:rsidR="00807494" w:rsidRDefault="00807494" w:rsidP="000F7527">
            <w:pPr>
              <w:spacing w:after="100"/>
              <w:ind w:left="318"/>
              <w:jc w:val="both"/>
              <w:rPr>
                <w:rFonts w:cs="Times New Roman"/>
                <w:b w:val="0"/>
                <w:bCs w:val="0"/>
                <w:caps w:val="0"/>
                <w:sz w:val="20"/>
                <w:szCs w:val="20"/>
                <w:lang w:val="en-US"/>
              </w:rPr>
            </w:pPr>
            <w:r>
              <w:rPr>
                <w:rFonts w:cs="Times New Roman"/>
                <w:caps w:val="0"/>
                <w:sz w:val="20"/>
                <w:szCs w:val="20"/>
                <w:lang w:val="en-US"/>
              </w:rPr>
              <w:t>10.2</w:t>
            </w:r>
            <w:r>
              <w:rPr>
                <w:rFonts w:cs="Times New Roman"/>
                <w:b w:val="0"/>
                <w:bCs w:val="0"/>
                <w:caps w:val="0"/>
                <w:sz w:val="20"/>
                <w:szCs w:val="20"/>
                <w:lang w:val="en-US"/>
              </w:rPr>
              <w:t xml:space="preserve"> High response profile: The gonadotropin dose should be reduced; Gonadotropin should be replaced; An antagonist protocol should be preferred; The protocol should be unchanged with freeze-all</w:t>
            </w:r>
          </w:p>
        </w:tc>
      </w:tr>
      <w:tr w:rsidR="00807494" w14:paraId="3A7CC99D" w14:textId="77777777" w:rsidTr="000F7527">
        <w:trPr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5" w:type="dxa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  <w:hideMark/>
          </w:tcPr>
          <w:p w14:paraId="50006703" w14:textId="77777777" w:rsidR="00807494" w:rsidRDefault="00807494" w:rsidP="000F7527">
            <w:pPr>
              <w:jc w:val="both"/>
              <w:rPr>
                <w:rFonts w:cs="Times New Roman"/>
                <w:caps w:val="0"/>
                <w:sz w:val="20"/>
                <w:szCs w:val="20"/>
                <w:lang w:val="en-US"/>
              </w:rPr>
            </w:pPr>
            <w:r>
              <w:rPr>
                <w:rFonts w:cs="Times New Roman"/>
                <w:b w:val="0"/>
                <w:bCs w:val="0"/>
                <w:i/>
                <w:iCs/>
                <w:caps w:val="0"/>
                <w:sz w:val="20"/>
                <w:szCs w:val="20"/>
                <w:lang w:val="en-US"/>
              </w:rPr>
              <w:t>LH/hCG activity</w:t>
            </w:r>
          </w:p>
        </w:tc>
      </w:tr>
      <w:tr w:rsidR="00807494" w:rsidRPr="0023425D" w14:paraId="5F074AF0" w14:textId="77777777" w:rsidTr="000F75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25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  <w:hideMark/>
          </w:tcPr>
          <w:p w14:paraId="604F589C" w14:textId="77777777" w:rsidR="00807494" w:rsidRDefault="00807494" w:rsidP="000F7527">
            <w:pPr>
              <w:jc w:val="both"/>
              <w:rPr>
                <w:rFonts w:cs="Times New Roman"/>
                <w:b w:val="0"/>
                <w:bCs w:val="0"/>
                <w:i/>
                <w:iCs/>
                <w:caps w:val="0"/>
                <w:sz w:val="20"/>
                <w:szCs w:val="20"/>
                <w:lang w:val="en-US"/>
              </w:rPr>
            </w:pPr>
            <w:r>
              <w:rPr>
                <w:rFonts w:cs="Times New Roman"/>
                <w:caps w:val="0"/>
                <w:sz w:val="20"/>
                <w:szCs w:val="20"/>
                <w:lang w:val="en-US"/>
              </w:rPr>
              <w:t xml:space="preserve">11. </w:t>
            </w:r>
            <w:r>
              <w:rPr>
                <w:rFonts w:cs="Times New Roman"/>
                <w:b w:val="0"/>
                <w:bCs w:val="0"/>
                <w:caps w:val="0"/>
                <w:sz w:val="20"/>
                <w:szCs w:val="20"/>
                <w:lang w:val="en-US"/>
              </w:rPr>
              <w:t>Supplementation of LH/hCG activity should be performed under the following conditions: Advanced age of the patient; Suspected FSH receptor polymorphism; Stagnant follicular growth; Insufficient or inadequate response during the first stimulation; Patients with hypogonadotropic hypogonadism; All patients profiles; LH level &lt;1.2 ng/ml during stimulation; Stagnant E2 level</w:t>
            </w:r>
          </w:p>
        </w:tc>
      </w:tr>
    </w:tbl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6AD8FC" w14:textId="77777777" w:rsidR="003D2D47" w:rsidRDefault="003D2D47" w:rsidP="00117666">
      <w:pPr>
        <w:spacing w:after="0"/>
      </w:pPr>
      <w:r>
        <w:separator/>
      </w:r>
    </w:p>
  </w:endnote>
  <w:endnote w:type="continuationSeparator" w:id="0">
    <w:p w14:paraId="68A94BCB" w14:textId="77777777" w:rsidR="003D2D47" w:rsidRDefault="003D2D47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5895F6C1" w:rsidR="00A21A44" w:rsidRPr="00577C4C" w:rsidRDefault="00807494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C2822E8" wp14:editId="5E5B74D3">
              <wp:simplePos x="819150" y="92011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1208682387" name="Text Box 2" descr="For Internal Use -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FC2C9A" w14:textId="2F47ED9B" w:rsidR="00807494" w:rsidRPr="00807494" w:rsidRDefault="00807494" w:rsidP="0080749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2"/>
                            </w:rPr>
                          </w:pPr>
                          <w:r w:rsidRPr="0080749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2"/>
                            </w:rPr>
                            <w:t xml:space="preserve">For Internal Use -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822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For Internal Use - Internal 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fill o:detectmouseclick="t"/>
              <v:textbox style="mso-fit-shape-to-text:t" inset="20pt,0,0,15pt">
                <w:txbxContent>
                  <w:p w14:paraId="52FC2C9A" w14:textId="2F47ED9B" w:rsidR="00807494" w:rsidRPr="00807494" w:rsidRDefault="00807494" w:rsidP="0080749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2"/>
                      </w:rPr>
                    </w:pPr>
                    <w:r w:rsidRPr="00807494">
                      <w:rPr>
                        <w:rFonts w:ascii="Arial" w:eastAsia="Arial" w:hAnsi="Arial" w:cs="Arial"/>
                        <w:noProof/>
                        <w:color w:val="000000"/>
                        <w:sz w:val="22"/>
                      </w:rPr>
                      <w:t xml:space="preserve">For Internal Use -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52A7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A21A44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A152CD" id="Text Box 1" o:spid="_x0000_s1027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A21A44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3C4B537B" w:rsidR="00A21A44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30CE741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A21A44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8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e9WIQ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" filled="f" stroked="f" strokeweight=".5pt">
              <v:textbox style="mso-fit-shape-to-text:t">
                <w:txbxContent>
                  <w:p w14:paraId="085E15EB" w14:textId="77777777" w:rsidR="00A21A44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66AFA" w14:textId="03BC2257" w:rsidR="00807494" w:rsidRDefault="0080749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37E16EE" wp14:editId="1951D403">
              <wp:simplePos x="814705" y="93503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905" b="0"/>
              <wp:wrapNone/>
              <wp:docPr id="12052540" name="Text Box 1" descr="For Internal Use - 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6276AE" w14:textId="6D6FCAF9" w:rsidR="00807494" w:rsidRPr="00807494" w:rsidRDefault="00807494" w:rsidP="0080749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2"/>
                            </w:rPr>
                          </w:pPr>
                          <w:r w:rsidRPr="00807494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2"/>
                            </w:rPr>
                            <w:t xml:space="preserve">For Internal Use - 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7E16E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For Internal Use - Internal 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456276AE" w14:textId="6D6FCAF9" w:rsidR="00807494" w:rsidRPr="00807494" w:rsidRDefault="00807494" w:rsidP="0080749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22"/>
                      </w:rPr>
                    </w:pPr>
                    <w:r w:rsidRPr="00807494">
                      <w:rPr>
                        <w:rFonts w:ascii="Arial" w:eastAsia="Arial" w:hAnsi="Arial" w:cs="Arial"/>
                        <w:noProof/>
                        <w:color w:val="000000"/>
                        <w:sz w:val="22"/>
                      </w:rPr>
                      <w:t xml:space="preserve">For Internal Use - Internal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B35AC" w14:textId="77777777" w:rsidR="003D2D47" w:rsidRDefault="003D2D47" w:rsidP="00117666">
      <w:pPr>
        <w:spacing w:after="0"/>
      </w:pPr>
      <w:r>
        <w:separator/>
      </w:r>
    </w:p>
  </w:footnote>
  <w:footnote w:type="continuationSeparator" w:id="0">
    <w:p w14:paraId="6A0AA9D1" w14:textId="77777777" w:rsidR="003D2D47" w:rsidRDefault="003D2D47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A21A44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20893" w14:textId="77777777" w:rsidR="007C7476" w:rsidRDefault="007C74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A21A44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21115517">
    <w:abstractNumId w:val="0"/>
  </w:num>
  <w:num w:numId="2" w16cid:durableId="1683165481">
    <w:abstractNumId w:val="4"/>
  </w:num>
  <w:num w:numId="3" w16cid:durableId="615480040">
    <w:abstractNumId w:val="1"/>
  </w:num>
  <w:num w:numId="4" w16cid:durableId="1566183234">
    <w:abstractNumId w:val="5"/>
  </w:num>
  <w:num w:numId="5" w16cid:durableId="18077027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9223692">
    <w:abstractNumId w:val="3"/>
  </w:num>
  <w:num w:numId="7" w16cid:durableId="1359550598">
    <w:abstractNumId w:val="6"/>
  </w:num>
  <w:num w:numId="8" w16cid:durableId="1559510671">
    <w:abstractNumId w:val="6"/>
  </w:num>
  <w:num w:numId="9" w16cid:durableId="1734543462">
    <w:abstractNumId w:val="6"/>
  </w:num>
  <w:num w:numId="10" w16cid:durableId="708839681">
    <w:abstractNumId w:val="6"/>
  </w:num>
  <w:num w:numId="11" w16cid:durableId="2046978920">
    <w:abstractNumId w:val="6"/>
  </w:num>
  <w:num w:numId="12" w16cid:durableId="2124614653">
    <w:abstractNumId w:val="6"/>
  </w:num>
  <w:num w:numId="13" w16cid:durableId="150105246">
    <w:abstractNumId w:val="3"/>
  </w:num>
  <w:num w:numId="14" w16cid:durableId="515769853">
    <w:abstractNumId w:val="2"/>
  </w:num>
  <w:num w:numId="15" w16cid:durableId="1753046014">
    <w:abstractNumId w:val="2"/>
  </w:num>
  <w:num w:numId="16" w16cid:durableId="665939894">
    <w:abstractNumId w:val="2"/>
  </w:num>
  <w:num w:numId="17" w16cid:durableId="2078749421">
    <w:abstractNumId w:val="2"/>
  </w:num>
  <w:num w:numId="18" w16cid:durableId="825047625">
    <w:abstractNumId w:val="2"/>
  </w:num>
  <w:num w:numId="19" w16cid:durableId="8038104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C7476"/>
    <w:rsid w:val="00803D24"/>
    <w:rsid w:val="0080749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9F56AF"/>
    <w:rsid w:val="00A174D9"/>
    <w:rsid w:val="00A21A44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2C85"/>
    <w:rsid w:val="00E64E17"/>
    <w:rsid w:val="00E866C9"/>
    <w:rsid w:val="00EA3D3C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  <w:style w:type="table" w:styleId="PlainTable3">
    <w:name w:val="Plain Table 3"/>
    <w:basedOn w:val="TableNormal"/>
    <w:uiPriority w:val="43"/>
    <w:rsid w:val="00807494"/>
    <w:pPr>
      <w:spacing w:after="0" w:line="240" w:lineRule="auto"/>
    </w:pPr>
    <w:rPr>
      <w:kern w:val="2"/>
      <w:lang w:val="fr-FR"/>
      <w14:ligatures w14:val="standardContextual"/>
    </w:r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5</Pages>
  <Words>1556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LEFEBVRE, Romane</cp:lastModifiedBy>
  <cp:revision>4</cp:revision>
  <cp:lastPrinted>2013-10-03T12:51:00Z</cp:lastPrinted>
  <dcterms:created xsi:type="dcterms:W3CDTF">2024-07-08T14:00:00Z</dcterms:created>
  <dcterms:modified xsi:type="dcterms:W3CDTF">2024-07-19T12:00:00Z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ClassificationContentMarkingFooterShapeIds">
    <vt:lpwstr>b7e83c,480b0793,5a4b3108</vt:lpwstr>
  </property>
  <property fmtid="{D5CDD505-2E9C-101B-9397-08002B2CF9AE}" pid="11" name="ClassificationContentMarkingFooterFontProps">
    <vt:lpwstr>#000000,11,Arial</vt:lpwstr>
  </property>
  <property fmtid="{D5CDD505-2E9C-101B-9397-08002B2CF9AE}" pid="12" name="ClassificationContentMarkingFooterText">
    <vt:lpwstr>For Internal Use - Internal </vt:lpwstr>
  </property>
  <property fmtid="{D5CDD505-2E9C-101B-9397-08002B2CF9AE}" pid="13" name="MSIP_Label_101bf161-408c-434f-9bf8-15603007fe6d_Enabled">
    <vt:lpwstr>true</vt:lpwstr>
  </property>
  <property fmtid="{D5CDD505-2E9C-101B-9397-08002B2CF9AE}" pid="14" name="MSIP_Label_101bf161-408c-434f-9bf8-15603007fe6d_SetDate">
    <vt:lpwstr>2024-07-08T14:00:27Z</vt:lpwstr>
  </property>
  <property fmtid="{D5CDD505-2E9C-101B-9397-08002B2CF9AE}" pid="15" name="MSIP_Label_101bf161-408c-434f-9bf8-15603007fe6d_Method">
    <vt:lpwstr>Standard</vt:lpwstr>
  </property>
  <property fmtid="{D5CDD505-2E9C-101B-9397-08002B2CF9AE}" pid="16" name="MSIP_Label_101bf161-408c-434f-9bf8-15603007fe6d_Name">
    <vt:lpwstr>Internal Use</vt:lpwstr>
  </property>
  <property fmtid="{D5CDD505-2E9C-101B-9397-08002B2CF9AE}" pid="17" name="MSIP_Label_101bf161-408c-434f-9bf8-15603007fe6d_SiteId">
    <vt:lpwstr>3d438f08-e047-4f9a-a191-69dd7cce14ea</vt:lpwstr>
  </property>
  <property fmtid="{D5CDD505-2E9C-101B-9397-08002B2CF9AE}" pid="18" name="MSIP_Label_101bf161-408c-434f-9bf8-15603007fe6d_ActionId">
    <vt:lpwstr>5b7138e1-dcfe-411e-ad8e-1d9aa3262ef7</vt:lpwstr>
  </property>
  <property fmtid="{D5CDD505-2E9C-101B-9397-08002B2CF9AE}" pid="19" name="MSIP_Label_101bf161-408c-434f-9bf8-15603007fe6d_ContentBits">
    <vt:lpwstr>2</vt:lpwstr>
  </property>
</Properties>
</file>