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A699" w14:textId="6C8D231E" w:rsidR="00EA5E2C" w:rsidRPr="00EA5E2C" w:rsidRDefault="00EA5E2C">
      <w:pPr>
        <w:rPr>
          <w:rFonts w:ascii="Times New Roman" w:hAnsi="Times New Roman"/>
          <w:b/>
          <w:bCs/>
          <w:sz w:val="24"/>
        </w:rPr>
      </w:pPr>
      <w:r w:rsidRPr="00EA5E2C">
        <w:rPr>
          <w:rFonts w:ascii="Times New Roman" w:hAnsi="Times New Roman"/>
          <w:b/>
          <w:bCs/>
          <w:sz w:val="24"/>
        </w:rPr>
        <w:t xml:space="preserve">Latent </w:t>
      </w:r>
      <w:r>
        <w:rPr>
          <w:rFonts w:ascii="Times New Roman" w:hAnsi="Times New Roman"/>
          <w:b/>
          <w:bCs/>
          <w:sz w:val="24"/>
        </w:rPr>
        <w:t>Growth Curve Analysis</w:t>
      </w:r>
    </w:p>
    <w:p w14:paraId="5DB49B31" w14:textId="3193E0EF" w:rsidR="00CA6B95" w:rsidRDefault="00CA6B95">
      <w:pPr>
        <w:rPr>
          <w:rFonts w:ascii="Times New Roman" w:hAnsi="Times New Roman"/>
          <w:sz w:val="24"/>
        </w:rPr>
      </w:pPr>
      <w:r>
        <w:rPr>
          <w:rFonts w:ascii="Times New Roman" w:hAnsi="Times New Roman"/>
          <w:sz w:val="24"/>
        </w:rPr>
        <w:t xml:space="preserve">Following CFA validation of construct identification in Study 2, </w:t>
      </w:r>
      <w:r w:rsidRPr="00EA5E2C">
        <w:rPr>
          <w:rFonts w:ascii="Times New Roman" w:hAnsi="Times New Roman"/>
          <w:sz w:val="24"/>
        </w:rPr>
        <w:t>We examined whether the changes in each variable were linear using latent growth curve modeling (LGCM)</w:t>
      </w:r>
      <w:r>
        <w:rPr>
          <w:rFonts w:ascii="Times New Roman" w:hAnsi="Times New Roman"/>
          <w:sz w:val="24"/>
        </w:rPr>
        <w:t>.</w:t>
      </w:r>
    </w:p>
    <w:p w14:paraId="7E73EB74" w14:textId="700C35FA" w:rsidR="00CA6B95" w:rsidRPr="00120F7B" w:rsidRDefault="00CA6B95" w:rsidP="00CA6B95">
      <w:pPr>
        <w:rPr>
          <w:rFonts w:ascii="Times New Roman" w:hAnsi="Times New Roman"/>
          <w:sz w:val="24"/>
        </w:rPr>
      </w:pPr>
      <w:r w:rsidRPr="00CA6B95">
        <w:rPr>
          <w:rFonts w:ascii="Times New Roman" w:hAnsi="Times New Roman"/>
          <w:sz w:val="24"/>
        </w:rPr>
        <w:t>LGCM was used to understand and model the growth or change trajectories of individual or group-level data over time. This analytical approach facilitated the exploration of how key constructs, including Decentering, Reappraisal, and Wellbeing, change and develop over time. To perform the LGCM analysis, we utilized the ‘</w:t>
      </w:r>
      <w:proofErr w:type="spellStart"/>
      <w:r w:rsidRPr="00CA6B95">
        <w:rPr>
          <w:rFonts w:ascii="Times New Roman" w:hAnsi="Times New Roman"/>
          <w:sz w:val="24"/>
        </w:rPr>
        <w:t>lavaan</w:t>
      </w:r>
      <w:proofErr w:type="spellEnd"/>
      <w:r w:rsidRPr="00CA6B95">
        <w:rPr>
          <w:rFonts w:ascii="Times New Roman" w:hAnsi="Times New Roman"/>
          <w:sz w:val="24"/>
        </w:rPr>
        <w:t xml:space="preserve">’ package in R (Rosseel et al., 2017) and </w:t>
      </w:r>
      <w:r w:rsidRPr="00120F7B">
        <w:rPr>
          <w:rFonts w:ascii="Times New Roman" w:hAnsi="Times New Roman"/>
          <w:sz w:val="24"/>
        </w:rPr>
        <w:t>applied the same model fit criteria (i.e., RMSEA, and CFI) to assess the goodness-of-fit of the LGCM models.</w:t>
      </w:r>
    </w:p>
    <w:p w14:paraId="44ED3D40" w14:textId="187915AC" w:rsidR="00902C9B" w:rsidRPr="00120F7B" w:rsidRDefault="00902C9B" w:rsidP="00902C9B">
      <w:pPr>
        <w:rPr>
          <w:rFonts w:ascii="Times New Roman" w:hAnsi="Times New Roman"/>
          <w:sz w:val="24"/>
        </w:rPr>
      </w:pPr>
      <w:r w:rsidRPr="00120F7B">
        <w:rPr>
          <w:rFonts w:ascii="Times New Roman" w:hAnsi="Times New Roman"/>
          <w:sz w:val="24"/>
        </w:rPr>
        <w:t>The LGCM analyses were conducted for each variable in the MMT (Decentering, Reappraisal, Wellbeing), as well as for Stress. No significant changes over time were observed in the slopes for any of the variables. However, significant variances in the slopes were noted for both Wellbeing factors, Decentering-Disidentification, and Stress, indicating individual differences in temporal trajectories. Conversely, the slopes for the four Reappraisal factors and the two Decentering factors (Meta-awareness and Nonreactivity) demonstrated no significant changes.</w:t>
      </w:r>
    </w:p>
    <w:p w14:paraId="17F40A21" w14:textId="77777777" w:rsidR="003C0C03" w:rsidRDefault="003C0C03" w:rsidP="00CE08E1">
      <w:pPr>
        <w:rPr>
          <w:rFonts w:ascii="Times New Roman" w:hAnsi="Times New Roman"/>
          <w:b/>
          <w:bCs/>
          <w:sz w:val="24"/>
        </w:rPr>
      </w:pPr>
    </w:p>
    <w:p w14:paraId="7EA9D09D" w14:textId="6E56EDF7" w:rsidR="00CE08E1" w:rsidRPr="00120F7B" w:rsidRDefault="00CE08E1" w:rsidP="00CE08E1">
      <w:pPr>
        <w:rPr>
          <w:rFonts w:ascii="Times New Roman" w:hAnsi="Times New Roman"/>
          <w:b/>
          <w:bCs/>
          <w:sz w:val="24"/>
        </w:rPr>
      </w:pPr>
      <w:r w:rsidRPr="00120F7B">
        <w:rPr>
          <w:rFonts w:ascii="Times New Roman" w:hAnsi="Times New Roman"/>
          <w:b/>
          <w:bCs/>
          <w:sz w:val="24"/>
        </w:rPr>
        <w:t>Slope Variance Results for Key Variables</w:t>
      </w:r>
    </w:p>
    <w:tbl>
      <w:tblPr>
        <w:tblW w:w="4666" w:type="dxa"/>
        <w:jc w:val="center"/>
        <w:tblLook w:val="04A0" w:firstRow="1" w:lastRow="0" w:firstColumn="1" w:lastColumn="0" w:noHBand="0" w:noVBand="1"/>
      </w:tblPr>
      <w:tblGrid>
        <w:gridCol w:w="2626"/>
        <w:gridCol w:w="1123"/>
        <w:gridCol w:w="960"/>
      </w:tblGrid>
      <w:tr w:rsidR="00CE08E1" w:rsidRPr="00120F7B" w14:paraId="42302FD7" w14:textId="77777777" w:rsidTr="00CE08E1">
        <w:trPr>
          <w:trHeight w:val="300"/>
          <w:jc w:val="center"/>
        </w:trPr>
        <w:tc>
          <w:tcPr>
            <w:tcW w:w="2626" w:type="dxa"/>
            <w:tcBorders>
              <w:top w:val="single" w:sz="4" w:space="0" w:color="auto"/>
              <w:left w:val="nil"/>
              <w:bottom w:val="single" w:sz="4" w:space="0" w:color="auto"/>
              <w:right w:val="nil"/>
            </w:tcBorders>
            <w:shd w:val="clear" w:color="auto" w:fill="auto"/>
            <w:noWrap/>
            <w:vAlign w:val="bottom"/>
            <w:hideMark/>
          </w:tcPr>
          <w:p w14:paraId="53B510A5" w14:textId="77777777" w:rsidR="00CE08E1" w:rsidRPr="00120F7B" w:rsidRDefault="00CE08E1" w:rsidP="00333610">
            <w:pPr>
              <w:spacing w:line="240" w:lineRule="auto"/>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 Description</w:t>
            </w:r>
          </w:p>
        </w:tc>
        <w:tc>
          <w:tcPr>
            <w:tcW w:w="1080" w:type="dxa"/>
            <w:tcBorders>
              <w:top w:val="single" w:sz="4" w:space="0" w:color="auto"/>
              <w:left w:val="nil"/>
              <w:bottom w:val="single" w:sz="4" w:space="0" w:color="auto"/>
              <w:right w:val="nil"/>
            </w:tcBorders>
            <w:shd w:val="clear" w:color="auto" w:fill="auto"/>
            <w:noWrap/>
            <w:vAlign w:val="center"/>
            <w:hideMark/>
          </w:tcPr>
          <w:p w14:paraId="644C5C49"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Estimate</w:t>
            </w:r>
          </w:p>
        </w:tc>
        <w:tc>
          <w:tcPr>
            <w:tcW w:w="960" w:type="dxa"/>
            <w:tcBorders>
              <w:top w:val="single" w:sz="4" w:space="0" w:color="auto"/>
              <w:left w:val="nil"/>
              <w:bottom w:val="single" w:sz="4" w:space="0" w:color="auto"/>
              <w:right w:val="nil"/>
            </w:tcBorders>
            <w:shd w:val="clear" w:color="auto" w:fill="auto"/>
            <w:noWrap/>
            <w:vAlign w:val="center"/>
            <w:hideMark/>
          </w:tcPr>
          <w:p w14:paraId="607D4E42"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p-value</w:t>
            </w:r>
          </w:p>
        </w:tc>
      </w:tr>
      <w:tr w:rsidR="00CE08E1" w:rsidRPr="00120F7B" w14:paraId="2B283755"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4DA81A3B"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WB-Positive</w:t>
            </w:r>
          </w:p>
        </w:tc>
        <w:tc>
          <w:tcPr>
            <w:tcW w:w="1080" w:type="dxa"/>
            <w:tcBorders>
              <w:top w:val="nil"/>
              <w:left w:val="nil"/>
              <w:bottom w:val="nil"/>
              <w:right w:val="nil"/>
            </w:tcBorders>
            <w:shd w:val="clear" w:color="auto" w:fill="auto"/>
            <w:noWrap/>
            <w:vAlign w:val="center"/>
            <w:hideMark/>
          </w:tcPr>
          <w:p w14:paraId="45031C14"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0.045</w:t>
            </w:r>
          </w:p>
        </w:tc>
        <w:tc>
          <w:tcPr>
            <w:tcW w:w="960" w:type="dxa"/>
            <w:tcBorders>
              <w:top w:val="nil"/>
              <w:left w:val="nil"/>
              <w:bottom w:val="nil"/>
              <w:right w:val="nil"/>
            </w:tcBorders>
            <w:shd w:val="clear" w:color="auto" w:fill="auto"/>
            <w:noWrap/>
            <w:vAlign w:val="center"/>
            <w:hideMark/>
          </w:tcPr>
          <w:p w14:paraId="23591285"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0.013</w:t>
            </w:r>
          </w:p>
        </w:tc>
      </w:tr>
      <w:tr w:rsidR="00CE08E1" w:rsidRPr="00120F7B" w14:paraId="69604B40"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40DF8881"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WB-Negative</w:t>
            </w:r>
          </w:p>
        </w:tc>
        <w:tc>
          <w:tcPr>
            <w:tcW w:w="1080" w:type="dxa"/>
            <w:tcBorders>
              <w:top w:val="nil"/>
              <w:left w:val="nil"/>
              <w:bottom w:val="nil"/>
              <w:right w:val="nil"/>
            </w:tcBorders>
            <w:shd w:val="clear" w:color="auto" w:fill="auto"/>
            <w:noWrap/>
            <w:vAlign w:val="center"/>
            <w:hideMark/>
          </w:tcPr>
          <w:p w14:paraId="5A84816C"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0.040</w:t>
            </w:r>
          </w:p>
        </w:tc>
        <w:tc>
          <w:tcPr>
            <w:tcW w:w="960" w:type="dxa"/>
            <w:tcBorders>
              <w:top w:val="nil"/>
              <w:left w:val="nil"/>
              <w:bottom w:val="nil"/>
              <w:right w:val="nil"/>
            </w:tcBorders>
            <w:shd w:val="clear" w:color="auto" w:fill="auto"/>
            <w:noWrap/>
            <w:vAlign w:val="center"/>
            <w:hideMark/>
          </w:tcPr>
          <w:p w14:paraId="2865EDCB"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0.026</w:t>
            </w:r>
          </w:p>
        </w:tc>
      </w:tr>
      <w:tr w:rsidR="00CE08E1" w:rsidRPr="00120F7B" w14:paraId="6DB6D3F5"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2E33D388"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RP-Change Efficacy</w:t>
            </w:r>
          </w:p>
        </w:tc>
        <w:tc>
          <w:tcPr>
            <w:tcW w:w="1080" w:type="dxa"/>
            <w:tcBorders>
              <w:top w:val="nil"/>
              <w:left w:val="nil"/>
              <w:bottom w:val="nil"/>
              <w:right w:val="nil"/>
            </w:tcBorders>
            <w:shd w:val="clear" w:color="auto" w:fill="auto"/>
            <w:noWrap/>
            <w:vAlign w:val="center"/>
            <w:hideMark/>
          </w:tcPr>
          <w:p w14:paraId="1546D6DC"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0.021</w:t>
            </w:r>
          </w:p>
        </w:tc>
        <w:tc>
          <w:tcPr>
            <w:tcW w:w="960" w:type="dxa"/>
            <w:tcBorders>
              <w:top w:val="nil"/>
              <w:left w:val="nil"/>
              <w:bottom w:val="nil"/>
              <w:right w:val="nil"/>
            </w:tcBorders>
            <w:shd w:val="clear" w:color="auto" w:fill="auto"/>
            <w:noWrap/>
            <w:vAlign w:val="center"/>
            <w:hideMark/>
          </w:tcPr>
          <w:p w14:paraId="59AD7037"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0.129</w:t>
            </w:r>
          </w:p>
        </w:tc>
      </w:tr>
      <w:tr w:rsidR="00CE08E1" w:rsidRPr="00120F7B" w14:paraId="01FB38ED"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19EE4003"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RP-Perspective Taking</w:t>
            </w:r>
          </w:p>
        </w:tc>
        <w:tc>
          <w:tcPr>
            <w:tcW w:w="1080" w:type="dxa"/>
            <w:tcBorders>
              <w:top w:val="nil"/>
              <w:left w:val="nil"/>
              <w:bottom w:val="nil"/>
              <w:right w:val="nil"/>
            </w:tcBorders>
            <w:shd w:val="clear" w:color="auto" w:fill="auto"/>
            <w:noWrap/>
            <w:vAlign w:val="center"/>
            <w:hideMark/>
          </w:tcPr>
          <w:p w14:paraId="641A7D0B"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0.009</w:t>
            </w:r>
          </w:p>
        </w:tc>
        <w:tc>
          <w:tcPr>
            <w:tcW w:w="960" w:type="dxa"/>
            <w:tcBorders>
              <w:top w:val="nil"/>
              <w:left w:val="nil"/>
              <w:bottom w:val="nil"/>
              <w:right w:val="nil"/>
            </w:tcBorders>
            <w:shd w:val="clear" w:color="auto" w:fill="auto"/>
            <w:noWrap/>
            <w:vAlign w:val="center"/>
            <w:hideMark/>
          </w:tcPr>
          <w:p w14:paraId="673BF38C"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0.406</w:t>
            </w:r>
          </w:p>
        </w:tc>
      </w:tr>
      <w:tr w:rsidR="00CE08E1" w:rsidRPr="00120F7B" w14:paraId="7AD5831D"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1DC38144"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RP-Approach Positive</w:t>
            </w:r>
          </w:p>
        </w:tc>
        <w:tc>
          <w:tcPr>
            <w:tcW w:w="1080" w:type="dxa"/>
            <w:tcBorders>
              <w:top w:val="nil"/>
              <w:left w:val="nil"/>
              <w:bottom w:val="nil"/>
              <w:right w:val="nil"/>
            </w:tcBorders>
            <w:shd w:val="clear" w:color="auto" w:fill="auto"/>
            <w:noWrap/>
            <w:vAlign w:val="center"/>
            <w:hideMark/>
          </w:tcPr>
          <w:p w14:paraId="7042C4C6"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0.021</w:t>
            </w:r>
          </w:p>
        </w:tc>
        <w:tc>
          <w:tcPr>
            <w:tcW w:w="960" w:type="dxa"/>
            <w:tcBorders>
              <w:top w:val="nil"/>
              <w:left w:val="nil"/>
              <w:bottom w:val="nil"/>
              <w:right w:val="nil"/>
            </w:tcBorders>
            <w:shd w:val="clear" w:color="auto" w:fill="auto"/>
            <w:noWrap/>
            <w:vAlign w:val="center"/>
            <w:hideMark/>
          </w:tcPr>
          <w:p w14:paraId="4C83E42D"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0.172</w:t>
            </w:r>
          </w:p>
        </w:tc>
      </w:tr>
      <w:tr w:rsidR="00CE08E1" w:rsidRPr="00120F7B" w14:paraId="515D40AB"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6C13D789"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RP-Decrease Negative</w:t>
            </w:r>
          </w:p>
        </w:tc>
        <w:tc>
          <w:tcPr>
            <w:tcW w:w="1080" w:type="dxa"/>
            <w:tcBorders>
              <w:top w:val="nil"/>
              <w:left w:val="nil"/>
              <w:bottom w:val="nil"/>
              <w:right w:val="nil"/>
            </w:tcBorders>
            <w:shd w:val="clear" w:color="auto" w:fill="auto"/>
            <w:noWrap/>
            <w:vAlign w:val="center"/>
            <w:hideMark/>
          </w:tcPr>
          <w:p w14:paraId="5040811B"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0.026</w:t>
            </w:r>
          </w:p>
        </w:tc>
        <w:tc>
          <w:tcPr>
            <w:tcW w:w="960" w:type="dxa"/>
            <w:tcBorders>
              <w:top w:val="nil"/>
              <w:left w:val="nil"/>
              <w:bottom w:val="nil"/>
              <w:right w:val="nil"/>
            </w:tcBorders>
            <w:shd w:val="clear" w:color="auto" w:fill="auto"/>
            <w:noWrap/>
            <w:vAlign w:val="center"/>
            <w:hideMark/>
          </w:tcPr>
          <w:p w14:paraId="55A5B6A8"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0.155</w:t>
            </w:r>
          </w:p>
        </w:tc>
      </w:tr>
      <w:tr w:rsidR="00CE08E1" w:rsidRPr="00120F7B" w14:paraId="15AD4B28"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0186C0B5"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DC-Meta-awareness</w:t>
            </w:r>
          </w:p>
        </w:tc>
        <w:tc>
          <w:tcPr>
            <w:tcW w:w="1080" w:type="dxa"/>
            <w:tcBorders>
              <w:top w:val="nil"/>
              <w:left w:val="nil"/>
              <w:bottom w:val="nil"/>
              <w:right w:val="nil"/>
            </w:tcBorders>
            <w:shd w:val="clear" w:color="auto" w:fill="auto"/>
            <w:noWrap/>
            <w:vAlign w:val="center"/>
            <w:hideMark/>
          </w:tcPr>
          <w:p w14:paraId="299B9867"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0.009</w:t>
            </w:r>
          </w:p>
        </w:tc>
        <w:tc>
          <w:tcPr>
            <w:tcW w:w="960" w:type="dxa"/>
            <w:tcBorders>
              <w:top w:val="nil"/>
              <w:left w:val="nil"/>
              <w:bottom w:val="nil"/>
              <w:right w:val="nil"/>
            </w:tcBorders>
            <w:shd w:val="clear" w:color="auto" w:fill="auto"/>
            <w:noWrap/>
            <w:vAlign w:val="center"/>
            <w:hideMark/>
          </w:tcPr>
          <w:p w14:paraId="5132672F"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0.311</w:t>
            </w:r>
          </w:p>
        </w:tc>
      </w:tr>
      <w:tr w:rsidR="00CE08E1" w:rsidRPr="00120F7B" w14:paraId="09AE1EB5"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34290DDB"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DC-Disidentification</w:t>
            </w:r>
          </w:p>
        </w:tc>
        <w:tc>
          <w:tcPr>
            <w:tcW w:w="1080" w:type="dxa"/>
            <w:tcBorders>
              <w:top w:val="nil"/>
              <w:left w:val="nil"/>
              <w:bottom w:val="nil"/>
              <w:right w:val="nil"/>
            </w:tcBorders>
            <w:shd w:val="clear" w:color="auto" w:fill="auto"/>
            <w:noWrap/>
            <w:vAlign w:val="center"/>
            <w:hideMark/>
          </w:tcPr>
          <w:p w14:paraId="2605599C"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0.027</w:t>
            </w:r>
          </w:p>
        </w:tc>
        <w:tc>
          <w:tcPr>
            <w:tcW w:w="960" w:type="dxa"/>
            <w:tcBorders>
              <w:top w:val="nil"/>
              <w:left w:val="nil"/>
              <w:bottom w:val="nil"/>
              <w:right w:val="nil"/>
            </w:tcBorders>
            <w:shd w:val="clear" w:color="auto" w:fill="auto"/>
            <w:noWrap/>
            <w:vAlign w:val="center"/>
            <w:hideMark/>
          </w:tcPr>
          <w:p w14:paraId="364B815A"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0.003</w:t>
            </w:r>
          </w:p>
        </w:tc>
      </w:tr>
      <w:tr w:rsidR="00CE08E1" w:rsidRPr="00120F7B" w14:paraId="79417FE8" w14:textId="77777777" w:rsidTr="00CE08E1">
        <w:trPr>
          <w:trHeight w:val="300"/>
          <w:jc w:val="center"/>
        </w:trPr>
        <w:tc>
          <w:tcPr>
            <w:tcW w:w="2626" w:type="dxa"/>
            <w:tcBorders>
              <w:top w:val="nil"/>
              <w:left w:val="nil"/>
              <w:bottom w:val="nil"/>
              <w:right w:val="nil"/>
            </w:tcBorders>
            <w:shd w:val="clear" w:color="auto" w:fill="auto"/>
            <w:noWrap/>
            <w:vAlign w:val="bottom"/>
            <w:hideMark/>
          </w:tcPr>
          <w:p w14:paraId="77DCC464"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DC-Nonreactivity</w:t>
            </w:r>
          </w:p>
        </w:tc>
        <w:tc>
          <w:tcPr>
            <w:tcW w:w="1080" w:type="dxa"/>
            <w:tcBorders>
              <w:top w:val="nil"/>
              <w:left w:val="nil"/>
              <w:bottom w:val="nil"/>
              <w:right w:val="nil"/>
            </w:tcBorders>
            <w:shd w:val="clear" w:color="auto" w:fill="auto"/>
            <w:noWrap/>
            <w:vAlign w:val="center"/>
            <w:hideMark/>
          </w:tcPr>
          <w:p w14:paraId="6B672AD5"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0.002</w:t>
            </w:r>
          </w:p>
        </w:tc>
        <w:tc>
          <w:tcPr>
            <w:tcW w:w="960" w:type="dxa"/>
            <w:tcBorders>
              <w:top w:val="nil"/>
              <w:left w:val="nil"/>
              <w:bottom w:val="nil"/>
              <w:right w:val="nil"/>
            </w:tcBorders>
            <w:shd w:val="clear" w:color="auto" w:fill="auto"/>
            <w:noWrap/>
            <w:vAlign w:val="center"/>
            <w:hideMark/>
          </w:tcPr>
          <w:p w14:paraId="6FE32CFB"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0.838</w:t>
            </w:r>
          </w:p>
        </w:tc>
      </w:tr>
      <w:tr w:rsidR="00CE08E1" w:rsidRPr="00120F7B" w14:paraId="4D6E0E28" w14:textId="77777777" w:rsidTr="00CE08E1">
        <w:trPr>
          <w:trHeight w:val="300"/>
          <w:jc w:val="center"/>
        </w:trPr>
        <w:tc>
          <w:tcPr>
            <w:tcW w:w="2626" w:type="dxa"/>
            <w:tcBorders>
              <w:top w:val="nil"/>
              <w:left w:val="nil"/>
              <w:bottom w:val="single" w:sz="4" w:space="0" w:color="auto"/>
              <w:right w:val="nil"/>
            </w:tcBorders>
            <w:shd w:val="clear" w:color="auto" w:fill="auto"/>
            <w:noWrap/>
            <w:vAlign w:val="bottom"/>
            <w:hideMark/>
          </w:tcPr>
          <w:p w14:paraId="60D4E8AE" w14:textId="77777777" w:rsidR="00CE08E1" w:rsidRPr="00120F7B" w:rsidRDefault="00CE08E1" w:rsidP="00333610">
            <w:pPr>
              <w:spacing w:line="240" w:lineRule="auto"/>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Stress</w:t>
            </w:r>
          </w:p>
        </w:tc>
        <w:tc>
          <w:tcPr>
            <w:tcW w:w="1080" w:type="dxa"/>
            <w:tcBorders>
              <w:top w:val="nil"/>
              <w:left w:val="nil"/>
              <w:bottom w:val="single" w:sz="4" w:space="0" w:color="auto"/>
              <w:right w:val="nil"/>
            </w:tcBorders>
            <w:shd w:val="clear" w:color="auto" w:fill="auto"/>
            <w:noWrap/>
            <w:vAlign w:val="center"/>
            <w:hideMark/>
          </w:tcPr>
          <w:p w14:paraId="62EF4FB9" w14:textId="77777777" w:rsidR="00CE08E1" w:rsidRPr="00120F7B" w:rsidRDefault="00CE08E1" w:rsidP="00333610">
            <w:pPr>
              <w:spacing w:line="240" w:lineRule="auto"/>
              <w:jc w:val="center"/>
              <w:rPr>
                <w:rFonts w:ascii="Times New Roman" w:eastAsia="Times New Roman" w:hAnsi="Times New Roman"/>
                <w:color w:val="000000"/>
                <w:sz w:val="24"/>
                <w:szCs w:val="20"/>
              </w:rPr>
            </w:pPr>
            <w:r w:rsidRPr="00120F7B">
              <w:rPr>
                <w:rFonts w:ascii="Times New Roman" w:eastAsia="Times New Roman" w:hAnsi="Times New Roman"/>
                <w:color w:val="000000"/>
                <w:sz w:val="24"/>
                <w:szCs w:val="20"/>
              </w:rPr>
              <w:t>0.011</w:t>
            </w:r>
          </w:p>
        </w:tc>
        <w:tc>
          <w:tcPr>
            <w:tcW w:w="960" w:type="dxa"/>
            <w:tcBorders>
              <w:top w:val="nil"/>
              <w:left w:val="nil"/>
              <w:bottom w:val="single" w:sz="4" w:space="0" w:color="auto"/>
              <w:right w:val="nil"/>
            </w:tcBorders>
            <w:shd w:val="clear" w:color="auto" w:fill="auto"/>
            <w:noWrap/>
            <w:vAlign w:val="center"/>
            <w:hideMark/>
          </w:tcPr>
          <w:p w14:paraId="11D2575C" w14:textId="77777777" w:rsidR="00CE08E1" w:rsidRPr="00120F7B" w:rsidRDefault="00CE08E1" w:rsidP="00333610">
            <w:pPr>
              <w:spacing w:line="240" w:lineRule="auto"/>
              <w:jc w:val="center"/>
              <w:rPr>
                <w:rFonts w:ascii="Times New Roman" w:eastAsia="Times New Roman" w:hAnsi="Times New Roman"/>
                <w:b/>
                <w:bCs/>
                <w:color w:val="000000"/>
                <w:sz w:val="24"/>
                <w:szCs w:val="20"/>
              </w:rPr>
            </w:pPr>
            <w:r w:rsidRPr="00120F7B">
              <w:rPr>
                <w:rFonts w:ascii="Times New Roman" w:eastAsia="Times New Roman" w:hAnsi="Times New Roman"/>
                <w:b/>
                <w:bCs/>
                <w:color w:val="000000"/>
                <w:sz w:val="24"/>
                <w:szCs w:val="20"/>
              </w:rPr>
              <w:t>0.036</w:t>
            </w:r>
          </w:p>
        </w:tc>
      </w:tr>
    </w:tbl>
    <w:p w14:paraId="1221F50B" w14:textId="7D2C2E6E" w:rsidR="00CE08E1" w:rsidRPr="00120F7B" w:rsidRDefault="00CE08E1" w:rsidP="00CE08E1">
      <w:pPr>
        <w:spacing w:line="240" w:lineRule="auto"/>
        <w:rPr>
          <w:rFonts w:ascii="Times New Roman" w:hAnsi="Times New Roman"/>
          <w:sz w:val="24"/>
          <w:szCs w:val="20"/>
        </w:rPr>
      </w:pPr>
      <w:r w:rsidRPr="00120F7B">
        <w:rPr>
          <w:rFonts w:ascii="Times New Roman" w:hAnsi="Times New Roman"/>
          <w:i/>
          <w:iCs/>
          <w:sz w:val="24"/>
          <w:szCs w:val="20"/>
        </w:rPr>
        <w:t>Note</w:t>
      </w:r>
      <w:r w:rsidRPr="00120F7B">
        <w:rPr>
          <w:rFonts w:ascii="Times New Roman" w:hAnsi="Times New Roman"/>
          <w:sz w:val="24"/>
          <w:szCs w:val="20"/>
        </w:rPr>
        <w:t>. Estimates are unstandardized estimate results. WB = Wellbeing, RP = Reappraisal, DC = Decentering.</w:t>
      </w:r>
    </w:p>
    <w:p w14:paraId="5AEE1268" w14:textId="77777777" w:rsidR="00CE08E1" w:rsidRDefault="00CE08E1" w:rsidP="00902C9B">
      <w:pPr>
        <w:rPr>
          <w:rFonts w:ascii="Times New Roman" w:hAnsi="Times New Roman"/>
          <w:sz w:val="24"/>
        </w:rPr>
      </w:pPr>
    </w:p>
    <w:p w14:paraId="33DE2A76" w14:textId="79859D5B" w:rsidR="00EA5E2C" w:rsidRPr="00EA5E2C" w:rsidRDefault="00EA5E2C">
      <w:pPr>
        <w:rPr>
          <w:rFonts w:ascii="Times New Roman" w:hAnsi="Times New Roman" w:cs="Times New Roman"/>
          <w:b/>
          <w:bCs/>
          <w:sz w:val="24"/>
          <w:szCs w:val="24"/>
          <w:lang w:val="en-US"/>
        </w:rPr>
      </w:pPr>
      <w:r w:rsidRPr="00EA5E2C">
        <w:rPr>
          <w:rFonts w:ascii="Times New Roman" w:hAnsi="Times New Roman"/>
          <w:sz w:val="24"/>
        </w:rPr>
        <w:br w:type="page"/>
      </w:r>
    </w:p>
    <w:p w14:paraId="44A028E9" w14:textId="3DE8B9DC" w:rsidR="00C11596" w:rsidRDefault="009E1833" w:rsidP="009E1833">
      <w:pPr>
        <w:pStyle w:val="Heading2"/>
      </w:pPr>
      <w:r>
        <w:lastRenderedPageBreak/>
        <w:t>Commonality</w:t>
      </w:r>
      <w:r w:rsidRPr="00B26284">
        <w:t xml:space="preserve"> Analyses</w:t>
      </w:r>
    </w:p>
    <w:p w14:paraId="4C92312E" w14:textId="6C8BCA7D" w:rsidR="009E1833" w:rsidRPr="007D2230" w:rsidRDefault="009574C7" w:rsidP="007D2230">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9E1833" w:rsidRPr="007D2230">
        <w:rPr>
          <w:rFonts w:ascii="Times New Roman" w:hAnsi="Times New Roman" w:cs="Times New Roman"/>
          <w:sz w:val="24"/>
          <w:szCs w:val="24"/>
        </w:rPr>
        <w:t xml:space="preserve"> used</w:t>
      </w:r>
      <w:r w:rsidR="00AD04B9">
        <w:rPr>
          <w:rFonts w:ascii="Times New Roman" w:hAnsi="Times New Roman" w:cs="Times New Roman"/>
          <w:sz w:val="24"/>
          <w:szCs w:val="24"/>
        </w:rPr>
        <w:t xml:space="preserve"> Decentering factors</w:t>
      </w:r>
      <w:r w:rsidR="009E1833" w:rsidRPr="007D2230">
        <w:rPr>
          <w:rFonts w:ascii="Times New Roman" w:hAnsi="Times New Roman" w:cs="Times New Roman"/>
          <w:sz w:val="24"/>
          <w:szCs w:val="24"/>
        </w:rPr>
        <w:t xml:space="preserve"> Disidentification</w:t>
      </w:r>
      <w:r w:rsidR="00AD04B9">
        <w:rPr>
          <w:rFonts w:ascii="Times New Roman" w:hAnsi="Times New Roman" w:cs="Times New Roman"/>
          <w:sz w:val="24"/>
          <w:szCs w:val="24"/>
        </w:rPr>
        <w:t xml:space="preserve"> and</w:t>
      </w:r>
      <w:r w:rsidR="009E1833" w:rsidRPr="007D2230">
        <w:rPr>
          <w:rFonts w:ascii="Times New Roman" w:hAnsi="Times New Roman" w:cs="Times New Roman"/>
          <w:sz w:val="24"/>
          <w:szCs w:val="24"/>
        </w:rPr>
        <w:t xml:space="preserve"> Nonreactivity, </w:t>
      </w:r>
      <w:r w:rsidR="00AD04B9">
        <w:rPr>
          <w:rFonts w:ascii="Times New Roman" w:hAnsi="Times New Roman" w:cs="Times New Roman"/>
          <w:sz w:val="24"/>
          <w:szCs w:val="24"/>
        </w:rPr>
        <w:t xml:space="preserve">and Reappraisal factors </w:t>
      </w:r>
      <w:r w:rsidR="005A4E4C">
        <w:rPr>
          <w:rFonts w:ascii="Times New Roman" w:hAnsi="Times New Roman" w:cs="Times New Roman"/>
          <w:sz w:val="24"/>
          <w:szCs w:val="24"/>
        </w:rPr>
        <w:t>Change Efficacy</w:t>
      </w:r>
      <w:r w:rsidR="009E1833" w:rsidRPr="007D2230">
        <w:rPr>
          <w:rFonts w:ascii="Times New Roman" w:hAnsi="Times New Roman" w:cs="Times New Roman"/>
          <w:sz w:val="24"/>
          <w:szCs w:val="24"/>
        </w:rPr>
        <w:t xml:space="preserve"> and </w:t>
      </w:r>
      <w:r w:rsidR="005A4E4C">
        <w:rPr>
          <w:rFonts w:ascii="Times New Roman" w:hAnsi="Times New Roman" w:cs="Times New Roman"/>
          <w:sz w:val="24"/>
          <w:szCs w:val="24"/>
        </w:rPr>
        <w:t>Approach Positive</w:t>
      </w:r>
      <w:r w:rsidR="009E1833" w:rsidRPr="007D2230">
        <w:rPr>
          <w:rFonts w:ascii="Times New Roman" w:hAnsi="Times New Roman" w:cs="Times New Roman"/>
          <w:sz w:val="24"/>
          <w:szCs w:val="24"/>
        </w:rPr>
        <w:t xml:space="preserve"> as predictors for the WB composite score. We wanted to determine whether Decentering and Reappraisal had different levels of associations or shared mostly common variance. Our results indicated that Disidentification, Nonreactivity, and </w:t>
      </w:r>
      <w:r w:rsidR="00903089">
        <w:rPr>
          <w:rFonts w:ascii="Times New Roman" w:hAnsi="Times New Roman" w:cs="Times New Roman"/>
          <w:sz w:val="24"/>
          <w:szCs w:val="24"/>
        </w:rPr>
        <w:t>Approach Positive</w:t>
      </w:r>
      <w:r w:rsidR="009E1833" w:rsidRPr="007D2230">
        <w:rPr>
          <w:rFonts w:ascii="Times New Roman" w:hAnsi="Times New Roman" w:cs="Times New Roman"/>
          <w:sz w:val="24"/>
          <w:szCs w:val="24"/>
        </w:rPr>
        <w:t xml:space="preserve"> contributed to predicting WB using method 1, with low common variance. For the WB method 2 Positive factor, Disidentification, </w:t>
      </w:r>
      <w:r w:rsidR="00E01D06">
        <w:rPr>
          <w:rFonts w:ascii="Times New Roman" w:hAnsi="Times New Roman" w:cs="Times New Roman"/>
          <w:sz w:val="24"/>
          <w:szCs w:val="24"/>
        </w:rPr>
        <w:t>Change Efficacy</w:t>
      </w:r>
      <w:r w:rsidR="009E1833" w:rsidRPr="007D2230">
        <w:rPr>
          <w:rFonts w:ascii="Times New Roman" w:hAnsi="Times New Roman" w:cs="Times New Roman"/>
          <w:sz w:val="24"/>
          <w:szCs w:val="24"/>
        </w:rPr>
        <w:t xml:space="preserve">, and </w:t>
      </w:r>
      <w:r w:rsidR="00E01D06">
        <w:rPr>
          <w:rFonts w:ascii="Times New Roman" w:hAnsi="Times New Roman" w:cs="Times New Roman"/>
          <w:sz w:val="24"/>
          <w:szCs w:val="24"/>
        </w:rPr>
        <w:t>Approach Positive</w:t>
      </w:r>
      <w:r w:rsidR="009E1833" w:rsidRPr="007D2230">
        <w:rPr>
          <w:rFonts w:ascii="Times New Roman" w:hAnsi="Times New Roman" w:cs="Times New Roman"/>
          <w:sz w:val="24"/>
          <w:szCs w:val="24"/>
        </w:rPr>
        <w:t xml:space="preserve"> contributed to predicting WB, whereas Nonreactivity, </w:t>
      </w:r>
      <w:r w:rsidR="008C0D60">
        <w:rPr>
          <w:rFonts w:ascii="Times New Roman" w:hAnsi="Times New Roman" w:cs="Times New Roman"/>
          <w:sz w:val="24"/>
          <w:szCs w:val="24"/>
        </w:rPr>
        <w:t>Change Efficacy</w:t>
      </w:r>
      <w:r w:rsidR="009E1833" w:rsidRPr="007D2230">
        <w:rPr>
          <w:rFonts w:ascii="Times New Roman" w:hAnsi="Times New Roman" w:cs="Times New Roman"/>
          <w:sz w:val="24"/>
          <w:szCs w:val="24"/>
        </w:rPr>
        <w:t xml:space="preserve">, and </w:t>
      </w:r>
      <w:r w:rsidR="00E83AEC">
        <w:rPr>
          <w:rFonts w:ascii="Times New Roman" w:hAnsi="Times New Roman" w:cs="Times New Roman"/>
          <w:sz w:val="24"/>
          <w:szCs w:val="24"/>
        </w:rPr>
        <w:t>Approach Positive</w:t>
      </w:r>
      <w:r w:rsidR="00E83AEC" w:rsidRPr="007D2230">
        <w:rPr>
          <w:rFonts w:ascii="Times New Roman" w:hAnsi="Times New Roman" w:cs="Times New Roman"/>
          <w:sz w:val="24"/>
          <w:szCs w:val="24"/>
        </w:rPr>
        <w:t xml:space="preserve"> </w:t>
      </w:r>
      <w:r w:rsidR="009E1833" w:rsidRPr="007D2230">
        <w:rPr>
          <w:rFonts w:ascii="Times New Roman" w:hAnsi="Times New Roman" w:cs="Times New Roman"/>
          <w:sz w:val="24"/>
          <w:szCs w:val="24"/>
        </w:rPr>
        <w:t xml:space="preserve">contributed to predicting WB Negative Factor. The total common variance (C1-C9) was lower than .13 in all cases, indicating that </w:t>
      </w:r>
      <w:proofErr w:type="gramStart"/>
      <w:r w:rsidR="009E1833" w:rsidRPr="007D2230">
        <w:rPr>
          <w:rFonts w:ascii="Times New Roman" w:hAnsi="Times New Roman" w:cs="Times New Roman"/>
          <w:sz w:val="24"/>
          <w:szCs w:val="24"/>
        </w:rPr>
        <w:t>the majority of</w:t>
      </w:r>
      <w:proofErr w:type="gramEnd"/>
      <w:r w:rsidR="009E1833" w:rsidRPr="007D2230">
        <w:rPr>
          <w:rFonts w:ascii="Times New Roman" w:hAnsi="Times New Roman" w:cs="Times New Roman"/>
          <w:sz w:val="24"/>
          <w:szCs w:val="24"/>
        </w:rPr>
        <w:t xml:space="preserve"> the association was through unique factor variance (U1-U4). </w:t>
      </w:r>
    </w:p>
    <w:p w14:paraId="1F759AFD" w14:textId="502F4119" w:rsidR="009E1833" w:rsidRDefault="00BA33BA" w:rsidP="00725506">
      <w:pPr>
        <w:jc w:val="center"/>
      </w:pPr>
      <w:r>
        <w:rPr>
          <w:noProof/>
        </w:rPr>
        <w:drawing>
          <wp:inline distT="0" distB="0" distL="0" distR="0" wp14:anchorId="4F02ECE7" wp14:editId="30BDBC9D">
            <wp:extent cx="4362687" cy="4055000"/>
            <wp:effectExtent l="0" t="0" r="0" b="3175"/>
            <wp:docPr id="616074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65660" cy="4057763"/>
                    </a:xfrm>
                    <a:prstGeom prst="rect">
                      <a:avLst/>
                    </a:prstGeom>
                    <a:noFill/>
                    <a:ln>
                      <a:noFill/>
                    </a:ln>
                  </pic:spPr>
                </pic:pic>
              </a:graphicData>
            </a:graphic>
          </wp:inline>
        </w:drawing>
      </w:r>
    </w:p>
    <w:p w14:paraId="62F6E66D" w14:textId="49D8E263" w:rsidR="00E068E6" w:rsidRPr="00724B2B" w:rsidRDefault="00BA33BA" w:rsidP="007E6836">
      <w:pPr>
        <w:rPr>
          <w:rFonts w:ascii="Times New Roman" w:hAnsi="Times New Roman" w:cs="Times New Roman"/>
        </w:rPr>
      </w:pPr>
      <w:r w:rsidRPr="00ED6C8A">
        <w:rPr>
          <w:rFonts w:ascii="Times New Roman" w:hAnsi="Times New Roman" w:cs="Times New Roman"/>
          <w:b/>
          <w:bCs/>
        </w:rPr>
        <w:lastRenderedPageBreak/>
        <w:t>Figure</w:t>
      </w:r>
      <w:r w:rsidRPr="00ED6C8A">
        <w:rPr>
          <w:rFonts w:ascii="Times New Roman" w:hAnsi="Times New Roman" w:cs="Times New Roman"/>
        </w:rPr>
        <w:t xml:space="preserve"> </w:t>
      </w:r>
      <w:r w:rsidR="00D46A50">
        <w:rPr>
          <w:rFonts w:ascii="Times New Roman" w:hAnsi="Times New Roman" w:cs="Times New Roman"/>
        </w:rPr>
        <w:t>S</w:t>
      </w:r>
      <w:r w:rsidRPr="00ED6C8A">
        <w:rPr>
          <w:rFonts w:ascii="Times New Roman" w:hAnsi="Times New Roman" w:cs="Times New Roman"/>
        </w:rPr>
        <w:t>1. DC=Decentering, RP= Reappraisal. C1-C9 represent common variance while U1-U4 represent unique factor variance.</w:t>
      </w:r>
    </w:p>
    <w:sectPr w:rsidR="00E068E6" w:rsidRPr="0072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B8"/>
    <w:rsid w:val="00120F7B"/>
    <w:rsid w:val="001E200D"/>
    <w:rsid w:val="00206443"/>
    <w:rsid w:val="002A7C8C"/>
    <w:rsid w:val="00357940"/>
    <w:rsid w:val="003C0C03"/>
    <w:rsid w:val="003E12D1"/>
    <w:rsid w:val="003E4E94"/>
    <w:rsid w:val="00453A85"/>
    <w:rsid w:val="00500ECA"/>
    <w:rsid w:val="005A4E4C"/>
    <w:rsid w:val="00662AB8"/>
    <w:rsid w:val="00724B2B"/>
    <w:rsid w:val="00725506"/>
    <w:rsid w:val="00767567"/>
    <w:rsid w:val="00775FF0"/>
    <w:rsid w:val="007D2230"/>
    <w:rsid w:val="007E6836"/>
    <w:rsid w:val="008C0D60"/>
    <w:rsid w:val="008C5F38"/>
    <w:rsid w:val="00902C9B"/>
    <w:rsid w:val="00903089"/>
    <w:rsid w:val="009574C7"/>
    <w:rsid w:val="009D1469"/>
    <w:rsid w:val="009E1833"/>
    <w:rsid w:val="00A529DA"/>
    <w:rsid w:val="00AD04B9"/>
    <w:rsid w:val="00B26284"/>
    <w:rsid w:val="00BA33BA"/>
    <w:rsid w:val="00BB0B89"/>
    <w:rsid w:val="00BC14A7"/>
    <w:rsid w:val="00C11596"/>
    <w:rsid w:val="00C319D7"/>
    <w:rsid w:val="00CA6B95"/>
    <w:rsid w:val="00CE08E1"/>
    <w:rsid w:val="00D46A50"/>
    <w:rsid w:val="00D9392E"/>
    <w:rsid w:val="00DC006E"/>
    <w:rsid w:val="00DC7B13"/>
    <w:rsid w:val="00DF65D7"/>
    <w:rsid w:val="00E01D06"/>
    <w:rsid w:val="00E068E6"/>
    <w:rsid w:val="00E83AEC"/>
    <w:rsid w:val="00E97EF2"/>
    <w:rsid w:val="00EA5E2C"/>
    <w:rsid w:val="00ED6C8A"/>
    <w:rsid w:val="00F4476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F0A3"/>
  <w15:chartTrackingRefBased/>
  <w15:docId w15:val="{9A19D959-1ACA-4348-9B4D-5D89CF23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6284"/>
    <w:pPr>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C11596"/>
    <w:pPr>
      <w:outlineLvl w:val="2"/>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284"/>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C11596"/>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C5F38"/>
    <w:rPr>
      <w:sz w:val="16"/>
      <w:szCs w:val="16"/>
    </w:rPr>
  </w:style>
  <w:style w:type="paragraph" w:styleId="CommentText">
    <w:name w:val="annotation text"/>
    <w:basedOn w:val="Normal"/>
    <w:link w:val="CommentTextChar"/>
    <w:uiPriority w:val="99"/>
    <w:unhideWhenUsed/>
    <w:rsid w:val="008C5F38"/>
    <w:pPr>
      <w:spacing w:after="0" w:line="240" w:lineRule="auto"/>
      <w:ind w:firstLine="720"/>
    </w:pPr>
    <w:rPr>
      <w:rFonts w:ascii="Times New Roman" w:eastAsia="Calibri"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C5F38"/>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5137">
      <w:bodyDiv w:val="1"/>
      <w:marLeft w:val="0"/>
      <w:marRight w:val="0"/>
      <w:marTop w:val="0"/>
      <w:marBottom w:val="0"/>
      <w:divBdr>
        <w:top w:val="none" w:sz="0" w:space="0" w:color="auto"/>
        <w:left w:val="none" w:sz="0" w:space="0" w:color="auto"/>
        <w:bottom w:val="none" w:sz="0" w:space="0" w:color="auto"/>
        <w:right w:val="none" w:sz="0" w:space="0" w:color="auto"/>
      </w:divBdr>
    </w:div>
    <w:div w:id="127939759">
      <w:bodyDiv w:val="1"/>
      <w:marLeft w:val="0"/>
      <w:marRight w:val="0"/>
      <w:marTop w:val="0"/>
      <w:marBottom w:val="0"/>
      <w:divBdr>
        <w:top w:val="none" w:sz="0" w:space="0" w:color="auto"/>
        <w:left w:val="none" w:sz="0" w:space="0" w:color="auto"/>
        <w:bottom w:val="none" w:sz="0" w:space="0" w:color="auto"/>
        <w:right w:val="none" w:sz="0" w:space="0" w:color="auto"/>
      </w:divBdr>
    </w:div>
    <w:div w:id="139618106">
      <w:bodyDiv w:val="1"/>
      <w:marLeft w:val="0"/>
      <w:marRight w:val="0"/>
      <w:marTop w:val="0"/>
      <w:marBottom w:val="0"/>
      <w:divBdr>
        <w:top w:val="none" w:sz="0" w:space="0" w:color="auto"/>
        <w:left w:val="none" w:sz="0" w:space="0" w:color="auto"/>
        <w:bottom w:val="none" w:sz="0" w:space="0" w:color="auto"/>
        <w:right w:val="none" w:sz="0" w:space="0" w:color="auto"/>
      </w:divBdr>
    </w:div>
    <w:div w:id="315647832">
      <w:bodyDiv w:val="1"/>
      <w:marLeft w:val="0"/>
      <w:marRight w:val="0"/>
      <w:marTop w:val="0"/>
      <w:marBottom w:val="0"/>
      <w:divBdr>
        <w:top w:val="none" w:sz="0" w:space="0" w:color="auto"/>
        <w:left w:val="none" w:sz="0" w:space="0" w:color="auto"/>
        <w:bottom w:val="none" w:sz="0" w:space="0" w:color="auto"/>
        <w:right w:val="none" w:sz="0" w:space="0" w:color="auto"/>
      </w:divBdr>
    </w:div>
    <w:div w:id="404883816">
      <w:bodyDiv w:val="1"/>
      <w:marLeft w:val="0"/>
      <w:marRight w:val="0"/>
      <w:marTop w:val="0"/>
      <w:marBottom w:val="0"/>
      <w:divBdr>
        <w:top w:val="none" w:sz="0" w:space="0" w:color="auto"/>
        <w:left w:val="none" w:sz="0" w:space="0" w:color="auto"/>
        <w:bottom w:val="none" w:sz="0" w:space="0" w:color="auto"/>
        <w:right w:val="none" w:sz="0" w:space="0" w:color="auto"/>
      </w:divBdr>
    </w:div>
    <w:div w:id="490945311">
      <w:bodyDiv w:val="1"/>
      <w:marLeft w:val="0"/>
      <w:marRight w:val="0"/>
      <w:marTop w:val="0"/>
      <w:marBottom w:val="0"/>
      <w:divBdr>
        <w:top w:val="none" w:sz="0" w:space="0" w:color="auto"/>
        <w:left w:val="none" w:sz="0" w:space="0" w:color="auto"/>
        <w:bottom w:val="none" w:sz="0" w:space="0" w:color="auto"/>
        <w:right w:val="none" w:sz="0" w:space="0" w:color="auto"/>
      </w:divBdr>
    </w:div>
    <w:div w:id="512884759">
      <w:bodyDiv w:val="1"/>
      <w:marLeft w:val="0"/>
      <w:marRight w:val="0"/>
      <w:marTop w:val="0"/>
      <w:marBottom w:val="0"/>
      <w:divBdr>
        <w:top w:val="none" w:sz="0" w:space="0" w:color="auto"/>
        <w:left w:val="none" w:sz="0" w:space="0" w:color="auto"/>
        <w:bottom w:val="none" w:sz="0" w:space="0" w:color="auto"/>
        <w:right w:val="none" w:sz="0" w:space="0" w:color="auto"/>
      </w:divBdr>
    </w:div>
    <w:div w:id="658927088">
      <w:bodyDiv w:val="1"/>
      <w:marLeft w:val="0"/>
      <w:marRight w:val="0"/>
      <w:marTop w:val="0"/>
      <w:marBottom w:val="0"/>
      <w:divBdr>
        <w:top w:val="none" w:sz="0" w:space="0" w:color="auto"/>
        <w:left w:val="none" w:sz="0" w:space="0" w:color="auto"/>
        <w:bottom w:val="none" w:sz="0" w:space="0" w:color="auto"/>
        <w:right w:val="none" w:sz="0" w:space="0" w:color="auto"/>
      </w:divBdr>
    </w:div>
    <w:div w:id="684208108">
      <w:bodyDiv w:val="1"/>
      <w:marLeft w:val="0"/>
      <w:marRight w:val="0"/>
      <w:marTop w:val="0"/>
      <w:marBottom w:val="0"/>
      <w:divBdr>
        <w:top w:val="none" w:sz="0" w:space="0" w:color="auto"/>
        <w:left w:val="none" w:sz="0" w:space="0" w:color="auto"/>
        <w:bottom w:val="none" w:sz="0" w:space="0" w:color="auto"/>
        <w:right w:val="none" w:sz="0" w:space="0" w:color="auto"/>
      </w:divBdr>
    </w:div>
    <w:div w:id="864562001">
      <w:bodyDiv w:val="1"/>
      <w:marLeft w:val="0"/>
      <w:marRight w:val="0"/>
      <w:marTop w:val="0"/>
      <w:marBottom w:val="0"/>
      <w:divBdr>
        <w:top w:val="none" w:sz="0" w:space="0" w:color="auto"/>
        <w:left w:val="none" w:sz="0" w:space="0" w:color="auto"/>
        <w:bottom w:val="none" w:sz="0" w:space="0" w:color="auto"/>
        <w:right w:val="none" w:sz="0" w:space="0" w:color="auto"/>
      </w:divBdr>
    </w:div>
    <w:div w:id="897941240">
      <w:bodyDiv w:val="1"/>
      <w:marLeft w:val="0"/>
      <w:marRight w:val="0"/>
      <w:marTop w:val="0"/>
      <w:marBottom w:val="0"/>
      <w:divBdr>
        <w:top w:val="none" w:sz="0" w:space="0" w:color="auto"/>
        <w:left w:val="none" w:sz="0" w:space="0" w:color="auto"/>
        <w:bottom w:val="none" w:sz="0" w:space="0" w:color="auto"/>
        <w:right w:val="none" w:sz="0" w:space="0" w:color="auto"/>
      </w:divBdr>
    </w:div>
    <w:div w:id="898980706">
      <w:bodyDiv w:val="1"/>
      <w:marLeft w:val="0"/>
      <w:marRight w:val="0"/>
      <w:marTop w:val="0"/>
      <w:marBottom w:val="0"/>
      <w:divBdr>
        <w:top w:val="none" w:sz="0" w:space="0" w:color="auto"/>
        <w:left w:val="none" w:sz="0" w:space="0" w:color="auto"/>
        <w:bottom w:val="none" w:sz="0" w:space="0" w:color="auto"/>
        <w:right w:val="none" w:sz="0" w:space="0" w:color="auto"/>
      </w:divBdr>
    </w:div>
    <w:div w:id="924149950">
      <w:bodyDiv w:val="1"/>
      <w:marLeft w:val="0"/>
      <w:marRight w:val="0"/>
      <w:marTop w:val="0"/>
      <w:marBottom w:val="0"/>
      <w:divBdr>
        <w:top w:val="none" w:sz="0" w:space="0" w:color="auto"/>
        <w:left w:val="none" w:sz="0" w:space="0" w:color="auto"/>
        <w:bottom w:val="none" w:sz="0" w:space="0" w:color="auto"/>
        <w:right w:val="none" w:sz="0" w:space="0" w:color="auto"/>
      </w:divBdr>
    </w:div>
    <w:div w:id="1051727468">
      <w:bodyDiv w:val="1"/>
      <w:marLeft w:val="0"/>
      <w:marRight w:val="0"/>
      <w:marTop w:val="0"/>
      <w:marBottom w:val="0"/>
      <w:divBdr>
        <w:top w:val="none" w:sz="0" w:space="0" w:color="auto"/>
        <w:left w:val="none" w:sz="0" w:space="0" w:color="auto"/>
        <w:bottom w:val="none" w:sz="0" w:space="0" w:color="auto"/>
        <w:right w:val="none" w:sz="0" w:space="0" w:color="auto"/>
      </w:divBdr>
    </w:div>
    <w:div w:id="1139683601">
      <w:bodyDiv w:val="1"/>
      <w:marLeft w:val="0"/>
      <w:marRight w:val="0"/>
      <w:marTop w:val="0"/>
      <w:marBottom w:val="0"/>
      <w:divBdr>
        <w:top w:val="none" w:sz="0" w:space="0" w:color="auto"/>
        <w:left w:val="none" w:sz="0" w:space="0" w:color="auto"/>
        <w:bottom w:val="none" w:sz="0" w:space="0" w:color="auto"/>
        <w:right w:val="none" w:sz="0" w:space="0" w:color="auto"/>
      </w:divBdr>
    </w:div>
    <w:div w:id="1186141393">
      <w:bodyDiv w:val="1"/>
      <w:marLeft w:val="0"/>
      <w:marRight w:val="0"/>
      <w:marTop w:val="0"/>
      <w:marBottom w:val="0"/>
      <w:divBdr>
        <w:top w:val="none" w:sz="0" w:space="0" w:color="auto"/>
        <w:left w:val="none" w:sz="0" w:space="0" w:color="auto"/>
        <w:bottom w:val="none" w:sz="0" w:space="0" w:color="auto"/>
        <w:right w:val="none" w:sz="0" w:space="0" w:color="auto"/>
      </w:divBdr>
    </w:div>
    <w:div w:id="1266304161">
      <w:bodyDiv w:val="1"/>
      <w:marLeft w:val="0"/>
      <w:marRight w:val="0"/>
      <w:marTop w:val="0"/>
      <w:marBottom w:val="0"/>
      <w:divBdr>
        <w:top w:val="none" w:sz="0" w:space="0" w:color="auto"/>
        <w:left w:val="none" w:sz="0" w:space="0" w:color="auto"/>
        <w:bottom w:val="none" w:sz="0" w:space="0" w:color="auto"/>
        <w:right w:val="none" w:sz="0" w:space="0" w:color="auto"/>
      </w:divBdr>
    </w:div>
    <w:div w:id="1327778954">
      <w:bodyDiv w:val="1"/>
      <w:marLeft w:val="0"/>
      <w:marRight w:val="0"/>
      <w:marTop w:val="0"/>
      <w:marBottom w:val="0"/>
      <w:divBdr>
        <w:top w:val="none" w:sz="0" w:space="0" w:color="auto"/>
        <w:left w:val="none" w:sz="0" w:space="0" w:color="auto"/>
        <w:bottom w:val="none" w:sz="0" w:space="0" w:color="auto"/>
        <w:right w:val="none" w:sz="0" w:space="0" w:color="auto"/>
      </w:divBdr>
    </w:div>
    <w:div w:id="1389956658">
      <w:bodyDiv w:val="1"/>
      <w:marLeft w:val="0"/>
      <w:marRight w:val="0"/>
      <w:marTop w:val="0"/>
      <w:marBottom w:val="0"/>
      <w:divBdr>
        <w:top w:val="none" w:sz="0" w:space="0" w:color="auto"/>
        <w:left w:val="none" w:sz="0" w:space="0" w:color="auto"/>
        <w:bottom w:val="none" w:sz="0" w:space="0" w:color="auto"/>
        <w:right w:val="none" w:sz="0" w:space="0" w:color="auto"/>
      </w:divBdr>
    </w:div>
    <w:div w:id="1399279651">
      <w:bodyDiv w:val="1"/>
      <w:marLeft w:val="0"/>
      <w:marRight w:val="0"/>
      <w:marTop w:val="0"/>
      <w:marBottom w:val="0"/>
      <w:divBdr>
        <w:top w:val="none" w:sz="0" w:space="0" w:color="auto"/>
        <w:left w:val="none" w:sz="0" w:space="0" w:color="auto"/>
        <w:bottom w:val="none" w:sz="0" w:space="0" w:color="auto"/>
        <w:right w:val="none" w:sz="0" w:space="0" w:color="auto"/>
      </w:divBdr>
    </w:div>
    <w:div w:id="1406998561">
      <w:bodyDiv w:val="1"/>
      <w:marLeft w:val="0"/>
      <w:marRight w:val="0"/>
      <w:marTop w:val="0"/>
      <w:marBottom w:val="0"/>
      <w:divBdr>
        <w:top w:val="none" w:sz="0" w:space="0" w:color="auto"/>
        <w:left w:val="none" w:sz="0" w:space="0" w:color="auto"/>
        <w:bottom w:val="none" w:sz="0" w:space="0" w:color="auto"/>
        <w:right w:val="none" w:sz="0" w:space="0" w:color="auto"/>
      </w:divBdr>
    </w:div>
    <w:div w:id="1477793643">
      <w:bodyDiv w:val="1"/>
      <w:marLeft w:val="0"/>
      <w:marRight w:val="0"/>
      <w:marTop w:val="0"/>
      <w:marBottom w:val="0"/>
      <w:divBdr>
        <w:top w:val="none" w:sz="0" w:space="0" w:color="auto"/>
        <w:left w:val="none" w:sz="0" w:space="0" w:color="auto"/>
        <w:bottom w:val="none" w:sz="0" w:space="0" w:color="auto"/>
        <w:right w:val="none" w:sz="0" w:space="0" w:color="auto"/>
      </w:divBdr>
    </w:div>
    <w:div w:id="1523588415">
      <w:bodyDiv w:val="1"/>
      <w:marLeft w:val="0"/>
      <w:marRight w:val="0"/>
      <w:marTop w:val="0"/>
      <w:marBottom w:val="0"/>
      <w:divBdr>
        <w:top w:val="none" w:sz="0" w:space="0" w:color="auto"/>
        <w:left w:val="none" w:sz="0" w:space="0" w:color="auto"/>
        <w:bottom w:val="none" w:sz="0" w:space="0" w:color="auto"/>
        <w:right w:val="none" w:sz="0" w:space="0" w:color="auto"/>
      </w:divBdr>
    </w:div>
    <w:div w:id="1533346050">
      <w:bodyDiv w:val="1"/>
      <w:marLeft w:val="0"/>
      <w:marRight w:val="0"/>
      <w:marTop w:val="0"/>
      <w:marBottom w:val="0"/>
      <w:divBdr>
        <w:top w:val="none" w:sz="0" w:space="0" w:color="auto"/>
        <w:left w:val="none" w:sz="0" w:space="0" w:color="auto"/>
        <w:bottom w:val="none" w:sz="0" w:space="0" w:color="auto"/>
        <w:right w:val="none" w:sz="0" w:space="0" w:color="auto"/>
      </w:divBdr>
    </w:div>
    <w:div w:id="1559243444">
      <w:bodyDiv w:val="1"/>
      <w:marLeft w:val="0"/>
      <w:marRight w:val="0"/>
      <w:marTop w:val="0"/>
      <w:marBottom w:val="0"/>
      <w:divBdr>
        <w:top w:val="none" w:sz="0" w:space="0" w:color="auto"/>
        <w:left w:val="none" w:sz="0" w:space="0" w:color="auto"/>
        <w:bottom w:val="none" w:sz="0" w:space="0" w:color="auto"/>
        <w:right w:val="none" w:sz="0" w:space="0" w:color="auto"/>
      </w:divBdr>
    </w:div>
    <w:div w:id="1559511003">
      <w:bodyDiv w:val="1"/>
      <w:marLeft w:val="0"/>
      <w:marRight w:val="0"/>
      <w:marTop w:val="0"/>
      <w:marBottom w:val="0"/>
      <w:divBdr>
        <w:top w:val="none" w:sz="0" w:space="0" w:color="auto"/>
        <w:left w:val="none" w:sz="0" w:space="0" w:color="auto"/>
        <w:bottom w:val="none" w:sz="0" w:space="0" w:color="auto"/>
        <w:right w:val="none" w:sz="0" w:space="0" w:color="auto"/>
      </w:divBdr>
    </w:div>
    <w:div w:id="1632519053">
      <w:bodyDiv w:val="1"/>
      <w:marLeft w:val="0"/>
      <w:marRight w:val="0"/>
      <w:marTop w:val="0"/>
      <w:marBottom w:val="0"/>
      <w:divBdr>
        <w:top w:val="none" w:sz="0" w:space="0" w:color="auto"/>
        <w:left w:val="none" w:sz="0" w:space="0" w:color="auto"/>
        <w:bottom w:val="none" w:sz="0" w:space="0" w:color="auto"/>
        <w:right w:val="none" w:sz="0" w:space="0" w:color="auto"/>
      </w:divBdr>
    </w:div>
    <w:div w:id="1704359825">
      <w:bodyDiv w:val="1"/>
      <w:marLeft w:val="0"/>
      <w:marRight w:val="0"/>
      <w:marTop w:val="0"/>
      <w:marBottom w:val="0"/>
      <w:divBdr>
        <w:top w:val="none" w:sz="0" w:space="0" w:color="auto"/>
        <w:left w:val="none" w:sz="0" w:space="0" w:color="auto"/>
        <w:bottom w:val="none" w:sz="0" w:space="0" w:color="auto"/>
        <w:right w:val="none" w:sz="0" w:space="0" w:color="auto"/>
      </w:divBdr>
    </w:div>
    <w:div w:id="1719470829">
      <w:bodyDiv w:val="1"/>
      <w:marLeft w:val="0"/>
      <w:marRight w:val="0"/>
      <w:marTop w:val="0"/>
      <w:marBottom w:val="0"/>
      <w:divBdr>
        <w:top w:val="none" w:sz="0" w:space="0" w:color="auto"/>
        <w:left w:val="none" w:sz="0" w:space="0" w:color="auto"/>
        <w:bottom w:val="none" w:sz="0" w:space="0" w:color="auto"/>
        <w:right w:val="none" w:sz="0" w:space="0" w:color="auto"/>
      </w:divBdr>
    </w:div>
    <w:div w:id="1818456831">
      <w:bodyDiv w:val="1"/>
      <w:marLeft w:val="0"/>
      <w:marRight w:val="0"/>
      <w:marTop w:val="0"/>
      <w:marBottom w:val="0"/>
      <w:divBdr>
        <w:top w:val="none" w:sz="0" w:space="0" w:color="auto"/>
        <w:left w:val="none" w:sz="0" w:space="0" w:color="auto"/>
        <w:bottom w:val="none" w:sz="0" w:space="0" w:color="auto"/>
        <w:right w:val="none" w:sz="0" w:space="0" w:color="auto"/>
      </w:divBdr>
    </w:div>
    <w:div w:id="1861360622">
      <w:bodyDiv w:val="1"/>
      <w:marLeft w:val="0"/>
      <w:marRight w:val="0"/>
      <w:marTop w:val="0"/>
      <w:marBottom w:val="0"/>
      <w:divBdr>
        <w:top w:val="none" w:sz="0" w:space="0" w:color="auto"/>
        <w:left w:val="none" w:sz="0" w:space="0" w:color="auto"/>
        <w:bottom w:val="none" w:sz="0" w:space="0" w:color="auto"/>
        <w:right w:val="none" w:sz="0" w:space="0" w:color="auto"/>
      </w:divBdr>
    </w:div>
    <w:div w:id="1924021539">
      <w:bodyDiv w:val="1"/>
      <w:marLeft w:val="0"/>
      <w:marRight w:val="0"/>
      <w:marTop w:val="0"/>
      <w:marBottom w:val="0"/>
      <w:divBdr>
        <w:top w:val="none" w:sz="0" w:space="0" w:color="auto"/>
        <w:left w:val="none" w:sz="0" w:space="0" w:color="auto"/>
        <w:bottom w:val="none" w:sz="0" w:space="0" w:color="auto"/>
        <w:right w:val="none" w:sz="0" w:space="0" w:color="auto"/>
      </w:divBdr>
    </w:div>
    <w:div w:id="1939097126">
      <w:bodyDiv w:val="1"/>
      <w:marLeft w:val="0"/>
      <w:marRight w:val="0"/>
      <w:marTop w:val="0"/>
      <w:marBottom w:val="0"/>
      <w:divBdr>
        <w:top w:val="none" w:sz="0" w:space="0" w:color="auto"/>
        <w:left w:val="none" w:sz="0" w:space="0" w:color="auto"/>
        <w:bottom w:val="none" w:sz="0" w:space="0" w:color="auto"/>
        <w:right w:val="none" w:sz="0" w:space="0" w:color="auto"/>
      </w:divBdr>
    </w:div>
    <w:div w:id="2078475697">
      <w:bodyDiv w:val="1"/>
      <w:marLeft w:val="0"/>
      <w:marRight w:val="0"/>
      <w:marTop w:val="0"/>
      <w:marBottom w:val="0"/>
      <w:divBdr>
        <w:top w:val="none" w:sz="0" w:space="0" w:color="auto"/>
        <w:left w:val="none" w:sz="0" w:space="0" w:color="auto"/>
        <w:bottom w:val="none" w:sz="0" w:space="0" w:color="auto"/>
        <w:right w:val="none" w:sz="0" w:space="0" w:color="auto"/>
      </w:divBdr>
    </w:div>
    <w:div w:id="21449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Wang</dc:creator>
  <cp:keywords/>
  <dc:description/>
  <cp:lastModifiedBy>Norman Farb</cp:lastModifiedBy>
  <cp:revision>27</cp:revision>
  <dcterms:created xsi:type="dcterms:W3CDTF">2023-12-06T22:03:00Z</dcterms:created>
  <dcterms:modified xsi:type="dcterms:W3CDTF">2024-12-20T23:23:00Z</dcterms:modified>
</cp:coreProperties>
</file>