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2437C" w14:textId="6BBEA246" w:rsidR="0019015E" w:rsidRPr="0019015E" w:rsidRDefault="0019015E" w:rsidP="0019015E">
      <w:pPr>
        <w:rPr>
          <w:rFonts w:ascii="Times New Roman" w:eastAsia="SimSun" w:hAnsi="Times New Roman" w:cs="Times New Roman"/>
          <w:b/>
          <w:bCs/>
          <w:sz w:val="24"/>
          <w:szCs w:val="24"/>
          <w14:ligatures w14:val="none"/>
        </w:rPr>
      </w:pPr>
      <w:r>
        <w:rPr>
          <w:rFonts w:ascii="Times New Roman" w:eastAsia="SimSun" w:hAnsi="Times New Roman" w:cs="Times New Roman" w:hint="eastAsia"/>
          <w:b/>
          <w:bCs/>
          <w:sz w:val="24"/>
          <w:szCs w:val="24"/>
          <w14:ligatures w14:val="none"/>
        </w:rPr>
        <w:t xml:space="preserve">Supplementary </w:t>
      </w:r>
      <w:r w:rsidR="002E57F0">
        <w:rPr>
          <w:rFonts w:ascii="Times New Roman" w:eastAsia="SimSun" w:hAnsi="Times New Roman" w:cs="Times New Roman"/>
          <w:b/>
          <w:bCs/>
          <w:sz w:val="24"/>
          <w:szCs w:val="24"/>
          <w14:ligatures w14:val="none"/>
        </w:rPr>
        <w:t>Figure</w:t>
      </w:r>
      <w:r>
        <w:rPr>
          <w:rFonts w:ascii="Times New Roman" w:eastAsia="SimSun" w:hAnsi="Times New Roman" w:cs="Times New Roman" w:hint="eastAsia"/>
          <w:b/>
          <w:bCs/>
          <w:sz w:val="24"/>
          <w:szCs w:val="24"/>
          <w14:ligatures w14:val="none"/>
        </w:rPr>
        <w:t xml:space="preserve"> 2 </w:t>
      </w:r>
      <w:r w:rsidRPr="0019015E">
        <w:rPr>
          <w:rFonts w:ascii="Times New Roman" w:eastAsia="SimSun" w:hAnsi="Times New Roman" w:cs="Times New Roman" w:hint="eastAsia"/>
          <w:b/>
          <w:bCs/>
          <w:sz w:val="24"/>
          <w:szCs w:val="24"/>
          <w14:ligatures w14:val="none"/>
        </w:rPr>
        <w:t>Multivariable Cox regression forest plot of PCBs and mortality risk.</w:t>
      </w:r>
    </w:p>
    <w:p w14:paraId="128AF44D" w14:textId="17C3A8AB" w:rsidR="0019015E" w:rsidRDefault="0019015E"/>
    <w:p w14:paraId="3C0CD7E6" w14:textId="08345D6B" w:rsidR="0019015E" w:rsidRPr="0019015E" w:rsidRDefault="002E57F0">
      <w:pPr>
        <w:rPr>
          <w:rFonts w:ascii="Times New Roman" w:eastAsia="DengXian" w:hAnsi="Times New Roman" w:cs="Times New Roman"/>
          <w:b/>
          <w:bCs/>
          <w:sz w:val="24"/>
          <w:szCs w:val="24"/>
          <w14:ligatures w14:val="none"/>
        </w:rPr>
      </w:pPr>
      <w:r>
        <w:rPr>
          <w:rFonts w:ascii="Times New Roman" w:eastAsia="DengXian" w:hAnsi="Times New Roman" w:cs="Times New Roman"/>
          <w:b/>
          <w:bCs/>
          <w:sz w:val="24"/>
          <w:szCs w:val="24"/>
          <w14:ligatures w14:val="none"/>
        </w:rPr>
        <w:t>Figur</w:t>
      </w:r>
      <w:r w:rsidR="0019015E" w:rsidRPr="003F7720">
        <w:rPr>
          <w:rFonts w:ascii="Times New Roman" w:eastAsia="DengXian" w:hAnsi="Times New Roman" w:cs="Times New Roman"/>
          <w:b/>
          <w:bCs/>
          <w:sz w:val="24"/>
          <w:szCs w:val="24"/>
          <w14:ligatures w14:val="none"/>
        </w:rPr>
        <w:t>e S</w:t>
      </w:r>
      <w:r w:rsidR="0019015E">
        <w:rPr>
          <w:rFonts w:ascii="Times New Roman" w:eastAsia="DengXian" w:hAnsi="Times New Roman" w:cs="Times New Roman" w:hint="eastAsia"/>
          <w:b/>
          <w:bCs/>
          <w:sz w:val="24"/>
          <w:szCs w:val="24"/>
          <w14:ligatures w14:val="none"/>
        </w:rPr>
        <w:t>2</w:t>
      </w:r>
      <w:r w:rsidR="0019015E" w:rsidRPr="003F7720">
        <w:rPr>
          <w:rFonts w:ascii="Times New Roman" w:eastAsia="DengXian" w:hAnsi="Times New Roman" w:cs="Times New Roman"/>
          <w:b/>
          <w:bCs/>
          <w:sz w:val="24"/>
          <w:szCs w:val="24"/>
          <w14:ligatures w14:val="none"/>
        </w:rPr>
        <w:t>a.</w:t>
      </w:r>
      <w:r w:rsidR="0019015E">
        <w:rPr>
          <w:rFonts w:ascii="Times New Roman" w:eastAsia="DengXian" w:hAnsi="Times New Roman" w:cs="Times New Roman" w:hint="eastAsia"/>
          <w:b/>
          <w:bCs/>
          <w:sz w:val="24"/>
          <w:szCs w:val="24"/>
          <w14:ligatures w14:val="none"/>
        </w:rPr>
        <w:t xml:space="preserve"> </w:t>
      </w:r>
      <w:r w:rsidR="0019015E" w:rsidRPr="0019015E">
        <w:rPr>
          <w:rFonts w:ascii="Times New Roman" w:eastAsia="DengXian" w:hAnsi="Times New Roman" w:cs="Times New Roman" w:hint="eastAsia"/>
          <w:b/>
          <w:bCs/>
          <w:sz w:val="24"/>
          <w:szCs w:val="24"/>
          <w14:ligatures w14:val="none"/>
        </w:rPr>
        <w:t>Multivariable Cox regression forest plot of PCB</w:t>
      </w:r>
      <w:r w:rsidR="0019015E">
        <w:rPr>
          <w:rFonts w:ascii="Times New Roman" w:eastAsia="DengXian" w:hAnsi="Times New Roman" w:cs="Times New Roman" w:hint="eastAsia"/>
          <w:b/>
          <w:bCs/>
          <w:sz w:val="24"/>
          <w:szCs w:val="24"/>
          <w14:ligatures w14:val="none"/>
        </w:rPr>
        <w:t>74</w:t>
      </w:r>
      <w:r w:rsidR="0019015E" w:rsidRPr="0019015E">
        <w:rPr>
          <w:rFonts w:ascii="Times New Roman" w:eastAsia="DengXian" w:hAnsi="Times New Roman" w:cs="Times New Roman" w:hint="eastAsia"/>
          <w:b/>
          <w:bCs/>
          <w:sz w:val="24"/>
          <w:szCs w:val="24"/>
          <w14:ligatures w14:val="none"/>
        </w:rPr>
        <w:t xml:space="preserve"> and mortality risk.</w:t>
      </w:r>
    </w:p>
    <w:p w14:paraId="186F358F" w14:textId="77CAD9A7" w:rsidR="009F3392" w:rsidRDefault="006C6224" w:rsidP="0019015E">
      <w:pPr>
        <w:jc w:val="center"/>
      </w:pPr>
      <w:r>
        <w:rPr>
          <w:noProof/>
        </w:rPr>
        <w:drawing>
          <wp:inline distT="0" distB="0" distL="0" distR="0" wp14:anchorId="4EC35680" wp14:editId="4C1EB8E7">
            <wp:extent cx="5274310" cy="4352290"/>
            <wp:effectExtent l="0" t="0" r="0" b="0"/>
            <wp:docPr id="155780274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352290"/>
                    </a:xfrm>
                    <a:prstGeom prst="rect">
                      <a:avLst/>
                    </a:prstGeom>
                    <a:noFill/>
                    <a:ln>
                      <a:noFill/>
                    </a:ln>
                  </pic:spPr>
                </pic:pic>
              </a:graphicData>
            </a:graphic>
          </wp:inline>
        </w:drawing>
      </w:r>
    </w:p>
    <w:p w14:paraId="030BB652" w14:textId="61FE313F" w:rsidR="00897886" w:rsidRDefault="00897886" w:rsidP="00897886">
      <w:pPr>
        <w:ind w:firstLineChars="100" w:firstLine="240"/>
        <w:rPr>
          <w:rFonts w:ascii="Times New Roman" w:eastAsia="SimSun" w:hAnsi="Times New Roman" w:cs="Times New Roman"/>
          <w:sz w:val="24"/>
          <w:szCs w:val="24"/>
          <w14:ligatures w14:val="none"/>
        </w:rPr>
      </w:pPr>
      <w:bookmarkStart w:id="0" w:name="_Hlk178519401"/>
      <w:r w:rsidRPr="00897886">
        <w:rPr>
          <w:rFonts w:ascii="Times New Roman" w:eastAsia="SimSun" w:hAnsi="Times New Roman" w:cs="Times New Roman" w:hint="eastAsia"/>
          <w:sz w:val="24"/>
          <w:szCs w:val="24"/>
          <w14:ligatures w14:val="none"/>
        </w:rPr>
        <w:t>Based on the different exposure levels of PCB74 in participants, they were divided into three groups</w:t>
      </w:r>
      <w:r w:rsidRPr="00897886">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"Low"</w:t>
      </w:r>
      <w:r>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 xml:space="preserve"> "Moderate," and "High"</w:t>
      </w:r>
      <w:r w:rsidRPr="00897886">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according to the terciles of PCB74 concentration, with "Low" serving as the control group. Hazard Ratios (HR) less than 1 are represented in red, while HR greater than 1 are represented in blue. After adjusting for factors such as age, gender, education level, BMI, smoking exposure, SII, and exposure to five diseases, the impact of PCB74 on mortality risk was examined.</w:t>
      </w:r>
    </w:p>
    <w:p w14:paraId="288F86FC"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0.001 &lt; P ≤ 0.05</w:t>
      </w:r>
    </w:p>
    <w:p w14:paraId="253A4A6A"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0.0001 &lt; P ≤ 0.01</w:t>
      </w:r>
    </w:p>
    <w:p w14:paraId="48458851"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P ≤ 0.0001</w:t>
      </w:r>
    </w:p>
    <w:bookmarkEnd w:id="0"/>
    <w:p w14:paraId="6330BD77" w14:textId="368A70F8" w:rsidR="00897886" w:rsidRPr="00897886" w:rsidRDefault="00897886" w:rsidP="00897886">
      <w:pPr>
        <w:rPr>
          <w:rFonts w:ascii="Times New Roman" w:eastAsia="SimSun" w:hAnsi="Times New Roman" w:cs="Times New Roman"/>
          <w:b/>
          <w:bCs/>
          <w:sz w:val="24"/>
          <w:szCs w:val="24"/>
          <w14:ligatures w14:val="none"/>
        </w:rPr>
      </w:pPr>
      <w:r w:rsidRPr="00897886">
        <w:rPr>
          <w:rFonts w:ascii="Times New Roman" w:eastAsia="SimSun" w:hAnsi="Times New Roman" w:cs="Times New Roman"/>
          <w:b/>
          <w:bCs/>
          <w:sz w:val="24"/>
          <w:szCs w:val="24"/>
          <w14:ligatures w14:val="none"/>
        </w:rPr>
        <w:br w:type="page"/>
      </w:r>
      <w:bookmarkStart w:id="1" w:name="_Hlk178519436"/>
      <w:r>
        <w:rPr>
          <w:rFonts w:ascii="Times New Roman" w:eastAsia="SimSun" w:hAnsi="Times New Roman" w:cs="Times New Roman" w:hint="eastAsia"/>
          <w:b/>
          <w:bCs/>
          <w:sz w:val="24"/>
          <w:szCs w:val="24"/>
          <w14:ligatures w14:val="none"/>
        </w:rPr>
        <w:lastRenderedPageBreak/>
        <w:t xml:space="preserve"> </w:t>
      </w:r>
      <w:r w:rsidR="002E57F0">
        <w:rPr>
          <w:rFonts w:ascii="Times New Roman" w:eastAsia="SimSun" w:hAnsi="Times New Roman" w:cs="Times New Roman"/>
          <w:b/>
          <w:bCs/>
          <w:sz w:val="24"/>
          <w:szCs w:val="24"/>
          <w14:ligatures w14:val="none"/>
        </w:rPr>
        <w:t>Figure</w:t>
      </w:r>
      <w:r w:rsidRPr="00897886">
        <w:rPr>
          <w:rFonts w:ascii="Times New Roman" w:eastAsia="SimSun" w:hAnsi="Times New Roman" w:cs="Times New Roman"/>
          <w:b/>
          <w:bCs/>
          <w:sz w:val="24"/>
          <w:szCs w:val="24"/>
          <w14:ligatures w14:val="none"/>
        </w:rPr>
        <w:t xml:space="preserve"> S</w:t>
      </w:r>
      <w:r w:rsidRPr="00897886">
        <w:rPr>
          <w:rFonts w:ascii="Times New Roman" w:eastAsia="SimSun" w:hAnsi="Times New Roman" w:cs="Times New Roman" w:hint="eastAsia"/>
          <w:b/>
          <w:bCs/>
          <w:sz w:val="24"/>
          <w:szCs w:val="24"/>
          <w14:ligatures w14:val="none"/>
        </w:rPr>
        <w:t>2</w:t>
      </w:r>
      <w:r>
        <w:rPr>
          <w:rFonts w:ascii="Times New Roman" w:eastAsia="SimSun" w:hAnsi="Times New Roman" w:cs="Times New Roman" w:hint="eastAsia"/>
          <w:b/>
          <w:bCs/>
          <w:sz w:val="24"/>
          <w:szCs w:val="24"/>
          <w14:ligatures w14:val="none"/>
        </w:rPr>
        <w:t>b</w:t>
      </w:r>
      <w:r w:rsidRPr="00897886">
        <w:rPr>
          <w:rFonts w:ascii="Times New Roman" w:eastAsia="SimSun" w:hAnsi="Times New Roman" w:cs="Times New Roman"/>
          <w:b/>
          <w:bCs/>
          <w:sz w:val="24"/>
          <w:szCs w:val="24"/>
          <w14:ligatures w14:val="none"/>
        </w:rPr>
        <w:t>.</w:t>
      </w:r>
      <w:r w:rsidRPr="00897886">
        <w:rPr>
          <w:rFonts w:ascii="Times New Roman" w:eastAsia="SimSun" w:hAnsi="Times New Roman" w:cs="Times New Roman" w:hint="eastAsia"/>
          <w:b/>
          <w:bCs/>
          <w:sz w:val="24"/>
          <w:szCs w:val="24"/>
          <w14:ligatures w14:val="none"/>
        </w:rPr>
        <w:t xml:space="preserve"> Multivariable Cox regression forest plot of PCB</w:t>
      </w:r>
      <w:r>
        <w:rPr>
          <w:rFonts w:ascii="Times New Roman" w:eastAsia="SimSun" w:hAnsi="Times New Roman" w:cs="Times New Roman" w:hint="eastAsia"/>
          <w:b/>
          <w:bCs/>
          <w:sz w:val="24"/>
          <w:szCs w:val="24"/>
          <w14:ligatures w14:val="none"/>
        </w:rPr>
        <w:t>170</w:t>
      </w:r>
      <w:r w:rsidRPr="00897886">
        <w:rPr>
          <w:rFonts w:ascii="Times New Roman" w:eastAsia="SimSun" w:hAnsi="Times New Roman" w:cs="Times New Roman" w:hint="eastAsia"/>
          <w:b/>
          <w:bCs/>
          <w:sz w:val="24"/>
          <w:szCs w:val="24"/>
          <w14:ligatures w14:val="none"/>
        </w:rPr>
        <w:t xml:space="preserve"> and mortality risk.</w:t>
      </w:r>
    </w:p>
    <w:bookmarkEnd w:id="1"/>
    <w:p w14:paraId="69789209" w14:textId="5FE17A89" w:rsidR="00897886" w:rsidRPr="00897886" w:rsidRDefault="00897886" w:rsidP="00897886">
      <w:pPr>
        <w:rPr>
          <w:rFonts w:ascii="Times New Roman" w:eastAsia="SimSun" w:hAnsi="Times New Roman" w:cs="Times New Roman"/>
          <w:b/>
          <w:bCs/>
          <w:sz w:val="24"/>
          <w:szCs w:val="24"/>
          <w14:ligatures w14:val="none"/>
        </w:rPr>
      </w:pPr>
    </w:p>
    <w:p w14:paraId="67C9CB66" w14:textId="7931B5FC" w:rsidR="006C6224" w:rsidRDefault="006C6224">
      <w:r>
        <w:rPr>
          <w:noProof/>
        </w:rPr>
        <w:drawing>
          <wp:inline distT="0" distB="0" distL="0" distR="0" wp14:anchorId="50F2EA06" wp14:editId="02EEFE76">
            <wp:extent cx="5274310" cy="4352290"/>
            <wp:effectExtent l="0" t="0" r="0" b="0"/>
            <wp:docPr id="210004809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352290"/>
                    </a:xfrm>
                    <a:prstGeom prst="rect">
                      <a:avLst/>
                    </a:prstGeom>
                    <a:noFill/>
                    <a:ln>
                      <a:noFill/>
                    </a:ln>
                  </pic:spPr>
                </pic:pic>
              </a:graphicData>
            </a:graphic>
          </wp:inline>
        </w:drawing>
      </w:r>
    </w:p>
    <w:p w14:paraId="052939B4" w14:textId="627745E7" w:rsidR="00897886" w:rsidRDefault="00897886" w:rsidP="00897886">
      <w:pPr>
        <w:ind w:firstLineChars="100" w:firstLine="240"/>
        <w:rPr>
          <w:rFonts w:ascii="Times New Roman" w:eastAsia="SimSun" w:hAnsi="Times New Roman" w:cs="Times New Roman"/>
          <w:sz w:val="24"/>
          <w:szCs w:val="24"/>
          <w14:ligatures w14:val="none"/>
        </w:rPr>
      </w:pPr>
      <w:bookmarkStart w:id="2" w:name="_Hlk178519692"/>
      <w:r w:rsidRPr="00897886">
        <w:rPr>
          <w:rFonts w:ascii="Times New Roman" w:eastAsia="SimSun" w:hAnsi="Times New Roman" w:cs="Times New Roman" w:hint="eastAsia"/>
          <w:sz w:val="24"/>
          <w:szCs w:val="24"/>
          <w14:ligatures w14:val="none"/>
        </w:rPr>
        <w:t>Based on the different exposure levels of PCB</w:t>
      </w:r>
      <w:r>
        <w:rPr>
          <w:rFonts w:ascii="Times New Roman" w:eastAsia="SimSun" w:hAnsi="Times New Roman" w:cs="Times New Roman" w:hint="eastAsia"/>
          <w:sz w:val="24"/>
          <w:szCs w:val="24"/>
          <w14:ligatures w14:val="none"/>
        </w:rPr>
        <w:t>170</w:t>
      </w:r>
      <w:r w:rsidRPr="00897886">
        <w:rPr>
          <w:rFonts w:ascii="Times New Roman" w:eastAsia="SimSun" w:hAnsi="Times New Roman" w:cs="Times New Roman" w:hint="eastAsia"/>
          <w:sz w:val="24"/>
          <w:szCs w:val="24"/>
          <w14:ligatures w14:val="none"/>
        </w:rPr>
        <w:t xml:space="preserve"> in participants, they were divided into </w:t>
      </w:r>
      <w:r>
        <w:rPr>
          <w:rFonts w:ascii="Times New Roman" w:eastAsia="SimSun" w:hAnsi="Times New Roman" w:cs="Times New Roman" w:hint="eastAsia"/>
          <w:sz w:val="24"/>
          <w:szCs w:val="24"/>
          <w14:ligatures w14:val="none"/>
        </w:rPr>
        <w:t>two</w:t>
      </w:r>
      <w:r w:rsidRPr="00897886">
        <w:rPr>
          <w:rFonts w:ascii="Times New Roman" w:eastAsia="SimSun" w:hAnsi="Times New Roman" w:cs="Times New Roman" w:hint="eastAsia"/>
          <w:sz w:val="24"/>
          <w:szCs w:val="24"/>
          <w14:ligatures w14:val="none"/>
        </w:rPr>
        <w:t xml:space="preserve"> groups</w:t>
      </w:r>
      <w:r w:rsidRPr="00897886">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"Low" and "High"</w:t>
      </w:r>
      <w:r w:rsidRPr="00897886">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according to the terciles of PCB</w:t>
      </w:r>
      <w:r>
        <w:rPr>
          <w:rFonts w:ascii="Times New Roman" w:eastAsia="SimSun" w:hAnsi="Times New Roman" w:cs="Times New Roman" w:hint="eastAsia"/>
          <w:sz w:val="24"/>
          <w:szCs w:val="24"/>
          <w14:ligatures w14:val="none"/>
        </w:rPr>
        <w:t>170</w:t>
      </w:r>
      <w:r w:rsidRPr="00897886">
        <w:rPr>
          <w:rFonts w:ascii="Times New Roman" w:eastAsia="SimSun" w:hAnsi="Times New Roman" w:cs="Times New Roman" w:hint="eastAsia"/>
          <w:sz w:val="24"/>
          <w:szCs w:val="24"/>
          <w14:ligatures w14:val="none"/>
        </w:rPr>
        <w:t xml:space="preserve"> concentration, with "Low" serving as the control group. Hazard Ratios (HR) less than 1 are represented in red, while HR greater than 1 are represented in blue. After adjusting for factors such as age, gender, education level, BMI, smoking exposure, SII, and exposure to five diseases, the impact of PCB</w:t>
      </w:r>
      <w:r>
        <w:rPr>
          <w:rFonts w:ascii="Times New Roman" w:eastAsia="SimSun" w:hAnsi="Times New Roman" w:cs="Times New Roman" w:hint="eastAsia"/>
          <w:sz w:val="24"/>
          <w:szCs w:val="24"/>
          <w14:ligatures w14:val="none"/>
        </w:rPr>
        <w:t>170</w:t>
      </w:r>
      <w:r w:rsidRPr="00897886">
        <w:rPr>
          <w:rFonts w:ascii="Times New Roman" w:eastAsia="SimSun" w:hAnsi="Times New Roman" w:cs="Times New Roman" w:hint="eastAsia"/>
          <w:sz w:val="24"/>
          <w:szCs w:val="24"/>
          <w14:ligatures w14:val="none"/>
        </w:rPr>
        <w:t xml:space="preserve"> on mortality risk was examined.</w:t>
      </w:r>
    </w:p>
    <w:p w14:paraId="19977128"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0.001 &lt; P ≤ 0.05</w:t>
      </w:r>
    </w:p>
    <w:p w14:paraId="61DCB8F0"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0.0001 &lt; P ≤ 0.01</w:t>
      </w:r>
    </w:p>
    <w:p w14:paraId="6BAFABDF"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P ≤ 0.0001</w:t>
      </w:r>
    </w:p>
    <w:p w14:paraId="52143146" w14:textId="77777777" w:rsidR="00897886" w:rsidRDefault="00897886"/>
    <w:bookmarkEnd w:id="2"/>
    <w:p w14:paraId="5E8DA0E5" w14:textId="77777777" w:rsidR="00897886" w:rsidRDefault="00897886"/>
    <w:p w14:paraId="2763E966" w14:textId="77777777" w:rsidR="00897886" w:rsidRDefault="00897886"/>
    <w:p w14:paraId="27E7B981" w14:textId="77777777" w:rsidR="00897886" w:rsidRDefault="00897886"/>
    <w:p w14:paraId="2A37D8D3" w14:textId="77777777" w:rsidR="00897886" w:rsidRDefault="00897886"/>
    <w:p w14:paraId="1BD26A2C" w14:textId="77777777" w:rsidR="00897886" w:rsidRDefault="00897886"/>
    <w:p w14:paraId="18071385" w14:textId="77777777" w:rsidR="00897886" w:rsidRDefault="00897886"/>
    <w:p w14:paraId="13D68A85" w14:textId="77777777" w:rsidR="00897886" w:rsidRDefault="00897886"/>
    <w:p w14:paraId="6EB3A190" w14:textId="77777777" w:rsidR="00897886" w:rsidRDefault="00897886"/>
    <w:p w14:paraId="3EF4A9BE" w14:textId="77777777" w:rsidR="00897886" w:rsidRDefault="00897886"/>
    <w:p w14:paraId="3E94097A" w14:textId="675E5C9D" w:rsidR="00897886" w:rsidRPr="00897886" w:rsidRDefault="002E57F0">
      <w:pPr>
        <w:rPr>
          <w:rFonts w:ascii="Times New Roman" w:eastAsia="SimSun" w:hAnsi="Times New Roman" w:cs="Times New Roman"/>
          <w:b/>
          <w:bCs/>
          <w:sz w:val="24"/>
          <w:szCs w:val="24"/>
          <w14:ligatures w14:val="none"/>
        </w:rPr>
      </w:pPr>
      <w:r>
        <w:rPr>
          <w:rFonts w:ascii="Times New Roman" w:eastAsia="SimSun" w:hAnsi="Times New Roman" w:cs="Times New Roman"/>
          <w:b/>
          <w:bCs/>
          <w:sz w:val="24"/>
          <w:szCs w:val="24"/>
          <w14:ligatures w14:val="none"/>
        </w:rPr>
        <w:lastRenderedPageBreak/>
        <w:t>Figure</w:t>
      </w:r>
      <w:r w:rsidR="00897886" w:rsidRPr="00897886">
        <w:rPr>
          <w:rFonts w:ascii="Times New Roman" w:eastAsia="SimSun" w:hAnsi="Times New Roman" w:cs="Times New Roman"/>
          <w:b/>
          <w:bCs/>
          <w:sz w:val="24"/>
          <w:szCs w:val="24"/>
          <w14:ligatures w14:val="none"/>
        </w:rPr>
        <w:t xml:space="preserve"> S</w:t>
      </w:r>
      <w:r w:rsidR="00897886" w:rsidRPr="00897886">
        <w:rPr>
          <w:rFonts w:ascii="Times New Roman" w:eastAsia="SimSun" w:hAnsi="Times New Roman" w:cs="Times New Roman" w:hint="eastAsia"/>
          <w:b/>
          <w:bCs/>
          <w:sz w:val="24"/>
          <w:szCs w:val="24"/>
          <w14:ligatures w14:val="none"/>
        </w:rPr>
        <w:t>2</w:t>
      </w:r>
      <w:r w:rsidR="00897886">
        <w:rPr>
          <w:rFonts w:ascii="Times New Roman" w:eastAsia="SimSun" w:hAnsi="Times New Roman" w:cs="Times New Roman" w:hint="eastAsia"/>
          <w:b/>
          <w:bCs/>
          <w:sz w:val="24"/>
          <w:szCs w:val="24"/>
          <w14:ligatures w14:val="none"/>
        </w:rPr>
        <w:t>c</w:t>
      </w:r>
      <w:r w:rsidR="00897886" w:rsidRPr="00897886">
        <w:rPr>
          <w:rFonts w:ascii="Times New Roman" w:eastAsia="SimSun" w:hAnsi="Times New Roman" w:cs="Times New Roman"/>
          <w:b/>
          <w:bCs/>
          <w:sz w:val="24"/>
          <w:szCs w:val="24"/>
          <w14:ligatures w14:val="none"/>
        </w:rPr>
        <w:t>.</w:t>
      </w:r>
      <w:r w:rsidR="00897886" w:rsidRPr="00897886">
        <w:rPr>
          <w:rFonts w:ascii="Times New Roman" w:eastAsia="SimSun" w:hAnsi="Times New Roman" w:cs="Times New Roman" w:hint="eastAsia"/>
          <w:b/>
          <w:bCs/>
          <w:sz w:val="24"/>
          <w:szCs w:val="24"/>
          <w14:ligatures w14:val="none"/>
        </w:rPr>
        <w:t xml:space="preserve"> Multivariable Cox regression forest plot of PCB</w:t>
      </w:r>
      <w:r w:rsidR="00897886">
        <w:rPr>
          <w:rFonts w:ascii="Times New Roman" w:eastAsia="SimSun" w:hAnsi="Times New Roman" w:cs="Times New Roman" w:hint="eastAsia"/>
          <w:b/>
          <w:bCs/>
          <w:sz w:val="24"/>
          <w:szCs w:val="24"/>
          <w14:ligatures w14:val="none"/>
        </w:rPr>
        <w:t>178</w:t>
      </w:r>
      <w:r w:rsidR="00897886" w:rsidRPr="00897886">
        <w:rPr>
          <w:rFonts w:ascii="Times New Roman" w:eastAsia="SimSun" w:hAnsi="Times New Roman" w:cs="Times New Roman" w:hint="eastAsia"/>
          <w:b/>
          <w:bCs/>
          <w:sz w:val="24"/>
          <w:szCs w:val="24"/>
          <w14:ligatures w14:val="none"/>
        </w:rPr>
        <w:t xml:space="preserve"> and mortality risk.</w:t>
      </w:r>
    </w:p>
    <w:p w14:paraId="38D829C6" w14:textId="29830355" w:rsidR="006C6224" w:rsidRDefault="006C6224">
      <w:r>
        <w:rPr>
          <w:noProof/>
        </w:rPr>
        <w:drawing>
          <wp:inline distT="0" distB="0" distL="0" distR="0" wp14:anchorId="125A59D2" wp14:editId="5B161C10">
            <wp:extent cx="5274310" cy="4352290"/>
            <wp:effectExtent l="0" t="0" r="0" b="0"/>
            <wp:docPr id="198038794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352290"/>
                    </a:xfrm>
                    <a:prstGeom prst="rect">
                      <a:avLst/>
                    </a:prstGeom>
                    <a:noFill/>
                    <a:ln>
                      <a:noFill/>
                    </a:ln>
                  </pic:spPr>
                </pic:pic>
              </a:graphicData>
            </a:graphic>
          </wp:inline>
        </w:drawing>
      </w:r>
    </w:p>
    <w:p w14:paraId="793A3198" w14:textId="723D723C" w:rsidR="00897886" w:rsidRDefault="00897886" w:rsidP="00897886">
      <w:pPr>
        <w:ind w:firstLineChars="100" w:firstLine="240"/>
        <w:rPr>
          <w:rFonts w:ascii="Times New Roman" w:eastAsia="SimSun" w:hAnsi="Times New Roman" w:cs="Times New Roman"/>
          <w:sz w:val="24"/>
          <w:szCs w:val="24"/>
          <w14:ligatures w14:val="none"/>
        </w:rPr>
      </w:pPr>
      <w:bookmarkStart w:id="3" w:name="_Hlk178519588"/>
      <w:r w:rsidRPr="00897886">
        <w:rPr>
          <w:rFonts w:ascii="Times New Roman" w:eastAsia="SimSun" w:hAnsi="Times New Roman" w:cs="Times New Roman" w:hint="eastAsia"/>
          <w:sz w:val="24"/>
          <w:szCs w:val="24"/>
          <w14:ligatures w14:val="none"/>
        </w:rPr>
        <w:t>Based on the different exposure levels of PCB</w:t>
      </w:r>
      <w:r>
        <w:rPr>
          <w:rFonts w:ascii="Times New Roman" w:eastAsia="SimSun" w:hAnsi="Times New Roman" w:cs="Times New Roman" w:hint="eastAsia"/>
          <w:sz w:val="24"/>
          <w:szCs w:val="24"/>
          <w14:ligatures w14:val="none"/>
        </w:rPr>
        <w:t>178</w:t>
      </w:r>
      <w:r w:rsidRPr="00897886">
        <w:rPr>
          <w:rFonts w:ascii="Times New Roman" w:eastAsia="SimSun" w:hAnsi="Times New Roman" w:cs="Times New Roman" w:hint="eastAsia"/>
          <w:sz w:val="24"/>
          <w:szCs w:val="24"/>
          <w14:ligatures w14:val="none"/>
        </w:rPr>
        <w:t xml:space="preserve"> in participants, they were divided into three groups</w:t>
      </w:r>
      <w:r w:rsidRPr="00897886">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"Low"</w:t>
      </w:r>
      <w:r>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 xml:space="preserve"> "Moderate," and "High"</w:t>
      </w:r>
      <w:r w:rsidRPr="00897886">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according to the terciles of PCB</w:t>
      </w:r>
      <w:r>
        <w:rPr>
          <w:rFonts w:ascii="Times New Roman" w:eastAsia="SimSun" w:hAnsi="Times New Roman" w:cs="Times New Roman" w:hint="eastAsia"/>
          <w:sz w:val="24"/>
          <w:szCs w:val="24"/>
          <w14:ligatures w14:val="none"/>
        </w:rPr>
        <w:t>178</w:t>
      </w:r>
      <w:r w:rsidRPr="00897886">
        <w:rPr>
          <w:rFonts w:ascii="Times New Roman" w:eastAsia="SimSun" w:hAnsi="Times New Roman" w:cs="Times New Roman" w:hint="eastAsia"/>
          <w:sz w:val="24"/>
          <w:szCs w:val="24"/>
          <w14:ligatures w14:val="none"/>
        </w:rPr>
        <w:t xml:space="preserve"> concentration, with "Low" serving as the control group. Hazard Ratios (HR) less than 1 are represented in red, while HR greater than 1 are represented in blue. After adjusting for factors such as age, gender, education level, BMI, smoking exposure, SII, and exposure to five diseases, the impact of PCB</w:t>
      </w:r>
      <w:r>
        <w:rPr>
          <w:rFonts w:ascii="Times New Roman" w:eastAsia="SimSun" w:hAnsi="Times New Roman" w:cs="Times New Roman" w:hint="eastAsia"/>
          <w:sz w:val="24"/>
          <w:szCs w:val="24"/>
          <w14:ligatures w14:val="none"/>
        </w:rPr>
        <w:t>178</w:t>
      </w:r>
      <w:r w:rsidRPr="00897886">
        <w:rPr>
          <w:rFonts w:ascii="Times New Roman" w:eastAsia="SimSun" w:hAnsi="Times New Roman" w:cs="Times New Roman" w:hint="eastAsia"/>
          <w:sz w:val="24"/>
          <w:szCs w:val="24"/>
          <w14:ligatures w14:val="none"/>
        </w:rPr>
        <w:t xml:space="preserve"> on mortality risk was examined.</w:t>
      </w:r>
    </w:p>
    <w:p w14:paraId="488D8BA7"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0.001 &lt; P ≤ 0.05</w:t>
      </w:r>
    </w:p>
    <w:p w14:paraId="7933742F"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0.0001 &lt; P ≤ 0.01</w:t>
      </w:r>
    </w:p>
    <w:p w14:paraId="45FD2C34"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P ≤ 0.0001</w:t>
      </w:r>
    </w:p>
    <w:bookmarkEnd w:id="3"/>
    <w:p w14:paraId="1EC3F3F6" w14:textId="77777777" w:rsidR="00897886" w:rsidRDefault="00897886"/>
    <w:p w14:paraId="4EF66A0F" w14:textId="77777777" w:rsidR="00897886" w:rsidRDefault="00897886"/>
    <w:p w14:paraId="316F3BC0" w14:textId="77777777" w:rsidR="00897886" w:rsidRDefault="00897886"/>
    <w:p w14:paraId="1A226FA5" w14:textId="77777777" w:rsidR="00897886" w:rsidRDefault="00897886"/>
    <w:p w14:paraId="47474166" w14:textId="77777777" w:rsidR="00897886" w:rsidRDefault="00897886"/>
    <w:p w14:paraId="308DFAF2" w14:textId="77777777" w:rsidR="00897886" w:rsidRDefault="00897886"/>
    <w:p w14:paraId="3A77D206" w14:textId="77777777" w:rsidR="00897886" w:rsidRDefault="00897886"/>
    <w:p w14:paraId="03572E43" w14:textId="77777777" w:rsidR="00897886" w:rsidRDefault="00897886"/>
    <w:p w14:paraId="22307BBA" w14:textId="77777777" w:rsidR="00897886" w:rsidRDefault="00897886"/>
    <w:p w14:paraId="6A23CE00" w14:textId="77777777" w:rsidR="00897886" w:rsidRDefault="00897886"/>
    <w:p w14:paraId="4EB0B7BC" w14:textId="77777777" w:rsidR="00897886" w:rsidRDefault="00897886"/>
    <w:p w14:paraId="7B58000B" w14:textId="469A998F" w:rsidR="00897886" w:rsidRPr="00897886" w:rsidRDefault="002E57F0">
      <w:pPr>
        <w:rPr>
          <w:rFonts w:ascii="Times New Roman" w:eastAsia="SimSun" w:hAnsi="Times New Roman" w:cs="Times New Roman"/>
          <w:b/>
          <w:bCs/>
          <w:sz w:val="24"/>
          <w:szCs w:val="24"/>
          <w14:ligatures w14:val="none"/>
        </w:rPr>
      </w:pPr>
      <w:bookmarkStart w:id="4" w:name="_Hlk178519615"/>
      <w:r>
        <w:rPr>
          <w:rFonts w:ascii="Times New Roman" w:eastAsia="SimSun" w:hAnsi="Times New Roman" w:cs="Times New Roman"/>
          <w:b/>
          <w:bCs/>
          <w:sz w:val="24"/>
          <w:szCs w:val="24"/>
          <w14:ligatures w14:val="none"/>
        </w:rPr>
        <w:t>Figure</w:t>
      </w:r>
      <w:r w:rsidR="00897886" w:rsidRPr="00897886">
        <w:rPr>
          <w:rFonts w:ascii="Times New Roman" w:eastAsia="SimSun" w:hAnsi="Times New Roman" w:cs="Times New Roman"/>
          <w:b/>
          <w:bCs/>
          <w:sz w:val="24"/>
          <w:szCs w:val="24"/>
          <w14:ligatures w14:val="none"/>
        </w:rPr>
        <w:t xml:space="preserve"> S</w:t>
      </w:r>
      <w:r w:rsidR="00897886" w:rsidRPr="00897886">
        <w:rPr>
          <w:rFonts w:ascii="Times New Roman" w:eastAsia="SimSun" w:hAnsi="Times New Roman" w:cs="Times New Roman" w:hint="eastAsia"/>
          <w:b/>
          <w:bCs/>
          <w:sz w:val="24"/>
          <w:szCs w:val="24"/>
          <w14:ligatures w14:val="none"/>
        </w:rPr>
        <w:t>2</w:t>
      </w:r>
      <w:r w:rsidR="00897886">
        <w:rPr>
          <w:rFonts w:ascii="Times New Roman" w:eastAsia="SimSun" w:hAnsi="Times New Roman" w:cs="Times New Roman" w:hint="eastAsia"/>
          <w:b/>
          <w:bCs/>
          <w:sz w:val="24"/>
          <w:szCs w:val="24"/>
          <w14:ligatures w14:val="none"/>
        </w:rPr>
        <w:t>d</w:t>
      </w:r>
      <w:r w:rsidR="00897886" w:rsidRPr="00897886">
        <w:rPr>
          <w:rFonts w:ascii="Times New Roman" w:eastAsia="SimSun" w:hAnsi="Times New Roman" w:cs="Times New Roman"/>
          <w:b/>
          <w:bCs/>
          <w:sz w:val="24"/>
          <w:szCs w:val="24"/>
          <w14:ligatures w14:val="none"/>
        </w:rPr>
        <w:t>.</w:t>
      </w:r>
      <w:r w:rsidR="00897886" w:rsidRPr="00897886">
        <w:rPr>
          <w:rFonts w:ascii="Times New Roman" w:eastAsia="SimSun" w:hAnsi="Times New Roman" w:cs="Times New Roman" w:hint="eastAsia"/>
          <w:b/>
          <w:bCs/>
          <w:sz w:val="24"/>
          <w:szCs w:val="24"/>
          <w14:ligatures w14:val="none"/>
        </w:rPr>
        <w:t xml:space="preserve"> Multivariable Cox regression forest plot of PCB</w:t>
      </w:r>
      <w:r w:rsidR="00897886">
        <w:rPr>
          <w:rFonts w:ascii="Times New Roman" w:eastAsia="SimSun" w:hAnsi="Times New Roman" w:cs="Times New Roman" w:hint="eastAsia"/>
          <w:b/>
          <w:bCs/>
          <w:sz w:val="24"/>
          <w:szCs w:val="24"/>
          <w14:ligatures w14:val="none"/>
        </w:rPr>
        <w:t>180</w:t>
      </w:r>
      <w:r w:rsidR="00897886" w:rsidRPr="00897886">
        <w:rPr>
          <w:rFonts w:ascii="Times New Roman" w:eastAsia="SimSun" w:hAnsi="Times New Roman" w:cs="Times New Roman" w:hint="eastAsia"/>
          <w:b/>
          <w:bCs/>
          <w:sz w:val="24"/>
          <w:szCs w:val="24"/>
          <w14:ligatures w14:val="none"/>
        </w:rPr>
        <w:t xml:space="preserve"> and mortality risk.</w:t>
      </w:r>
    </w:p>
    <w:bookmarkEnd w:id="4"/>
    <w:p w14:paraId="70CF17C8" w14:textId="3ED4676B" w:rsidR="006C6224" w:rsidRDefault="006C6224">
      <w:r>
        <w:rPr>
          <w:noProof/>
        </w:rPr>
        <w:drawing>
          <wp:inline distT="0" distB="0" distL="0" distR="0" wp14:anchorId="25FA123B" wp14:editId="1B507255">
            <wp:extent cx="5274310" cy="4352290"/>
            <wp:effectExtent l="0" t="0" r="0" b="0"/>
            <wp:docPr id="107755516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352290"/>
                    </a:xfrm>
                    <a:prstGeom prst="rect">
                      <a:avLst/>
                    </a:prstGeom>
                    <a:noFill/>
                    <a:ln>
                      <a:noFill/>
                    </a:ln>
                  </pic:spPr>
                </pic:pic>
              </a:graphicData>
            </a:graphic>
          </wp:inline>
        </w:drawing>
      </w:r>
    </w:p>
    <w:p w14:paraId="19CF3D23" w14:textId="544406A3" w:rsidR="00897886" w:rsidRDefault="00897886" w:rsidP="00897886">
      <w:pPr>
        <w:ind w:firstLineChars="100" w:firstLine="240"/>
        <w:rPr>
          <w:rFonts w:ascii="Times New Roman" w:eastAsia="SimSun" w:hAnsi="Times New Roman" w:cs="Times New Roman"/>
          <w:sz w:val="24"/>
          <w:szCs w:val="24"/>
          <w14:ligatures w14:val="none"/>
        </w:rPr>
      </w:pPr>
      <w:bookmarkStart w:id="5" w:name="_Hlk178519635"/>
      <w:r w:rsidRPr="00897886">
        <w:rPr>
          <w:rFonts w:ascii="Times New Roman" w:eastAsia="SimSun" w:hAnsi="Times New Roman" w:cs="Times New Roman" w:hint="eastAsia"/>
          <w:sz w:val="24"/>
          <w:szCs w:val="24"/>
          <w14:ligatures w14:val="none"/>
        </w:rPr>
        <w:t>Based on the different exposure levels of PCB</w:t>
      </w:r>
      <w:r>
        <w:rPr>
          <w:rFonts w:ascii="Times New Roman" w:eastAsia="SimSun" w:hAnsi="Times New Roman" w:cs="Times New Roman" w:hint="eastAsia"/>
          <w:sz w:val="24"/>
          <w:szCs w:val="24"/>
          <w14:ligatures w14:val="none"/>
        </w:rPr>
        <w:t>180</w:t>
      </w:r>
      <w:r w:rsidRPr="00897886">
        <w:rPr>
          <w:rFonts w:ascii="Times New Roman" w:eastAsia="SimSun" w:hAnsi="Times New Roman" w:cs="Times New Roman" w:hint="eastAsia"/>
          <w:sz w:val="24"/>
          <w:szCs w:val="24"/>
          <w14:ligatures w14:val="none"/>
        </w:rPr>
        <w:t xml:space="preserve"> in participants, they were divided into three groups</w:t>
      </w:r>
      <w:r w:rsidRPr="00897886">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"Low"</w:t>
      </w:r>
      <w:r>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 xml:space="preserve"> "Moderate," and "High"</w:t>
      </w:r>
      <w:r w:rsidRPr="00897886">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according to the terciles of PCB</w:t>
      </w:r>
      <w:r>
        <w:rPr>
          <w:rFonts w:ascii="Times New Roman" w:eastAsia="SimSun" w:hAnsi="Times New Roman" w:cs="Times New Roman" w:hint="eastAsia"/>
          <w:sz w:val="24"/>
          <w:szCs w:val="24"/>
          <w14:ligatures w14:val="none"/>
        </w:rPr>
        <w:t>180</w:t>
      </w:r>
      <w:r w:rsidRPr="00897886">
        <w:rPr>
          <w:rFonts w:ascii="Times New Roman" w:eastAsia="SimSun" w:hAnsi="Times New Roman" w:cs="Times New Roman" w:hint="eastAsia"/>
          <w:sz w:val="24"/>
          <w:szCs w:val="24"/>
          <w14:ligatures w14:val="none"/>
        </w:rPr>
        <w:t xml:space="preserve"> concentration, with "Low" serving as the control group. Hazard Ratios (HR) less than 1 are represented in red, while HR greater than 1 are represented in blue. After adjusting for factors such as age, gender, education level, BMI, smoking exposure, SII, and exposure to five diseases, the impact of PCB</w:t>
      </w:r>
      <w:r>
        <w:rPr>
          <w:rFonts w:ascii="Times New Roman" w:eastAsia="SimSun" w:hAnsi="Times New Roman" w:cs="Times New Roman" w:hint="eastAsia"/>
          <w:sz w:val="24"/>
          <w:szCs w:val="24"/>
          <w14:ligatures w14:val="none"/>
        </w:rPr>
        <w:t>180</w:t>
      </w:r>
      <w:r w:rsidRPr="00897886">
        <w:rPr>
          <w:rFonts w:ascii="Times New Roman" w:eastAsia="SimSun" w:hAnsi="Times New Roman" w:cs="Times New Roman" w:hint="eastAsia"/>
          <w:sz w:val="24"/>
          <w:szCs w:val="24"/>
          <w14:ligatures w14:val="none"/>
        </w:rPr>
        <w:t xml:space="preserve"> on mortality risk was examined.</w:t>
      </w:r>
    </w:p>
    <w:p w14:paraId="3E692CE0"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0.001 &lt; P ≤ 0.05</w:t>
      </w:r>
    </w:p>
    <w:p w14:paraId="63EB59F3"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0.0001 &lt; P ≤ 0.01</w:t>
      </w:r>
    </w:p>
    <w:p w14:paraId="56E6B18B"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P ≤ 0.0001</w:t>
      </w:r>
    </w:p>
    <w:p w14:paraId="692B096C" w14:textId="77777777" w:rsidR="00897886" w:rsidRDefault="00897886"/>
    <w:p w14:paraId="5D5EDBB8" w14:textId="77777777" w:rsidR="00897886" w:rsidRDefault="00897886"/>
    <w:bookmarkEnd w:id="5"/>
    <w:p w14:paraId="38DE4E04" w14:textId="77777777" w:rsidR="00897886" w:rsidRDefault="00897886"/>
    <w:p w14:paraId="679E035D" w14:textId="77777777" w:rsidR="00897886" w:rsidRDefault="00897886"/>
    <w:p w14:paraId="2F5BDC05" w14:textId="77777777" w:rsidR="00897886" w:rsidRDefault="00897886"/>
    <w:p w14:paraId="17ABD777" w14:textId="77777777" w:rsidR="00897886" w:rsidRDefault="00897886"/>
    <w:p w14:paraId="5C9A0B75" w14:textId="77777777" w:rsidR="00897886" w:rsidRDefault="00897886"/>
    <w:p w14:paraId="1B54038F" w14:textId="77777777" w:rsidR="00897886" w:rsidRDefault="00897886"/>
    <w:p w14:paraId="3FFDFA9D" w14:textId="77777777" w:rsidR="00897886" w:rsidRDefault="00897886"/>
    <w:p w14:paraId="2452D07F" w14:textId="77777777" w:rsidR="00897886" w:rsidRDefault="00897886"/>
    <w:p w14:paraId="04B1EFD2" w14:textId="044F95C4" w:rsidR="00897886" w:rsidRPr="00897886" w:rsidRDefault="002E57F0">
      <w:pPr>
        <w:rPr>
          <w:rFonts w:ascii="Times New Roman" w:eastAsia="SimSun" w:hAnsi="Times New Roman" w:cs="Times New Roman"/>
          <w:b/>
          <w:bCs/>
          <w:sz w:val="24"/>
          <w:szCs w:val="24"/>
          <w14:ligatures w14:val="none"/>
        </w:rPr>
      </w:pPr>
      <w:bookmarkStart w:id="6" w:name="_Hlk178519666"/>
      <w:r>
        <w:rPr>
          <w:rFonts w:ascii="Times New Roman" w:eastAsia="SimSun" w:hAnsi="Times New Roman" w:cs="Times New Roman"/>
          <w:b/>
          <w:bCs/>
          <w:sz w:val="24"/>
          <w:szCs w:val="24"/>
          <w14:ligatures w14:val="none"/>
        </w:rPr>
        <w:t>Figure</w:t>
      </w:r>
      <w:r w:rsidR="00897886" w:rsidRPr="00897886">
        <w:rPr>
          <w:rFonts w:ascii="Times New Roman" w:eastAsia="SimSun" w:hAnsi="Times New Roman" w:cs="Times New Roman"/>
          <w:b/>
          <w:bCs/>
          <w:sz w:val="24"/>
          <w:szCs w:val="24"/>
          <w14:ligatures w14:val="none"/>
        </w:rPr>
        <w:t xml:space="preserve"> S</w:t>
      </w:r>
      <w:r w:rsidR="00897886" w:rsidRPr="00897886">
        <w:rPr>
          <w:rFonts w:ascii="Times New Roman" w:eastAsia="SimSun" w:hAnsi="Times New Roman" w:cs="Times New Roman" w:hint="eastAsia"/>
          <w:b/>
          <w:bCs/>
          <w:sz w:val="24"/>
          <w:szCs w:val="24"/>
          <w14:ligatures w14:val="none"/>
        </w:rPr>
        <w:t>2</w:t>
      </w:r>
      <w:r w:rsidR="00897886">
        <w:rPr>
          <w:rFonts w:ascii="Times New Roman" w:eastAsia="SimSun" w:hAnsi="Times New Roman" w:cs="Times New Roman" w:hint="eastAsia"/>
          <w:b/>
          <w:bCs/>
          <w:sz w:val="24"/>
          <w:szCs w:val="24"/>
          <w14:ligatures w14:val="none"/>
        </w:rPr>
        <w:t>e</w:t>
      </w:r>
      <w:r w:rsidR="00897886" w:rsidRPr="00897886">
        <w:rPr>
          <w:rFonts w:ascii="Times New Roman" w:eastAsia="SimSun" w:hAnsi="Times New Roman" w:cs="Times New Roman"/>
          <w:b/>
          <w:bCs/>
          <w:sz w:val="24"/>
          <w:szCs w:val="24"/>
          <w14:ligatures w14:val="none"/>
        </w:rPr>
        <w:t>.</w:t>
      </w:r>
      <w:r w:rsidR="00897886" w:rsidRPr="00897886">
        <w:rPr>
          <w:rFonts w:ascii="Times New Roman" w:eastAsia="SimSun" w:hAnsi="Times New Roman" w:cs="Times New Roman" w:hint="eastAsia"/>
          <w:b/>
          <w:bCs/>
          <w:sz w:val="24"/>
          <w:szCs w:val="24"/>
          <w14:ligatures w14:val="none"/>
        </w:rPr>
        <w:t xml:space="preserve"> Multivariable Cox regression forest plot of PCB</w:t>
      </w:r>
      <w:r w:rsidR="00897886">
        <w:rPr>
          <w:rFonts w:ascii="Times New Roman" w:eastAsia="SimSun" w:hAnsi="Times New Roman" w:cs="Times New Roman" w:hint="eastAsia"/>
          <w:b/>
          <w:bCs/>
          <w:sz w:val="24"/>
          <w:szCs w:val="24"/>
          <w14:ligatures w14:val="none"/>
        </w:rPr>
        <w:t>156</w:t>
      </w:r>
      <w:r w:rsidR="00897886" w:rsidRPr="00897886">
        <w:rPr>
          <w:rFonts w:ascii="Times New Roman" w:eastAsia="SimSun" w:hAnsi="Times New Roman" w:cs="Times New Roman" w:hint="eastAsia"/>
          <w:b/>
          <w:bCs/>
          <w:sz w:val="24"/>
          <w:szCs w:val="24"/>
          <w14:ligatures w14:val="none"/>
        </w:rPr>
        <w:t xml:space="preserve"> and mortality risk.</w:t>
      </w:r>
    </w:p>
    <w:bookmarkEnd w:id="6"/>
    <w:p w14:paraId="201D51C8" w14:textId="78272684" w:rsidR="006C6224" w:rsidRDefault="006C6224">
      <w:r>
        <w:rPr>
          <w:noProof/>
        </w:rPr>
        <w:drawing>
          <wp:inline distT="0" distB="0" distL="0" distR="0" wp14:anchorId="2D774618" wp14:editId="03BF0BC5">
            <wp:extent cx="5274310" cy="4352290"/>
            <wp:effectExtent l="0" t="0" r="0" b="0"/>
            <wp:docPr id="25637426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352290"/>
                    </a:xfrm>
                    <a:prstGeom prst="rect">
                      <a:avLst/>
                    </a:prstGeom>
                    <a:noFill/>
                    <a:ln>
                      <a:noFill/>
                    </a:ln>
                  </pic:spPr>
                </pic:pic>
              </a:graphicData>
            </a:graphic>
          </wp:inline>
        </w:drawing>
      </w:r>
    </w:p>
    <w:p w14:paraId="382AE612" w14:textId="538FB159" w:rsidR="00897886" w:rsidRDefault="00897886" w:rsidP="00897886">
      <w:pPr>
        <w:ind w:firstLineChars="100" w:firstLine="240"/>
        <w:rPr>
          <w:rFonts w:ascii="Times New Roman" w:eastAsia="SimSun" w:hAnsi="Times New Roman" w:cs="Times New Roman"/>
          <w:sz w:val="24"/>
          <w:szCs w:val="24"/>
          <w14:ligatures w14:val="none"/>
        </w:rPr>
      </w:pPr>
      <w:bookmarkStart w:id="7" w:name="_Hlk178519747"/>
      <w:r w:rsidRPr="00897886">
        <w:rPr>
          <w:rFonts w:ascii="Times New Roman" w:eastAsia="SimSun" w:hAnsi="Times New Roman" w:cs="Times New Roman" w:hint="eastAsia"/>
          <w:sz w:val="24"/>
          <w:szCs w:val="24"/>
          <w14:ligatures w14:val="none"/>
        </w:rPr>
        <w:t>Based on the different exposure levels of PCB</w:t>
      </w:r>
      <w:r>
        <w:rPr>
          <w:rFonts w:ascii="Times New Roman" w:eastAsia="SimSun" w:hAnsi="Times New Roman" w:cs="Times New Roman" w:hint="eastAsia"/>
          <w:sz w:val="24"/>
          <w:szCs w:val="24"/>
          <w14:ligatures w14:val="none"/>
        </w:rPr>
        <w:t>156</w:t>
      </w:r>
      <w:r w:rsidRPr="00897886">
        <w:rPr>
          <w:rFonts w:ascii="Times New Roman" w:eastAsia="SimSun" w:hAnsi="Times New Roman" w:cs="Times New Roman" w:hint="eastAsia"/>
          <w:sz w:val="24"/>
          <w:szCs w:val="24"/>
          <w14:ligatures w14:val="none"/>
        </w:rPr>
        <w:t xml:space="preserve"> in participants, they were divided into three groups</w:t>
      </w:r>
      <w:r w:rsidRPr="00897886">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"Low"</w:t>
      </w:r>
      <w:r>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 xml:space="preserve"> "Moderate," and "High"</w:t>
      </w:r>
      <w:r w:rsidRPr="00897886">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according to the terciles of PCB</w:t>
      </w:r>
      <w:r>
        <w:rPr>
          <w:rFonts w:ascii="Times New Roman" w:eastAsia="SimSun" w:hAnsi="Times New Roman" w:cs="Times New Roman" w:hint="eastAsia"/>
          <w:sz w:val="24"/>
          <w:szCs w:val="24"/>
          <w14:ligatures w14:val="none"/>
        </w:rPr>
        <w:t>156</w:t>
      </w:r>
      <w:r w:rsidRPr="00897886">
        <w:rPr>
          <w:rFonts w:ascii="Times New Roman" w:eastAsia="SimSun" w:hAnsi="Times New Roman" w:cs="Times New Roman" w:hint="eastAsia"/>
          <w:sz w:val="24"/>
          <w:szCs w:val="24"/>
          <w14:ligatures w14:val="none"/>
        </w:rPr>
        <w:t xml:space="preserve"> concentration, with "Low" serving as the control group. Hazard Ratios (HR) less than 1 are represented in red, while HR greater than 1 are represented in blue. After adjusting for factors such as age, gender, education level, BMI, smoking exposure, SII, and exposure to five diseases, the impact of PCB</w:t>
      </w:r>
      <w:r>
        <w:rPr>
          <w:rFonts w:ascii="Times New Roman" w:eastAsia="SimSun" w:hAnsi="Times New Roman" w:cs="Times New Roman" w:hint="eastAsia"/>
          <w:sz w:val="24"/>
          <w:szCs w:val="24"/>
          <w14:ligatures w14:val="none"/>
        </w:rPr>
        <w:t>156</w:t>
      </w:r>
      <w:r w:rsidRPr="00897886">
        <w:rPr>
          <w:rFonts w:ascii="Times New Roman" w:eastAsia="SimSun" w:hAnsi="Times New Roman" w:cs="Times New Roman" w:hint="eastAsia"/>
          <w:sz w:val="24"/>
          <w:szCs w:val="24"/>
          <w14:ligatures w14:val="none"/>
        </w:rPr>
        <w:t xml:space="preserve"> on mortality risk was examined.</w:t>
      </w:r>
    </w:p>
    <w:p w14:paraId="60C90B64"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0.001 &lt; P ≤ 0.05</w:t>
      </w:r>
    </w:p>
    <w:p w14:paraId="1BC6E6C7"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0.0001 &lt; P ≤ 0.01</w:t>
      </w:r>
    </w:p>
    <w:p w14:paraId="389025E7"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P ≤ 0.0001</w:t>
      </w:r>
    </w:p>
    <w:bookmarkEnd w:id="7"/>
    <w:p w14:paraId="0D0ADEF2" w14:textId="77777777" w:rsidR="00897886" w:rsidRDefault="00897886" w:rsidP="00897886"/>
    <w:p w14:paraId="75179D16" w14:textId="77777777" w:rsidR="00897886" w:rsidRDefault="00897886" w:rsidP="00897886"/>
    <w:p w14:paraId="17A30DBF" w14:textId="77777777" w:rsidR="00897886" w:rsidRDefault="00897886" w:rsidP="00897886"/>
    <w:p w14:paraId="3D70F52A" w14:textId="77777777" w:rsidR="00897886" w:rsidRDefault="00897886" w:rsidP="00897886"/>
    <w:p w14:paraId="36E9152F" w14:textId="77777777" w:rsidR="00897886" w:rsidRDefault="00897886" w:rsidP="00897886"/>
    <w:p w14:paraId="41FDB118" w14:textId="77777777" w:rsidR="00897886" w:rsidRDefault="00897886" w:rsidP="00897886"/>
    <w:p w14:paraId="0AF8ED3B" w14:textId="77777777" w:rsidR="00897886" w:rsidRDefault="00897886" w:rsidP="00897886"/>
    <w:p w14:paraId="5ABF00C4" w14:textId="77777777" w:rsidR="00897886" w:rsidRDefault="00897886" w:rsidP="00897886"/>
    <w:p w14:paraId="01BDE211" w14:textId="77777777" w:rsidR="00897886" w:rsidRDefault="00897886" w:rsidP="00897886"/>
    <w:p w14:paraId="6002A171" w14:textId="77777777" w:rsidR="00897886" w:rsidRDefault="00897886" w:rsidP="00897886"/>
    <w:p w14:paraId="56AE9EAF" w14:textId="77777777" w:rsidR="00897886" w:rsidRDefault="00897886" w:rsidP="00897886"/>
    <w:p w14:paraId="36DBC517" w14:textId="639F4B18" w:rsidR="00897886" w:rsidRPr="00897886" w:rsidRDefault="002E57F0">
      <w:pPr>
        <w:rPr>
          <w:rFonts w:ascii="Times New Roman" w:eastAsia="SimSun" w:hAnsi="Times New Roman" w:cs="Times New Roman"/>
          <w:b/>
          <w:bCs/>
          <w:sz w:val="24"/>
          <w:szCs w:val="24"/>
          <w14:ligatures w14:val="none"/>
        </w:rPr>
      </w:pPr>
      <w:bookmarkStart w:id="8" w:name="_Hlk178519725"/>
      <w:r>
        <w:rPr>
          <w:rFonts w:ascii="Times New Roman" w:eastAsia="SimSun" w:hAnsi="Times New Roman" w:cs="Times New Roman"/>
          <w:b/>
          <w:bCs/>
          <w:sz w:val="24"/>
          <w:szCs w:val="24"/>
          <w14:ligatures w14:val="none"/>
        </w:rPr>
        <w:t>Figur</w:t>
      </w:r>
      <w:r w:rsidR="00897886" w:rsidRPr="00897886">
        <w:rPr>
          <w:rFonts w:ascii="Times New Roman" w:eastAsia="SimSun" w:hAnsi="Times New Roman" w:cs="Times New Roman"/>
          <w:b/>
          <w:bCs/>
          <w:sz w:val="24"/>
          <w:szCs w:val="24"/>
          <w14:ligatures w14:val="none"/>
        </w:rPr>
        <w:t>e S</w:t>
      </w:r>
      <w:r w:rsidR="00897886" w:rsidRPr="00897886">
        <w:rPr>
          <w:rFonts w:ascii="Times New Roman" w:eastAsia="SimSun" w:hAnsi="Times New Roman" w:cs="Times New Roman" w:hint="eastAsia"/>
          <w:b/>
          <w:bCs/>
          <w:sz w:val="24"/>
          <w:szCs w:val="24"/>
          <w14:ligatures w14:val="none"/>
        </w:rPr>
        <w:t>2</w:t>
      </w:r>
      <w:r w:rsidR="00897886">
        <w:rPr>
          <w:rFonts w:ascii="Times New Roman" w:eastAsia="SimSun" w:hAnsi="Times New Roman" w:cs="Times New Roman" w:hint="eastAsia"/>
          <w:b/>
          <w:bCs/>
          <w:sz w:val="24"/>
          <w:szCs w:val="24"/>
          <w14:ligatures w14:val="none"/>
        </w:rPr>
        <w:t>f</w:t>
      </w:r>
      <w:r w:rsidR="00897886" w:rsidRPr="00897886">
        <w:rPr>
          <w:rFonts w:ascii="Times New Roman" w:eastAsia="SimSun" w:hAnsi="Times New Roman" w:cs="Times New Roman"/>
          <w:b/>
          <w:bCs/>
          <w:sz w:val="24"/>
          <w:szCs w:val="24"/>
          <w14:ligatures w14:val="none"/>
        </w:rPr>
        <w:t>.</w:t>
      </w:r>
      <w:r w:rsidR="00897886" w:rsidRPr="00897886">
        <w:rPr>
          <w:rFonts w:ascii="Times New Roman" w:eastAsia="SimSun" w:hAnsi="Times New Roman" w:cs="Times New Roman" w:hint="eastAsia"/>
          <w:b/>
          <w:bCs/>
          <w:sz w:val="24"/>
          <w:szCs w:val="24"/>
          <w14:ligatures w14:val="none"/>
        </w:rPr>
        <w:t xml:space="preserve"> Multivariable Cox regression forest plot of PCB</w:t>
      </w:r>
      <w:r w:rsidR="00897886">
        <w:rPr>
          <w:rFonts w:ascii="Times New Roman" w:eastAsia="SimSun" w:hAnsi="Times New Roman" w:cs="Times New Roman" w:hint="eastAsia"/>
          <w:b/>
          <w:bCs/>
          <w:sz w:val="24"/>
          <w:szCs w:val="24"/>
          <w14:ligatures w14:val="none"/>
        </w:rPr>
        <w:t>157</w:t>
      </w:r>
      <w:r w:rsidR="00897886" w:rsidRPr="00897886">
        <w:rPr>
          <w:rFonts w:ascii="Times New Roman" w:eastAsia="SimSun" w:hAnsi="Times New Roman" w:cs="Times New Roman" w:hint="eastAsia"/>
          <w:b/>
          <w:bCs/>
          <w:sz w:val="24"/>
          <w:szCs w:val="24"/>
          <w14:ligatures w14:val="none"/>
        </w:rPr>
        <w:t xml:space="preserve"> and mortality risk.</w:t>
      </w:r>
    </w:p>
    <w:bookmarkEnd w:id="8"/>
    <w:p w14:paraId="701662DD" w14:textId="3E91BBDE" w:rsidR="006C6224" w:rsidRDefault="006C6224">
      <w:r>
        <w:rPr>
          <w:noProof/>
        </w:rPr>
        <w:drawing>
          <wp:inline distT="0" distB="0" distL="0" distR="0" wp14:anchorId="62F4CB13" wp14:editId="25A93154">
            <wp:extent cx="5274310" cy="4352290"/>
            <wp:effectExtent l="0" t="0" r="0" b="0"/>
            <wp:docPr id="112716697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352290"/>
                    </a:xfrm>
                    <a:prstGeom prst="rect">
                      <a:avLst/>
                    </a:prstGeom>
                    <a:noFill/>
                    <a:ln>
                      <a:noFill/>
                    </a:ln>
                  </pic:spPr>
                </pic:pic>
              </a:graphicData>
            </a:graphic>
          </wp:inline>
        </w:drawing>
      </w:r>
    </w:p>
    <w:p w14:paraId="1771FF5B" w14:textId="78104CC1" w:rsidR="00897886" w:rsidRDefault="00897886" w:rsidP="00897886">
      <w:pPr>
        <w:ind w:firstLineChars="100" w:firstLine="240"/>
        <w:rPr>
          <w:rFonts w:ascii="Times New Roman" w:eastAsia="SimSun" w:hAnsi="Times New Roman" w:cs="Times New Roman"/>
          <w:sz w:val="24"/>
          <w:szCs w:val="24"/>
          <w14:ligatures w14:val="none"/>
        </w:rPr>
      </w:pPr>
      <w:r w:rsidRPr="00897886">
        <w:rPr>
          <w:rFonts w:ascii="Times New Roman" w:eastAsia="SimSun" w:hAnsi="Times New Roman" w:cs="Times New Roman" w:hint="eastAsia"/>
          <w:sz w:val="24"/>
          <w:szCs w:val="24"/>
          <w14:ligatures w14:val="none"/>
        </w:rPr>
        <w:t>Based on the different exposure levels of PCB</w:t>
      </w:r>
      <w:r>
        <w:rPr>
          <w:rFonts w:ascii="Times New Roman" w:eastAsia="SimSun" w:hAnsi="Times New Roman" w:cs="Times New Roman" w:hint="eastAsia"/>
          <w:sz w:val="24"/>
          <w:szCs w:val="24"/>
          <w14:ligatures w14:val="none"/>
        </w:rPr>
        <w:t>157</w:t>
      </w:r>
      <w:r w:rsidRPr="00897886">
        <w:rPr>
          <w:rFonts w:ascii="Times New Roman" w:eastAsia="SimSun" w:hAnsi="Times New Roman" w:cs="Times New Roman" w:hint="eastAsia"/>
          <w:sz w:val="24"/>
          <w:szCs w:val="24"/>
          <w14:ligatures w14:val="none"/>
        </w:rPr>
        <w:t xml:space="preserve"> in participants, they were divided into </w:t>
      </w:r>
      <w:r>
        <w:rPr>
          <w:rFonts w:ascii="Times New Roman" w:eastAsia="SimSun" w:hAnsi="Times New Roman" w:cs="Times New Roman" w:hint="eastAsia"/>
          <w:sz w:val="24"/>
          <w:szCs w:val="24"/>
          <w14:ligatures w14:val="none"/>
        </w:rPr>
        <w:t>two</w:t>
      </w:r>
      <w:r w:rsidRPr="00897886">
        <w:rPr>
          <w:rFonts w:ascii="Times New Roman" w:eastAsia="SimSun" w:hAnsi="Times New Roman" w:cs="Times New Roman" w:hint="eastAsia"/>
          <w:sz w:val="24"/>
          <w:szCs w:val="24"/>
          <w14:ligatures w14:val="none"/>
        </w:rPr>
        <w:t xml:space="preserve"> groups</w:t>
      </w:r>
      <w:r w:rsidRPr="00897886">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"Low" and "High"</w:t>
      </w:r>
      <w:r w:rsidRPr="00897886">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according to the terciles of PCB</w:t>
      </w:r>
      <w:r>
        <w:rPr>
          <w:rFonts w:ascii="Times New Roman" w:eastAsia="SimSun" w:hAnsi="Times New Roman" w:cs="Times New Roman" w:hint="eastAsia"/>
          <w:sz w:val="24"/>
          <w:szCs w:val="24"/>
          <w14:ligatures w14:val="none"/>
        </w:rPr>
        <w:t xml:space="preserve">157 </w:t>
      </w:r>
      <w:r w:rsidRPr="00897886">
        <w:rPr>
          <w:rFonts w:ascii="Times New Roman" w:eastAsia="SimSun" w:hAnsi="Times New Roman" w:cs="Times New Roman" w:hint="eastAsia"/>
          <w:sz w:val="24"/>
          <w:szCs w:val="24"/>
          <w14:ligatures w14:val="none"/>
        </w:rPr>
        <w:t>concentration, with "Low" serving as the control group. Hazard Ratios (HR) less than 1 are represented in red, while HR greater than 1 are represented in blue. After adjusting for factors such as age, gender, education level, BMI, smoking exposure, SII, and exposure to five diseases, the impact of PCB</w:t>
      </w:r>
      <w:r>
        <w:rPr>
          <w:rFonts w:ascii="Times New Roman" w:eastAsia="SimSun" w:hAnsi="Times New Roman" w:cs="Times New Roman" w:hint="eastAsia"/>
          <w:sz w:val="24"/>
          <w:szCs w:val="24"/>
          <w14:ligatures w14:val="none"/>
        </w:rPr>
        <w:t>157</w:t>
      </w:r>
      <w:r w:rsidRPr="00897886">
        <w:rPr>
          <w:rFonts w:ascii="Times New Roman" w:eastAsia="SimSun" w:hAnsi="Times New Roman" w:cs="Times New Roman" w:hint="eastAsia"/>
          <w:sz w:val="24"/>
          <w:szCs w:val="24"/>
          <w14:ligatures w14:val="none"/>
        </w:rPr>
        <w:t xml:space="preserve"> on mortality risk was examined.</w:t>
      </w:r>
    </w:p>
    <w:p w14:paraId="0B5E0F44"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0.001 &lt; P ≤ 0.05</w:t>
      </w:r>
    </w:p>
    <w:p w14:paraId="327C68F0"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0.0001 &lt; P ≤ 0.01</w:t>
      </w:r>
    </w:p>
    <w:p w14:paraId="69D292BB"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P ≤ 0.0001</w:t>
      </w:r>
    </w:p>
    <w:p w14:paraId="4E53FE14" w14:textId="77777777" w:rsidR="00897886" w:rsidRDefault="00897886" w:rsidP="00897886"/>
    <w:p w14:paraId="1D8C69C4" w14:textId="77777777" w:rsidR="00897886" w:rsidRDefault="00897886"/>
    <w:p w14:paraId="3337DDB1" w14:textId="77777777" w:rsidR="00897886" w:rsidRDefault="00897886"/>
    <w:p w14:paraId="26585643" w14:textId="77777777" w:rsidR="00897886" w:rsidRDefault="00897886"/>
    <w:p w14:paraId="55247B3D" w14:textId="77777777" w:rsidR="00897886" w:rsidRDefault="00897886"/>
    <w:p w14:paraId="423BE5B1" w14:textId="77777777" w:rsidR="00897886" w:rsidRDefault="00897886"/>
    <w:p w14:paraId="65365E0F" w14:textId="77777777" w:rsidR="00897886" w:rsidRDefault="00897886"/>
    <w:p w14:paraId="6BE0FA39" w14:textId="77777777" w:rsidR="00897886" w:rsidRDefault="00897886"/>
    <w:p w14:paraId="745F434A" w14:textId="77777777" w:rsidR="00897886" w:rsidRDefault="00897886"/>
    <w:p w14:paraId="33B15404" w14:textId="77777777" w:rsidR="00897886" w:rsidRDefault="00897886"/>
    <w:p w14:paraId="1BDE6353" w14:textId="77777777" w:rsidR="00897886" w:rsidRDefault="00897886"/>
    <w:p w14:paraId="1F19A269" w14:textId="77777777" w:rsidR="00897886" w:rsidRDefault="00897886"/>
    <w:p w14:paraId="3EB55573" w14:textId="3C16FF43" w:rsidR="00897886" w:rsidRPr="00897886" w:rsidRDefault="002E57F0" w:rsidP="00897886">
      <w:pPr>
        <w:rPr>
          <w:rFonts w:ascii="Times New Roman" w:eastAsia="SimSun" w:hAnsi="Times New Roman" w:cs="Times New Roman"/>
          <w:b/>
          <w:bCs/>
          <w:sz w:val="24"/>
          <w:szCs w:val="24"/>
          <w14:ligatures w14:val="none"/>
        </w:rPr>
      </w:pPr>
      <w:r>
        <w:rPr>
          <w:rFonts w:ascii="Times New Roman" w:eastAsia="SimSun" w:hAnsi="Times New Roman" w:cs="Times New Roman"/>
          <w:b/>
          <w:bCs/>
          <w:sz w:val="24"/>
          <w:szCs w:val="24"/>
          <w14:ligatures w14:val="none"/>
        </w:rPr>
        <w:t>Figure</w:t>
      </w:r>
      <w:r w:rsidR="00897886" w:rsidRPr="00897886">
        <w:rPr>
          <w:rFonts w:ascii="Times New Roman" w:eastAsia="SimSun" w:hAnsi="Times New Roman" w:cs="Times New Roman"/>
          <w:b/>
          <w:bCs/>
          <w:sz w:val="24"/>
          <w:szCs w:val="24"/>
          <w14:ligatures w14:val="none"/>
        </w:rPr>
        <w:t xml:space="preserve"> S</w:t>
      </w:r>
      <w:r w:rsidR="00897886" w:rsidRPr="00897886">
        <w:rPr>
          <w:rFonts w:ascii="Times New Roman" w:eastAsia="SimSun" w:hAnsi="Times New Roman" w:cs="Times New Roman" w:hint="eastAsia"/>
          <w:b/>
          <w:bCs/>
          <w:sz w:val="24"/>
          <w:szCs w:val="24"/>
          <w14:ligatures w14:val="none"/>
        </w:rPr>
        <w:t>2</w:t>
      </w:r>
      <w:r w:rsidR="00897886">
        <w:rPr>
          <w:rFonts w:ascii="Times New Roman" w:eastAsia="SimSun" w:hAnsi="Times New Roman" w:cs="Times New Roman" w:hint="eastAsia"/>
          <w:b/>
          <w:bCs/>
          <w:sz w:val="24"/>
          <w:szCs w:val="24"/>
          <w14:ligatures w14:val="none"/>
        </w:rPr>
        <w:t>g</w:t>
      </w:r>
      <w:r w:rsidR="00897886" w:rsidRPr="00897886">
        <w:rPr>
          <w:rFonts w:ascii="Times New Roman" w:eastAsia="SimSun" w:hAnsi="Times New Roman" w:cs="Times New Roman"/>
          <w:b/>
          <w:bCs/>
          <w:sz w:val="24"/>
          <w:szCs w:val="24"/>
          <w14:ligatures w14:val="none"/>
        </w:rPr>
        <w:t>.</w:t>
      </w:r>
      <w:r w:rsidR="00897886" w:rsidRPr="00897886">
        <w:rPr>
          <w:rFonts w:ascii="Times New Roman" w:eastAsia="SimSun" w:hAnsi="Times New Roman" w:cs="Times New Roman" w:hint="eastAsia"/>
          <w:b/>
          <w:bCs/>
          <w:sz w:val="24"/>
          <w:szCs w:val="24"/>
          <w14:ligatures w14:val="none"/>
        </w:rPr>
        <w:t xml:space="preserve"> Multivariable Cox regression forest plot of PCB</w:t>
      </w:r>
      <w:r w:rsidR="00897886">
        <w:rPr>
          <w:rFonts w:ascii="Times New Roman" w:eastAsia="SimSun" w:hAnsi="Times New Roman" w:cs="Times New Roman" w:hint="eastAsia"/>
          <w:b/>
          <w:bCs/>
          <w:sz w:val="24"/>
          <w:szCs w:val="24"/>
          <w14:ligatures w14:val="none"/>
        </w:rPr>
        <w:t>146</w:t>
      </w:r>
      <w:r w:rsidR="00897886" w:rsidRPr="00897886">
        <w:rPr>
          <w:rFonts w:ascii="Times New Roman" w:eastAsia="SimSun" w:hAnsi="Times New Roman" w:cs="Times New Roman" w:hint="eastAsia"/>
          <w:b/>
          <w:bCs/>
          <w:sz w:val="24"/>
          <w:szCs w:val="24"/>
          <w14:ligatures w14:val="none"/>
        </w:rPr>
        <w:t xml:space="preserve"> and mortality risk.</w:t>
      </w:r>
    </w:p>
    <w:p w14:paraId="62654DAA" w14:textId="77777777" w:rsidR="00897886" w:rsidRPr="00897886" w:rsidRDefault="00897886"/>
    <w:p w14:paraId="5D30FCC9" w14:textId="06BC29C2" w:rsidR="006C6224" w:rsidRDefault="006C6224">
      <w:r>
        <w:rPr>
          <w:noProof/>
        </w:rPr>
        <w:drawing>
          <wp:inline distT="0" distB="0" distL="0" distR="0" wp14:anchorId="7400E88F" wp14:editId="79711B36">
            <wp:extent cx="5274310" cy="4352290"/>
            <wp:effectExtent l="0" t="0" r="0" b="0"/>
            <wp:docPr id="146026467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4352290"/>
                    </a:xfrm>
                    <a:prstGeom prst="rect">
                      <a:avLst/>
                    </a:prstGeom>
                    <a:noFill/>
                    <a:ln>
                      <a:noFill/>
                    </a:ln>
                  </pic:spPr>
                </pic:pic>
              </a:graphicData>
            </a:graphic>
          </wp:inline>
        </w:drawing>
      </w:r>
    </w:p>
    <w:p w14:paraId="351A8FAB" w14:textId="6E893D2B" w:rsidR="00897886" w:rsidRDefault="00897886" w:rsidP="00897886">
      <w:pPr>
        <w:ind w:firstLineChars="100" w:firstLine="240"/>
        <w:rPr>
          <w:rFonts w:ascii="Times New Roman" w:eastAsia="SimSun" w:hAnsi="Times New Roman" w:cs="Times New Roman"/>
          <w:sz w:val="24"/>
          <w:szCs w:val="24"/>
          <w14:ligatures w14:val="none"/>
        </w:rPr>
      </w:pPr>
      <w:r w:rsidRPr="00897886">
        <w:rPr>
          <w:rFonts w:ascii="Times New Roman" w:eastAsia="SimSun" w:hAnsi="Times New Roman" w:cs="Times New Roman" w:hint="eastAsia"/>
          <w:sz w:val="24"/>
          <w:szCs w:val="24"/>
          <w14:ligatures w14:val="none"/>
        </w:rPr>
        <w:t>Based on the different exposure levels of PCB</w:t>
      </w:r>
      <w:r>
        <w:rPr>
          <w:rFonts w:ascii="Times New Roman" w:eastAsia="SimSun" w:hAnsi="Times New Roman" w:cs="Times New Roman" w:hint="eastAsia"/>
          <w:sz w:val="24"/>
          <w:szCs w:val="24"/>
          <w14:ligatures w14:val="none"/>
        </w:rPr>
        <w:t>146</w:t>
      </w:r>
      <w:r w:rsidRPr="00897886">
        <w:rPr>
          <w:rFonts w:ascii="Times New Roman" w:eastAsia="SimSun" w:hAnsi="Times New Roman" w:cs="Times New Roman" w:hint="eastAsia"/>
          <w:sz w:val="24"/>
          <w:szCs w:val="24"/>
          <w14:ligatures w14:val="none"/>
        </w:rPr>
        <w:t xml:space="preserve"> in participants, they were divided into three groups</w:t>
      </w:r>
      <w:r w:rsidRPr="00897886">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"Low"</w:t>
      </w:r>
      <w:r>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 xml:space="preserve"> "Moderate," and "High"</w:t>
      </w:r>
      <w:r w:rsidRPr="00897886">
        <w:rPr>
          <w:rFonts w:ascii="Times New Roman" w:eastAsia="SimSun" w:hAnsi="Times New Roman" w:cs="Times New Roman" w:hint="eastAsia"/>
          <w:sz w:val="24"/>
          <w:szCs w:val="24"/>
          <w14:ligatures w14:val="none"/>
        </w:rPr>
        <w:t>—</w:t>
      </w:r>
      <w:r w:rsidRPr="00897886">
        <w:rPr>
          <w:rFonts w:ascii="Times New Roman" w:eastAsia="SimSun" w:hAnsi="Times New Roman" w:cs="Times New Roman" w:hint="eastAsia"/>
          <w:sz w:val="24"/>
          <w:szCs w:val="24"/>
          <w14:ligatures w14:val="none"/>
        </w:rPr>
        <w:t>according to the terciles of PCB</w:t>
      </w:r>
      <w:r>
        <w:rPr>
          <w:rFonts w:ascii="Times New Roman" w:eastAsia="SimSun" w:hAnsi="Times New Roman" w:cs="Times New Roman" w:hint="eastAsia"/>
          <w:sz w:val="24"/>
          <w:szCs w:val="24"/>
          <w14:ligatures w14:val="none"/>
        </w:rPr>
        <w:t>146</w:t>
      </w:r>
      <w:r w:rsidRPr="00897886">
        <w:rPr>
          <w:rFonts w:ascii="Times New Roman" w:eastAsia="SimSun" w:hAnsi="Times New Roman" w:cs="Times New Roman" w:hint="eastAsia"/>
          <w:sz w:val="24"/>
          <w:szCs w:val="24"/>
          <w14:ligatures w14:val="none"/>
        </w:rPr>
        <w:t xml:space="preserve"> concentration, with "Low" serving as the control group. Hazard Ratios (HR) less than 1 are represented in red, while HR greater than 1 are represented in blue. After adjusting for factors such as age, gender, education level, BMI, smoking exposure, SII, and exposure to five diseases, the impact of PCB</w:t>
      </w:r>
      <w:r>
        <w:rPr>
          <w:rFonts w:ascii="Times New Roman" w:eastAsia="SimSun" w:hAnsi="Times New Roman" w:cs="Times New Roman" w:hint="eastAsia"/>
          <w:sz w:val="24"/>
          <w:szCs w:val="24"/>
          <w14:ligatures w14:val="none"/>
        </w:rPr>
        <w:t>146</w:t>
      </w:r>
      <w:r w:rsidRPr="00897886">
        <w:rPr>
          <w:rFonts w:ascii="Times New Roman" w:eastAsia="SimSun" w:hAnsi="Times New Roman" w:cs="Times New Roman" w:hint="eastAsia"/>
          <w:sz w:val="24"/>
          <w:szCs w:val="24"/>
          <w14:ligatures w14:val="none"/>
        </w:rPr>
        <w:t xml:space="preserve"> on mortality risk was examined.</w:t>
      </w:r>
    </w:p>
    <w:p w14:paraId="570670A1"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0.001 &lt; P ≤ 0.05</w:t>
      </w:r>
    </w:p>
    <w:p w14:paraId="2D1BC4B4"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0.0001 &lt; P ≤ 0.01</w:t>
      </w:r>
    </w:p>
    <w:p w14:paraId="1D55FCAB" w14:textId="77777777" w:rsidR="00897886" w:rsidRPr="00897886" w:rsidRDefault="00897886" w:rsidP="00897886">
      <w:pPr>
        <w:rPr>
          <w:rFonts w:ascii="Times New Roman" w:eastAsia="SimSun" w:hAnsi="Times New Roman" w:cs="Times New Roman"/>
          <w:sz w:val="24"/>
          <w:szCs w:val="24"/>
          <w14:ligatures w14:val="none"/>
        </w:rPr>
      </w:pPr>
      <w:r w:rsidRPr="00897886">
        <w:rPr>
          <w:rFonts w:ascii="Times New Roman" w:eastAsia="SimSun" w:hAnsi="Times New Roman" w:cs="Times New Roman"/>
          <w:sz w:val="24"/>
          <w:szCs w:val="24"/>
          <w14:ligatures w14:val="none"/>
        </w:rPr>
        <w:t>*** P ≤ 0.0001</w:t>
      </w:r>
    </w:p>
    <w:p w14:paraId="7ED0B487" w14:textId="77777777" w:rsidR="00897886" w:rsidRDefault="00897886"/>
    <w:sectPr w:rsidR="008978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6F215" w14:textId="77777777" w:rsidR="00962A06" w:rsidRDefault="00962A06" w:rsidP="006C6224">
      <w:r>
        <w:separator/>
      </w:r>
    </w:p>
  </w:endnote>
  <w:endnote w:type="continuationSeparator" w:id="0">
    <w:p w14:paraId="78B16924" w14:textId="77777777" w:rsidR="00962A06" w:rsidRDefault="00962A06" w:rsidP="006C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5A559" w14:textId="77777777" w:rsidR="00962A06" w:rsidRDefault="00962A06" w:rsidP="006C6224">
      <w:r>
        <w:separator/>
      </w:r>
    </w:p>
  </w:footnote>
  <w:footnote w:type="continuationSeparator" w:id="0">
    <w:p w14:paraId="25521C0E" w14:textId="77777777" w:rsidR="00962A06" w:rsidRDefault="00962A06" w:rsidP="006C6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55FFE"/>
    <w:rsid w:val="0019015E"/>
    <w:rsid w:val="002E57F0"/>
    <w:rsid w:val="00400AC6"/>
    <w:rsid w:val="004F7692"/>
    <w:rsid w:val="00655FFE"/>
    <w:rsid w:val="006C6224"/>
    <w:rsid w:val="0081145F"/>
    <w:rsid w:val="00897886"/>
    <w:rsid w:val="00962A06"/>
    <w:rsid w:val="009F3392"/>
    <w:rsid w:val="00A27940"/>
    <w:rsid w:val="00A81D5C"/>
    <w:rsid w:val="00B90CE8"/>
    <w:rsid w:val="00BB4174"/>
    <w:rsid w:val="00C66B6A"/>
    <w:rsid w:val="00E732C6"/>
    <w:rsid w:val="00F2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85886"/>
  <w15:chartTrackingRefBased/>
  <w15:docId w15:val="{1CE561CB-B4D5-4549-8B46-5FE2BEA8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224"/>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C6224"/>
    <w:rPr>
      <w:sz w:val="18"/>
      <w:szCs w:val="18"/>
    </w:rPr>
  </w:style>
  <w:style w:type="paragraph" w:styleId="Footer">
    <w:name w:val="footer"/>
    <w:basedOn w:val="Normal"/>
    <w:link w:val="FooterChar"/>
    <w:uiPriority w:val="99"/>
    <w:unhideWhenUsed/>
    <w:rsid w:val="006C622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C62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郢 高</dc:creator>
  <cp:keywords/>
  <dc:description/>
  <cp:lastModifiedBy>Julie Millard</cp:lastModifiedBy>
  <cp:revision>2</cp:revision>
  <dcterms:created xsi:type="dcterms:W3CDTF">2024-10-28T14:49:00Z</dcterms:created>
  <dcterms:modified xsi:type="dcterms:W3CDTF">2024-10-28T14:49:00Z</dcterms:modified>
</cp:coreProperties>
</file>