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043C1" w14:textId="5147DB84" w:rsidR="004F02CA" w:rsidRPr="004048DE" w:rsidRDefault="004F02CA" w:rsidP="004F02CA">
      <w:pPr>
        <w:pStyle w:val="Titel"/>
        <w:jc w:val="both"/>
        <w:rPr>
          <w:b/>
          <w:bCs/>
          <w:sz w:val="44"/>
          <w:szCs w:val="44"/>
          <w:lang w:val="en-GB"/>
        </w:rPr>
      </w:pPr>
      <w:r w:rsidRPr="004048DE">
        <w:rPr>
          <w:b/>
          <w:bCs/>
          <w:sz w:val="44"/>
          <w:szCs w:val="44"/>
          <w:lang w:val="en-GB"/>
        </w:rPr>
        <w:t>Potentially inappropriate prescribing in polymedicated</w:t>
      </w:r>
      <w:r w:rsidRPr="004048DE">
        <w:rPr>
          <w:b/>
          <w:bCs/>
          <w:sz w:val="44"/>
          <w:szCs w:val="44"/>
          <w:u w:val="single"/>
          <w:lang w:val="en-GB"/>
        </w:rPr>
        <w:t xml:space="preserve"> </w:t>
      </w:r>
      <w:r w:rsidRPr="004048DE">
        <w:rPr>
          <w:b/>
          <w:bCs/>
          <w:sz w:val="44"/>
          <w:szCs w:val="44"/>
          <w:lang w:val="en-GB"/>
        </w:rPr>
        <w:t>older adults with atrial fibrillation and multimorbidity</w:t>
      </w:r>
      <w:r w:rsidR="004704BD">
        <w:rPr>
          <w:b/>
          <w:bCs/>
          <w:sz w:val="44"/>
          <w:szCs w:val="44"/>
          <w:lang w:val="en-GB"/>
        </w:rPr>
        <w:t xml:space="preserve">: </w:t>
      </w:r>
      <w:r w:rsidR="004704BD" w:rsidRPr="004704BD">
        <w:rPr>
          <w:b/>
          <w:bCs/>
          <w:sz w:val="44"/>
          <w:szCs w:val="44"/>
          <w:lang w:val="en-GB"/>
        </w:rPr>
        <w:t>A Swedish national register-based cohort study</w:t>
      </w:r>
    </w:p>
    <w:p w14:paraId="38ED9BDF" w14:textId="77777777" w:rsidR="00A94F76" w:rsidRDefault="00A94F76" w:rsidP="004F02CA">
      <w:pPr>
        <w:spacing w:line="240" w:lineRule="auto"/>
        <w:rPr>
          <w:kern w:val="0"/>
          <w:sz w:val="20"/>
          <w:szCs w:val="20"/>
          <w14:ligatures w14:val="none"/>
        </w:rPr>
      </w:pPr>
      <w:r>
        <w:rPr>
          <w:kern w:val="0"/>
          <w:sz w:val="20"/>
          <w:szCs w:val="20"/>
          <w14:ligatures w14:val="none"/>
        </w:rPr>
        <w:t>Cheima Amrouch</w:t>
      </w:r>
      <w:r>
        <w:rPr>
          <w:kern w:val="0"/>
          <w:sz w:val="20"/>
          <w:szCs w:val="20"/>
          <w:vertAlign w:val="superscript"/>
          <w14:ligatures w14:val="none"/>
        </w:rPr>
        <w:t>1,2</w:t>
      </w:r>
      <w:r>
        <w:rPr>
          <w:kern w:val="0"/>
          <w:sz w:val="20"/>
          <w:szCs w:val="20"/>
          <w14:ligatures w14:val="none"/>
        </w:rPr>
        <w:t>, Davide Liborio Vetrano</w:t>
      </w:r>
      <w:r>
        <w:rPr>
          <w:kern w:val="0"/>
          <w:sz w:val="20"/>
          <w:szCs w:val="20"/>
          <w:vertAlign w:val="superscript"/>
          <w14:ligatures w14:val="none"/>
        </w:rPr>
        <w:t>3,4</w:t>
      </w:r>
      <w:r>
        <w:rPr>
          <w:kern w:val="0"/>
          <w:sz w:val="20"/>
          <w:szCs w:val="20"/>
          <w14:ligatures w14:val="none"/>
        </w:rPr>
        <w:t>, Cecilia Damiano</w:t>
      </w:r>
      <w:r>
        <w:rPr>
          <w:kern w:val="0"/>
          <w:sz w:val="20"/>
          <w:szCs w:val="20"/>
          <w:vertAlign w:val="superscript"/>
          <w14:ligatures w14:val="none"/>
        </w:rPr>
        <w:t>5</w:t>
      </w:r>
      <w:r>
        <w:rPr>
          <w:kern w:val="0"/>
          <w:sz w:val="20"/>
          <w:szCs w:val="20"/>
          <w14:ligatures w14:val="none"/>
        </w:rPr>
        <w:t>, Lu Dai</w:t>
      </w:r>
      <w:r>
        <w:rPr>
          <w:kern w:val="0"/>
          <w:sz w:val="20"/>
          <w:szCs w:val="20"/>
          <w:vertAlign w:val="superscript"/>
          <w14:ligatures w14:val="none"/>
        </w:rPr>
        <w:t>3</w:t>
      </w:r>
      <w:r>
        <w:rPr>
          <w:kern w:val="0"/>
          <w:sz w:val="20"/>
          <w:szCs w:val="20"/>
          <w14:ligatures w14:val="none"/>
        </w:rPr>
        <w:t>, Amaia Calderón-Larrañaga</w:t>
      </w:r>
      <w:r>
        <w:rPr>
          <w:kern w:val="0"/>
          <w:sz w:val="20"/>
          <w:szCs w:val="20"/>
          <w:vertAlign w:val="superscript"/>
          <w14:ligatures w14:val="none"/>
        </w:rPr>
        <w:t>3,4</w:t>
      </w:r>
      <w:r>
        <w:rPr>
          <w:kern w:val="0"/>
          <w:sz w:val="20"/>
          <w:szCs w:val="20"/>
          <w14:ligatures w14:val="none"/>
        </w:rPr>
        <w:t>, Maxim</w:t>
      </w:r>
      <w:r>
        <w:rPr>
          <w:kern w:val="0"/>
          <w:sz w:val="20"/>
          <w:szCs w:val="20"/>
          <w14:ligatures w14:val="none"/>
        </w:rPr>
        <w:tab/>
        <w:t xml:space="preserve"> Grymonprez</w:t>
      </w:r>
      <w:r>
        <w:rPr>
          <w:kern w:val="0"/>
          <w:sz w:val="20"/>
          <w:szCs w:val="20"/>
          <w:vertAlign w:val="superscript"/>
          <w14:ligatures w14:val="none"/>
        </w:rPr>
        <w:t>2,6</w:t>
      </w:r>
      <w:r>
        <w:rPr>
          <w:kern w:val="0"/>
          <w:sz w:val="20"/>
          <w:szCs w:val="20"/>
          <w14:ligatures w14:val="none"/>
        </w:rPr>
        <w:t>, Marco Proietti</w:t>
      </w:r>
      <w:r>
        <w:rPr>
          <w:kern w:val="0"/>
          <w:sz w:val="20"/>
          <w:szCs w:val="20"/>
          <w:vertAlign w:val="superscript"/>
          <w14:ligatures w14:val="none"/>
        </w:rPr>
        <w:t>7,8</w:t>
      </w:r>
      <w:r>
        <w:rPr>
          <w:kern w:val="0"/>
          <w:sz w:val="20"/>
          <w:szCs w:val="20"/>
          <w14:ligatures w14:val="none"/>
        </w:rPr>
        <w:t>, Gregory Y.H. Lip</w:t>
      </w:r>
      <w:r>
        <w:rPr>
          <w:kern w:val="0"/>
          <w:sz w:val="20"/>
          <w:szCs w:val="20"/>
          <w:vertAlign w:val="superscript"/>
          <w14:ligatures w14:val="none"/>
        </w:rPr>
        <w:t>9,10</w:t>
      </w:r>
      <w:r>
        <w:rPr>
          <w:kern w:val="0"/>
          <w:sz w:val="20"/>
          <w:szCs w:val="20"/>
          <w14:ligatures w14:val="none"/>
        </w:rPr>
        <w:t>, Søren P. Johnsen</w:t>
      </w:r>
      <w:r>
        <w:rPr>
          <w:kern w:val="0"/>
          <w:sz w:val="20"/>
          <w:szCs w:val="20"/>
          <w:vertAlign w:val="superscript"/>
          <w14:ligatures w14:val="none"/>
        </w:rPr>
        <w:t>10</w:t>
      </w:r>
      <w:r>
        <w:rPr>
          <w:kern w:val="0"/>
          <w:sz w:val="20"/>
          <w:szCs w:val="20"/>
          <w14:ligatures w14:val="none"/>
        </w:rPr>
        <w:t>, Jonas W. Wastesson</w:t>
      </w:r>
      <w:r>
        <w:rPr>
          <w:kern w:val="0"/>
          <w:sz w:val="20"/>
          <w:szCs w:val="20"/>
          <w:vertAlign w:val="superscript"/>
          <w14:ligatures w14:val="none"/>
        </w:rPr>
        <w:t>3,11</w:t>
      </w:r>
      <w:r>
        <w:rPr>
          <w:kern w:val="0"/>
          <w:sz w:val="20"/>
          <w:szCs w:val="20"/>
          <w14:ligatures w14:val="none"/>
        </w:rPr>
        <w:t>, Kristina</w:t>
      </w:r>
      <w:r>
        <w:rPr>
          <w:kern w:val="0"/>
          <w:sz w:val="20"/>
          <w:szCs w:val="20"/>
          <w14:ligatures w14:val="none"/>
        </w:rPr>
        <w:tab/>
        <w:t xml:space="preserve"> Johnell</w:t>
      </w:r>
      <w:r>
        <w:rPr>
          <w:kern w:val="0"/>
          <w:sz w:val="20"/>
          <w:szCs w:val="20"/>
          <w:vertAlign w:val="superscript"/>
          <w14:ligatures w14:val="none"/>
        </w:rPr>
        <w:t>11</w:t>
      </w:r>
      <w:r>
        <w:rPr>
          <w:kern w:val="0"/>
          <w:sz w:val="20"/>
          <w:szCs w:val="20"/>
          <w14:ligatures w14:val="none"/>
        </w:rPr>
        <w:t>, Delphine De Smedt</w:t>
      </w:r>
      <w:r>
        <w:rPr>
          <w:kern w:val="0"/>
          <w:sz w:val="20"/>
          <w:szCs w:val="20"/>
          <w:vertAlign w:val="superscript"/>
          <w14:ligatures w14:val="none"/>
        </w:rPr>
        <w:t>1</w:t>
      </w:r>
      <w:r>
        <w:rPr>
          <w:kern w:val="0"/>
          <w:sz w:val="20"/>
          <w:szCs w:val="20"/>
          <w14:ligatures w14:val="none"/>
        </w:rPr>
        <w:t>*,</w:t>
      </w:r>
      <w:r>
        <w:rPr>
          <w:kern w:val="0"/>
          <w:sz w:val="20"/>
          <w:szCs w:val="20"/>
          <w:vertAlign w:val="superscript"/>
          <w14:ligatures w14:val="none"/>
        </w:rPr>
        <w:t xml:space="preserve"> </w:t>
      </w:r>
      <w:r>
        <w:rPr>
          <w:kern w:val="0"/>
          <w:sz w:val="20"/>
          <w:szCs w:val="20"/>
          <w14:ligatures w14:val="none"/>
        </w:rPr>
        <w:t>Mirko Petrovic</w:t>
      </w:r>
      <w:r>
        <w:rPr>
          <w:kern w:val="0"/>
          <w:sz w:val="20"/>
          <w:szCs w:val="20"/>
          <w:vertAlign w:val="superscript"/>
          <w14:ligatures w14:val="none"/>
        </w:rPr>
        <w:t>2</w:t>
      </w:r>
      <w:r>
        <w:rPr>
          <w:kern w:val="0"/>
          <w:sz w:val="20"/>
          <w:szCs w:val="20"/>
          <w14:ligatures w14:val="none"/>
        </w:rPr>
        <w:t xml:space="preserve">*, </w:t>
      </w:r>
      <w:r>
        <w:rPr>
          <w:i/>
          <w:iCs/>
          <w:kern w:val="0"/>
          <w:sz w:val="20"/>
          <w:szCs w:val="20"/>
          <w14:ligatures w14:val="none"/>
        </w:rPr>
        <w:t>on behalf of the AFFIRMO project</w:t>
      </w:r>
      <w:r>
        <w:rPr>
          <w:i/>
          <w:iCs/>
          <w:kern w:val="0"/>
          <w:sz w:val="20"/>
          <w:szCs w:val="20"/>
          <w14:ligatures w14:val="none"/>
        </w:rPr>
        <w:tab/>
      </w:r>
      <w:r>
        <w:rPr>
          <w:i/>
          <w:iCs/>
          <w:kern w:val="0"/>
          <w:sz w:val="20"/>
          <w:szCs w:val="20"/>
          <w14:ligatures w14:val="none"/>
        </w:rPr>
        <w:br/>
        <w:t xml:space="preserve">* </w:t>
      </w:r>
      <w:r>
        <w:rPr>
          <w:kern w:val="0"/>
          <w:sz w:val="20"/>
          <w:szCs w:val="20"/>
          <w14:ligatures w14:val="none"/>
        </w:rPr>
        <w:t>Shared last-author</w:t>
      </w:r>
    </w:p>
    <w:p w14:paraId="1D76FD22" w14:textId="573C21E8" w:rsidR="004F02CA" w:rsidRPr="004048DE" w:rsidRDefault="004F02CA" w:rsidP="004F02CA">
      <w:pPr>
        <w:spacing w:line="240" w:lineRule="auto"/>
        <w:rPr>
          <w:sz w:val="20"/>
          <w:szCs w:val="20"/>
        </w:rPr>
      </w:pPr>
      <w:r w:rsidRPr="004048DE">
        <w:rPr>
          <w:i/>
          <w:iCs/>
          <w:sz w:val="20"/>
          <w:szCs w:val="20"/>
        </w:rPr>
        <w:t>1</w:t>
      </w:r>
      <w:r w:rsidRPr="004048DE">
        <w:rPr>
          <w:sz w:val="20"/>
          <w:szCs w:val="20"/>
        </w:rPr>
        <w:t xml:space="preserve"> Department of Public Health and Primary Care, Ghent University, Ghent, Belgium</w:t>
      </w:r>
      <w:r w:rsidRPr="004048DE">
        <w:rPr>
          <w:sz w:val="20"/>
          <w:szCs w:val="20"/>
        </w:rPr>
        <w:br/>
      </w:r>
      <w:r w:rsidRPr="004048DE">
        <w:rPr>
          <w:i/>
          <w:iCs/>
          <w:sz w:val="20"/>
          <w:szCs w:val="20"/>
        </w:rPr>
        <w:t>2</w:t>
      </w:r>
      <w:r w:rsidRPr="004048DE">
        <w:rPr>
          <w:sz w:val="20"/>
          <w:szCs w:val="20"/>
        </w:rPr>
        <w:t xml:space="preserve"> Department of Internal Medicine and Paediatrics, Ghent University, Ghent, Belgium</w:t>
      </w:r>
      <w:r w:rsidRPr="004048DE">
        <w:rPr>
          <w:sz w:val="20"/>
          <w:szCs w:val="20"/>
        </w:rPr>
        <w:br/>
      </w:r>
      <w:r w:rsidRPr="004048DE">
        <w:rPr>
          <w:i/>
          <w:iCs/>
          <w:sz w:val="20"/>
          <w:szCs w:val="20"/>
        </w:rPr>
        <w:t>3</w:t>
      </w:r>
      <w:r w:rsidRPr="004048DE">
        <w:rPr>
          <w:sz w:val="20"/>
          <w:szCs w:val="20"/>
        </w:rPr>
        <w:t xml:space="preserve"> Aging Research Center, Department of Neurobiology, Care Sciences and Society, Karolinska Institutet and Stockholm University, Stockholm, Sweden</w:t>
      </w:r>
      <w:r w:rsidRPr="004048DE">
        <w:rPr>
          <w:sz w:val="20"/>
          <w:szCs w:val="20"/>
        </w:rPr>
        <w:tab/>
      </w:r>
      <w:r w:rsidRPr="004048DE">
        <w:rPr>
          <w:sz w:val="20"/>
          <w:szCs w:val="20"/>
        </w:rPr>
        <w:br/>
      </w:r>
      <w:r w:rsidRPr="004048DE">
        <w:rPr>
          <w:i/>
          <w:iCs/>
          <w:sz w:val="20"/>
          <w:szCs w:val="20"/>
        </w:rPr>
        <w:t xml:space="preserve">4 </w:t>
      </w:r>
      <w:r w:rsidRPr="004048DE">
        <w:rPr>
          <w:sz w:val="20"/>
          <w:szCs w:val="20"/>
        </w:rPr>
        <w:t xml:space="preserve">Stockholm Gerontology Research Center, Stockholm, Sweden </w:t>
      </w:r>
      <w:r w:rsidRPr="004048DE">
        <w:rPr>
          <w:sz w:val="20"/>
          <w:szCs w:val="20"/>
        </w:rPr>
        <w:br/>
      </w:r>
      <w:r w:rsidRPr="004048DE">
        <w:rPr>
          <w:i/>
          <w:iCs/>
          <w:sz w:val="20"/>
          <w:szCs w:val="20"/>
        </w:rPr>
        <w:t xml:space="preserve">5 </w:t>
      </w:r>
      <w:r w:rsidRPr="004048DE">
        <w:rPr>
          <w:sz w:val="20"/>
          <w:szCs w:val="20"/>
        </w:rPr>
        <w:t>Department of Cardiovascular, Endocrine-Metabo</w:t>
      </w:r>
      <w:r w:rsidR="00CE5644">
        <w:rPr>
          <w:sz w:val="20"/>
          <w:szCs w:val="20"/>
        </w:rPr>
        <w:t>s</w:t>
      </w:r>
      <w:r w:rsidRPr="004048DE">
        <w:rPr>
          <w:sz w:val="20"/>
          <w:szCs w:val="20"/>
        </w:rPr>
        <w:t>lic Diseases and Aging, Istituto Superiore di Sanità, Rome, Italy</w:t>
      </w:r>
      <w:r w:rsidRPr="004048DE">
        <w:rPr>
          <w:sz w:val="20"/>
          <w:szCs w:val="20"/>
        </w:rPr>
        <w:br/>
      </w:r>
      <w:r w:rsidRPr="004048DE">
        <w:rPr>
          <w:i/>
          <w:iCs/>
          <w:sz w:val="20"/>
          <w:szCs w:val="20"/>
        </w:rPr>
        <w:t xml:space="preserve">6 </w:t>
      </w:r>
      <w:r w:rsidRPr="004048DE">
        <w:rPr>
          <w:sz w:val="20"/>
          <w:szCs w:val="20"/>
        </w:rPr>
        <w:t>Department of Bioanalysis, Pharmaceutical Care Unit, Ghent University, Ghent, Belgium</w:t>
      </w:r>
      <w:r w:rsidRPr="004048DE">
        <w:rPr>
          <w:sz w:val="20"/>
          <w:szCs w:val="20"/>
        </w:rPr>
        <w:br/>
      </w:r>
      <w:r w:rsidRPr="004048DE">
        <w:rPr>
          <w:i/>
          <w:iCs/>
          <w:sz w:val="20"/>
          <w:szCs w:val="20"/>
        </w:rPr>
        <w:t xml:space="preserve">7 </w:t>
      </w:r>
      <w:r w:rsidRPr="004048DE">
        <w:rPr>
          <w:sz w:val="20"/>
          <w:szCs w:val="20"/>
        </w:rPr>
        <w:t>Department of Clinical Sciences and Community Health, University of Milan, Milan, Italy</w:t>
      </w:r>
      <w:r w:rsidRPr="004048DE">
        <w:rPr>
          <w:sz w:val="20"/>
          <w:szCs w:val="20"/>
        </w:rPr>
        <w:br/>
      </w:r>
      <w:r w:rsidRPr="004048DE">
        <w:rPr>
          <w:i/>
          <w:iCs/>
          <w:sz w:val="20"/>
          <w:szCs w:val="20"/>
        </w:rPr>
        <w:t xml:space="preserve">8 </w:t>
      </w:r>
      <w:r w:rsidRPr="004048DE">
        <w:rPr>
          <w:sz w:val="20"/>
          <w:szCs w:val="20"/>
        </w:rPr>
        <w:t>Division of Subacute Care, IRCCS Istituti Clinici Scientifici Maugeri, Milan, Italy</w:t>
      </w:r>
      <w:r w:rsidRPr="004048DE">
        <w:rPr>
          <w:sz w:val="20"/>
          <w:szCs w:val="20"/>
        </w:rPr>
        <w:br/>
      </w:r>
      <w:r w:rsidRPr="004048DE">
        <w:rPr>
          <w:i/>
          <w:iCs/>
          <w:sz w:val="20"/>
          <w:szCs w:val="20"/>
        </w:rPr>
        <w:t>9</w:t>
      </w:r>
      <w:r w:rsidRPr="004048DE">
        <w:rPr>
          <w:sz w:val="20"/>
          <w:szCs w:val="20"/>
        </w:rPr>
        <w:t xml:space="preserve"> Liverpool Centre for Cardiovascular Science at University of Liverpool, Liverpool John Moores University and Liverpool Heart &amp; Chest Hospital, Liverpool, UK</w:t>
      </w:r>
      <w:r w:rsidRPr="004048DE">
        <w:rPr>
          <w:sz w:val="20"/>
          <w:szCs w:val="20"/>
        </w:rPr>
        <w:br/>
      </w:r>
      <w:r w:rsidRPr="004048DE">
        <w:rPr>
          <w:i/>
          <w:iCs/>
          <w:sz w:val="20"/>
          <w:szCs w:val="20"/>
        </w:rPr>
        <w:t>10</w:t>
      </w:r>
      <w:r w:rsidRPr="004048DE">
        <w:rPr>
          <w:sz w:val="20"/>
          <w:szCs w:val="20"/>
        </w:rPr>
        <w:t xml:space="preserve"> Danish Center for Health Services Research, Department of Clinical Medicine, Aalborg University, Aalborg, Denmark</w:t>
      </w:r>
      <w:r w:rsidRPr="004048DE">
        <w:rPr>
          <w:sz w:val="20"/>
          <w:szCs w:val="20"/>
        </w:rPr>
        <w:br/>
      </w:r>
      <w:r w:rsidRPr="004048DE">
        <w:rPr>
          <w:i/>
          <w:iCs/>
          <w:sz w:val="20"/>
          <w:szCs w:val="20"/>
        </w:rPr>
        <w:t xml:space="preserve">11 </w:t>
      </w:r>
      <w:r w:rsidRPr="004048DE">
        <w:rPr>
          <w:sz w:val="20"/>
          <w:szCs w:val="20"/>
        </w:rPr>
        <w:t>Department of Medical Epidemiology and Biostatistics, Karolinska Institutet, Stockholm, Sweden</w:t>
      </w:r>
    </w:p>
    <w:p w14:paraId="24A9D8A8" w14:textId="77777777" w:rsidR="003E687D" w:rsidRDefault="003E687D" w:rsidP="008E4D0D"/>
    <w:p w14:paraId="7AA93817" w14:textId="6975AA23" w:rsidR="004F02CA" w:rsidRDefault="004F02CA" w:rsidP="008E4D0D">
      <w:r>
        <w:t xml:space="preserve">The following assumptions </w:t>
      </w:r>
      <w:r w:rsidR="00C93DF1">
        <w:t xml:space="preserve">and adjustments </w:t>
      </w:r>
      <w:r>
        <w:t xml:space="preserve">were necessary </w:t>
      </w:r>
      <w:r w:rsidR="00C93DF1">
        <w:t>f</w:t>
      </w:r>
      <w:r>
        <w:t xml:space="preserve">or the automation of the </w:t>
      </w:r>
      <w:r w:rsidR="00BC1684">
        <w:t xml:space="preserve">reduced </w:t>
      </w:r>
      <w:r>
        <w:t xml:space="preserve">STOPP/START </w:t>
      </w:r>
      <w:r w:rsidR="00BC1684">
        <w:t xml:space="preserve">version 2 </w:t>
      </w:r>
      <w:r>
        <w:t>criteria:</w:t>
      </w:r>
    </w:p>
    <w:p w14:paraId="6E65E1C9" w14:textId="77777777" w:rsidR="008E4D0D" w:rsidRDefault="00C93DF1" w:rsidP="00F1301F">
      <w:pPr>
        <w:pStyle w:val="Lijstalinea"/>
        <w:numPr>
          <w:ilvl w:val="0"/>
          <w:numId w:val="1"/>
        </w:numPr>
        <w:jc w:val="both"/>
      </w:pPr>
      <w:r w:rsidRPr="004048DE">
        <w:t xml:space="preserve">First, when the criterion specified biochemical parameters, the corresponding ICD10 code was used due to lack of these variables in the registries. </w:t>
      </w:r>
    </w:p>
    <w:p w14:paraId="21638BD6" w14:textId="77777777" w:rsidR="008E4D0D" w:rsidRDefault="00C93DF1" w:rsidP="00F1301F">
      <w:pPr>
        <w:pStyle w:val="Lijstalinea"/>
        <w:numPr>
          <w:ilvl w:val="0"/>
          <w:numId w:val="1"/>
        </w:numPr>
        <w:jc w:val="both"/>
      </w:pPr>
      <w:r w:rsidRPr="004048DE">
        <w:t xml:space="preserve">Second, if the ICD10 code did not differentiate between chronic and acute conditions, this distinction was omitted. </w:t>
      </w:r>
    </w:p>
    <w:p w14:paraId="55A78132" w14:textId="77777777" w:rsidR="008E4D0D" w:rsidRDefault="008E4D0D" w:rsidP="00F1301F">
      <w:pPr>
        <w:pStyle w:val="Lijstalinea"/>
        <w:numPr>
          <w:ilvl w:val="0"/>
          <w:numId w:val="1"/>
        </w:numPr>
        <w:jc w:val="both"/>
      </w:pPr>
      <w:r>
        <w:t>Third,</w:t>
      </w:r>
      <w:r w:rsidR="00C93DF1" w:rsidRPr="004048DE">
        <w:t xml:space="preserve"> no account could be given to drug adherence or consumption, since only prescribed pharmacy-dispensed medications could be considered. Consequently, an assumption was made that the patient took pharmacy-dispensed medications. </w:t>
      </w:r>
    </w:p>
    <w:p w14:paraId="2163DD83" w14:textId="29A734DD" w:rsidR="00C93DF1" w:rsidRDefault="008E4D0D" w:rsidP="00F1301F">
      <w:pPr>
        <w:pStyle w:val="Lijstalinea"/>
        <w:numPr>
          <w:ilvl w:val="0"/>
          <w:numId w:val="1"/>
        </w:numPr>
        <w:jc w:val="both"/>
      </w:pPr>
      <w:r>
        <w:t>Fourth,</w:t>
      </w:r>
      <w:r w:rsidR="00C93DF1" w:rsidRPr="004048DE">
        <w:t xml:space="preserve"> for criteria requiring the simultaneous occurrence of medications and/or diseases, it was assumed to be applicable when both diagnosis and medications were identifiable. This assumption was required because the diagnosis date was not extracted in the dataset used in this study.</w:t>
      </w:r>
    </w:p>
    <w:p w14:paraId="43EE5230" w14:textId="77777777" w:rsidR="00A50FA9" w:rsidRDefault="00A50FA9" w:rsidP="006E6FC6">
      <w:pPr>
        <w:jc w:val="both"/>
      </w:pPr>
      <w:bookmarkStart w:id="0" w:name="_Hlk167106368"/>
      <w:r>
        <w:t>Within</w:t>
      </w:r>
      <w:r w:rsidR="006E6FC6">
        <w:t xml:space="preserve"> the STOPP category “Analgesics” only </w:t>
      </w:r>
      <w:r>
        <w:t xml:space="preserve">the </w:t>
      </w:r>
      <w:r w:rsidR="006E6FC6">
        <w:t xml:space="preserve">criterion STOPPL2 </w:t>
      </w:r>
      <w:r w:rsidR="006E6FC6" w:rsidRPr="006E6FC6">
        <w:rPr>
          <w:i/>
          <w:iCs/>
        </w:rPr>
        <w:t xml:space="preserve">“Use of regular opioids without concomitant laxatives” </w:t>
      </w:r>
      <w:r w:rsidR="006E6FC6" w:rsidRPr="00A50FA9">
        <w:t>could</w:t>
      </w:r>
      <w:r w:rsidR="006E6FC6" w:rsidRPr="006E6FC6">
        <w:rPr>
          <w:i/>
          <w:iCs/>
        </w:rPr>
        <w:t xml:space="preserve"> </w:t>
      </w:r>
      <w:r w:rsidR="006E6FC6">
        <w:t>be coded. Similarly</w:t>
      </w:r>
      <w:r>
        <w:t>, within the</w:t>
      </w:r>
      <w:r w:rsidR="006E6FC6">
        <w:t xml:space="preserve"> START category “Analgesics” only</w:t>
      </w:r>
      <w:r>
        <w:t xml:space="preserve"> the</w:t>
      </w:r>
      <w:r w:rsidR="006E6FC6">
        <w:t xml:space="preserve"> criterion STARTH2</w:t>
      </w:r>
      <w:r w:rsidR="006E6FC6" w:rsidRPr="006E6FC6">
        <w:rPr>
          <w:i/>
          <w:iCs/>
        </w:rPr>
        <w:t xml:space="preserve"> “Laxatives in patients receiving opioids regularly” </w:t>
      </w:r>
      <w:r w:rsidR="006E6FC6">
        <w:t xml:space="preserve">could be coded. </w:t>
      </w:r>
      <w:r>
        <w:t>Upon technical translation,</w:t>
      </w:r>
      <w:r w:rsidR="006E6FC6">
        <w:t xml:space="preserve"> these</w:t>
      </w:r>
      <w:r>
        <w:t xml:space="preserve"> two</w:t>
      </w:r>
      <w:r w:rsidR="006E6FC6">
        <w:t xml:space="preserve"> criteria are </w:t>
      </w:r>
      <w:r>
        <w:t>equivalent. Therefore, in our analyses, the START</w:t>
      </w:r>
      <w:r w:rsidR="003E4C63">
        <w:t xml:space="preserve"> </w:t>
      </w:r>
      <w:r>
        <w:t>A</w:t>
      </w:r>
      <w:r w:rsidR="003E4C63">
        <w:t>nalgesics (</w:t>
      </w:r>
      <w:r w:rsidR="006E6FC6">
        <w:t>STARTH2</w:t>
      </w:r>
      <w:r w:rsidR="003E4C63">
        <w:t>) category</w:t>
      </w:r>
      <w:r w:rsidR="006E6FC6">
        <w:t xml:space="preserve"> was </w:t>
      </w:r>
      <w:r>
        <w:t>excluded, and o</w:t>
      </w:r>
      <w:r w:rsidR="006E6FC6">
        <w:t xml:space="preserve">nly </w:t>
      </w:r>
      <w:r w:rsidR="003E4C63">
        <w:t xml:space="preserve">the STOPP Analgesics </w:t>
      </w:r>
      <w:r w:rsidR="001404E8">
        <w:t>(</w:t>
      </w:r>
      <w:r w:rsidR="006E6FC6">
        <w:t>STOPPL2</w:t>
      </w:r>
      <w:r w:rsidR="001404E8">
        <w:t>)</w:t>
      </w:r>
      <w:r w:rsidR="003E4C63">
        <w:t xml:space="preserve"> category</w:t>
      </w:r>
      <w:r w:rsidR="006E6FC6">
        <w:t xml:space="preserve"> was incorporated. </w:t>
      </w:r>
      <w:r>
        <w:t xml:space="preserve">This approach ensures </w:t>
      </w:r>
      <w:r>
        <w:lastRenderedPageBreak/>
        <w:t>that when identifying the proportion of patients with the co-occurrence of STOPP (PIM) and START (PPO), false positives are avoided.</w:t>
      </w:r>
    </w:p>
    <w:p w14:paraId="39DE0346" w14:textId="27B41DF7" w:rsidR="004F02CA" w:rsidRDefault="009F72A8" w:rsidP="006E6FC6">
      <w:pPr>
        <w:jc w:val="both"/>
      </w:pPr>
      <w:r w:rsidRPr="004048DE">
        <w:t xml:space="preserve">None of the START categories related to </w:t>
      </w:r>
      <w:r w:rsidRPr="004048DE">
        <w:rPr>
          <w:i/>
          <w:iCs/>
        </w:rPr>
        <w:t>Indication of medications</w:t>
      </w:r>
      <w:r w:rsidRPr="004048DE">
        <w:t xml:space="preserve">, </w:t>
      </w:r>
      <w:r w:rsidRPr="004048DE">
        <w:rPr>
          <w:i/>
          <w:iCs/>
        </w:rPr>
        <w:t>Urogenital system</w:t>
      </w:r>
      <w:r w:rsidRPr="004048DE">
        <w:t xml:space="preserve"> and </w:t>
      </w:r>
      <w:r w:rsidRPr="004048DE">
        <w:rPr>
          <w:i/>
          <w:iCs/>
        </w:rPr>
        <w:t>Vaccines</w:t>
      </w:r>
      <w:r w:rsidRPr="004048DE">
        <w:t xml:space="preserve"> were applicable. </w:t>
      </w:r>
      <w:bookmarkEnd w:id="0"/>
      <w:r w:rsidRPr="004048DE">
        <w:t>The data source lacked necessary variables (e.g., symptoms or side-effects), specific conditions were not covered by ICD10 codes (e.g., erosive oesophagitis), and essential information (e.g. drug doses), was inaccessible. These factors limited the application of the criteria.</w:t>
      </w:r>
      <w:r w:rsidR="006E6FC6">
        <w:t xml:space="preserve"> </w:t>
      </w:r>
    </w:p>
    <w:p w14:paraId="5119AB93" w14:textId="77777777" w:rsidR="00042E40" w:rsidRDefault="00042E40" w:rsidP="009F72A8">
      <w:pPr>
        <w:jc w:val="both"/>
      </w:pPr>
    </w:p>
    <w:p w14:paraId="0C52BEE2" w14:textId="77777777" w:rsidR="00042E40" w:rsidRDefault="00042E40" w:rsidP="009F72A8">
      <w:pPr>
        <w:jc w:val="both"/>
        <w:sectPr w:rsidR="00042E4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F07371" w14:textId="566819DC" w:rsidR="009A4002" w:rsidRDefault="009A4002" w:rsidP="009A4002">
      <w:pPr>
        <w:pStyle w:val="Bijschrift"/>
        <w:keepNext/>
        <w:jc w:val="both"/>
      </w:pPr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. </w:t>
      </w:r>
      <w:r w:rsidRPr="00911A4E">
        <w:t xml:space="preserve">An overview of the applicability of the </w:t>
      </w:r>
      <w:r w:rsidR="00F1301F">
        <w:t xml:space="preserve">reduced </w:t>
      </w:r>
      <w:r w:rsidRPr="00911A4E">
        <w:t>STOPP/STARTv2 criteria. The causes of inapplicability and the adjustments performed are also detailed within the table.</w:t>
      </w:r>
    </w:p>
    <w:tbl>
      <w:tblPr>
        <w:tblStyle w:val="Tabelraster"/>
        <w:tblW w:w="14322" w:type="dxa"/>
        <w:jc w:val="center"/>
        <w:tblLook w:val="04A0" w:firstRow="1" w:lastRow="0" w:firstColumn="1" w:lastColumn="0" w:noHBand="0" w:noVBand="1"/>
      </w:tblPr>
      <w:tblGrid>
        <w:gridCol w:w="3077"/>
        <w:gridCol w:w="5950"/>
        <w:gridCol w:w="1354"/>
        <w:gridCol w:w="3941"/>
      </w:tblGrid>
      <w:tr w:rsidR="0075642F" w:rsidRPr="008C4332" w14:paraId="63C4B0B1" w14:textId="77777777" w:rsidTr="00F1301F">
        <w:trPr>
          <w:trHeight w:val="300"/>
          <w:jc w:val="center"/>
        </w:trPr>
        <w:tc>
          <w:tcPr>
            <w:tcW w:w="3077" w:type="dxa"/>
            <w:noWrap/>
            <w:vAlign w:val="center"/>
            <w:hideMark/>
          </w:tcPr>
          <w:p w14:paraId="7ECBB61A" w14:textId="30303CFE" w:rsidR="00042E40" w:rsidRPr="008C4332" w:rsidRDefault="00F1301F" w:rsidP="00042E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Reduced </w:t>
            </w:r>
            <w:r w:rsidR="00042E40" w:rsidRPr="008C4332">
              <w:rPr>
                <w:b/>
                <w:bCs/>
                <w:sz w:val="20"/>
                <w:szCs w:val="20"/>
              </w:rPr>
              <w:t>STOPP/STARTv2 criteria</w:t>
            </w:r>
          </w:p>
        </w:tc>
        <w:tc>
          <w:tcPr>
            <w:tcW w:w="5950" w:type="dxa"/>
            <w:noWrap/>
            <w:vAlign w:val="center"/>
            <w:hideMark/>
          </w:tcPr>
          <w:p w14:paraId="681612C8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1354" w:type="dxa"/>
            <w:noWrap/>
            <w:vAlign w:val="center"/>
            <w:hideMark/>
          </w:tcPr>
          <w:p w14:paraId="31DB6EEE" w14:textId="33BC2C7B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Applicab</w:t>
            </w:r>
            <w:r w:rsidR="003E687D" w:rsidRPr="008C4332">
              <w:rPr>
                <w:b/>
                <w:bCs/>
                <w:sz w:val="20"/>
                <w:szCs w:val="20"/>
              </w:rPr>
              <w:t>i</w:t>
            </w:r>
            <w:r w:rsidRPr="008C4332">
              <w:rPr>
                <w:b/>
                <w:bCs/>
                <w:sz w:val="20"/>
                <w:szCs w:val="20"/>
              </w:rPr>
              <w:t>l</w:t>
            </w:r>
            <w:r w:rsidR="003E687D" w:rsidRPr="008C4332">
              <w:rPr>
                <w:b/>
                <w:bCs/>
                <w:sz w:val="20"/>
                <w:szCs w:val="20"/>
              </w:rPr>
              <w:t>it</w:t>
            </w:r>
            <w:r w:rsidRPr="008C4332">
              <w:rPr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4A3B65FE" w14:textId="5DC55482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 xml:space="preserve">Adjustments </w:t>
            </w:r>
            <w:r w:rsidR="000B320E" w:rsidRPr="008C4332">
              <w:rPr>
                <w:b/>
                <w:bCs/>
                <w:sz w:val="20"/>
                <w:szCs w:val="20"/>
              </w:rPr>
              <w:t>performed</w:t>
            </w:r>
          </w:p>
        </w:tc>
      </w:tr>
      <w:tr w:rsidR="002358D8" w:rsidRPr="008C4332" w14:paraId="5A0A1FE8" w14:textId="77777777" w:rsidTr="00F1301F">
        <w:trPr>
          <w:trHeight w:val="300"/>
          <w:jc w:val="center"/>
        </w:trPr>
        <w:tc>
          <w:tcPr>
            <w:tcW w:w="3077" w:type="dxa"/>
            <w:noWrap/>
            <w:vAlign w:val="center"/>
            <w:hideMark/>
          </w:tcPr>
          <w:p w14:paraId="0BBB53F7" w14:textId="77777777" w:rsidR="002358D8" w:rsidRPr="008C4332" w:rsidRDefault="002358D8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Indication of medication</w:t>
            </w:r>
          </w:p>
        </w:tc>
        <w:tc>
          <w:tcPr>
            <w:tcW w:w="11241" w:type="dxa"/>
            <w:gridSpan w:val="3"/>
            <w:noWrap/>
            <w:vAlign w:val="center"/>
            <w:hideMark/>
          </w:tcPr>
          <w:p w14:paraId="4D51E6A5" w14:textId="77777777" w:rsidR="002358D8" w:rsidRPr="008C4332" w:rsidRDefault="002358D8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557F9280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5176EA8F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STOPPA1</w:t>
            </w:r>
          </w:p>
        </w:tc>
        <w:tc>
          <w:tcPr>
            <w:tcW w:w="5950" w:type="dxa"/>
            <w:vAlign w:val="center"/>
            <w:hideMark/>
          </w:tcPr>
          <w:p w14:paraId="5A1163A3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Any drug prescribed without an evidence-based clinical indication.</w:t>
            </w:r>
          </w:p>
        </w:tc>
        <w:tc>
          <w:tcPr>
            <w:tcW w:w="1354" w:type="dxa"/>
            <w:noWrap/>
            <w:vAlign w:val="center"/>
            <w:hideMark/>
          </w:tcPr>
          <w:p w14:paraId="68284F6F" w14:textId="5FF8E40E" w:rsidR="00042E40" w:rsidRPr="008C4332" w:rsidRDefault="005F728C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6D7C52C0" w14:textId="29F547B6" w:rsidR="00042E40" w:rsidRPr="008C4332" w:rsidRDefault="000B320E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Too broad criterion</w:t>
            </w:r>
          </w:p>
        </w:tc>
      </w:tr>
      <w:tr w:rsidR="0075642F" w:rsidRPr="008C4332" w14:paraId="223C03F5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1A2410FE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STOPPA2</w:t>
            </w:r>
          </w:p>
        </w:tc>
        <w:tc>
          <w:tcPr>
            <w:tcW w:w="5950" w:type="dxa"/>
            <w:vAlign w:val="center"/>
            <w:hideMark/>
          </w:tcPr>
          <w:p w14:paraId="74ACA79A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Any drug prescribed beyond the recommended duration, where treatment duration is well defined.</w:t>
            </w:r>
          </w:p>
        </w:tc>
        <w:tc>
          <w:tcPr>
            <w:tcW w:w="1354" w:type="dxa"/>
            <w:noWrap/>
            <w:vAlign w:val="center"/>
            <w:hideMark/>
          </w:tcPr>
          <w:p w14:paraId="1EA6BC27" w14:textId="6299121B" w:rsidR="00042E40" w:rsidRPr="008C4332" w:rsidRDefault="005F728C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7D8CEBB9" w14:textId="76C681DB" w:rsidR="00042E40" w:rsidRPr="008C4332" w:rsidRDefault="000B320E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Too broad criterion</w:t>
            </w:r>
          </w:p>
        </w:tc>
      </w:tr>
      <w:tr w:rsidR="0075642F" w:rsidRPr="008C4332" w14:paraId="260AD346" w14:textId="77777777" w:rsidTr="00F1301F">
        <w:trPr>
          <w:trHeight w:val="900"/>
          <w:jc w:val="center"/>
        </w:trPr>
        <w:tc>
          <w:tcPr>
            <w:tcW w:w="3077" w:type="dxa"/>
            <w:vAlign w:val="center"/>
            <w:hideMark/>
          </w:tcPr>
          <w:p w14:paraId="73708945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STOPPA3</w:t>
            </w:r>
          </w:p>
        </w:tc>
        <w:tc>
          <w:tcPr>
            <w:tcW w:w="5950" w:type="dxa"/>
            <w:vAlign w:val="center"/>
            <w:hideMark/>
          </w:tcPr>
          <w:p w14:paraId="3F4F0FE8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Any duplicate drug class prescription e.g. two concurrent NSAIDs, SSRIs, loop diuretics, ACE inhibitors, anticoagulants (optimisation of monotherapy within a single drug class should be observed prior to considering a new agent).</w:t>
            </w:r>
          </w:p>
        </w:tc>
        <w:tc>
          <w:tcPr>
            <w:tcW w:w="1354" w:type="dxa"/>
            <w:noWrap/>
            <w:vAlign w:val="center"/>
            <w:hideMark/>
          </w:tcPr>
          <w:p w14:paraId="57220A3A" w14:textId="50FE9417" w:rsidR="00042E40" w:rsidRPr="008C4332" w:rsidRDefault="005F728C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4FEF2FD5" w14:textId="3870A89E" w:rsidR="00042E40" w:rsidRPr="008C4332" w:rsidRDefault="000B320E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Too broad criterion</w:t>
            </w:r>
          </w:p>
        </w:tc>
      </w:tr>
      <w:tr w:rsidR="002358D8" w:rsidRPr="008C4332" w14:paraId="0FE20107" w14:textId="77777777" w:rsidTr="00F1301F">
        <w:trPr>
          <w:trHeight w:val="300"/>
          <w:jc w:val="center"/>
        </w:trPr>
        <w:tc>
          <w:tcPr>
            <w:tcW w:w="3077" w:type="dxa"/>
            <w:noWrap/>
            <w:vAlign w:val="center"/>
            <w:hideMark/>
          </w:tcPr>
          <w:p w14:paraId="0857F68E" w14:textId="5423E9B1" w:rsidR="002358D8" w:rsidRPr="008C4332" w:rsidRDefault="002358D8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Cardiovascular system</w:t>
            </w:r>
          </w:p>
        </w:tc>
        <w:tc>
          <w:tcPr>
            <w:tcW w:w="11241" w:type="dxa"/>
            <w:gridSpan w:val="3"/>
            <w:vAlign w:val="center"/>
            <w:hideMark/>
          </w:tcPr>
          <w:p w14:paraId="39B5D610" w14:textId="746DC828" w:rsidR="002358D8" w:rsidRPr="008C4332" w:rsidRDefault="002358D8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6CE3032E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6C4E1B85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STOPPB1</w:t>
            </w:r>
          </w:p>
        </w:tc>
        <w:tc>
          <w:tcPr>
            <w:tcW w:w="5950" w:type="dxa"/>
            <w:vAlign w:val="center"/>
            <w:hideMark/>
          </w:tcPr>
          <w:p w14:paraId="0B829D14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Digoxin for heart failure with normal systolic ventricular function</w:t>
            </w:r>
          </w:p>
        </w:tc>
        <w:tc>
          <w:tcPr>
            <w:tcW w:w="1354" w:type="dxa"/>
            <w:noWrap/>
            <w:vAlign w:val="center"/>
            <w:hideMark/>
          </w:tcPr>
          <w:p w14:paraId="2CD0C123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5F8E3062" w14:textId="472C13E3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 xml:space="preserve">ICD10-code I50.3 </w:t>
            </w:r>
            <w:r w:rsidR="000B320E" w:rsidRPr="008C4332">
              <w:rPr>
                <w:sz w:val="20"/>
                <w:szCs w:val="20"/>
              </w:rPr>
              <w:t>was</w:t>
            </w:r>
            <w:r w:rsidRPr="008C4332">
              <w:rPr>
                <w:sz w:val="20"/>
                <w:szCs w:val="20"/>
              </w:rPr>
              <w:t xml:space="preserve"> used for heart failure with systolic ventricular function</w:t>
            </w:r>
          </w:p>
        </w:tc>
      </w:tr>
      <w:tr w:rsidR="0075642F" w:rsidRPr="008C4332" w14:paraId="5A67D874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5BFDE4E9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STOPPB2</w:t>
            </w:r>
          </w:p>
        </w:tc>
        <w:tc>
          <w:tcPr>
            <w:tcW w:w="5950" w:type="dxa"/>
            <w:vAlign w:val="center"/>
            <w:hideMark/>
          </w:tcPr>
          <w:p w14:paraId="36439962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Verapamil or diltiazem with NYHA Class III or IV heart failure</w:t>
            </w:r>
          </w:p>
        </w:tc>
        <w:tc>
          <w:tcPr>
            <w:tcW w:w="1354" w:type="dxa"/>
            <w:noWrap/>
            <w:vAlign w:val="center"/>
            <w:hideMark/>
          </w:tcPr>
          <w:p w14:paraId="5A601D2A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344BC8EC" w14:textId="3A3BCEBC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No ICD-10 code for NYHA Class III-IV</w:t>
            </w:r>
          </w:p>
        </w:tc>
      </w:tr>
      <w:tr w:rsidR="0075642F" w:rsidRPr="008C4332" w14:paraId="42AD0FFC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5CE7C85C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STOPPB3</w:t>
            </w:r>
          </w:p>
        </w:tc>
        <w:tc>
          <w:tcPr>
            <w:tcW w:w="5950" w:type="dxa"/>
            <w:vAlign w:val="center"/>
            <w:hideMark/>
          </w:tcPr>
          <w:p w14:paraId="42FE52AE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Beta-blocker in combination with verapamil or diltiazem</w:t>
            </w:r>
          </w:p>
        </w:tc>
        <w:tc>
          <w:tcPr>
            <w:tcW w:w="1354" w:type="dxa"/>
            <w:noWrap/>
            <w:vAlign w:val="center"/>
            <w:hideMark/>
          </w:tcPr>
          <w:p w14:paraId="31B6AE36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48460EA8" w14:textId="2376D40C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52B07F8C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044AFEEE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STOPPB4</w:t>
            </w:r>
          </w:p>
        </w:tc>
        <w:tc>
          <w:tcPr>
            <w:tcW w:w="5950" w:type="dxa"/>
            <w:vAlign w:val="center"/>
            <w:hideMark/>
          </w:tcPr>
          <w:p w14:paraId="4C22B5C5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Beta blocker with bradycardia (&lt; 50/min), type II heart block or complete heart block</w:t>
            </w:r>
          </w:p>
        </w:tc>
        <w:tc>
          <w:tcPr>
            <w:tcW w:w="1354" w:type="dxa"/>
            <w:noWrap/>
            <w:vAlign w:val="center"/>
            <w:hideMark/>
          </w:tcPr>
          <w:p w14:paraId="6AA42114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3595E64A" w14:textId="0103D27F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Had to use ICD-10 code instead of heart rate measurement</w:t>
            </w:r>
          </w:p>
        </w:tc>
      </w:tr>
      <w:tr w:rsidR="0075642F" w:rsidRPr="008C4332" w14:paraId="3EF6E21E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5819EF75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STOPPB5</w:t>
            </w:r>
          </w:p>
        </w:tc>
        <w:tc>
          <w:tcPr>
            <w:tcW w:w="5950" w:type="dxa"/>
            <w:vAlign w:val="center"/>
            <w:hideMark/>
          </w:tcPr>
          <w:p w14:paraId="76042DEC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Amiodarone as first-line antiarrhythmic therapy in supraventricular tachyarrhythmias</w:t>
            </w:r>
          </w:p>
        </w:tc>
        <w:tc>
          <w:tcPr>
            <w:tcW w:w="1354" w:type="dxa"/>
            <w:noWrap/>
            <w:vAlign w:val="center"/>
            <w:hideMark/>
          </w:tcPr>
          <w:p w14:paraId="1962AF72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79F173DD" w14:textId="57CD5B60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Cannot code for first-line treatment</w:t>
            </w:r>
          </w:p>
        </w:tc>
      </w:tr>
      <w:tr w:rsidR="0075642F" w:rsidRPr="008C4332" w14:paraId="03B421AE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204D640E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STOPPB6</w:t>
            </w:r>
          </w:p>
        </w:tc>
        <w:tc>
          <w:tcPr>
            <w:tcW w:w="5950" w:type="dxa"/>
            <w:vAlign w:val="center"/>
            <w:hideMark/>
          </w:tcPr>
          <w:p w14:paraId="540427AE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Loop diuretic as first-line treatment for hypertension</w:t>
            </w:r>
          </w:p>
        </w:tc>
        <w:tc>
          <w:tcPr>
            <w:tcW w:w="1354" w:type="dxa"/>
            <w:noWrap/>
            <w:vAlign w:val="center"/>
            <w:hideMark/>
          </w:tcPr>
          <w:p w14:paraId="3E7319B3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60ADB98C" w14:textId="704AC4D7" w:rsidR="00042E40" w:rsidRPr="008C4332" w:rsidRDefault="000B320E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Cannot code for first-line treatment</w:t>
            </w:r>
          </w:p>
        </w:tc>
      </w:tr>
      <w:tr w:rsidR="0075642F" w:rsidRPr="008C4332" w14:paraId="0CA605C9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307CC051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STOPPB7</w:t>
            </w:r>
          </w:p>
        </w:tc>
        <w:tc>
          <w:tcPr>
            <w:tcW w:w="5950" w:type="dxa"/>
            <w:vAlign w:val="center"/>
            <w:hideMark/>
          </w:tcPr>
          <w:p w14:paraId="3CEAAE6E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Loop diuretic for dependent ankle oedema without clinical, biochemical evidence or radiological evidence of heart failure, liver failure, nephrotic syndrome or renal failure</w:t>
            </w:r>
          </w:p>
        </w:tc>
        <w:tc>
          <w:tcPr>
            <w:tcW w:w="1354" w:type="dxa"/>
            <w:noWrap/>
            <w:vAlign w:val="center"/>
            <w:hideMark/>
          </w:tcPr>
          <w:p w14:paraId="123284FC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372474EA" w14:textId="128918AE" w:rsidR="00042E40" w:rsidRPr="008C4332" w:rsidRDefault="000B320E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Included only the ICD10 codes</w:t>
            </w:r>
          </w:p>
        </w:tc>
      </w:tr>
      <w:tr w:rsidR="0075642F" w:rsidRPr="008C4332" w14:paraId="7E277037" w14:textId="77777777" w:rsidTr="00F1301F">
        <w:trPr>
          <w:trHeight w:val="900"/>
          <w:jc w:val="center"/>
        </w:trPr>
        <w:tc>
          <w:tcPr>
            <w:tcW w:w="3077" w:type="dxa"/>
            <w:vAlign w:val="center"/>
            <w:hideMark/>
          </w:tcPr>
          <w:p w14:paraId="58389C27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STOPPB8</w:t>
            </w:r>
          </w:p>
        </w:tc>
        <w:tc>
          <w:tcPr>
            <w:tcW w:w="5950" w:type="dxa"/>
            <w:vAlign w:val="center"/>
            <w:hideMark/>
          </w:tcPr>
          <w:p w14:paraId="0ECB5D7C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Thiazide diuretic with current significant hypokalaemia (i.e. serum K+ &lt; 3.0 mmol/l), hyponatraemia (i.e. serum Na+ &lt; 130 mmol/l) hypercalcaemia (i.e. corrected serum calcium &gt; 2.65 mmol/l) or with a history of gout</w:t>
            </w:r>
          </w:p>
        </w:tc>
        <w:tc>
          <w:tcPr>
            <w:tcW w:w="1354" w:type="dxa"/>
            <w:noWrap/>
            <w:vAlign w:val="center"/>
            <w:hideMark/>
          </w:tcPr>
          <w:p w14:paraId="2ACE254E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4179F136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Have to use ICD10 code instead of laboratory values</w:t>
            </w:r>
          </w:p>
        </w:tc>
      </w:tr>
      <w:tr w:rsidR="0075642F" w:rsidRPr="008C4332" w14:paraId="156A4B2D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4A08F8BF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STOPPB9</w:t>
            </w:r>
          </w:p>
        </w:tc>
        <w:tc>
          <w:tcPr>
            <w:tcW w:w="5950" w:type="dxa"/>
            <w:vAlign w:val="center"/>
            <w:hideMark/>
          </w:tcPr>
          <w:p w14:paraId="553BA083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Loop diuretic for treatment of hypertension with concurrent urinary incontinence</w:t>
            </w:r>
          </w:p>
        </w:tc>
        <w:tc>
          <w:tcPr>
            <w:tcW w:w="1354" w:type="dxa"/>
            <w:noWrap/>
            <w:vAlign w:val="center"/>
            <w:hideMark/>
          </w:tcPr>
          <w:p w14:paraId="6B89955B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1833C71C" w14:textId="69D5F2F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00A16B92" w14:textId="77777777" w:rsidTr="00F1301F">
        <w:trPr>
          <w:trHeight w:val="900"/>
          <w:jc w:val="center"/>
        </w:trPr>
        <w:tc>
          <w:tcPr>
            <w:tcW w:w="3077" w:type="dxa"/>
            <w:vAlign w:val="center"/>
            <w:hideMark/>
          </w:tcPr>
          <w:p w14:paraId="29D2B432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STOPPB10</w:t>
            </w:r>
          </w:p>
        </w:tc>
        <w:tc>
          <w:tcPr>
            <w:tcW w:w="5950" w:type="dxa"/>
            <w:vAlign w:val="center"/>
            <w:hideMark/>
          </w:tcPr>
          <w:p w14:paraId="1357BA82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Centrally-acting antihypertensives (e.g. methyldopa, clonidine, moxonidine, rilmenidine, guanfacine), unless clear intolerance of, or lack of efficacy with, other classes of antihypertensives</w:t>
            </w:r>
          </w:p>
        </w:tc>
        <w:tc>
          <w:tcPr>
            <w:tcW w:w="1354" w:type="dxa"/>
            <w:noWrap/>
            <w:vAlign w:val="center"/>
            <w:hideMark/>
          </w:tcPr>
          <w:p w14:paraId="279AC6A0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77C2A0D8" w14:textId="4FD6E3BE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Cannot code for intolerance</w:t>
            </w:r>
          </w:p>
        </w:tc>
      </w:tr>
      <w:tr w:rsidR="0075642F" w:rsidRPr="008C4332" w14:paraId="1B052E5F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4BA85F22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STOPPB11</w:t>
            </w:r>
          </w:p>
        </w:tc>
        <w:tc>
          <w:tcPr>
            <w:tcW w:w="5950" w:type="dxa"/>
            <w:vAlign w:val="center"/>
            <w:hideMark/>
          </w:tcPr>
          <w:p w14:paraId="155683CE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ACE inhibitors or Angiotensin Receptor Blockers in patients with hyperkalaemia.</w:t>
            </w:r>
          </w:p>
        </w:tc>
        <w:tc>
          <w:tcPr>
            <w:tcW w:w="1354" w:type="dxa"/>
            <w:noWrap/>
            <w:vAlign w:val="center"/>
            <w:hideMark/>
          </w:tcPr>
          <w:p w14:paraId="330B3CB8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5125323D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Have to use ICD10 code instead of laboratory values</w:t>
            </w:r>
          </w:p>
        </w:tc>
      </w:tr>
      <w:tr w:rsidR="0075642F" w:rsidRPr="008C4332" w14:paraId="6476340D" w14:textId="77777777" w:rsidTr="00F1301F">
        <w:trPr>
          <w:trHeight w:val="900"/>
          <w:jc w:val="center"/>
        </w:trPr>
        <w:tc>
          <w:tcPr>
            <w:tcW w:w="3077" w:type="dxa"/>
            <w:vAlign w:val="center"/>
            <w:hideMark/>
          </w:tcPr>
          <w:p w14:paraId="30D0AEAE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lastRenderedPageBreak/>
              <w:t>STOPPB12</w:t>
            </w:r>
          </w:p>
        </w:tc>
        <w:tc>
          <w:tcPr>
            <w:tcW w:w="5950" w:type="dxa"/>
            <w:vAlign w:val="center"/>
            <w:hideMark/>
          </w:tcPr>
          <w:p w14:paraId="50CA1D94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Aldosterone antagonists (e.g. spironolactone, eplerenone) with concurrent potassium-conserving drugs (e.g. ACEI’s, ARB’s, amiloride, triamterene) without monitoring of serum potassium</w:t>
            </w:r>
          </w:p>
        </w:tc>
        <w:tc>
          <w:tcPr>
            <w:tcW w:w="1354" w:type="dxa"/>
            <w:noWrap/>
            <w:vAlign w:val="center"/>
            <w:hideMark/>
          </w:tcPr>
          <w:p w14:paraId="74DDA4D5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7609790F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Cannot code for monitoring of serum potassium</w:t>
            </w:r>
          </w:p>
        </w:tc>
      </w:tr>
      <w:tr w:rsidR="0075642F" w:rsidRPr="008C4332" w14:paraId="216617BB" w14:textId="77777777" w:rsidTr="00F1301F">
        <w:trPr>
          <w:trHeight w:val="878"/>
          <w:jc w:val="center"/>
        </w:trPr>
        <w:tc>
          <w:tcPr>
            <w:tcW w:w="3077" w:type="dxa"/>
            <w:vAlign w:val="center"/>
            <w:hideMark/>
          </w:tcPr>
          <w:p w14:paraId="25B7BD74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STOPPB13</w:t>
            </w:r>
          </w:p>
        </w:tc>
        <w:tc>
          <w:tcPr>
            <w:tcW w:w="5950" w:type="dxa"/>
            <w:vAlign w:val="center"/>
            <w:hideMark/>
          </w:tcPr>
          <w:p w14:paraId="14EBBFBE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Phosphodiesterase type-5 inhibitors (e.g. sildenafil, tadalafil, vardenafil) in severe heart failure characterised by hypotension i.e. systolic BP &lt; 90 mmHg, or concurrent nitrate therapy for angina</w:t>
            </w:r>
          </w:p>
        </w:tc>
        <w:tc>
          <w:tcPr>
            <w:tcW w:w="1354" w:type="dxa"/>
            <w:noWrap/>
            <w:vAlign w:val="center"/>
            <w:hideMark/>
          </w:tcPr>
          <w:p w14:paraId="3327A322" w14:textId="2D772A54" w:rsidR="00042E40" w:rsidRPr="008C4332" w:rsidRDefault="002358D8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12AA114B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We could code half of the criterium "Use of  Phosphodiesterase type V inhibitors with nitrate therapy for angina</w:t>
            </w:r>
          </w:p>
        </w:tc>
      </w:tr>
      <w:tr w:rsidR="002358D8" w:rsidRPr="008C4332" w14:paraId="53826CC2" w14:textId="77777777" w:rsidTr="00F1301F">
        <w:trPr>
          <w:trHeight w:val="300"/>
          <w:jc w:val="center"/>
        </w:trPr>
        <w:tc>
          <w:tcPr>
            <w:tcW w:w="3077" w:type="dxa"/>
            <w:noWrap/>
            <w:vAlign w:val="center"/>
            <w:hideMark/>
          </w:tcPr>
          <w:p w14:paraId="64A91E39" w14:textId="01EBCD17" w:rsidR="002358D8" w:rsidRPr="008C4332" w:rsidRDefault="002358D8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Antiplatelet / anticoagulant drugs</w:t>
            </w:r>
          </w:p>
        </w:tc>
        <w:tc>
          <w:tcPr>
            <w:tcW w:w="11241" w:type="dxa"/>
            <w:gridSpan w:val="3"/>
            <w:vAlign w:val="center"/>
            <w:hideMark/>
          </w:tcPr>
          <w:p w14:paraId="5404B436" w14:textId="5BEE6C5B" w:rsidR="002358D8" w:rsidRPr="008C4332" w:rsidRDefault="002358D8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2288463A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4D9332F4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STOPPC1</w:t>
            </w:r>
          </w:p>
        </w:tc>
        <w:tc>
          <w:tcPr>
            <w:tcW w:w="5950" w:type="dxa"/>
            <w:vAlign w:val="center"/>
            <w:hideMark/>
          </w:tcPr>
          <w:p w14:paraId="2316AABC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Long-term aspirin at doses greater than 160mg per day</w:t>
            </w:r>
          </w:p>
        </w:tc>
        <w:tc>
          <w:tcPr>
            <w:tcW w:w="1354" w:type="dxa"/>
            <w:noWrap/>
            <w:vAlign w:val="center"/>
            <w:hideMark/>
          </w:tcPr>
          <w:p w14:paraId="37A0BDF2" w14:textId="3898406E" w:rsidR="00042E40" w:rsidRPr="008C4332" w:rsidRDefault="000B320E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2CA3C9FA" w14:textId="524E1C69" w:rsidR="00042E40" w:rsidRPr="008C4332" w:rsidRDefault="000B320E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Drug doses were not accessible</w:t>
            </w:r>
          </w:p>
        </w:tc>
      </w:tr>
      <w:tr w:rsidR="0075642F" w:rsidRPr="008C4332" w14:paraId="540F87BC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60FAE0B5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STOPPC2</w:t>
            </w:r>
          </w:p>
        </w:tc>
        <w:tc>
          <w:tcPr>
            <w:tcW w:w="5950" w:type="dxa"/>
            <w:vAlign w:val="center"/>
            <w:hideMark/>
          </w:tcPr>
          <w:p w14:paraId="138B5E17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Aspirin with a past history of peptic ulcer disease without concomitant PPI</w:t>
            </w:r>
          </w:p>
        </w:tc>
        <w:tc>
          <w:tcPr>
            <w:tcW w:w="1354" w:type="dxa"/>
            <w:noWrap/>
            <w:vAlign w:val="center"/>
            <w:hideMark/>
          </w:tcPr>
          <w:p w14:paraId="64A56621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384BEEA8" w14:textId="5EB4FDB1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6C710CAB" w14:textId="77777777" w:rsidTr="00F1301F">
        <w:trPr>
          <w:trHeight w:val="900"/>
          <w:jc w:val="center"/>
        </w:trPr>
        <w:tc>
          <w:tcPr>
            <w:tcW w:w="3077" w:type="dxa"/>
            <w:vAlign w:val="center"/>
            <w:hideMark/>
          </w:tcPr>
          <w:p w14:paraId="72D715EE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STOPPC3</w:t>
            </w:r>
          </w:p>
        </w:tc>
        <w:tc>
          <w:tcPr>
            <w:tcW w:w="5950" w:type="dxa"/>
            <w:vAlign w:val="center"/>
            <w:hideMark/>
          </w:tcPr>
          <w:p w14:paraId="4071351C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Aspirin, clopidogrel, dipyridamole, vitamin K antagonists, direct thrombin inhibitors or factor Xa inhibitors with concurrent significant bleeding risk, i.e. uncontrolled severe hypertension, bleeding diathesis, recent non-trivial spontaneous bleeding)</w:t>
            </w:r>
          </w:p>
        </w:tc>
        <w:tc>
          <w:tcPr>
            <w:tcW w:w="1354" w:type="dxa"/>
            <w:noWrap/>
            <w:vAlign w:val="center"/>
            <w:hideMark/>
          </w:tcPr>
          <w:p w14:paraId="520F5181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30B6B601" w14:textId="607564A3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6221F309" w14:textId="77777777" w:rsidTr="00F1301F">
        <w:trPr>
          <w:trHeight w:val="900"/>
          <w:jc w:val="center"/>
        </w:trPr>
        <w:tc>
          <w:tcPr>
            <w:tcW w:w="3077" w:type="dxa"/>
            <w:vAlign w:val="center"/>
            <w:hideMark/>
          </w:tcPr>
          <w:p w14:paraId="47FFE0D3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STOPPC4</w:t>
            </w:r>
          </w:p>
        </w:tc>
        <w:tc>
          <w:tcPr>
            <w:tcW w:w="5950" w:type="dxa"/>
            <w:vAlign w:val="center"/>
            <w:hideMark/>
          </w:tcPr>
          <w:p w14:paraId="3E60DD4A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Aspirin plus clopidogrel as secondary stroke prevention, unless the patient has a coronary stent(s) inserted in the previous 12 months or concurrent acute coronary syndrome or has a high grade symptomatic carotid arterial stenosis</w:t>
            </w:r>
          </w:p>
        </w:tc>
        <w:tc>
          <w:tcPr>
            <w:tcW w:w="1354" w:type="dxa"/>
            <w:noWrap/>
            <w:vAlign w:val="center"/>
            <w:hideMark/>
          </w:tcPr>
          <w:p w14:paraId="2516232C" w14:textId="3C2E22DF" w:rsidR="00042E40" w:rsidRPr="008C4332" w:rsidRDefault="002358D8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5D5006CE" w14:textId="58EA9E1C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Cannot code for "high grade symptomatic"</w:t>
            </w:r>
            <w:r w:rsidR="000B320E" w:rsidRPr="008C4332">
              <w:rPr>
                <w:sz w:val="20"/>
                <w:szCs w:val="20"/>
              </w:rPr>
              <w:t xml:space="preserve"> or “coronary stent inserted in the previous 12 months”</w:t>
            </w:r>
          </w:p>
        </w:tc>
      </w:tr>
      <w:tr w:rsidR="0075642F" w:rsidRPr="008C4332" w14:paraId="7CA78E98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4B75972E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STOPPC5</w:t>
            </w:r>
          </w:p>
        </w:tc>
        <w:tc>
          <w:tcPr>
            <w:tcW w:w="5950" w:type="dxa"/>
            <w:vAlign w:val="center"/>
            <w:hideMark/>
          </w:tcPr>
          <w:p w14:paraId="7935A3AA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Aspirin in combination with vitamin K antagonist, direct thrombin inhibitor or factor Xa inhibitors in patients with chronic atrial fibrillation</w:t>
            </w:r>
          </w:p>
        </w:tc>
        <w:tc>
          <w:tcPr>
            <w:tcW w:w="1354" w:type="dxa"/>
            <w:noWrap/>
            <w:vAlign w:val="center"/>
            <w:hideMark/>
          </w:tcPr>
          <w:p w14:paraId="19D49670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0B9C0CE6" w14:textId="12A2AC4A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2EB28D2A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43166284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STOPPC6</w:t>
            </w:r>
          </w:p>
        </w:tc>
        <w:tc>
          <w:tcPr>
            <w:tcW w:w="5950" w:type="dxa"/>
            <w:vAlign w:val="center"/>
            <w:hideMark/>
          </w:tcPr>
          <w:p w14:paraId="4CCE4130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Antiplatelet agents with vitamin K antagonist, direct thrombin inhibitor or factor Xa inhibitors in patients with stable coronary, cerebrovascular or peripheral arterial disease</w:t>
            </w:r>
          </w:p>
        </w:tc>
        <w:tc>
          <w:tcPr>
            <w:tcW w:w="1354" w:type="dxa"/>
            <w:noWrap/>
            <w:vAlign w:val="center"/>
            <w:hideMark/>
          </w:tcPr>
          <w:p w14:paraId="1FA7A31C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7D292663" w14:textId="2F2B49DB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 xml:space="preserve">Cannot code for stable </w:t>
            </w:r>
            <w:r w:rsidR="000B320E" w:rsidRPr="008C4332">
              <w:rPr>
                <w:sz w:val="20"/>
                <w:szCs w:val="20"/>
              </w:rPr>
              <w:t>status of the conditions</w:t>
            </w:r>
          </w:p>
        </w:tc>
      </w:tr>
      <w:tr w:rsidR="0075642F" w:rsidRPr="008C4332" w14:paraId="76E82867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12DE5F00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STOPPC7</w:t>
            </w:r>
          </w:p>
        </w:tc>
        <w:tc>
          <w:tcPr>
            <w:tcW w:w="5950" w:type="dxa"/>
            <w:vAlign w:val="center"/>
            <w:hideMark/>
          </w:tcPr>
          <w:p w14:paraId="77EF3533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Ticlopidine in any circumstances</w:t>
            </w:r>
          </w:p>
        </w:tc>
        <w:tc>
          <w:tcPr>
            <w:tcW w:w="1354" w:type="dxa"/>
            <w:noWrap/>
            <w:vAlign w:val="center"/>
            <w:hideMark/>
          </w:tcPr>
          <w:p w14:paraId="2ED8DA31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50375C99" w14:textId="05B85C04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4812C4F2" w14:textId="77777777" w:rsidTr="00F1301F">
        <w:trPr>
          <w:trHeight w:val="900"/>
          <w:jc w:val="center"/>
        </w:trPr>
        <w:tc>
          <w:tcPr>
            <w:tcW w:w="3077" w:type="dxa"/>
            <w:vAlign w:val="center"/>
            <w:hideMark/>
          </w:tcPr>
          <w:p w14:paraId="4362FAEB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STOPPC8</w:t>
            </w:r>
          </w:p>
        </w:tc>
        <w:tc>
          <w:tcPr>
            <w:tcW w:w="5950" w:type="dxa"/>
            <w:vAlign w:val="center"/>
            <w:hideMark/>
          </w:tcPr>
          <w:p w14:paraId="4740DAD1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Vitamin K antagonist, direct thrombin inhibitor or factor Xa inhibitors for first deep venous thrombosis without continuing provoking risk factors (e.g. thrombophilia) for &gt; 6 months</w:t>
            </w:r>
          </w:p>
        </w:tc>
        <w:tc>
          <w:tcPr>
            <w:tcW w:w="1354" w:type="dxa"/>
            <w:noWrap/>
            <w:vAlign w:val="center"/>
            <w:hideMark/>
          </w:tcPr>
          <w:p w14:paraId="1E176EC7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04017C86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Provoking risk factors not defined</w:t>
            </w:r>
          </w:p>
        </w:tc>
      </w:tr>
      <w:tr w:rsidR="0075642F" w:rsidRPr="008C4332" w14:paraId="5CB38FE6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131A4E76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STOPPC9</w:t>
            </w:r>
          </w:p>
        </w:tc>
        <w:tc>
          <w:tcPr>
            <w:tcW w:w="5950" w:type="dxa"/>
            <w:vAlign w:val="center"/>
            <w:hideMark/>
          </w:tcPr>
          <w:p w14:paraId="7340B079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Vitamin K antagonist, direct thrombin inhibitor or factor Xa inhibitors for first pulmonary embolus without continuing provoking risk factors (e.g. thrombophilia) for &gt; 12 months</w:t>
            </w:r>
          </w:p>
        </w:tc>
        <w:tc>
          <w:tcPr>
            <w:tcW w:w="1354" w:type="dxa"/>
            <w:noWrap/>
            <w:vAlign w:val="center"/>
            <w:hideMark/>
          </w:tcPr>
          <w:p w14:paraId="13BF0739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2284D386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Provoking risk factors not defined</w:t>
            </w:r>
          </w:p>
        </w:tc>
      </w:tr>
      <w:tr w:rsidR="0075642F" w:rsidRPr="008C4332" w14:paraId="1D684716" w14:textId="77777777" w:rsidTr="00F1301F">
        <w:trPr>
          <w:trHeight w:val="649"/>
          <w:jc w:val="center"/>
        </w:trPr>
        <w:tc>
          <w:tcPr>
            <w:tcW w:w="3077" w:type="dxa"/>
            <w:vAlign w:val="center"/>
            <w:hideMark/>
          </w:tcPr>
          <w:p w14:paraId="6FA44AAF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STOPPC10</w:t>
            </w:r>
          </w:p>
        </w:tc>
        <w:tc>
          <w:tcPr>
            <w:tcW w:w="5950" w:type="dxa"/>
            <w:vAlign w:val="center"/>
            <w:hideMark/>
          </w:tcPr>
          <w:p w14:paraId="0CD21D81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NSAID and vitamin K antagonist, direct thrombin inhibitor or factor Xa inhibitors in combination</w:t>
            </w:r>
          </w:p>
        </w:tc>
        <w:tc>
          <w:tcPr>
            <w:tcW w:w="1354" w:type="dxa"/>
            <w:noWrap/>
            <w:vAlign w:val="center"/>
            <w:hideMark/>
          </w:tcPr>
          <w:p w14:paraId="73C29023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0A208A5A" w14:textId="0CAEC3B9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5E11A996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447BC6CC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STOPPC11</w:t>
            </w:r>
          </w:p>
        </w:tc>
        <w:tc>
          <w:tcPr>
            <w:tcW w:w="5950" w:type="dxa"/>
            <w:vAlign w:val="center"/>
            <w:hideMark/>
          </w:tcPr>
          <w:p w14:paraId="5B86559A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NSAID with concurrent antiplatelet agent(s) without PPI prophylaxis</w:t>
            </w:r>
          </w:p>
        </w:tc>
        <w:tc>
          <w:tcPr>
            <w:tcW w:w="1354" w:type="dxa"/>
            <w:noWrap/>
            <w:vAlign w:val="center"/>
            <w:hideMark/>
          </w:tcPr>
          <w:p w14:paraId="4B8ED873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42129602" w14:textId="27974183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2358D8" w:rsidRPr="008C4332" w14:paraId="06DD4DFA" w14:textId="77777777" w:rsidTr="00F1301F">
        <w:trPr>
          <w:trHeight w:val="300"/>
          <w:jc w:val="center"/>
        </w:trPr>
        <w:tc>
          <w:tcPr>
            <w:tcW w:w="3077" w:type="dxa"/>
            <w:noWrap/>
            <w:vAlign w:val="center"/>
            <w:hideMark/>
          </w:tcPr>
          <w:p w14:paraId="66A3B7AE" w14:textId="70B905FE" w:rsidR="002358D8" w:rsidRPr="008C4332" w:rsidRDefault="002358D8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lastRenderedPageBreak/>
              <w:t>Central nervous system and psychotropic drugs</w:t>
            </w:r>
          </w:p>
        </w:tc>
        <w:tc>
          <w:tcPr>
            <w:tcW w:w="11241" w:type="dxa"/>
            <w:gridSpan w:val="3"/>
            <w:vAlign w:val="center"/>
          </w:tcPr>
          <w:p w14:paraId="34AA5DCD" w14:textId="5EBC01A8" w:rsidR="002358D8" w:rsidRPr="008C4332" w:rsidRDefault="002358D8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3EE4229D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730534C0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STOPPD1</w:t>
            </w:r>
          </w:p>
        </w:tc>
        <w:tc>
          <w:tcPr>
            <w:tcW w:w="5950" w:type="dxa"/>
            <w:vAlign w:val="center"/>
            <w:hideMark/>
          </w:tcPr>
          <w:p w14:paraId="29C5AE26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TriCyclic Antidepressants (TCAs) with dementia, narrow angle glaucoma, cardiac conduction abnormalities, prostatism, or prior history of urinary retention</w:t>
            </w:r>
          </w:p>
        </w:tc>
        <w:tc>
          <w:tcPr>
            <w:tcW w:w="1354" w:type="dxa"/>
            <w:noWrap/>
            <w:vAlign w:val="center"/>
            <w:hideMark/>
          </w:tcPr>
          <w:p w14:paraId="1FB6C026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40F62B33" w14:textId="0527E573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3BF6787B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5110A7C4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STOPPD2</w:t>
            </w:r>
          </w:p>
        </w:tc>
        <w:tc>
          <w:tcPr>
            <w:tcW w:w="5950" w:type="dxa"/>
            <w:vAlign w:val="center"/>
            <w:hideMark/>
          </w:tcPr>
          <w:p w14:paraId="0700F607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Initiation of TriCyclic Antidepressants (TCAs) as first-line antidepressant treatment</w:t>
            </w:r>
          </w:p>
        </w:tc>
        <w:tc>
          <w:tcPr>
            <w:tcW w:w="1354" w:type="dxa"/>
            <w:noWrap/>
            <w:vAlign w:val="center"/>
            <w:hideMark/>
          </w:tcPr>
          <w:p w14:paraId="4AEB2CA1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3B1BFE45" w14:textId="669A3023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Cannot code for first-line treatment</w:t>
            </w:r>
          </w:p>
        </w:tc>
      </w:tr>
      <w:tr w:rsidR="0075642F" w:rsidRPr="008C4332" w14:paraId="667ABA9A" w14:textId="77777777" w:rsidTr="00F1301F">
        <w:trPr>
          <w:trHeight w:val="900"/>
          <w:jc w:val="center"/>
        </w:trPr>
        <w:tc>
          <w:tcPr>
            <w:tcW w:w="3077" w:type="dxa"/>
            <w:vAlign w:val="center"/>
            <w:hideMark/>
          </w:tcPr>
          <w:p w14:paraId="7978D13C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STOPPD3</w:t>
            </w:r>
          </w:p>
        </w:tc>
        <w:tc>
          <w:tcPr>
            <w:tcW w:w="5950" w:type="dxa"/>
            <w:vAlign w:val="center"/>
            <w:hideMark/>
          </w:tcPr>
          <w:p w14:paraId="2AFFE0BC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Neuroleptics with moderate-marked antimuscarinic/anticholinergic effects (chlorpromazine, clozapine, flupenthixol, fluphenzine, pipothiazine, promazine, zuclopenthixol) with a history of prostatism or previous urinary retention</w:t>
            </w:r>
          </w:p>
        </w:tc>
        <w:tc>
          <w:tcPr>
            <w:tcW w:w="1354" w:type="dxa"/>
            <w:noWrap/>
            <w:vAlign w:val="center"/>
            <w:hideMark/>
          </w:tcPr>
          <w:p w14:paraId="355D628A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5A9A2498" w14:textId="443593DE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26ADEEF8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0D55888E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STOPPD4</w:t>
            </w:r>
          </w:p>
        </w:tc>
        <w:tc>
          <w:tcPr>
            <w:tcW w:w="5950" w:type="dxa"/>
            <w:vAlign w:val="center"/>
            <w:hideMark/>
          </w:tcPr>
          <w:p w14:paraId="25646490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Selective serotonin re-uptake inhibitors (SSRI’s) with current or recent significant hyponatraemia i.e. serum Na+ &lt; 130 mmol/l</w:t>
            </w:r>
          </w:p>
        </w:tc>
        <w:tc>
          <w:tcPr>
            <w:tcW w:w="1354" w:type="dxa"/>
            <w:noWrap/>
            <w:vAlign w:val="center"/>
            <w:hideMark/>
          </w:tcPr>
          <w:p w14:paraId="1772ABE7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25396A40" w14:textId="56768DBB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Use ICD10 code instead of sodium levels</w:t>
            </w:r>
          </w:p>
        </w:tc>
      </w:tr>
      <w:tr w:rsidR="0075642F" w:rsidRPr="008C4332" w14:paraId="4A215939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79B57223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STOPPD5</w:t>
            </w:r>
          </w:p>
        </w:tc>
        <w:tc>
          <w:tcPr>
            <w:tcW w:w="5950" w:type="dxa"/>
            <w:vAlign w:val="center"/>
            <w:hideMark/>
          </w:tcPr>
          <w:p w14:paraId="40E8A4F2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Benzodiazepines for ≥ 4 weeks</w:t>
            </w:r>
          </w:p>
        </w:tc>
        <w:tc>
          <w:tcPr>
            <w:tcW w:w="1354" w:type="dxa"/>
            <w:noWrap/>
            <w:vAlign w:val="center"/>
            <w:hideMark/>
          </w:tcPr>
          <w:p w14:paraId="380CB80C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5AFD7FEC" w14:textId="1C7DCF74" w:rsidR="00042E40" w:rsidRPr="008C4332" w:rsidRDefault="004C38A4" w:rsidP="005D7FF4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Drugs dispensed for 90 days prior to baseline was collected</w:t>
            </w:r>
            <w:r w:rsidR="00A50FA9" w:rsidRPr="008C4332">
              <w:rPr>
                <w:sz w:val="20"/>
                <w:szCs w:val="20"/>
              </w:rPr>
              <w:t xml:space="preserve"> and t</w:t>
            </w:r>
            <w:r w:rsidRPr="008C4332">
              <w:rPr>
                <w:sz w:val="20"/>
                <w:szCs w:val="20"/>
              </w:rPr>
              <w:t>he use of benzodiazepines for a month is not unusual, hence the specific period of ≥ 4 weeks was not explicitly integrated in the code</w:t>
            </w:r>
          </w:p>
        </w:tc>
      </w:tr>
      <w:tr w:rsidR="0075642F" w:rsidRPr="008C4332" w14:paraId="36C078AC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7C68CD66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STOPPD6</w:t>
            </w:r>
          </w:p>
        </w:tc>
        <w:tc>
          <w:tcPr>
            <w:tcW w:w="5950" w:type="dxa"/>
            <w:vAlign w:val="center"/>
            <w:hideMark/>
          </w:tcPr>
          <w:p w14:paraId="5B9CBF42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Antipsychotics (i.e. other than quetiapine or clozapine) in those with parkinsonism or Lewy Body Disease</w:t>
            </w:r>
          </w:p>
        </w:tc>
        <w:tc>
          <w:tcPr>
            <w:tcW w:w="1354" w:type="dxa"/>
            <w:noWrap/>
            <w:vAlign w:val="center"/>
            <w:hideMark/>
          </w:tcPr>
          <w:p w14:paraId="276234E6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7D9420EF" w14:textId="24F524FE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59A73C76" w14:textId="77777777" w:rsidTr="00F1301F">
        <w:trPr>
          <w:trHeight w:val="698"/>
          <w:jc w:val="center"/>
        </w:trPr>
        <w:tc>
          <w:tcPr>
            <w:tcW w:w="3077" w:type="dxa"/>
            <w:vAlign w:val="center"/>
            <w:hideMark/>
          </w:tcPr>
          <w:p w14:paraId="10E21E1A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STOPPD7</w:t>
            </w:r>
          </w:p>
        </w:tc>
        <w:tc>
          <w:tcPr>
            <w:tcW w:w="5950" w:type="dxa"/>
            <w:vAlign w:val="center"/>
            <w:hideMark/>
          </w:tcPr>
          <w:p w14:paraId="4DA98716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Anticholinergics/antimuscarinics to treat extra-pyramidal side-effects of neuroleptic medications</w:t>
            </w:r>
          </w:p>
        </w:tc>
        <w:tc>
          <w:tcPr>
            <w:tcW w:w="1354" w:type="dxa"/>
            <w:noWrap/>
            <w:vAlign w:val="center"/>
            <w:hideMark/>
          </w:tcPr>
          <w:p w14:paraId="7BB0474E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34AC8641" w14:textId="6B98F558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5B677E83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7FC75454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STOPPD8</w:t>
            </w:r>
          </w:p>
        </w:tc>
        <w:tc>
          <w:tcPr>
            <w:tcW w:w="5950" w:type="dxa"/>
            <w:vAlign w:val="center"/>
            <w:hideMark/>
          </w:tcPr>
          <w:p w14:paraId="1CFB1613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Anticholinergics/antimuscarinics in patients with delirium or dementia</w:t>
            </w:r>
          </w:p>
        </w:tc>
        <w:tc>
          <w:tcPr>
            <w:tcW w:w="1354" w:type="dxa"/>
            <w:noWrap/>
            <w:vAlign w:val="center"/>
            <w:hideMark/>
          </w:tcPr>
          <w:p w14:paraId="678A9E9B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4BF399FE" w14:textId="66091F56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7D09D799" w14:textId="77777777" w:rsidTr="00F1301F">
        <w:trPr>
          <w:trHeight w:val="900"/>
          <w:jc w:val="center"/>
        </w:trPr>
        <w:tc>
          <w:tcPr>
            <w:tcW w:w="3077" w:type="dxa"/>
            <w:vAlign w:val="center"/>
            <w:hideMark/>
          </w:tcPr>
          <w:p w14:paraId="2C6D4E3E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STOPPD9</w:t>
            </w:r>
          </w:p>
        </w:tc>
        <w:tc>
          <w:tcPr>
            <w:tcW w:w="5950" w:type="dxa"/>
            <w:vAlign w:val="center"/>
            <w:hideMark/>
          </w:tcPr>
          <w:p w14:paraId="785F7484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Neuroleptic antipsychotic in patients with behavioural and psychological symptoms of dementia (BPSD) unless symptoms are severe and other non-pharmacological treatments have failed</w:t>
            </w:r>
          </w:p>
        </w:tc>
        <w:tc>
          <w:tcPr>
            <w:tcW w:w="1354" w:type="dxa"/>
            <w:noWrap/>
            <w:vAlign w:val="center"/>
            <w:hideMark/>
          </w:tcPr>
          <w:p w14:paraId="0105DD8C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5911056C" w14:textId="0BEA8578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Cannot code for "behavioural and psychological symptoms" and "unless symptoms are severe"</w:t>
            </w:r>
          </w:p>
        </w:tc>
      </w:tr>
      <w:tr w:rsidR="0075642F" w:rsidRPr="008C4332" w14:paraId="7D5BEE6E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7DA10C4D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STOPPD10</w:t>
            </w:r>
          </w:p>
        </w:tc>
        <w:tc>
          <w:tcPr>
            <w:tcW w:w="5950" w:type="dxa"/>
            <w:vAlign w:val="center"/>
            <w:hideMark/>
          </w:tcPr>
          <w:p w14:paraId="2661F2C4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Neuroleptics as hypnotics, unless sleep disorder is due to psychosis or dementia</w:t>
            </w:r>
          </w:p>
        </w:tc>
        <w:tc>
          <w:tcPr>
            <w:tcW w:w="1354" w:type="dxa"/>
            <w:noWrap/>
            <w:vAlign w:val="center"/>
            <w:hideMark/>
          </w:tcPr>
          <w:p w14:paraId="16AB085F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3A6CDCB5" w14:textId="3970C0BD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Coded "sleep disorder due to psychosis" as the co-</w:t>
            </w:r>
            <w:r w:rsidR="004C38A4" w:rsidRPr="008C4332">
              <w:rPr>
                <w:sz w:val="20"/>
                <w:szCs w:val="20"/>
              </w:rPr>
              <w:t>occurrence</w:t>
            </w:r>
            <w:r w:rsidRPr="008C4332">
              <w:rPr>
                <w:sz w:val="20"/>
                <w:szCs w:val="20"/>
              </w:rPr>
              <w:t xml:space="preserve"> of sleep</w:t>
            </w:r>
            <w:r w:rsidR="002358D8" w:rsidRPr="008C4332">
              <w:rPr>
                <w:sz w:val="20"/>
                <w:szCs w:val="20"/>
              </w:rPr>
              <w:t xml:space="preserve"> </w:t>
            </w:r>
            <w:r w:rsidRPr="008C4332">
              <w:rPr>
                <w:sz w:val="20"/>
                <w:szCs w:val="20"/>
              </w:rPr>
              <w:t>disorder and psychosis</w:t>
            </w:r>
          </w:p>
        </w:tc>
      </w:tr>
      <w:tr w:rsidR="0075642F" w:rsidRPr="008C4332" w14:paraId="6C7DF9C2" w14:textId="77777777" w:rsidTr="00F1301F">
        <w:trPr>
          <w:trHeight w:val="900"/>
          <w:jc w:val="center"/>
        </w:trPr>
        <w:tc>
          <w:tcPr>
            <w:tcW w:w="3077" w:type="dxa"/>
            <w:vAlign w:val="center"/>
            <w:hideMark/>
          </w:tcPr>
          <w:p w14:paraId="4AD6FAA1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STOPPD11</w:t>
            </w:r>
          </w:p>
        </w:tc>
        <w:tc>
          <w:tcPr>
            <w:tcW w:w="5950" w:type="dxa"/>
            <w:vAlign w:val="center"/>
            <w:hideMark/>
          </w:tcPr>
          <w:p w14:paraId="3459D851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Acetylcholinesterase inhibitors with a known history of persistent bradycardia (&lt; 60 beats/min.), heart block or recurrent unexplained syncope or concurrent treatment with drugs that reduce heart rate such as beta-blockers, digoxin, diltiazem, verapamil</w:t>
            </w:r>
          </w:p>
        </w:tc>
        <w:tc>
          <w:tcPr>
            <w:tcW w:w="1354" w:type="dxa"/>
            <w:noWrap/>
            <w:vAlign w:val="center"/>
            <w:hideMark/>
          </w:tcPr>
          <w:p w14:paraId="75CC6F7E" w14:textId="0319C8E5" w:rsidR="00042E40" w:rsidRPr="008C4332" w:rsidRDefault="002358D8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3EDE2D55" w14:textId="37745B24" w:rsidR="00042E40" w:rsidRPr="008C4332" w:rsidRDefault="002358D8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Did</w:t>
            </w:r>
            <w:r w:rsidR="00042E40" w:rsidRPr="008C4332">
              <w:rPr>
                <w:sz w:val="20"/>
                <w:szCs w:val="20"/>
              </w:rPr>
              <w:t xml:space="preserve"> not code for "recurrent unexplained syncope"</w:t>
            </w:r>
          </w:p>
        </w:tc>
      </w:tr>
      <w:tr w:rsidR="0075642F" w:rsidRPr="008C4332" w14:paraId="569507CF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37E36630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STOPPD12</w:t>
            </w:r>
          </w:p>
        </w:tc>
        <w:tc>
          <w:tcPr>
            <w:tcW w:w="5950" w:type="dxa"/>
            <w:vAlign w:val="center"/>
            <w:hideMark/>
          </w:tcPr>
          <w:p w14:paraId="29D409B1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Phenothiazines as first-line treatment, since safer and more efficacious alternatives exist</w:t>
            </w:r>
          </w:p>
        </w:tc>
        <w:tc>
          <w:tcPr>
            <w:tcW w:w="1354" w:type="dxa"/>
            <w:noWrap/>
            <w:vAlign w:val="center"/>
            <w:hideMark/>
          </w:tcPr>
          <w:p w14:paraId="4684A55D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69C8C75C" w14:textId="3F0EF13C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 xml:space="preserve">Cannot code for "first-line" treatment so we don't know if other options were looked for. </w:t>
            </w:r>
            <w:r w:rsidRPr="008C4332">
              <w:rPr>
                <w:sz w:val="20"/>
                <w:szCs w:val="20"/>
              </w:rPr>
              <w:lastRenderedPageBreak/>
              <w:t>Also no other options are given as suggestions so we cannot check if they are used</w:t>
            </w:r>
          </w:p>
        </w:tc>
      </w:tr>
      <w:tr w:rsidR="0075642F" w:rsidRPr="008C4332" w14:paraId="48F6DC21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2E5985EA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lastRenderedPageBreak/>
              <w:t>STOPPD13</w:t>
            </w:r>
          </w:p>
        </w:tc>
        <w:tc>
          <w:tcPr>
            <w:tcW w:w="5950" w:type="dxa"/>
            <w:vAlign w:val="center"/>
            <w:hideMark/>
          </w:tcPr>
          <w:p w14:paraId="3B732332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Levodopa or dopamine agonists for benign essential tremor</w:t>
            </w:r>
          </w:p>
        </w:tc>
        <w:tc>
          <w:tcPr>
            <w:tcW w:w="1354" w:type="dxa"/>
            <w:noWrap/>
            <w:vAlign w:val="center"/>
            <w:hideMark/>
          </w:tcPr>
          <w:p w14:paraId="4B1A100D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41E6A93A" w14:textId="775D6B1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52102C7C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4167B175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STOPPD14</w:t>
            </w:r>
          </w:p>
        </w:tc>
        <w:tc>
          <w:tcPr>
            <w:tcW w:w="5950" w:type="dxa"/>
            <w:vAlign w:val="center"/>
            <w:hideMark/>
          </w:tcPr>
          <w:p w14:paraId="420FBCAE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First-generation antihistamines</w:t>
            </w:r>
          </w:p>
        </w:tc>
        <w:tc>
          <w:tcPr>
            <w:tcW w:w="1354" w:type="dxa"/>
            <w:noWrap/>
            <w:vAlign w:val="center"/>
            <w:hideMark/>
          </w:tcPr>
          <w:p w14:paraId="70C63D9E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0036D183" w14:textId="55E23E00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2358D8" w:rsidRPr="008C4332" w14:paraId="05AC7C9F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51877D18" w14:textId="77777777" w:rsidR="002358D8" w:rsidRPr="008C4332" w:rsidRDefault="002358D8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Renal system</w:t>
            </w:r>
          </w:p>
        </w:tc>
        <w:tc>
          <w:tcPr>
            <w:tcW w:w="11241" w:type="dxa"/>
            <w:gridSpan w:val="3"/>
            <w:vAlign w:val="center"/>
            <w:hideMark/>
          </w:tcPr>
          <w:p w14:paraId="4CAC3650" w14:textId="77777777" w:rsidR="002358D8" w:rsidRPr="008C4332" w:rsidRDefault="002358D8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0104BE3A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4535A645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STOPPE1</w:t>
            </w:r>
          </w:p>
        </w:tc>
        <w:tc>
          <w:tcPr>
            <w:tcW w:w="5950" w:type="dxa"/>
            <w:vAlign w:val="center"/>
            <w:hideMark/>
          </w:tcPr>
          <w:p w14:paraId="36387BFC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Digoxin at a long-term dose greater than 125μg/day if eGFR &lt; 30 ml/min/1.73m2</w:t>
            </w:r>
          </w:p>
        </w:tc>
        <w:tc>
          <w:tcPr>
            <w:tcW w:w="1354" w:type="dxa"/>
            <w:noWrap/>
            <w:vAlign w:val="center"/>
            <w:hideMark/>
          </w:tcPr>
          <w:p w14:paraId="2FF94100" w14:textId="0C10BEA2" w:rsidR="00042E40" w:rsidRPr="008C4332" w:rsidRDefault="002358D8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083F574C" w14:textId="3A7CB388" w:rsidR="00042E40" w:rsidRPr="008C4332" w:rsidRDefault="002358D8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Drug doses were not accessible</w:t>
            </w:r>
          </w:p>
        </w:tc>
      </w:tr>
      <w:tr w:rsidR="0075642F" w:rsidRPr="008C4332" w14:paraId="525FD08B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2E0272B7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STOPPE2</w:t>
            </w:r>
          </w:p>
        </w:tc>
        <w:tc>
          <w:tcPr>
            <w:tcW w:w="5950" w:type="dxa"/>
            <w:vAlign w:val="center"/>
            <w:hideMark/>
          </w:tcPr>
          <w:p w14:paraId="2EF7A070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Direct thrombin inhibitors (e.g. dabigatran) if eGFR &lt; 30 ml/min/1.73m2</w:t>
            </w:r>
          </w:p>
        </w:tc>
        <w:tc>
          <w:tcPr>
            <w:tcW w:w="1354" w:type="dxa"/>
            <w:noWrap/>
            <w:vAlign w:val="center"/>
            <w:hideMark/>
          </w:tcPr>
          <w:p w14:paraId="6CD2B261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6A121295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Use the clinical diagnosis instead of the eGFR values</w:t>
            </w:r>
          </w:p>
        </w:tc>
      </w:tr>
      <w:tr w:rsidR="0075642F" w:rsidRPr="008C4332" w14:paraId="30A91EEA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40D04C59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STOPPE3</w:t>
            </w:r>
          </w:p>
        </w:tc>
        <w:tc>
          <w:tcPr>
            <w:tcW w:w="5950" w:type="dxa"/>
            <w:vAlign w:val="center"/>
            <w:hideMark/>
          </w:tcPr>
          <w:p w14:paraId="120DC2BC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Factor Xa inhibitors (e.g. rivaroxaban, apixaban) if eGFR &lt; 15 ml/min/1.73m2</w:t>
            </w:r>
          </w:p>
        </w:tc>
        <w:tc>
          <w:tcPr>
            <w:tcW w:w="1354" w:type="dxa"/>
            <w:noWrap/>
            <w:vAlign w:val="center"/>
            <w:hideMark/>
          </w:tcPr>
          <w:p w14:paraId="34F455F4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1C923933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Use the clinical diagnosis instead of the eGFR values</w:t>
            </w:r>
          </w:p>
        </w:tc>
      </w:tr>
      <w:tr w:rsidR="0075642F" w:rsidRPr="008C4332" w14:paraId="3E903192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6313B220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STOPPE4</w:t>
            </w:r>
          </w:p>
        </w:tc>
        <w:tc>
          <w:tcPr>
            <w:tcW w:w="5950" w:type="dxa"/>
            <w:vAlign w:val="center"/>
            <w:hideMark/>
          </w:tcPr>
          <w:p w14:paraId="05A55B88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NSAID’s if eGFR &lt; 50 ml/min/1.73m2</w:t>
            </w:r>
          </w:p>
        </w:tc>
        <w:tc>
          <w:tcPr>
            <w:tcW w:w="1354" w:type="dxa"/>
            <w:noWrap/>
            <w:vAlign w:val="center"/>
            <w:hideMark/>
          </w:tcPr>
          <w:p w14:paraId="33B52515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475C64B4" w14:textId="4B63B26A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 xml:space="preserve">No </w:t>
            </w:r>
            <w:r w:rsidR="0013319C" w:rsidRPr="008C4332">
              <w:rPr>
                <w:sz w:val="20"/>
                <w:szCs w:val="20"/>
              </w:rPr>
              <w:t>c</w:t>
            </w:r>
            <w:r w:rsidRPr="008C4332">
              <w:rPr>
                <w:sz w:val="20"/>
                <w:szCs w:val="20"/>
              </w:rPr>
              <w:t>linical diagnosis uses threshold &lt; 50</w:t>
            </w:r>
          </w:p>
        </w:tc>
      </w:tr>
      <w:tr w:rsidR="0075642F" w:rsidRPr="008C4332" w14:paraId="51D9ABB7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3CCA8242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STOPPE5</w:t>
            </w:r>
          </w:p>
        </w:tc>
        <w:tc>
          <w:tcPr>
            <w:tcW w:w="5950" w:type="dxa"/>
            <w:vAlign w:val="center"/>
            <w:hideMark/>
          </w:tcPr>
          <w:p w14:paraId="3FF3FE1C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Colchicine if eGFR &lt; 10 ml/min/1.73m2</w:t>
            </w:r>
          </w:p>
        </w:tc>
        <w:tc>
          <w:tcPr>
            <w:tcW w:w="1354" w:type="dxa"/>
            <w:noWrap/>
            <w:vAlign w:val="center"/>
            <w:hideMark/>
          </w:tcPr>
          <w:p w14:paraId="0E6853BD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53612BC9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Clinical diagnosis threshold is &lt; 15</w:t>
            </w:r>
          </w:p>
        </w:tc>
      </w:tr>
      <w:tr w:rsidR="0075642F" w:rsidRPr="008C4332" w14:paraId="74B93DC0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269D6253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STOPPE6</w:t>
            </w:r>
          </w:p>
        </w:tc>
        <w:tc>
          <w:tcPr>
            <w:tcW w:w="5950" w:type="dxa"/>
            <w:vAlign w:val="center"/>
            <w:hideMark/>
          </w:tcPr>
          <w:p w14:paraId="7ED1D1A1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Metformin if eGFR &lt; 30 ml/min/1.73m2</w:t>
            </w:r>
          </w:p>
        </w:tc>
        <w:tc>
          <w:tcPr>
            <w:tcW w:w="1354" w:type="dxa"/>
            <w:noWrap/>
            <w:vAlign w:val="center"/>
            <w:hideMark/>
          </w:tcPr>
          <w:p w14:paraId="526418A1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6511BE2A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Use the clinical diagnosis instead of the eGFR values</w:t>
            </w:r>
          </w:p>
        </w:tc>
      </w:tr>
      <w:tr w:rsidR="002358D8" w:rsidRPr="008C4332" w14:paraId="7CE9D733" w14:textId="77777777" w:rsidTr="00F1301F">
        <w:trPr>
          <w:trHeight w:val="300"/>
          <w:jc w:val="center"/>
        </w:trPr>
        <w:tc>
          <w:tcPr>
            <w:tcW w:w="3077" w:type="dxa"/>
            <w:noWrap/>
            <w:vAlign w:val="center"/>
            <w:hideMark/>
          </w:tcPr>
          <w:p w14:paraId="0182EF8E" w14:textId="63716E86" w:rsidR="002358D8" w:rsidRPr="008C4332" w:rsidRDefault="002358D8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Gastrointestinal system</w:t>
            </w:r>
          </w:p>
        </w:tc>
        <w:tc>
          <w:tcPr>
            <w:tcW w:w="11241" w:type="dxa"/>
            <w:gridSpan w:val="3"/>
            <w:vAlign w:val="center"/>
            <w:hideMark/>
          </w:tcPr>
          <w:p w14:paraId="142F7D62" w14:textId="6DE0451F" w:rsidR="002358D8" w:rsidRPr="008C4332" w:rsidRDefault="002358D8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4188DB6E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31F1C9BC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STOPPF1</w:t>
            </w:r>
          </w:p>
        </w:tc>
        <w:tc>
          <w:tcPr>
            <w:tcW w:w="5950" w:type="dxa"/>
            <w:vAlign w:val="center"/>
            <w:hideMark/>
          </w:tcPr>
          <w:p w14:paraId="23D4F974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Prochlorperazine or metoclopramide with Parkinsonism</w:t>
            </w:r>
          </w:p>
        </w:tc>
        <w:tc>
          <w:tcPr>
            <w:tcW w:w="1354" w:type="dxa"/>
            <w:noWrap/>
            <w:vAlign w:val="center"/>
            <w:hideMark/>
          </w:tcPr>
          <w:p w14:paraId="3C72ADE8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16868429" w14:textId="11A9F36F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5EF37526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3A56F031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STOPPF2</w:t>
            </w:r>
          </w:p>
        </w:tc>
        <w:tc>
          <w:tcPr>
            <w:tcW w:w="5950" w:type="dxa"/>
            <w:vAlign w:val="center"/>
            <w:hideMark/>
          </w:tcPr>
          <w:p w14:paraId="34494A7D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PPI for uncomplicated peptic ulcer disease or erosive peptic oesophagitis at full therapeutic dosage for &gt; 8 weeks</w:t>
            </w:r>
          </w:p>
        </w:tc>
        <w:tc>
          <w:tcPr>
            <w:tcW w:w="1354" w:type="dxa"/>
            <w:noWrap/>
            <w:vAlign w:val="center"/>
            <w:hideMark/>
          </w:tcPr>
          <w:p w14:paraId="7ABB6A35" w14:textId="534B48AF" w:rsidR="00042E40" w:rsidRPr="008C4332" w:rsidRDefault="0013319C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02E67A6E" w14:textId="76F40838" w:rsidR="00042E40" w:rsidRPr="008C4332" w:rsidRDefault="0013319C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Drug doses were not accessible</w:t>
            </w:r>
          </w:p>
        </w:tc>
      </w:tr>
      <w:tr w:rsidR="0075642F" w:rsidRPr="008C4332" w14:paraId="14FA5B4A" w14:textId="77777777" w:rsidTr="00F1301F">
        <w:trPr>
          <w:trHeight w:val="900"/>
          <w:jc w:val="center"/>
        </w:trPr>
        <w:tc>
          <w:tcPr>
            <w:tcW w:w="3077" w:type="dxa"/>
            <w:vAlign w:val="center"/>
            <w:hideMark/>
          </w:tcPr>
          <w:p w14:paraId="3CE20C92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STOPPF3</w:t>
            </w:r>
          </w:p>
        </w:tc>
        <w:tc>
          <w:tcPr>
            <w:tcW w:w="5950" w:type="dxa"/>
            <w:vAlign w:val="center"/>
            <w:hideMark/>
          </w:tcPr>
          <w:p w14:paraId="47091EBF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Drugs likely to cause constipation (e.g. antimuscarinic/anticholinergic drugs, oral iron, opioids, verapamil, aluminium antacids) in patients with chronic constipation where non-constipating alternatives are available</w:t>
            </w:r>
          </w:p>
        </w:tc>
        <w:tc>
          <w:tcPr>
            <w:tcW w:w="1354" w:type="dxa"/>
            <w:noWrap/>
            <w:vAlign w:val="center"/>
            <w:hideMark/>
          </w:tcPr>
          <w:p w14:paraId="43ED59D5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039C0F0F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Cannot code or know whether non-constipating alternatives are available</w:t>
            </w:r>
          </w:p>
        </w:tc>
      </w:tr>
      <w:tr w:rsidR="0075642F" w:rsidRPr="008C4332" w14:paraId="776340B2" w14:textId="77777777" w:rsidTr="00F1301F">
        <w:trPr>
          <w:trHeight w:val="900"/>
          <w:jc w:val="center"/>
        </w:trPr>
        <w:tc>
          <w:tcPr>
            <w:tcW w:w="3077" w:type="dxa"/>
            <w:vAlign w:val="center"/>
            <w:hideMark/>
          </w:tcPr>
          <w:p w14:paraId="638CD922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STOPPF4</w:t>
            </w:r>
          </w:p>
        </w:tc>
        <w:tc>
          <w:tcPr>
            <w:tcW w:w="5950" w:type="dxa"/>
            <w:vAlign w:val="center"/>
            <w:hideMark/>
          </w:tcPr>
          <w:p w14:paraId="2D72D07C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Oral elemental iron doses greater than 200 mg daily (e.g. ferrous fumarate&gt; 600 mg/day, ferrous sulphate &gt; 600 mg/day, ferrous gluconate&gt; 1800 mg/day; no evidence of enhanced iron absorption above these doses).</w:t>
            </w:r>
          </w:p>
        </w:tc>
        <w:tc>
          <w:tcPr>
            <w:tcW w:w="1354" w:type="dxa"/>
            <w:noWrap/>
            <w:vAlign w:val="center"/>
            <w:hideMark/>
          </w:tcPr>
          <w:p w14:paraId="28B4E470" w14:textId="078BC63D" w:rsidR="00042E40" w:rsidRPr="008C4332" w:rsidRDefault="0013319C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3EAC69CA" w14:textId="610115DC" w:rsidR="00042E40" w:rsidRPr="008C4332" w:rsidRDefault="0013319C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Drug doses were not accessible</w:t>
            </w:r>
          </w:p>
        </w:tc>
      </w:tr>
      <w:tr w:rsidR="002358D8" w:rsidRPr="008C4332" w14:paraId="5AA0015F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35B5F675" w14:textId="72E67A8A" w:rsidR="002358D8" w:rsidRPr="008C4332" w:rsidRDefault="002358D8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Respiratory system</w:t>
            </w:r>
          </w:p>
        </w:tc>
        <w:tc>
          <w:tcPr>
            <w:tcW w:w="11241" w:type="dxa"/>
            <w:gridSpan w:val="3"/>
            <w:vAlign w:val="center"/>
            <w:hideMark/>
          </w:tcPr>
          <w:p w14:paraId="3B30CFC8" w14:textId="5F23EEA2" w:rsidR="002358D8" w:rsidRPr="008C4332" w:rsidRDefault="002358D8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34E3EFBA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476191EC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STOPPG1</w:t>
            </w:r>
          </w:p>
        </w:tc>
        <w:tc>
          <w:tcPr>
            <w:tcW w:w="5950" w:type="dxa"/>
            <w:vAlign w:val="center"/>
            <w:hideMark/>
          </w:tcPr>
          <w:p w14:paraId="0527E09B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Theophylline as monotherapy for COPD</w:t>
            </w:r>
          </w:p>
        </w:tc>
        <w:tc>
          <w:tcPr>
            <w:tcW w:w="1354" w:type="dxa"/>
            <w:noWrap/>
            <w:vAlign w:val="center"/>
            <w:hideMark/>
          </w:tcPr>
          <w:p w14:paraId="65E053ED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6A009F16" w14:textId="0EF7F28D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0DDCF9AB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27707928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STOPPG2</w:t>
            </w:r>
          </w:p>
        </w:tc>
        <w:tc>
          <w:tcPr>
            <w:tcW w:w="5950" w:type="dxa"/>
            <w:vAlign w:val="center"/>
            <w:hideMark/>
          </w:tcPr>
          <w:p w14:paraId="20E4AB0E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Systemic corticosteroids instead of inhaled corticosteroids for maintenance therapy in moderate-severe COPD</w:t>
            </w:r>
          </w:p>
        </w:tc>
        <w:tc>
          <w:tcPr>
            <w:tcW w:w="1354" w:type="dxa"/>
            <w:noWrap/>
            <w:vAlign w:val="center"/>
            <w:hideMark/>
          </w:tcPr>
          <w:p w14:paraId="7F830269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60007D8A" w14:textId="4C4C40F1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No ICD10 code to determine severity of COPD</w:t>
            </w:r>
          </w:p>
        </w:tc>
      </w:tr>
      <w:tr w:rsidR="0075642F" w:rsidRPr="008C4332" w14:paraId="32BB8282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7162C320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lastRenderedPageBreak/>
              <w:t>STOPPG3</w:t>
            </w:r>
          </w:p>
        </w:tc>
        <w:tc>
          <w:tcPr>
            <w:tcW w:w="5950" w:type="dxa"/>
            <w:vAlign w:val="center"/>
            <w:hideMark/>
          </w:tcPr>
          <w:p w14:paraId="74E490B1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Anti-muscarinic bronchodilators (e.g. ipratropium, tiotropium) with a history of narrow angle glaucoma (may exacerbate glaucoma) or bladder outflow obstruction</w:t>
            </w:r>
          </w:p>
        </w:tc>
        <w:tc>
          <w:tcPr>
            <w:tcW w:w="1354" w:type="dxa"/>
            <w:noWrap/>
            <w:vAlign w:val="center"/>
            <w:hideMark/>
          </w:tcPr>
          <w:p w14:paraId="7F8FD00E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4B2DAFBB" w14:textId="5920CCC9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"Bladder outflow obstruction" we used prostatism and urinary retention</w:t>
            </w:r>
          </w:p>
        </w:tc>
      </w:tr>
      <w:tr w:rsidR="0075642F" w:rsidRPr="008C4332" w14:paraId="29A580AA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5E8A8C71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STOPPG4</w:t>
            </w:r>
          </w:p>
        </w:tc>
        <w:tc>
          <w:tcPr>
            <w:tcW w:w="5950" w:type="dxa"/>
            <w:vAlign w:val="center"/>
            <w:hideMark/>
          </w:tcPr>
          <w:p w14:paraId="043AB561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Benzodiazepines with acute or chronic respiratory failure i.e. pO2 &lt; 8.0 kPa ± pCO2 &gt; 6.5 kPa</w:t>
            </w:r>
          </w:p>
        </w:tc>
        <w:tc>
          <w:tcPr>
            <w:tcW w:w="1354" w:type="dxa"/>
            <w:noWrap/>
            <w:vAlign w:val="center"/>
            <w:hideMark/>
          </w:tcPr>
          <w:p w14:paraId="5B4CF40C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323B57D6" w14:textId="0F22FCE3" w:rsidR="00042E40" w:rsidRPr="008C4332" w:rsidRDefault="000B79AF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Used the ICD10 code</w:t>
            </w:r>
          </w:p>
        </w:tc>
      </w:tr>
      <w:tr w:rsidR="002358D8" w:rsidRPr="008C4332" w14:paraId="71265356" w14:textId="77777777" w:rsidTr="00F1301F">
        <w:trPr>
          <w:trHeight w:val="300"/>
          <w:jc w:val="center"/>
        </w:trPr>
        <w:tc>
          <w:tcPr>
            <w:tcW w:w="3077" w:type="dxa"/>
            <w:noWrap/>
            <w:vAlign w:val="center"/>
            <w:hideMark/>
          </w:tcPr>
          <w:p w14:paraId="4D45BE04" w14:textId="77777777" w:rsidR="002358D8" w:rsidRPr="008C4332" w:rsidRDefault="002358D8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Musculoskeletal system</w:t>
            </w:r>
          </w:p>
        </w:tc>
        <w:tc>
          <w:tcPr>
            <w:tcW w:w="11241" w:type="dxa"/>
            <w:gridSpan w:val="3"/>
            <w:vAlign w:val="center"/>
            <w:hideMark/>
          </w:tcPr>
          <w:p w14:paraId="431AAB31" w14:textId="27CDA089" w:rsidR="002358D8" w:rsidRPr="008C4332" w:rsidRDefault="002358D8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697F15DE" w14:textId="77777777" w:rsidTr="00F1301F">
        <w:trPr>
          <w:trHeight w:val="900"/>
          <w:jc w:val="center"/>
        </w:trPr>
        <w:tc>
          <w:tcPr>
            <w:tcW w:w="3077" w:type="dxa"/>
            <w:vAlign w:val="center"/>
            <w:hideMark/>
          </w:tcPr>
          <w:p w14:paraId="6657F098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STOPPH1</w:t>
            </w:r>
          </w:p>
        </w:tc>
        <w:tc>
          <w:tcPr>
            <w:tcW w:w="5950" w:type="dxa"/>
            <w:vAlign w:val="center"/>
            <w:hideMark/>
          </w:tcPr>
          <w:p w14:paraId="56B5D5DA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Non-steroidal anti-inflammatory drug (NSAID) other than COX-2 selective agents with history of peptic ulcer disease or gastrointestinal bleeding, unless with concurrent PPI or H2 antagonist</w:t>
            </w:r>
          </w:p>
        </w:tc>
        <w:tc>
          <w:tcPr>
            <w:tcW w:w="1354" w:type="dxa"/>
            <w:noWrap/>
            <w:vAlign w:val="center"/>
            <w:hideMark/>
          </w:tcPr>
          <w:p w14:paraId="18D9F5D9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7CB93DA6" w14:textId="5A5D1262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753859EA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4B76DC8F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STOPPH2</w:t>
            </w:r>
          </w:p>
        </w:tc>
        <w:tc>
          <w:tcPr>
            <w:tcW w:w="5950" w:type="dxa"/>
            <w:vAlign w:val="center"/>
            <w:hideMark/>
          </w:tcPr>
          <w:p w14:paraId="29F83DE8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NSAID with severe hypertension (risk of exacerbation of hypertension) or severe heart failure</w:t>
            </w:r>
          </w:p>
        </w:tc>
        <w:tc>
          <w:tcPr>
            <w:tcW w:w="1354" w:type="dxa"/>
            <w:noWrap/>
            <w:vAlign w:val="center"/>
            <w:hideMark/>
          </w:tcPr>
          <w:p w14:paraId="336BAC99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44C92FB7" w14:textId="3F9731DD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"severe" cannot be coded</w:t>
            </w:r>
          </w:p>
        </w:tc>
      </w:tr>
      <w:tr w:rsidR="0075642F" w:rsidRPr="008C4332" w14:paraId="15A59594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0DDE6F6E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STOPPH3</w:t>
            </w:r>
          </w:p>
        </w:tc>
        <w:tc>
          <w:tcPr>
            <w:tcW w:w="5950" w:type="dxa"/>
            <w:vAlign w:val="center"/>
            <w:hideMark/>
          </w:tcPr>
          <w:p w14:paraId="29658789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Long-term use of NSAID (&gt;3 months) for symptom relief of osteoarthritis pain where paracetamol has not been tried</w:t>
            </w:r>
          </w:p>
        </w:tc>
        <w:tc>
          <w:tcPr>
            <w:tcW w:w="1354" w:type="dxa"/>
            <w:noWrap/>
            <w:vAlign w:val="center"/>
            <w:hideMark/>
          </w:tcPr>
          <w:p w14:paraId="370D4B91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1418C761" w14:textId="2660B338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Cannot know whether paracetamol has been tried</w:t>
            </w:r>
          </w:p>
        </w:tc>
      </w:tr>
      <w:tr w:rsidR="0075642F" w:rsidRPr="008C4332" w14:paraId="7E8D571C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0C68113B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STOPPH4</w:t>
            </w:r>
          </w:p>
        </w:tc>
        <w:tc>
          <w:tcPr>
            <w:tcW w:w="5950" w:type="dxa"/>
            <w:vAlign w:val="center"/>
            <w:hideMark/>
          </w:tcPr>
          <w:p w14:paraId="0F69BC55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Long-term corticosteroids (&gt;3 months) as monotherapy for rheumatoid arthrtitis</w:t>
            </w:r>
          </w:p>
        </w:tc>
        <w:tc>
          <w:tcPr>
            <w:tcW w:w="1354" w:type="dxa"/>
            <w:noWrap/>
            <w:vAlign w:val="center"/>
            <w:hideMark/>
          </w:tcPr>
          <w:p w14:paraId="666ACFAF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2AAE5F5E" w14:textId="66C82D34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1DB69C70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0F53D5B2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STOPPH5</w:t>
            </w:r>
          </w:p>
        </w:tc>
        <w:tc>
          <w:tcPr>
            <w:tcW w:w="5950" w:type="dxa"/>
            <w:vAlign w:val="center"/>
            <w:hideMark/>
          </w:tcPr>
          <w:p w14:paraId="1E39BF58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Corticosteroids (other than periodic intra-articular injections for mono-articular pain) for osteoarthritis</w:t>
            </w:r>
          </w:p>
        </w:tc>
        <w:tc>
          <w:tcPr>
            <w:tcW w:w="1354" w:type="dxa"/>
            <w:noWrap/>
            <w:vAlign w:val="center"/>
            <w:hideMark/>
          </w:tcPr>
          <w:p w14:paraId="286E56DB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2C06D8C4" w14:textId="287B1722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65D9DD21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019C483D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STOPPH6</w:t>
            </w:r>
          </w:p>
        </w:tc>
        <w:tc>
          <w:tcPr>
            <w:tcW w:w="5950" w:type="dxa"/>
            <w:vAlign w:val="center"/>
            <w:hideMark/>
          </w:tcPr>
          <w:p w14:paraId="638BED94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Long-term NSAID or colchicine (&gt;3 months) for chronic treatment of gout where there is no contraindication to a xanthine-oxidase inhibitor (e.g. allopurinol, febuxostat)</w:t>
            </w:r>
          </w:p>
        </w:tc>
        <w:tc>
          <w:tcPr>
            <w:tcW w:w="1354" w:type="dxa"/>
            <w:noWrap/>
            <w:vAlign w:val="center"/>
            <w:hideMark/>
          </w:tcPr>
          <w:p w14:paraId="0A26210F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73CEF6AA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Cannot code for contraindications</w:t>
            </w:r>
          </w:p>
        </w:tc>
      </w:tr>
      <w:tr w:rsidR="0075642F" w:rsidRPr="008C4332" w14:paraId="41F26839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7205211D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STOPPH7</w:t>
            </w:r>
          </w:p>
        </w:tc>
        <w:tc>
          <w:tcPr>
            <w:tcW w:w="5950" w:type="dxa"/>
            <w:vAlign w:val="center"/>
            <w:hideMark/>
          </w:tcPr>
          <w:p w14:paraId="49D4457A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COX-2 selective NSAIDs with concurrent cardiovascular disease</w:t>
            </w:r>
          </w:p>
        </w:tc>
        <w:tc>
          <w:tcPr>
            <w:tcW w:w="1354" w:type="dxa"/>
            <w:noWrap/>
            <w:vAlign w:val="center"/>
            <w:hideMark/>
          </w:tcPr>
          <w:p w14:paraId="6F7A418B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403164BC" w14:textId="153334C4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36CE3DD2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0B952A14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STOPPH8</w:t>
            </w:r>
          </w:p>
        </w:tc>
        <w:tc>
          <w:tcPr>
            <w:tcW w:w="5950" w:type="dxa"/>
            <w:vAlign w:val="center"/>
            <w:hideMark/>
          </w:tcPr>
          <w:p w14:paraId="747BECCC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NSAID with concurrent corticosteroids without PPI prophylaxis</w:t>
            </w:r>
          </w:p>
        </w:tc>
        <w:tc>
          <w:tcPr>
            <w:tcW w:w="1354" w:type="dxa"/>
            <w:noWrap/>
            <w:vAlign w:val="center"/>
            <w:hideMark/>
          </w:tcPr>
          <w:p w14:paraId="51383C67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757223A4" w14:textId="687C0CA1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55588815" w14:textId="77777777" w:rsidTr="00F1301F">
        <w:trPr>
          <w:trHeight w:val="900"/>
          <w:jc w:val="center"/>
        </w:trPr>
        <w:tc>
          <w:tcPr>
            <w:tcW w:w="3077" w:type="dxa"/>
            <w:vAlign w:val="center"/>
            <w:hideMark/>
          </w:tcPr>
          <w:p w14:paraId="212662DB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STOPPH9</w:t>
            </w:r>
          </w:p>
        </w:tc>
        <w:tc>
          <w:tcPr>
            <w:tcW w:w="5950" w:type="dxa"/>
            <w:vAlign w:val="center"/>
            <w:hideMark/>
          </w:tcPr>
          <w:p w14:paraId="58AB1C8F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Oral bisphosphonates in patients with a current or recent history of upper gastrointestinal disease i.e. dysphagia, oesophagitis, gastritis, duodenitis, or peptic ulcer disease, or upper gastrointestinal bleeding</w:t>
            </w:r>
          </w:p>
        </w:tc>
        <w:tc>
          <w:tcPr>
            <w:tcW w:w="1354" w:type="dxa"/>
            <w:noWrap/>
            <w:vAlign w:val="center"/>
            <w:hideMark/>
          </w:tcPr>
          <w:p w14:paraId="37739236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67BCE98C" w14:textId="79FD7CFD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2358D8" w:rsidRPr="008C4332" w14:paraId="510041C1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406980DE" w14:textId="0CB0E375" w:rsidR="002358D8" w:rsidRPr="008C4332" w:rsidRDefault="002358D8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Urogenital system</w:t>
            </w:r>
          </w:p>
        </w:tc>
        <w:tc>
          <w:tcPr>
            <w:tcW w:w="11241" w:type="dxa"/>
            <w:gridSpan w:val="3"/>
            <w:vAlign w:val="center"/>
            <w:hideMark/>
          </w:tcPr>
          <w:p w14:paraId="370835AF" w14:textId="4308E3D1" w:rsidR="002358D8" w:rsidRPr="008C4332" w:rsidRDefault="002358D8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773FBF4E" w14:textId="77777777" w:rsidTr="00F1301F">
        <w:trPr>
          <w:trHeight w:val="900"/>
          <w:jc w:val="center"/>
        </w:trPr>
        <w:tc>
          <w:tcPr>
            <w:tcW w:w="3077" w:type="dxa"/>
            <w:vAlign w:val="center"/>
            <w:hideMark/>
          </w:tcPr>
          <w:p w14:paraId="11E77863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STOPPI1</w:t>
            </w:r>
          </w:p>
        </w:tc>
        <w:tc>
          <w:tcPr>
            <w:tcW w:w="5950" w:type="dxa"/>
            <w:vAlign w:val="center"/>
            <w:hideMark/>
          </w:tcPr>
          <w:p w14:paraId="78021752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Antimuscarinic drugs with dementia, or chronic cognitive impairment (risk of increased confusion, agitation) or narrow-angle glaucoma (risk of acute exacerbation of glaucoma), or chronic prostatism (risk of urinary retention).</w:t>
            </w:r>
          </w:p>
        </w:tc>
        <w:tc>
          <w:tcPr>
            <w:tcW w:w="1354" w:type="dxa"/>
            <w:noWrap/>
            <w:vAlign w:val="center"/>
            <w:hideMark/>
          </w:tcPr>
          <w:p w14:paraId="0345AF30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235E646F" w14:textId="7912C88E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17DBFC39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639B0107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STOPPI2</w:t>
            </w:r>
          </w:p>
        </w:tc>
        <w:tc>
          <w:tcPr>
            <w:tcW w:w="5950" w:type="dxa"/>
            <w:vAlign w:val="center"/>
            <w:hideMark/>
          </w:tcPr>
          <w:p w14:paraId="4C8366BF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Selective alpha-1 selective alpha blockers in those with symptomatic orthostatic hypotension or micturition syncope.</w:t>
            </w:r>
          </w:p>
        </w:tc>
        <w:tc>
          <w:tcPr>
            <w:tcW w:w="1354" w:type="dxa"/>
            <w:noWrap/>
            <w:vAlign w:val="center"/>
            <w:hideMark/>
          </w:tcPr>
          <w:p w14:paraId="68099B3B" w14:textId="64EEDF05" w:rsidR="00042E40" w:rsidRPr="008C4332" w:rsidRDefault="009E2A76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53950B36" w14:textId="60A4F39C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Could only code part. Could not code for "symptomatic" orthostatic hypotension</w:t>
            </w:r>
          </w:p>
        </w:tc>
      </w:tr>
      <w:tr w:rsidR="002358D8" w:rsidRPr="008C4332" w14:paraId="60595969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6D67D5DE" w14:textId="77777777" w:rsidR="002358D8" w:rsidRPr="008C4332" w:rsidRDefault="002358D8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lastRenderedPageBreak/>
              <w:t>Endocrine system</w:t>
            </w:r>
          </w:p>
        </w:tc>
        <w:tc>
          <w:tcPr>
            <w:tcW w:w="11241" w:type="dxa"/>
            <w:gridSpan w:val="3"/>
            <w:vAlign w:val="center"/>
            <w:hideMark/>
          </w:tcPr>
          <w:p w14:paraId="6A6C85E4" w14:textId="51795131" w:rsidR="002358D8" w:rsidRPr="008C4332" w:rsidRDefault="002358D8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742CE9A2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5EC80C53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STOPPJ1</w:t>
            </w:r>
          </w:p>
        </w:tc>
        <w:tc>
          <w:tcPr>
            <w:tcW w:w="5950" w:type="dxa"/>
            <w:vAlign w:val="center"/>
            <w:hideMark/>
          </w:tcPr>
          <w:p w14:paraId="3B8DBDAB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Sulphonylureas with a long duration of action (e.g. glibenclamide, chlorpropamide, glimepiride) with type 2 diabetes mellitus</w:t>
            </w:r>
          </w:p>
        </w:tc>
        <w:tc>
          <w:tcPr>
            <w:tcW w:w="1354" w:type="dxa"/>
            <w:noWrap/>
            <w:vAlign w:val="center"/>
            <w:hideMark/>
          </w:tcPr>
          <w:p w14:paraId="47B22A14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19051CC1" w14:textId="3322839C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61BADB5F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7A0BDDAA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STOPPJ2</w:t>
            </w:r>
          </w:p>
        </w:tc>
        <w:tc>
          <w:tcPr>
            <w:tcW w:w="5950" w:type="dxa"/>
            <w:vAlign w:val="center"/>
            <w:hideMark/>
          </w:tcPr>
          <w:p w14:paraId="3443BFAA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Thiazolidenediones (e.g. rosiglitazone, pioglitazone) in patients with heart failure</w:t>
            </w:r>
          </w:p>
        </w:tc>
        <w:tc>
          <w:tcPr>
            <w:tcW w:w="1354" w:type="dxa"/>
            <w:noWrap/>
            <w:vAlign w:val="center"/>
            <w:hideMark/>
          </w:tcPr>
          <w:p w14:paraId="261CAECE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356AEAB4" w14:textId="4E1FCCA4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25C61EF5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587EBF80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STOPPJ3</w:t>
            </w:r>
          </w:p>
        </w:tc>
        <w:tc>
          <w:tcPr>
            <w:tcW w:w="5950" w:type="dxa"/>
            <w:vAlign w:val="center"/>
            <w:hideMark/>
          </w:tcPr>
          <w:p w14:paraId="1185723C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Beta-blockers in diabetes mellitus with frequent hypoglycaemic episodes</w:t>
            </w:r>
          </w:p>
        </w:tc>
        <w:tc>
          <w:tcPr>
            <w:tcW w:w="1354" w:type="dxa"/>
            <w:noWrap/>
            <w:vAlign w:val="center"/>
            <w:hideMark/>
          </w:tcPr>
          <w:p w14:paraId="477C2E61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020C1D21" w14:textId="07D5CF4D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 xml:space="preserve">Cannot code for </w:t>
            </w:r>
            <w:r w:rsidR="009E2A76" w:rsidRPr="008C4332">
              <w:rPr>
                <w:sz w:val="20"/>
                <w:szCs w:val="20"/>
              </w:rPr>
              <w:t>hypoglycaemic</w:t>
            </w:r>
            <w:r w:rsidRPr="008C4332">
              <w:rPr>
                <w:sz w:val="20"/>
                <w:szCs w:val="20"/>
              </w:rPr>
              <w:t xml:space="preserve"> episodes but could use </w:t>
            </w:r>
            <w:r w:rsidR="009E2A76" w:rsidRPr="008C4332">
              <w:rPr>
                <w:sz w:val="20"/>
                <w:szCs w:val="20"/>
              </w:rPr>
              <w:t>hypoglycaemia</w:t>
            </w:r>
            <w:r w:rsidRPr="008C4332">
              <w:rPr>
                <w:sz w:val="20"/>
                <w:szCs w:val="20"/>
              </w:rPr>
              <w:t xml:space="preserve"> ICD10 codes</w:t>
            </w:r>
          </w:p>
        </w:tc>
      </w:tr>
      <w:tr w:rsidR="0075642F" w:rsidRPr="008C4332" w14:paraId="15AA71CB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3C9E57AD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STOPPJ4</w:t>
            </w:r>
          </w:p>
        </w:tc>
        <w:tc>
          <w:tcPr>
            <w:tcW w:w="5950" w:type="dxa"/>
            <w:vAlign w:val="center"/>
            <w:hideMark/>
          </w:tcPr>
          <w:p w14:paraId="21965AF2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Oestrogens with a history of breast cancer or venous thromboembolism</w:t>
            </w:r>
          </w:p>
        </w:tc>
        <w:tc>
          <w:tcPr>
            <w:tcW w:w="1354" w:type="dxa"/>
            <w:noWrap/>
            <w:vAlign w:val="center"/>
            <w:hideMark/>
          </w:tcPr>
          <w:p w14:paraId="202BBA40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4894F5E7" w14:textId="34FA88AB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2591EA4F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46DC282D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STOPPJ5</w:t>
            </w:r>
          </w:p>
        </w:tc>
        <w:tc>
          <w:tcPr>
            <w:tcW w:w="5950" w:type="dxa"/>
            <w:vAlign w:val="center"/>
            <w:hideMark/>
          </w:tcPr>
          <w:p w14:paraId="06FE1F5E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Oral oestrogens without progestogen in patients with intact uterus</w:t>
            </w:r>
          </w:p>
        </w:tc>
        <w:tc>
          <w:tcPr>
            <w:tcW w:w="1354" w:type="dxa"/>
            <w:noWrap/>
            <w:vAlign w:val="center"/>
            <w:hideMark/>
          </w:tcPr>
          <w:p w14:paraId="5E060488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27E8B5C4" w14:textId="0A59E0D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33B7A2D6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69D6A4D3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STOPPJ6</w:t>
            </w:r>
          </w:p>
        </w:tc>
        <w:tc>
          <w:tcPr>
            <w:tcW w:w="5950" w:type="dxa"/>
            <w:vAlign w:val="center"/>
            <w:hideMark/>
          </w:tcPr>
          <w:p w14:paraId="6A7E2178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Androgens (male sex hormones) in the absence of primary or secondary hypogonadism</w:t>
            </w:r>
          </w:p>
        </w:tc>
        <w:tc>
          <w:tcPr>
            <w:tcW w:w="1354" w:type="dxa"/>
            <w:noWrap/>
            <w:vAlign w:val="center"/>
            <w:hideMark/>
          </w:tcPr>
          <w:p w14:paraId="03D6EB3D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670B3330" w14:textId="35134DFB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9E2A76" w:rsidRPr="008C4332" w14:paraId="01444710" w14:textId="77777777" w:rsidTr="00F1301F">
        <w:trPr>
          <w:trHeight w:val="300"/>
          <w:jc w:val="center"/>
        </w:trPr>
        <w:tc>
          <w:tcPr>
            <w:tcW w:w="3077" w:type="dxa"/>
            <w:noWrap/>
            <w:vAlign w:val="center"/>
            <w:hideMark/>
          </w:tcPr>
          <w:p w14:paraId="26EEC2E3" w14:textId="307C67FB" w:rsidR="009E2A76" w:rsidRPr="008C4332" w:rsidRDefault="009E2A76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Drugs that predictably increase the risk of falls in older people (FRIDs)</w:t>
            </w:r>
          </w:p>
        </w:tc>
        <w:tc>
          <w:tcPr>
            <w:tcW w:w="11241" w:type="dxa"/>
            <w:gridSpan w:val="3"/>
            <w:vAlign w:val="center"/>
          </w:tcPr>
          <w:p w14:paraId="02473837" w14:textId="34F5D409" w:rsidR="009E2A76" w:rsidRPr="008C4332" w:rsidRDefault="009E2A76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6D98B8D0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3366EED0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STOPPK1</w:t>
            </w:r>
          </w:p>
        </w:tc>
        <w:tc>
          <w:tcPr>
            <w:tcW w:w="5950" w:type="dxa"/>
            <w:vAlign w:val="center"/>
            <w:hideMark/>
          </w:tcPr>
          <w:p w14:paraId="0EE48365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Benzodiazepines</w:t>
            </w:r>
          </w:p>
        </w:tc>
        <w:tc>
          <w:tcPr>
            <w:tcW w:w="1354" w:type="dxa"/>
            <w:noWrap/>
            <w:vAlign w:val="center"/>
            <w:hideMark/>
          </w:tcPr>
          <w:p w14:paraId="6F9162C9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3787BE35" w14:textId="56C0225D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28DF1AF2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16F7014C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STOPPK2</w:t>
            </w:r>
          </w:p>
        </w:tc>
        <w:tc>
          <w:tcPr>
            <w:tcW w:w="5950" w:type="dxa"/>
            <w:vAlign w:val="center"/>
            <w:hideMark/>
          </w:tcPr>
          <w:p w14:paraId="1CF96C4C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Neuroleptic drugs</w:t>
            </w:r>
          </w:p>
        </w:tc>
        <w:tc>
          <w:tcPr>
            <w:tcW w:w="1354" w:type="dxa"/>
            <w:noWrap/>
            <w:vAlign w:val="center"/>
            <w:hideMark/>
          </w:tcPr>
          <w:p w14:paraId="27BC4F1E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7E33EB84" w14:textId="23F32400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40CADB28" w14:textId="77777777" w:rsidTr="00F1301F">
        <w:trPr>
          <w:trHeight w:val="900"/>
          <w:jc w:val="center"/>
        </w:trPr>
        <w:tc>
          <w:tcPr>
            <w:tcW w:w="3077" w:type="dxa"/>
            <w:vAlign w:val="center"/>
            <w:hideMark/>
          </w:tcPr>
          <w:p w14:paraId="12197049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STOPPK3</w:t>
            </w:r>
          </w:p>
        </w:tc>
        <w:tc>
          <w:tcPr>
            <w:tcW w:w="5950" w:type="dxa"/>
            <w:vAlign w:val="center"/>
            <w:hideMark/>
          </w:tcPr>
          <w:p w14:paraId="74F56719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Vasodilator drugs (e.g. alpha-1 receptor blockers, calcium channel blockers, long-acting nitrates, ACE inhibitors, angiotensin I receptor blockers, ) with persistent postural hypotension i.e. recurrent drop in systolic blood pressure ≥ 20mmHg</w:t>
            </w:r>
          </w:p>
        </w:tc>
        <w:tc>
          <w:tcPr>
            <w:tcW w:w="1354" w:type="dxa"/>
            <w:noWrap/>
            <w:vAlign w:val="center"/>
            <w:hideMark/>
          </w:tcPr>
          <w:p w14:paraId="05812E56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47DB3D48" w14:textId="19C48DDB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4F786665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41466BDE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STOPPK4</w:t>
            </w:r>
          </w:p>
        </w:tc>
        <w:tc>
          <w:tcPr>
            <w:tcW w:w="5950" w:type="dxa"/>
            <w:vAlign w:val="center"/>
            <w:hideMark/>
          </w:tcPr>
          <w:p w14:paraId="45A4F16D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Hypnotic Z-drugs e.g. zopiclone, zolpidem, zaleplon</w:t>
            </w:r>
          </w:p>
        </w:tc>
        <w:tc>
          <w:tcPr>
            <w:tcW w:w="1354" w:type="dxa"/>
            <w:noWrap/>
            <w:vAlign w:val="center"/>
            <w:hideMark/>
          </w:tcPr>
          <w:p w14:paraId="63CEAAE7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0A7F44A0" w14:textId="41B8E22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2358D8" w:rsidRPr="008C4332" w14:paraId="61B82E33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58FD1A57" w14:textId="6CC8B6F3" w:rsidR="002358D8" w:rsidRPr="008C4332" w:rsidRDefault="002358D8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Analgesic drugs</w:t>
            </w:r>
          </w:p>
        </w:tc>
        <w:tc>
          <w:tcPr>
            <w:tcW w:w="11241" w:type="dxa"/>
            <w:gridSpan w:val="3"/>
            <w:vAlign w:val="center"/>
            <w:hideMark/>
          </w:tcPr>
          <w:p w14:paraId="0956CB0C" w14:textId="52B5D653" w:rsidR="002358D8" w:rsidRPr="008C4332" w:rsidRDefault="002358D8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541FADC8" w14:textId="77777777" w:rsidTr="00F1301F">
        <w:trPr>
          <w:trHeight w:val="900"/>
          <w:jc w:val="center"/>
        </w:trPr>
        <w:tc>
          <w:tcPr>
            <w:tcW w:w="3077" w:type="dxa"/>
            <w:vAlign w:val="center"/>
            <w:hideMark/>
          </w:tcPr>
          <w:p w14:paraId="71D1461F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STOPPL1</w:t>
            </w:r>
          </w:p>
        </w:tc>
        <w:tc>
          <w:tcPr>
            <w:tcW w:w="5950" w:type="dxa"/>
            <w:vAlign w:val="center"/>
            <w:hideMark/>
          </w:tcPr>
          <w:p w14:paraId="047C0D2D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Use of oral or transdermal strong opioids (morphine, oxycodone, fentanyl, buprenorphine, diamorphine, methadone, tramadol, pethidine, pentazocine) as first line therapy for mild pain</w:t>
            </w:r>
          </w:p>
        </w:tc>
        <w:tc>
          <w:tcPr>
            <w:tcW w:w="1354" w:type="dxa"/>
            <w:noWrap/>
            <w:vAlign w:val="center"/>
            <w:hideMark/>
          </w:tcPr>
          <w:p w14:paraId="261218D8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1F4FD15D" w14:textId="6B1F7EBD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Cannot code for first line therapy</w:t>
            </w:r>
          </w:p>
        </w:tc>
      </w:tr>
      <w:tr w:rsidR="0075642F" w:rsidRPr="008C4332" w14:paraId="6A72B02B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5E5AB90E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STOPPL2</w:t>
            </w:r>
          </w:p>
        </w:tc>
        <w:tc>
          <w:tcPr>
            <w:tcW w:w="5950" w:type="dxa"/>
            <w:vAlign w:val="center"/>
            <w:hideMark/>
          </w:tcPr>
          <w:p w14:paraId="597A4166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Use of regular (as distinct from PRN) opioids without concomitant laxative</w:t>
            </w:r>
          </w:p>
        </w:tc>
        <w:tc>
          <w:tcPr>
            <w:tcW w:w="1354" w:type="dxa"/>
            <w:noWrap/>
            <w:vAlign w:val="center"/>
            <w:hideMark/>
          </w:tcPr>
          <w:p w14:paraId="422BD4CD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268F81C9" w14:textId="324DF93E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35540BBD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4CDD4BA5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STOPPL3</w:t>
            </w:r>
          </w:p>
        </w:tc>
        <w:tc>
          <w:tcPr>
            <w:tcW w:w="5950" w:type="dxa"/>
            <w:vAlign w:val="center"/>
            <w:hideMark/>
          </w:tcPr>
          <w:p w14:paraId="60ABD39A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Long-acting opioids without short-acting opioids for break-through pain</w:t>
            </w:r>
          </w:p>
        </w:tc>
        <w:tc>
          <w:tcPr>
            <w:tcW w:w="1354" w:type="dxa"/>
            <w:noWrap/>
            <w:vAlign w:val="center"/>
            <w:hideMark/>
          </w:tcPr>
          <w:p w14:paraId="3AE1B2E8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7F9940B3" w14:textId="745F9E9B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Cannot code for "break-through" pain</w:t>
            </w:r>
          </w:p>
        </w:tc>
      </w:tr>
      <w:tr w:rsidR="00476B4C" w:rsidRPr="008C4332" w14:paraId="22A69F22" w14:textId="77777777" w:rsidTr="00F1301F">
        <w:trPr>
          <w:trHeight w:val="300"/>
          <w:jc w:val="center"/>
        </w:trPr>
        <w:tc>
          <w:tcPr>
            <w:tcW w:w="3077" w:type="dxa"/>
            <w:noWrap/>
            <w:vAlign w:val="center"/>
            <w:hideMark/>
          </w:tcPr>
          <w:p w14:paraId="74531D1C" w14:textId="13548D68" w:rsidR="00476B4C" w:rsidRPr="008C4332" w:rsidRDefault="00476B4C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Antimuscarinic / anticholinergic drug burden</w:t>
            </w:r>
          </w:p>
        </w:tc>
        <w:tc>
          <w:tcPr>
            <w:tcW w:w="11241" w:type="dxa"/>
            <w:gridSpan w:val="3"/>
            <w:vAlign w:val="center"/>
            <w:hideMark/>
          </w:tcPr>
          <w:p w14:paraId="7712ADE8" w14:textId="407AF419" w:rsidR="00476B4C" w:rsidRPr="008C4332" w:rsidRDefault="00476B4C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12F847FD" w14:textId="77777777" w:rsidTr="00F1301F">
        <w:trPr>
          <w:trHeight w:val="900"/>
          <w:jc w:val="center"/>
        </w:trPr>
        <w:tc>
          <w:tcPr>
            <w:tcW w:w="3077" w:type="dxa"/>
            <w:vAlign w:val="center"/>
            <w:hideMark/>
          </w:tcPr>
          <w:p w14:paraId="6D33ACF2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lastRenderedPageBreak/>
              <w:t>STOPPM1</w:t>
            </w:r>
          </w:p>
        </w:tc>
        <w:tc>
          <w:tcPr>
            <w:tcW w:w="5950" w:type="dxa"/>
            <w:vAlign w:val="center"/>
            <w:hideMark/>
          </w:tcPr>
          <w:p w14:paraId="727EB8B2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Concomitant use of two or more drugs with antimuscarinic/anticholinergic properties (e.g. bladder antispasmodics, intestinal antispasmodics, tricyclic antidepressants, first generation antihistamines)</w:t>
            </w:r>
          </w:p>
        </w:tc>
        <w:tc>
          <w:tcPr>
            <w:tcW w:w="1354" w:type="dxa"/>
            <w:noWrap/>
            <w:vAlign w:val="center"/>
            <w:hideMark/>
          </w:tcPr>
          <w:p w14:paraId="02807D61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16569755" w14:textId="2DC1943E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476B4C" w:rsidRPr="008C4332" w14:paraId="14A77470" w14:textId="77777777" w:rsidTr="00F1301F">
        <w:trPr>
          <w:trHeight w:val="539"/>
          <w:jc w:val="center"/>
        </w:trPr>
        <w:tc>
          <w:tcPr>
            <w:tcW w:w="14322" w:type="dxa"/>
            <w:gridSpan w:val="4"/>
            <w:vAlign w:val="center"/>
          </w:tcPr>
          <w:p w14:paraId="6969A337" w14:textId="203C120A" w:rsidR="00476B4C" w:rsidRPr="008C4332" w:rsidRDefault="00476B4C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START Criteria</w:t>
            </w:r>
          </w:p>
        </w:tc>
      </w:tr>
      <w:tr w:rsidR="002358D8" w:rsidRPr="008C4332" w14:paraId="36B6ECF8" w14:textId="77777777" w:rsidTr="00F1301F">
        <w:trPr>
          <w:trHeight w:val="300"/>
          <w:jc w:val="center"/>
        </w:trPr>
        <w:tc>
          <w:tcPr>
            <w:tcW w:w="3077" w:type="dxa"/>
            <w:noWrap/>
            <w:vAlign w:val="center"/>
            <w:hideMark/>
          </w:tcPr>
          <w:p w14:paraId="2CD35548" w14:textId="7660D09B" w:rsidR="002358D8" w:rsidRPr="008C4332" w:rsidRDefault="002358D8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Cardiovascular system</w:t>
            </w:r>
          </w:p>
        </w:tc>
        <w:tc>
          <w:tcPr>
            <w:tcW w:w="11241" w:type="dxa"/>
            <w:gridSpan w:val="3"/>
            <w:vAlign w:val="center"/>
            <w:hideMark/>
          </w:tcPr>
          <w:p w14:paraId="44136282" w14:textId="77777777" w:rsidR="002358D8" w:rsidRPr="008C4332" w:rsidRDefault="002358D8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3FA6725D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22ADB479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STARTA1</w:t>
            </w:r>
          </w:p>
        </w:tc>
        <w:tc>
          <w:tcPr>
            <w:tcW w:w="5950" w:type="dxa"/>
            <w:vAlign w:val="center"/>
            <w:hideMark/>
          </w:tcPr>
          <w:p w14:paraId="7CF13948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Vitamin K antagonists or direct thrombin inhibitors or factor Xa inhibitors in the presence of chronic atrial fibrillation.</w:t>
            </w:r>
          </w:p>
        </w:tc>
        <w:tc>
          <w:tcPr>
            <w:tcW w:w="1354" w:type="dxa"/>
            <w:noWrap/>
            <w:vAlign w:val="center"/>
            <w:hideMark/>
          </w:tcPr>
          <w:p w14:paraId="4D2F6941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2EE5C43F" w14:textId="7B2FD273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4212BFA3" w14:textId="77777777" w:rsidTr="00F1301F">
        <w:trPr>
          <w:trHeight w:val="900"/>
          <w:jc w:val="center"/>
        </w:trPr>
        <w:tc>
          <w:tcPr>
            <w:tcW w:w="3077" w:type="dxa"/>
            <w:vAlign w:val="center"/>
            <w:hideMark/>
          </w:tcPr>
          <w:p w14:paraId="6F7E2C94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STARTA2</w:t>
            </w:r>
          </w:p>
        </w:tc>
        <w:tc>
          <w:tcPr>
            <w:tcW w:w="5950" w:type="dxa"/>
            <w:vAlign w:val="center"/>
            <w:hideMark/>
          </w:tcPr>
          <w:p w14:paraId="56811EF4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Aspirin (75 mg – 160 mg once daily) in the presence of chronic atrial fibrillation, where Vitamin K antagonists or direct thrombin inhibitors or factor Xa inhibitors are contraindicated.</w:t>
            </w:r>
          </w:p>
        </w:tc>
        <w:tc>
          <w:tcPr>
            <w:tcW w:w="1354" w:type="dxa"/>
            <w:noWrap/>
            <w:vAlign w:val="center"/>
            <w:hideMark/>
          </w:tcPr>
          <w:p w14:paraId="328D53C7" w14:textId="49035235" w:rsidR="00042E40" w:rsidRPr="008C4332" w:rsidRDefault="00476B4C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72D3CAAA" w14:textId="473173EC" w:rsidR="00042E40" w:rsidRPr="008C4332" w:rsidRDefault="00101AF1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The drug dose was disregarded</w:t>
            </w:r>
            <w:r w:rsidR="00476B4C" w:rsidRPr="008C4332">
              <w:rPr>
                <w:sz w:val="20"/>
                <w:szCs w:val="20"/>
              </w:rPr>
              <w:t xml:space="preserve"> an</w:t>
            </w:r>
            <w:r w:rsidRPr="008C4332">
              <w:rPr>
                <w:sz w:val="20"/>
                <w:szCs w:val="20"/>
              </w:rPr>
              <w:t>d the prescribing of aspirin was assessed</w:t>
            </w:r>
            <w:r w:rsidR="00476B4C" w:rsidRPr="008C4332">
              <w:rPr>
                <w:sz w:val="20"/>
                <w:szCs w:val="20"/>
              </w:rPr>
              <w:t xml:space="preserve"> to identify the proportion of AF patients without antiplatelet and anticoagulant prescriptions, regardless of contraindications</w:t>
            </w:r>
          </w:p>
        </w:tc>
      </w:tr>
      <w:tr w:rsidR="0075642F" w:rsidRPr="008C4332" w14:paraId="79304C7A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644EAEFF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STARTA3</w:t>
            </w:r>
          </w:p>
        </w:tc>
        <w:tc>
          <w:tcPr>
            <w:tcW w:w="5950" w:type="dxa"/>
            <w:vAlign w:val="center"/>
            <w:hideMark/>
          </w:tcPr>
          <w:p w14:paraId="399C6439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Antiplatelet therapy (aspirin or clopidogrel or prasugrel or ticagrelor) with a documented history of coronary, cerebral or peripheral vascular disease</w:t>
            </w:r>
          </w:p>
        </w:tc>
        <w:tc>
          <w:tcPr>
            <w:tcW w:w="1354" w:type="dxa"/>
            <w:noWrap/>
            <w:vAlign w:val="center"/>
            <w:hideMark/>
          </w:tcPr>
          <w:p w14:paraId="3FBDB4A6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6BC82B41" w14:textId="74A987A0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1D318C77" w14:textId="77777777" w:rsidTr="00F1301F">
        <w:trPr>
          <w:trHeight w:val="900"/>
          <w:jc w:val="center"/>
        </w:trPr>
        <w:tc>
          <w:tcPr>
            <w:tcW w:w="3077" w:type="dxa"/>
            <w:vAlign w:val="center"/>
            <w:hideMark/>
          </w:tcPr>
          <w:p w14:paraId="4CF2EBDD" w14:textId="26C4FD16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STARTA4</w:t>
            </w:r>
          </w:p>
        </w:tc>
        <w:tc>
          <w:tcPr>
            <w:tcW w:w="5950" w:type="dxa"/>
            <w:vAlign w:val="center"/>
            <w:hideMark/>
          </w:tcPr>
          <w:p w14:paraId="1E4F6DC1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Antihypertensive therapy where systolic blood pressure consistently &gt; 160 mmHg and/or diastolic blood pressure consistently &gt;90 mmHg; if systolic blood pressure &gt; 140 mmHg and /or diastolic blood pressure &gt; 90 mmHg, if diabetic.</w:t>
            </w:r>
          </w:p>
        </w:tc>
        <w:tc>
          <w:tcPr>
            <w:tcW w:w="1354" w:type="dxa"/>
            <w:noWrap/>
            <w:vAlign w:val="center"/>
            <w:hideMark/>
          </w:tcPr>
          <w:p w14:paraId="6832513D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6D637FFA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No variable for measurement blood pressure</w:t>
            </w:r>
          </w:p>
        </w:tc>
      </w:tr>
      <w:tr w:rsidR="0075642F" w:rsidRPr="008C4332" w14:paraId="646F352D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10E6616A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STARTA5</w:t>
            </w:r>
          </w:p>
        </w:tc>
        <w:tc>
          <w:tcPr>
            <w:tcW w:w="5950" w:type="dxa"/>
            <w:vAlign w:val="center"/>
            <w:hideMark/>
          </w:tcPr>
          <w:p w14:paraId="7133CB1D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Statin therapy with a documented history of coronary, cerebral or peripheral vascular disease, unless the patient’s status is end-of-life or age is &gt; 85 years.</w:t>
            </w:r>
          </w:p>
        </w:tc>
        <w:tc>
          <w:tcPr>
            <w:tcW w:w="1354" w:type="dxa"/>
            <w:noWrap/>
            <w:vAlign w:val="center"/>
            <w:hideMark/>
          </w:tcPr>
          <w:p w14:paraId="6B040CCC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156BD24B" w14:textId="6E2E077C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Can use ICD10 code for "palliative care" for end of stage</w:t>
            </w:r>
          </w:p>
        </w:tc>
      </w:tr>
      <w:tr w:rsidR="0075642F" w:rsidRPr="008C4332" w14:paraId="7CA3D732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1957E674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STARTA6</w:t>
            </w:r>
          </w:p>
        </w:tc>
        <w:tc>
          <w:tcPr>
            <w:tcW w:w="5950" w:type="dxa"/>
            <w:vAlign w:val="center"/>
            <w:hideMark/>
          </w:tcPr>
          <w:p w14:paraId="5C30A138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Angiotensin Converting Enzyme (ACE) inhibitor with systolic heart failure and/or documented coronary artery disease</w:t>
            </w:r>
          </w:p>
        </w:tc>
        <w:tc>
          <w:tcPr>
            <w:tcW w:w="1354" w:type="dxa"/>
            <w:noWrap/>
            <w:vAlign w:val="center"/>
            <w:hideMark/>
          </w:tcPr>
          <w:p w14:paraId="50A5BA35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00E56D6E" w14:textId="76E21FB9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6A34D0B0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348388E2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STARTA7</w:t>
            </w:r>
          </w:p>
        </w:tc>
        <w:tc>
          <w:tcPr>
            <w:tcW w:w="5950" w:type="dxa"/>
            <w:vAlign w:val="center"/>
            <w:hideMark/>
          </w:tcPr>
          <w:p w14:paraId="352724E3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Beta-blocker with ischaemic heart disease.</w:t>
            </w:r>
          </w:p>
        </w:tc>
        <w:tc>
          <w:tcPr>
            <w:tcW w:w="1354" w:type="dxa"/>
            <w:noWrap/>
            <w:vAlign w:val="center"/>
            <w:hideMark/>
          </w:tcPr>
          <w:p w14:paraId="39BEE9B0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6C17DAE1" w14:textId="5BE7E9D3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7D972062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0736DFF6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STARTA8</w:t>
            </w:r>
          </w:p>
        </w:tc>
        <w:tc>
          <w:tcPr>
            <w:tcW w:w="5950" w:type="dxa"/>
            <w:vAlign w:val="center"/>
            <w:hideMark/>
          </w:tcPr>
          <w:p w14:paraId="5F3A82AF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Appropriate beta-blocker (bisoprolol, nebivolol, metoprolol or carvedilol) with stable systolic heart failure</w:t>
            </w:r>
          </w:p>
        </w:tc>
        <w:tc>
          <w:tcPr>
            <w:tcW w:w="1354" w:type="dxa"/>
            <w:noWrap/>
            <w:vAlign w:val="center"/>
            <w:hideMark/>
          </w:tcPr>
          <w:p w14:paraId="62B454C1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3B246082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Cannot code for "stable" heart failure</w:t>
            </w:r>
          </w:p>
        </w:tc>
      </w:tr>
      <w:tr w:rsidR="002358D8" w:rsidRPr="008C4332" w14:paraId="08370FF9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29C2428B" w14:textId="6B0239F6" w:rsidR="002358D8" w:rsidRPr="008C4332" w:rsidRDefault="002358D8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Respiratory system</w:t>
            </w:r>
          </w:p>
        </w:tc>
        <w:tc>
          <w:tcPr>
            <w:tcW w:w="11241" w:type="dxa"/>
            <w:gridSpan w:val="3"/>
            <w:vAlign w:val="center"/>
            <w:hideMark/>
          </w:tcPr>
          <w:p w14:paraId="78E51A83" w14:textId="12DCAECC" w:rsidR="002358D8" w:rsidRPr="008C4332" w:rsidRDefault="002358D8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7D7D07B5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436C8B03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STARTB1</w:t>
            </w:r>
          </w:p>
        </w:tc>
        <w:tc>
          <w:tcPr>
            <w:tcW w:w="5950" w:type="dxa"/>
            <w:vAlign w:val="center"/>
            <w:hideMark/>
          </w:tcPr>
          <w:p w14:paraId="361DDDD6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Regular inhaled B2 agonist or antimuscarinic bronchodilator (e.g. ipratropium, tiotropium) for mild to moderate asthma or COPD</w:t>
            </w:r>
          </w:p>
        </w:tc>
        <w:tc>
          <w:tcPr>
            <w:tcW w:w="1354" w:type="dxa"/>
            <w:noWrap/>
            <w:vAlign w:val="center"/>
            <w:hideMark/>
          </w:tcPr>
          <w:p w14:paraId="32D43C3A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13173C9D" w14:textId="4F768B4D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17EFBEEF" w14:textId="77777777" w:rsidTr="00F1301F">
        <w:trPr>
          <w:trHeight w:val="900"/>
          <w:jc w:val="center"/>
        </w:trPr>
        <w:tc>
          <w:tcPr>
            <w:tcW w:w="3077" w:type="dxa"/>
            <w:vAlign w:val="center"/>
            <w:hideMark/>
          </w:tcPr>
          <w:p w14:paraId="409D9F31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lastRenderedPageBreak/>
              <w:t>STARTB2</w:t>
            </w:r>
          </w:p>
        </w:tc>
        <w:tc>
          <w:tcPr>
            <w:tcW w:w="5950" w:type="dxa"/>
            <w:vAlign w:val="center"/>
            <w:hideMark/>
          </w:tcPr>
          <w:p w14:paraId="79F0FF20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Regular inhaled corticosteroid for moderate-severe asthma or COPD, where FEV1 &lt;50% of predicted value and repeated exacerbations requiring treatment with oral corticosteroids</w:t>
            </w:r>
          </w:p>
        </w:tc>
        <w:tc>
          <w:tcPr>
            <w:tcW w:w="1354" w:type="dxa"/>
            <w:noWrap/>
            <w:vAlign w:val="center"/>
            <w:hideMark/>
          </w:tcPr>
          <w:p w14:paraId="2D787725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017F9E7C" w14:textId="11CAE969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There is no FEV value available so cannot code it</w:t>
            </w:r>
          </w:p>
        </w:tc>
      </w:tr>
      <w:tr w:rsidR="0075642F" w:rsidRPr="008C4332" w14:paraId="22190DC1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637CA007" w14:textId="30690BDB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STARTB3</w:t>
            </w:r>
          </w:p>
        </w:tc>
        <w:tc>
          <w:tcPr>
            <w:tcW w:w="5950" w:type="dxa"/>
            <w:vAlign w:val="center"/>
            <w:hideMark/>
          </w:tcPr>
          <w:p w14:paraId="3F1423A4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Home continuous oxygen with documented chronic hypoxaemia (i.e. pO2 &lt; 8.0 kPa or 60 mmHg or SaO2 &lt; 89%)</w:t>
            </w:r>
          </w:p>
        </w:tc>
        <w:tc>
          <w:tcPr>
            <w:tcW w:w="1354" w:type="dxa"/>
            <w:noWrap/>
            <w:vAlign w:val="center"/>
            <w:hideMark/>
          </w:tcPr>
          <w:p w14:paraId="02A82CBD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08C90031" w14:textId="48F89891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2358D8" w:rsidRPr="008C4332" w14:paraId="0498AA18" w14:textId="77777777" w:rsidTr="00F1301F">
        <w:trPr>
          <w:trHeight w:val="300"/>
          <w:jc w:val="center"/>
        </w:trPr>
        <w:tc>
          <w:tcPr>
            <w:tcW w:w="3077" w:type="dxa"/>
            <w:noWrap/>
            <w:vAlign w:val="center"/>
            <w:hideMark/>
          </w:tcPr>
          <w:p w14:paraId="36316731" w14:textId="0401BB83" w:rsidR="002358D8" w:rsidRPr="008C4332" w:rsidRDefault="002358D8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Central nervous system &amp; eyes</w:t>
            </w:r>
          </w:p>
        </w:tc>
        <w:tc>
          <w:tcPr>
            <w:tcW w:w="11241" w:type="dxa"/>
            <w:gridSpan w:val="3"/>
            <w:vAlign w:val="center"/>
            <w:hideMark/>
          </w:tcPr>
          <w:p w14:paraId="4B4DD95D" w14:textId="372A7584" w:rsidR="002358D8" w:rsidRPr="008C4332" w:rsidRDefault="002358D8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458F2DFC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6FC1FE02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STARTC1</w:t>
            </w:r>
          </w:p>
        </w:tc>
        <w:tc>
          <w:tcPr>
            <w:tcW w:w="5950" w:type="dxa"/>
            <w:vAlign w:val="center"/>
            <w:hideMark/>
          </w:tcPr>
          <w:p w14:paraId="003A81C6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L-DOPA or a dopamine agonist in idiopathic Parkinson’s disease with functional impairment and resultant disability.</w:t>
            </w:r>
          </w:p>
        </w:tc>
        <w:tc>
          <w:tcPr>
            <w:tcW w:w="1354" w:type="dxa"/>
            <w:noWrap/>
            <w:vAlign w:val="center"/>
            <w:hideMark/>
          </w:tcPr>
          <w:p w14:paraId="5F9143E6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62E6A685" w14:textId="518332FB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ICD10 code does not distinguish between idiopathic and primary parkinson's disease</w:t>
            </w:r>
          </w:p>
        </w:tc>
      </w:tr>
      <w:tr w:rsidR="0075642F" w:rsidRPr="008C4332" w14:paraId="7D4FF448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20E3E514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STARTC2</w:t>
            </w:r>
          </w:p>
        </w:tc>
        <w:tc>
          <w:tcPr>
            <w:tcW w:w="5950" w:type="dxa"/>
            <w:vAlign w:val="center"/>
            <w:hideMark/>
          </w:tcPr>
          <w:p w14:paraId="61D80382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Non-TCA antidepressant drug in the presence of persistent major depressive symptoms.</w:t>
            </w:r>
          </w:p>
        </w:tc>
        <w:tc>
          <w:tcPr>
            <w:tcW w:w="1354" w:type="dxa"/>
            <w:noWrap/>
            <w:vAlign w:val="center"/>
            <w:hideMark/>
          </w:tcPr>
          <w:p w14:paraId="370B8ADD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50DB04B2" w14:textId="3147AF56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"Persistent major depressive symptoms" could use depression or "major depressive disorder"</w:t>
            </w:r>
          </w:p>
        </w:tc>
      </w:tr>
      <w:tr w:rsidR="0075642F" w:rsidRPr="008C4332" w14:paraId="1979832A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7F5B6344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STARTC3</w:t>
            </w:r>
          </w:p>
        </w:tc>
        <w:tc>
          <w:tcPr>
            <w:tcW w:w="5950" w:type="dxa"/>
            <w:vAlign w:val="center"/>
            <w:hideMark/>
          </w:tcPr>
          <w:p w14:paraId="6FFC244E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Acetylcholinesterase inhibitor (e.g. donepezil, rivastigmine, galantamine) for mild-moderate Alzheimer’s dementia or Lewy Body dementia (rivastigmine).</w:t>
            </w:r>
          </w:p>
        </w:tc>
        <w:tc>
          <w:tcPr>
            <w:tcW w:w="1354" w:type="dxa"/>
            <w:noWrap/>
            <w:vAlign w:val="center"/>
            <w:hideMark/>
          </w:tcPr>
          <w:p w14:paraId="3709C73D" w14:textId="420FD281" w:rsidR="00042E40" w:rsidRPr="008C4332" w:rsidRDefault="00476B4C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0D2D2F3A" w14:textId="25B1883C" w:rsidR="00042E40" w:rsidRPr="008C4332" w:rsidRDefault="00476B4C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Could only assess in the case of Lewy Body dementia. ICD10 code does not cover severity of Alzheimer</w:t>
            </w:r>
          </w:p>
        </w:tc>
      </w:tr>
      <w:tr w:rsidR="0075642F" w:rsidRPr="008C4332" w14:paraId="49ACF41D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65A9937C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STARTC4</w:t>
            </w:r>
          </w:p>
        </w:tc>
        <w:tc>
          <w:tcPr>
            <w:tcW w:w="5950" w:type="dxa"/>
            <w:vAlign w:val="center"/>
            <w:hideMark/>
          </w:tcPr>
          <w:p w14:paraId="358BE2D9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Topical prostaglandin, prostamide or beta-blocker for primary open-angle glaucoma.</w:t>
            </w:r>
          </w:p>
        </w:tc>
        <w:tc>
          <w:tcPr>
            <w:tcW w:w="1354" w:type="dxa"/>
            <w:noWrap/>
            <w:vAlign w:val="center"/>
            <w:hideMark/>
          </w:tcPr>
          <w:p w14:paraId="528A80C3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267AA231" w14:textId="70F669B3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67261B35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0B1DCCDD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STARTC5</w:t>
            </w:r>
          </w:p>
        </w:tc>
        <w:tc>
          <w:tcPr>
            <w:tcW w:w="5950" w:type="dxa"/>
            <w:vAlign w:val="center"/>
            <w:hideMark/>
          </w:tcPr>
          <w:p w14:paraId="1148E2F9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Selective serotonin reuptake inhibitor (or SNRI or pregabalin if SSRI contraindicated) for persistent severe anxiety that interferes with independent functioning.</w:t>
            </w:r>
          </w:p>
        </w:tc>
        <w:tc>
          <w:tcPr>
            <w:tcW w:w="1354" w:type="dxa"/>
            <w:noWrap/>
            <w:vAlign w:val="center"/>
            <w:hideMark/>
          </w:tcPr>
          <w:p w14:paraId="34383623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6B81A1B9" w14:textId="3841E772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670E912C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3BEEBAC3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STARTC6</w:t>
            </w:r>
          </w:p>
        </w:tc>
        <w:tc>
          <w:tcPr>
            <w:tcW w:w="5950" w:type="dxa"/>
            <w:vAlign w:val="center"/>
            <w:hideMark/>
          </w:tcPr>
          <w:p w14:paraId="507FA401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Dopamine agonist (ropinirole or pramipexole or rotigotine) for Restless Legs Syndrome, once iron deficiency and severe renal failure have been excluded.</w:t>
            </w:r>
          </w:p>
        </w:tc>
        <w:tc>
          <w:tcPr>
            <w:tcW w:w="1354" w:type="dxa"/>
            <w:noWrap/>
            <w:vAlign w:val="center"/>
            <w:hideMark/>
          </w:tcPr>
          <w:p w14:paraId="4BC39A0C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29F9967A" w14:textId="235643CE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Can use ICD10 code and severe renal failure defined as eGFR &gt; 30 ml/min/m2</w:t>
            </w:r>
          </w:p>
        </w:tc>
      </w:tr>
      <w:tr w:rsidR="002358D8" w:rsidRPr="008C4332" w14:paraId="387E11AD" w14:textId="77777777" w:rsidTr="00F1301F">
        <w:trPr>
          <w:trHeight w:val="300"/>
          <w:jc w:val="center"/>
        </w:trPr>
        <w:tc>
          <w:tcPr>
            <w:tcW w:w="3077" w:type="dxa"/>
            <w:noWrap/>
            <w:vAlign w:val="center"/>
            <w:hideMark/>
          </w:tcPr>
          <w:p w14:paraId="34E4306F" w14:textId="5358DE26" w:rsidR="002358D8" w:rsidRPr="008C4332" w:rsidRDefault="002358D8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Gastrointestinal system</w:t>
            </w:r>
          </w:p>
        </w:tc>
        <w:tc>
          <w:tcPr>
            <w:tcW w:w="11241" w:type="dxa"/>
            <w:gridSpan w:val="3"/>
            <w:vAlign w:val="center"/>
            <w:hideMark/>
          </w:tcPr>
          <w:p w14:paraId="69AD4D5E" w14:textId="26C43632" w:rsidR="002358D8" w:rsidRPr="008C4332" w:rsidRDefault="002358D8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4AE45D6D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5778DD5B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STARTD1</w:t>
            </w:r>
          </w:p>
        </w:tc>
        <w:tc>
          <w:tcPr>
            <w:tcW w:w="5950" w:type="dxa"/>
            <w:vAlign w:val="center"/>
            <w:hideMark/>
          </w:tcPr>
          <w:p w14:paraId="52D0DF26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Proton Pump Inhibitor with severe gastro-oesophageal reflux disease or peptic stricture requiring dilatation.</w:t>
            </w:r>
          </w:p>
        </w:tc>
        <w:tc>
          <w:tcPr>
            <w:tcW w:w="1354" w:type="dxa"/>
            <w:noWrap/>
            <w:vAlign w:val="center"/>
            <w:hideMark/>
          </w:tcPr>
          <w:p w14:paraId="320D8EA5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4D26219D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Cannot code for "severe" reflux disease or peptic stricture requiring dilation</w:t>
            </w:r>
          </w:p>
        </w:tc>
      </w:tr>
      <w:tr w:rsidR="0075642F" w:rsidRPr="008C4332" w14:paraId="6391CBF1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35E0ECD3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STARTD2</w:t>
            </w:r>
          </w:p>
        </w:tc>
        <w:tc>
          <w:tcPr>
            <w:tcW w:w="5950" w:type="dxa"/>
            <w:vAlign w:val="center"/>
            <w:hideMark/>
          </w:tcPr>
          <w:p w14:paraId="10EA2668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Fibre supplements (e.g. bran, ispaghula, methylcellulose, sterculia) for diverticulosis with a history of constipation.</w:t>
            </w:r>
          </w:p>
        </w:tc>
        <w:tc>
          <w:tcPr>
            <w:tcW w:w="1354" w:type="dxa"/>
            <w:noWrap/>
            <w:vAlign w:val="center"/>
            <w:hideMark/>
          </w:tcPr>
          <w:p w14:paraId="01D02FC3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2AC5065C" w14:textId="134F3A90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2358D8" w:rsidRPr="008C4332" w14:paraId="2C5E05D9" w14:textId="77777777" w:rsidTr="00F1301F">
        <w:trPr>
          <w:trHeight w:val="300"/>
          <w:jc w:val="center"/>
        </w:trPr>
        <w:tc>
          <w:tcPr>
            <w:tcW w:w="3077" w:type="dxa"/>
            <w:noWrap/>
            <w:vAlign w:val="center"/>
            <w:hideMark/>
          </w:tcPr>
          <w:p w14:paraId="6B49C932" w14:textId="77777777" w:rsidR="002358D8" w:rsidRPr="008C4332" w:rsidRDefault="002358D8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Musculoskeletal system</w:t>
            </w:r>
          </w:p>
        </w:tc>
        <w:tc>
          <w:tcPr>
            <w:tcW w:w="11241" w:type="dxa"/>
            <w:gridSpan w:val="3"/>
            <w:vAlign w:val="center"/>
            <w:hideMark/>
          </w:tcPr>
          <w:p w14:paraId="455D6E51" w14:textId="75D288C7" w:rsidR="002358D8" w:rsidRPr="008C4332" w:rsidRDefault="002358D8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1</w:t>
            </w:r>
          </w:p>
        </w:tc>
      </w:tr>
      <w:tr w:rsidR="0075642F" w:rsidRPr="008C4332" w14:paraId="2E44EBD5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2E13294E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STARTE1</w:t>
            </w:r>
          </w:p>
        </w:tc>
        <w:tc>
          <w:tcPr>
            <w:tcW w:w="5950" w:type="dxa"/>
            <w:vAlign w:val="center"/>
            <w:hideMark/>
          </w:tcPr>
          <w:p w14:paraId="30245626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Disease-modifying anti-rheumatic drug (DMARD) with active, disabling rheumatoid disease.</w:t>
            </w:r>
          </w:p>
        </w:tc>
        <w:tc>
          <w:tcPr>
            <w:tcW w:w="1354" w:type="dxa"/>
            <w:noWrap/>
            <w:vAlign w:val="center"/>
            <w:hideMark/>
          </w:tcPr>
          <w:p w14:paraId="7D09CE36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7C38E8B9" w14:textId="61866939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Cannot code for "active and disabling"</w:t>
            </w:r>
          </w:p>
        </w:tc>
      </w:tr>
      <w:tr w:rsidR="0075642F" w:rsidRPr="008C4332" w14:paraId="123AF187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25181024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STARTE2</w:t>
            </w:r>
          </w:p>
        </w:tc>
        <w:tc>
          <w:tcPr>
            <w:tcW w:w="5950" w:type="dxa"/>
            <w:vAlign w:val="center"/>
            <w:hideMark/>
          </w:tcPr>
          <w:p w14:paraId="272FECAD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Bisphosphonates and vitamin D and calcium in patients taking long-term systemic corticosteroid therapy.</w:t>
            </w:r>
          </w:p>
        </w:tc>
        <w:tc>
          <w:tcPr>
            <w:tcW w:w="1354" w:type="dxa"/>
            <w:noWrap/>
            <w:vAlign w:val="center"/>
            <w:hideMark/>
          </w:tcPr>
          <w:p w14:paraId="74977A24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7235BA5A" w14:textId="7C7F9169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29E7BFA2" w14:textId="77777777" w:rsidTr="00F1301F">
        <w:trPr>
          <w:trHeight w:val="900"/>
          <w:jc w:val="center"/>
        </w:trPr>
        <w:tc>
          <w:tcPr>
            <w:tcW w:w="3077" w:type="dxa"/>
            <w:vAlign w:val="center"/>
            <w:hideMark/>
          </w:tcPr>
          <w:p w14:paraId="7A5091FE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lastRenderedPageBreak/>
              <w:t>STARTE3</w:t>
            </w:r>
          </w:p>
        </w:tc>
        <w:tc>
          <w:tcPr>
            <w:tcW w:w="5950" w:type="dxa"/>
            <w:vAlign w:val="center"/>
            <w:hideMark/>
          </w:tcPr>
          <w:p w14:paraId="7FFDC830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Vitamin D and calcium supplement in patients with known osteoporosis and/or previous fragility fracture(s) and/or (Bone Mineral Density T-scores more than -2.5 in multiple sites).</w:t>
            </w:r>
          </w:p>
        </w:tc>
        <w:tc>
          <w:tcPr>
            <w:tcW w:w="1354" w:type="dxa"/>
            <w:noWrap/>
            <w:vAlign w:val="center"/>
            <w:hideMark/>
          </w:tcPr>
          <w:p w14:paraId="45F5D0A6" w14:textId="0BDABCA2" w:rsidR="00042E40" w:rsidRPr="008C4332" w:rsidRDefault="00476B4C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025249D9" w14:textId="44FA63F4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Can code for osteoporosis and fractures but not Bone Mineral Density T score</w:t>
            </w:r>
          </w:p>
        </w:tc>
      </w:tr>
      <w:tr w:rsidR="0075642F" w:rsidRPr="008C4332" w14:paraId="4B8A433B" w14:textId="77777777" w:rsidTr="00F1301F">
        <w:trPr>
          <w:trHeight w:val="1200"/>
          <w:jc w:val="center"/>
        </w:trPr>
        <w:tc>
          <w:tcPr>
            <w:tcW w:w="3077" w:type="dxa"/>
            <w:vAlign w:val="center"/>
            <w:hideMark/>
          </w:tcPr>
          <w:p w14:paraId="3AAF6D5D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STARTE4</w:t>
            </w:r>
          </w:p>
        </w:tc>
        <w:tc>
          <w:tcPr>
            <w:tcW w:w="5950" w:type="dxa"/>
            <w:vAlign w:val="center"/>
            <w:hideMark/>
          </w:tcPr>
          <w:p w14:paraId="77036C83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Bone anti-resorptive or anabolic therapy (e.g. bisphosphonate, strontium ranelate, teriparatide, denosumab) in patients with documented osteoporosis, where no pharmacological or clinical status contraindication exists (Bone Mineral Density T-scores -&gt; 2.5 in multiple sites) and/or previous history of fragility fracture(s).</w:t>
            </w:r>
          </w:p>
        </w:tc>
        <w:tc>
          <w:tcPr>
            <w:tcW w:w="1354" w:type="dxa"/>
            <w:noWrap/>
            <w:vAlign w:val="center"/>
            <w:hideMark/>
          </w:tcPr>
          <w:p w14:paraId="5966D4BA" w14:textId="62DF68EF" w:rsidR="00042E40" w:rsidRPr="008C4332" w:rsidRDefault="00193CCC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58FBB637" w14:textId="429CEE38" w:rsidR="00042E40" w:rsidRPr="008C4332" w:rsidRDefault="00193CCC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Could code part of the criterion. It was not possible to code</w:t>
            </w:r>
            <w:r w:rsidR="00042E40" w:rsidRPr="008C4332">
              <w:rPr>
                <w:sz w:val="20"/>
                <w:szCs w:val="20"/>
              </w:rPr>
              <w:t xml:space="preserve"> for "where no pharmacological or clinical status contraindication exists"</w:t>
            </w:r>
          </w:p>
        </w:tc>
      </w:tr>
      <w:tr w:rsidR="0075642F" w:rsidRPr="008C4332" w14:paraId="5212C8AC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124213D1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STARTE5</w:t>
            </w:r>
          </w:p>
        </w:tc>
        <w:tc>
          <w:tcPr>
            <w:tcW w:w="5950" w:type="dxa"/>
            <w:vAlign w:val="center"/>
            <w:hideMark/>
          </w:tcPr>
          <w:p w14:paraId="0BFEE330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Vitamin D supplement in older people who are housebound or experiencing falls or with osteopenia (Bone Mineral Density T-score is &gt; -1.0 but &lt; -2.5 in multiple sites).</w:t>
            </w:r>
          </w:p>
        </w:tc>
        <w:tc>
          <w:tcPr>
            <w:tcW w:w="1354" w:type="dxa"/>
            <w:noWrap/>
            <w:vAlign w:val="center"/>
            <w:hideMark/>
          </w:tcPr>
          <w:p w14:paraId="4C5E6CFF" w14:textId="1467682C" w:rsidR="00042E40" w:rsidRPr="008C4332" w:rsidRDefault="00193CCC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5D885431" w14:textId="67B34098" w:rsidR="00042E40" w:rsidRPr="008C4332" w:rsidRDefault="00193CCC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 xml:space="preserve">The criterion was partially codable. </w:t>
            </w:r>
            <w:r w:rsidR="00042E40" w:rsidRPr="008C4332">
              <w:rPr>
                <w:sz w:val="20"/>
                <w:szCs w:val="20"/>
              </w:rPr>
              <w:t xml:space="preserve">Housebound </w:t>
            </w:r>
            <w:r w:rsidRPr="008C4332">
              <w:rPr>
                <w:sz w:val="20"/>
                <w:szCs w:val="20"/>
              </w:rPr>
              <w:t>could not</w:t>
            </w:r>
            <w:r w:rsidR="00042E40" w:rsidRPr="008C4332">
              <w:rPr>
                <w:sz w:val="20"/>
                <w:szCs w:val="20"/>
              </w:rPr>
              <w:t xml:space="preserve"> be coded. </w:t>
            </w:r>
          </w:p>
        </w:tc>
      </w:tr>
      <w:tr w:rsidR="0075642F" w:rsidRPr="008C4332" w14:paraId="0500F013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35A94567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STARTE6</w:t>
            </w:r>
          </w:p>
        </w:tc>
        <w:tc>
          <w:tcPr>
            <w:tcW w:w="5950" w:type="dxa"/>
            <w:vAlign w:val="center"/>
            <w:hideMark/>
          </w:tcPr>
          <w:p w14:paraId="39D84EDE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Xanthine-oxidase inhibitors (e.g. allopurinol, febuxostat) with a history of recurrent episodes of gout.</w:t>
            </w:r>
          </w:p>
        </w:tc>
        <w:tc>
          <w:tcPr>
            <w:tcW w:w="1354" w:type="dxa"/>
            <w:noWrap/>
            <w:vAlign w:val="center"/>
            <w:hideMark/>
          </w:tcPr>
          <w:p w14:paraId="3A567B4E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22C54551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Define recurrent episodes of gout as chronic gout</w:t>
            </w:r>
          </w:p>
        </w:tc>
      </w:tr>
      <w:tr w:rsidR="0075642F" w:rsidRPr="008C4332" w14:paraId="430FA689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1006AC7F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STARTE7</w:t>
            </w:r>
          </w:p>
        </w:tc>
        <w:tc>
          <w:tcPr>
            <w:tcW w:w="5950" w:type="dxa"/>
            <w:vAlign w:val="center"/>
            <w:hideMark/>
          </w:tcPr>
          <w:p w14:paraId="6B144253" w14:textId="211067F9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 xml:space="preserve">Folic acid supplement in patients taking </w:t>
            </w:r>
            <w:r w:rsidR="008358AE" w:rsidRPr="008C4332">
              <w:rPr>
                <w:sz w:val="20"/>
                <w:szCs w:val="20"/>
              </w:rPr>
              <w:t>methotrexate</w:t>
            </w:r>
            <w:r w:rsidRPr="008C4332">
              <w:rPr>
                <w:sz w:val="20"/>
                <w:szCs w:val="20"/>
              </w:rPr>
              <w:t>.</w:t>
            </w:r>
          </w:p>
        </w:tc>
        <w:tc>
          <w:tcPr>
            <w:tcW w:w="1354" w:type="dxa"/>
            <w:noWrap/>
            <w:vAlign w:val="center"/>
            <w:hideMark/>
          </w:tcPr>
          <w:p w14:paraId="03416138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7E3B4694" w14:textId="30D4107F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2358D8" w:rsidRPr="008C4332" w14:paraId="3DC250EE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4A74AF9C" w14:textId="77777777" w:rsidR="002358D8" w:rsidRPr="008C4332" w:rsidRDefault="002358D8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Endocrine system</w:t>
            </w:r>
          </w:p>
        </w:tc>
        <w:tc>
          <w:tcPr>
            <w:tcW w:w="11241" w:type="dxa"/>
            <w:gridSpan w:val="3"/>
            <w:vAlign w:val="center"/>
            <w:hideMark/>
          </w:tcPr>
          <w:p w14:paraId="013A89BA" w14:textId="06DCD748" w:rsidR="002358D8" w:rsidRPr="008C4332" w:rsidRDefault="002358D8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5A636EC3" w14:textId="77777777" w:rsidTr="00F1301F">
        <w:trPr>
          <w:trHeight w:val="900"/>
          <w:jc w:val="center"/>
        </w:trPr>
        <w:tc>
          <w:tcPr>
            <w:tcW w:w="3077" w:type="dxa"/>
            <w:vAlign w:val="center"/>
            <w:hideMark/>
          </w:tcPr>
          <w:p w14:paraId="62A79950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STARTF1</w:t>
            </w:r>
          </w:p>
        </w:tc>
        <w:tc>
          <w:tcPr>
            <w:tcW w:w="5950" w:type="dxa"/>
            <w:vAlign w:val="center"/>
            <w:hideMark/>
          </w:tcPr>
          <w:p w14:paraId="52B17D82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ACE inhibitor or Angiotensin Receptor Blocker (if intolerant of ACE inhibitor) in diabetes with evidence of renal disease i.e. dipstick proteinuria or microalbuminuria (&gt;30mg/24 hours) with or without serum biochemical renal impairment.</w:t>
            </w:r>
          </w:p>
        </w:tc>
        <w:tc>
          <w:tcPr>
            <w:tcW w:w="1354" w:type="dxa"/>
            <w:noWrap/>
            <w:vAlign w:val="center"/>
            <w:hideMark/>
          </w:tcPr>
          <w:p w14:paraId="7E28D032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7EC8048C" w14:textId="5289ADA1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Don't have dipstick proteinuria or microalbuminuria but can use ICD10 codes</w:t>
            </w:r>
          </w:p>
        </w:tc>
      </w:tr>
      <w:tr w:rsidR="002358D8" w:rsidRPr="008C4332" w14:paraId="02E15290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339D0B14" w14:textId="06D6DCFF" w:rsidR="002358D8" w:rsidRPr="008C4332" w:rsidRDefault="002358D8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Urogenital system</w:t>
            </w:r>
          </w:p>
        </w:tc>
        <w:tc>
          <w:tcPr>
            <w:tcW w:w="11241" w:type="dxa"/>
            <w:gridSpan w:val="3"/>
            <w:vAlign w:val="center"/>
            <w:hideMark/>
          </w:tcPr>
          <w:p w14:paraId="3FFA5D7D" w14:textId="66AE6920" w:rsidR="002358D8" w:rsidRPr="008C4332" w:rsidRDefault="002358D8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1</w:t>
            </w:r>
          </w:p>
        </w:tc>
      </w:tr>
      <w:tr w:rsidR="0075642F" w:rsidRPr="008C4332" w14:paraId="78D76D48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19292319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STARTG1</w:t>
            </w:r>
          </w:p>
        </w:tc>
        <w:tc>
          <w:tcPr>
            <w:tcW w:w="5950" w:type="dxa"/>
            <w:vAlign w:val="center"/>
            <w:hideMark/>
          </w:tcPr>
          <w:p w14:paraId="5A34462E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Alpha-1 receptor blocker with symptomatic prostatism, where prostatectomy is not considered necessary.</w:t>
            </w:r>
          </w:p>
        </w:tc>
        <w:tc>
          <w:tcPr>
            <w:tcW w:w="1354" w:type="dxa"/>
            <w:noWrap/>
            <w:vAlign w:val="center"/>
            <w:hideMark/>
          </w:tcPr>
          <w:p w14:paraId="22754A39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08AD3BAF" w14:textId="7BE8DE80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No ICD10 code for "where prostatectomy is not considered necessary"</w:t>
            </w:r>
          </w:p>
        </w:tc>
      </w:tr>
      <w:tr w:rsidR="0075642F" w:rsidRPr="008C4332" w14:paraId="3C523F6A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7B8852A5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STARTG2</w:t>
            </w:r>
          </w:p>
        </w:tc>
        <w:tc>
          <w:tcPr>
            <w:tcW w:w="5950" w:type="dxa"/>
            <w:vAlign w:val="center"/>
            <w:hideMark/>
          </w:tcPr>
          <w:p w14:paraId="37D78EEF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5-alpha reductase inhibitor with symptomatic prostatism, where prostatectomy is not considered necessary.</w:t>
            </w:r>
          </w:p>
        </w:tc>
        <w:tc>
          <w:tcPr>
            <w:tcW w:w="1354" w:type="dxa"/>
            <w:noWrap/>
            <w:vAlign w:val="center"/>
            <w:hideMark/>
          </w:tcPr>
          <w:p w14:paraId="63933E90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22D40F0E" w14:textId="2FACD9B9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No ICD10 code for "where prostatectomy is not considered necessary"</w:t>
            </w:r>
          </w:p>
        </w:tc>
      </w:tr>
      <w:tr w:rsidR="0075642F" w:rsidRPr="008C4332" w14:paraId="4F420781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3A57893E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STARTG3</w:t>
            </w:r>
          </w:p>
        </w:tc>
        <w:tc>
          <w:tcPr>
            <w:tcW w:w="5950" w:type="dxa"/>
            <w:vAlign w:val="center"/>
            <w:hideMark/>
          </w:tcPr>
          <w:p w14:paraId="4B38F128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Topical vaginal oestrogen or vaginal oestrogen pessary for symptomatic atrophic vaginitis.</w:t>
            </w:r>
          </w:p>
        </w:tc>
        <w:tc>
          <w:tcPr>
            <w:tcW w:w="1354" w:type="dxa"/>
            <w:noWrap/>
            <w:vAlign w:val="center"/>
            <w:hideMark/>
          </w:tcPr>
          <w:p w14:paraId="62885901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23CB7486" w14:textId="23418258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Cannot code for symptomatic</w:t>
            </w:r>
          </w:p>
        </w:tc>
      </w:tr>
      <w:tr w:rsidR="002358D8" w:rsidRPr="008C4332" w14:paraId="0BD13AC3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3326BD00" w14:textId="77777777" w:rsidR="002358D8" w:rsidRPr="008C4332" w:rsidRDefault="002358D8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Analgesics</w:t>
            </w:r>
          </w:p>
        </w:tc>
        <w:tc>
          <w:tcPr>
            <w:tcW w:w="11241" w:type="dxa"/>
            <w:gridSpan w:val="3"/>
            <w:vAlign w:val="center"/>
            <w:hideMark/>
          </w:tcPr>
          <w:p w14:paraId="277D451D" w14:textId="6183583C" w:rsidR="002358D8" w:rsidRPr="008C4332" w:rsidRDefault="002358D8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7D6E9A6B" w14:textId="77777777" w:rsidTr="00F1301F">
        <w:trPr>
          <w:trHeight w:val="600"/>
          <w:jc w:val="center"/>
        </w:trPr>
        <w:tc>
          <w:tcPr>
            <w:tcW w:w="3077" w:type="dxa"/>
            <w:vAlign w:val="center"/>
            <w:hideMark/>
          </w:tcPr>
          <w:p w14:paraId="74C7FA6B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STARTH1</w:t>
            </w:r>
          </w:p>
        </w:tc>
        <w:tc>
          <w:tcPr>
            <w:tcW w:w="5950" w:type="dxa"/>
            <w:vAlign w:val="center"/>
            <w:hideMark/>
          </w:tcPr>
          <w:p w14:paraId="36DEC1D3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High-potency opioids in moderate-severe pain, where paracetamol, NSAIDs or low-potency opioids are not appropriate to the pain severity or have been ineffective.</w:t>
            </w:r>
          </w:p>
        </w:tc>
        <w:tc>
          <w:tcPr>
            <w:tcW w:w="1354" w:type="dxa"/>
            <w:noWrap/>
            <w:vAlign w:val="center"/>
            <w:hideMark/>
          </w:tcPr>
          <w:p w14:paraId="1ABE854F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1A0CF062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Cannot code for pain severity and appropriateness of drug to pain severity</w:t>
            </w:r>
          </w:p>
        </w:tc>
      </w:tr>
      <w:tr w:rsidR="0075642F" w:rsidRPr="008C4332" w14:paraId="737A6B59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1726EB44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STARTH2</w:t>
            </w:r>
          </w:p>
        </w:tc>
        <w:tc>
          <w:tcPr>
            <w:tcW w:w="5950" w:type="dxa"/>
            <w:vAlign w:val="center"/>
            <w:hideMark/>
          </w:tcPr>
          <w:p w14:paraId="4B1C54DD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bookmarkStart w:id="1" w:name="_Hlk167116763"/>
            <w:r w:rsidRPr="008C4332">
              <w:rPr>
                <w:sz w:val="20"/>
                <w:szCs w:val="20"/>
              </w:rPr>
              <w:t>Laxatives in patients receiving opioids regularly.</w:t>
            </w:r>
            <w:bookmarkEnd w:id="1"/>
          </w:p>
        </w:tc>
        <w:tc>
          <w:tcPr>
            <w:tcW w:w="1354" w:type="dxa"/>
            <w:noWrap/>
            <w:vAlign w:val="center"/>
            <w:hideMark/>
          </w:tcPr>
          <w:p w14:paraId="18F06EDD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Y</w:t>
            </w:r>
          </w:p>
        </w:tc>
        <w:tc>
          <w:tcPr>
            <w:tcW w:w="3937" w:type="dxa"/>
            <w:noWrap/>
            <w:vAlign w:val="center"/>
            <w:hideMark/>
          </w:tcPr>
          <w:p w14:paraId="5AD9E030" w14:textId="704FE89D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8358AE" w:rsidRPr="008C4332" w14:paraId="696DFCEB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3A753456" w14:textId="77777777" w:rsidR="008358AE" w:rsidRPr="008C4332" w:rsidRDefault="008358AE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Vaccines</w:t>
            </w:r>
          </w:p>
        </w:tc>
        <w:tc>
          <w:tcPr>
            <w:tcW w:w="11241" w:type="dxa"/>
            <w:gridSpan w:val="3"/>
            <w:vAlign w:val="center"/>
            <w:hideMark/>
          </w:tcPr>
          <w:p w14:paraId="51B6B5EC" w14:textId="6CCA2995" w:rsidR="008358AE" w:rsidRPr="008C4332" w:rsidRDefault="008358AE" w:rsidP="00042E40">
            <w:pPr>
              <w:jc w:val="center"/>
              <w:rPr>
                <w:sz w:val="20"/>
                <w:szCs w:val="20"/>
              </w:rPr>
            </w:pPr>
          </w:p>
        </w:tc>
      </w:tr>
      <w:tr w:rsidR="0075642F" w:rsidRPr="008C4332" w14:paraId="68CC31AA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3B8CA993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t>STARTI1</w:t>
            </w:r>
          </w:p>
        </w:tc>
        <w:tc>
          <w:tcPr>
            <w:tcW w:w="5950" w:type="dxa"/>
            <w:vAlign w:val="center"/>
            <w:hideMark/>
          </w:tcPr>
          <w:p w14:paraId="1E523CF4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Seasonal trivalent influenza vaccine annually</w:t>
            </w:r>
          </w:p>
        </w:tc>
        <w:tc>
          <w:tcPr>
            <w:tcW w:w="1354" w:type="dxa"/>
            <w:noWrap/>
            <w:vAlign w:val="center"/>
            <w:hideMark/>
          </w:tcPr>
          <w:p w14:paraId="53F91A3B" w14:textId="72B4B9AE" w:rsidR="00042E40" w:rsidRPr="008C4332" w:rsidRDefault="008358AE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16702F1D" w14:textId="5BA1AE4F" w:rsidR="00042E40" w:rsidRPr="008C4332" w:rsidRDefault="008358AE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Vaccine information was not accessible</w:t>
            </w:r>
          </w:p>
        </w:tc>
      </w:tr>
      <w:tr w:rsidR="0075642F" w:rsidRPr="008C4332" w14:paraId="6828C644" w14:textId="77777777" w:rsidTr="00F1301F">
        <w:trPr>
          <w:trHeight w:val="300"/>
          <w:jc w:val="center"/>
        </w:trPr>
        <w:tc>
          <w:tcPr>
            <w:tcW w:w="3077" w:type="dxa"/>
            <w:vAlign w:val="center"/>
            <w:hideMark/>
          </w:tcPr>
          <w:p w14:paraId="7C9A478E" w14:textId="77777777" w:rsidR="00042E40" w:rsidRPr="008C4332" w:rsidRDefault="00042E40" w:rsidP="0004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32">
              <w:rPr>
                <w:b/>
                <w:bCs/>
                <w:sz w:val="20"/>
                <w:szCs w:val="20"/>
              </w:rPr>
              <w:lastRenderedPageBreak/>
              <w:t>STARTI2</w:t>
            </w:r>
          </w:p>
        </w:tc>
        <w:tc>
          <w:tcPr>
            <w:tcW w:w="5950" w:type="dxa"/>
            <w:vAlign w:val="center"/>
            <w:hideMark/>
          </w:tcPr>
          <w:p w14:paraId="45B81C01" w14:textId="77777777" w:rsidR="00042E40" w:rsidRPr="008C4332" w:rsidRDefault="00042E40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Pneumococcal vaccine at least once after age 65 according to national guidelines</w:t>
            </w:r>
          </w:p>
        </w:tc>
        <w:tc>
          <w:tcPr>
            <w:tcW w:w="1354" w:type="dxa"/>
            <w:noWrap/>
            <w:vAlign w:val="center"/>
            <w:hideMark/>
          </w:tcPr>
          <w:p w14:paraId="4317314C" w14:textId="49053765" w:rsidR="00042E40" w:rsidRPr="008C4332" w:rsidRDefault="008358AE" w:rsidP="00042E40">
            <w:pPr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N</w:t>
            </w:r>
          </w:p>
        </w:tc>
        <w:tc>
          <w:tcPr>
            <w:tcW w:w="3937" w:type="dxa"/>
            <w:noWrap/>
            <w:vAlign w:val="center"/>
            <w:hideMark/>
          </w:tcPr>
          <w:p w14:paraId="6BCB0FC4" w14:textId="7A297384" w:rsidR="00042E40" w:rsidRPr="008C4332" w:rsidRDefault="008358AE" w:rsidP="009A4002">
            <w:pPr>
              <w:keepNext/>
              <w:jc w:val="center"/>
              <w:rPr>
                <w:sz w:val="20"/>
                <w:szCs w:val="20"/>
              </w:rPr>
            </w:pPr>
            <w:r w:rsidRPr="008C4332">
              <w:rPr>
                <w:sz w:val="20"/>
                <w:szCs w:val="20"/>
              </w:rPr>
              <w:t>Vaccine information was not accessible</w:t>
            </w:r>
          </w:p>
        </w:tc>
      </w:tr>
    </w:tbl>
    <w:p w14:paraId="1FD3683D" w14:textId="452A88BA" w:rsidR="00042E40" w:rsidRDefault="00042E40" w:rsidP="009A4002">
      <w:pPr>
        <w:jc w:val="both"/>
      </w:pPr>
    </w:p>
    <w:sectPr w:rsidR="00042E40" w:rsidSect="00042E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24843"/>
    <w:multiLevelType w:val="hybridMultilevel"/>
    <w:tmpl w:val="4DE2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34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33"/>
    <w:rsid w:val="00033F0F"/>
    <w:rsid w:val="00042E40"/>
    <w:rsid w:val="000B320E"/>
    <w:rsid w:val="000B79AF"/>
    <w:rsid w:val="00101AF1"/>
    <w:rsid w:val="0013319C"/>
    <w:rsid w:val="001404E8"/>
    <w:rsid w:val="00193CCC"/>
    <w:rsid w:val="002358D8"/>
    <w:rsid w:val="00287E51"/>
    <w:rsid w:val="002A5F58"/>
    <w:rsid w:val="00365AAE"/>
    <w:rsid w:val="003E4C63"/>
    <w:rsid w:val="003E687D"/>
    <w:rsid w:val="00454A36"/>
    <w:rsid w:val="00467CDD"/>
    <w:rsid w:val="004704BD"/>
    <w:rsid w:val="00476B4C"/>
    <w:rsid w:val="0047796C"/>
    <w:rsid w:val="004C38A4"/>
    <w:rsid w:val="004F02CA"/>
    <w:rsid w:val="005D7FF4"/>
    <w:rsid w:val="005F728C"/>
    <w:rsid w:val="006B10AF"/>
    <w:rsid w:val="006E6FC6"/>
    <w:rsid w:val="00732E1E"/>
    <w:rsid w:val="0075642F"/>
    <w:rsid w:val="007D5CF8"/>
    <w:rsid w:val="008358AE"/>
    <w:rsid w:val="008C4332"/>
    <w:rsid w:val="008E4D0D"/>
    <w:rsid w:val="009167B0"/>
    <w:rsid w:val="009530F8"/>
    <w:rsid w:val="009A36E1"/>
    <w:rsid w:val="009A4002"/>
    <w:rsid w:val="009E2A76"/>
    <w:rsid w:val="009F72A8"/>
    <w:rsid w:val="00A50FA9"/>
    <w:rsid w:val="00A94F76"/>
    <w:rsid w:val="00A97483"/>
    <w:rsid w:val="00B10924"/>
    <w:rsid w:val="00B76868"/>
    <w:rsid w:val="00BC1684"/>
    <w:rsid w:val="00BE6156"/>
    <w:rsid w:val="00C93DF1"/>
    <w:rsid w:val="00CE5644"/>
    <w:rsid w:val="00D3061C"/>
    <w:rsid w:val="00D3192F"/>
    <w:rsid w:val="00DF1133"/>
    <w:rsid w:val="00E05086"/>
    <w:rsid w:val="00F1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9279"/>
  <w15:chartTrackingRefBased/>
  <w15:docId w15:val="{A50B1165-5F15-41D4-8964-64754709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02CA"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DF1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F1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F11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F1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F11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en-US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F1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F1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F1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F1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1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F1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F11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F113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F113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F11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F11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F11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F11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F1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elChar">
    <w:name w:val="Titel Char"/>
    <w:basedOn w:val="Standaardalinea-lettertype"/>
    <w:link w:val="Titel"/>
    <w:uiPriority w:val="10"/>
    <w:rsid w:val="00DF1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F1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F1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F1133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CitaatChar">
    <w:name w:val="Citaat Char"/>
    <w:basedOn w:val="Standaardalinea-lettertype"/>
    <w:link w:val="Citaat"/>
    <w:uiPriority w:val="29"/>
    <w:rsid w:val="00DF11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F1133"/>
    <w:pPr>
      <w:ind w:left="720"/>
      <w:contextualSpacing/>
    </w:pPr>
    <w:rPr>
      <w:lang w:val="en-US"/>
    </w:rPr>
  </w:style>
  <w:style w:type="character" w:styleId="Intensievebenadrukking">
    <w:name w:val="Intense Emphasis"/>
    <w:basedOn w:val="Standaardalinea-lettertype"/>
    <w:uiPriority w:val="21"/>
    <w:qFormat/>
    <w:rsid w:val="00DF113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F1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F113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F1133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042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iPriority w:val="35"/>
    <w:unhideWhenUsed/>
    <w:qFormat/>
    <w:rsid w:val="009A400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9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C8C01-B412-49B1-8C01-11BEFFB5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3485</Words>
  <Characters>19866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Cheïma Amrouch</dc:creator>
  <cp:keywords/>
  <dc:description/>
  <cp:lastModifiedBy>Cheïma Amrouch</cp:lastModifiedBy>
  <cp:revision>40</cp:revision>
  <dcterms:created xsi:type="dcterms:W3CDTF">2024-05-20T12:00:00Z</dcterms:created>
  <dcterms:modified xsi:type="dcterms:W3CDTF">2024-08-30T23:39:00Z</dcterms:modified>
</cp:coreProperties>
</file>