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8B6B" w14:textId="77777777" w:rsidR="008C2EAE" w:rsidRPr="00AC0994" w:rsidRDefault="008C2EAE" w:rsidP="00AC0994">
      <w:pPr>
        <w:rPr>
          <w:b/>
          <w:bCs/>
        </w:rPr>
      </w:pPr>
      <w:bookmarkStart w:id="0" w:name="_Hlk74659932"/>
      <w:r w:rsidRPr="00AC0994">
        <w:rPr>
          <w:b/>
          <w:bCs/>
        </w:rPr>
        <w:t>SUPPLEMENTARY MATERIAL</w:t>
      </w:r>
    </w:p>
    <w:p w14:paraId="50D555F2" w14:textId="77777777" w:rsidR="008C2EAE" w:rsidRPr="00BF6862" w:rsidRDefault="008C2EAE" w:rsidP="009C0731">
      <w:pPr>
        <w:spacing w:line="240" w:lineRule="auto"/>
        <w:rPr>
          <w:b/>
          <w:bCs/>
        </w:rPr>
      </w:pPr>
      <w:bookmarkStart w:id="1" w:name="_Hlk166052659"/>
      <w:bookmarkStart w:id="2" w:name="_Hlk166053213"/>
      <w:r w:rsidRPr="006D6CDF">
        <w:rPr>
          <w:b/>
          <w:bCs/>
        </w:rPr>
        <w:t>Dose</w:t>
      </w:r>
      <w:r>
        <w:rPr>
          <w:b/>
          <w:bCs/>
        </w:rPr>
        <w:t>, e</w:t>
      </w:r>
      <w:r w:rsidRPr="006D6CDF">
        <w:rPr>
          <w:b/>
          <w:bCs/>
        </w:rPr>
        <w:t xml:space="preserve">xposure and </w:t>
      </w:r>
      <w:r>
        <w:rPr>
          <w:b/>
          <w:bCs/>
        </w:rPr>
        <w:t>t</w:t>
      </w:r>
      <w:r w:rsidRPr="006D6CDF">
        <w:rPr>
          <w:b/>
          <w:bCs/>
        </w:rPr>
        <w:t xml:space="preserve">reatment </w:t>
      </w:r>
      <w:r>
        <w:rPr>
          <w:b/>
          <w:bCs/>
        </w:rPr>
        <w:t>r</w:t>
      </w:r>
      <w:r w:rsidRPr="006D6CDF">
        <w:rPr>
          <w:b/>
          <w:bCs/>
        </w:rPr>
        <w:t>egimen of intravenous immunoglobulin G in multifocal motor neuropathy</w:t>
      </w:r>
    </w:p>
    <w:bookmarkEnd w:id="1"/>
    <w:p w14:paraId="40CF4851" w14:textId="77777777" w:rsidR="00AC0994" w:rsidRDefault="00AC0994" w:rsidP="00AC0994">
      <w:pPr>
        <w:pStyle w:val="TOC1"/>
      </w:pPr>
    </w:p>
    <w:bookmarkEnd w:id="2" w:displacedByCustomXml="next"/>
    <w:bookmarkEnd w:id="0" w:displacedByCustomXml="next"/>
    <w:sdt>
      <w:sdtPr>
        <w:rPr>
          <w:rFonts w:ascii="Arial" w:eastAsiaTheme="minorEastAsia" w:hAnsi="Arial" w:cs="Arial"/>
          <w:b/>
          <w:bCs/>
          <w:color w:val="auto"/>
          <w:sz w:val="24"/>
          <w:szCs w:val="24"/>
          <w:lang w:eastAsia="zh-CN"/>
        </w:rPr>
        <w:id w:val="626283760"/>
        <w:docPartObj>
          <w:docPartGallery w:val="Table of Contents"/>
          <w:docPartUnique/>
        </w:docPartObj>
      </w:sdtPr>
      <w:sdtEndPr>
        <w:rPr>
          <w:rFonts w:cstheme="minorBidi"/>
          <w:noProof/>
        </w:rPr>
      </w:sdtEndPr>
      <w:sdtContent>
        <w:p w14:paraId="0EA643F3" w14:textId="55C9F498" w:rsidR="00AC0994" w:rsidRPr="00AC0994" w:rsidRDefault="00AC0994" w:rsidP="00AC0994">
          <w:pPr>
            <w:pStyle w:val="TOCHeading"/>
            <w:spacing w:before="0" w:after="240" w:line="24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AC0994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Table of Contents</w:t>
          </w:r>
        </w:p>
        <w:p w14:paraId="275FC2C7" w14:textId="662C6B82" w:rsidR="007119B4" w:rsidRDefault="00AC0994">
          <w:pPr>
            <w:pStyle w:val="TOC1"/>
            <w:rPr>
              <w:rFonts w:asciiTheme="minorHAnsi" w:hAnsiTheme="minorHAnsi"/>
              <w:noProof/>
              <w:kern w:val="2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679668" w:history="1">
            <w:r w:rsidR="007119B4" w:rsidRPr="00075909">
              <w:rPr>
                <w:rStyle w:val="Hyperlink"/>
                <w:noProof/>
              </w:rPr>
              <w:t>Supplementary table 1. Baseline patient characteristics and clinical covariates included in the PK data set.</w:t>
            </w:r>
            <w:r w:rsidR="007119B4">
              <w:rPr>
                <w:noProof/>
                <w:webHidden/>
              </w:rPr>
              <w:tab/>
            </w:r>
            <w:r w:rsidR="007119B4">
              <w:rPr>
                <w:noProof/>
                <w:webHidden/>
              </w:rPr>
              <w:fldChar w:fldCharType="begin"/>
            </w:r>
            <w:r w:rsidR="007119B4">
              <w:rPr>
                <w:noProof/>
                <w:webHidden/>
              </w:rPr>
              <w:instrText xml:space="preserve"> PAGEREF _Toc180679668 \h </w:instrText>
            </w:r>
            <w:r w:rsidR="007119B4">
              <w:rPr>
                <w:noProof/>
                <w:webHidden/>
              </w:rPr>
            </w:r>
            <w:r w:rsidR="007119B4">
              <w:rPr>
                <w:noProof/>
                <w:webHidden/>
              </w:rPr>
              <w:fldChar w:fldCharType="separate"/>
            </w:r>
            <w:r w:rsidR="007119B4">
              <w:rPr>
                <w:noProof/>
                <w:webHidden/>
              </w:rPr>
              <w:t>2</w:t>
            </w:r>
            <w:r w:rsidR="007119B4">
              <w:rPr>
                <w:noProof/>
                <w:webHidden/>
              </w:rPr>
              <w:fldChar w:fldCharType="end"/>
            </w:r>
          </w:hyperlink>
        </w:p>
        <w:p w14:paraId="1FC004B7" w14:textId="05BDE76E" w:rsidR="007119B4" w:rsidRDefault="007119B4">
          <w:pPr>
            <w:pStyle w:val="TOC1"/>
            <w:rPr>
              <w:rFonts w:asciiTheme="minorHAnsi" w:hAnsiTheme="minorHAnsi"/>
              <w:noProof/>
              <w:kern w:val="2"/>
              <w:lang w:eastAsia="en-US"/>
              <w14:ligatures w14:val="standardContextual"/>
            </w:rPr>
          </w:pPr>
          <w:hyperlink w:anchor="_Toc180679669" w:history="1">
            <w:r w:rsidRPr="00075909">
              <w:rPr>
                <w:rStyle w:val="Hyperlink"/>
                <w:noProof/>
              </w:rPr>
              <w:t>Supplementary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_Toc180679669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B1B4" w14:textId="00C37ECA" w:rsidR="007119B4" w:rsidRDefault="007119B4">
          <w:pPr>
            <w:pStyle w:val="TOC1"/>
            <w:rPr>
              <w:rFonts w:asciiTheme="minorHAnsi" w:hAnsiTheme="minorHAnsi"/>
              <w:noProof/>
              <w:kern w:val="2"/>
              <w:lang w:eastAsia="en-US"/>
              <w14:ligatures w14:val="standardContextual"/>
            </w:rPr>
          </w:pPr>
          <w:hyperlink w:anchor="_Toc180679670" w:history="1">
            <w:r w:rsidRPr="00075909">
              <w:rPr>
                <w:rStyle w:val="Hyperlink"/>
                <w:noProof/>
              </w:rPr>
              <w:t>Supplementary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_Toc180679670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56F7D" w14:textId="1E8B1C56" w:rsidR="00AC0994" w:rsidRDefault="00AC0994" w:rsidP="00AC0994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D949AFF" w14:textId="77777777" w:rsidR="00AC0994" w:rsidRPr="00950928" w:rsidRDefault="00AC0994" w:rsidP="00AC0994"/>
    <w:p w14:paraId="7DA81E86" w14:textId="77777777" w:rsidR="00C04463" w:rsidRDefault="00C04463" w:rsidP="00F93AE2">
      <w:pPr>
        <w:pStyle w:val="Heading1"/>
        <w:sectPr w:rsidR="00C04463" w:rsidSect="00C044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Toc179298720"/>
      <w:bookmarkStart w:id="4" w:name="_Toc179298716"/>
    </w:p>
    <w:p w14:paraId="6FA73A4C" w14:textId="77777777" w:rsidR="00F93AE2" w:rsidRPr="00766FDD" w:rsidRDefault="00F93AE2" w:rsidP="007119B4">
      <w:pPr>
        <w:pStyle w:val="Heading1"/>
        <w:numPr>
          <w:ilvl w:val="0"/>
          <w:numId w:val="0"/>
        </w:numPr>
        <w:rPr>
          <w:i/>
        </w:rPr>
      </w:pPr>
      <w:bookmarkStart w:id="5" w:name="_Toc179298721"/>
      <w:bookmarkStart w:id="6" w:name="_Toc180679668"/>
      <w:bookmarkEnd w:id="3"/>
      <w:r>
        <w:lastRenderedPageBreak/>
        <w:t>Supplementary t</w:t>
      </w:r>
      <w:r w:rsidRPr="001B5CD5">
        <w:t xml:space="preserve">able 1. </w:t>
      </w:r>
      <w:r w:rsidRPr="00766FDD">
        <w:t>Baseline patient characteristics and clinical covariates included in the PK data set.</w:t>
      </w:r>
      <w:bookmarkEnd w:id="5"/>
      <w:bookmarkEnd w:id="6"/>
    </w:p>
    <w:tbl>
      <w:tblPr>
        <w:tblStyle w:val="TableGrid"/>
        <w:tblW w:w="125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868"/>
        <w:gridCol w:w="2802"/>
        <w:gridCol w:w="2486"/>
      </w:tblGrid>
      <w:tr w:rsidR="00F93AE2" w:rsidRPr="00600D3C" w14:paraId="29F9E0AB" w14:textId="77777777" w:rsidTr="006C72E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left w:val="nil"/>
              <w:bottom w:val="single" w:sz="4" w:space="0" w:color="auto"/>
              <w:right w:val="nil"/>
              <w:tl2br w:val="none" w:sz="0" w:space="0" w:color="auto"/>
              <w:tr2bl w:val="none" w:sz="0" w:space="0" w:color="auto"/>
            </w:tcBorders>
          </w:tcPr>
          <w:p w14:paraId="7D746D44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 xml:space="preserve">Patient </w:t>
            </w:r>
            <w:r>
              <w:t>c</w:t>
            </w:r>
            <w:r w:rsidRPr="00600D3C">
              <w:t>haracteristic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0CD0D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 xml:space="preserve">Treatment </w:t>
            </w:r>
            <w:r>
              <w:t>s</w:t>
            </w:r>
            <w:r w:rsidRPr="00600D3C">
              <w:t>equence 1 (IVIG then placebo)</w:t>
            </w:r>
            <w:r w:rsidRPr="00950C39">
              <w:rPr>
                <w:vertAlign w:val="superscript"/>
              </w:rPr>
              <w:t>a</w:t>
            </w:r>
          </w:p>
          <w:p w14:paraId="2C17559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(</w:t>
            </w:r>
            <w:r w:rsidRPr="00600D3C">
              <w:rPr>
                <w:i/>
                <w:iCs/>
              </w:rPr>
              <w:t>n</w:t>
            </w:r>
            <w:r w:rsidRPr="00600D3C">
              <w:t xml:space="preserve"> = 22)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9B6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Treatment sequence 2 (placebo then IVIG)</w:t>
            </w:r>
            <w:r w:rsidRPr="00950C39">
              <w:rPr>
                <w:vertAlign w:val="superscript"/>
              </w:rPr>
              <w:t>a</w:t>
            </w:r>
          </w:p>
          <w:p w14:paraId="07C4DF6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(</w:t>
            </w:r>
            <w:r w:rsidRPr="00600D3C">
              <w:rPr>
                <w:i/>
                <w:iCs/>
              </w:rPr>
              <w:t xml:space="preserve">n </w:t>
            </w:r>
            <w:r w:rsidRPr="00600D3C">
              <w:t>= 22)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B8CB2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Overall</w:t>
            </w:r>
          </w:p>
          <w:p w14:paraId="0411626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(</w:t>
            </w:r>
            <w:r w:rsidRPr="00600D3C">
              <w:rPr>
                <w:i/>
                <w:iCs/>
              </w:rPr>
              <w:t xml:space="preserve">N </w:t>
            </w:r>
            <w:r w:rsidRPr="00600D3C">
              <w:t>= 44)</w:t>
            </w:r>
          </w:p>
        </w:tc>
      </w:tr>
      <w:tr w:rsidR="00F93AE2" w:rsidRPr="00600D3C" w14:paraId="1C0F6E6B" w14:textId="77777777" w:rsidTr="006C72E8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2CB744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>Age, years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7F9FE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1326C9B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52157F6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51.8 (9.2)</w:t>
            </w:r>
          </w:p>
          <w:p w14:paraId="1DC5209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52.0 (34.0, 72.0)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14:paraId="2E7FB44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51.6 (11.5)</w:t>
            </w:r>
          </w:p>
          <w:p w14:paraId="7433811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50.0 (31.0, 70.0)</w:t>
            </w:r>
          </w:p>
        </w:tc>
        <w:tc>
          <w:tcPr>
            <w:tcW w:w="2486" w:type="dxa"/>
            <w:tcBorders>
              <w:top w:val="single" w:sz="4" w:space="0" w:color="auto"/>
              <w:right w:val="nil"/>
            </w:tcBorders>
          </w:tcPr>
          <w:p w14:paraId="76ED7C1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51.7 (10.3)</w:t>
            </w:r>
          </w:p>
          <w:p w14:paraId="0FBE8C0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52.0 (31.0, 72.0)</w:t>
            </w:r>
          </w:p>
        </w:tc>
      </w:tr>
      <w:tr w:rsidR="00F93AE2" w:rsidRPr="00600D3C" w14:paraId="6DEA5148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0BD258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>Weight, kg</w:t>
            </w:r>
          </w:p>
        </w:tc>
        <w:tc>
          <w:tcPr>
            <w:tcW w:w="2268" w:type="dxa"/>
          </w:tcPr>
          <w:p w14:paraId="3B913AC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4D88E91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186205E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81.3 (14.3)</w:t>
            </w:r>
          </w:p>
          <w:p w14:paraId="0389F2E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82.4 (56.3, 107.0)</w:t>
            </w:r>
          </w:p>
        </w:tc>
        <w:tc>
          <w:tcPr>
            <w:tcW w:w="2802" w:type="dxa"/>
          </w:tcPr>
          <w:p w14:paraId="5E39067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83.9 (11.1)</w:t>
            </w:r>
          </w:p>
          <w:p w14:paraId="4CB944E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85.7 (65.1, 106.0)</w:t>
            </w:r>
          </w:p>
        </w:tc>
        <w:tc>
          <w:tcPr>
            <w:tcW w:w="2486" w:type="dxa"/>
            <w:tcBorders>
              <w:right w:val="nil"/>
            </w:tcBorders>
          </w:tcPr>
          <w:p w14:paraId="7A94B3DE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82.6 (12.7)</w:t>
            </w:r>
          </w:p>
          <w:p w14:paraId="35C55212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83.5 (56.3, 107.0)</w:t>
            </w:r>
          </w:p>
        </w:tc>
      </w:tr>
      <w:tr w:rsidR="00F93AE2" w:rsidRPr="00600D3C" w14:paraId="11D8F573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3D21B4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>BMI, kg/m</w:t>
            </w:r>
            <w:r w:rsidRPr="00600D3C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3142DB9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6CF02572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53D9799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27.7 (4.0)</w:t>
            </w:r>
          </w:p>
          <w:p w14:paraId="591A03A6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26.1 (22.0, 37.3)</w:t>
            </w:r>
          </w:p>
        </w:tc>
        <w:tc>
          <w:tcPr>
            <w:tcW w:w="2802" w:type="dxa"/>
          </w:tcPr>
          <w:p w14:paraId="560ACBD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28.0 (4.3)</w:t>
            </w:r>
          </w:p>
          <w:p w14:paraId="773A334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27.7 (21.3, 39.1)</w:t>
            </w:r>
          </w:p>
        </w:tc>
        <w:tc>
          <w:tcPr>
            <w:tcW w:w="2486" w:type="dxa"/>
            <w:tcBorders>
              <w:right w:val="nil"/>
            </w:tcBorders>
          </w:tcPr>
          <w:p w14:paraId="0ECEB5B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27.9 (4.1)</w:t>
            </w:r>
          </w:p>
          <w:p w14:paraId="2B1CFB1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27.3 (21.3, 39.1)</w:t>
            </w:r>
          </w:p>
        </w:tc>
      </w:tr>
      <w:tr w:rsidR="00F93AE2" w:rsidRPr="00600D3C" w14:paraId="3E3C3232" w14:textId="77777777" w:rsidTr="006C72E8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4D05AF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>LBM, kg</w:t>
            </w:r>
          </w:p>
        </w:tc>
        <w:tc>
          <w:tcPr>
            <w:tcW w:w="2268" w:type="dxa"/>
          </w:tcPr>
          <w:p w14:paraId="64DFDA4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7AC679A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2B354EDD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53.8 (8.3)</w:t>
            </w:r>
          </w:p>
          <w:p w14:paraId="371F367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54.4 (40.3, 66.0)</w:t>
            </w:r>
          </w:p>
        </w:tc>
        <w:tc>
          <w:tcPr>
            <w:tcW w:w="2802" w:type="dxa"/>
          </w:tcPr>
          <w:p w14:paraId="43789C2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56.4 (5.3)</w:t>
            </w:r>
          </w:p>
          <w:p w14:paraId="050BCE8E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56.2 (47.0, 64.9)</w:t>
            </w:r>
          </w:p>
        </w:tc>
        <w:tc>
          <w:tcPr>
            <w:tcW w:w="2486" w:type="dxa"/>
            <w:tcBorders>
              <w:right w:val="nil"/>
            </w:tcBorders>
          </w:tcPr>
          <w:p w14:paraId="30FFC227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55.1 (7.0)</w:t>
            </w:r>
          </w:p>
          <w:p w14:paraId="5EC81E3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55.4 (40.3, 66.0)</w:t>
            </w:r>
          </w:p>
        </w:tc>
      </w:tr>
      <w:tr w:rsidR="00F93AE2" w:rsidRPr="00600D3C" w14:paraId="487E2072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5E7890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lastRenderedPageBreak/>
              <w:t>IgG concentration, g/L</w:t>
            </w:r>
          </w:p>
        </w:tc>
        <w:tc>
          <w:tcPr>
            <w:tcW w:w="2268" w:type="dxa"/>
          </w:tcPr>
          <w:p w14:paraId="1144025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791A3E6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7EDA141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20.7 (5.6)</w:t>
            </w:r>
          </w:p>
          <w:p w14:paraId="0F40D82D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19.4 (11.6, 31.8)</w:t>
            </w:r>
          </w:p>
        </w:tc>
        <w:tc>
          <w:tcPr>
            <w:tcW w:w="2802" w:type="dxa"/>
          </w:tcPr>
          <w:p w14:paraId="45B1DD8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21.1 (6.9)</w:t>
            </w:r>
          </w:p>
          <w:p w14:paraId="538CAA8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21.1 (11.7, 37.0)</w:t>
            </w:r>
          </w:p>
        </w:tc>
        <w:tc>
          <w:tcPr>
            <w:tcW w:w="2486" w:type="dxa"/>
            <w:tcBorders>
              <w:right w:val="nil"/>
            </w:tcBorders>
          </w:tcPr>
          <w:p w14:paraId="5677147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20.9 (6.2)</w:t>
            </w:r>
          </w:p>
          <w:p w14:paraId="3159437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20.2 (11.6, 37.0)</w:t>
            </w:r>
          </w:p>
        </w:tc>
      </w:tr>
      <w:tr w:rsidR="00F93AE2" w:rsidRPr="00600D3C" w14:paraId="17614062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AF84B1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>Total dose, g/kg</w:t>
            </w:r>
          </w:p>
        </w:tc>
        <w:tc>
          <w:tcPr>
            <w:tcW w:w="2268" w:type="dxa"/>
          </w:tcPr>
          <w:p w14:paraId="4D82348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1725B15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1C10A34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1.0 (0.5)</w:t>
            </w:r>
          </w:p>
          <w:p w14:paraId="4554CAB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0.9 (0.4, 2.0)</w:t>
            </w:r>
          </w:p>
        </w:tc>
        <w:tc>
          <w:tcPr>
            <w:tcW w:w="2802" w:type="dxa"/>
          </w:tcPr>
          <w:p w14:paraId="60F2765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1.1 (0.5)</w:t>
            </w:r>
          </w:p>
          <w:p w14:paraId="50B3FFD0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1.0 (0.4, 2.0)</w:t>
            </w:r>
          </w:p>
        </w:tc>
        <w:tc>
          <w:tcPr>
            <w:tcW w:w="2486" w:type="dxa"/>
            <w:tcBorders>
              <w:right w:val="nil"/>
            </w:tcBorders>
          </w:tcPr>
          <w:p w14:paraId="2469BE9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1.0 (0.5)</w:t>
            </w:r>
          </w:p>
          <w:p w14:paraId="07C122D0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1.0 (0.4, 2.0)</w:t>
            </w:r>
          </w:p>
        </w:tc>
      </w:tr>
      <w:tr w:rsidR="00F93AE2" w:rsidRPr="00600D3C" w14:paraId="0ABD2B55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EFB9A2" w14:textId="77777777" w:rsidR="00F93AE2" w:rsidRPr="00600D3C" w:rsidRDefault="00F93AE2" w:rsidP="006C72E8">
            <w:pPr>
              <w:spacing w:before="240" w:after="240" w:line="240" w:lineRule="auto"/>
            </w:pPr>
            <w:proofErr w:type="spellStart"/>
            <w:r w:rsidRPr="00600D3C">
              <w:t>CrCL</w:t>
            </w:r>
            <w:proofErr w:type="spellEnd"/>
            <w:r w:rsidRPr="00600D3C">
              <w:t>, mL/min</w:t>
            </w:r>
          </w:p>
        </w:tc>
        <w:tc>
          <w:tcPr>
            <w:tcW w:w="2268" w:type="dxa"/>
          </w:tcPr>
          <w:p w14:paraId="6FB14102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Mean (SD)</w:t>
            </w:r>
          </w:p>
          <w:p w14:paraId="7E17DCA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Median (min, max)</w:t>
            </w:r>
          </w:p>
        </w:tc>
        <w:tc>
          <w:tcPr>
            <w:tcW w:w="2868" w:type="dxa"/>
          </w:tcPr>
          <w:p w14:paraId="7479582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121.6 (33.7)</w:t>
            </w:r>
          </w:p>
          <w:p w14:paraId="6E3877E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119.7 (79.2, 195.5)</w:t>
            </w:r>
          </w:p>
        </w:tc>
        <w:tc>
          <w:tcPr>
            <w:tcW w:w="2802" w:type="dxa"/>
          </w:tcPr>
          <w:p w14:paraId="075CFD17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114.2 (24.4)</w:t>
            </w:r>
          </w:p>
          <w:p w14:paraId="15660DE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114.7 (64.2, 165.9)</w:t>
            </w:r>
          </w:p>
        </w:tc>
        <w:tc>
          <w:tcPr>
            <w:tcW w:w="2486" w:type="dxa"/>
            <w:tcBorders>
              <w:right w:val="nil"/>
            </w:tcBorders>
          </w:tcPr>
          <w:p w14:paraId="0731549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117.9 (29.3)</w:t>
            </w:r>
          </w:p>
          <w:p w14:paraId="0A877C6E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117.5 (64.2, 195.5)</w:t>
            </w:r>
          </w:p>
        </w:tc>
      </w:tr>
      <w:tr w:rsidR="00F93AE2" w:rsidRPr="00600D3C" w14:paraId="3784D644" w14:textId="77777777" w:rsidTr="006C72E8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34052B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 xml:space="preserve">Race, </w:t>
            </w:r>
            <w:r w:rsidRPr="00E85916">
              <w:rPr>
                <w:i/>
                <w:iCs/>
              </w:rPr>
              <w:t>n</w:t>
            </w:r>
            <w:r w:rsidRPr="00600D3C">
              <w:t xml:space="preserve"> (%)</w:t>
            </w:r>
          </w:p>
        </w:tc>
        <w:tc>
          <w:tcPr>
            <w:tcW w:w="2268" w:type="dxa"/>
          </w:tcPr>
          <w:p w14:paraId="64B6F95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White</w:t>
            </w:r>
          </w:p>
          <w:p w14:paraId="5A87893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Black</w:t>
            </w:r>
          </w:p>
          <w:p w14:paraId="1CA704CE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Hispanic</w:t>
            </w:r>
          </w:p>
        </w:tc>
        <w:tc>
          <w:tcPr>
            <w:tcW w:w="2868" w:type="dxa"/>
          </w:tcPr>
          <w:p w14:paraId="4E700AC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21 (95.5)</w:t>
            </w:r>
          </w:p>
          <w:p w14:paraId="3B5B74F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0</w:t>
            </w:r>
          </w:p>
          <w:p w14:paraId="3EA36320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 (4.5)</w:t>
            </w:r>
          </w:p>
        </w:tc>
        <w:tc>
          <w:tcPr>
            <w:tcW w:w="2802" w:type="dxa"/>
          </w:tcPr>
          <w:p w14:paraId="1D1EA75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20 (90.9)</w:t>
            </w:r>
          </w:p>
          <w:p w14:paraId="3C062027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 (9.1)</w:t>
            </w:r>
          </w:p>
          <w:p w14:paraId="520C3B7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0</w:t>
            </w:r>
          </w:p>
        </w:tc>
        <w:tc>
          <w:tcPr>
            <w:tcW w:w="2486" w:type="dxa"/>
            <w:tcBorders>
              <w:right w:val="nil"/>
            </w:tcBorders>
          </w:tcPr>
          <w:p w14:paraId="3A51AF5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41 (93.2)</w:t>
            </w:r>
          </w:p>
          <w:p w14:paraId="6ABFE95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 (4.5)</w:t>
            </w:r>
          </w:p>
          <w:p w14:paraId="5F68189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 (2.3)</w:t>
            </w:r>
          </w:p>
        </w:tc>
      </w:tr>
      <w:tr w:rsidR="00F93AE2" w:rsidRPr="00600D3C" w14:paraId="4D538E10" w14:textId="77777777" w:rsidTr="006C72E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1CAE04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 xml:space="preserve">Sex, </w:t>
            </w:r>
            <w:r w:rsidRPr="00E85916">
              <w:rPr>
                <w:i/>
                <w:iCs/>
              </w:rPr>
              <w:t>n</w:t>
            </w:r>
            <w:r w:rsidRPr="00600D3C">
              <w:t xml:space="preserve"> (%)</w:t>
            </w:r>
          </w:p>
        </w:tc>
        <w:tc>
          <w:tcPr>
            <w:tcW w:w="2268" w:type="dxa"/>
          </w:tcPr>
          <w:p w14:paraId="2D4CBBF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Male</w:t>
            </w:r>
          </w:p>
          <w:p w14:paraId="73D333B7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Female</w:t>
            </w:r>
          </w:p>
        </w:tc>
        <w:tc>
          <w:tcPr>
            <w:tcW w:w="2868" w:type="dxa"/>
          </w:tcPr>
          <w:p w14:paraId="0873D68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13 (59.1)</w:t>
            </w:r>
          </w:p>
          <w:p w14:paraId="5EFA24B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9 (40.9)</w:t>
            </w:r>
          </w:p>
        </w:tc>
        <w:tc>
          <w:tcPr>
            <w:tcW w:w="2802" w:type="dxa"/>
          </w:tcPr>
          <w:p w14:paraId="3D5EEC8D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19 (86.4)</w:t>
            </w:r>
          </w:p>
          <w:p w14:paraId="7DA5AAE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3 (13.6)</w:t>
            </w:r>
          </w:p>
        </w:tc>
        <w:tc>
          <w:tcPr>
            <w:tcW w:w="2486" w:type="dxa"/>
            <w:tcBorders>
              <w:right w:val="nil"/>
            </w:tcBorders>
          </w:tcPr>
          <w:p w14:paraId="579B076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32 (72.7)</w:t>
            </w:r>
          </w:p>
          <w:p w14:paraId="7179162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12 (27.3)</w:t>
            </w:r>
          </w:p>
        </w:tc>
      </w:tr>
      <w:tr w:rsidR="00F93AE2" w:rsidRPr="00600D3C" w14:paraId="316C8161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7DE923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t xml:space="preserve">Treatment interval, </w:t>
            </w:r>
            <w:r w:rsidRPr="00E85916">
              <w:rPr>
                <w:i/>
                <w:iCs/>
              </w:rPr>
              <w:t>n</w:t>
            </w:r>
            <w:r w:rsidRPr="00600D3C">
              <w:t xml:space="preserve"> (%)</w:t>
            </w:r>
          </w:p>
        </w:tc>
        <w:tc>
          <w:tcPr>
            <w:tcW w:w="2268" w:type="dxa"/>
          </w:tcPr>
          <w:p w14:paraId="0E6597B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Q2W</w:t>
            </w:r>
          </w:p>
          <w:p w14:paraId="6A7A239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Q3W</w:t>
            </w:r>
          </w:p>
          <w:p w14:paraId="6AB3549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Q4W</w:t>
            </w:r>
          </w:p>
        </w:tc>
        <w:tc>
          <w:tcPr>
            <w:tcW w:w="2868" w:type="dxa"/>
          </w:tcPr>
          <w:p w14:paraId="7CC0A8F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4 (18.2)</w:t>
            </w:r>
          </w:p>
          <w:p w14:paraId="061F584A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 (9.1)</w:t>
            </w:r>
          </w:p>
          <w:p w14:paraId="7B8ABDDC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16 (72.7)</w:t>
            </w:r>
          </w:p>
        </w:tc>
        <w:tc>
          <w:tcPr>
            <w:tcW w:w="2802" w:type="dxa"/>
          </w:tcPr>
          <w:p w14:paraId="14A29CD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4 (18.2)</w:t>
            </w:r>
          </w:p>
          <w:p w14:paraId="3D6841D2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7 (31.8)</w:t>
            </w:r>
          </w:p>
          <w:p w14:paraId="63B1DAF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11 (50.0)</w:t>
            </w:r>
          </w:p>
        </w:tc>
        <w:tc>
          <w:tcPr>
            <w:tcW w:w="2486" w:type="dxa"/>
            <w:tcBorders>
              <w:right w:val="nil"/>
            </w:tcBorders>
          </w:tcPr>
          <w:p w14:paraId="392A597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8 (18.2)</w:t>
            </w:r>
          </w:p>
          <w:p w14:paraId="28B6663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9 (20.5)</w:t>
            </w:r>
          </w:p>
          <w:p w14:paraId="787B68B3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lastRenderedPageBreak/>
              <w:t>27 (61.4)</w:t>
            </w:r>
          </w:p>
        </w:tc>
      </w:tr>
      <w:tr w:rsidR="00F93AE2" w:rsidRPr="00600D3C" w14:paraId="2D309C6E" w14:textId="77777777" w:rsidTr="006C72E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il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AC44E0" w14:textId="77777777" w:rsidR="00F93AE2" w:rsidRPr="00600D3C" w:rsidRDefault="00F93AE2" w:rsidP="006C72E8">
            <w:pPr>
              <w:spacing w:before="240" w:after="240" w:line="240" w:lineRule="auto"/>
            </w:pPr>
            <w:r w:rsidRPr="00600D3C">
              <w:lastRenderedPageBreak/>
              <w:t xml:space="preserve">Splitting scheme, </w:t>
            </w:r>
            <w:r w:rsidRPr="00E85916">
              <w:rPr>
                <w:i/>
                <w:iCs/>
              </w:rPr>
              <w:t>n</w:t>
            </w:r>
            <w:r w:rsidRPr="00600D3C">
              <w:t xml:space="preserve"> 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DB08A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 day</w:t>
            </w:r>
          </w:p>
          <w:p w14:paraId="46E8199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 days</w:t>
            </w:r>
          </w:p>
          <w:p w14:paraId="512A28F8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3 days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597282A4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15 (68.2)</w:t>
            </w:r>
          </w:p>
          <w:p w14:paraId="190AB189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6 (27.3)</w:t>
            </w:r>
          </w:p>
          <w:p w14:paraId="4A499415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 (4.5)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3C2D621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13 (59.1)</w:t>
            </w:r>
          </w:p>
          <w:p w14:paraId="649D6410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6 (27.3)</w:t>
            </w:r>
          </w:p>
          <w:p w14:paraId="05149CD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3 (13.6)</w:t>
            </w:r>
          </w:p>
        </w:tc>
        <w:tc>
          <w:tcPr>
            <w:tcW w:w="2486" w:type="dxa"/>
            <w:tcBorders>
              <w:bottom w:val="single" w:sz="4" w:space="0" w:color="auto"/>
              <w:right w:val="nil"/>
            </w:tcBorders>
          </w:tcPr>
          <w:p w14:paraId="02D2CF70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28 (63.6)</w:t>
            </w:r>
          </w:p>
          <w:p w14:paraId="6C6CA68B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12 (27.3)</w:t>
            </w:r>
          </w:p>
          <w:p w14:paraId="1F3E1ECF" w14:textId="77777777" w:rsidR="00F93AE2" w:rsidRPr="00600D3C" w:rsidRDefault="00F93AE2" w:rsidP="006C72E8">
            <w:pPr>
              <w:spacing w:before="24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D3C">
              <w:t>4 (9.1)</w:t>
            </w:r>
          </w:p>
        </w:tc>
      </w:tr>
    </w:tbl>
    <w:p w14:paraId="3CEDE866" w14:textId="77777777" w:rsidR="00F93AE2" w:rsidRPr="00674678" w:rsidRDefault="00F93AE2" w:rsidP="00F93AE2">
      <w:pPr>
        <w:spacing w:after="0" w:line="240" w:lineRule="auto"/>
        <w:rPr>
          <w:sz w:val="20"/>
          <w:szCs w:val="20"/>
        </w:rPr>
      </w:pPr>
      <w:proofErr w:type="spellStart"/>
      <w:r w:rsidRPr="00674678">
        <w:rPr>
          <w:sz w:val="20"/>
          <w:szCs w:val="20"/>
          <w:vertAlign w:val="superscript"/>
        </w:rPr>
        <w:t>a</w:t>
      </w:r>
      <w:r w:rsidRPr="00674678">
        <w:rPr>
          <w:sz w:val="20"/>
          <w:szCs w:val="20"/>
        </w:rPr>
        <w:t>Treatment</w:t>
      </w:r>
      <w:proofErr w:type="spellEnd"/>
      <w:r w:rsidRPr="00674678">
        <w:rPr>
          <w:sz w:val="20"/>
          <w:szCs w:val="20"/>
        </w:rPr>
        <w:t xml:space="preserve"> sequences refer to active treatment (IVIG 10% or placebo) during the crossover phases.</w:t>
      </w:r>
    </w:p>
    <w:p w14:paraId="0DF972FD" w14:textId="77777777" w:rsidR="00F93AE2" w:rsidRPr="00674678" w:rsidRDefault="00F93AE2" w:rsidP="00F93AE2">
      <w:pPr>
        <w:spacing w:after="0" w:line="240" w:lineRule="auto"/>
        <w:rPr>
          <w:sz w:val="20"/>
          <w:szCs w:val="20"/>
        </w:rPr>
      </w:pPr>
      <w:r w:rsidRPr="00674678">
        <w:rPr>
          <w:sz w:val="20"/>
          <w:szCs w:val="20"/>
        </w:rPr>
        <w:t xml:space="preserve">BMI, body mass index; </w:t>
      </w:r>
      <w:proofErr w:type="spellStart"/>
      <w:r w:rsidRPr="00674678">
        <w:rPr>
          <w:sz w:val="20"/>
          <w:szCs w:val="20"/>
        </w:rPr>
        <w:t>CrCL</w:t>
      </w:r>
      <w:proofErr w:type="spellEnd"/>
      <w:r w:rsidRPr="00674678">
        <w:rPr>
          <w:sz w:val="20"/>
          <w:szCs w:val="20"/>
        </w:rPr>
        <w:t>, creatinine clearance; IgG, immunoglobulin G; IVIG 10%, intravenous immunoglobulin containing 10% IgG; LBM, lean body mass; PK, pharmacokinetic; Q2W, every 2 weeks; Q3W, every 3 weeks; Q4W, every 4 weeks; SD, standard deviation.</w:t>
      </w:r>
    </w:p>
    <w:p w14:paraId="35BD16E6" w14:textId="77777777" w:rsidR="00F93AE2" w:rsidRPr="00D04F52" w:rsidRDefault="00F93AE2" w:rsidP="00F93AE2"/>
    <w:p w14:paraId="4F28489B" w14:textId="77777777" w:rsidR="00ED047F" w:rsidRDefault="00ED047F" w:rsidP="00856467">
      <w:pPr>
        <w:pStyle w:val="Heading1"/>
        <w:sectPr w:rsidR="00ED047F" w:rsidSect="00ED047F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6CCEEA" w14:textId="77777777" w:rsidR="008C2EAE" w:rsidRPr="00950928" w:rsidRDefault="008C2EAE" w:rsidP="007119B4">
      <w:pPr>
        <w:pStyle w:val="Heading1"/>
        <w:numPr>
          <w:ilvl w:val="0"/>
          <w:numId w:val="0"/>
        </w:numPr>
      </w:pPr>
      <w:bookmarkStart w:id="7" w:name="_Toc180679669"/>
      <w:r w:rsidRPr="00950928">
        <w:lastRenderedPageBreak/>
        <w:t>Supplement</w:t>
      </w:r>
      <w:r>
        <w:t>ary</w:t>
      </w:r>
      <w:r w:rsidRPr="00950928">
        <w:t xml:space="preserve"> results</w:t>
      </w:r>
      <w:bookmarkEnd w:id="4"/>
      <w:bookmarkEnd w:id="7"/>
    </w:p>
    <w:p w14:paraId="292EFFC4" w14:textId="77777777" w:rsidR="00C65260" w:rsidRDefault="00C65260" w:rsidP="00403C49">
      <w:pPr>
        <w:spacing w:after="0"/>
      </w:pPr>
    </w:p>
    <w:p w14:paraId="25E8DCBC" w14:textId="76EC8657" w:rsidR="00594B7E" w:rsidRPr="00C04463" w:rsidRDefault="00F22DBB" w:rsidP="00C04463">
      <w:pPr>
        <w:rPr>
          <w:b/>
          <w:bCs/>
        </w:rPr>
      </w:pPr>
      <w:r>
        <w:rPr>
          <w:b/>
          <w:bCs/>
        </w:rPr>
        <w:t xml:space="preserve">Figure. </w:t>
      </w:r>
      <w:r w:rsidR="00594B7E" w:rsidRPr="00F22DBB">
        <w:t xml:space="preserve">Goodness of fit plots for the final </w:t>
      </w:r>
      <w:proofErr w:type="spellStart"/>
      <w:r w:rsidR="00594B7E" w:rsidRPr="00F22DBB">
        <w:t>popPK</w:t>
      </w:r>
      <w:proofErr w:type="spellEnd"/>
      <w:r w:rsidR="00594B7E" w:rsidRPr="00F22DBB">
        <w:t xml:space="preserve"> model</w:t>
      </w:r>
      <w:r>
        <w:t xml:space="preserve"> showing no significant deviation trends</w:t>
      </w:r>
    </w:p>
    <w:p w14:paraId="7168E6D2" w14:textId="77777777" w:rsidR="00594B7E" w:rsidRPr="00AD6D30" w:rsidRDefault="00594B7E" w:rsidP="00594B7E">
      <w:r w:rsidRPr="00AD6D30">
        <w:rPr>
          <w:noProof/>
        </w:rPr>
        <w:drawing>
          <wp:inline distT="0" distB="0" distL="0" distR="0" wp14:anchorId="27930BF1" wp14:editId="4F3DDF89">
            <wp:extent cx="5943600" cy="4246245"/>
            <wp:effectExtent l="0" t="0" r="0" b="1905"/>
            <wp:docPr id="1550657183" name="Picture 1" descr="A group of graphs showing different stages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61174" name="Picture 1" descr="A group of graphs showing different stages of a number of peop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288F" w14:textId="21F27174" w:rsidR="00F22DBB" w:rsidRDefault="00F22DBB" w:rsidP="00F22DBB">
      <w:pPr>
        <w:spacing w:after="0" w:line="240" w:lineRule="auto"/>
        <w:rPr>
          <w:sz w:val="20"/>
          <w:szCs w:val="20"/>
        </w:rPr>
      </w:pPr>
      <w:r w:rsidRPr="00F22DBB">
        <w:rPr>
          <w:sz w:val="20"/>
          <w:szCs w:val="20"/>
        </w:rPr>
        <w:t>Dots represent individual data points, gray lines represent smoothed curve based on the data points, and black lines represent lines of identity or residuals equal zero.</w:t>
      </w:r>
    </w:p>
    <w:p w14:paraId="5460F020" w14:textId="6CF724F0" w:rsidR="00594B7E" w:rsidRDefault="00594B7E" w:rsidP="00F22DBB">
      <w:pPr>
        <w:spacing w:after="0" w:line="240" w:lineRule="auto"/>
      </w:pPr>
      <w:r w:rsidRPr="00097090">
        <w:rPr>
          <w:sz w:val="20"/>
          <w:szCs w:val="20"/>
        </w:rPr>
        <w:t xml:space="preserve">IgG, immunoglobulin G; </w:t>
      </w:r>
      <w:proofErr w:type="spellStart"/>
      <w:r w:rsidRPr="00097090">
        <w:rPr>
          <w:sz w:val="20"/>
          <w:szCs w:val="20"/>
        </w:rPr>
        <w:t>popPK</w:t>
      </w:r>
      <w:proofErr w:type="spellEnd"/>
      <w:r w:rsidRPr="00097090">
        <w:rPr>
          <w:sz w:val="20"/>
          <w:szCs w:val="20"/>
        </w:rPr>
        <w:t>, population pharmacokinetic.</w:t>
      </w:r>
    </w:p>
    <w:p w14:paraId="6C8E3C14" w14:textId="77777777" w:rsidR="00741985" w:rsidRDefault="00741985" w:rsidP="000E3710"/>
    <w:p w14:paraId="1CD6339E" w14:textId="77777777" w:rsidR="00F22DBB" w:rsidRDefault="00F22DBB" w:rsidP="00C04463">
      <w:pPr>
        <w:rPr>
          <w:b/>
          <w:bCs/>
        </w:rPr>
        <w:sectPr w:rsidR="00F22DBB" w:rsidSect="00ED04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137CF6" w14:textId="56C6826D" w:rsidR="00F93AE2" w:rsidRPr="00C04463" w:rsidRDefault="00ED047F" w:rsidP="00C04463">
      <w:pPr>
        <w:rPr>
          <w:b/>
          <w:bCs/>
        </w:rPr>
      </w:pPr>
      <w:r>
        <w:rPr>
          <w:b/>
          <w:bCs/>
        </w:rPr>
        <w:lastRenderedPageBreak/>
        <w:t xml:space="preserve">Figure. </w:t>
      </w:r>
      <w:r w:rsidR="00F93AE2" w:rsidRPr="00ED047F">
        <w:t xml:space="preserve">VPCs for the final </w:t>
      </w:r>
      <w:proofErr w:type="spellStart"/>
      <w:r w:rsidR="00F93AE2" w:rsidRPr="00ED047F">
        <w:t>popPK</w:t>
      </w:r>
      <w:proofErr w:type="spellEnd"/>
      <w:r w:rsidR="00F93AE2" w:rsidRPr="00ED047F">
        <w:t xml:space="preserve"> model, stratified by treatment sequence</w:t>
      </w:r>
    </w:p>
    <w:p w14:paraId="61ADAED3" w14:textId="77777777" w:rsidR="00F93AE2" w:rsidRDefault="00F93AE2" w:rsidP="00F93AE2">
      <w:pPr>
        <w:spacing w:line="240" w:lineRule="auto"/>
      </w:pPr>
      <w:r>
        <w:rPr>
          <w:noProof/>
        </w:rPr>
        <w:drawing>
          <wp:inline distT="0" distB="0" distL="0" distR="0" wp14:anchorId="531B703A" wp14:editId="5EAD3C7B">
            <wp:extent cx="5943600" cy="5534660"/>
            <wp:effectExtent l="0" t="0" r="0" b="8890"/>
            <wp:docPr id="1073411990" name="Picture 1" descr="A graph of a patient's treatment sequ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87623" name="Picture 1" descr="A graph of a patient's treatment sequen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1074" w14:textId="0C6D4BB7" w:rsidR="00403C49" w:rsidRDefault="00F93AE2" w:rsidP="00403C49">
      <w:pPr>
        <w:spacing w:after="0" w:line="240" w:lineRule="auto"/>
        <w:rPr>
          <w:sz w:val="20"/>
          <w:szCs w:val="20"/>
        </w:rPr>
      </w:pPr>
      <w:r w:rsidRPr="00097090">
        <w:rPr>
          <w:sz w:val="20"/>
          <w:szCs w:val="20"/>
        </w:rPr>
        <w:t xml:space="preserve">The VPC approach used NONMEM </w:t>
      </w:r>
      <w:r w:rsidRPr="00097090">
        <w:rPr>
          <w:noProof/>
          <w:sz w:val="20"/>
          <w:szCs w:val="20"/>
        </w:rPr>
        <w:t>(</w:t>
      </w:r>
      <w:r w:rsidR="007119B4">
        <w:rPr>
          <w:noProof/>
          <w:sz w:val="20"/>
          <w:szCs w:val="20"/>
        </w:rPr>
        <w:t xml:space="preserve">supplemental references </w:t>
      </w:r>
      <w:r w:rsidR="00403C49">
        <w:rPr>
          <w:noProof/>
          <w:sz w:val="20"/>
          <w:szCs w:val="20"/>
        </w:rPr>
        <w:t>1</w:t>
      </w:r>
      <w:r w:rsidR="007119B4">
        <w:rPr>
          <w:noProof/>
          <w:sz w:val="20"/>
          <w:szCs w:val="20"/>
        </w:rPr>
        <w:t xml:space="preserve"> and </w:t>
      </w:r>
      <w:r w:rsidR="007A6A6F">
        <w:rPr>
          <w:noProof/>
          <w:sz w:val="20"/>
          <w:szCs w:val="20"/>
        </w:rPr>
        <w:t>2</w:t>
      </w:r>
      <w:r w:rsidRPr="00097090">
        <w:rPr>
          <w:noProof/>
          <w:sz w:val="20"/>
          <w:szCs w:val="20"/>
        </w:rPr>
        <w:t>)</w:t>
      </w:r>
      <w:r w:rsidRPr="00097090">
        <w:rPr>
          <w:sz w:val="20"/>
          <w:szCs w:val="20"/>
        </w:rPr>
        <w:t>, and VPCs were based on 300 replicates of the analysis data set, that contained an overall population of 44 patients, or 22 patients per stratum.</w:t>
      </w:r>
      <w:r w:rsidR="00ED047F">
        <w:rPr>
          <w:sz w:val="20"/>
          <w:szCs w:val="20"/>
        </w:rPr>
        <w:t xml:space="preserve"> VPCs indicated</w:t>
      </w:r>
      <w:r w:rsidR="00ED047F" w:rsidRPr="00ED047F">
        <w:rPr>
          <w:sz w:val="20"/>
          <w:szCs w:val="20"/>
        </w:rPr>
        <w:t xml:space="preserve"> a good fit of the central tendency and variability of the predicted IgG PK, with the observed data matching the prediction intervals for both the stabilization phases and the placebo phases.</w:t>
      </w:r>
    </w:p>
    <w:p w14:paraId="5F18BD1A" w14:textId="5F1ABE94" w:rsidR="00F93AE2" w:rsidRDefault="00F93AE2" w:rsidP="00403C49">
      <w:pPr>
        <w:spacing w:after="0" w:line="240" w:lineRule="auto"/>
        <w:rPr>
          <w:sz w:val="20"/>
          <w:szCs w:val="20"/>
        </w:rPr>
      </w:pPr>
      <w:r w:rsidRPr="00097090">
        <w:rPr>
          <w:sz w:val="20"/>
          <w:szCs w:val="20"/>
        </w:rPr>
        <w:t>CI, confidence interval; GTRT, coding of the treatment sequence (1 = IVIG then placebo; 2 = placebo then IVIG); IgG, immunoglobulin G; IVIG, intravenous immunoglobulin; PBO, placebo; popPK, population pharmacokinetic; VPC, visual predictive check.</w:t>
      </w:r>
    </w:p>
    <w:p w14:paraId="1769EDF3" w14:textId="77777777" w:rsidR="00C65260" w:rsidRDefault="00C65260" w:rsidP="00F93AE2">
      <w:pPr>
        <w:spacing w:line="240" w:lineRule="auto"/>
        <w:rPr>
          <w:sz w:val="20"/>
          <w:szCs w:val="20"/>
        </w:rPr>
      </w:pPr>
    </w:p>
    <w:p w14:paraId="2962A65A" w14:textId="77777777" w:rsidR="00C65260" w:rsidRDefault="00C65260" w:rsidP="00C65260">
      <w:pPr>
        <w:rPr>
          <w:b/>
          <w:bCs/>
        </w:rPr>
        <w:sectPr w:rsidR="00C65260" w:rsidSect="00C652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8" w:name="_Toc179298718"/>
    </w:p>
    <w:p w14:paraId="4C60A3D3" w14:textId="77777777" w:rsidR="008C2EAE" w:rsidRPr="00C65260" w:rsidRDefault="008C2EAE" w:rsidP="00C65260">
      <w:pPr>
        <w:rPr>
          <w:b/>
          <w:bCs/>
        </w:rPr>
      </w:pPr>
      <w:r w:rsidRPr="00C65260">
        <w:rPr>
          <w:b/>
          <w:bCs/>
        </w:rPr>
        <w:lastRenderedPageBreak/>
        <w:t>Individual exposure prediction</w:t>
      </w:r>
      <w:bookmarkEnd w:id="8"/>
    </w:p>
    <w:p w14:paraId="3279A4C7" w14:textId="11652163" w:rsidR="008C2EAE" w:rsidRDefault="008C2EAE" w:rsidP="00856467">
      <w:r w:rsidRPr="00950928">
        <w:t>To assess the clinical relevance of the model features and covariates, individual exposure parameters were predicted at steady-state and at the end of the placebo phase, stratified by treatment sequence and sex. Overall, PK parameters related to dosing or dose-normalized exposure were comparable between treatment sequences, and serum total IgG levels were also similar between men and women</w:t>
      </w:r>
      <w:r w:rsidR="00097090">
        <w:t>, as shown in the following table.</w:t>
      </w:r>
    </w:p>
    <w:p w14:paraId="06526E5A" w14:textId="77777777" w:rsidR="004B6E51" w:rsidRDefault="004B6E51" w:rsidP="00856467"/>
    <w:p w14:paraId="0B595304" w14:textId="083226F0" w:rsidR="00097090" w:rsidRPr="00097090" w:rsidRDefault="004B6E51" w:rsidP="00097090">
      <w:pPr>
        <w:rPr>
          <w:b/>
          <w:bCs/>
        </w:rPr>
      </w:pPr>
      <w:r>
        <w:rPr>
          <w:b/>
          <w:bCs/>
        </w:rPr>
        <w:t xml:space="preserve">Table. </w:t>
      </w:r>
      <w:r w:rsidR="00097090" w:rsidRPr="004B6E51">
        <w:t>Individual parameters related to dosing and IgG exposure, stratified by study arm and sex.</w:t>
      </w:r>
    </w:p>
    <w:tbl>
      <w:tblPr>
        <w:tblStyle w:val="TableGrid"/>
        <w:tblW w:w="13570" w:type="dxa"/>
        <w:tblLook w:val="04A0" w:firstRow="1" w:lastRow="0" w:firstColumn="1" w:lastColumn="0" w:noHBand="0" w:noVBand="1"/>
      </w:tblPr>
      <w:tblGrid>
        <w:gridCol w:w="1696"/>
        <w:gridCol w:w="2026"/>
        <w:gridCol w:w="1943"/>
        <w:gridCol w:w="1985"/>
        <w:gridCol w:w="1984"/>
        <w:gridCol w:w="1968"/>
        <w:gridCol w:w="1968"/>
      </w:tblGrid>
      <w:tr w:rsidR="00097090" w:rsidRPr="00ED047F" w14:paraId="48D7C20B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7CD27353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Variable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309F442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6906F9C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Treatment sequence 1</w:t>
            </w:r>
            <w:r w:rsidRPr="00ED047F">
              <w:rPr>
                <w:sz w:val="18"/>
                <w:szCs w:val="18"/>
                <w:vertAlign w:val="superscript"/>
              </w:rPr>
              <w:t>a</w:t>
            </w:r>
          </w:p>
          <w:p w14:paraId="4BA8AD5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(</w:t>
            </w:r>
            <w:r w:rsidRPr="00ED047F">
              <w:rPr>
                <w:i/>
                <w:iCs/>
                <w:sz w:val="18"/>
                <w:szCs w:val="18"/>
              </w:rPr>
              <w:t>n</w:t>
            </w:r>
            <w:r w:rsidRPr="00ED047F">
              <w:rPr>
                <w:sz w:val="18"/>
                <w:szCs w:val="18"/>
              </w:rPr>
              <w:t xml:space="preserve"> = 22)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10FCED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Treatment sequence 2</w:t>
            </w:r>
            <w:r w:rsidRPr="00ED047F">
              <w:rPr>
                <w:sz w:val="18"/>
                <w:szCs w:val="18"/>
                <w:vertAlign w:val="superscript"/>
              </w:rPr>
              <w:t>a</w:t>
            </w:r>
          </w:p>
          <w:p w14:paraId="767E997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(</w:t>
            </w:r>
            <w:r w:rsidRPr="00ED047F">
              <w:rPr>
                <w:i/>
                <w:iCs/>
                <w:sz w:val="18"/>
                <w:szCs w:val="18"/>
              </w:rPr>
              <w:t>n</w:t>
            </w:r>
            <w:r w:rsidRPr="00ED047F">
              <w:rPr>
                <w:sz w:val="18"/>
                <w:szCs w:val="18"/>
              </w:rPr>
              <w:t xml:space="preserve"> = 22)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1D367F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Male</w:t>
            </w:r>
          </w:p>
          <w:p w14:paraId="5649406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(</w:t>
            </w:r>
            <w:r w:rsidRPr="00ED047F">
              <w:rPr>
                <w:i/>
                <w:iCs/>
                <w:sz w:val="18"/>
                <w:szCs w:val="18"/>
              </w:rPr>
              <w:t>n</w:t>
            </w:r>
            <w:r w:rsidRPr="00ED047F">
              <w:rPr>
                <w:sz w:val="18"/>
                <w:szCs w:val="18"/>
              </w:rPr>
              <w:t xml:space="preserve"> = 32)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5339AEF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Female</w:t>
            </w:r>
          </w:p>
          <w:p w14:paraId="66FA7FB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(</w:t>
            </w:r>
            <w:r w:rsidRPr="00ED047F">
              <w:rPr>
                <w:i/>
                <w:iCs/>
                <w:sz w:val="18"/>
                <w:szCs w:val="18"/>
              </w:rPr>
              <w:t>n</w:t>
            </w:r>
            <w:r w:rsidRPr="00ED047F">
              <w:rPr>
                <w:sz w:val="18"/>
                <w:szCs w:val="18"/>
              </w:rPr>
              <w:t xml:space="preserve"> = 12)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33017F1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Overall</w:t>
            </w:r>
          </w:p>
          <w:p w14:paraId="5B7594B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(</w:t>
            </w:r>
            <w:r w:rsidRPr="00ED047F">
              <w:rPr>
                <w:i/>
                <w:iCs/>
                <w:sz w:val="18"/>
                <w:szCs w:val="18"/>
              </w:rPr>
              <w:t>n</w:t>
            </w:r>
            <w:r w:rsidRPr="00ED047F">
              <w:rPr>
                <w:sz w:val="18"/>
                <w:szCs w:val="18"/>
              </w:rPr>
              <w:t xml:space="preserve"> = 44)</w:t>
            </w:r>
          </w:p>
        </w:tc>
      </w:tr>
      <w:tr w:rsidR="00097090" w:rsidRPr="00ED047F" w14:paraId="2FB63555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C005B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Body weight-based dose, g/kg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50E66D2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32F6B06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3CD98E6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139918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0.95 (0.48)</w:t>
            </w:r>
          </w:p>
          <w:p w14:paraId="189024F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0.84 (53.62)</w:t>
            </w:r>
          </w:p>
          <w:p w14:paraId="6CE79B9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0.87 (0.40, 2.00)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C4885C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1.08 (0.51)</w:t>
            </w:r>
          </w:p>
          <w:p w14:paraId="5540C8A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0.97 (51.20)</w:t>
            </w:r>
          </w:p>
          <w:p w14:paraId="315FAD8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0.98 (0.40, 2.00)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E91DB1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1.07 (0.53)</w:t>
            </w:r>
          </w:p>
          <w:p w14:paraId="7C8F6F5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0.95 (54.30)</w:t>
            </w:r>
          </w:p>
          <w:p w14:paraId="25AEBF2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0.98 (0.40, 2.00)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3BE8530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0.87 (0.38)</w:t>
            </w:r>
          </w:p>
          <w:p w14:paraId="5AC6D45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0.80 (46.46)</w:t>
            </w:r>
          </w:p>
          <w:p w14:paraId="18CC02E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0.87 (0.40, 1.54)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65989C8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1.01 (0.49)</w:t>
            </w:r>
          </w:p>
          <w:p w14:paraId="2AB9D8D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0.90 (52.34)</w:t>
            </w:r>
          </w:p>
          <w:p w14:paraId="36C1466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0.95 (0.40, 2.00)</w:t>
            </w:r>
          </w:p>
        </w:tc>
      </w:tr>
      <w:tr w:rsidR="00097090" w:rsidRPr="00ED047F" w14:paraId="20BCC604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8D0E5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Duration of placebo, days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44E2EB4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5069205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6C0B8F9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2914F3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49.07 (31.59)</w:t>
            </w:r>
          </w:p>
          <w:p w14:paraId="6B99522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38.69 (87.08)</w:t>
            </w:r>
          </w:p>
          <w:p w14:paraId="73F1026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38.05 (7.00, 112.10)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FF5DC4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34.21 (27.23)</w:t>
            </w:r>
          </w:p>
          <w:p w14:paraId="16110FF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25.54 (92.24)</w:t>
            </w:r>
          </w:p>
          <w:p w14:paraId="279E9E7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22.10 (7.00, 84.00)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B333C3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40.45 (32.57)</w:t>
            </w:r>
          </w:p>
          <w:p w14:paraId="4799C7C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28.71 (105.26)</w:t>
            </w:r>
          </w:p>
          <w:p w14:paraId="7192B15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23.00 (7.00, 112.10)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23A9C3A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45.33 (23.61)</w:t>
            </w:r>
          </w:p>
          <w:p w14:paraId="42C392F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40.45 (51.92)</w:t>
            </w:r>
          </w:p>
          <w:p w14:paraId="63E9070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42.00 (21.00, 86.00)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7DBEC14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41.81 (30.14)</w:t>
            </w:r>
          </w:p>
          <w:p w14:paraId="1A0A7E3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31.59 (92.62)</w:t>
            </w:r>
          </w:p>
          <w:p w14:paraId="1F97E1C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28.00 (7.00, 112.10)</w:t>
            </w:r>
          </w:p>
        </w:tc>
      </w:tr>
      <w:tr w:rsidR="00097090" w:rsidRPr="00ED047F" w14:paraId="27C3B764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54892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lastRenderedPageBreak/>
              <w:t>CBASE, g/L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36BDB69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2712CFD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17BC572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2F684A2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11.52 (1.85)</w:t>
            </w:r>
          </w:p>
          <w:p w14:paraId="4EF1DC5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11.37 (17.14)</w:t>
            </w:r>
          </w:p>
          <w:p w14:paraId="2F9DC59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12.00 (8.02, 14.04)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2B264E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11.26 (2.01)</w:t>
            </w:r>
          </w:p>
          <w:p w14:paraId="20D7035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11.10 (17.22)</w:t>
            </w:r>
          </w:p>
          <w:p w14:paraId="73A6C96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11.26 (8.46, 16.80)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089A79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11.66 (1.89)</w:t>
            </w:r>
          </w:p>
          <w:p w14:paraId="1BEE719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11.52 (16.28)</w:t>
            </w:r>
          </w:p>
          <w:p w14:paraId="2587A63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11.79 (8.70, 16.80)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60012E7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10.67 (1.87)</w:t>
            </w:r>
          </w:p>
          <w:p w14:paraId="2860E0A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10.52 (17.86)</w:t>
            </w:r>
          </w:p>
          <w:p w14:paraId="27963FF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10.74 (8.02, 13.93)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4A2047B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11.39 (1.91)</w:t>
            </w:r>
          </w:p>
          <w:p w14:paraId="536BE35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11.23 (17.02)</w:t>
            </w:r>
          </w:p>
          <w:p w14:paraId="6CFC57D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11.63 (8.02, 16.80)</w:t>
            </w:r>
          </w:p>
        </w:tc>
      </w:tr>
      <w:tr w:rsidR="00097090" w:rsidRPr="00ED047F" w14:paraId="18CB85D7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F45C8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V1, L</w:t>
            </w:r>
          </w:p>
        </w:tc>
        <w:tc>
          <w:tcPr>
            <w:tcW w:w="2026" w:type="dxa"/>
            <w:tcBorders>
              <w:left w:val="nil"/>
              <w:bottom w:val="single" w:sz="4" w:space="0" w:color="auto"/>
              <w:right w:val="nil"/>
            </w:tcBorders>
          </w:tcPr>
          <w:p w14:paraId="5404C3F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55DE274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4694CA9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nil"/>
            </w:tcBorders>
          </w:tcPr>
          <w:p w14:paraId="552DFFB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5.71 (2.05)</w:t>
            </w:r>
          </w:p>
          <w:p w14:paraId="60B7F40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5.34 (39.63)</w:t>
            </w:r>
          </w:p>
          <w:p w14:paraId="0C19CDF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5.82 (2.67, 9.70)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4FF6E9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6.52 (1.43)</w:t>
            </w:r>
          </w:p>
          <w:p w14:paraId="6643A73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6.38 (21.93)</w:t>
            </w:r>
          </w:p>
          <w:p w14:paraId="4C72166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6.48 (4.24, 9.70)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FD28D8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6.80 (1.43)</w:t>
            </w:r>
          </w:p>
          <w:p w14:paraId="5B8CC75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6.66 (20.60)</w:t>
            </w:r>
          </w:p>
          <w:p w14:paraId="42C8372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6.48 (4.81, 9.70)</w:t>
            </w:r>
          </w:p>
        </w:tc>
        <w:tc>
          <w:tcPr>
            <w:tcW w:w="1968" w:type="dxa"/>
            <w:tcBorders>
              <w:left w:val="nil"/>
              <w:bottom w:val="single" w:sz="4" w:space="0" w:color="auto"/>
              <w:right w:val="nil"/>
            </w:tcBorders>
          </w:tcPr>
          <w:p w14:paraId="15F80E1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4.28 (1.34)</w:t>
            </w:r>
          </w:p>
          <w:p w14:paraId="684129B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4.10 (31.54)</w:t>
            </w:r>
          </w:p>
          <w:p w14:paraId="26E98B5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4.01 (2.67, 6.84)</w:t>
            </w:r>
          </w:p>
        </w:tc>
        <w:tc>
          <w:tcPr>
            <w:tcW w:w="1968" w:type="dxa"/>
            <w:tcBorders>
              <w:left w:val="nil"/>
              <w:bottom w:val="single" w:sz="4" w:space="0" w:color="auto"/>
              <w:right w:val="nil"/>
            </w:tcBorders>
          </w:tcPr>
          <w:p w14:paraId="6893AE9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6.12 (1.79)</w:t>
            </w:r>
          </w:p>
          <w:p w14:paraId="049CFDB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5.84 (32.79)</w:t>
            </w:r>
          </w:p>
          <w:p w14:paraId="15BD434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5.95 (2.67, 9.70)</w:t>
            </w:r>
          </w:p>
        </w:tc>
      </w:tr>
      <w:tr w:rsidR="00097090" w:rsidRPr="00ED047F" w14:paraId="1F38F6F0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A4AAB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CL, L/h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1B6F597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19C8E24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4A9EB8A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61DE0B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0.01 (0.01)</w:t>
            </w:r>
          </w:p>
          <w:p w14:paraId="0342995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0.01 (39.63)</w:t>
            </w:r>
          </w:p>
          <w:p w14:paraId="2D021FD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(0.01, 0.02)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58C1E2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(0.00)</w:t>
            </w:r>
          </w:p>
          <w:p w14:paraId="2B6E6F2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(21.93)</w:t>
            </w:r>
          </w:p>
          <w:p w14:paraId="46AA031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(0.01, 0.02)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345EC8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(0.00)</w:t>
            </w:r>
          </w:p>
          <w:p w14:paraId="2C9039C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(20.60)</w:t>
            </w:r>
          </w:p>
          <w:p w14:paraId="34058AB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(0.01, 0.02)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53A7964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0.01 (0.00)</w:t>
            </w:r>
          </w:p>
          <w:p w14:paraId="5F3BF42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0.01 (31.54)</w:t>
            </w:r>
          </w:p>
          <w:p w14:paraId="1A138E3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0.01 (0.01, 0.02)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7B44617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(0.01)</w:t>
            </w:r>
          </w:p>
          <w:p w14:paraId="095D2CD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(32.79)</w:t>
            </w:r>
          </w:p>
          <w:p w14:paraId="568DF69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0.02 (0.01, 0.02)</w:t>
            </w:r>
          </w:p>
        </w:tc>
      </w:tr>
      <w:tr w:rsidR="00097090" w:rsidRPr="00ED047F" w14:paraId="05BEF5FD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61BFE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t>C</w:t>
            </w:r>
            <w:r w:rsidRPr="00ED047F">
              <w:rPr>
                <w:sz w:val="18"/>
                <w:szCs w:val="18"/>
                <w:vertAlign w:val="subscript"/>
              </w:rPr>
              <w:t>trough,ss</w:t>
            </w:r>
            <w:proofErr w:type="spellEnd"/>
            <w:r w:rsidRPr="00ED047F">
              <w:rPr>
                <w:sz w:val="18"/>
                <w:szCs w:val="18"/>
              </w:rPr>
              <w:t>, g/L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534CD21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4523942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00F70B3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2076D4B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15.95 (3.59)</w:t>
            </w:r>
          </w:p>
          <w:p w14:paraId="09CA404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15.55 (24.14)</w:t>
            </w:r>
          </w:p>
          <w:p w14:paraId="2F0FB43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16.55 (9.87, 23.70)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880DBA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15.88 (3.27)</w:t>
            </w:r>
          </w:p>
          <w:p w14:paraId="5277BD6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15.56 (20.86)</w:t>
            </w:r>
          </w:p>
          <w:p w14:paraId="56A9A97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15.55 (10.50, 21.70)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5D70D4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16.18 (3.67)</w:t>
            </w:r>
          </w:p>
          <w:p w14:paraId="662433F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15.76 (24.09)</w:t>
            </w:r>
          </w:p>
          <w:p w14:paraId="15EAF4F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16.50 (9.87, 23.70)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71C42D7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15.20 (2.48)</w:t>
            </w:r>
          </w:p>
          <w:p w14:paraId="0E1260D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15.01 (17.01)</w:t>
            </w:r>
          </w:p>
          <w:p w14:paraId="7218F92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15.40 (10.70, 19.70)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431C4FF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15.92 (3.39)</w:t>
            </w:r>
          </w:p>
          <w:p w14:paraId="3033E90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15.55 (22.28)</w:t>
            </w:r>
          </w:p>
          <w:p w14:paraId="527FA3E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16.10 (9.87, 23.70)</w:t>
            </w:r>
          </w:p>
        </w:tc>
      </w:tr>
      <w:tr w:rsidR="00097090" w:rsidRPr="00ED047F" w14:paraId="45362827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F9912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t>C</w:t>
            </w:r>
            <w:r w:rsidRPr="00ED047F">
              <w:rPr>
                <w:sz w:val="18"/>
                <w:szCs w:val="18"/>
                <w:vertAlign w:val="subscript"/>
              </w:rPr>
              <w:t>trough,plc</w:t>
            </w:r>
            <w:proofErr w:type="spellEnd"/>
            <w:r w:rsidRPr="00ED047F">
              <w:rPr>
                <w:sz w:val="18"/>
                <w:szCs w:val="18"/>
              </w:rPr>
              <w:t>, g/L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47CFF6D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103CA15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01076D2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4F2B75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12.40 (2.76)</w:t>
            </w:r>
          </w:p>
          <w:p w14:paraId="3E6FBC4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12.08 (24.50)</w:t>
            </w:r>
          </w:p>
          <w:p w14:paraId="5F97B07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13.10 (6.98, 17.50)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958FF1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12.37 (3.04)</w:t>
            </w:r>
          </w:p>
          <w:p w14:paraId="463F3B5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12.04 (23.97)</w:t>
            </w:r>
          </w:p>
          <w:p w14:paraId="02D39F7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11.75 (8.75, 18.10)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B98860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12.73 (3.04)</w:t>
            </w:r>
          </w:p>
          <w:p w14:paraId="755B459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12.36 (25.23)</w:t>
            </w:r>
          </w:p>
          <w:p w14:paraId="49898A6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12.60 (6.98, 18.10)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3C8FC3A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11.54 (2.22)</w:t>
            </w:r>
          </w:p>
          <w:p w14:paraId="72527C0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11.34 (20.03)</w:t>
            </w:r>
          </w:p>
          <w:p w14:paraId="616D94A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11.30 (7.79, 15.30)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43ED933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12.39 (2.86)</w:t>
            </w:r>
          </w:p>
          <w:p w14:paraId="0C3604D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12.06 (23.95)</w:t>
            </w:r>
          </w:p>
          <w:p w14:paraId="0F65889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12.35 (6.98, 18.10)</w:t>
            </w:r>
          </w:p>
        </w:tc>
      </w:tr>
      <w:tr w:rsidR="00097090" w:rsidRPr="00ED047F" w14:paraId="33D2E3FA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F4073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t>AUC</w:t>
            </w:r>
            <w:r w:rsidRPr="00ED047F">
              <w:rPr>
                <w:sz w:val="18"/>
                <w:szCs w:val="18"/>
                <w:vertAlign w:val="subscript"/>
              </w:rPr>
              <w:t>wk,ss</w:t>
            </w:r>
            <w:proofErr w:type="spellEnd"/>
            <w:r w:rsidRPr="00ED047F">
              <w:rPr>
                <w:sz w:val="18"/>
                <w:szCs w:val="18"/>
              </w:rPr>
              <w:t xml:space="preserve">, </w:t>
            </w:r>
            <w:proofErr w:type="spellStart"/>
            <w:r w:rsidRPr="00ED047F">
              <w:rPr>
                <w:sz w:val="18"/>
                <w:szCs w:val="18"/>
              </w:rPr>
              <w:t>g.h</w:t>
            </w:r>
            <w:proofErr w:type="spellEnd"/>
            <w:r w:rsidRPr="00ED047F">
              <w:rPr>
                <w:sz w:val="18"/>
                <w:szCs w:val="18"/>
              </w:rPr>
              <w:t>/L</w:t>
            </w:r>
          </w:p>
        </w:tc>
        <w:tc>
          <w:tcPr>
            <w:tcW w:w="2026" w:type="dxa"/>
            <w:tcBorders>
              <w:left w:val="nil"/>
              <w:bottom w:val="single" w:sz="4" w:space="0" w:color="auto"/>
              <w:right w:val="nil"/>
            </w:tcBorders>
          </w:tcPr>
          <w:p w14:paraId="6348654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6B62250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2F33DF1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nil"/>
            </w:tcBorders>
          </w:tcPr>
          <w:p w14:paraId="7401D23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3529.4 (784.68)</w:t>
            </w:r>
          </w:p>
          <w:p w14:paraId="04EA5A8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3436.2 (24.88)</w:t>
            </w:r>
          </w:p>
          <w:p w14:paraId="2DA0B3A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3759 (1850, 4645)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919051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3653.2 (903.32)</w:t>
            </w:r>
          </w:p>
          <w:p w14:paraId="1FE5A4D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3548.7 (25.13)</w:t>
            </w:r>
          </w:p>
          <w:p w14:paraId="47F0AEC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3585 (2358, 5209)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776D113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3590.7 (896.23)</w:t>
            </w:r>
          </w:p>
          <w:p w14:paraId="2E3AEC9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3477.6 (26.70)</w:t>
            </w:r>
          </w:p>
          <w:p w14:paraId="2592FC8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3585 (1850, 5209)</w:t>
            </w:r>
          </w:p>
        </w:tc>
        <w:tc>
          <w:tcPr>
            <w:tcW w:w="1968" w:type="dxa"/>
            <w:tcBorders>
              <w:left w:val="nil"/>
              <w:bottom w:val="single" w:sz="4" w:space="0" w:color="auto"/>
              <w:right w:val="nil"/>
            </w:tcBorders>
          </w:tcPr>
          <w:p w14:paraId="12EF80B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3582.4 (694.18)</w:t>
            </w:r>
          </w:p>
          <w:p w14:paraId="0928ED7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3518.9 (20.13)</w:t>
            </w:r>
          </w:p>
          <w:p w14:paraId="022B3FB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3759 (2558, 4645)</w:t>
            </w:r>
          </w:p>
        </w:tc>
        <w:tc>
          <w:tcPr>
            <w:tcW w:w="1968" w:type="dxa"/>
            <w:tcBorders>
              <w:left w:val="nil"/>
              <w:bottom w:val="single" w:sz="4" w:space="0" w:color="auto"/>
              <w:right w:val="nil"/>
            </w:tcBorders>
          </w:tcPr>
          <w:p w14:paraId="5038BDA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3588.3 (835.12)</w:t>
            </w:r>
          </w:p>
          <w:p w14:paraId="2BD1806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3489.4 (24.74)</w:t>
            </w:r>
          </w:p>
          <w:p w14:paraId="1F379EC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3680 (1850, 5209)</w:t>
            </w:r>
          </w:p>
        </w:tc>
      </w:tr>
      <w:tr w:rsidR="00097090" w:rsidRPr="00ED047F" w14:paraId="75F58AD5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C3B0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lastRenderedPageBreak/>
              <w:t>pAUC</w:t>
            </w:r>
            <w:r w:rsidRPr="00ED047F">
              <w:rPr>
                <w:sz w:val="18"/>
                <w:szCs w:val="18"/>
                <w:vertAlign w:val="subscript"/>
              </w:rPr>
              <w:t>wk.plc</w:t>
            </w:r>
            <w:proofErr w:type="spellEnd"/>
            <w:r w:rsidRPr="00ED047F">
              <w:rPr>
                <w:sz w:val="18"/>
                <w:szCs w:val="18"/>
              </w:rPr>
              <w:t xml:space="preserve">, </w:t>
            </w:r>
            <w:proofErr w:type="spellStart"/>
            <w:r w:rsidRPr="00ED047F">
              <w:rPr>
                <w:sz w:val="18"/>
                <w:szCs w:val="18"/>
              </w:rPr>
              <w:t>g.h</w:t>
            </w:r>
            <w:proofErr w:type="spellEnd"/>
            <w:r w:rsidRPr="00ED047F">
              <w:rPr>
                <w:sz w:val="18"/>
                <w:szCs w:val="18"/>
              </w:rPr>
              <w:t>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32E016E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59DC295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6E2B8F2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81FB81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2155.0 (411.25)</w:t>
            </w:r>
          </w:p>
          <w:p w14:paraId="13E70E93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2115.7 (20.19)</w:t>
            </w:r>
          </w:p>
          <w:p w14:paraId="2226CF4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2183 (1361, 2981)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5EBBC2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2152.4 (537.38)</w:t>
            </w:r>
          </w:p>
          <w:p w14:paraId="7F9CFAD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2091.6 (24.77)</w:t>
            </w:r>
          </w:p>
          <w:p w14:paraId="444F83B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2139 (1513, 3215)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97DB2B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2248.9 (482.21)</w:t>
            </w:r>
          </w:p>
          <w:p w14:paraId="263DF42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2198.4 (22.11)</w:t>
            </w:r>
          </w:p>
          <w:p w14:paraId="31CBE4D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2217 (1513, 3215)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7617DFA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1916.0 (349.77)</w:t>
            </w:r>
          </w:p>
          <w:p w14:paraId="0CECF78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1886.0 (18.91)</w:t>
            </w:r>
          </w:p>
          <w:p w14:paraId="79E1678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1942 (1361, 2472)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574DDD0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2153.8 (469.52)</w:t>
            </w:r>
          </w:p>
          <w:p w14:paraId="6124D22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2104.2 (22.20)</w:t>
            </w:r>
          </w:p>
          <w:p w14:paraId="5C9FB52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2176 (1361, 3215)</w:t>
            </w:r>
          </w:p>
        </w:tc>
      </w:tr>
      <w:tr w:rsidR="00097090" w:rsidRPr="00ED047F" w14:paraId="5C3CAE4D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BFC45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t>C</w:t>
            </w:r>
            <w:r w:rsidRPr="00ED047F">
              <w:rPr>
                <w:sz w:val="18"/>
                <w:szCs w:val="18"/>
                <w:vertAlign w:val="subscript"/>
              </w:rPr>
              <w:t>avg,ss</w:t>
            </w:r>
            <w:proofErr w:type="spellEnd"/>
            <w:r w:rsidRPr="00ED047F">
              <w:rPr>
                <w:sz w:val="18"/>
                <w:szCs w:val="18"/>
              </w:rPr>
              <w:t>, g/L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7D69DCA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6143AB1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7C0888D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6E75C1D8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21.01 (4.67)</w:t>
            </w:r>
          </w:p>
          <w:p w14:paraId="369A687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20.45 (24.88)</w:t>
            </w:r>
          </w:p>
          <w:p w14:paraId="5CA7685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22.37 (11.0, 27.7)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D5A9EC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21.75 (5.38)</w:t>
            </w:r>
          </w:p>
          <w:p w14:paraId="388A3BF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21.12 (25.13)</w:t>
            </w:r>
          </w:p>
          <w:p w14:paraId="2A2A6BD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21.34 (14.0, 31.0)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878B28F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21.37 (5.34)</w:t>
            </w:r>
          </w:p>
          <w:p w14:paraId="0966F76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20.70 (26.70)</w:t>
            </w:r>
          </w:p>
          <w:p w14:paraId="4E2E3A5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21.34 (11.0, 31.0)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5E818C4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21.32 (4.13)</w:t>
            </w:r>
          </w:p>
          <w:p w14:paraId="2AEF43C1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20.95 (20.13)</w:t>
            </w:r>
          </w:p>
          <w:p w14:paraId="3807134A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22.37 (15.2, 27.7)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027BBF0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21.36 (4.97)</w:t>
            </w:r>
          </w:p>
          <w:p w14:paraId="605B108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20.77 (24.74)</w:t>
            </w:r>
          </w:p>
          <w:p w14:paraId="2097023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21.91 (11.0, 31.0)</w:t>
            </w:r>
          </w:p>
        </w:tc>
      </w:tr>
      <w:tr w:rsidR="00097090" w:rsidRPr="00ED047F" w14:paraId="3782125A" w14:textId="77777777" w:rsidTr="005E65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14:paraId="1EF7B444" w14:textId="77777777" w:rsidR="00097090" w:rsidRPr="00ED047F" w:rsidRDefault="00097090" w:rsidP="005E6543">
            <w:pPr>
              <w:rPr>
                <w:sz w:val="18"/>
                <w:szCs w:val="18"/>
              </w:rPr>
            </w:pPr>
            <w:proofErr w:type="spellStart"/>
            <w:r w:rsidRPr="00ED047F">
              <w:rPr>
                <w:sz w:val="18"/>
                <w:szCs w:val="18"/>
              </w:rPr>
              <w:t>C</w:t>
            </w:r>
            <w:r w:rsidRPr="00ED047F">
              <w:rPr>
                <w:sz w:val="18"/>
                <w:szCs w:val="18"/>
                <w:vertAlign w:val="subscript"/>
              </w:rPr>
              <w:t>avg,plc</w:t>
            </w:r>
            <w:proofErr w:type="spellEnd"/>
            <w:r w:rsidRPr="00ED047F">
              <w:rPr>
                <w:sz w:val="18"/>
                <w:szCs w:val="18"/>
              </w:rPr>
              <w:t>, g/L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1FCB449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Mean (SD)</w:t>
            </w:r>
          </w:p>
          <w:p w14:paraId="5412E49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Geo. mean (%CV)</w:t>
            </w:r>
          </w:p>
          <w:p w14:paraId="73D8543D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Median (min, max)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D248AC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12.83 (2.45)</w:t>
            </w:r>
          </w:p>
          <w:p w14:paraId="0DEC5C8B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12.59 (20.19)</w:t>
            </w:r>
          </w:p>
          <w:p w14:paraId="3FA7041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13.00 (8.10, 17.74)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5546D54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12.81 (3.20)</w:t>
            </w:r>
          </w:p>
          <w:p w14:paraId="12F2DEE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12.45 (24.77)</w:t>
            </w:r>
          </w:p>
          <w:p w14:paraId="0A5CE310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12.73 (9.01, 19.14)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87F8C52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13.39 (2.87)</w:t>
            </w:r>
          </w:p>
          <w:p w14:paraId="4036DF69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13.09 (22.11)</w:t>
            </w:r>
          </w:p>
          <w:p w14:paraId="14258CC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13.20 (9.01, 19.14)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7F96424C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11.41 (2.08)</w:t>
            </w:r>
          </w:p>
          <w:p w14:paraId="427A4A8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11.23 (18.91)</w:t>
            </w:r>
          </w:p>
          <w:p w14:paraId="688B079E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11.56 (8.10, 14.71)</w:t>
            </w:r>
          </w:p>
        </w:tc>
        <w:tc>
          <w:tcPr>
            <w:tcW w:w="1968" w:type="dxa"/>
            <w:tcBorders>
              <w:left w:val="nil"/>
              <w:right w:val="nil"/>
            </w:tcBorders>
          </w:tcPr>
          <w:p w14:paraId="38B03707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12.82 (2.80)</w:t>
            </w:r>
          </w:p>
          <w:p w14:paraId="5B3BE055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12.53 (22.20)</w:t>
            </w:r>
          </w:p>
          <w:p w14:paraId="231A0016" w14:textId="77777777" w:rsidR="00097090" w:rsidRPr="00ED047F" w:rsidRDefault="00097090" w:rsidP="005E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047F">
              <w:rPr>
                <w:sz w:val="18"/>
                <w:szCs w:val="18"/>
              </w:rPr>
              <w:t>12.95 (8.10, 19.14)</w:t>
            </w:r>
          </w:p>
        </w:tc>
      </w:tr>
    </w:tbl>
    <w:p w14:paraId="1406CFAE" w14:textId="77777777" w:rsidR="00097090" w:rsidRPr="00097090" w:rsidRDefault="00097090" w:rsidP="004B6E51">
      <w:pPr>
        <w:spacing w:after="0" w:line="240" w:lineRule="auto"/>
        <w:rPr>
          <w:sz w:val="20"/>
          <w:szCs w:val="20"/>
        </w:rPr>
      </w:pPr>
      <w:proofErr w:type="spellStart"/>
      <w:r w:rsidRPr="00097090">
        <w:rPr>
          <w:sz w:val="20"/>
          <w:szCs w:val="20"/>
          <w:vertAlign w:val="superscript"/>
        </w:rPr>
        <w:t>a</w:t>
      </w:r>
      <w:r w:rsidRPr="00097090">
        <w:rPr>
          <w:sz w:val="20"/>
          <w:szCs w:val="20"/>
        </w:rPr>
        <w:t>Treatment</w:t>
      </w:r>
      <w:proofErr w:type="spellEnd"/>
      <w:r w:rsidRPr="00097090">
        <w:rPr>
          <w:sz w:val="20"/>
          <w:szCs w:val="20"/>
        </w:rPr>
        <w:t xml:space="preserve"> sequences refer to active treatment (IVIG or placebo) during the crossover phases.</w:t>
      </w:r>
    </w:p>
    <w:p w14:paraId="7950E03C" w14:textId="77777777" w:rsidR="00C04463" w:rsidRDefault="00097090" w:rsidP="004B6E51">
      <w:pPr>
        <w:spacing w:after="0" w:line="240" w:lineRule="auto"/>
        <w:rPr>
          <w:sz w:val="20"/>
          <w:szCs w:val="20"/>
        </w:rPr>
      </w:pPr>
      <w:r w:rsidRPr="00097090">
        <w:rPr>
          <w:sz w:val="20"/>
          <w:szCs w:val="20"/>
        </w:rPr>
        <w:t xml:space="preserve">%CV, coefficient of variation expressed as a percent; </w:t>
      </w:r>
      <w:proofErr w:type="spellStart"/>
      <w:r w:rsidRPr="00097090">
        <w:rPr>
          <w:sz w:val="20"/>
          <w:szCs w:val="20"/>
        </w:rPr>
        <w:t>AUC</w:t>
      </w:r>
      <w:r w:rsidRPr="00097090">
        <w:rPr>
          <w:sz w:val="20"/>
          <w:szCs w:val="20"/>
          <w:vertAlign w:val="subscript"/>
        </w:rPr>
        <w:t>wk</w:t>
      </w:r>
      <w:r w:rsidRPr="00097090">
        <w:rPr>
          <w:sz w:val="20"/>
          <w:szCs w:val="20"/>
        </w:rPr>
        <w:t>,</w:t>
      </w:r>
      <w:r w:rsidRPr="00097090">
        <w:rPr>
          <w:sz w:val="20"/>
          <w:szCs w:val="20"/>
          <w:vertAlign w:val="subscript"/>
        </w:rPr>
        <w:t>ss</w:t>
      </w:r>
      <w:proofErr w:type="spellEnd"/>
      <w:r w:rsidRPr="00097090">
        <w:rPr>
          <w:sz w:val="20"/>
          <w:szCs w:val="20"/>
        </w:rPr>
        <w:t xml:space="preserve">, area under the concentration–time curve values for 1 week at steady-state during active treatment; </w:t>
      </w:r>
      <w:proofErr w:type="spellStart"/>
      <w:r w:rsidRPr="00097090">
        <w:rPr>
          <w:sz w:val="20"/>
          <w:szCs w:val="20"/>
        </w:rPr>
        <w:t>C</w:t>
      </w:r>
      <w:r w:rsidRPr="00097090">
        <w:rPr>
          <w:sz w:val="20"/>
          <w:szCs w:val="20"/>
          <w:vertAlign w:val="subscript"/>
        </w:rPr>
        <w:t>avg,plc</w:t>
      </w:r>
      <w:proofErr w:type="spellEnd"/>
      <w:r w:rsidRPr="00097090">
        <w:rPr>
          <w:sz w:val="20"/>
          <w:szCs w:val="20"/>
        </w:rPr>
        <w:t xml:space="preserve">, average serum concentration during the placebo period; </w:t>
      </w:r>
      <w:proofErr w:type="spellStart"/>
      <w:r w:rsidRPr="00097090">
        <w:rPr>
          <w:sz w:val="20"/>
          <w:szCs w:val="20"/>
        </w:rPr>
        <w:t>C</w:t>
      </w:r>
      <w:r w:rsidRPr="00097090">
        <w:rPr>
          <w:sz w:val="20"/>
          <w:szCs w:val="20"/>
          <w:vertAlign w:val="subscript"/>
        </w:rPr>
        <w:t>avg,ss</w:t>
      </w:r>
      <w:proofErr w:type="spellEnd"/>
      <w:r w:rsidRPr="00097090">
        <w:rPr>
          <w:sz w:val="20"/>
          <w:szCs w:val="20"/>
        </w:rPr>
        <w:t xml:space="preserve">, average serum concentration during the dosing interval at steady-state; CBASE, latent model-derived parameter of IgG concentration in the absence of treatment; CL, clearance; </w:t>
      </w:r>
      <w:proofErr w:type="spellStart"/>
      <w:r w:rsidRPr="00097090">
        <w:rPr>
          <w:sz w:val="20"/>
          <w:szCs w:val="20"/>
        </w:rPr>
        <w:t>C</w:t>
      </w:r>
      <w:r w:rsidRPr="00097090">
        <w:rPr>
          <w:sz w:val="20"/>
          <w:szCs w:val="20"/>
          <w:vertAlign w:val="subscript"/>
        </w:rPr>
        <w:t>trough,plc</w:t>
      </w:r>
      <w:proofErr w:type="spellEnd"/>
      <w:r w:rsidRPr="00097090">
        <w:rPr>
          <w:sz w:val="20"/>
          <w:szCs w:val="20"/>
        </w:rPr>
        <w:t xml:space="preserve">, serum concentration at trough during the placebo period; </w:t>
      </w:r>
      <w:proofErr w:type="spellStart"/>
      <w:r w:rsidRPr="00097090">
        <w:rPr>
          <w:sz w:val="20"/>
          <w:szCs w:val="20"/>
        </w:rPr>
        <w:t>C</w:t>
      </w:r>
      <w:r w:rsidRPr="00097090">
        <w:rPr>
          <w:sz w:val="20"/>
          <w:szCs w:val="20"/>
          <w:vertAlign w:val="subscript"/>
        </w:rPr>
        <w:t>trough,ss</w:t>
      </w:r>
      <w:proofErr w:type="spellEnd"/>
      <w:r w:rsidRPr="00097090">
        <w:rPr>
          <w:sz w:val="20"/>
          <w:szCs w:val="20"/>
        </w:rPr>
        <w:t xml:space="preserve">, serum concentration at trough at steady-state; Geo, geometric; IgG; immunoglobulin G; Max, maximum; Min, minimum; </w:t>
      </w:r>
      <w:proofErr w:type="spellStart"/>
      <w:r w:rsidRPr="00097090">
        <w:rPr>
          <w:sz w:val="20"/>
          <w:szCs w:val="20"/>
        </w:rPr>
        <w:t>pAUC</w:t>
      </w:r>
      <w:r w:rsidRPr="00097090">
        <w:rPr>
          <w:sz w:val="20"/>
          <w:szCs w:val="20"/>
          <w:vertAlign w:val="subscript"/>
        </w:rPr>
        <w:t>wk,plc</w:t>
      </w:r>
      <w:proofErr w:type="spellEnd"/>
      <w:r w:rsidRPr="00097090">
        <w:rPr>
          <w:sz w:val="20"/>
          <w:szCs w:val="20"/>
        </w:rPr>
        <w:t>, partial area under the concentration–time curve over the last week of the placebo period; SD, standard deviation; V1, volume of distribution.</w:t>
      </w:r>
      <w:bookmarkStart w:id="9" w:name="_Toc179298723"/>
    </w:p>
    <w:p w14:paraId="27E36E9D" w14:textId="77777777" w:rsidR="00C04463" w:rsidRDefault="00C04463" w:rsidP="00C04463">
      <w:pPr>
        <w:pStyle w:val="Heading1"/>
        <w:sectPr w:rsidR="00C04463" w:rsidSect="00C0446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3BC313B" w14:textId="189A7A41" w:rsidR="008C2EAE" w:rsidRPr="00950928" w:rsidRDefault="008C2EAE" w:rsidP="007119B4">
      <w:pPr>
        <w:pStyle w:val="Heading1"/>
        <w:numPr>
          <w:ilvl w:val="0"/>
          <w:numId w:val="0"/>
        </w:numPr>
      </w:pPr>
      <w:bookmarkStart w:id="10" w:name="_Toc180679670"/>
      <w:r w:rsidRPr="00950928">
        <w:lastRenderedPageBreak/>
        <w:t>Supplement</w:t>
      </w:r>
      <w:r>
        <w:t>ary</w:t>
      </w:r>
      <w:r w:rsidRPr="00950928">
        <w:t xml:space="preserve"> references</w:t>
      </w:r>
      <w:bookmarkEnd w:id="9"/>
      <w:bookmarkEnd w:id="10"/>
    </w:p>
    <w:p w14:paraId="15B9A83C" w14:textId="795CDF5B" w:rsidR="008C2EAE" w:rsidRPr="00244E0D" w:rsidRDefault="008C2EAE" w:rsidP="00244E0D">
      <w:pPr>
        <w:pStyle w:val="EndNoteBibliography"/>
        <w:spacing w:after="0"/>
      </w:pPr>
      <w:r w:rsidRPr="00244E0D">
        <w:t>1.</w:t>
      </w:r>
      <w:r w:rsidRPr="00244E0D">
        <w:tab/>
        <w:t>N</w:t>
      </w:r>
      <w:r w:rsidR="002B55A2">
        <w:t>ONMEM</w:t>
      </w:r>
      <w:r w:rsidRPr="00244E0D">
        <w:t xml:space="preserve"> Nonlinear Mixed Effects Modelling Tool [Computer Program]. Icon Plc., Hanover, N</w:t>
      </w:r>
      <w:r w:rsidR="002B55A2">
        <w:t>H</w:t>
      </w:r>
      <w:r w:rsidRPr="00244E0D">
        <w:t xml:space="preserve">, USA. Available from: </w:t>
      </w:r>
      <w:r w:rsidRPr="008C2EAE">
        <w:t>https://www.iconplc.com/solutions/technologies/nonmem</w:t>
      </w:r>
      <w:r w:rsidRPr="00244E0D">
        <w:t>.</w:t>
      </w:r>
    </w:p>
    <w:p w14:paraId="24F6E27B" w14:textId="2A48F29F" w:rsidR="008C2EAE" w:rsidRPr="00244E0D" w:rsidRDefault="008C2EAE" w:rsidP="007A6A6F">
      <w:pPr>
        <w:pStyle w:val="EndNoteBibliography"/>
        <w:spacing w:after="0"/>
      </w:pPr>
      <w:r w:rsidRPr="00244E0D">
        <w:t>2.</w:t>
      </w:r>
      <w:r w:rsidRPr="00244E0D">
        <w:tab/>
        <w:t xml:space="preserve">Bergstrand M, Hooker AC, Wallin JE, Karlsson MO. Prediction-Corrected Visual Predictive Checks for Diagnosing Nonlinear Mixed-Effects Models. </w:t>
      </w:r>
      <w:r w:rsidRPr="00244E0D">
        <w:rPr>
          <w:i/>
        </w:rPr>
        <w:t>AAPS J</w:t>
      </w:r>
      <w:r w:rsidRPr="00244E0D">
        <w:t xml:space="preserve"> (2011) </w:t>
      </w:r>
    </w:p>
    <w:p w14:paraId="2E5B3E69" w14:textId="77777777" w:rsidR="008C2EAE" w:rsidRPr="00950928" w:rsidRDefault="008C2EAE" w:rsidP="00FA07E1">
      <w:pPr>
        <w:pStyle w:val="EndNoteBibliography"/>
        <w:ind w:left="709" w:hanging="709"/>
      </w:pPr>
    </w:p>
    <w:p w14:paraId="7D75FEAF" w14:textId="77777777" w:rsidR="008C2EAE" w:rsidRDefault="008C2EAE"/>
    <w:sectPr w:rsidR="008C2EAE" w:rsidSect="008C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290D" w14:textId="77777777" w:rsidR="00D04FDC" w:rsidRDefault="00D04FDC">
      <w:pPr>
        <w:spacing w:after="0" w:line="240" w:lineRule="auto"/>
      </w:pPr>
      <w:r>
        <w:separator/>
      </w:r>
    </w:p>
  </w:endnote>
  <w:endnote w:type="continuationSeparator" w:id="0">
    <w:p w14:paraId="1C0FEC01" w14:textId="77777777" w:rsidR="00D04FDC" w:rsidRDefault="00D0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24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517F7" w14:textId="77777777" w:rsidR="002B55A2" w:rsidRPr="00100BB5" w:rsidRDefault="002B55A2" w:rsidP="00856467">
        <w:pPr>
          <w:pStyle w:val="Footer"/>
        </w:pPr>
        <w:r>
          <w:tab/>
        </w:r>
        <w:r>
          <w:tab/>
        </w:r>
        <w:r w:rsidRPr="00100BB5">
          <w:fldChar w:fldCharType="begin"/>
        </w:r>
        <w:r w:rsidRPr="00100BB5">
          <w:instrText xml:space="preserve"> PAGE   \* MERGEFORMAT </w:instrText>
        </w:r>
        <w:r w:rsidRPr="00100BB5">
          <w:fldChar w:fldCharType="separate"/>
        </w:r>
        <w:r>
          <w:rPr>
            <w:noProof/>
          </w:rPr>
          <w:t>12</w:t>
        </w:r>
        <w:r w:rsidRPr="00100BB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36B3" w14:textId="77777777" w:rsidR="00D04FDC" w:rsidRDefault="00D04FDC">
      <w:pPr>
        <w:spacing w:after="0" w:line="240" w:lineRule="auto"/>
      </w:pPr>
      <w:r>
        <w:separator/>
      </w:r>
    </w:p>
  </w:footnote>
  <w:footnote w:type="continuationSeparator" w:id="0">
    <w:p w14:paraId="49A3CACC" w14:textId="77777777" w:rsidR="00D04FDC" w:rsidRDefault="00D0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105"/>
    <w:multiLevelType w:val="hybridMultilevel"/>
    <w:tmpl w:val="BE2E6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073"/>
    <w:multiLevelType w:val="hybridMultilevel"/>
    <w:tmpl w:val="973451A4"/>
    <w:lvl w:ilvl="0" w:tplc="50FEA3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4A4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AA6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5B476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60C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DA4E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AEA2C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EED9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B0D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C3B5A37"/>
    <w:multiLevelType w:val="hybridMultilevel"/>
    <w:tmpl w:val="3404E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F33EC"/>
    <w:multiLevelType w:val="hybridMultilevel"/>
    <w:tmpl w:val="A8208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93743"/>
    <w:multiLevelType w:val="hybridMultilevel"/>
    <w:tmpl w:val="6C94D67A"/>
    <w:lvl w:ilvl="0" w:tplc="8F3EB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60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3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8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8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20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83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2A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CD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07EBA"/>
    <w:multiLevelType w:val="hybridMultilevel"/>
    <w:tmpl w:val="EFD8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2939"/>
    <w:multiLevelType w:val="hybridMultilevel"/>
    <w:tmpl w:val="37F0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5293"/>
    <w:multiLevelType w:val="hybridMultilevel"/>
    <w:tmpl w:val="25F444B2"/>
    <w:lvl w:ilvl="0" w:tplc="CAFA5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8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AF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3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CA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8B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6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807865"/>
    <w:multiLevelType w:val="hybridMultilevel"/>
    <w:tmpl w:val="2DBCDA82"/>
    <w:lvl w:ilvl="0" w:tplc="3934C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E30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DAC35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6148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8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6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0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A07000"/>
    <w:multiLevelType w:val="hybridMultilevel"/>
    <w:tmpl w:val="FFD07258"/>
    <w:lvl w:ilvl="0" w:tplc="22C2E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6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A6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F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C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C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540B63"/>
    <w:multiLevelType w:val="hybridMultilevel"/>
    <w:tmpl w:val="7072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362C"/>
    <w:multiLevelType w:val="hybridMultilevel"/>
    <w:tmpl w:val="3E48E156"/>
    <w:lvl w:ilvl="0" w:tplc="694C0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00DB"/>
    <w:multiLevelType w:val="hybridMultilevel"/>
    <w:tmpl w:val="9C16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C3A"/>
    <w:multiLevelType w:val="hybridMultilevel"/>
    <w:tmpl w:val="373A2DB0"/>
    <w:lvl w:ilvl="0" w:tplc="2092CC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2606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DE5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A82D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4C6D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8205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B67C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F109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E8C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6403B7B"/>
    <w:multiLevelType w:val="hybridMultilevel"/>
    <w:tmpl w:val="391685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358EC"/>
    <w:multiLevelType w:val="hybridMultilevel"/>
    <w:tmpl w:val="4A24B0F0"/>
    <w:lvl w:ilvl="0" w:tplc="56EAC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4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EC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A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E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22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4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FF2660"/>
    <w:multiLevelType w:val="hybridMultilevel"/>
    <w:tmpl w:val="CC7AE0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3F7139"/>
    <w:multiLevelType w:val="hybridMultilevel"/>
    <w:tmpl w:val="BB22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716DB"/>
    <w:multiLevelType w:val="hybridMultilevel"/>
    <w:tmpl w:val="F1226894"/>
    <w:lvl w:ilvl="0" w:tplc="7EDC4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E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83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8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45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CC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5F02E0"/>
    <w:multiLevelType w:val="hybridMultilevel"/>
    <w:tmpl w:val="95D4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654F"/>
    <w:multiLevelType w:val="hybridMultilevel"/>
    <w:tmpl w:val="A9EE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564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3CE23D9"/>
    <w:multiLevelType w:val="hybridMultilevel"/>
    <w:tmpl w:val="E752F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F7042"/>
    <w:multiLevelType w:val="hybridMultilevel"/>
    <w:tmpl w:val="C7103390"/>
    <w:lvl w:ilvl="0" w:tplc="8DB269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60C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EA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F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60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E6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47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C5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8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F6AED"/>
    <w:multiLevelType w:val="hybridMultilevel"/>
    <w:tmpl w:val="8310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A3683"/>
    <w:multiLevelType w:val="hybridMultilevel"/>
    <w:tmpl w:val="4A340D9C"/>
    <w:lvl w:ilvl="0" w:tplc="A7A84FE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A5A5069"/>
    <w:multiLevelType w:val="hybridMultilevel"/>
    <w:tmpl w:val="07583470"/>
    <w:lvl w:ilvl="0" w:tplc="23585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0631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FC13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CC77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91892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6EF7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70E8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6B0BA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9CB1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E2C5A74"/>
    <w:multiLevelType w:val="hybridMultilevel"/>
    <w:tmpl w:val="06229BD0"/>
    <w:lvl w:ilvl="0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1542F69C">
      <w:start w:val="1"/>
      <w:numFmt w:val="bullet"/>
      <w:pStyle w:val="Bullet2"/>
      <w:lvlText w:val="o"/>
      <w:lvlJc w:val="left"/>
      <w:pPr>
        <w:ind w:left="1637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75BB546F"/>
    <w:multiLevelType w:val="hybridMultilevel"/>
    <w:tmpl w:val="94FE629E"/>
    <w:lvl w:ilvl="0" w:tplc="C9126CC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B42EC"/>
    <w:multiLevelType w:val="hybridMultilevel"/>
    <w:tmpl w:val="2166BFD0"/>
    <w:lvl w:ilvl="0" w:tplc="31806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0D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6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2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6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4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1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2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46063F"/>
    <w:multiLevelType w:val="hybridMultilevel"/>
    <w:tmpl w:val="5B540B3A"/>
    <w:lvl w:ilvl="0" w:tplc="41E8B4BA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6D07F4"/>
    <w:multiLevelType w:val="hybridMultilevel"/>
    <w:tmpl w:val="85B271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5EAB86">
      <w:start w:val="1"/>
      <w:numFmt w:val="bullet"/>
      <w:pStyle w:val="Bulle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8E79DA"/>
    <w:multiLevelType w:val="hybridMultilevel"/>
    <w:tmpl w:val="C868E5C6"/>
    <w:lvl w:ilvl="0" w:tplc="85582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A75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9F80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E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C0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C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4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D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86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13576F"/>
    <w:multiLevelType w:val="hybridMultilevel"/>
    <w:tmpl w:val="D4C4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14BD"/>
    <w:multiLevelType w:val="hybridMultilevel"/>
    <w:tmpl w:val="E35CEC52"/>
    <w:lvl w:ilvl="0" w:tplc="6A52295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FA127D4"/>
    <w:multiLevelType w:val="hybridMultilevel"/>
    <w:tmpl w:val="88546A82"/>
    <w:lvl w:ilvl="0" w:tplc="213EC3A4">
      <w:start w:val="1"/>
      <w:numFmt w:val="bullet"/>
      <w:pStyle w:val="Bullet1"/>
      <w:lvlText w:val=""/>
      <w:lvlJc w:val="left"/>
      <w:pPr>
        <w:ind w:left="2106" w:hanging="360"/>
      </w:pPr>
      <w:rPr>
        <w:rFonts w:ascii="Symbol" w:hAnsi="Symbol" w:hint="default"/>
        <w:color w:val="auto"/>
      </w:rPr>
    </w:lvl>
    <w:lvl w:ilvl="1" w:tplc="939A135A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trike w:val="0"/>
      </w:rPr>
    </w:lvl>
    <w:lvl w:ilvl="2" w:tplc="08090005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6" w15:restartNumberingAfterBreak="0">
    <w:nsid w:val="7FB80562"/>
    <w:multiLevelType w:val="hybridMultilevel"/>
    <w:tmpl w:val="4D52DC1E"/>
    <w:lvl w:ilvl="0" w:tplc="EFB2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4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E3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C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27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8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6737614">
    <w:abstractNumId w:val="33"/>
  </w:num>
  <w:num w:numId="2" w16cid:durableId="1057388941">
    <w:abstractNumId w:val="2"/>
  </w:num>
  <w:num w:numId="3" w16cid:durableId="1799570315">
    <w:abstractNumId w:val="20"/>
  </w:num>
  <w:num w:numId="4" w16cid:durableId="1583445356">
    <w:abstractNumId w:val="14"/>
  </w:num>
  <w:num w:numId="5" w16cid:durableId="161237520">
    <w:abstractNumId w:val="35"/>
  </w:num>
  <w:num w:numId="6" w16cid:durableId="114566813">
    <w:abstractNumId w:val="16"/>
  </w:num>
  <w:num w:numId="7" w16cid:durableId="2134395341">
    <w:abstractNumId w:val="24"/>
  </w:num>
  <w:num w:numId="8" w16cid:durableId="115759850">
    <w:abstractNumId w:val="22"/>
  </w:num>
  <w:num w:numId="9" w16cid:durableId="17973503">
    <w:abstractNumId w:val="31"/>
  </w:num>
  <w:num w:numId="10" w16cid:durableId="785004488">
    <w:abstractNumId w:val="27"/>
  </w:num>
  <w:num w:numId="11" w16cid:durableId="563487609">
    <w:abstractNumId w:val="30"/>
  </w:num>
  <w:num w:numId="12" w16cid:durableId="597258210">
    <w:abstractNumId w:val="15"/>
  </w:num>
  <w:num w:numId="13" w16cid:durableId="105778344">
    <w:abstractNumId w:val="1"/>
  </w:num>
  <w:num w:numId="14" w16cid:durableId="913706086">
    <w:abstractNumId w:val="23"/>
  </w:num>
  <w:num w:numId="15" w16cid:durableId="1261183922">
    <w:abstractNumId w:val="36"/>
  </w:num>
  <w:num w:numId="16" w16cid:durableId="305932502">
    <w:abstractNumId w:val="9"/>
  </w:num>
  <w:num w:numId="17" w16cid:durableId="1638490340">
    <w:abstractNumId w:val="18"/>
  </w:num>
  <w:num w:numId="18" w16cid:durableId="1151017669">
    <w:abstractNumId w:val="32"/>
  </w:num>
  <w:num w:numId="19" w16cid:durableId="498811955">
    <w:abstractNumId w:val="29"/>
  </w:num>
  <w:num w:numId="20" w16cid:durableId="651644247">
    <w:abstractNumId w:val="4"/>
  </w:num>
  <w:num w:numId="21" w16cid:durableId="1149709282">
    <w:abstractNumId w:val="3"/>
  </w:num>
  <w:num w:numId="22" w16cid:durableId="1105467299">
    <w:abstractNumId w:val="13"/>
  </w:num>
  <w:num w:numId="23" w16cid:durableId="228540748">
    <w:abstractNumId w:val="26"/>
  </w:num>
  <w:num w:numId="24" w16cid:durableId="1348287327">
    <w:abstractNumId w:val="8"/>
  </w:num>
  <w:num w:numId="25" w16cid:durableId="1599024069">
    <w:abstractNumId w:val="7"/>
  </w:num>
  <w:num w:numId="26" w16cid:durableId="1924560907">
    <w:abstractNumId w:val="17"/>
  </w:num>
  <w:num w:numId="27" w16cid:durableId="440535984">
    <w:abstractNumId w:val="12"/>
  </w:num>
  <w:num w:numId="28" w16cid:durableId="155189556">
    <w:abstractNumId w:val="5"/>
  </w:num>
  <w:num w:numId="29" w16cid:durableId="1495414542">
    <w:abstractNumId w:val="0"/>
  </w:num>
  <w:num w:numId="30" w16cid:durableId="172037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5350104">
    <w:abstractNumId w:val="11"/>
  </w:num>
  <w:num w:numId="32" w16cid:durableId="1883974229">
    <w:abstractNumId w:val="19"/>
  </w:num>
  <w:num w:numId="33" w16cid:durableId="289365886">
    <w:abstractNumId w:val="34"/>
  </w:num>
  <w:num w:numId="34" w16cid:durableId="1690837003">
    <w:abstractNumId w:val="25"/>
  </w:num>
  <w:num w:numId="35" w16cid:durableId="1293901172">
    <w:abstractNumId w:val="28"/>
  </w:num>
  <w:num w:numId="36" w16cid:durableId="395206888">
    <w:abstractNumId w:val="21"/>
  </w:num>
  <w:num w:numId="37" w16cid:durableId="1296833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C2EAE"/>
    <w:rsid w:val="00013E5E"/>
    <w:rsid w:val="00090CEC"/>
    <w:rsid w:val="00097090"/>
    <w:rsid w:val="00227889"/>
    <w:rsid w:val="002B55A2"/>
    <w:rsid w:val="002D6364"/>
    <w:rsid w:val="00403C49"/>
    <w:rsid w:val="004B5524"/>
    <w:rsid w:val="004B6E51"/>
    <w:rsid w:val="004F70AD"/>
    <w:rsid w:val="00573148"/>
    <w:rsid w:val="00594B7E"/>
    <w:rsid w:val="00596ECD"/>
    <w:rsid w:val="00605036"/>
    <w:rsid w:val="00617BAD"/>
    <w:rsid w:val="00662ED0"/>
    <w:rsid w:val="00674678"/>
    <w:rsid w:val="007119B4"/>
    <w:rsid w:val="00741985"/>
    <w:rsid w:val="00772B4B"/>
    <w:rsid w:val="00783E85"/>
    <w:rsid w:val="007A6A6F"/>
    <w:rsid w:val="00810B0F"/>
    <w:rsid w:val="008563BC"/>
    <w:rsid w:val="008A26CB"/>
    <w:rsid w:val="008C2EAE"/>
    <w:rsid w:val="00972090"/>
    <w:rsid w:val="009D5301"/>
    <w:rsid w:val="00A12E27"/>
    <w:rsid w:val="00A91CBE"/>
    <w:rsid w:val="00AC0994"/>
    <w:rsid w:val="00B41A80"/>
    <w:rsid w:val="00B424DA"/>
    <w:rsid w:val="00B46377"/>
    <w:rsid w:val="00B64C61"/>
    <w:rsid w:val="00C04463"/>
    <w:rsid w:val="00C65260"/>
    <w:rsid w:val="00D04FDC"/>
    <w:rsid w:val="00ED047F"/>
    <w:rsid w:val="00ED3E3A"/>
    <w:rsid w:val="00F12E1B"/>
    <w:rsid w:val="00F22DBB"/>
    <w:rsid w:val="00F4424D"/>
    <w:rsid w:val="00F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A945"/>
  <w15:chartTrackingRefBased/>
  <w15:docId w15:val="{BACF1A0B-BC5B-4882-9127-4D94E714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E2"/>
    <w:pPr>
      <w:spacing w:line="480" w:lineRule="auto"/>
    </w:pPr>
    <w:rPr>
      <w:rFonts w:ascii="Arial" w:eastAsiaTheme="minorEastAsia" w:hAnsi="Arial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EAE"/>
    <w:pPr>
      <w:keepNext/>
      <w:numPr>
        <w:numId w:val="36"/>
      </w:numPr>
      <w:spacing w:before="240" w:after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EAE"/>
    <w:pPr>
      <w:numPr>
        <w:ilvl w:val="1"/>
        <w:numId w:val="36"/>
      </w:numPr>
      <w:spacing w:before="240" w:after="0"/>
      <w:outlineLvl w:val="1"/>
    </w:pPr>
    <w:rPr>
      <w:rFonts w:cs="Arial"/>
      <w:b/>
      <w:bCs/>
      <w:i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2EAE"/>
    <w:pPr>
      <w:numPr>
        <w:ilvl w:val="2"/>
      </w:numPr>
      <w:outlineLvl w:val="2"/>
    </w:pPr>
    <w:rPr>
      <w:b w:val="0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EAE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EAE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EAE"/>
    <w:pPr>
      <w:keepNext/>
      <w:keepLines/>
      <w:numPr>
        <w:ilvl w:val="5"/>
        <w:numId w:val="36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EAE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EAE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EAE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AE"/>
    <w:rPr>
      <w:rFonts w:ascii="Arial" w:eastAsiaTheme="minorEastAsia" w:hAnsi="Arial" w:cs="Arial"/>
      <w:b/>
      <w:bCs/>
      <w:kern w:val="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C2EAE"/>
    <w:rPr>
      <w:rFonts w:ascii="Arial" w:eastAsiaTheme="minorEastAsia" w:hAnsi="Arial" w:cs="Arial"/>
      <w:b/>
      <w:bCs/>
      <w:iCs/>
      <w:kern w:val="0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2EAE"/>
    <w:rPr>
      <w:rFonts w:ascii="Arial" w:eastAsiaTheme="minorEastAsia" w:hAnsi="Arial" w:cs="Arial"/>
      <w:iCs/>
      <w:kern w:val="0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EAE"/>
    <w:rPr>
      <w:rFonts w:asciiTheme="majorHAnsi" w:eastAsiaTheme="majorEastAsia" w:hAnsiTheme="majorHAnsi" w:cstheme="majorBidi"/>
      <w:i/>
      <w:iCs/>
      <w:color w:val="0F4761" w:themeColor="accent1" w:themeShade="BF"/>
      <w:kern w:val="0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EAE"/>
    <w:rPr>
      <w:rFonts w:asciiTheme="majorHAnsi" w:eastAsiaTheme="majorEastAsia" w:hAnsiTheme="majorHAnsi" w:cstheme="majorBidi"/>
      <w:color w:val="0F4761" w:themeColor="accent1" w:themeShade="BF"/>
      <w:kern w:val="0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EAE"/>
    <w:rPr>
      <w:rFonts w:asciiTheme="majorHAnsi" w:eastAsiaTheme="majorEastAsia" w:hAnsiTheme="majorHAnsi" w:cstheme="majorBidi"/>
      <w:color w:val="0A2F40" w:themeColor="accent1" w:themeShade="7F"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EAE"/>
    <w:rPr>
      <w:rFonts w:asciiTheme="majorHAnsi" w:eastAsiaTheme="majorEastAsia" w:hAnsiTheme="majorHAnsi" w:cstheme="majorBidi"/>
      <w:i/>
      <w:iCs/>
      <w:color w:val="0A2F40" w:themeColor="accent1" w:themeShade="7F"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EA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EA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C2EAE"/>
    <w:pPr>
      <w:spacing w:after="0"/>
      <w:contextualSpacing/>
    </w:pPr>
    <w:rPr>
      <w:rFonts w:eastAsiaTheme="majorEastAsia" w:cs="Arial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C2EAE"/>
    <w:rPr>
      <w:rFonts w:ascii="Arial" w:eastAsiaTheme="majorEastAsia" w:hAnsi="Arial" w:cs="Arial"/>
      <w:b/>
      <w:bCs/>
      <w:spacing w:val="-10"/>
      <w:kern w:val="28"/>
      <w:lang w:eastAsia="zh-C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EA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2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E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AE"/>
    <w:rPr>
      <w:rFonts w:ascii="Arial" w:eastAsiaTheme="minorEastAsia" w:hAnsi="Arial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AE"/>
    <w:rPr>
      <w:rFonts w:ascii="Arial" w:eastAsiaTheme="minorEastAsia" w:hAnsi="Arial"/>
      <w:kern w:val="0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AE"/>
    <w:rPr>
      <w:rFonts w:ascii="Segoe UI" w:eastAsiaTheme="minorEastAsia" w:hAnsi="Segoe UI" w:cs="Segoe UI"/>
      <w:kern w:val="0"/>
      <w:sz w:val="18"/>
      <w:szCs w:val="18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ullet1">
    <w:name w:val="Bullet 1"/>
    <w:basedOn w:val="ListParagraph"/>
    <w:link w:val="Bullet1Char"/>
    <w:qFormat/>
    <w:rsid w:val="008C2EAE"/>
    <w:pPr>
      <w:numPr>
        <w:numId w:val="5"/>
      </w:numPr>
      <w:spacing w:after="0"/>
      <w:ind w:left="567"/>
    </w:pPr>
    <w:rPr>
      <w:rFonts w:cs="Arial"/>
    </w:rPr>
  </w:style>
  <w:style w:type="character" w:customStyle="1" w:styleId="Bullet1Char">
    <w:name w:val="Bullet 1 Char"/>
    <w:basedOn w:val="DefaultParagraphFont"/>
    <w:link w:val="Bullet1"/>
    <w:rsid w:val="008C2EAE"/>
    <w:rPr>
      <w:rFonts w:ascii="Arial" w:eastAsiaTheme="minorEastAsia" w:hAnsi="Arial" w:cs="Arial"/>
      <w:kern w:val="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2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EAE"/>
    <w:pPr>
      <w:spacing w:after="0"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EAE"/>
    <w:rPr>
      <w:rFonts w:ascii="Arial" w:eastAsiaTheme="minorEastAsia" w:hAnsi="Arial" w:cs="Arial"/>
      <w:kern w:val="0"/>
      <w:sz w:val="20"/>
      <w:szCs w:val="20"/>
      <w:lang w:eastAsia="zh-CN"/>
      <w14:ligatures w14:val="none"/>
    </w:rPr>
  </w:style>
  <w:style w:type="paragraph" w:customStyle="1" w:styleId="Bullet2">
    <w:name w:val="Bullet 2"/>
    <w:basedOn w:val="ListParagraph"/>
    <w:link w:val="Bullet2Char"/>
    <w:qFormat/>
    <w:rsid w:val="008C2EAE"/>
    <w:pPr>
      <w:numPr>
        <w:ilvl w:val="1"/>
        <w:numId w:val="10"/>
      </w:numPr>
      <w:spacing w:after="0"/>
    </w:pPr>
    <w:rPr>
      <w:rFonts w:cs="Arial"/>
    </w:rPr>
  </w:style>
  <w:style w:type="character" w:customStyle="1" w:styleId="Bullet2Char">
    <w:name w:val="Bullet 2 Char"/>
    <w:basedOn w:val="DefaultParagraphFont"/>
    <w:link w:val="Bullet2"/>
    <w:rsid w:val="008C2EAE"/>
    <w:rPr>
      <w:rFonts w:ascii="Arial" w:eastAsiaTheme="minorEastAsia" w:hAnsi="Arial" w:cs="Arial"/>
      <w:kern w:val="0"/>
      <w:lang w:eastAsia="zh-CN"/>
      <w14:ligatures w14:val="none"/>
    </w:rPr>
  </w:style>
  <w:style w:type="paragraph" w:customStyle="1" w:styleId="Bullet3">
    <w:name w:val="Bullet 3"/>
    <w:basedOn w:val="Bullet1"/>
    <w:qFormat/>
    <w:rsid w:val="008C2EAE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C2EAE"/>
    <w:rPr>
      <w:rFonts w:ascii="Arial" w:eastAsiaTheme="minorEastAsia" w:hAnsi="Arial"/>
      <w:kern w:val="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EA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EAE"/>
    <w:rPr>
      <w:rFonts w:ascii="Arial" w:eastAsiaTheme="minorEastAsia" w:hAnsi="Arial" w:cs="Arial"/>
      <w:b/>
      <w:bCs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8C2EA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EAE"/>
    <w:rPr>
      <w:color w:val="96607D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C2EAE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Bullet2Char"/>
    <w:link w:val="EndNoteBibliographyTitle"/>
    <w:rsid w:val="008C2EAE"/>
    <w:rPr>
      <w:rFonts w:ascii="Arial" w:eastAsiaTheme="minorEastAsia" w:hAnsi="Arial" w:cs="Arial"/>
      <w:noProof/>
      <w:kern w:val="0"/>
      <w:lang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C2EAE"/>
    <w:rPr>
      <w:rFonts w:cs="Arial"/>
      <w:noProof/>
    </w:rPr>
  </w:style>
  <w:style w:type="character" w:customStyle="1" w:styleId="EndNoteBibliographyChar">
    <w:name w:val="EndNote Bibliography Char"/>
    <w:basedOn w:val="Bullet2Char"/>
    <w:link w:val="EndNoteBibliography"/>
    <w:rsid w:val="008C2EAE"/>
    <w:rPr>
      <w:rFonts w:ascii="Arial" w:eastAsiaTheme="minorEastAsia" w:hAnsi="Arial" w:cs="Arial"/>
      <w:noProof/>
      <w:kern w:val="0"/>
      <w:lang w:eastAsia="zh-CN"/>
      <w14:ligatures w14:val="none"/>
    </w:rPr>
  </w:style>
  <w:style w:type="table" w:styleId="TableGrid">
    <w:name w:val="Table Grid"/>
    <w:basedOn w:val="TableNormal"/>
    <w:uiPriority w:val="59"/>
    <w:rsid w:val="008C2EAE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styleId="ListBullet">
    <w:name w:val="List Bullet"/>
    <w:basedOn w:val="ListParagraph"/>
    <w:uiPriority w:val="99"/>
    <w:unhideWhenUsed/>
    <w:qFormat/>
    <w:rsid w:val="008C2EAE"/>
    <w:pPr>
      <w:numPr>
        <w:numId w:val="11"/>
      </w:numPr>
      <w:spacing w:line="240" w:lineRule="auto"/>
    </w:pPr>
    <w:rPr>
      <w:rFonts w:ascii="Times New Roman" w:eastAsiaTheme="minorHAnsi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8C2EAE"/>
    <w:pPr>
      <w:spacing w:after="0" w:line="240" w:lineRule="auto"/>
    </w:pPr>
    <w:rPr>
      <w:rFonts w:ascii="Arial" w:eastAsiaTheme="minorEastAsia" w:hAnsi="Arial"/>
      <w:kern w:val="0"/>
      <w:sz w:val="22"/>
      <w:szCs w:val="22"/>
      <w:lang w:eastAsia="zh-CN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8C2EAE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2EAE"/>
    <w:rPr>
      <w:rFonts w:ascii="Consolas" w:hAnsi="Consolas" w:cs="Consolas"/>
      <w:kern w:val="0"/>
      <w:sz w:val="21"/>
      <w:szCs w:val="21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2E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2EAE"/>
    <w:rPr>
      <w:color w:val="808080"/>
    </w:rPr>
  </w:style>
  <w:style w:type="character" w:customStyle="1" w:styleId="BodyTextChar">
    <w:name w:val="Body Text Char"/>
    <w:aliases w:val="Body Text Hang Char,Body Text Char2 Char,Body Text Char1 Char... + Before:  0... Char,Body Text Char1 Char Char,Body Text Char Char Char Char,Char Char Char Char Char,Body Text Char Char1 Char Char,Body Text Char Char2 Char,Char Ch Char"/>
    <w:basedOn w:val="DefaultParagraphFont"/>
    <w:link w:val="BodyText"/>
    <w:semiHidden/>
    <w:locked/>
    <w:rsid w:val="008C2EAE"/>
  </w:style>
  <w:style w:type="paragraph" w:styleId="BodyText">
    <w:name w:val="Body Text"/>
    <w:aliases w:val="Body Text Hang,Body Text Char2,Body Text Char1 Char... + Before:  0...,Body Text Char1 Char,Body Text Char Char Char,Char Char Char Char,Body Text Char Char1 Char,Body Text Char Char2,Char Char Char1,Body Text Char Char,Char Ch"/>
    <w:basedOn w:val="Normal"/>
    <w:link w:val="BodyTextChar"/>
    <w:semiHidden/>
    <w:unhideWhenUsed/>
    <w:qFormat/>
    <w:rsid w:val="008C2EAE"/>
    <w:pPr>
      <w:spacing w:before="120" w:after="12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C2EAE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C2EA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AC0994"/>
    <w:pPr>
      <w:tabs>
        <w:tab w:val="left" w:pos="480"/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72B4B"/>
    <w:pPr>
      <w:tabs>
        <w:tab w:val="right" w:leader="dot" w:pos="9350"/>
      </w:tabs>
      <w:spacing w:after="120" w:line="240" w:lineRule="auto"/>
      <w:ind w:left="238"/>
    </w:pPr>
  </w:style>
  <w:style w:type="paragraph" w:styleId="TOCHeading">
    <w:name w:val="TOC Heading"/>
    <w:basedOn w:val="Heading1"/>
    <w:next w:val="Normal"/>
    <w:uiPriority w:val="39"/>
    <w:unhideWhenUsed/>
    <w:qFormat/>
    <w:rsid w:val="00AC0994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C0994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FC02-13A5-4CCE-8C95-85523374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Bratton</dc:creator>
  <cp:keywords/>
  <dc:description/>
  <cp:lastModifiedBy>John Magri</cp:lastModifiedBy>
  <cp:revision>5</cp:revision>
  <dcterms:created xsi:type="dcterms:W3CDTF">2024-10-23T10:05:00Z</dcterms:created>
  <dcterms:modified xsi:type="dcterms:W3CDTF">2024-10-25T15:53:00Z</dcterms:modified>
</cp:coreProperties>
</file>