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7F057F" w:rsidRDefault="00654E8F" w:rsidP="0001436A">
      <w:pPr>
        <w:pStyle w:val="SupplementaryMaterial"/>
        <w:rPr>
          <w:b w:val="0"/>
        </w:rPr>
      </w:pPr>
      <w:r w:rsidRPr="007F057F">
        <w:t>Supplementary Material</w:t>
      </w:r>
    </w:p>
    <w:p w14:paraId="5E584EE8" w14:textId="6B604966" w:rsidR="00994A3D" w:rsidRPr="007F057F" w:rsidRDefault="002F0A55" w:rsidP="0001436A">
      <w:pPr>
        <w:pStyle w:val="Heading1"/>
      </w:pPr>
      <w:r w:rsidRPr="007F057F">
        <w:t>Supplemental Figures and Tables</w:t>
      </w:r>
    </w:p>
    <w:p w14:paraId="4916FCC9" w14:textId="5406DE4F" w:rsidR="00994A3D" w:rsidRPr="007F057F" w:rsidRDefault="00994A3D" w:rsidP="00DE30B9">
      <w:pPr>
        <w:pStyle w:val="Heading2"/>
      </w:pPr>
      <w:r w:rsidRPr="007F057F">
        <w:t>Supplementary Figures</w:t>
      </w:r>
    </w:p>
    <w:p w14:paraId="7E1806A7" w14:textId="77777777" w:rsidR="00416B7C" w:rsidRPr="007F057F" w:rsidRDefault="00416B7C" w:rsidP="00B11F09">
      <w:pPr>
        <w:spacing w:before="0" w:after="200" w:line="276" w:lineRule="auto"/>
        <w:rPr>
          <w:noProof/>
        </w:rPr>
      </w:pPr>
    </w:p>
    <w:p w14:paraId="0247752B" w14:textId="0DAB4238" w:rsidR="00331062" w:rsidRPr="007F057F" w:rsidRDefault="00331062">
      <w:pPr>
        <w:spacing w:before="0" w:after="200" w:line="276" w:lineRule="auto"/>
      </w:pPr>
      <w:r w:rsidRPr="007F057F">
        <w:rPr>
          <w:noProof/>
          <w:lang w:eastAsia="ja-JP"/>
        </w:rPr>
        <w:drawing>
          <wp:inline distT="0" distB="0" distL="0" distR="0" wp14:anchorId="27CD2EC8" wp14:editId="4F871E89">
            <wp:extent cx="4257621" cy="408368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/>
                  </pic:blipFill>
                  <pic:spPr bwMode="auto">
                    <a:xfrm>
                      <a:off x="0" y="0"/>
                      <a:ext cx="4266378" cy="40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D87FE" w14:textId="0A612B6C" w:rsidR="00331062" w:rsidRPr="007F057F" w:rsidRDefault="00331062" w:rsidP="00331062">
      <w:pPr>
        <w:spacing w:before="0" w:after="200" w:line="276" w:lineRule="auto"/>
        <w:rPr>
          <w:b/>
        </w:rPr>
      </w:pPr>
      <w:r w:rsidRPr="007F057F">
        <w:rPr>
          <w:b/>
        </w:rPr>
        <w:t xml:space="preserve">Supplemental Figure </w:t>
      </w:r>
      <w:r w:rsidR="00416B7C" w:rsidRPr="007F057F">
        <w:rPr>
          <w:b/>
        </w:rPr>
        <w:t>1</w:t>
      </w:r>
      <w:r w:rsidRPr="007F057F">
        <w:rPr>
          <w:b/>
        </w:rPr>
        <w:t xml:space="preserve">. Receiver </w:t>
      </w:r>
      <w:r w:rsidR="00195AD7" w:rsidRPr="007F057F">
        <w:rPr>
          <w:b/>
        </w:rPr>
        <w:t xml:space="preserve">operating characteristic </w:t>
      </w:r>
      <w:r w:rsidRPr="007F057F">
        <w:rPr>
          <w:b/>
        </w:rPr>
        <w:t xml:space="preserve">(ROC) </w:t>
      </w:r>
      <w:r w:rsidR="00195AD7" w:rsidRPr="007F057F">
        <w:rPr>
          <w:b/>
        </w:rPr>
        <w:t>curve analysis of proviral load</w:t>
      </w:r>
      <w:r w:rsidR="001F34F7" w:rsidRPr="007F057F">
        <w:rPr>
          <w:b/>
        </w:rPr>
        <w:t xml:space="preserve"> </w:t>
      </w:r>
      <w:r w:rsidRPr="007F057F">
        <w:rPr>
          <w:b/>
        </w:rPr>
        <w:t xml:space="preserve">(PVL) </w:t>
      </w:r>
      <w:r w:rsidR="00E02B66" w:rsidRPr="007F057F">
        <w:rPr>
          <w:b/>
        </w:rPr>
        <w:t>for</w:t>
      </w:r>
      <w:r w:rsidRPr="007F057F">
        <w:rPr>
          <w:b/>
        </w:rPr>
        <w:t xml:space="preserve"> </w:t>
      </w:r>
      <w:r w:rsidR="00195AD7" w:rsidRPr="007F057F">
        <w:rPr>
          <w:b/>
        </w:rPr>
        <w:t xml:space="preserve">predicting invalid </w:t>
      </w:r>
      <w:r w:rsidRPr="007F057F">
        <w:rPr>
          <w:b/>
        </w:rPr>
        <w:t xml:space="preserve">T-SPOT.TB® </w:t>
      </w:r>
      <w:r w:rsidR="00195AD7" w:rsidRPr="007F057F">
        <w:rPr>
          <w:b/>
        </w:rPr>
        <w:t xml:space="preserve">results </w:t>
      </w:r>
      <w:r w:rsidRPr="007F057F">
        <w:rPr>
          <w:b/>
        </w:rPr>
        <w:t>(n</w:t>
      </w:r>
      <w:r w:rsidR="00195AD7" w:rsidRPr="007F057F">
        <w:rPr>
          <w:b/>
        </w:rPr>
        <w:t xml:space="preserve"> </w:t>
      </w:r>
      <w:r w:rsidRPr="007F057F">
        <w:rPr>
          <w:b/>
        </w:rPr>
        <w:t>=</w:t>
      </w:r>
      <w:r w:rsidR="00195AD7" w:rsidRPr="007F057F">
        <w:rPr>
          <w:b/>
        </w:rPr>
        <w:t xml:space="preserve"> </w:t>
      </w:r>
      <w:r w:rsidRPr="007F057F">
        <w:rPr>
          <w:b/>
        </w:rPr>
        <w:t xml:space="preserve">44). </w:t>
      </w:r>
    </w:p>
    <w:p w14:paraId="268B5DE2" w14:textId="45519581" w:rsidR="00331062" w:rsidRPr="00E71CAD" w:rsidRDefault="001F34F7" w:rsidP="00331062">
      <w:pPr>
        <w:spacing w:before="0" w:after="200" w:line="276" w:lineRule="auto"/>
      </w:pPr>
      <w:r w:rsidRPr="00E71CAD">
        <w:t xml:space="preserve">This figure shows the </w:t>
      </w:r>
      <w:r w:rsidR="00331062" w:rsidRPr="00E71CAD">
        <w:t xml:space="preserve">ROC </w:t>
      </w:r>
      <w:r w:rsidR="008302F2" w:rsidRPr="00E71CAD">
        <w:t>anal</w:t>
      </w:r>
      <w:r w:rsidR="00E02B66" w:rsidRPr="00E71CAD">
        <w:t>ysis</w:t>
      </w:r>
      <w:r w:rsidR="00331062" w:rsidRPr="00E71CAD">
        <w:t xml:space="preserve"> </w:t>
      </w:r>
      <w:r w:rsidR="00E02B66" w:rsidRPr="00E71CAD">
        <w:t>of PVL for predicting</w:t>
      </w:r>
      <w:r w:rsidR="00331062" w:rsidRPr="00E71CAD">
        <w:t xml:space="preserve"> </w:t>
      </w:r>
      <w:r w:rsidRPr="00E71CAD">
        <w:t xml:space="preserve">invalid </w:t>
      </w:r>
      <w:r w:rsidR="00331062" w:rsidRPr="00E71CAD">
        <w:t xml:space="preserve">T-SPOT.TB® </w:t>
      </w:r>
      <w:r w:rsidRPr="00E71CAD">
        <w:t>results. Using the</w:t>
      </w:r>
      <w:r w:rsidR="00E02B66" w:rsidRPr="00E71CAD">
        <w:t xml:space="preserve"> ROC curve and Youden index </w:t>
      </w:r>
      <w:r w:rsidRPr="00E71CAD">
        <w:t>for optimal</w:t>
      </w:r>
      <w:r w:rsidR="00E02B66" w:rsidRPr="00E71CAD">
        <w:t xml:space="preserve"> accuracy, the cutoff value of PVL was </w:t>
      </w:r>
      <w:r w:rsidRPr="00E71CAD">
        <w:t xml:space="preserve">determined to be </w:t>
      </w:r>
      <w:r w:rsidR="00E02B66" w:rsidRPr="00E71CAD">
        <w:t>1.11 copies/</w:t>
      </w:r>
      <w:r w:rsidRPr="00E71CAD">
        <w:t>100 PBMCs</w:t>
      </w:r>
      <w:r w:rsidR="00E02B66" w:rsidRPr="00E71CAD">
        <w:t xml:space="preserve">. </w:t>
      </w:r>
      <w:r w:rsidR="00331062" w:rsidRPr="00E71CAD">
        <w:t>AUC</w:t>
      </w:r>
      <w:r w:rsidRPr="00E71CAD">
        <w:t>:</w:t>
      </w:r>
      <w:r w:rsidR="00331062" w:rsidRPr="00E71CAD">
        <w:t xml:space="preserve"> area under the curve; PBMCs</w:t>
      </w:r>
      <w:r w:rsidRPr="00E71CAD">
        <w:t>:</w:t>
      </w:r>
      <w:r w:rsidR="00331062" w:rsidRPr="00E71CAD">
        <w:t xml:space="preserve"> </w:t>
      </w:r>
      <w:r w:rsidRPr="00E71CAD">
        <w:t>p</w:t>
      </w:r>
      <w:r w:rsidR="00331062" w:rsidRPr="00E71CAD">
        <w:t>eripheral blood mononuclear cells.</w:t>
      </w:r>
    </w:p>
    <w:p w14:paraId="1CD6F1EE" w14:textId="7491EA50" w:rsidR="00DE30B9" w:rsidRPr="007F057F" w:rsidRDefault="00DE30B9" w:rsidP="00DE30B9"/>
    <w:p w14:paraId="11EC8DA1" w14:textId="134C7B68" w:rsidR="00994A3D" w:rsidRPr="007F057F" w:rsidRDefault="00DE30B9" w:rsidP="00DE30B9">
      <w:pPr>
        <w:keepNext/>
        <w:rPr>
          <w:rFonts w:cs="Times New Roman"/>
          <w:szCs w:val="24"/>
        </w:rPr>
      </w:pPr>
      <w:r w:rsidRPr="007F057F">
        <w:rPr>
          <w:rFonts w:cs="Times New Roman"/>
          <w:noProof/>
          <w:szCs w:val="24"/>
          <w:lang w:eastAsia="ja-JP"/>
        </w:rPr>
        <w:lastRenderedPageBreak/>
        <w:drawing>
          <wp:inline distT="0" distB="0" distL="0" distR="0" wp14:anchorId="35D12B85" wp14:editId="3908AEB8">
            <wp:extent cx="4238625" cy="375835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01" cy="37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DA9AC" w14:textId="3445B1FB" w:rsidR="002F0A55" w:rsidRPr="007F057F" w:rsidRDefault="00994A3D" w:rsidP="002F0A55">
      <w:pPr>
        <w:keepNext/>
        <w:rPr>
          <w:rFonts w:cs="Times New Roman"/>
          <w:szCs w:val="24"/>
        </w:rPr>
      </w:pPr>
      <w:r w:rsidRPr="007F057F">
        <w:rPr>
          <w:rFonts w:cs="Times New Roman"/>
          <w:b/>
          <w:szCs w:val="24"/>
        </w:rPr>
        <w:t xml:space="preserve">Supplementary Figure </w:t>
      </w:r>
      <w:r w:rsidR="00416B7C" w:rsidRPr="007F057F">
        <w:rPr>
          <w:rFonts w:cs="Times New Roman"/>
          <w:b/>
          <w:szCs w:val="24"/>
        </w:rPr>
        <w:t>2</w:t>
      </w:r>
      <w:r w:rsidRPr="007F057F">
        <w:rPr>
          <w:rFonts w:cs="Times New Roman"/>
          <w:b/>
          <w:szCs w:val="24"/>
        </w:rPr>
        <w:t>.</w:t>
      </w:r>
      <w:r w:rsidRPr="007F057F">
        <w:rPr>
          <w:rFonts w:cs="Times New Roman"/>
          <w:szCs w:val="24"/>
        </w:rPr>
        <w:t xml:space="preserve"> </w:t>
      </w:r>
      <w:r w:rsidR="002F0A55" w:rsidRPr="007F057F">
        <w:rPr>
          <w:rFonts w:cs="Times New Roman"/>
          <w:b/>
          <w:szCs w:val="24"/>
        </w:rPr>
        <w:t xml:space="preserve">Correlation between spot count in </w:t>
      </w:r>
      <w:r w:rsidR="002F0A55" w:rsidRPr="007F057F">
        <w:rPr>
          <w:rFonts w:cs="Times New Roman"/>
          <w:b/>
          <w:bCs/>
          <w:szCs w:val="24"/>
        </w:rPr>
        <w:t xml:space="preserve">the </w:t>
      </w:r>
      <w:r w:rsidR="002F0A55" w:rsidRPr="007F057F">
        <w:rPr>
          <w:rFonts w:cs="Times New Roman"/>
          <w:b/>
          <w:szCs w:val="24"/>
        </w:rPr>
        <w:t>negative control of T-SPOT.TB® assay and proviral load</w:t>
      </w:r>
      <w:r w:rsidR="002F0A55" w:rsidRPr="007F057F">
        <w:rPr>
          <w:rFonts w:cs="Times New Roman"/>
          <w:b/>
          <w:bCs/>
          <w:szCs w:val="24"/>
        </w:rPr>
        <w:t xml:space="preserve"> </w:t>
      </w:r>
      <w:r w:rsidR="002F0A55" w:rsidRPr="007F057F">
        <w:rPr>
          <w:rFonts w:cs="Times New Roman"/>
          <w:b/>
          <w:szCs w:val="24"/>
        </w:rPr>
        <w:t>(PVL) (n</w:t>
      </w:r>
      <w:r w:rsidR="002F0A55" w:rsidRPr="007F057F">
        <w:rPr>
          <w:rFonts w:cs="Times New Roman"/>
          <w:b/>
          <w:bCs/>
          <w:szCs w:val="24"/>
        </w:rPr>
        <w:t xml:space="preserve"> = </w:t>
      </w:r>
      <w:r w:rsidR="002F0A55" w:rsidRPr="007F057F">
        <w:rPr>
          <w:rFonts w:cs="Times New Roman"/>
          <w:b/>
          <w:szCs w:val="24"/>
        </w:rPr>
        <w:t>4</w:t>
      </w:r>
      <w:r w:rsidR="00DE30B9" w:rsidRPr="007F057F">
        <w:rPr>
          <w:rFonts w:cs="Times New Roman"/>
          <w:b/>
          <w:szCs w:val="24"/>
          <w:lang w:eastAsia="ja-JP"/>
        </w:rPr>
        <w:t>3</w:t>
      </w:r>
      <w:r w:rsidR="002F0A55" w:rsidRPr="007F057F">
        <w:rPr>
          <w:rFonts w:cs="Times New Roman"/>
          <w:b/>
          <w:szCs w:val="24"/>
        </w:rPr>
        <w:t>)</w:t>
      </w:r>
    </w:p>
    <w:p w14:paraId="3B020E77" w14:textId="5FF9ACC3" w:rsidR="00994A3D" w:rsidRPr="007F057F" w:rsidRDefault="00941BD4" w:rsidP="002F0A55">
      <w:pPr>
        <w:rPr>
          <w:rFonts w:cs="Times New Roman"/>
          <w:szCs w:val="24"/>
        </w:rPr>
      </w:pPr>
      <w:r w:rsidRPr="007F057F">
        <w:rPr>
          <w:rFonts w:cs="Times New Roman"/>
          <w:szCs w:val="24"/>
        </w:rPr>
        <w:t>This</w:t>
      </w:r>
      <w:r w:rsidR="001F34F7" w:rsidRPr="007F057F">
        <w:rPr>
          <w:rFonts w:cs="Times New Roman"/>
          <w:szCs w:val="24"/>
        </w:rPr>
        <w:t xml:space="preserve"> scatter</w:t>
      </w:r>
      <w:r w:rsidR="002F0A55" w:rsidRPr="007F057F">
        <w:rPr>
          <w:rFonts w:cs="Times New Roman"/>
          <w:szCs w:val="24"/>
        </w:rPr>
        <w:t xml:space="preserve"> plot show</w:t>
      </w:r>
      <w:r w:rsidR="001F34F7" w:rsidRPr="007F057F">
        <w:rPr>
          <w:rFonts w:cs="Times New Roman"/>
          <w:szCs w:val="24"/>
        </w:rPr>
        <w:t>s</w:t>
      </w:r>
      <w:r w:rsidR="002F0A55" w:rsidRPr="007F057F">
        <w:rPr>
          <w:rFonts w:cs="Times New Roman"/>
          <w:szCs w:val="24"/>
        </w:rPr>
        <w:t xml:space="preserve"> the relationship between</w:t>
      </w:r>
      <w:bookmarkStart w:id="0" w:name="_Hlk177821216"/>
      <w:r w:rsidR="002F0A55" w:rsidRPr="007F057F">
        <w:rPr>
          <w:rFonts w:cs="Times New Roman"/>
          <w:szCs w:val="24"/>
        </w:rPr>
        <w:t xml:space="preserve"> the s</w:t>
      </w:r>
      <w:r w:rsidR="002F0A55" w:rsidRPr="00E71CAD">
        <w:rPr>
          <w:rFonts w:cs="Times New Roman"/>
          <w:szCs w:val="24"/>
        </w:rPr>
        <w:t xml:space="preserve">pot count </w:t>
      </w:r>
      <w:r w:rsidR="001F34F7" w:rsidRPr="00E71CAD">
        <w:rPr>
          <w:rFonts w:cs="Times New Roman"/>
          <w:szCs w:val="24"/>
        </w:rPr>
        <w:t>and</w:t>
      </w:r>
      <w:r w:rsidR="002F0A55" w:rsidRPr="00E71CAD">
        <w:rPr>
          <w:rFonts w:cs="Times New Roman"/>
          <w:szCs w:val="24"/>
        </w:rPr>
        <w:t xml:space="preserve"> the negative control of the T-SPOT.TB® assay and PVL (copies/100 PBMCs) in 4</w:t>
      </w:r>
      <w:r w:rsidR="00DE30B9" w:rsidRPr="00E71CAD">
        <w:rPr>
          <w:rFonts w:cs="Times New Roman"/>
          <w:szCs w:val="24"/>
        </w:rPr>
        <w:t>3</w:t>
      </w:r>
      <w:r w:rsidR="002F0A55" w:rsidRPr="00E71CAD">
        <w:rPr>
          <w:rFonts w:cs="Times New Roman"/>
          <w:szCs w:val="24"/>
        </w:rPr>
        <w:t xml:space="preserve"> participants</w:t>
      </w:r>
      <w:bookmarkEnd w:id="0"/>
      <w:r w:rsidR="002F0A55" w:rsidRPr="00E71CAD">
        <w:rPr>
          <w:rFonts w:cs="Times New Roman"/>
          <w:szCs w:val="24"/>
        </w:rPr>
        <w:t xml:space="preserve"> with rheumatic disease. </w:t>
      </w:r>
      <w:r w:rsidR="00DE30B9" w:rsidRPr="00E71CAD">
        <w:rPr>
          <w:rFonts w:cs="Times New Roman"/>
          <w:szCs w:val="24"/>
        </w:rPr>
        <w:t>We excluded</w:t>
      </w:r>
      <w:bookmarkStart w:id="1" w:name="_Hlk177821180"/>
      <w:r w:rsidR="00DE30B9" w:rsidRPr="00E71CAD">
        <w:rPr>
          <w:rFonts w:cs="Times New Roman"/>
          <w:szCs w:val="24"/>
        </w:rPr>
        <w:t xml:space="preserve"> one case of ATL with abnormally high PVL.</w:t>
      </w:r>
      <w:bookmarkEnd w:id="1"/>
      <w:r w:rsidR="00DE30B9" w:rsidRPr="00E71CAD">
        <w:t xml:space="preserve"> </w:t>
      </w:r>
      <w:r w:rsidR="002F0A55" w:rsidRPr="00E71CAD">
        <w:rPr>
          <w:rFonts w:cs="Times New Roman"/>
          <w:szCs w:val="24"/>
        </w:rPr>
        <w:t>The dotted line indicates the spot count threshold at which T-SPOT.TB® results are considered invalid</w:t>
      </w:r>
      <w:r w:rsidR="002F0A55" w:rsidRPr="007F057F">
        <w:rPr>
          <w:rFonts w:cs="Times New Roman"/>
          <w:szCs w:val="24"/>
        </w:rPr>
        <w:t>.</w:t>
      </w:r>
    </w:p>
    <w:p w14:paraId="1497357F" w14:textId="77777777" w:rsidR="002F0A55" w:rsidRPr="007F057F" w:rsidRDefault="002F0A55" w:rsidP="002F0A55">
      <w:pPr>
        <w:rPr>
          <w:rFonts w:cs="Times New Roman"/>
          <w:szCs w:val="24"/>
        </w:rPr>
      </w:pPr>
    </w:p>
    <w:p w14:paraId="07EBF486" w14:textId="52BFF2E1" w:rsidR="002F0A55" w:rsidRPr="007F057F" w:rsidRDefault="0059122E" w:rsidP="002F0A55">
      <w:pPr>
        <w:rPr>
          <w:b/>
          <w:szCs w:val="24"/>
        </w:rPr>
      </w:pPr>
      <w:r w:rsidRPr="007F057F">
        <w:rPr>
          <w:b/>
          <w:noProof/>
          <w:szCs w:val="24"/>
          <w:lang w:eastAsia="ja-JP"/>
        </w:rPr>
        <w:lastRenderedPageBreak/>
        <w:drawing>
          <wp:inline distT="0" distB="0" distL="0" distR="0" wp14:anchorId="2DDD3EE1" wp14:editId="362B5FD8">
            <wp:extent cx="3914775" cy="346774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76" cy="34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62CD" w14:textId="22151861" w:rsidR="002F0A55" w:rsidRPr="007F057F" w:rsidRDefault="002F0A55" w:rsidP="002F0A55">
      <w:pPr>
        <w:spacing w:before="240"/>
        <w:rPr>
          <w:b/>
        </w:rPr>
      </w:pPr>
      <w:r w:rsidRPr="007F057F">
        <w:rPr>
          <w:b/>
        </w:rPr>
        <w:t xml:space="preserve">Supplemental Figure </w:t>
      </w:r>
      <w:r w:rsidR="00416B7C" w:rsidRPr="007F057F">
        <w:rPr>
          <w:b/>
        </w:rPr>
        <w:t>3</w:t>
      </w:r>
      <w:r w:rsidRPr="007F057F">
        <w:rPr>
          <w:b/>
        </w:rPr>
        <w:t xml:space="preserve">. </w:t>
      </w:r>
      <w:bookmarkStart w:id="2" w:name="_Hlk160873716"/>
      <w:r w:rsidRPr="007F057F">
        <w:rPr>
          <w:b/>
        </w:rPr>
        <w:t>Correlation between spot count in the negative control of T-SPOT.TB® assay and IFN-γ levels in Nil value of QFT (n = 3</w:t>
      </w:r>
      <w:r w:rsidR="0059122E" w:rsidRPr="007F057F">
        <w:rPr>
          <w:b/>
          <w:lang w:eastAsia="ja-JP"/>
        </w:rPr>
        <w:t>2</w:t>
      </w:r>
      <w:r w:rsidRPr="007F057F">
        <w:rPr>
          <w:b/>
        </w:rPr>
        <w:t>)</w:t>
      </w:r>
      <w:bookmarkEnd w:id="2"/>
    </w:p>
    <w:p w14:paraId="58F1AED1" w14:textId="0BA05179" w:rsidR="008103A3" w:rsidRPr="00E71CAD" w:rsidRDefault="00A64AD5" w:rsidP="002F0A55">
      <w:pPr>
        <w:spacing w:before="240"/>
      </w:pPr>
      <w:r w:rsidRPr="007F057F">
        <w:t>This scatter</w:t>
      </w:r>
      <w:r w:rsidR="002F0A55" w:rsidRPr="007F057F">
        <w:t xml:space="preserve"> plot </w:t>
      </w:r>
      <w:r w:rsidR="002F0A55" w:rsidRPr="00E71CAD">
        <w:t>show</w:t>
      </w:r>
      <w:r w:rsidRPr="00E71CAD">
        <w:t>s</w:t>
      </w:r>
      <w:r w:rsidR="002F0A55" w:rsidRPr="00E71CAD">
        <w:t xml:space="preserve"> the relationship between the spot count </w:t>
      </w:r>
      <w:r w:rsidRPr="00E71CAD">
        <w:t>and</w:t>
      </w:r>
      <w:r w:rsidR="002F0A55" w:rsidRPr="00E71CAD">
        <w:t xml:space="preserve"> the negative control of the T-SPOT.TB® assay and the IFN-γ levels in the Nil value of the QFT assay in 3</w:t>
      </w:r>
      <w:r w:rsidR="00CF6B51" w:rsidRPr="00E71CAD">
        <w:t>2</w:t>
      </w:r>
      <w:r w:rsidR="002F0A55" w:rsidRPr="00E71CAD">
        <w:t xml:space="preserve"> participants with rheumatic disease.</w:t>
      </w:r>
      <w:r w:rsidR="00255BBC" w:rsidRPr="00E71CAD">
        <w:t xml:space="preserve"> We excluded </w:t>
      </w:r>
      <w:r w:rsidR="0059122E" w:rsidRPr="00E71CAD">
        <w:t>one</w:t>
      </w:r>
      <w:r w:rsidR="00255BBC" w:rsidRPr="00E71CAD">
        <w:t xml:space="preserve"> </w:t>
      </w:r>
      <w:r w:rsidRPr="00E71CAD">
        <w:t>patient</w:t>
      </w:r>
      <w:r w:rsidR="00255BBC" w:rsidRPr="00E71CAD">
        <w:t xml:space="preserve"> carrier with abnormally high IFN-γ levels in the Nil value of the QFT.</w:t>
      </w:r>
    </w:p>
    <w:p w14:paraId="7EC26001" w14:textId="77777777" w:rsidR="008103A3" w:rsidRPr="007F057F" w:rsidRDefault="008103A3">
      <w:pPr>
        <w:spacing w:before="0" w:after="200" w:line="276" w:lineRule="auto"/>
      </w:pPr>
      <w:r w:rsidRPr="007F057F">
        <w:br w:type="page"/>
      </w:r>
    </w:p>
    <w:p w14:paraId="0AAA1989" w14:textId="77777777" w:rsidR="00DE23E8" w:rsidRPr="007F057F" w:rsidRDefault="00DE23E8" w:rsidP="002F0A55">
      <w:pPr>
        <w:spacing w:before="240"/>
      </w:pPr>
    </w:p>
    <w:p w14:paraId="5CF58225" w14:textId="49997973" w:rsidR="002F0A55" w:rsidRPr="007F057F" w:rsidRDefault="00255BBC" w:rsidP="002F0A55">
      <w:pPr>
        <w:spacing w:before="240"/>
      </w:pPr>
      <w:r w:rsidRPr="007F057F">
        <w:rPr>
          <w:noProof/>
          <w:lang w:eastAsia="ja-JP"/>
        </w:rPr>
        <w:drawing>
          <wp:inline distT="0" distB="0" distL="0" distR="0" wp14:anchorId="1D848AEB" wp14:editId="4D1B94E1">
            <wp:extent cx="6014085" cy="308520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31" cy="309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0B08" w14:textId="09CFE50C" w:rsidR="002F0A55" w:rsidRPr="007F057F" w:rsidRDefault="002F0A55" w:rsidP="002F0A55">
      <w:pPr>
        <w:spacing w:before="240"/>
      </w:pPr>
      <w:r w:rsidRPr="007F057F">
        <w:rPr>
          <w:b/>
        </w:rPr>
        <w:t xml:space="preserve">Supplemental </w:t>
      </w:r>
      <w:r w:rsidRPr="007F057F">
        <w:rPr>
          <w:b/>
          <w:bCs/>
        </w:rPr>
        <w:t xml:space="preserve">Figure </w:t>
      </w:r>
      <w:r w:rsidR="00416B7C" w:rsidRPr="007F057F">
        <w:rPr>
          <w:b/>
          <w:bCs/>
        </w:rPr>
        <w:t>4</w:t>
      </w:r>
      <w:r w:rsidRPr="007F057F">
        <w:rPr>
          <w:b/>
        </w:rPr>
        <w:t>. Correlation between spot count in</w:t>
      </w:r>
      <w:r w:rsidRPr="007F057F">
        <w:rPr>
          <w:b/>
          <w:bCs/>
        </w:rPr>
        <w:t xml:space="preserve"> the</w:t>
      </w:r>
      <w:r w:rsidRPr="007F057F">
        <w:rPr>
          <w:b/>
        </w:rPr>
        <w:t xml:space="preserve"> negative control of T-SPOT.TB® assay and proportion of HTLV-1-infected cells population</w:t>
      </w:r>
      <w:r w:rsidRPr="007F057F">
        <w:t xml:space="preserve"> </w:t>
      </w:r>
      <w:r w:rsidRPr="007F057F">
        <w:rPr>
          <w:b/>
        </w:rPr>
        <w:t>in HTLV-1-infected cell analysis system flow cytometry (HAS-Flow) (n</w:t>
      </w:r>
      <w:r w:rsidRPr="007F057F">
        <w:rPr>
          <w:b/>
          <w:bCs/>
        </w:rPr>
        <w:t xml:space="preserve"> = </w:t>
      </w:r>
      <w:r w:rsidRPr="007F057F">
        <w:rPr>
          <w:b/>
        </w:rPr>
        <w:t>4</w:t>
      </w:r>
      <w:r w:rsidR="00255BBC" w:rsidRPr="007F057F">
        <w:rPr>
          <w:b/>
          <w:lang w:eastAsia="ja-JP"/>
        </w:rPr>
        <w:t>1</w:t>
      </w:r>
      <w:r w:rsidRPr="007F057F">
        <w:rPr>
          <w:b/>
        </w:rPr>
        <w:t>)</w:t>
      </w:r>
    </w:p>
    <w:p w14:paraId="6BD5E411" w14:textId="739E7960" w:rsidR="00255BBC" w:rsidRPr="007F057F" w:rsidRDefault="004D0618" w:rsidP="002F0A55">
      <w:pPr>
        <w:spacing w:before="240"/>
        <w:rPr>
          <w:lang w:eastAsia="ja-JP"/>
        </w:rPr>
      </w:pPr>
      <w:r w:rsidRPr="007F057F">
        <w:t xml:space="preserve">This </w:t>
      </w:r>
      <w:r w:rsidRPr="00E71CAD">
        <w:t>scatter</w:t>
      </w:r>
      <w:r w:rsidR="002F0A55" w:rsidRPr="00E71CAD">
        <w:t xml:space="preserve"> plot </w:t>
      </w:r>
      <w:r w:rsidRPr="00E71CAD">
        <w:t>shows</w:t>
      </w:r>
      <w:r w:rsidR="002F0A55" w:rsidRPr="00E71CAD">
        <w:t xml:space="preserve"> the relationship between the spot count in the negative control of the T-SPOT.TB® assay and </w:t>
      </w:r>
      <w:bookmarkStart w:id="3" w:name="_Hlk177821442"/>
      <w:r w:rsidR="002F0A55" w:rsidRPr="00E71CAD">
        <w:t>the proportion of HTLV-1-infected cell population as measured by the HTLV-1-infected cell analysis system flow cytometry (HAS-Flow) in 4</w:t>
      </w:r>
      <w:r w:rsidR="00255BBC" w:rsidRPr="00E71CAD">
        <w:t>1</w:t>
      </w:r>
      <w:r w:rsidR="002F0A55" w:rsidRPr="00E71CAD">
        <w:t xml:space="preserve"> participants</w:t>
      </w:r>
      <w:bookmarkEnd w:id="3"/>
      <w:r w:rsidR="002F0A55" w:rsidRPr="00E71CAD">
        <w:t xml:space="preserve"> with rheumatic disease.</w:t>
      </w:r>
      <w:r w:rsidR="00255BBC" w:rsidRPr="00E71CAD">
        <w:rPr>
          <w:lang w:eastAsia="ja-JP"/>
        </w:rPr>
        <w:t xml:space="preserve"> We excluded one case of ATL</w:t>
      </w:r>
      <w:bookmarkStart w:id="4" w:name="_Hlk177821342"/>
      <w:r w:rsidR="00255BBC" w:rsidRPr="00E71CAD">
        <w:rPr>
          <w:lang w:eastAsia="ja-JP"/>
        </w:rPr>
        <w:t xml:space="preserve"> with </w:t>
      </w:r>
      <w:r w:rsidR="00B11F09" w:rsidRPr="00E71CAD">
        <w:rPr>
          <w:lang w:eastAsia="ja-JP"/>
        </w:rPr>
        <w:t xml:space="preserve">an </w:t>
      </w:r>
      <w:r w:rsidR="00255BBC" w:rsidRPr="00E71CAD">
        <w:rPr>
          <w:lang w:eastAsia="ja-JP"/>
        </w:rPr>
        <w:t xml:space="preserve">abnormally high </w:t>
      </w:r>
      <w:r w:rsidR="0059122E" w:rsidRPr="00E71CAD">
        <w:rPr>
          <w:lang w:eastAsia="ja-JP"/>
        </w:rPr>
        <w:t>proportion of CADM1+ CD7- T-cells in CD4+ T-cells</w:t>
      </w:r>
      <w:r w:rsidR="00255BBC" w:rsidRPr="00E71CAD">
        <w:t>.</w:t>
      </w:r>
    </w:p>
    <w:bookmarkEnd w:id="4"/>
    <w:p w14:paraId="223077C7" w14:textId="5D492D5F" w:rsidR="008103A3" w:rsidRPr="007F057F" w:rsidRDefault="008103A3">
      <w:pPr>
        <w:spacing w:before="0" w:after="200" w:line="276" w:lineRule="auto"/>
      </w:pPr>
      <w:r w:rsidRPr="007F057F">
        <w:br w:type="page"/>
      </w:r>
    </w:p>
    <w:p w14:paraId="5B5E847B" w14:textId="77777777" w:rsidR="002F0A55" w:rsidRPr="007F057F" w:rsidRDefault="002F0A55" w:rsidP="002F0A55">
      <w:pPr>
        <w:spacing w:before="240"/>
      </w:pPr>
    </w:p>
    <w:p w14:paraId="386FD659" w14:textId="58A7D63D" w:rsidR="002F0A55" w:rsidRPr="007F057F" w:rsidRDefault="002F0A55" w:rsidP="002F0A55">
      <w:pPr>
        <w:spacing w:before="240"/>
      </w:pPr>
      <w:r w:rsidRPr="007F057F">
        <w:rPr>
          <w:noProof/>
          <w:lang w:eastAsia="ja-JP"/>
        </w:rPr>
        <w:drawing>
          <wp:inline distT="0" distB="0" distL="0" distR="0" wp14:anchorId="150E17F8" wp14:editId="082398C1">
            <wp:extent cx="5157470" cy="31153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5F4336" w14:textId="22CA6594" w:rsidR="002F0A55" w:rsidRPr="007F057F" w:rsidRDefault="002F0A55" w:rsidP="002F0A55">
      <w:pPr>
        <w:spacing w:before="240"/>
        <w:rPr>
          <w:b/>
        </w:rPr>
      </w:pPr>
      <w:r w:rsidRPr="007F057F">
        <w:rPr>
          <w:b/>
        </w:rPr>
        <w:t xml:space="preserve">Supplemental Figure </w:t>
      </w:r>
      <w:r w:rsidR="00416B7C" w:rsidRPr="007F057F">
        <w:rPr>
          <w:b/>
        </w:rPr>
        <w:t>5</w:t>
      </w:r>
      <w:r w:rsidRPr="007F057F">
        <w:rPr>
          <w:b/>
        </w:rPr>
        <w:t>. Analysis of IFN-γ-producing cells in patients with invalid T-SPOT.TB® by Flowcytometry</w:t>
      </w:r>
    </w:p>
    <w:p w14:paraId="1EA24D41" w14:textId="77777777" w:rsidR="002F0A55" w:rsidRPr="007F057F" w:rsidRDefault="002F0A55" w:rsidP="002F0A55">
      <w:pPr>
        <w:spacing w:before="240"/>
      </w:pPr>
      <w:r w:rsidRPr="007F057F">
        <w:t>The percentages of CD4+ T-cells and CD8+ T-cells and the presence of IFN-γ-producing cell population in CD3+ T-cells population in T-SPOT.TB®</w:t>
      </w:r>
      <w:r w:rsidRPr="007F057F">
        <w:rPr>
          <w:rFonts w:cs="Times New Roman"/>
        </w:rPr>
        <w:t>️</w:t>
      </w:r>
      <w:r w:rsidRPr="007F057F">
        <w:t xml:space="preserve"> invalid patients (n = 5). </w:t>
      </w:r>
      <w:r w:rsidRPr="007F057F">
        <w:rPr>
          <w:b/>
        </w:rPr>
        <w:t>(A)</w:t>
      </w:r>
      <w:r w:rsidRPr="007F057F">
        <w:t xml:space="preserve"> The median percentages of CD4+ T-cells and CD8+ T-cells in CD3+ T-cells were 45.2% and 49.3%, respectively, with no significant difference. </w:t>
      </w:r>
      <w:r w:rsidRPr="007F057F">
        <w:rPr>
          <w:b/>
        </w:rPr>
        <w:t xml:space="preserve">(B) </w:t>
      </w:r>
      <w:r w:rsidRPr="007F057F">
        <w:t>The median percentages of the IFN-γ+ T-cell population were 0.18% and 1.33%, respectively, indicating many IFN-γ-producing cells in CD8+ T-cells.</w:t>
      </w:r>
    </w:p>
    <w:p w14:paraId="39D2CFDB" w14:textId="537A79E6" w:rsidR="002F0A55" w:rsidRPr="007F057F" w:rsidRDefault="002F0A55" w:rsidP="002F0A55">
      <w:pPr>
        <w:spacing w:before="240"/>
      </w:pPr>
      <w:r w:rsidRPr="007F057F">
        <w:t>Bold lines indicate the median values. *</w:t>
      </w:r>
      <w:r w:rsidRPr="007F057F">
        <w:rPr>
          <w:i/>
        </w:rPr>
        <w:t>P</w:t>
      </w:r>
      <w:r w:rsidRPr="007F057F">
        <w:t xml:space="preserve"> &lt; 0.05, by Mann–Whitney U test.</w:t>
      </w:r>
    </w:p>
    <w:p w14:paraId="4350921B" w14:textId="2C4AB475" w:rsidR="008103A3" w:rsidRPr="007F057F" w:rsidRDefault="008103A3">
      <w:pPr>
        <w:spacing w:before="0" w:after="200" w:line="276" w:lineRule="auto"/>
      </w:pPr>
      <w:r w:rsidRPr="007F057F">
        <w:br w:type="page"/>
      </w:r>
    </w:p>
    <w:p w14:paraId="48F9AD2B" w14:textId="77777777" w:rsidR="008103A3" w:rsidRPr="007F057F" w:rsidRDefault="008103A3" w:rsidP="002F0A55">
      <w:pPr>
        <w:spacing w:before="240"/>
      </w:pPr>
    </w:p>
    <w:p w14:paraId="2E2A0207" w14:textId="2163980E" w:rsidR="00374783" w:rsidRPr="007F057F" w:rsidRDefault="00374783" w:rsidP="002F0A55">
      <w:pPr>
        <w:spacing w:before="240"/>
      </w:pPr>
      <w:r w:rsidRPr="007F057F">
        <w:rPr>
          <w:noProof/>
          <w:lang w:eastAsia="ja-JP"/>
        </w:rPr>
        <w:drawing>
          <wp:inline distT="0" distB="0" distL="0" distR="0" wp14:anchorId="4F551CFB" wp14:editId="3223C5AF">
            <wp:extent cx="5639435" cy="21704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E29EE" w14:textId="49A7A533" w:rsidR="00374783" w:rsidRPr="007F057F" w:rsidRDefault="00374783" w:rsidP="00374783">
      <w:pPr>
        <w:spacing w:before="240"/>
        <w:rPr>
          <w:b/>
        </w:rPr>
      </w:pPr>
      <w:r w:rsidRPr="007F057F">
        <w:rPr>
          <w:b/>
        </w:rPr>
        <w:t xml:space="preserve">Supplemental Figure </w:t>
      </w:r>
      <w:r w:rsidR="00416B7C" w:rsidRPr="007F057F">
        <w:rPr>
          <w:b/>
        </w:rPr>
        <w:t>6</w:t>
      </w:r>
      <w:r w:rsidRPr="007F057F">
        <w:rPr>
          <w:b/>
        </w:rPr>
        <w:t>. IFN-γ producing cells in Tax-specific cytotoxic T-cells (CTLs)</w:t>
      </w:r>
    </w:p>
    <w:p w14:paraId="04CD1486" w14:textId="457B7942" w:rsidR="00374783" w:rsidRPr="007F057F" w:rsidRDefault="00374783" w:rsidP="00374783">
      <w:pPr>
        <w:spacing w:before="240"/>
      </w:pPr>
      <w:r w:rsidRPr="007F057F">
        <w:t>Peripheral blood mononuclear cells (PBMCs) were obtained from participants with rheumatic disease (RD), who demonstrated invalid T-SPOT.TB® assay results, cultured without stimulation. PBMCs were collected after 24 h, and the population of IFN-γ producing cells in Tax-specific CTLs was analyzed using flow cytometry. (</w:t>
      </w:r>
      <w:r w:rsidRPr="007F057F">
        <w:rPr>
          <w:b/>
        </w:rPr>
        <w:t>A</w:t>
      </w:r>
      <w:r w:rsidRPr="007F057F">
        <w:t>) The representative data of Tax tetramer versus IFN-γ plot of CD8+T-cell population. (</w:t>
      </w:r>
      <w:r w:rsidRPr="007F057F">
        <w:rPr>
          <w:b/>
        </w:rPr>
        <w:t>B</w:t>
      </w:r>
      <w:r w:rsidRPr="007F057F">
        <w:t>) The population of IFN-γ producing CD8+T-cells in Tax-specific CTLs in participants with RD who exhibited invalid T-SPOT.TB® assay results (n = 5). The population of IFN-γ producing CD8+T-cells is larger in Tax-specific CTLs compared to in Tax-nonspecific CTLs. The bold horizontal line indicates the median values. *</w:t>
      </w:r>
      <w:r w:rsidRPr="007F057F">
        <w:rPr>
          <w:i/>
        </w:rPr>
        <w:t>P</w:t>
      </w:r>
      <w:r w:rsidRPr="007F057F">
        <w:t xml:space="preserve"> &lt; 0.05, by Mann–Whitney U test.</w:t>
      </w:r>
    </w:p>
    <w:p w14:paraId="51EC1996" w14:textId="6438CA1C" w:rsidR="008103A3" w:rsidRPr="007F057F" w:rsidRDefault="008103A3">
      <w:pPr>
        <w:spacing w:before="0" w:after="200" w:line="276" w:lineRule="auto"/>
      </w:pPr>
      <w:r w:rsidRPr="007F057F">
        <w:br w:type="page"/>
      </w:r>
    </w:p>
    <w:p w14:paraId="268D51A4" w14:textId="4265C2EA" w:rsidR="00374783" w:rsidRPr="007F057F" w:rsidRDefault="00416B7C" w:rsidP="00374783">
      <w:pPr>
        <w:spacing w:before="240"/>
      </w:pPr>
      <w:r w:rsidRPr="007F057F">
        <w:rPr>
          <w:noProof/>
          <w:lang w:eastAsia="ja-JP"/>
        </w:rPr>
        <w:lastRenderedPageBreak/>
        <w:drawing>
          <wp:inline distT="0" distB="0" distL="0" distR="0" wp14:anchorId="20290306" wp14:editId="0BA82838">
            <wp:extent cx="5584190" cy="264722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60" cy="26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6555" w14:textId="5913621C" w:rsidR="00361194" w:rsidRPr="007F057F" w:rsidRDefault="00361194" w:rsidP="00374783">
      <w:pPr>
        <w:spacing w:before="240"/>
      </w:pPr>
    </w:p>
    <w:p w14:paraId="08EC09C7" w14:textId="43957BB4" w:rsidR="00361194" w:rsidRPr="007F057F" w:rsidRDefault="00361194" w:rsidP="00416B7C">
      <w:pPr>
        <w:spacing w:before="0" w:after="200" w:line="276" w:lineRule="auto"/>
      </w:pPr>
      <w:r w:rsidRPr="007F057F">
        <w:br w:type="page"/>
      </w:r>
    </w:p>
    <w:p w14:paraId="21ABFBAF" w14:textId="6841DA9F" w:rsidR="00361194" w:rsidRPr="007F057F" w:rsidRDefault="00416B7C" w:rsidP="00374783">
      <w:pPr>
        <w:spacing w:before="240"/>
      </w:pPr>
      <w:r w:rsidRPr="007F057F">
        <w:rPr>
          <w:noProof/>
          <w:lang w:eastAsia="ja-JP"/>
        </w:rPr>
        <w:lastRenderedPageBreak/>
        <w:drawing>
          <wp:inline distT="0" distB="0" distL="0" distR="0" wp14:anchorId="62D2C805" wp14:editId="449B0F56">
            <wp:extent cx="6224270" cy="2142447"/>
            <wp:effectExtent l="0" t="0" r="508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50" cy="215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0B0C" w14:textId="0F2C9553" w:rsidR="00374783" w:rsidRPr="007F057F" w:rsidRDefault="00361194" w:rsidP="00E2629A">
      <w:pPr>
        <w:spacing w:before="0" w:after="200" w:line="276" w:lineRule="auto"/>
      </w:pPr>
      <w:r w:rsidRPr="007F057F">
        <w:br w:type="page"/>
      </w:r>
    </w:p>
    <w:p w14:paraId="60EF6A2F" w14:textId="3BBEC2B7" w:rsidR="00374783" w:rsidRPr="001549D3" w:rsidRDefault="00FF2E10" w:rsidP="00374783">
      <w:pPr>
        <w:spacing w:before="240"/>
      </w:pPr>
      <w:r w:rsidRPr="007F057F">
        <w:rPr>
          <w:noProof/>
          <w:lang w:eastAsia="ja-JP"/>
        </w:rPr>
        <w:lastRenderedPageBreak/>
        <w:drawing>
          <wp:inline distT="0" distB="0" distL="0" distR="0" wp14:anchorId="2040C32B" wp14:editId="176CA549">
            <wp:extent cx="5828700" cy="1994170"/>
            <wp:effectExtent l="0" t="0" r="0" b="0"/>
            <wp:docPr id="14669865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865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6110" cy="199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783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F7C91" w14:textId="77777777" w:rsidR="009C65C5" w:rsidRDefault="009C65C5" w:rsidP="00117666">
      <w:pPr>
        <w:spacing w:after="0"/>
      </w:pPr>
      <w:r>
        <w:separator/>
      </w:r>
    </w:p>
  </w:endnote>
  <w:endnote w:type="continuationSeparator" w:id="0">
    <w:p w14:paraId="32CFD9E3" w14:textId="77777777" w:rsidR="009C65C5" w:rsidRDefault="009C65C5" w:rsidP="00117666">
      <w:pPr>
        <w:spacing w:after="0"/>
      </w:pPr>
      <w:r>
        <w:continuationSeparator/>
      </w:r>
    </w:p>
  </w:endnote>
  <w:endnote w:type="continuationNotice" w:id="1">
    <w:p w14:paraId="2E03D9D2" w14:textId="77777777" w:rsidR="009C65C5" w:rsidRDefault="009C65C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2201CE" w:rsidRPr="00577C4C" w:rsidRDefault="00C52A7B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2201C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A21E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2201C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A21EB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2201CE" w:rsidRPr="00577C4C" w:rsidRDefault="00C52A7B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2201C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A21E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2201C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A21EB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41CA69" w14:textId="77777777" w:rsidR="009C65C5" w:rsidRDefault="009C65C5" w:rsidP="00117666">
      <w:pPr>
        <w:spacing w:after="0"/>
      </w:pPr>
      <w:r>
        <w:separator/>
      </w:r>
    </w:p>
  </w:footnote>
  <w:footnote w:type="continuationSeparator" w:id="0">
    <w:p w14:paraId="292F61C1" w14:textId="77777777" w:rsidR="009C65C5" w:rsidRDefault="009C65C5" w:rsidP="00117666">
      <w:pPr>
        <w:spacing w:after="0"/>
      </w:pPr>
      <w:r>
        <w:continuationSeparator/>
      </w:r>
    </w:p>
  </w:footnote>
  <w:footnote w:type="continuationNotice" w:id="1">
    <w:p w14:paraId="576D0CDD" w14:textId="77777777" w:rsidR="009C65C5" w:rsidRDefault="009C65C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2201C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2201CE" w:rsidRDefault="0093429D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37528761">
    <w:abstractNumId w:val="0"/>
  </w:num>
  <w:num w:numId="2" w16cid:durableId="339352361">
    <w:abstractNumId w:val="4"/>
  </w:num>
  <w:num w:numId="3" w16cid:durableId="1488008686">
    <w:abstractNumId w:val="1"/>
  </w:num>
  <w:num w:numId="4" w16cid:durableId="1340890864">
    <w:abstractNumId w:val="5"/>
  </w:num>
  <w:num w:numId="5" w16cid:durableId="927924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1687367">
    <w:abstractNumId w:val="3"/>
  </w:num>
  <w:num w:numId="7" w16cid:durableId="702363295">
    <w:abstractNumId w:val="6"/>
  </w:num>
  <w:num w:numId="8" w16cid:durableId="1186670005">
    <w:abstractNumId w:val="6"/>
  </w:num>
  <w:num w:numId="9" w16cid:durableId="449671577">
    <w:abstractNumId w:val="6"/>
  </w:num>
  <w:num w:numId="10" w16cid:durableId="1880587942">
    <w:abstractNumId w:val="6"/>
  </w:num>
  <w:num w:numId="11" w16cid:durableId="1117287879">
    <w:abstractNumId w:val="6"/>
  </w:num>
  <w:num w:numId="12" w16cid:durableId="1379940617">
    <w:abstractNumId w:val="6"/>
  </w:num>
  <w:num w:numId="13" w16cid:durableId="1154374450">
    <w:abstractNumId w:val="3"/>
  </w:num>
  <w:num w:numId="14" w16cid:durableId="270284791">
    <w:abstractNumId w:val="2"/>
  </w:num>
  <w:num w:numId="15" w16cid:durableId="612903757">
    <w:abstractNumId w:val="2"/>
  </w:num>
  <w:num w:numId="16" w16cid:durableId="18894293">
    <w:abstractNumId w:val="2"/>
  </w:num>
  <w:num w:numId="17" w16cid:durableId="1676108317">
    <w:abstractNumId w:val="2"/>
  </w:num>
  <w:num w:numId="18" w16cid:durableId="817647141">
    <w:abstractNumId w:val="2"/>
  </w:num>
  <w:num w:numId="19" w16cid:durableId="37516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UniqueDocId" w:val="1043060a-a227-4cd2-a6c6-807c3971a55c"/>
  </w:docVars>
  <w:rsids>
    <w:rsidRoot w:val="00803D24"/>
    <w:rsid w:val="0001436A"/>
    <w:rsid w:val="00034304"/>
    <w:rsid w:val="00035434"/>
    <w:rsid w:val="00052A14"/>
    <w:rsid w:val="00061A6D"/>
    <w:rsid w:val="00077D53"/>
    <w:rsid w:val="00103A20"/>
    <w:rsid w:val="00105FD9"/>
    <w:rsid w:val="00114FC3"/>
    <w:rsid w:val="00117666"/>
    <w:rsid w:val="001352B0"/>
    <w:rsid w:val="00153747"/>
    <w:rsid w:val="001549D3"/>
    <w:rsid w:val="00160065"/>
    <w:rsid w:val="00177D84"/>
    <w:rsid w:val="00181DA9"/>
    <w:rsid w:val="00195AD7"/>
    <w:rsid w:val="001E26EA"/>
    <w:rsid w:val="001F3095"/>
    <w:rsid w:val="001F34F7"/>
    <w:rsid w:val="002201CE"/>
    <w:rsid w:val="00255BBC"/>
    <w:rsid w:val="00267D18"/>
    <w:rsid w:val="002868E2"/>
    <w:rsid w:val="002869C3"/>
    <w:rsid w:val="002936E4"/>
    <w:rsid w:val="002B4A57"/>
    <w:rsid w:val="002C74CA"/>
    <w:rsid w:val="002F0A55"/>
    <w:rsid w:val="002F5915"/>
    <w:rsid w:val="00327B67"/>
    <w:rsid w:val="00331062"/>
    <w:rsid w:val="003544FB"/>
    <w:rsid w:val="00361194"/>
    <w:rsid w:val="00361A8E"/>
    <w:rsid w:val="00374783"/>
    <w:rsid w:val="003D2D47"/>
    <w:rsid w:val="003D2F2D"/>
    <w:rsid w:val="00401590"/>
    <w:rsid w:val="00416B7C"/>
    <w:rsid w:val="00447801"/>
    <w:rsid w:val="00452E9C"/>
    <w:rsid w:val="004735C8"/>
    <w:rsid w:val="004961FF"/>
    <w:rsid w:val="0049641D"/>
    <w:rsid w:val="004A21EB"/>
    <w:rsid w:val="004D0618"/>
    <w:rsid w:val="00517A89"/>
    <w:rsid w:val="005250F2"/>
    <w:rsid w:val="0059122E"/>
    <w:rsid w:val="00593EEA"/>
    <w:rsid w:val="005A5EEE"/>
    <w:rsid w:val="005B2772"/>
    <w:rsid w:val="006375C7"/>
    <w:rsid w:val="00654E8F"/>
    <w:rsid w:val="00660D05"/>
    <w:rsid w:val="006820B1"/>
    <w:rsid w:val="006B09AC"/>
    <w:rsid w:val="006B7D14"/>
    <w:rsid w:val="006F1011"/>
    <w:rsid w:val="00701727"/>
    <w:rsid w:val="0070566C"/>
    <w:rsid w:val="00714C50"/>
    <w:rsid w:val="00725A7D"/>
    <w:rsid w:val="007501BE"/>
    <w:rsid w:val="00753462"/>
    <w:rsid w:val="00771091"/>
    <w:rsid w:val="00790BB3"/>
    <w:rsid w:val="007C206C"/>
    <w:rsid w:val="007F057F"/>
    <w:rsid w:val="00803D24"/>
    <w:rsid w:val="008103A3"/>
    <w:rsid w:val="00817DD6"/>
    <w:rsid w:val="008302F2"/>
    <w:rsid w:val="00885156"/>
    <w:rsid w:val="008D254F"/>
    <w:rsid w:val="009151AA"/>
    <w:rsid w:val="0093429D"/>
    <w:rsid w:val="00941BD4"/>
    <w:rsid w:val="00943573"/>
    <w:rsid w:val="00970F7D"/>
    <w:rsid w:val="00994A3D"/>
    <w:rsid w:val="009C2B12"/>
    <w:rsid w:val="009C65C5"/>
    <w:rsid w:val="009C70F3"/>
    <w:rsid w:val="009D55E3"/>
    <w:rsid w:val="00A174D9"/>
    <w:rsid w:val="00A21424"/>
    <w:rsid w:val="00A569CD"/>
    <w:rsid w:val="00A64AD5"/>
    <w:rsid w:val="00AB5EE2"/>
    <w:rsid w:val="00AB6715"/>
    <w:rsid w:val="00B0646D"/>
    <w:rsid w:val="00B11F09"/>
    <w:rsid w:val="00B1671E"/>
    <w:rsid w:val="00B25EB8"/>
    <w:rsid w:val="00B354E1"/>
    <w:rsid w:val="00B37F4D"/>
    <w:rsid w:val="00B75462"/>
    <w:rsid w:val="00BE56AB"/>
    <w:rsid w:val="00C52A7B"/>
    <w:rsid w:val="00C56BAF"/>
    <w:rsid w:val="00C679AA"/>
    <w:rsid w:val="00C75972"/>
    <w:rsid w:val="00C77B27"/>
    <w:rsid w:val="00C9015A"/>
    <w:rsid w:val="00C94736"/>
    <w:rsid w:val="00CA4C9E"/>
    <w:rsid w:val="00CC0A3A"/>
    <w:rsid w:val="00CD066B"/>
    <w:rsid w:val="00CE4FEE"/>
    <w:rsid w:val="00CF6B51"/>
    <w:rsid w:val="00D24031"/>
    <w:rsid w:val="00DB59C3"/>
    <w:rsid w:val="00DC259A"/>
    <w:rsid w:val="00DC2C5F"/>
    <w:rsid w:val="00DE23E8"/>
    <w:rsid w:val="00DE30B9"/>
    <w:rsid w:val="00E02B66"/>
    <w:rsid w:val="00E2311A"/>
    <w:rsid w:val="00E2629A"/>
    <w:rsid w:val="00E52377"/>
    <w:rsid w:val="00E64E17"/>
    <w:rsid w:val="00E71CAD"/>
    <w:rsid w:val="00E866C9"/>
    <w:rsid w:val="00EA3D3C"/>
    <w:rsid w:val="00EA4423"/>
    <w:rsid w:val="00F46900"/>
    <w:rsid w:val="00F61D89"/>
    <w:rsid w:val="00FF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D9ACE56C-E36C-4A40-8926-5F7340E3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488B53E-B80E-4F2F-AE35-6B07EF1767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421E9F9-5D6E-4CB0-8D24-F57A27FD8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51</TotalTime>
  <Pages>9</Pages>
  <Words>534</Words>
  <Characters>3049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Megan Bond</cp:lastModifiedBy>
  <cp:revision>9</cp:revision>
  <cp:lastPrinted>2013-10-03T12:51:00Z</cp:lastPrinted>
  <dcterms:created xsi:type="dcterms:W3CDTF">2022-11-17T16:58:00Z</dcterms:created>
  <dcterms:modified xsi:type="dcterms:W3CDTF">2024-10-07T14:45:00Z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CustomProp">
    <vt:lpwstr>14981fb47edc4eec9676adf232af6df6</vt:lpwstr>
  </property>
  <property fmtid="{D5CDD505-2E9C-101B-9397-08002B2CF9AE}" pid="11" name="GrammarlyDocumentId">
    <vt:lpwstr>c7d84987db4d92c1b0bd0f1fe87c78490d097758bb15219c4f6e552b0ea9ef39</vt:lpwstr>
  </property>
  <property fmtid="{D5CDD505-2E9C-101B-9397-08002B2CF9AE}" pid="12" name="DotEnagoUniqueKey">
    <vt:lpwstr>|0511e1b63bf60b4-a452-4137-2188-a1727271020001-a7982771</vt:lpwstr>
  </property>
  <property fmtid="{D5CDD505-2E9C-101B-9397-08002B2CF9AE}" pid="13" name="lcf76f155ced4ddcb4097134ff3c332f">
    <vt:lpwstr/>
  </property>
  <property fmtid="{D5CDD505-2E9C-101B-9397-08002B2CF9AE}" pid="14" name="_dlc_DocIdPersistId">
    <vt:lpwstr/>
  </property>
  <property fmtid="{D5CDD505-2E9C-101B-9397-08002B2CF9AE}" pid="15" name="Description">
    <vt:lpwstr/>
  </property>
  <property fmtid="{D5CDD505-2E9C-101B-9397-08002B2CF9AE}" pid="16" name="Lead">
    <vt:lpwstr/>
  </property>
  <property fmtid="{D5CDD505-2E9C-101B-9397-08002B2CF9AE}" pid="17" name="_dlc_DocId">
    <vt:lpwstr/>
  </property>
  <property fmtid="{D5CDD505-2E9C-101B-9397-08002B2CF9AE}" pid="18" name="Status">
    <vt:lpwstr>New</vt:lpwstr>
  </property>
  <property fmtid="{D5CDD505-2E9C-101B-9397-08002B2CF9AE}" pid="19" name="_dlc_DocIdUrl">
    <vt:lpwstr>, </vt:lpwstr>
  </property>
  <property fmtid="{D5CDD505-2E9C-101B-9397-08002B2CF9AE}" pid="20" name="Sign-off status">
    <vt:lpwstr/>
  </property>
  <property fmtid="{D5CDD505-2E9C-101B-9397-08002B2CF9AE}" pid="21" name="TaxCatchAll">
    <vt:lpwstr/>
  </property>
</Properties>
</file>