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11FE" w14:textId="759609AA" w:rsidR="004025D1" w:rsidRDefault="004025D1" w:rsidP="00401F64">
      <w:pPr>
        <w:pStyle w:val="Heading1"/>
      </w:pPr>
      <w:r>
        <w:t xml:space="preserve">Supplementary Methods </w:t>
      </w:r>
    </w:p>
    <w:p w14:paraId="7A99CBDF" w14:textId="77777777" w:rsidR="004025D1" w:rsidRDefault="004025D1" w:rsidP="004025D1"/>
    <w:p w14:paraId="44475766" w14:textId="77BC8F24" w:rsidR="004025D1" w:rsidRPr="004025D1" w:rsidRDefault="004025D1" w:rsidP="00422834">
      <w:pPr>
        <w:pStyle w:val="Heading2"/>
      </w:pPr>
      <w:r w:rsidRPr="007D30E2">
        <w:t xml:space="preserve">Desirability Index </w:t>
      </w:r>
      <w:r w:rsidR="00422834">
        <w:t>C</w:t>
      </w:r>
      <w:r w:rsidRPr="007D30E2">
        <w:t xml:space="preserve">alculations </w:t>
      </w:r>
    </w:p>
    <w:p w14:paraId="7FF0CD1A" w14:textId="77777777" w:rsidR="004025D1" w:rsidRDefault="004025D1" w:rsidP="004025D1">
      <w:r>
        <w:t xml:space="preserve">Replicate data from each group were condensed into a descriptive statistic, using the geometric mean for all samples. Each group was then assigned a score for each parameter via </w:t>
      </w:r>
      <w:r>
        <w:fldChar w:fldCharType="begin"/>
      </w:r>
      <w:r>
        <w:instrText xml:space="preserve"> REF _Ref141282924 \h  \* MERGEFORMAT </w:instrText>
      </w:r>
      <w:r>
        <w:fldChar w:fldCharType="separate"/>
      </w:r>
      <w:r>
        <w:t>Eqn.  1</w:t>
      </w:r>
      <w:r>
        <w:fldChar w:fldCharType="end"/>
      </w:r>
      <w:r>
        <w:t xml:space="preserve"> to maximize a parameter or </w:t>
      </w:r>
      <w:r>
        <w:fldChar w:fldCharType="begin"/>
      </w:r>
      <w:r>
        <w:instrText xml:space="preserve"> REF _Ref141282946 \h  \* MERGEFORMAT </w:instrText>
      </w:r>
      <w:r>
        <w:fldChar w:fldCharType="separate"/>
      </w:r>
      <w:r>
        <w:t>Eqn.  2</w:t>
      </w:r>
      <w:r>
        <w:fldChar w:fldCharType="end"/>
      </w:r>
      <w:r>
        <w:t xml:space="preserve"> to minimize a parameter.  </w:t>
      </w:r>
    </w:p>
    <w:p w14:paraId="53F9519C" w14:textId="77777777" w:rsidR="004025D1" w:rsidRDefault="004025D1" w:rsidP="004025D1"/>
    <w:p w14:paraId="1EBCAE8E" w14:textId="017AE632" w:rsidR="004025D1" w:rsidRDefault="004025D1" w:rsidP="004025D1">
      <w:pPr>
        <w:rPr>
          <w:rFonts w:eastAsiaTheme="minorEastAsia"/>
        </w:rPr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is the desirability of the </w:t>
      </w:r>
      <w:r w:rsidRPr="00EC70FF">
        <w:rPr>
          <w:rFonts w:eastAsiaTheme="minorEastAsia"/>
          <w:i/>
          <w:iCs/>
        </w:rPr>
        <w:t>i</w:t>
      </w:r>
      <w:r w:rsidRPr="002D35FB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parameter of group </w:t>
      </w:r>
      <w:r w:rsidRPr="00EC70FF">
        <w:rPr>
          <w:rFonts w:eastAsiaTheme="minorEastAsia"/>
          <w:i/>
          <w:iCs/>
        </w:rPr>
        <w:t>j</w:t>
      </w:r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is the descriptive </w:t>
      </w:r>
      <w:r w:rsidRPr="00811F6F">
        <w:t xml:space="preserve">statistic of the </w:t>
      </w:r>
      <w:r w:rsidRPr="004F5654">
        <w:rPr>
          <w:i/>
          <w:iCs/>
        </w:rPr>
        <w:t>i</w:t>
      </w:r>
      <w:r w:rsidRPr="00811F6F">
        <w:rPr>
          <w:vertAlign w:val="superscript"/>
        </w:rPr>
        <w:t>th</w:t>
      </w:r>
      <w:r w:rsidRPr="00811F6F">
        <w:t xml:space="preserve"> parameter of group </w:t>
      </w:r>
      <w:r w:rsidRPr="004F5654">
        <w:rPr>
          <w:i/>
          <w:iCs/>
        </w:rPr>
        <w:t>j</w:t>
      </w:r>
      <w:r w:rsidRPr="00811F6F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811F6F">
        <w:t xml:space="preserve"> (upper bound</w:t>
      </w:r>
      <w:r>
        <w:t xml:space="preserve"> of parameter</w:t>
      </w:r>
      <w:r w:rsidRPr="00811F6F">
        <w:t xml:space="preserve"> </w:t>
      </w:r>
      <w:r w:rsidRPr="004F5654">
        <w:rPr>
          <w:i/>
          <w:iCs/>
        </w:rPr>
        <w:t>i</w:t>
      </w:r>
      <w:r w:rsidRPr="00811F6F">
        <w:t xml:space="preserve">)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811F6F">
        <w:t xml:space="preserve"> </w:t>
      </w:r>
      <w:r>
        <w:t xml:space="preserve">(lower bound of parameter </w:t>
      </w:r>
      <w:r w:rsidRPr="004F5654">
        <w:rPr>
          <w:i/>
          <w:iCs/>
        </w:rPr>
        <w:t>i</w:t>
      </w:r>
      <w:r>
        <w:t>) were</w:t>
      </w:r>
      <w:r w:rsidRPr="00811F6F">
        <w:t xml:space="preserve"> calculated using </w:t>
      </w:r>
      <w:r w:rsidRPr="00811F6F">
        <w:fldChar w:fldCharType="begin"/>
      </w:r>
      <w:r w:rsidRPr="00811F6F">
        <w:instrText xml:space="preserve"> REF _Ref141288794 \h </w:instrText>
      </w:r>
      <w:r>
        <w:instrText xml:space="preserve"> \* MERGEFORMAT </w:instrText>
      </w:r>
      <w:r w:rsidRPr="00811F6F">
        <w:fldChar w:fldCharType="separate"/>
      </w:r>
      <w:r w:rsidRPr="00046DD6">
        <w:t>Eqn.  3</w:t>
      </w:r>
      <w:r w:rsidRPr="00811F6F">
        <w:fldChar w:fldCharType="end"/>
      </w:r>
      <w:r w:rsidRPr="00811F6F">
        <w:t xml:space="preserve"> and </w:t>
      </w:r>
      <w:r w:rsidRPr="00811F6F">
        <w:fldChar w:fldCharType="begin"/>
      </w:r>
      <w:r w:rsidRPr="00811F6F">
        <w:instrText xml:space="preserve"> REF _Ref141288798 \h </w:instrText>
      </w:r>
      <w:r>
        <w:instrText xml:space="preserve"> \* MERGEFORMAT </w:instrText>
      </w:r>
      <w:r w:rsidRPr="00811F6F">
        <w:fldChar w:fldCharType="separate"/>
      </w:r>
      <w:r w:rsidRPr="00046DD6">
        <w:t>Eqn.  4</w:t>
      </w:r>
      <w:r w:rsidRPr="00811F6F">
        <w:fldChar w:fldCharType="end"/>
      </w:r>
      <w:r>
        <w:t>,</w:t>
      </w:r>
      <w:r w:rsidRPr="00811F6F">
        <w:t xml:space="preserve"> respectively</w:t>
      </w:r>
      <w:r w:rsidR="00EF4322">
        <w:t>,</w:t>
      </w:r>
      <w:r>
        <w:t xml:space="preserve"> </w:t>
      </w:r>
      <w:r w:rsidR="00EF4322">
        <w:t>w</w:t>
      </w:r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i:</m:t>
            </m:r>
          </m:sub>
        </m:sSub>
      </m:oMath>
      <w:r>
        <w:t xml:space="preserve"> is a vector containing all descriptive statistics for parameter </w:t>
      </w:r>
      <w:r w:rsidRPr="004F5654">
        <w:rPr>
          <w:i/>
          <w:iCs/>
        </w:rPr>
        <w:t>i</w:t>
      </w:r>
      <w:r>
        <w:t xml:space="preserve">. Once all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eastAsiaTheme="minorEastAsia"/>
        </w:rPr>
        <w:t xml:space="preserve"> were known, the aggregate desirability of group </w:t>
      </w:r>
      <w:r w:rsidRPr="00630DB2">
        <w:rPr>
          <w:rFonts w:eastAsiaTheme="minorEastAsia"/>
          <w:i/>
          <w:iCs/>
        </w:rPr>
        <w:t>j</w:t>
      </w:r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="002C0DD9">
        <w:rPr>
          <w:rFonts w:eastAsiaTheme="minorEastAsia"/>
        </w:rPr>
        <w:t>,</w:t>
      </w:r>
      <w:r>
        <w:rPr>
          <w:rFonts w:eastAsiaTheme="minorEastAsia"/>
        </w:rPr>
        <w:t xml:space="preserve"> was </w:t>
      </w:r>
      <w:r w:rsidRPr="006E7422">
        <w:rPr>
          <w:rFonts w:eastAsiaTheme="minorEastAsia"/>
        </w:rPr>
        <w:t>calculated</w:t>
      </w:r>
      <w:r>
        <w:rPr>
          <w:rFonts w:eastAsiaTheme="minorEastAsia"/>
        </w:rPr>
        <w:t xml:space="preserve"> </w:t>
      </w:r>
      <w:r w:rsidRPr="006E7422">
        <w:rPr>
          <w:rFonts w:eastAsiaTheme="minorEastAsia"/>
        </w:rPr>
        <w:t xml:space="preserve">using </w:t>
      </w:r>
      <w:r w:rsidRPr="006E7422">
        <w:rPr>
          <w:rFonts w:eastAsiaTheme="minorEastAsia"/>
        </w:rPr>
        <w:fldChar w:fldCharType="begin"/>
      </w:r>
      <w:r w:rsidRPr="006E7422">
        <w:rPr>
          <w:rFonts w:eastAsiaTheme="minorEastAsia"/>
        </w:rPr>
        <w:instrText xml:space="preserve"> REF _Ref141289850 \h </w:instrText>
      </w:r>
      <w:r>
        <w:rPr>
          <w:rFonts w:eastAsiaTheme="minorEastAsia"/>
        </w:rPr>
        <w:instrText xml:space="preserve"> \* MERGEFORMAT </w:instrText>
      </w:r>
      <w:r w:rsidRPr="006E7422">
        <w:rPr>
          <w:rFonts w:eastAsiaTheme="minorEastAsia"/>
        </w:rPr>
      </w:r>
      <w:r w:rsidRPr="006E7422">
        <w:rPr>
          <w:rFonts w:eastAsiaTheme="minorEastAsia"/>
        </w:rPr>
        <w:fldChar w:fldCharType="separate"/>
      </w:r>
      <w:r w:rsidRPr="00046DD6">
        <w:t xml:space="preserve">Eqn.  </w:t>
      </w:r>
      <w:r w:rsidRPr="00046DD6">
        <w:rPr>
          <w:noProof/>
        </w:rPr>
        <w:t>5</w:t>
      </w:r>
      <w:r w:rsidRPr="006E7422">
        <w:rPr>
          <w:rFonts w:eastAsiaTheme="minorEastAsia"/>
        </w:rPr>
        <w:fldChar w:fldCharType="end"/>
      </w:r>
      <w:r w:rsidR="00592DC2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592DC2">
        <w:t>w</w:t>
      </w:r>
      <w:r>
        <w:t xml:space="preserve">here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is the number of parameters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 the assigned weight of parameter </w:t>
      </w:r>
      <w:r w:rsidRPr="00630DB2">
        <w:rPr>
          <w:rFonts w:eastAsiaTheme="minorEastAsia"/>
          <w:i/>
          <w:iCs/>
        </w:rPr>
        <w:t>i</w:t>
      </w:r>
      <w:r>
        <w:rPr>
          <w:rFonts w:eastAsiaTheme="minorEastAsia"/>
        </w:rPr>
        <w:t xml:space="preserve"> (Supplementary Table </w:t>
      </w:r>
      <w:r w:rsidR="00F708B1">
        <w:rPr>
          <w:rFonts w:eastAsiaTheme="minorEastAsia"/>
        </w:rPr>
        <w:t>S</w:t>
      </w:r>
      <w:r>
        <w:rPr>
          <w:rFonts w:eastAsiaTheme="minorEastAsia"/>
        </w:rPr>
        <w:t>1).</w:t>
      </w:r>
    </w:p>
    <w:tbl>
      <w:tblPr>
        <w:tblStyle w:val="TableGrid"/>
        <w:tblpPr w:leftFromText="180" w:rightFromText="180" w:vertAnchor="text" w:horzAnchor="margin" w:tblpY="33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766"/>
        <w:gridCol w:w="3154"/>
      </w:tblGrid>
      <w:tr w:rsidR="004025D1" w14:paraId="08ADDA56" w14:textId="77777777" w:rsidTr="00A448C2">
        <w:tc>
          <w:tcPr>
            <w:tcW w:w="769" w:type="pct"/>
            <w:vAlign w:val="center"/>
          </w:tcPr>
          <w:p w14:paraId="4781521B" w14:textId="77777777" w:rsidR="004025D1" w:rsidRPr="00630DB2" w:rsidRDefault="004025D1" w:rsidP="00A448C2">
            <w:bookmarkStart w:id="0" w:name="_Ref141289850"/>
            <w:r w:rsidRPr="00630DB2">
              <w:t xml:space="preserve">Eqn.  </w:t>
            </w:r>
            <w:r>
              <w:fldChar w:fldCharType="begin"/>
            </w:r>
            <w:r>
              <w:instrText>SEQ Eqn._ \* ARABIC</w:instrText>
            </w:r>
            <w:r>
              <w:fldChar w:fldCharType="separate"/>
            </w:r>
            <w:r w:rsidRPr="00630DB2">
              <w:rPr>
                <w:noProof/>
              </w:rPr>
              <w:t>5</w:t>
            </w:r>
            <w:r>
              <w:fldChar w:fldCharType="end"/>
            </w:r>
            <w:bookmarkEnd w:id="0"/>
            <w:r w:rsidRPr="00630DB2">
              <w:tab/>
            </w:r>
          </w:p>
        </w:tc>
        <w:tc>
          <w:tcPr>
            <w:tcW w:w="2546" w:type="pct"/>
          </w:tcPr>
          <w:p w14:paraId="4737AB74" w14:textId="77777777" w:rsidR="004025D1" w:rsidRPr="002661A1" w:rsidRDefault="00000000" w:rsidP="00A448C2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b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den>
                    </m:f>
                  </m:sup>
                </m:sSup>
              </m:oMath>
            </m:oMathPara>
          </w:p>
        </w:tc>
        <w:tc>
          <w:tcPr>
            <w:tcW w:w="1685" w:type="pct"/>
          </w:tcPr>
          <w:p w14:paraId="3DB94C38" w14:textId="77777777" w:rsidR="004025D1" w:rsidRDefault="004025D1" w:rsidP="00A448C2"/>
        </w:tc>
      </w:tr>
    </w:tbl>
    <w:tbl>
      <w:tblPr>
        <w:tblStyle w:val="TableGrid"/>
        <w:tblpPr w:leftFromText="180" w:rightFromText="180" w:vertAnchor="text" w:horzAnchor="margin" w:tblpY="26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648"/>
        <w:gridCol w:w="2286"/>
      </w:tblGrid>
      <w:tr w:rsidR="004025D1" w14:paraId="7BAE06CE" w14:textId="77777777" w:rsidTr="00A448C2">
        <w:trPr>
          <w:cantSplit/>
        </w:trPr>
        <w:tc>
          <w:tcPr>
            <w:tcW w:w="762" w:type="pct"/>
            <w:vAlign w:val="center"/>
          </w:tcPr>
          <w:p w14:paraId="109DCE7E" w14:textId="77777777" w:rsidR="004025D1" w:rsidRPr="00630DB2" w:rsidRDefault="004025D1" w:rsidP="00A448C2">
            <w:bookmarkStart w:id="1" w:name="_Ref141288794"/>
            <w:r w:rsidRPr="00630DB2">
              <w:t xml:space="preserve">Eqn.  </w:t>
            </w:r>
            <w:r>
              <w:fldChar w:fldCharType="begin"/>
            </w:r>
            <w:r>
              <w:instrText>SEQ Eqn._ \* ARABIC</w:instrText>
            </w:r>
            <w:r>
              <w:fldChar w:fldCharType="separate"/>
            </w:r>
            <w:r w:rsidRPr="00630DB2">
              <w:rPr>
                <w:noProof/>
              </w:rPr>
              <w:t>3</w:t>
            </w:r>
            <w:r>
              <w:fldChar w:fldCharType="end"/>
            </w:r>
            <w:bookmarkEnd w:id="1"/>
          </w:p>
        </w:tc>
        <w:tc>
          <w:tcPr>
            <w:tcW w:w="3017" w:type="pct"/>
          </w:tcPr>
          <w:p w14:paraId="11076290" w14:textId="77777777" w:rsidR="004025D1" w:rsidRPr="002661A1" w:rsidRDefault="00000000" w:rsidP="00A448C2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=max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i: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%×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max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i: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-min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i: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1221" w:type="pct"/>
          </w:tcPr>
          <w:p w14:paraId="635CD6EC" w14:textId="77777777" w:rsidR="004025D1" w:rsidRDefault="004025D1" w:rsidP="00A448C2"/>
        </w:tc>
      </w:tr>
      <w:tr w:rsidR="004025D1" w14:paraId="4F896F94" w14:textId="77777777" w:rsidTr="00A448C2">
        <w:trPr>
          <w:cantSplit/>
        </w:trPr>
        <w:tc>
          <w:tcPr>
            <w:tcW w:w="762" w:type="pct"/>
            <w:vAlign w:val="center"/>
          </w:tcPr>
          <w:p w14:paraId="5E47FC54" w14:textId="77777777" w:rsidR="004025D1" w:rsidRPr="00630DB2" w:rsidRDefault="004025D1" w:rsidP="00A448C2">
            <w:bookmarkStart w:id="2" w:name="_Ref141288798"/>
            <w:r w:rsidRPr="00630DB2">
              <w:t xml:space="preserve">Eqn.  </w:t>
            </w:r>
            <w:r>
              <w:fldChar w:fldCharType="begin"/>
            </w:r>
            <w:r>
              <w:instrText>SEQ Eqn._ \* ARABIC</w:instrText>
            </w:r>
            <w:r>
              <w:fldChar w:fldCharType="separate"/>
            </w:r>
            <w:r w:rsidRPr="00630DB2">
              <w:rPr>
                <w:noProof/>
              </w:rPr>
              <w:t>4</w:t>
            </w:r>
            <w:r>
              <w:fldChar w:fldCharType="end"/>
            </w:r>
            <w:bookmarkEnd w:id="2"/>
          </w:p>
        </w:tc>
        <w:tc>
          <w:tcPr>
            <w:tcW w:w="3017" w:type="pct"/>
          </w:tcPr>
          <w:p w14:paraId="0AA80726" w14:textId="77777777" w:rsidR="004025D1" w:rsidRPr="002661A1" w:rsidRDefault="00000000" w:rsidP="00A448C2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=min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i: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%×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max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i: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-min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i: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1221" w:type="pct"/>
          </w:tcPr>
          <w:p w14:paraId="6B26EE1B" w14:textId="77777777" w:rsidR="004025D1" w:rsidRDefault="004025D1" w:rsidP="00A448C2"/>
        </w:tc>
      </w:tr>
    </w:tbl>
    <w:tbl>
      <w:tblPr>
        <w:tblStyle w:val="TableGrid"/>
        <w:tblpPr w:leftFromText="180" w:rightFromText="180" w:vertAnchor="text" w:horzAnchor="margin" w:tblpY="11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804"/>
        <w:gridCol w:w="3121"/>
      </w:tblGrid>
      <w:tr w:rsidR="004025D1" w14:paraId="11840394" w14:textId="77777777" w:rsidTr="00A448C2">
        <w:trPr>
          <w:cantSplit/>
        </w:trPr>
        <w:tc>
          <w:tcPr>
            <w:tcW w:w="767" w:type="pct"/>
            <w:vAlign w:val="center"/>
          </w:tcPr>
          <w:p w14:paraId="668A5EA6" w14:textId="77777777" w:rsidR="004025D1" w:rsidRPr="00630DB2" w:rsidRDefault="004025D1" w:rsidP="00A448C2">
            <w:bookmarkStart w:id="3" w:name="_Ref141282924"/>
            <w:r w:rsidRPr="00630DB2">
              <w:t xml:space="preserve">Eqn.  </w:t>
            </w:r>
            <w:r>
              <w:fldChar w:fldCharType="begin"/>
            </w:r>
            <w:r>
              <w:instrText>SEQ Eqn._ \* ARABIC</w:instrText>
            </w:r>
            <w:r>
              <w:fldChar w:fldCharType="separate"/>
            </w:r>
            <w:r w:rsidRPr="00630DB2">
              <w:rPr>
                <w:noProof/>
              </w:rPr>
              <w:t>1</w:t>
            </w:r>
            <w:r>
              <w:fldChar w:fldCharType="end"/>
            </w:r>
            <w:bookmarkEnd w:id="3"/>
          </w:p>
        </w:tc>
        <w:tc>
          <w:tcPr>
            <w:tcW w:w="2566" w:type="pct"/>
            <w:vAlign w:val="bottom"/>
          </w:tcPr>
          <w:p w14:paraId="655DF6FF" w14:textId="77777777" w:rsidR="004025D1" w:rsidRPr="002661A1" w:rsidRDefault="00000000" w:rsidP="00A448C2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-L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7" w:type="pct"/>
            <w:vAlign w:val="center"/>
          </w:tcPr>
          <w:p w14:paraId="60D975AB" w14:textId="77777777" w:rsidR="004025D1" w:rsidRDefault="004025D1" w:rsidP="00A448C2"/>
        </w:tc>
      </w:tr>
      <w:tr w:rsidR="004025D1" w14:paraId="6B0DEAF7" w14:textId="77777777" w:rsidTr="00A448C2">
        <w:trPr>
          <w:cantSplit/>
        </w:trPr>
        <w:tc>
          <w:tcPr>
            <w:tcW w:w="767" w:type="pct"/>
            <w:vAlign w:val="center"/>
          </w:tcPr>
          <w:p w14:paraId="108A122B" w14:textId="77777777" w:rsidR="004025D1" w:rsidRPr="00630DB2" w:rsidRDefault="004025D1" w:rsidP="00A448C2">
            <w:bookmarkStart w:id="4" w:name="_Ref141282946"/>
            <w:r w:rsidRPr="00630DB2">
              <w:t xml:space="preserve">Eqn.  </w:t>
            </w:r>
            <w:r>
              <w:fldChar w:fldCharType="begin"/>
            </w:r>
            <w:r>
              <w:instrText>SEQ Eqn._ \* ARABIC</w:instrText>
            </w:r>
            <w:r>
              <w:fldChar w:fldCharType="separate"/>
            </w:r>
            <w:r w:rsidRPr="00630DB2">
              <w:rPr>
                <w:noProof/>
              </w:rPr>
              <w:t>2</w:t>
            </w:r>
            <w:r>
              <w:fldChar w:fldCharType="end"/>
            </w:r>
            <w:bookmarkEnd w:id="4"/>
          </w:p>
        </w:tc>
        <w:tc>
          <w:tcPr>
            <w:tcW w:w="2566" w:type="pct"/>
            <w:vAlign w:val="center"/>
          </w:tcPr>
          <w:p w14:paraId="1BE7C773" w14:textId="77777777" w:rsidR="004025D1" w:rsidRPr="002661A1" w:rsidRDefault="00000000" w:rsidP="00A448C2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67" w:type="pct"/>
            <w:vAlign w:val="center"/>
          </w:tcPr>
          <w:p w14:paraId="25DB59BA" w14:textId="77777777" w:rsidR="004025D1" w:rsidRDefault="004025D1" w:rsidP="00A448C2"/>
        </w:tc>
      </w:tr>
    </w:tbl>
    <w:p w14:paraId="0FFC00FE" w14:textId="77777777" w:rsidR="004025D1" w:rsidRDefault="004025D1" w:rsidP="004025D1"/>
    <w:p w14:paraId="51BEBC1B" w14:textId="77777777" w:rsidR="004025D1" w:rsidRPr="00E42A00" w:rsidRDefault="004025D1" w:rsidP="004025D1"/>
    <w:p w14:paraId="1D433B9E" w14:textId="77777777" w:rsidR="004025D1" w:rsidRPr="00E42A00" w:rsidRDefault="004025D1" w:rsidP="004025D1"/>
    <w:p w14:paraId="3752CDC7" w14:textId="77777777" w:rsidR="004025D1" w:rsidRPr="00E42A00" w:rsidRDefault="004025D1" w:rsidP="004025D1"/>
    <w:p w14:paraId="377A7085" w14:textId="566868BA" w:rsidR="00B17084" w:rsidRDefault="00B17084">
      <w:pPr>
        <w:jc w:val="left"/>
      </w:pPr>
      <w:r>
        <w:br w:type="page"/>
      </w:r>
    </w:p>
    <w:p w14:paraId="1245124E" w14:textId="16C028EF" w:rsidR="00E52004" w:rsidRDefault="004025D1" w:rsidP="00401F64">
      <w:pPr>
        <w:pStyle w:val="Heading1"/>
      </w:pPr>
      <w:r>
        <w:lastRenderedPageBreak/>
        <w:t>Supplementary Data</w:t>
      </w:r>
    </w:p>
    <w:p w14:paraId="6D6766C5" w14:textId="77777777" w:rsidR="00F708B1" w:rsidRPr="00F708B1" w:rsidRDefault="00F708B1" w:rsidP="00F708B1"/>
    <w:p w14:paraId="3A902D85" w14:textId="257D7FB3" w:rsidR="00003E3A" w:rsidRDefault="0082092C" w:rsidP="004025D1">
      <w:r w:rsidRPr="004025D1">
        <w:rPr>
          <w:b/>
          <w:bCs/>
        </w:rPr>
        <w:t xml:space="preserve">Supplementary </w:t>
      </w:r>
      <w:r w:rsidR="00003E3A" w:rsidRPr="004025D1">
        <w:rPr>
          <w:b/>
          <w:bCs/>
        </w:rPr>
        <w:t xml:space="preserve">Table </w:t>
      </w:r>
      <w:r w:rsidR="00740DB7">
        <w:rPr>
          <w:b/>
          <w:bCs/>
        </w:rPr>
        <w:t>S</w:t>
      </w:r>
      <w:r w:rsidR="00003E3A" w:rsidRPr="004025D1">
        <w:rPr>
          <w:b/>
          <w:bCs/>
        </w:rPr>
        <w:fldChar w:fldCharType="begin"/>
      </w:r>
      <w:r w:rsidR="00003E3A" w:rsidRPr="004025D1">
        <w:rPr>
          <w:b/>
          <w:bCs/>
        </w:rPr>
        <w:instrText xml:space="preserve"> SEQ Table \* ARABIC </w:instrText>
      </w:r>
      <w:r w:rsidR="00003E3A" w:rsidRPr="004025D1">
        <w:rPr>
          <w:b/>
          <w:bCs/>
        </w:rPr>
        <w:fldChar w:fldCharType="separate"/>
      </w:r>
      <w:r w:rsidR="00D46760" w:rsidRPr="004025D1">
        <w:rPr>
          <w:b/>
          <w:bCs/>
          <w:noProof/>
        </w:rPr>
        <w:t>1</w:t>
      </w:r>
      <w:r w:rsidR="00003E3A" w:rsidRPr="004025D1">
        <w:rPr>
          <w:b/>
          <w:bCs/>
        </w:rPr>
        <w:fldChar w:fldCharType="end"/>
      </w:r>
      <w:r w:rsidR="00E075B1" w:rsidRPr="00E075B1">
        <w:t>:</w:t>
      </w:r>
      <w:r w:rsidR="00E075B1">
        <w:t xml:space="preserve"> Desirability index weights and parameters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F4EA7" w14:paraId="109AA62C" w14:textId="77777777" w:rsidTr="00BF4EA7">
        <w:tc>
          <w:tcPr>
            <w:tcW w:w="2337" w:type="dxa"/>
          </w:tcPr>
          <w:p w14:paraId="5CEC886A" w14:textId="5C2CABB2" w:rsidR="00BF4EA7" w:rsidRPr="00F708B1" w:rsidRDefault="00BF4EA7" w:rsidP="00E52004">
            <w:pPr>
              <w:rPr>
                <w:b/>
                <w:bCs/>
                <w:sz w:val="18"/>
                <w:szCs w:val="18"/>
              </w:rPr>
            </w:pPr>
            <w:r w:rsidRPr="00F708B1">
              <w:rPr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2337" w:type="dxa"/>
          </w:tcPr>
          <w:p w14:paraId="793A2338" w14:textId="565DB4EA" w:rsidR="00BF4EA7" w:rsidRPr="00F708B1" w:rsidRDefault="00C47407" w:rsidP="00E52004">
            <w:pPr>
              <w:rPr>
                <w:b/>
                <w:bCs/>
                <w:sz w:val="18"/>
                <w:szCs w:val="18"/>
              </w:rPr>
            </w:pPr>
            <w:r w:rsidRPr="00F708B1"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2338" w:type="dxa"/>
          </w:tcPr>
          <w:p w14:paraId="46661DF2" w14:textId="0D239B10" w:rsidR="00BF4EA7" w:rsidRPr="00F708B1" w:rsidRDefault="00C47407" w:rsidP="00E52004">
            <w:pPr>
              <w:rPr>
                <w:b/>
                <w:bCs/>
                <w:sz w:val="18"/>
                <w:szCs w:val="18"/>
              </w:rPr>
            </w:pPr>
            <w:r w:rsidRPr="00F708B1">
              <w:rPr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2338" w:type="dxa"/>
          </w:tcPr>
          <w:p w14:paraId="56979777" w14:textId="5F0FDAA1" w:rsidR="00BF4EA7" w:rsidRPr="00F708B1" w:rsidRDefault="00C47407" w:rsidP="00E52004">
            <w:pPr>
              <w:rPr>
                <w:b/>
                <w:bCs/>
                <w:sz w:val="18"/>
                <w:szCs w:val="18"/>
              </w:rPr>
            </w:pPr>
            <w:r w:rsidRPr="00F708B1">
              <w:rPr>
                <w:b/>
                <w:bCs/>
                <w:sz w:val="18"/>
                <w:szCs w:val="18"/>
              </w:rPr>
              <w:t>Optimization Goal</w:t>
            </w:r>
          </w:p>
        </w:tc>
      </w:tr>
      <w:tr w:rsidR="00BF4EA7" w14:paraId="31DB0196" w14:textId="77777777" w:rsidTr="00BF4EA7">
        <w:tc>
          <w:tcPr>
            <w:tcW w:w="2337" w:type="dxa"/>
          </w:tcPr>
          <w:p w14:paraId="17E595B7" w14:textId="56BD1B89" w:rsidR="00BF4EA7" w:rsidRPr="00364CF0" w:rsidRDefault="00BF4EA7" w:rsidP="00E52004">
            <w:pPr>
              <w:rPr>
                <w:sz w:val="18"/>
                <w:szCs w:val="18"/>
              </w:rPr>
            </w:pPr>
            <w:r w:rsidRPr="00364CF0">
              <w:rPr>
                <w:sz w:val="18"/>
                <w:szCs w:val="18"/>
              </w:rPr>
              <w:t>Pseudo</w:t>
            </w:r>
            <w:r w:rsidR="00364CF0" w:rsidRPr="00364CF0">
              <w:rPr>
                <w:sz w:val="18"/>
                <w:szCs w:val="18"/>
              </w:rPr>
              <w:t>virus Neutralization</w:t>
            </w:r>
          </w:p>
        </w:tc>
        <w:tc>
          <w:tcPr>
            <w:tcW w:w="2337" w:type="dxa"/>
          </w:tcPr>
          <w:p w14:paraId="5DAD5C01" w14:textId="55B4524E" w:rsidR="00BF4EA7" w:rsidRPr="00364CF0" w:rsidRDefault="00C47407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</w:t>
            </w:r>
            <w:r w:rsidRPr="00AB652E">
              <w:rPr>
                <w:sz w:val="18"/>
                <w:szCs w:val="18"/>
                <w:vertAlign w:val="subscript"/>
              </w:rPr>
              <w:t>50</w:t>
            </w:r>
            <w:r>
              <w:rPr>
                <w:sz w:val="18"/>
                <w:szCs w:val="18"/>
              </w:rPr>
              <w:t xml:space="preserve"> (</w:t>
            </w:r>
            <w:r w:rsidR="00AB652E">
              <w:rPr>
                <w:sz w:val="18"/>
                <w:szCs w:val="18"/>
              </w:rPr>
              <w:t>Log</w:t>
            </w:r>
            <w:r w:rsidR="00AB652E" w:rsidRPr="00AB652E">
              <w:rPr>
                <w:sz w:val="18"/>
                <w:szCs w:val="18"/>
                <w:vertAlign w:val="subscript"/>
              </w:rPr>
              <w:t>10</w:t>
            </w:r>
            <w:r w:rsidR="00AB652E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5EAF79FD" w14:textId="3BD4127A" w:rsidR="00BF4EA7" w:rsidRPr="00364CF0" w:rsidRDefault="00F70BE7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38" w:type="dxa"/>
          </w:tcPr>
          <w:p w14:paraId="0CE7C0C5" w14:textId="552C4E65" w:rsidR="00BF4EA7" w:rsidRPr="00364CF0" w:rsidRDefault="00DD63AA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BF4EA7" w14:paraId="21FC6386" w14:textId="77777777" w:rsidTr="00BF4EA7">
        <w:tc>
          <w:tcPr>
            <w:tcW w:w="2337" w:type="dxa"/>
          </w:tcPr>
          <w:p w14:paraId="39D89DED" w14:textId="07DD2A05" w:rsidR="00364CF0" w:rsidRPr="00364CF0" w:rsidRDefault="00364CF0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 </w:t>
            </w:r>
            <w:r w:rsidR="007E5BC1">
              <w:rPr>
                <w:sz w:val="18"/>
                <w:szCs w:val="18"/>
              </w:rPr>
              <w:t xml:space="preserve">anti-RBD </w:t>
            </w:r>
            <w:r>
              <w:rPr>
                <w:sz w:val="18"/>
                <w:szCs w:val="18"/>
              </w:rPr>
              <w:t xml:space="preserve">IgA </w:t>
            </w:r>
          </w:p>
        </w:tc>
        <w:tc>
          <w:tcPr>
            <w:tcW w:w="2337" w:type="dxa"/>
          </w:tcPr>
          <w:p w14:paraId="462F5D0C" w14:textId="6BFBB1D8" w:rsidR="00BF4EA7" w:rsidRPr="00364CF0" w:rsidRDefault="00AB652E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 (Log</w:t>
            </w:r>
            <w:r w:rsidRPr="00AB652E">
              <w:rPr>
                <w:sz w:val="18"/>
                <w:szCs w:val="18"/>
                <w:vertAlign w:val="subscript"/>
              </w:rPr>
              <w:t>10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221167EF" w14:textId="51D5947B" w:rsidR="00BF4EA7" w:rsidRPr="00364CF0" w:rsidRDefault="00F70BE7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8" w:type="dxa"/>
          </w:tcPr>
          <w:p w14:paraId="10CCF5BF" w14:textId="313D78EC" w:rsidR="00BF4EA7" w:rsidRPr="00364CF0" w:rsidRDefault="00DD63AA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BF4EA7" w14:paraId="5A3E840C" w14:textId="77777777" w:rsidTr="00BF4EA7">
        <w:tc>
          <w:tcPr>
            <w:tcW w:w="2337" w:type="dxa"/>
          </w:tcPr>
          <w:p w14:paraId="6A82DBED" w14:textId="313C0E83" w:rsidR="00BF4EA7" w:rsidRPr="00364CF0" w:rsidRDefault="001A71D9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Bone marrow IgG ELISpot</w:t>
            </w:r>
          </w:p>
        </w:tc>
        <w:tc>
          <w:tcPr>
            <w:tcW w:w="2337" w:type="dxa"/>
          </w:tcPr>
          <w:p w14:paraId="393C018B" w14:textId="0B6A9F26" w:rsidR="00BF4EA7" w:rsidRPr="00364CF0" w:rsidRDefault="00AB652E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Spots/Million Cells</w:t>
            </w:r>
            <w:r w:rsidR="00B81817">
              <w:rPr>
                <w:sz w:val="18"/>
                <w:szCs w:val="18"/>
              </w:rPr>
              <w:t xml:space="preserve"> (Log</w:t>
            </w:r>
            <w:r w:rsidR="00B81817" w:rsidRPr="00AB652E">
              <w:rPr>
                <w:sz w:val="18"/>
                <w:szCs w:val="18"/>
                <w:vertAlign w:val="subscript"/>
              </w:rPr>
              <w:t>10</w:t>
            </w:r>
            <w:r w:rsidR="00B81817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4E14014B" w14:textId="09AE1B70" w:rsidR="00BF4EA7" w:rsidRPr="00364CF0" w:rsidRDefault="00F70BE7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8" w:type="dxa"/>
          </w:tcPr>
          <w:p w14:paraId="7082853E" w14:textId="1E54B3B4" w:rsidR="00BF4EA7" w:rsidRPr="00364CF0" w:rsidRDefault="00DD63AA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BF4EA7" w14:paraId="1E80F923" w14:textId="77777777" w:rsidTr="00BF4EA7">
        <w:tc>
          <w:tcPr>
            <w:tcW w:w="2337" w:type="dxa"/>
          </w:tcPr>
          <w:p w14:paraId="2B5CA930" w14:textId="62E9BF48" w:rsidR="00BF4EA7" w:rsidRPr="00364CF0" w:rsidRDefault="001A71D9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IFN-γ ELISpot</w:t>
            </w:r>
          </w:p>
        </w:tc>
        <w:tc>
          <w:tcPr>
            <w:tcW w:w="2337" w:type="dxa"/>
          </w:tcPr>
          <w:p w14:paraId="1CD34E56" w14:textId="146833F9" w:rsidR="00BF4EA7" w:rsidRPr="00364CF0" w:rsidRDefault="00AB652E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Spots/Million Cells</w:t>
            </w:r>
            <w:r w:rsidR="00B81817">
              <w:rPr>
                <w:sz w:val="18"/>
                <w:szCs w:val="18"/>
              </w:rPr>
              <w:t xml:space="preserve"> (Log</w:t>
            </w:r>
            <w:r w:rsidR="00B81817" w:rsidRPr="00AB652E">
              <w:rPr>
                <w:sz w:val="18"/>
                <w:szCs w:val="18"/>
                <w:vertAlign w:val="subscript"/>
              </w:rPr>
              <w:t>10</w:t>
            </w:r>
            <w:r w:rsidR="00B81817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7171000C" w14:textId="775F489D" w:rsidR="00BF4EA7" w:rsidRPr="00364CF0" w:rsidRDefault="00F70BE7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8" w:type="dxa"/>
          </w:tcPr>
          <w:p w14:paraId="171BBF27" w14:textId="327EBC2F" w:rsidR="00BF4EA7" w:rsidRPr="00364CF0" w:rsidRDefault="00DD63AA" w:rsidP="00E52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AC5618" w14:paraId="11261E93" w14:textId="77777777" w:rsidTr="00BF4EA7">
        <w:tc>
          <w:tcPr>
            <w:tcW w:w="2337" w:type="dxa"/>
          </w:tcPr>
          <w:p w14:paraId="4B293A8A" w14:textId="4228A718" w:rsidR="00AC5618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IL-5 ELISpot</w:t>
            </w:r>
          </w:p>
        </w:tc>
        <w:tc>
          <w:tcPr>
            <w:tcW w:w="2337" w:type="dxa"/>
          </w:tcPr>
          <w:p w14:paraId="07B7976E" w14:textId="7C9E8FA6" w:rsidR="00AC5618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Spots/Million Cells</w:t>
            </w:r>
            <w:r w:rsidR="00B81817">
              <w:rPr>
                <w:sz w:val="18"/>
                <w:szCs w:val="18"/>
              </w:rPr>
              <w:t xml:space="preserve"> (Log</w:t>
            </w:r>
            <w:r w:rsidR="00B81817" w:rsidRPr="00AB652E">
              <w:rPr>
                <w:sz w:val="18"/>
                <w:szCs w:val="18"/>
                <w:vertAlign w:val="subscript"/>
              </w:rPr>
              <w:t>10</w:t>
            </w:r>
            <w:r w:rsidR="00B81817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2938FB87" w14:textId="70FE3472" w:rsidR="00AC5618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8" w:type="dxa"/>
          </w:tcPr>
          <w:p w14:paraId="0A163619" w14:textId="632EDC18" w:rsidR="00AC5618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Minimize</w:t>
            </w:r>
          </w:p>
        </w:tc>
      </w:tr>
      <w:tr w:rsidR="00AC5618" w14:paraId="7B0CA6A8" w14:textId="77777777" w:rsidTr="00BF4EA7">
        <w:tc>
          <w:tcPr>
            <w:tcW w:w="2337" w:type="dxa"/>
          </w:tcPr>
          <w:p w14:paraId="54E26F82" w14:textId="5C0654DF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Serum </w:t>
            </w:r>
            <w:r w:rsidR="007730D1">
              <w:rPr>
                <w:sz w:val="18"/>
                <w:szCs w:val="18"/>
              </w:rPr>
              <w:t xml:space="preserve">anti-RBD </w:t>
            </w:r>
            <w:r>
              <w:rPr>
                <w:sz w:val="18"/>
                <w:szCs w:val="18"/>
              </w:rPr>
              <w:t>IgG D</w:t>
            </w:r>
            <w:r w:rsidR="00010756">
              <w:rPr>
                <w:sz w:val="18"/>
                <w:szCs w:val="18"/>
              </w:rPr>
              <w:t xml:space="preserve">ay 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2337" w:type="dxa"/>
          </w:tcPr>
          <w:p w14:paraId="0DDCA61F" w14:textId="41378D3C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 (Log</w:t>
            </w:r>
            <w:r w:rsidRPr="00AB652E">
              <w:rPr>
                <w:sz w:val="18"/>
                <w:szCs w:val="18"/>
                <w:vertAlign w:val="subscript"/>
              </w:rPr>
              <w:t>10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64DDA935" w14:textId="1D71A054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8" w:type="dxa"/>
          </w:tcPr>
          <w:p w14:paraId="26B14E11" w14:textId="43062EF7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AC5618" w14:paraId="5A64C893" w14:textId="77777777" w:rsidTr="00BF4EA7">
        <w:tc>
          <w:tcPr>
            <w:tcW w:w="2337" w:type="dxa"/>
          </w:tcPr>
          <w:p w14:paraId="2F627BFC" w14:textId="04B6AF07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Serum IgG2a/IgG1 D</w:t>
            </w:r>
            <w:r w:rsidR="00010756">
              <w:rPr>
                <w:sz w:val="18"/>
                <w:szCs w:val="18"/>
              </w:rPr>
              <w:t xml:space="preserve">ay 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2337" w:type="dxa"/>
          </w:tcPr>
          <w:p w14:paraId="703B3D3F" w14:textId="71574B85" w:rsidR="00AC5618" w:rsidRPr="00364CF0" w:rsidRDefault="00AC5618" w:rsidP="00BD44F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 of exponentiated titers</w:t>
            </w:r>
          </w:p>
        </w:tc>
        <w:tc>
          <w:tcPr>
            <w:tcW w:w="2338" w:type="dxa"/>
          </w:tcPr>
          <w:p w14:paraId="2BA99DC3" w14:textId="2B208292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8" w:type="dxa"/>
          </w:tcPr>
          <w:p w14:paraId="25160FB1" w14:textId="5F44960A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  <w:tr w:rsidR="00AC5618" w14:paraId="14FCE85D" w14:textId="77777777" w:rsidTr="00BF4EA7">
        <w:tc>
          <w:tcPr>
            <w:tcW w:w="2337" w:type="dxa"/>
          </w:tcPr>
          <w:p w14:paraId="29F38309" w14:textId="655CEB73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Serum </w:t>
            </w:r>
            <w:r w:rsidR="007730D1">
              <w:rPr>
                <w:sz w:val="18"/>
                <w:szCs w:val="18"/>
              </w:rPr>
              <w:t xml:space="preserve">anti-RBD </w:t>
            </w:r>
            <w:r>
              <w:rPr>
                <w:sz w:val="18"/>
                <w:szCs w:val="18"/>
              </w:rPr>
              <w:t>IgG D</w:t>
            </w:r>
            <w:r w:rsidR="00010756">
              <w:rPr>
                <w:sz w:val="18"/>
                <w:szCs w:val="18"/>
              </w:rPr>
              <w:t xml:space="preserve">ay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2337" w:type="dxa"/>
          </w:tcPr>
          <w:p w14:paraId="7DF6B640" w14:textId="0B32089F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Titer (Log</w:t>
            </w:r>
            <w:r w:rsidRPr="00AB652E">
              <w:rPr>
                <w:sz w:val="18"/>
                <w:szCs w:val="18"/>
                <w:vertAlign w:val="subscript"/>
              </w:rPr>
              <w:t>10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</w:tcPr>
          <w:p w14:paraId="7CBAA81D" w14:textId="7541F770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1FD04BE9" w14:textId="653CF571" w:rsidR="00AC5618" w:rsidRPr="00364CF0" w:rsidRDefault="00AC5618" w:rsidP="00AC5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Maximize</w:t>
            </w:r>
          </w:p>
        </w:tc>
      </w:tr>
    </w:tbl>
    <w:p w14:paraId="59EC45DD" w14:textId="77777777" w:rsidR="0020196D" w:rsidRDefault="0020196D" w:rsidP="00E52004"/>
    <w:p w14:paraId="54CDE25A" w14:textId="7BC8719E" w:rsidR="00B17084" w:rsidRDefault="00B17084">
      <w:pPr>
        <w:jc w:val="left"/>
      </w:pPr>
      <w:r>
        <w:br w:type="page"/>
      </w:r>
    </w:p>
    <w:p w14:paraId="7120F6B0" w14:textId="77777777" w:rsidR="00D46760" w:rsidRDefault="00D65560" w:rsidP="00D46760">
      <w:pPr>
        <w:keepNext/>
      </w:pPr>
      <w:r>
        <w:rPr>
          <w:noProof/>
        </w:rPr>
        <w:lastRenderedPageBreak/>
        <w:drawing>
          <wp:inline distT="0" distB="0" distL="0" distR="0" wp14:anchorId="2521072F" wp14:editId="4AB1C92B">
            <wp:extent cx="3200400" cy="2727716"/>
            <wp:effectExtent l="0" t="0" r="0" b="0"/>
            <wp:docPr id="1428872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72778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2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6AB0" w14:textId="172CB485" w:rsidR="00DC020F" w:rsidRPr="00D46760" w:rsidRDefault="00D46760" w:rsidP="009F028C">
      <w:r w:rsidRPr="0037647F">
        <w:rPr>
          <w:b/>
          <w:bCs/>
        </w:rPr>
        <w:t xml:space="preserve">Supplementary Figure </w:t>
      </w:r>
      <w:r w:rsidR="00740DB7">
        <w:rPr>
          <w:b/>
          <w:bCs/>
        </w:rPr>
        <w:t>S</w:t>
      </w:r>
      <w:r w:rsidRPr="0037647F">
        <w:rPr>
          <w:b/>
          <w:bCs/>
        </w:rPr>
        <w:fldChar w:fldCharType="begin"/>
      </w:r>
      <w:r w:rsidRPr="0037647F">
        <w:rPr>
          <w:b/>
          <w:bCs/>
        </w:rPr>
        <w:instrText xml:space="preserve"> SEQ Supplementary_Figure \* ARABIC </w:instrText>
      </w:r>
      <w:r w:rsidRPr="0037647F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37647F">
        <w:rPr>
          <w:b/>
          <w:bCs/>
        </w:rPr>
        <w:fldChar w:fldCharType="end"/>
      </w:r>
      <w:r w:rsidRPr="0037647F">
        <w:rPr>
          <w:b/>
          <w:bCs/>
        </w:rPr>
        <w:t>:</w:t>
      </w:r>
      <w:r>
        <w:rPr>
          <w:b/>
          <w:bCs/>
        </w:rPr>
        <w:t xml:space="preserve"> </w:t>
      </w:r>
      <w:r w:rsidR="002A2256" w:rsidRPr="002A2256">
        <w:t>No difference in</w:t>
      </w:r>
      <w:r w:rsidR="002A2256">
        <w:rPr>
          <w:b/>
          <w:bCs/>
        </w:rPr>
        <w:t xml:space="preserve"> </w:t>
      </w:r>
      <w:r>
        <w:t xml:space="preserve">Day 21 </w:t>
      </w:r>
      <w:r w:rsidR="002A2256">
        <w:t xml:space="preserve">serum anti-RBD IgG </w:t>
      </w:r>
      <w:r w:rsidR="00F81249">
        <w:t xml:space="preserve">titer </w:t>
      </w:r>
      <w:r w:rsidR="002A2256">
        <w:t>between heterologous groups.</w:t>
      </w:r>
      <w:r w:rsidR="00EF6A9C">
        <w:t xml:space="preserve"> </w:t>
      </w:r>
      <w:r w:rsidR="00665233" w:rsidRPr="00665233">
        <w:t xml:space="preserve">Data collected </w:t>
      </w:r>
      <w:r w:rsidR="000B3097">
        <w:t xml:space="preserve">from </w:t>
      </w:r>
      <w:r w:rsidR="00665233" w:rsidRPr="00011CBF">
        <w:rPr>
          <w:i/>
          <w:iCs/>
        </w:rPr>
        <w:t>n</w:t>
      </w:r>
      <w:r w:rsidR="00665233" w:rsidRPr="00665233">
        <w:t xml:space="preserve"> = 8 (4M:4F) animals on Day </w:t>
      </w:r>
      <w:r w:rsidR="00665233">
        <w:t>21</w:t>
      </w:r>
      <w:r w:rsidR="00665233" w:rsidRPr="00665233">
        <w:t xml:space="preserve"> after being vaccinated intramuscularly (i.m.) on Day 0 with the indicated vaccines. Arrow symbols demarcate </w:t>
      </w:r>
      <w:r w:rsidR="00D070CF">
        <w:t xml:space="preserve">heterologous </w:t>
      </w:r>
      <w:r w:rsidR="00665233" w:rsidRPr="00665233">
        <w:t>prime</w:t>
      </w:r>
      <w:r w:rsidR="00D070CF">
        <w:t>-</w:t>
      </w:r>
      <w:r w:rsidR="00665233" w:rsidRPr="00665233">
        <w:t>boost vaccin</w:t>
      </w:r>
      <w:r w:rsidR="00D070CF">
        <w:t>ations</w:t>
      </w:r>
      <w:r w:rsidR="001147B4">
        <w:t xml:space="preserve"> </w:t>
      </w:r>
      <w:r w:rsidR="00241ACC">
        <w:t>(Prime → Boost)</w:t>
      </w:r>
      <w:r w:rsidR="00665233" w:rsidRPr="00665233">
        <w:t xml:space="preserve">. </w:t>
      </w:r>
      <w:r w:rsidR="000678FA">
        <w:t>For heterologous groups</w:t>
      </w:r>
      <w:r w:rsidR="008910BF">
        <w:t>,</w:t>
      </w:r>
      <w:r w:rsidR="000678FA">
        <w:t xml:space="preserve"> both vaccines have been listed for clarity, but animals have only </w:t>
      </w:r>
      <w:r w:rsidR="008910BF">
        <w:t xml:space="preserve">received the boost dose at the time of serum collection. </w:t>
      </w:r>
      <w:r w:rsidR="00665233" w:rsidRPr="00665233">
        <w:t>The study was divided in half and vaccinations/harvests were staggered 1 week apart to reduce operator burden. Assays presented here were performed for all animals simultaneously using frozen serum samples.</w:t>
      </w:r>
      <w:r w:rsidR="00CB46C4">
        <w:t xml:space="preserve"> Statistical significance was determined via one-way ANOVA followed by Holm-Sidak’s correction for multiple comparisons, fixing the family</w:t>
      </w:r>
      <w:r w:rsidR="00B87802">
        <w:t>-</w:t>
      </w:r>
      <w:r w:rsidR="00CB46C4">
        <w:t xml:space="preserve">wide error rate to 0.05. </w:t>
      </w:r>
      <w:r w:rsidR="00CB46C4" w:rsidRPr="004F5C6D">
        <w:t>Horizontal bars represent the mean ± SD of log-normalized data.</w:t>
      </w:r>
    </w:p>
    <w:p w14:paraId="5DAC93F8" w14:textId="12700C3C" w:rsidR="00A35EFC" w:rsidRDefault="00A35EFC" w:rsidP="00A35EFC">
      <w:pPr>
        <w:keepNext/>
      </w:pPr>
      <w:r>
        <w:rPr>
          <w:noProof/>
        </w:rPr>
        <w:lastRenderedPageBreak/>
        <w:drawing>
          <wp:inline distT="0" distB="0" distL="0" distR="0" wp14:anchorId="135BFED5" wp14:editId="0BBB5356">
            <wp:extent cx="5363021" cy="4323715"/>
            <wp:effectExtent l="0" t="0" r="0" b="0"/>
            <wp:docPr id="309417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1760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021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9C20" w14:textId="5F6FFD44" w:rsidR="00E76BC8" w:rsidRDefault="00A35EFC" w:rsidP="00A35EFC">
      <w:r w:rsidRPr="0037647F">
        <w:rPr>
          <w:b/>
          <w:bCs/>
        </w:rPr>
        <w:t xml:space="preserve">Supplementary Figure </w:t>
      </w:r>
      <w:r w:rsidR="00740DB7">
        <w:rPr>
          <w:b/>
          <w:bCs/>
        </w:rPr>
        <w:t>S</w:t>
      </w:r>
      <w:r w:rsidRPr="0037647F">
        <w:rPr>
          <w:b/>
          <w:bCs/>
        </w:rPr>
        <w:fldChar w:fldCharType="begin"/>
      </w:r>
      <w:r w:rsidRPr="0037647F">
        <w:rPr>
          <w:b/>
          <w:bCs/>
        </w:rPr>
        <w:instrText xml:space="preserve"> SEQ Supplementary_Figure \* ARABIC </w:instrText>
      </w:r>
      <w:r w:rsidRPr="0037647F">
        <w:rPr>
          <w:b/>
          <w:bCs/>
        </w:rPr>
        <w:fldChar w:fldCharType="separate"/>
      </w:r>
      <w:r w:rsidR="00D46760">
        <w:rPr>
          <w:b/>
          <w:bCs/>
          <w:noProof/>
        </w:rPr>
        <w:t>2</w:t>
      </w:r>
      <w:r w:rsidRPr="0037647F">
        <w:rPr>
          <w:b/>
          <w:bCs/>
        </w:rPr>
        <w:fldChar w:fldCharType="end"/>
      </w:r>
      <w:r w:rsidRPr="0037647F">
        <w:rPr>
          <w:b/>
          <w:bCs/>
        </w:rPr>
        <w:t>:</w:t>
      </w:r>
      <w:r>
        <w:t xml:space="preserve"> </w:t>
      </w:r>
      <w:r w:rsidR="0059581D">
        <w:t>Lyophilization process does not impact cellular response</w:t>
      </w:r>
      <w:r w:rsidR="00860A2D">
        <w:t>.</w:t>
      </w:r>
      <w:r w:rsidR="009A78D4">
        <w:t xml:space="preserve"> </w:t>
      </w:r>
      <w:r w:rsidR="00E637AB" w:rsidRPr="004F5C6D">
        <w:t>(A) Bone marrow-derived anti-full-length-wt-</w:t>
      </w:r>
      <w:r w:rsidR="00BF38BE">
        <w:t>S</w:t>
      </w:r>
      <w:r w:rsidR="00E637AB" w:rsidRPr="004F5C6D">
        <w:t>pike IgG antibody-secreting cells (ASC) ELISpot. T cell ELISpot measurement of splenocytes secreting (B) IFN-γ</w:t>
      </w:r>
      <w:r w:rsidR="00E637AB">
        <w:t xml:space="preserve"> or</w:t>
      </w:r>
      <w:r w:rsidR="00E637AB" w:rsidRPr="004F5C6D">
        <w:t xml:space="preserve"> (C) IL-5</w:t>
      </w:r>
      <w:r w:rsidR="00E637AB">
        <w:t xml:space="preserve"> </w:t>
      </w:r>
      <w:r w:rsidR="00E637AB" w:rsidRPr="004F5C6D">
        <w:t xml:space="preserve">upon stimulation with a SARS-CoV-2 peptide pool. </w:t>
      </w:r>
      <w:r w:rsidR="009A78D4">
        <w:t xml:space="preserve">Data collected </w:t>
      </w:r>
      <w:r w:rsidR="003254C9">
        <w:t xml:space="preserve">from </w:t>
      </w:r>
      <w:r w:rsidR="009A78D4" w:rsidRPr="00011CBF">
        <w:rPr>
          <w:i/>
          <w:iCs/>
        </w:rPr>
        <w:t>n</w:t>
      </w:r>
      <w:r w:rsidR="009A78D4" w:rsidRPr="004C7397">
        <w:t xml:space="preserve"> = 8 (4M:4F) animals on Day 42 after being vaccinated twice intramuscularly</w:t>
      </w:r>
      <w:r w:rsidR="009A78D4">
        <w:t xml:space="preserve"> (i.m.) on </w:t>
      </w:r>
      <w:r w:rsidR="009A78D4" w:rsidRPr="004C7397">
        <w:t>Day</w:t>
      </w:r>
      <w:r w:rsidR="00B10870">
        <w:t>s</w:t>
      </w:r>
      <w:r w:rsidR="009A78D4" w:rsidRPr="004C7397">
        <w:t xml:space="preserve"> 0 and 21 </w:t>
      </w:r>
      <w:r w:rsidR="009A78D4">
        <w:t xml:space="preserve">with the indicated vaccines in the indicated order. Arrow symbols demarcate </w:t>
      </w:r>
      <w:r w:rsidR="00480F12">
        <w:t xml:space="preserve">heterologous </w:t>
      </w:r>
      <w:r w:rsidR="009A78D4">
        <w:t>prime</w:t>
      </w:r>
      <w:r w:rsidR="00480F12">
        <w:t>-</w:t>
      </w:r>
      <w:r w:rsidR="009A78D4">
        <w:t>boost vaccin</w:t>
      </w:r>
      <w:r w:rsidR="00480F12">
        <w:t>ation</w:t>
      </w:r>
      <w:r w:rsidR="009A78D4">
        <w:t>s</w:t>
      </w:r>
      <w:r w:rsidR="00241ACC">
        <w:t xml:space="preserve"> (Prime → Boost)</w:t>
      </w:r>
      <w:r w:rsidR="009A78D4">
        <w:t xml:space="preserve">. </w:t>
      </w:r>
      <w:r w:rsidR="009A78D4" w:rsidRPr="005260A4">
        <w:t>The study was divided in half and vaccinations/harvests were staggered 1 week apart to reduce operator burden.</w:t>
      </w:r>
      <w:r w:rsidR="009A78D4">
        <w:t xml:space="preserve"> </w:t>
      </w:r>
      <w:r w:rsidR="00E3164E" w:rsidRPr="004F5C6D">
        <w:t>Assays presented here were performed at the time of tissue harvest.</w:t>
      </w:r>
      <w:r w:rsidR="00E3164E">
        <w:t xml:space="preserve"> </w:t>
      </w:r>
      <w:r w:rsidR="00E3164E" w:rsidRPr="004F5C6D">
        <w:t xml:space="preserve">Horizontal bars represent the mean ± SD of the log-transformed data. Statistical significance </w:t>
      </w:r>
      <w:r w:rsidR="00E3164E">
        <w:t xml:space="preserve">was </w:t>
      </w:r>
      <w:r w:rsidR="00E3164E" w:rsidRPr="004F5C6D">
        <w:t xml:space="preserve">determined via </w:t>
      </w:r>
      <w:r w:rsidR="00E3164E">
        <w:t>two</w:t>
      </w:r>
      <w:r w:rsidR="00E3164E" w:rsidRPr="004F5C6D">
        <w:t>-way ANOVA followed by Holm-Sidak’s correction for multiple comparisons</w:t>
      </w:r>
      <w:r w:rsidR="00E3164E">
        <w:t xml:space="preserve"> fixing the family</w:t>
      </w:r>
      <w:r w:rsidR="005F2050">
        <w:t>-</w:t>
      </w:r>
      <w:r w:rsidR="00E3164E">
        <w:t>wide error rate to 0.05</w:t>
      </w:r>
      <w:r w:rsidR="00E3164E" w:rsidRPr="004F5C6D">
        <w:t xml:space="preserve">. </w:t>
      </w:r>
      <w:r w:rsidR="00236D3E">
        <w:t xml:space="preserve">Note: </w:t>
      </w:r>
      <w:r w:rsidR="00CB00FA">
        <w:t>s</w:t>
      </w:r>
      <w:r w:rsidR="00236D3E">
        <w:t>tudy performed simultaneously with Figure</w:t>
      </w:r>
      <w:r w:rsidR="00CB00FA">
        <w:t>s</w:t>
      </w:r>
      <w:r w:rsidR="00236D3E">
        <w:t xml:space="preserve"> 3 </w:t>
      </w:r>
      <w:r w:rsidR="005F2050">
        <w:t>and</w:t>
      </w:r>
      <w:r w:rsidR="00236D3E">
        <w:t xml:space="preserve"> 4</w:t>
      </w:r>
      <w:r w:rsidR="005F2050">
        <w:t>;</w:t>
      </w:r>
      <w:r w:rsidR="00236D3E">
        <w:t xml:space="preserve"> </w:t>
      </w:r>
      <w:r w:rsidR="002C14F5">
        <w:t>l</w:t>
      </w:r>
      <w:r w:rsidR="005F4DAD">
        <w:t>iquid</w:t>
      </w:r>
      <w:r w:rsidR="00236D3E">
        <w:t xml:space="preserve"> material data </w:t>
      </w:r>
      <w:r w:rsidR="002C14F5">
        <w:t xml:space="preserve">are </w:t>
      </w:r>
      <w:r w:rsidR="00236D3E">
        <w:t>presented in both figures.</w:t>
      </w:r>
    </w:p>
    <w:p w14:paraId="5651A055" w14:textId="77777777" w:rsidR="00DC1208" w:rsidRDefault="00DC1208" w:rsidP="00A35EFC"/>
    <w:p w14:paraId="2A950F82" w14:textId="77777777" w:rsidR="00DC1208" w:rsidRDefault="00DC1208" w:rsidP="00A35EFC"/>
    <w:p w14:paraId="789228C3" w14:textId="77777777" w:rsidR="00781095" w:rsidRDefault="00781095" w:rsidP="00781095">
      <w:pPr>
        <w:keepNext/>
      </w:pPr>
      <w:r>
        <w:rPr>
          <w:noProof/>
        </w:rPr>
        <w:lastRenderedPageBreak/>
        <w:drawing>
          <wp:inline distT="0" distB="0" distL="0" distR="0" wp14:anchorId="2AB025CA" wp14:editId="136B9693">
            <wp:extent cx="5943599" cy="6253919"/>
            <wp:effectExtent l="0" t="0" r="0" b="0"/>
            <wp:docPr id="1768404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04794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625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A977" w14:textId="5CEDFA91" w:rsidR="00E849D6" w:rsidRDefault="00781095" w:rsidP="00781095">
      <w:r w:rsidRPr="2613066C">
        <w:rPr>
          <w:b/>
          <w:bCs/>
        </w:rPr>
        <w:t xml:space="preserve">Supplementary Figure </w:t>
      </w:r>
      <w:r w:rsidR="00740DB7">
        <w:rPr>
          <w:b/>
          <w:bCs/>
        </w:rPr>
        <w:t>S</w:t>
      </w:r>
      <w:r w:rsidRPr="2613066C">
        <w:rPr>
          <w:b/>
          <w:bCs/>
        </w:rPr>
        <w:fldChar w:fldCharType="begin"/>
      </w:r>
      <w:r w:rsidRPr="2613066C">
        <w:rPr>
          <w:b/>
          <w:bCs/>
        </w:rPr>
        <w:instrText xml:space="preserve"> SEQ Supplementary_Figure \* ARABIC </w:instrText>
      </w:r>
      <w:r w:rsidRPr="2613066C">
        <w:rPr>
          <w:b/>
          <w:bCs/>
        </w:rPr>
        <w:fldChar w:fldCharType="separate"/>
      </w:r>
      <w:r w:rsidR="00D46760" w:rsidRPr="2613066C">
        <w:rPr>
          <w:b/>
          <w:bCs/>
          <w:noProof/>
        </w:rPr>
        <w:t>3</w:t>
      </w:r>
      <w:r w:rsidRPr="2613066C">
        <w:rPr>
          <w:b/>
          <w:bCs/>
        </w:rPr>
        <w:fldChar w:fldCharType="end"/>
      </w:r>
      <w:r w:rsidR="00492246" w:rsidRPr="2613066C">
        <w:rPr>
          <w:b/>
          <w:bCs/>
        </w:rPr>
        <w:t>:</w:t>
      </w:r>
      <w:r w:rsidR="00492246">
        <w:t xml:space="preserve"> </w:t>
      </w:r>
      <w:r w:rsidR="00C347E6">
        <w:t xml:space="preserve">Lyophilized </w:t>
      </w:r>
      <w:r w:rsidR="00A05501">
        <w:t>RBD-</w:t>
      </w:r>
      <w:r w:rsidR="00C347E6">
        <w:t xml:space="preserve">3M-052-Alum </w:t>
      </w:r>
      <w:r w:rsidR="004C5B62">
        <w:t xml:space="preserve">vaccine </w:t>
      </w:r>
      <w:r w:rsidR="008162EF">
        <w:t xml:space="preserve">maintains physical stability </w:t>
      </w:r>
      <w:r w:rsidR="00ED5D54">
        <w:t xml:space="preserve">for </w:t>
      </w:r>
      <w:r w:rsidR="00C779C5">
        <w:t>at least</w:t>
      </w:r>
      <w:r w:rsidR="00ED5D54">
        <w:t xml:space="preserve"> </w:t>
      </w:r>
      <w:r w:rsidR="00A05501">
        <w:t xml:space="preserve">1 </w:t>
      </w:r>
      <w:r w:rsidR="00ED5D54">
        <w:t>month at 4 °C.</w:t>
      </w:r>
      <w:r w:rsidR="00C347E6">
        <w:t xml:space="preserve"> </w:t>
      </w:r>
      <w:r w:rsidR="00CD3B5D">
        <w:t>(A) Change</w:t>
      </w:r>
      <w:r w:rsidR="00DB01DB">
        <w:t xml:space="preserve"> (Δ)</w:t>
      </w:r>
      <w:r w:rsidR="00CD3B5D">
        <w:t xml:space="preserve"> in particle size post</w:t>
      </w:r>
      <w:r w:rsidR="00597C63">
        <w:t>-</w:t>
      </w:r>
      <w:r w:rsidR="00CD3B5D">
        <w:t>lyophilization</w:t>
      </w:r>
      <w:r w:rsidR="006511AD">
        <w:t xml:space="preserve">, (B) </w:t>
      </w:r>
      <w:r w:rsidR="00597C63">
        <w:t>c</w:t>
      </w:r>
      <w:r w:rsidR="006511AD">
        <w:t>hange in particle size of lyophilized product after storage at the indicated con</w:t>
      </w:r>
      <w:r w:rsidR="00B13631">
        <w:t xml:space="preserve">ditions, (C) </w:t>
      </w:r>
      <w:r w:rsidR="00597C63">
        <w:t>c</w:t>
      </w:r>
      <w:r w:rsidR="00B13631">
        <w:t>hange in melting temperature post</w:t>
      </w:r>
      <w:r w:rsidR="00597C63">
        <w:t>-</w:t>
      </w:r>
      <w:r w:rsidR="00B13631">
        <w:t xml:space="preserve">lyophilization, </w:t>
      </w:r>
      <w:r w:rsidR="00597C63">
        <w:t xml:space="preserve">and </w:t>
      </w:r>
      <w:r w:rsidR="00B13631">
        <w:t xml:space="preserve">(D) </w:t>
      </w:r>
      <w:r w:rsidR="00597C63">
        <w:t>c</w:t>
      </w:r>
      <w:r w:rsidR="00B13631">
        <w:t>hange in melting temperature of lyophilized product after storage at the indicated conditions</w:t>
      </w:r>
      <w:r w:rsidR="005B3CEA">
        <w:t xml:space="preserve"> (statistical significance </w:t>
      </w:r>
      <w:r w:rsidR="008065F3">
        <w:t xml:space="preserve">only calculated to </w:t>
      </w:r>
      <w:r w:rsidR="003473C6">
        <w:t>P</w:t>
      </w:r>
      <w:r w:rsidR="008065F3">
        <w:t>ost-</w:t>
      </w:r>
      <w:r w:rsidR="003473C6">
        <w:t>L</w:t>
      </w:r>
      <w:r w:rsidR="008065F3">
        <w:t>yophilization sample)</w:t>
      </w:r>
      <w:r w:rsidR="00D249E5">
        <w:t xml:space="preserve">. </w:t>
      </w:r>
      <w:r w:rsidR="00F76B06">
        <w:t>Changes are given relative to the mean of the left most bar</w:t>
      </w:r>
      <w:r w:rsidR="00F461BD">
        <w:t>, propagating</w:t>
      </w:r>
      <w:r w:rsidR="00FC7E2B">
        <w:t xml:space="preserve"> </w:t>
      </w:r>
      <w:r w:rsidR="00F461BD">
        <w:t>measurement error appropriately.</w:t>
      </w:r>
      <w:r w:rsidR="00D373F8">
        <w:t xml:space="preserve"> </w:t>
      </w:r>
      <w:r w:rsidR="00EA2B16">
        <w:t>Horizontal</w:t>
      </w:r>
      <w:r w:rsidR="00D373F8">
        <w:t xml:space="preserve"> bars represent the mean </w:t>
      </w:r>
      <w:r w:rsidR="00D373F8" w:rsidRPr="004F5C6D">
        <w:t>± SD</w:t>
      </w:r>
      <w:r w:rsidR="00D373F8">
        <w:t xml:space="preserve"> of </w:t>
      </w:r>
      <w:r w:rsidR="00D373F8" w:rsidRPr="0094329E">
        <w:rPr>
          <w:i/>
          <w:iCs/>
        </w:rPr>
        <w:t>n</w:t>
      </w:r>
      <w:r w:rsidR="00EA2B16">
        <w:t xml:space="preserve"> = 3 replicates for each measurement. </w:t>
      </w:r>
      <w:r w:rsidR="00EA2B16" w:rsidRPr="00EA2B16">
        <w:t xml:space="preserve">Statistical significance was determined via </w:t>
      </w:r>
      <w:r w:rsidR="00EA2B16">
        <w:t>one</w:t>
      </w:r>
      <w:r w:rsidR="00EA2B16" w:rsidRPr="00EA2B16">
        <w:t>-way ANOVA followed by Holm-Sidak’s correction for multiple comparisons fixing the family-wide error rate to 0.05.</w:t>
      </w:r>
      <w:r w:rsidR="00986240">
        <w:t xml:space="preserve"> Note: in (C) and (D), error bars are plotted for all samples but may not be visible. </w:t>
      </w:r>
    </w:p>
    <w:sectPr w:rsidR="00E8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77"/>
    <w:rsid w:val="00003E3A"/>
    <w:rsid w:val="00010756"/>
    <w:rsid w:val="00011CBF"/>
    <w:rsid w:val="00017AD3"/>
    <w:rsid w:val="000252F5"/>
    <w:rsid w:val="00032041"/>
    <w:rsid w:val="00050291"/>
    <w:rsid w:val="000678FA"/>
    <w:rsid w:val="000B3097"/>
    <w:rsid w:val="001147B4"/>
    <w:rsid w:val="00116161"/>
    <w:rsid w:val="0011667E"/>
    <w:rsid w:val="001926F9"/>
    <w:rsid w:val="00194967"/>
    <w:rsid w:val="001A71D9"/>
    <w:rsid w:val="0020196D"/>
    <w:rsid w:val="00236D3E"/>
    <w:rsid w:val="00241ACC"/>
    <w:rsid w:val="002A2256"/>
    <w:rsid w:val="002C0DD9"/>
    <w:rsid w:val="002C14F5"/>
    <w:rsid w:val="002D4FC8"/>
    <w:rsid w:val="002E3DDB"/>
    <w:rsid w:val="003254C9"/>
    <w:rsid w:val="00327EF6"/>
    <w:rsid w:val="003318CB"/>
    <w:rsid w:val="00333F2D"/>
    <w:rsid w:val="003473C6"/>
    <w:rsid w:val="00354B8E"/>
    <w:rsid w:val="00364CF0"/>
    <w:rsid w:val="00365406"/>
    <w:rsid w:val="0036715E"/>
    <w:rsid w:val="00371694"/>
    <w:rsid w:val="0037647F"/>
    <w:rsid w:val="003E6021"/>
    <w:rsid w:val="003F0E1B"/>
    <w:rsid w:val="00401F64"/>
    <w:rsid w:val="004025D1"/>
    <w:rsid w:val="00422834"/>
    <w:rsid w:val="0044412C"/>
    <w:rsid w:val="00480F12"/>
    <w:rsid w:val="00492246"/>
    <w:rsid w:val="004A6ED8"/>
    <w:rsid w:val="004C2E59"/>
    <w:rsid w:val="004C5B62"/>
    <w:rsid w:val="00592DC2"/>
    <w:rsid w:val="0059581D"/>
    <w:rsid w:val="00597C63"/>
    <w:rsid w:val="005B3CEA"/>
    <w:rsid w:val="005F0C33"/>
    <w:rsid w:val="005F2050"/>
    <w:rsid w:val="005F4DAD"/>
    <w:rsid w:val="006223A9"/>
    <w:rsid w:val="006511AD"/>
    <w:rsid w:val="006571C2"/>
    <w:rsid w:val="00665233"/>
    <w:rsid w:val="006A69F5"/>
    <w:rsid w:val="006F019B"/>
    <w:rsid w:val="006F2C0D"/>
    <w:rsid w:val="00710ED7"/>
    <w:rsid w:val="00713ADE"/>
    <w:rsid w:val="00740DB7"/>
    <w:rsid w:val="007730D1"/>
    <w:rsid w:val="00781095"/>
    <w:rsid w:val="007920BA"/>
    <w:rsid w:val="007E5BC1"/>
    <w:rsid w:val="008065F3"/>
    <w:rsid w:val="00810DE1"/>
    <w:rsid w:val="008162EF"/>
    <w:rsid w:val="0082092C"/>
    <w:rsid w:val="00860A2D"/>
    <w:rsid w:val="008910BF"/>
    <w:rsid w:val="008F594D"/>
    <w:rsid w:val="0094329E"/>
    <w:rsid w:val="00982477"/>
    <w:rsid w:val="00986240"/>
    <w:rsid w:val="009A78D4"/>
    <w:rsid w:val="009F028C"/>
    <w:rsid w:val="00A05501"/>
    <w:rsid w:val="00A25F09"/>
    <w:rsid w:val="00A35EFC"/>
    <w:rsid w:val="00A36CC3"/>
    <w:rsid w:val="00A501CE"/>
    <w:rsid w:val="00A65156"/>
    <w:rsid w:val="00A72703"/>
    <w:rsid w:val="00AA228D"/>
    <w:rsid w:val="00AB0FD0"/>
    <w:rsid w:val="00AB652E"/>
    <w:rsid w:val="00AC5618"/>
    <w:rsid w:val="00B014D7"/>
    <w:rsid w:val="00B10870"/>
    <w:rsid w:val="00B13631"/>
    <w:rsid w:val="00B17084"/>
    <w:rsid w:val="00B21CC9"/>
    <w:rsid w:val="00B81817"/>
    <w:rsid w:val="00B87802"/>
    <w:rsid w:val="00BD2A4E"/>
    <w:rsid w:val="00BD44FB"/>
    <w:rsid w:val="00BF38BE"/>
    <w:rsid w:val="00BF4EA7"/>
    <w:rsid w:val="00C01907"/>
    <w:rsid w:val="00C13695"/>
    <w:rsid w:val="00C347E6"/>
    <w:rsid w:val="00C47407"/>
    <w:rsid w:val="00C61D47"/>
    <w:rsid w:val="00C779C5"/>
    <w:rsid w:val="00C9028A"/>
    <w:rsid w:val="00CB00FA"/>
    <w:rsid w:val="00CB46C4"/>
    <w:rsid w:val="00CD3B5D"/>
    <w:rsid w:val="00CE625E"/>
    <w:rsid w:val="00D070CF"/>
    <w:rsid w:val="00D249E5"/>
    <w:rsid w:val="00D373F8"/>
    <w:rsid w:val="00D41295"/>
    <w:rsid w:val="00D46760"/>
    <w:rsid w:val="00D64CA4"/>
    <w:rsid w:val="00D65560"/>
    <w:rsid w:val="00D74DE1"/>
    <w:rsid w:val="00D777FF"/>
    <w:rsid w:val="00DB01DB"/>
    <w:rsid w:val="00DC020F"/>
    <w:rsid w:val="00DC1208"/>
    <w:rsid w:val="00DC2C0A"/>
    <w:rsid w:val="00DC3153"/>
    <w:rsid w:val="00DD63AA"/>
    <w:rsid w:val="00E075B1"/>
    <w:rsid w:val="00E3164E"/>
    <w:rsid w:val="00E41C12"/>
    <w:rsid w:val="00E52004"/>
    <w:rsid w:val="00E637AB"/>
    <w:rsid w:val="00E76BC8"/>
    <w:rsid w:val="00E849D6"/>
    <w:rsid w:val="00EA2B16"/>
    <w:rsid w:val="00EA55E0"/>
    <w:rsid w:val="00ED5D54"/>
    <w:rsid w:val="00EF26AE"/>
    <w:rsid w:val="00EF4322"/>
    <w:rsid w:val="00EF6A9C"/>
    <w:rsid w:val="00F0244B"/>
    <w:rsid w:val="00F14266"/>
    <w:rsid w:val="00F1486A"/>
    <w:rsid w:val="00F461BD"/>
    <w:rsid w:val="00F708B1"/>
    <w:rsid w:val="00F70BE7"/>
    <w:rsid w:val="00F76B06"/>
    <w:rsid w:val="00F81249"/>
    <w:rsid w:val="00FA1CA8"/>
    <w:rsid w:val="00FC7E2B"/>
    <w:rsid w:val="00FD01E4"/>
    <w:rsid w:val="00FE5D6C"/>
    <w:rsid w:val="2613066C"/>
    <w:rsid w:val="362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3AF6"/>
  <w15:chartTrackingRefBased/>
  <w15:docId w15:val="{4D05D75D-4A6D-4B02-A947-762B09A8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D1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1F64"/>
    <w:pPr>
      <w:keepNext/>
      <w:keepLines/>
      <w:spacing w:before="240"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28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91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35E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F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4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1F64"/>
    <w:rPr>
      <w:rFonts w:ascii="Arial" w:eastAsiaTheme="majorEastAsia" w:hAnsi="Arial" w:cstheme="majorBidi"/>
      <w:b/>
      <w:caps/>
      <w:szCs w:val="32"/>
    </w:rPr>
  </w:style>
  <w:style w:type="paragraph" w:styleId="NoSpacing">
    <w:name w:val="No Spacing"/>
    <w:uiPriority w:val="1"/>
    <w:qFormat/>
    <w:rsid w:val="0040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2283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0291"/>
    <w:rPr>
      <w:rFonts w:ascii="Arial" w:eastAsiaTheme="majorEastAsia" w:hAnsi="Arial" w:cstheme="majorBidi"/>
      <w:szCs w:val="24"/>
      <w:u w:val="single"/>
    </w:rPr>
  </w:style>
  <w:style w:type="paragraph" w:styleId="Revision">
    <w:name w:val="Revision"/>
    <w:hidden/>
    <w:uiPriority w:val="99"/>
    <w:semiHidden/>
    <w:rsid w:val="00B014D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B318FE589A341B8FA1551E3D83979" ma:contentTypeVersion="14" ma:contentTypeDescription="Create a new document." ma:contentTypeScope="" ma:versionID="55685aa5d433410df282ba9ebf5efa1e">
  <xsd:schema xmlns:xsd="http://www.w3.org/2001/XMLSchema" xmlns:xs="http://www.w3.org/2001/XMLSchema" xmlns:p="http://schemas.microsoft.com/office/2006/metadata/properties" xmlns:ns2="572503e9-26bc-4b1f-8cf4-20ce0c355178" xmlns:ns3="c611f0be-3142-4630-a7c2-756eb8a81f17" targetNamespace="http://schemas.microsoft.com/office/2006/metadata/properties" ma:root="true" ma:fieldsID="2cece6a139e485b63ff16c5b54c1df64" ns2:_="" ns3:_="">
    <xsd:import namespace="572503e9-26bc-4b1f-8cf4-20ce0c355178"/>
    <xsd:import namespace="c611f0be-3142-4630-a7c2-756eb8a81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03e9-26bc-4b1f-8cf4-20ce0c3551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89433e-dace-4810-9c01-ceae8dbaacb4}" ma:internalName="TaxCatchAll" ma:showField="CatchAllData" ma:web="572503e9-26bc-4b1f-8cf4-20ce0c355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f0be-3142-4630-a7c2-756eb8a8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b4f895-909b-4b81-8546-3241e7efb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11f0be-3142-4630-a7c2-756eb8a81f17">
      <Terms xmlns="http://schemas.microsoft.com/office/infopath/2007/PartnerControls"/>
    </lcf76f155ced4ddcb4097134ff3c332f>
    <TaxCatchAll xmlns="572503e9-26bc-4b1f-8cf4-20ce0c355178" xsi:nil="true"/>
  </documentManagement>
</p:properties>
</file>

<file path=customXml/itemProps1.xml><?xml version="1.0" encoding="utf-8"?>
<ds:datastoreItem xmlns:ds="http://schemas.openxmlformats.org/officeDocument/2006/customXml" ds:itemID="{312882FB-627C-4BBE-B8CA-1346E87C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503e9-26bc-4b1f-8cf4-20ce0c355178"/>
    <ds:schemaRef ds:uri="c611f0be-3142-4630-a7c2-756eb8a81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6F28C-0FF2-4730-92B9-B67579C5B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0F85C-B021-480D-A7CE-FF22C663D159}">
  <ds:schemaRefs>
    <ds:schemaRef ds:uri="http://schemas.microsoft.com/office/2006/metadata/properties"/>
    <ds:schemaRef ds:uri="http://schemas.microsoft.com/office/infopath/2007/PartnerControls"/>
    <ds:schemaRef ds:uri="c611f0be-3142-4630-a7c2-756eb8a81f17"/>
    <ds:schemaRef ds:uri="572503e9-26bc-4b1f-8cf4-20ce0c355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Lykins</dc:creator>
  <cp:keywords/>
  <dc:description/>
  <cp:lastModifiedBy>Valerie Soza</cp:lastModifiedBy>
  <cp:revision>6</cp:revision>
  <dcterms:created xsi:type="dcterms:W3CDTF">2024-12-04T20:21:00Z</dcterms:created>
  <dcterms:modified xsi:type="dcterms:W3CDTF">2024-12-04T20:23:00Z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0x010100464B318FE589A341B8FA1551E3D83979</vt:lpwstr>
  </property>
  <property fmtid="{D5CDD505-2E9C-101B-9397-08002B2CF9AE}" pid="3" name="MediaServiceImageTags">
    <vt:lpwstr/>
  </property>
</Properties>
</file>