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3F55D50D" w:rsidR="00EA3D3C" w:rsidRPr="00994A3D" w:rsidRDefault="00CA1BBB" w:rsidP="0001436A">
      <w:pPr>
        <w:pStyle w:val="1"/>
      </w:pPr>
      <w:r>
        <w:t>Co chronometry</w:t>
      </w:r>
      <w:bookmarkStart w:id="0" w:name="_GoBack"/>
      <w:bookmarkEnd w:id="0"/>
    </w:p>
    <w:p w14:paraId="3663815C" w14:textId="5E02DFC1" w:rsidR="00CA1BBB" w:rsidRDefault="00CA1BBB" w:rsidP="00CA1BBB">
      <w:pPr>
        <w:rPr>
          <w:rFonts w:eastAsia="바탕" w:cstheme="minorHAnsi" w:hint="eastAsia"/>
          <w:szCs w:val="24"/>
          <w:lang w:eastAsia="ko-KR"/>
        </w:rPr>
      </w:pPr>
      <w:r w:rsidRPr="00FD0B1A">
        <w:rPr>
          <w:rFonts w:eastAsia="바탕" w:cstheme="minorHAnsi"/>
          <w:szCs w:val="24"/>
          <w:lang w:eastAsia="ko-KR"/>
        </w:rPr>
        <w:t xml:space="preserve">The Be chronometry provides highly reliable age estimates but is limited to ages up to ~10 Ma owing to its relatively short half-life (15 My) (Frank et al., 2002). To address this limitation, the Co chronometry is commonly used. The empirical </w:t>
      </w:r>
      <w:r>
        <w:rPr>
          <w:rFonts w:eastAsia="바탕" w:cstheme="minorHAnsi"/>
          <w:szCs w:val="24"/>
          <w:lang w:eastAsia="ko-KR"/>
        </w:rPr>
        <w:t>equation</w:t>
      </w:r>
      <w:r w:rsidRPr="00FD0B1A">
        <w:rPr>
          <w:rFonts w:eastAsia="바탕" w:cstheme="minorHAnsi"/>
          <w:szCs w:val="24"/>
          <w:lang w:eastAsia="ko-KR"/>
        </w:rPr>
        <w:t xml:space="preserve"> for Co age dating proposed in previous studies is based on correlations with </w:t>
      </w:r>
      <w:r w:rsidRPr="00D631F5">
        <w:rPr>
          <w:rFonts w:eastAsia="바탕" w:cstheme="minorHAnsi"/>
          <w:szCs w:val="24"/>
          <w:vertAlign w:val="superscript"/>
          <w:lang w:eastAsia="ko-KR"/>
        </w:rPr>
        <w:t>10</w:t>
      </w:r>
      <w:r w:rsidRPr="00FD0B1A">
        <w:rPr>
          <w:rFonts w:eastAsia="바탕" w:cstheme="minorHAnsi"/>
          <w:szCs w:val="24"/>
          <w:lang w:eastAsia="ko-KR"/>
        </w:rPr>
        <w:t>Be dating results (</w:t>
      </w:r>
      <w:proofErr w:type="spellStart"/>
      <w:r w:rsidRPr="00FD0B1A">
        <w:rPr>
          <w:rFonts w:eastAsia="바탕" w:cstheme="minorHAnsi"/>
          <w:szCs w:val="24"/>
          <w:lang w:eastAsia="ko-KR"/>
        </w:rPr>
        <w:t>Puteanus</w:t>
      </w:r>
      <w:proofErr w:type="spellEnd"/>
      <w:r w:rsidRPr="00FD0B1A">
        <w:rPr>
          <w:rFonts w:eastAsia="바탕" w:cstheme="minorHAnsi"/>
          <w:szCs w:val="24"/>
          <w:lang w:eastAsia="ko-KR"/>
        </w:rPr>
        <w:t xml:space="preserve"> and Halbach, 1988). However, the </w:t>
      </w:r>
      <w:r w:rsidRPr="00F46303">
        <w:rPr>
          <w:rFonts w:eastAsia="바탕" w:cstheme="minorHAnsi"/>
          <w:szCs w:val="24"/>
          <w:vertAlign w:val="superscript"/>
          <w:lang w:eastAsia="ko-KR"/>
        </w:rPr>
        <w:t>10</w:t>
      </w:r>
      <w:r w:rsidRPr="00FD0B1A">
        <w:rPr>
          <w:rFonts w:eastAsia="바탕" w:cstheme="minorHAnsi"/>
          <w:szCs w:val="24"/>
          <w:lang w:eastAsia="ko-KR"/>
        </w:rPr>
        <w:t>Be/</w:t>
      </w:r>
      <w:r w:rsidRPr="00F46303">
        <w:rPr>
          <w:rFonts w:eastAsia="바탕" w:cstheme="minorHAnsi"/>
          <w:szCs w:val="24"/>
          <w:vertAlign w:val="superscript"/>
          <w:lang w:eastAsia="ko-KR"/>
        </w:rPr>
        <w:t>9</w:t>
      </w:r>
      <w:r w:rsidRPr="00FD0B1A">
        <w:rPr>
          <w:rFonts w:eastAsia="바탕" w:cstheme="minorHAnsi"/>
          <w:szCs w:val="24"/>
          <w:lang w:eastAsia="ko-KR"/>
        </w:rPr>
        <w:t xml:space="preserve">Be ratio, which is controlled by </w:t>
      </w:r>
      <w:r w:rsidRPr="00F46303">
        <w:rPr>
          <w:rFonts w:eastAsia="바탕" w:cstheme="minorHAnsi"/>
          <w:szCs w:val="24"/>
          <w:vertAlign w:val="superscript"/>
          <w:lang w:eastAsia="ko-KR"/>
        </w:rPr>
        <w:t>10</w:t>
      </w:r>
      <w:r w:rsidRPr="00FD0B1A">
        <w:rPr>
          <w:rFonts w:eastAsia="바탕" w:cstheme="minorHAnsi"/>
          <w:szCs w:val="24"/>
          <w:lang w:eastAsia="ko-KR"/>
        </w:rPr>
        <w:t xml:space="preserve">Be, varies depending on the water mass (Frank et al., 2002; Ku et al., 1990); thus, it is necessary to verify whether the ratio can be applied to the study area of interest. In this study, the </w:t>
      </w:r>
      <w:r w:rsidRPr="00352C27">
        <w:rPr>
          <w:rFonts w:eastAsia="바탕" w:cstheme="minorHAnsi"/>
          <w:szCs w:val="24"/>
          <w:vertAlign w:val="superscript"/>
          <w:lang w:eastAsia="ko-KR"/>
        </w:rPr>
        <w:t>10</w:t>
      </w:r>
      <w:r w:rsidRPr="00FD0B1A">
        <w:rPr>
          <w:rFonts w:eastAsia="바탕" w:cstheme="minorHAnsi"/>
          <w:szCs w:val="24"/>
          <w:lang w:eastAsia="ko-KR"/>
        </w:rPr>
        <w:t>Be ages of Fe-Mn crusts from a nearby seamount (KC-8) were obtained and a</w:t>
      </w:r>
      <w:r>
        <w:rPr>
          <w:rFonts w:eastAsia="바탕" w:cstheme="minorHAnsi"/>
          <w:szCs w:val="24"/>
          <w:lang w:eastAsia="ko-KR"/>
        </w:rPr>
        <w:t xml:space="preserve"> modified empirical</w:t>
      </w:r>
      <w:r w:rsidRPr="00FD0B1A">
        <w:rPr>
          <w:rFonts w:eastAsia="바탕" w:cstheme="minorHAnsi"/>
          <w:szCs w:val="24"/>
          <w:lang w:eastAsia="ko-KR"/>
        </w:rPr>
        <w:t xml:space="preserve"> formula for the Co chronometry was applied</w:t>
      </w:r>
      <w:r>
        <w:rPr>
          <w:rFonts w:eastAsia="바탕" w:cstheme="minorHAnsi"/>
          <w:szCs w:val="24"/>
          <w:lang w:eastAsia="ko-KR"/>
        </w:rPr>
        <w:t xml:space="preserve">. Equation was </w:t>
      </w:r>
      <m:oMath>
        <m:r>
          <m:rPr>
            <m:sty m:val="p"/>
          </m:rPr>
          <w:rPr>
            <w:rFonts w:ascii="Cambria Math" w:eastAsia="바탕" w:hAnsi="Cambria Math" w:cstheme="minorHAnsi"/>
            <w:szCs w:val="24"/>
            <w:lang w:eastAsia="ko-KR"/>
          </w:rPr>
          <m:t xml:space="preserve">R </m:t>
        </m:r>
        <m:d>
          <m:dPr>
            <m:ctrlPr>
              <w:rPr>
                <w:rFonts w:ascii="Cambria Math" w:eastAsia="바탕" w:hAnsi="Cambria Math" w:cstheme="minorHAnsi"/>
                <w:szCs w:val="24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바탕" w:hAnsi="Cambria Math" w:cstheme="minorHAnsi"/>
                <w:szCs w:val="24"/>
                <w:lang w:eastAsia="ko-KR"/>
              </w:rPr>
              <m:t>growth rate</m:t>
            </m:r>
          </m:e>
        </m:d>
        <m:r>
          <m:rPr>
            <m:sty m:val="p"/>
          </m:rPr>
          <w:rPr>
            <w:rFonts w:ascii="Cambria Math" w:eastAsia="바탕" w:hAnsi="Cambria Math" w:cstheme="minorHAnsi"/>
            <w:szCs w:val="24"/>
            <w:lang w:eastAsia="ko-KR"/>
          </w:rPr>
          <m:t>=1.7×</m:t>
        </m:r>
        <m:sSup>
          <m:sSupPr>
            <m:ctrlPr>
              <w:rPr>
                <w:rFonts w:ascii="Cambria Math" w:eastAsia="바탕" w:hAnsi="Cambria Math" w:cstheme="minorHAnsi"/>
                <w:szCs w:val="24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eastAsia="바탕" w:hAnsi="Cambria Math" w:cstheme="minorHAnsi"/>
                <w:szCs w:val="24"/>
                <w:lang w:eastAsia="ko-KR"/>
              </w:rPr>
              <m:t>(W</m:t>
            </m:r>
            <m:sSup>
              <m:sSupPr>
                <m:ctrlPr>
                  <w:rPr>
                    <w:rFonts w:ascii="Cambria Math" w:eastAsia="바탕" w:hAnsi="Cambria Math" w:cstheme="minorHAnsi"/>
                    <w:szCs w:val="24"/>
                    <w:lang w:eastAsia="ko-K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바탕" w:hAnsi="Cambria Math" w:cstheme="minorHAnsi"/>
                    <w:szCs w:val="24"/>
                    <w:lang w:eastAsia="ko-KR"/>
                  </w:rPr>
                  <m:t>Co</m:t>
                </m:r>
              </m:e>
              <m:sup>
                <m:r>
                  <m:rPr>
                    <m:sty m:val="p"/>
                  </m:rPr>
                  <w:rPr>
                    <w:rFonts w:ascii="Cambria Math" w:eastAsia="바탕" w:hAnsi="Cambria Math" w:cstheme="minorHAnsi"/>
                    <w:szCs w:val="24"/>
                    <w:lang w:eastAsia="ko-KR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eastAsia="바탕" w:hAnsi="Cambria Math" w:cstheme="minorHAnsi"/>
                <w:szCs w:val="24"/>
                <w:lang w:eastAsia="ko-KR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바탕" w:hAnsi="Cambria Math" w:cstheme="minorHAnsi"/>
                <w:szCs w:val="24"/>
                <w:lang w:eastAsia="ko-KR"/>
              </w:rPr>
              <m:t>-1.67</m:t>
            </m:r>
          </m:sup>
        </m:sSup>
      </m:oMath>
      <w:r>
        <w:rPr>
          <w:rFonts w:eastAsia="바탕" w:cstheme="minorHAnsi"/>
          <w:szCs w:val="24"/>
          <w:lang w:eastAsia="ko-KR"/>
        </w:rPr>
        <w:t xml:space="preserve"> (Eq.1)</w:t>
      </w:r>
      <w:r>
        <w:rPr>
          <w:rFonts w:eastAsia="바탕" w:cstheme="minorHAnsi" w:hint="eastAsia"/>
          <w:szCs w:val="24"/>
          <w:lang w:eastAsia="ko-KR"/>
        </w:rPr>
        <w:t xml:space="preserve">, </w:t>
      </w:r>
      <w:r>
        <w:rPr>
          <w:rFonts w:eastAsia="바탕" w:cstheme="minorHAnsi"/>
          <w:szCs w:val="24"/>
          <w:lang w:eastAsia="ko-KR"/>
        </w:rPr>
        <w:t xml:space="preserve">which is differs from the previous proposed </w:t>
      </w:r>
      <m:oMath>
        <m:r>
          <m:rPr>
            <m:sty m:val="p"/>
          </m:rPr>
          <w:rPr>
            <w:rFonts w:ascii="Cambria Math" w:eastAsia="바탕" w:hAnsi="Cambria Math" w:cstheme="minorHAnsi"/>
            <w:szCs w:val="24"/>
            <w:lang w:eastAsia="ko-KR"/>
          </w:rPr>
          <m:t>0.68×</m:t>
        </m:r>
        <m:sSup>
          <m:sSupPr>
            <m:ctrlPr>
              <w:rPr>
                <w:rFonts w:ascii="Cambria Math" w:eastAsia="바탕" w:hAnsi="Cambria Math" w:cstheme="minorHAnsi"/>
                <w:szCs w:val="24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eastAsia="바탕" w:hAnsi="Cambria Math" w:cstheme="minorHAnsi"/>
                <w:szCs w:val="24"/>
                <w:lang w:eastAsia="ko-KR"/>
              </w:rPr>
              <m:t>(W</m:t>
            </m:r>
            <m:sSup>
              <m:sSupPr>
                <m:ctrlPr>
                  <w:rPr>
                    <w:rFonts w:ascii="Cambria Math" w:eastAsia="바탕" w:hAnsi="Cambria Math" w:cstheme="minorHAnsi"/>
                    <w:szCs w:val="24"/>
                    <w:lang w:eastAsia="ko-K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바탕" w:hAnsi="Cambria Math" w:cstheme="minorHAnsi"/>
                    <w:szCs w:val="24"/>
                    <w:lang w:eastAsia="ko-KR"/>
                  </w:rPr>
                  <m:t>Co</m:t>
                </m:r>
              </m:e>
              <m:sup>
                <m:r>
                  <m:rPr>
                    <m:sty m:val="p"/>
                  </m:rPr>
                  <w:rPr>
                    <w:rFonts w:ascii="Cambria Math" w:eastAsia="바탕" w:hAnsi="Cambria Math" w:cstheme="minorHAnsi"/>
                    <w:szCs w:val="24"/>
                    <w:lang w:eastAsia="ko-KR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eastAsia="바탕" w:hAnsi="Cambria Math" w:cstheme="minorHAnsi"/>
                <w:szCs w:val="24"/>
                <w:lang w:eastAsia="ko-KR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바탕" w:hAnsi="Cambria Math" w:cstheme="minorHAnsi"/>
                <w:szCs w:val="24"/>
                <w:lang w:eastAsia="ko-KR"/>
              </w:rPr>
              <m:t>-1.67</m:t>
            </m:r>
          </m:sup>
        </m:sSup>
      </m:oMath>
      <w:r>
        <w:rPr>
          <w:rFonts w:eastAsia="바탕" w:cstheme="minorHAnsi"/>
          <w:szCs w:val="24"/>
          <w:lang w:eastAsia="ko-KR"/>
        </w:rPr>
        <w:t xml:space="preserve"> by Manheim and Lane-Bostwick, (1988) </w:t>
      </w:r>
      <w:r w:rsidRPr="00F5394D">
        <w:rPr>
          <w:rFonts w:eastAsia="바탕" w:cstheme="minorHAnsi"/>
          <w:szCs w:val="24"/>
          <w:lang w:eastAsia="ko-KR"/>
        </w:rPr>
        <w:t>(Moon, 2016).</w:t>
      </w:r>
    </w:p>
    <w:p w14:paraId="50F76026" w14:textId="2F4EC954" w:rsidR="00CA1BBB" w:rsidRDefault="00CA1BBB" w:rsidP="00CA1BBB">
      <w:pPr>
        <w:jc w:val="center"/>
        <w:rPr>
          <w:rFonts w:eastAsia="바탕" w:cstheme="minorHAnsi" w:hint="eastAsia"/>
          <w:szCs w:val="24"/>
          <w:lang w:eastAsia="ko-KR"/>
        </w:rPr>
      </w:pPr>
      <m:oMath>
        <m:sSup>
          <m:sSupPr>
            <m:ctrlPr>
              <w:rPr>
                <w:rFonts w:ascii="Cambria Math" w:eastAsia="바탕" w:hAnsi="Cambria Math" w:cstheme="minorHAnsi"/>
                <w:szCs w:val="24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eastAsia="바탕" w:hAnsi="Cambria Math" w:cstheme="minorHAnsi"/>
                <w:szCs w:val="24"/>
                <w:lang w:eastAsia="ko-KR"/>
              </w:rPr>
              <m:t>WCo</m:t>
            </m:r>
          </m:e>
          <m:sup>
            <m:r>
              <m:rPr>
                <m:sty m:val="p"/>
              </m:rPr>
              <w:rPr>
                <w:rFonts w:ascii="Cambria Math" w:eastAsia="바탕" w:hAnsi="Cambria Math" w:cstheme="minorHAnsi"/>
                <w:szCs w:val="24"/>
                <w:lang w:eastAsia="ko-KR"/>
              </w:rPr>
              <m:t>n</m:t>
            </m:r>
          </m:sup>
        </m:sSup>
        <m:r>
          <m:rPr>
            <m:sty m:val="p"/>
          </m:rPr>
          <w:rPr>
            <w:rFonts w:ascii="Cambria Math" w:eastAsia="바탕" w:hAnsi="Cambria Math" w:cstheme="minorHAnsi"/>
            <w:szCs w:val="24"/>
            <w:lang w:eastAsia="ko-KR"/>
          </w:rPr>
          <m:t>=Co×50/(Fe+Mn)</m:t>
        </m:r>
      </m:oMath>
      <w:r>
        <w:rPr>
          <w:rFonts w:eastAsia="바탕" w:cstheme="minorHAnsi" w:hint="eastAsia"/>
          <w:szCs w:val="24"/>
          <w:lang w:eastAsia="ko-KR"/>
        </w:rPr>
        <w:t xml:space="preserve"> </w:t>
      </w:r>
      <w:r>
        <w:rPr>
          <w:rFonts w:eastAsia="바탕" w:cstheme="minorHAnsi"/>
          <w:szCs w:val="24"/>
          <w:lang w:eastAsia="ko-KR"/>
        </w:rPr>
        <w:t>(Manheim and Lane-Bostwick, 1988)</w:t>
      </w:r>
    </w:p>
    <w:p w14:paraId="08110E6D" w14:textId="7C8E69AA" w:rsidR="00CA1BBB" w:rsidRDefault="00CA1BBB" w:rsidP="00CA1BBB">
      <w:pPr>
        <w:rPr>
          <w:rFonts w:eastAsia="바탕" w:cstheme="minorHAnsi" w:hint="eastAsia"/>
          <w:szCs w:val="24"/>
          <w:lang w:eastAsia="ko-KR"/>
        </w:rPr>
      </w:pPr>
      <w:r>
        <w:rPr>
          <w:rFonts w:eastAsia="바탕" w:cstheme="minorHAnsi" w:hint="eastAsia"/>
          <w:szCs w:val="24"/>
          <w:lang w:eastAsia="ko-KR"/>
        </w:rPr>
        <w:t>F</w:t>
      </w:r>
      <w:r>
        <w:rPr>
          <w:rFonts w:eastAsia="바탕" w:cstheme="minorHAnsi"/>
          <w:szCs w:val="24"/>
          <w:lang w:eastAsia="ko-KR"/>
        </w:rPr>
        <w:t>or the lower parts of the Fe-Mn crust, where Fe, Mn, and Co</w:t>
      </w:r>
      <w:r w:rsidRPr="00AC01B3">
        <w:rPr>
          <w:rFonts w:eastAsia="바탕" w:cstheme="minorHAnsi"/>
          <w:szCs w:val="24"/>
          <w:lang w:eastAsia="ko-KR"/>
        </w:rPr>
        <w:t xml:space="preserve"> </w:t>
      </w:r>
      <w:r>
        <w:rPr>
          <w:rFonts w:eastAsia="바탕" w:cstheme="minorHAnsi"/>
          <w:szCs w:val="24"/>
          <w:lang w:eastAsia="ko-KR"/>
        </w:rPr>
        <w:t xml:space="preserve">depletion are expected due to </w:t>
      </w:r>
      <w:proofErr w:type="spellStart"/>
      <w:r>
        <w:rPr>
          <w:rFonts w:eastAsia="바탕" w:cstheme="minorHAnsi"/>
          <w:szCs w:val="24"/>
          <w:lang w:eastAsia="ko-KR"/>
        </w:rPr>
        <w:t>phosphatization</w:t>
      </w:r>
      <w:proofErr w:type="spellEnd"/>
      <w:r>
        <w:rPr>
          <w:rFonts w:eastAsia="바탕" w:cstheme="minorHAnsi"/>
          <w:szCs w:val="24"/>
          <w:lang w:eastAsia="ko-KR"/>
        </w:rPr>
        <w:t xml:space="preserve"> (analysis point 7-10), the equation suggested by </w:t>
      </w:r>
      <w:proofErr w:type="spellStart"/>
      <w:r>
        <w:rPr>
          <w:rFonts w:eastAsia="바탕" w:cstheme="minorHAnsi"/>
          <w:szCs w:val="24"/>
          <w:lang w:eastAsia="ko-KR"/>
        </w:rPr>
        <w:t>Puteanus</w:t>
      </w:r>
      <w:proofErr w:type="spellEnd"/>
      <w:r>
        <w:rPr>
          <w:rFonts w:eastAsia="바탕" w:cstheme="minorHAnsi"/>
          <w:szCs w:val="24"/>
          <w:lang w:eastAsia="ko-KR"/>
        </w:rPr>
        <w:t xml:space="preserve"> and Halbach, (1988) was applied. The Co content used in the equation was corrected by P content and Mn/Co ratio.</w:t>
      </w:r>
    </w:p>
    <w:p w14:paraId="11630E98" w14:textId="77777777" w:rsidR="00CA1BBB" w:rsidRPr="00AF4164" w:rsidRDefault="00CA1BBB" w:rsidP="00CA1BBB">
      <w:pPr>
        <w:jc w:val="center"/>
        <w:rPr>
          <w:rFonts w:eastAsia="바탕" w:cstheme="minorHAnsi"/>
          <w:szCs w:val="24"/>
          <w:lang w:eastAsia="ko-KR"/>
        </w:rPr>
      </w:pPr>
      <m:oMath>
        <m:r>
          <m:rPr>
            <m:sty m:val="p"/>
          </m:rPr>
          <w:rPr>
            <w:rFonts w:ascii="Cambria Math" w:eastAsia="바탕" w:hAnsi="Cambria Math" w:cstheme="minorHAnsi"/>
            <w:szCs w:val="24"/>
            <w:lang w:eastAsia="ko-KR"/>
          </w:rPr>
          <m:t>G (mm</m:t>
        </m:r>
        <m:sSup>
          <m:sSupPr>
            <m:ctrlPr>
              <w:rPr>
                <w:rFonts w:ascii="Cambria Math" w:eastAsia="바탕" w:hAnsi="Cambria Math" w:cstheme="minorHAnsi"/>
                <w:szCs w:val="24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eastAsia="바탕" w:hAnsi="Cambria Math" w:cstheme="minorHAnsi"/>
                <w:szCs w:val="24"/>
                <w:lang w:eastAsia="ko-KR"/>
              </w:rPr>
              <m:t>Ma</m:t>
            </m:r>
          </m:e>
          <m:sup>
            <m:r>
              <w:rPr>
                <w:rFonts w:ascii="Cambria Math" w:eastAsia="바탕" w:hAnsi="Cambria Math" w:cstheme="minorHAnsi"/>
                <w:szCs w:val="24"/>
                <w:lang w:eastAsia="ko-KR"/>
              </w:rPr>
              <m:t>-1</m:t>
            </m:r>
          </m:sup>
        </m:sSup>
        <m:r>
          <m:rPr>
            <m:sty m:val="p"/>
          </m:rPr>
          <w:rPr>
            <w:rFonts w:ascii="Cambria Math" w:eastAsia="바탕" w:hAnsi="Cambria Math" w:cstheme="minorHAnsi"/>
            <w:szCs w:val="24"/>
            <w:lang w:eastAsia="ko-KR"/>
          </w:rPr>
          <m:t xml:space="preserve">)=1.28/[Co </m:t>
        </m:r>
        <m:d>
          <m:dPr>
            <m:ctrlPr>
              <w:rPr>
                <w:rFonts w:ascii="Cambria Math" w:eastAsia="바탕" w:hAnsi="Cambria Math" w:cstheme="minorHAnsi"/>
                <w:szCs w:val="24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바탕" w:hAnsi="Cambria Math" w:cstheme="minorHAnsi"/>
                <w:szCs w:val="24"/>
                <w:lang w:eastAsia="ko-KR"/>
              </w:rPr>
              <m:t>%</m:t>
            </m:r>
          </m:e>
        </m:d>
        <m:r>
          <m:rPr>
            <m:sty m:val="p"/>
          </m:rPr>
          <w:rPr>
            <w:rFonts w:ascii="Cambria Math" w:eastAsia="바탕" w:hAnsi="Cambria Math" w:cstheme="minorHAnsi"/>
            <w:szCs w:val="24"/>
            <w:lang w:eastAsia="ko-KR"/>
          </w:rPr>
          <m:t>-0.24]</m:t>
        </m:r>
      </m:oMath>
      <w:r>
        <w:rPr>
          <w:rFonts w:eastAsia="바탕" w:cstheme="minorHAnsi" w:hint="eastAsia"/>
          <w:szCs w:val="24"/>
          <w:lang w:eastAsia="ko-KR"/>
        </w:rPr>
        <w:t xml:space="preserve"> </w:t>
      </w:r>
      <w:r>
        <w:rPr>
          <w:rFonts w:eastAsia="바탕" w:cstheme="minorHAnsi"/>
          <w:szCs w:val="24"/>
          <w:lang w:eastAsia="ko-KR"/>
        </w:rPr>
        <w:t>(</w:t>
      </w:r>
      <w:proofErr w:type="spellStart"/>
      <w:r>
        <w:rPr>
          <w:rFonts w:eastAsia="바탕" w:cstheme="minorHAnsi"/>
          <w:szCs w:val="24"/>
          <w:lang w:eastAsia="ko-KR"/>
        </w:rPr>
        <w:t>Puteanus</w:t>
      </w:r>
      <w:proofErr w:type="spellEnd"/>
      <w:r>
        <w:rPr>
          <w:rFonts w:eastAsia="바탕" w:cstheme="minorHAnsi"/>
          <w:szCs w:val="24"/>
          <w:lang w:eastAsia="ko-KR"/>
        </w:rPr>
        <w:t xml:space="preserve"> and Halbach, 1988)</w:t>
      </w:r>
    </w:p>
    <w:p w14:paraId="5B9F45C9" w14:textId="68E7A900" w:rsidR="00CA1BBB" w:rsidRPr="00994A3D" w:rsidRDefault="00CA1BBB" w:rsidP="00CA1BBB">
      <w:pPr>
        <w:jc w:val="both"/>
        <w:rPr>
          <w:rFonts w:eastAsia="Times New Roman" w:cs="Times New Roman"/>
          <w:szCs w:val="24"/>
          <w:lang w:val="en-GB" w:eastAsia="en-GB"/>
        </w:rPr>
      </w:pPr>
    </w:p>
    <w:p w14:paraId="11EC8DA1" w14:textId="3D432089" w:rsidR="00994A3D" w:rsidRPr="00CA1BBB" w:rsidRDefault="00654E8F" w:rsidP="00CA1BBB">
      <w:pPr>
        <w:pStyle w:val="1"/>
      </w:pPr>
      <w:r w:rsidRPr="00994A3D">
        <w:t>Supplementary Tables</w:t>
      </w:r>
    </w:p>
    <w:p w14:paraId="1A6D5326" w14:textId="0BFD3166" w:rsidR="00BA474E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CA1BBB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CA1BBB">
        <w:rPr>
          <w:rFonts w:cs="Times New Roman"/>
          <w:szCs w:val="24"/>
        </w:rPr>
        <w:t>Elements concentrations of the Fe-Mn crust (DGCR1314U01)</w:t>
      </w:r>
      <w:r w:rsidR="00BA474E">
        <w:rPr>
          <w:rFonts w:cs="Times New Roman"/>
          <w:szCs w:val="24"/>
        </w:rPr>
        <w:t>.</w:t>
      </w:r>
    </w:p>
    <w:tbl>
      <w:tblPr>
        <w:tblW w:w="4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920"/>
        <w:gridCol w:w="920"/>
        <w:gridCol w:w="920"/>
      </w:tblGrid>
      <w:tr w:rsidR="00BA474E" w:rsidRPr="00BA474E" w14:paraId="56EF9185" w14:textId="77777777" w:rsidTr="009D4DCC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6F1BA561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Analysis point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12A46C82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Co</w:t>
            </w: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br/>
              <w:t>(ppm)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8E36ADA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Fe</w:t>
            </w: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br/>
              <w:t>(wt.%)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7870CC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Mn</w:t>
            </w: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br/>
              <w:t>(wt.%)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3030BFB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P</w:t>
            </w: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br/>
              <w:t>(wt. %)</w:t>
            </w:r>
          </w:p>
        </w:tc>
      </w:tr>
      <w:tr w:rsidR="00BA474E" w:rsidRPr="00BA474E" w14:paraId="55C46D54" w14:textId="77777777" w:rsidTr="009D4DCC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E868A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C333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4497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507EA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16.48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D746C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18.30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839F6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0.50</w:t>
            </w:r>
          </w:p>
        </w:tc>
      </w:tr>
      <w:tr w:rsidR="00BA474E" w:rsidRPr="00BA474E" w14:paraId="3BF355A1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31CFC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BD7D8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4154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473A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15.70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6979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17.38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1D98A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0.41</w:t>
            </w:r>
          </w:p>
        </w:tc>
      </w:tr>
      <w:tr w:rsidR="00BA474E" w:rsidRPr="00BA474E" w14:paraId="7CC55B9A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8DACF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ED818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7016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4E098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16.69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8FE52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26.26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182D7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0.39</w:t>
            </w:r>
          </w:p>
        </w:tc>
      </w:tr>
      <w:tr w:rsidR="00BA474E" w:rsidRPr="00BA474E" w14:paraId="7817CA87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8198F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94B1A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6016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3219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16.24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BEB47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25.79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DEBB1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0.37</w:t>
            </w:r>
          </w:p>
        </w:tc>
      </w:tr>
      <w:tr w:rsidR="00BA474E" w:rsidRPr="00BA474E" w14:paraId="6F0BF871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1862B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4F377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4220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CFFE2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17.60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1716B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22.68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8FA6E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0.40</w:t>
            </w:r>
          </w:p>
        </w:tc>
      </w:tr>
      <w:tr w:rsidR="00BA474E" w:rsidRPr="00BA474E" w14:paraId="7C6E9C2A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706E1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FBB1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7159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8EA32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17.26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D6AC9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27.34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68D10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0.47</w:t>
            </w:r>
          </w:p>
        </w:tc>
      </w:tr>
      <w:tr w:rsidR="00BA474E" w:rsidRPr="00BA474E" w14:paraId="0ADA6432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9F31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831E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6143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2D8BC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9.95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17F08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26.48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354D6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1.49</w:t>
            </w:r>
          </w:p>
        </w:tc>
      </w:tr>
      <w:tr w:rsidR="00BA474E" w:rsidRPr="00BA474E" w14:paraId="59343685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28C75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34A7B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3961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D32C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7.35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15A21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23.46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B5E0E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3.51</w:t>
            </w:r>
          </w:p>
        </w:tc>
      </w:tr>
      <w:tr w:rsidR="00BA474E" w:rsidRPr="00BA474E" w14:paraId="7F1C0A49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C7AD6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13A83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2535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E741A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6.55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8F258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17.57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5FF33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5.33</w:t>
            </w:r>
          </w:p>
        </w:tc>
      </w:tr>
      <w:tr w:rsidR="00BA474E" w:rsidRPr="00BA474E" w14:paraId="1861E3B0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38CA6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7BF80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7A93C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4.48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84F48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13.85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A54C0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6.12</w:t>
            </w:r>
          </w:p>
        </w:tc>
      </w:tr>
    </w:tbl>
    <w:p w14:paraId="67CDE233" w14:textId="7CEAF5A8" w:rsidR="00BA474E" w:rsidRPr="00BA474E" w:rsidRDefault="00BA474E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Age</w:t>
      </w:r>
      <w:r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of the layers in</w:t>
      </w:r>
      <w:r>
        <w:rPr>
          <w:rFonts w:cs="Times New Roman"/>
          <w:szCs w:val="24"/>
        </w:rPr>
        <w:t xml:space="preserve"> the Fe-Mn crust (DGCR1314U01).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360"/>
        <w:gridCol w:w="1880"/>
        <w:gridCol w:w="1080"/>
      </w:tblGrid>
      <w:tr w:rsidR="00BA474E" w:rsidRPr="00BA474E" w14:paraId="59DB398D" w14:textId="77777777" w:rsidTr="009D4DCC">
        <w:trPr>
          <w:trHeight w:val="960"/>
        </w:trPr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364BEFC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Analysis point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1A3B638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Top</w:t>
            </w: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br/>
              <w:t>(mm)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36582D6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Bottom</w:t>
            </w: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br/>
              <w:t>(mm)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18593B50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Depth</w:t>
            </w: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br/>
              <w:t>(mm)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3245315F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Thickness</w:t>
            </w: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br/>
              <w:t>(mm)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2383E407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Growth Rate (mm/Ma)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15CFA435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Age (Ma)</w:t>
            </w:r>
          </w:p>
        </w:tc>
      </w:tr>
      <w:tr w:rsidR="00BA474E" w:rsidRPr="00BA474E" w14:paraId="35F5C4F5" w14:textId="77777777" w:rsidTr="009D4DCC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BCE2F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1B37E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FE17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A1D7F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A8DF8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52E3F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C07D7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2.84</w:t>
            </w:r>
          </w:p>
        </w:tc>
      </w:tr>
      <w:tr w:rsidR="00BA474E" w:rsidRPr="00BA474E" w14:paraId="14E7AD96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1BC9A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D325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2127F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C5D8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C6073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D1143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C3059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5.54</w:t>
            </w:r>
          </w:p>
        </w:tc>
      </w:tr>
      <w:tr w:rsidR="00BA474E" w:rsidRPr="00BA474E" w14:paraId="0F1C4DE9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B1282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1D5DA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5D0C2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65DAC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55F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3C831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3CE41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9.74</w:t>
            </w:r>
          </w:p>
        </w:tc>
      </w:tr>
      <w:tr w:rsidR="00BA474E" w:rsidRPr="00BA474E" w14:paraId="73D3917D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5A342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FCFC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A1981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1280E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A71CA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BF78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4934C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13.1</w:t>
            </w:r>
          </w:p>
        </w:tc>
      </w:tr>
      <w:tr w:rsidR="00BA474E" w:rsidRPr="00BA474E" w14:paraId="5929BDEC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1622C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FEBE7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9E66B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9671E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5D857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977C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5.01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48546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15.1</w:t>
            </w:r>
          </w:p>
        </w:tc>
      </w:tr>
      <w:tr w:rsidR="00BA474E" w:rsidRPr="00BA474E" w14:paraId="09B512C4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7EB5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D2673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8F78C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D93BE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9D0B8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8DD8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6CD0B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19.18</w:t>
            </w:r>
          </w:p>
        </w:tc>
      </w:tr>
      <w:tr w:rsidR="00BA474E" w:rsidRPr="00BA474E" w14:paraId="0B730EBD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DA5A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9815C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4AA60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8EA55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67.5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2A755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A234C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8F606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26.45</w:t>
            </w:r>
          </w:p>
        </w:tc>
      </w:tr>
      <w:tr w:rsidR="00BA474E" w:rsidRPr="00BA474E" w14:paraId="637D9EAE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911DF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F6E1A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FD055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83481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31AB7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4E739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2.69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7629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30.17</w:t>
            </w:r>
          </w:p>
        </w:tc>
      </w:tr>
      <w:tr w:rsidR="00BA474E" w:rsidRPr="00BA474E" w14:paraId="36C01BD0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D6E06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2BCD7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343B8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9CBD9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E3F9D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B4693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F3564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33.39</w:t>
            </w:r>
          </w:p>
        </w:tc>
      </w:tr>
      <w:tr w:rsidR="00BA474E" w:rsidRPr="00BA474E" w14:paraId="135B6396" w14:textId="77777777" w:rsidTr="009D4D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7D647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421DA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3B403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DC5C2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102.5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8882E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7D2B58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4B89E" w14:textId="77777777" w:rsidR="00BA474E" w:rsidRPr="00BA474E" w:rsidRDefault="00BA474E" w:rsidP="00BA474E">
            <w:pPr>
              <w:spacing w:before="0" w:after="0"/>
              <w:jc w:val="center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BA474E">
              <w:rPr>
                <w:rFonts w:eastAsia="맑은 고딕" w:cs="Times New Roman"/>
                <w:color w:val="000000"/>
                <w:szCs w:val="24"/>
                <w:lang w:eastAsia="ko-KR"/>
              </w:rPr>
              <w:t>40.78</w:t>
            </w:r>
          </w:p>
        </w:tc>
      </w:tr>
    </w:tbl>
    <w:p w14:paraId="58F1AED1" w14:textId="39595A6D" w:rsidR="00DE23E8" w:rsidRDefault="00DE23E8" w:rsidP="00654E8F">
      <w:pPr>
        <w:spacing w:before="240"/>
      </w:pPr>
    </w:p>
    <w:p w14:paraId="6FCF65E6" w14:textId="0CD98509" w:rsidR="00BA474E" w:rsidRPr="00CA1BBB" w:rsidRDefault="00BA474E" w:rsidP="00BA474E">
      <w:pPr>
        <w:pStyle w:val="1"/>
      </w:pPr>
      <w:r>
        <w:t>Referenc</w:t>
      </w:r>
      <w:r w:rsidRPr="00994A3D">
        <w:t>es</w:t>
      </w:r>
    </w:p>
    <w:p w14:paraId="31680351" w14:textId="27E62468" w:rsidR="00BA474E" w:rsidRDefault="00BA474E" w:rsidP="00BA474E">
      <w:pPr>
        <w:spacing w:before="240"/>
        <w:ind w:firstLineChars="100" w:firstLine="240"/>
      </w:pPr>
      <w:r>
        <w:t xml:space="preserve">Frank, M. (2002). Radiogenic isotopes: Tracers of past ocean circulation and erosional input. </w:t>
      </w:r>
      <w:r w:rsidRPr="00BA474E">
        <w:rPr>
          <w:i/>
        </w:rPr>
        <w:t>Rev</w:t>
      </w:r>
      <w:r w:rsidRPr="00BA474E">
        <w:rPr>
          <w:i/>
        </w:rPr>
        <w:t xml:space="preserve">. </w:t>
      </w:r>
      <w:proofErr w:type="spellStart"/>
      <w:r w:rsidRPr="00BA474E">
        <w:rPr>
          <w:i/>
        </w:rPr>
        <w:t>Geophys</w:t>
      </w:r>
      <w:proofErr w:type="spellEnd"/>
      <w:r w:rsidRPr="00BA474E">
        <w:rPr>
          <w:i/>
        </w:rPr>
        <w:t>.</w:t>
      </w:r>
      <w:r>
        <w:t xml:space="preserve"> 40(1), 1-1.</w:t>
      </w:r>
      <w:r>
        <w:t xml:space="preserve"> </w:t>
      </w:r>
      <w:proofErr w:type="spellStart"/>
      <w:r>
        <w:t>doi</w:t>
      </w:r>
      <w:proofErr w:type="spellEnd"/>
      <w:r>
        <w:t xml:space="preserve">: </w:t>
      </w:r>
      <w:r w:rsidRPr="00BA474E">
        <w:t>10.1029/2000RG000094</w:t>
      </w:r>
    </w:p>
    <w:p w14:paraId="7E53FA43" w14:textId="4F5224A3" w:rsidR="00BA474E" w:rsidRDefault="00BA474E" w:rsidP="00BA474E">
      <w:pPr>
        <w:spacing w:before="240"/>
        <w:ind w:firstLineChars="100" w:firstLine="240"/>
      </w:pPr>
      <w:r>
        <w:t xml:space="preserve">Ku, T. L., Kusakabe, M., Measures, C. I., </w:t>
      </w:r>
      <w:proofErr w:type="spellStart"/>
      <w:r>
        <w:t>Southon</w:t>
      </w:r>
      <w:proofErr w:type="spellEnd"/>
      <w:r>
        <w:t xml:space="preserve">, J. R., </w:t>
      </w:r>
      <w:proofErr w:type="spellStart"/>
      <w:r>
        <w:t>Cusimano</w:t>
      </w:r>
      <w:proofErr w:type="spellEnd"/>
      <w:r>
        <w:t xml:space="preserve">, G., Vogel, J. S., ... &amp; </w:t>
      </w:r>
      <w:proofErr w:type="spellStart"/>
      <w:r>
        <w:t>Nakaya</w:t>
      </w:r>
      <w:proofErr w:type="spellEnd"/>
      <w:r>
        <w:t xml:space="preserve">, S. (1990). Beryllium isotope distribution in the western North Atlantic: a comparison to the Pacific. </w:t>
      </w:r>
      <w:r w:rsidRPr="00BA474E">
        <w:rPr>
          <w:i/>
        </w:rPr>
        <w:t>Deep Sea Res</w:t>
      </w:r>
      <w:r w:rsidRPr="00BA474E">
        <w:rPr>
          <w:i/>
        </w:rPr>
        <w:t>.</w:t>
      </w:r>
      <w:r w:rsidRPr="00BA474E">
        <w:rPr>
          <w:i/>
        </w:rPr>
        <w:t xml:space="preserve"> Part A.</w:t>
      </w:r>
      <w:r>
        <w:t xml:space="preserve"> 37(5), 795-808.</w:t>
      </w:r>
      <w:r>
        <w:t xml:space="preserve"> </w:t>
      </w:r>
      <w:proofErr w:type="spellStart"/>
      <w:r>
        <w:t>doi</w:t>
      </w:r>
      <w:proofErr w:type="spellEnd"/>
      <w:r>
        <w:t xml:space="preserve">: </w:t>
      </w:r>
      <w:r w:rsidRPr="00BA474E">
        <w:t>10.1016/0198-0149(90)90007-I</w:t>
      </w:r>
    </w:p>
    <w:p w14:paraId="76B4D33F" w14:textId="77777777" w:rsidR="00BA474E" w:rsidRDefault="00BA474E" w:rsidP="00BA474E">
      <w:pPr>
        <w:spacing w:before="240"/>
        <w:ind w:firstLineChars="100" w:firstLine="240"/>
      </w:pPr>
      <w:r>
        <w:t>Moon, J.W. (2016). Exploration for Seafloor Hydrothermal Deposits and Fe-Mn Crusts in the Southwestern Pacific and the Indian Ocean. 147-149. https://sciwatch.kiost.ac.kr/handle/2020.kiost/38061?mode=full</w:t>
      </w:r>
    </w:p>
    <w:p w14:paraId="12192248" w14:textId="14E8E1A2" w:rsidR="00BA474E" w:rsidRDefault="00BA474E" w:rsidP="00BA474E">
      <w:pPr>
        <w:spacing w:before="240"/>
        <w:ind w:firstLineChars="100" w:firstLine="240"/>
      </w:pPr>
      <w:proofErr w:type="spellStart"/>
      <w:r>
        <w:t>Puteanus</w:t>
      </w:r>
      <w:proofErr w:type="spellEnd"/>
      <w:r>
        <w:t>, D.</w:t>
      </w:r>
      <w:r>
        <w:t xml:space="preserve"> and</w:t>
      </w:r>
      <w:r>
        <w:t xml:space="preserve"> Halbach, P. (1988). Correlation of Co concentration and growth rate—A method for age determination of ferromanganese crusts. </w:t>
      </w:r>
      <w:r w:rsidRPr="00BA474E">
        <w:rPr>
          <w:i/>
        </w:rPr>
        <w:t>Chem</w:t>
      </w:r>
      <w:r w:rsidRPr="00BA474E">
        <w:rPr>
          <w:i/>
        </w:rPr>
        <w:t>.</w:t>
      </w:r>
      <w:r w:rsidRPr="00BA474E">
        <w:rPr>
          <w:i/>
        </w:rPr>
        <w:t xml:space="preserve"> Geol</w:t>
      </w:r>
      <w:r w:rsidRPr="00BA474E">
        <w:rPr>
          <w:i/>
        </w:rPr>
        <w:t>.</w:t>
      </w:r>
      <w:r>
        <w:t xml:space="preserve"> 69(1-2), 73-85.</w:t>
      </w:r>
      <w:r>
        <w:t xml:space="preserve"> </w:t>
      </w:r>
      <w:proofErr w:type="spellStart"/>
      <w:r w:rsidRPr="00BA474E">
        <w:t>doi</w:t>
      </w:r>
      <w:proofErr w:type="spellEnd"/>
      <w:r w:rsidRPr="00BA474E">
        <w:t>: 10.1016/0009-2541(88)90159-3</w:t>
      </w:r>
    </w:p>
    <w:p w14:paraId="33EEEB8E" w14:textId="6A66F4A8" w:rsidR="00BA474E" w:rsidRPr="001549D3" w:rsidRDefault="00BA474E" w:rsidP="00BA474E">
      <w:pPr>
        <w:spacing w:before="240"/>
        <w:ind w:firstLineChars="100" w:firstLine="240"/>
      </w:pPr>
      <w:r>
        <w:t xml:space="preserve">Manheim, F. T., &amp; Lane-Bostwick, C. M. (1988). Cobalt in ferromanganese crusts as a monitor of hydrothermal discharge on the Pacific sea floor. </w:t>
      </w:r>
      <w:r w:rsidRPr="00BA474E">
        <w:rPr>
          <w:i/>
        </w:rPr>
        <w:t>Nature</w:t>
      </w:r>
      <w:r>
        <w:t>, 335(6185), 59-62.</w:t>
      </w:r>
      <w:r>
        <w:t xml:space="preserve"> doi: </w:t>
      </w:r>
      <w:r w:rsidRPr="00BA474E">
        <w:t>10.1038/335059a0</w:t>
      </w:r>
    </w:p>
    <w:sectPr w:rsidR="00BA474E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25102"/>
    <w:rsid w:val="00447801"/>
    <w:rsid w:val="00452E9C"/>
    <w:rsid w:val="004735C8"/>
    <w:rsid w:val="004961FF"/>
    <w:rsid w:val="004A5D29"/>
    <w:rsid w:val="00517A89"/>
    <w:rsid w:val="005250F2"/>
    <w:rsid w:val="005721CC"/>
    <w:rsid w:val="00593EEA"/>
    <w:rsid w:val="005A5EEE"/>
    <w:rsid w:val="005D7322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B6715"/>
    <w:rsid w:val="00AD05B3"/>
    <w:rsid w:val="00B1671E"/>
    <w:rsid w:val="00B25EB8"/>
    <w:rsid w:val="00B354E1"/>
    <w:rsid w:val="00B37F4D"/>
    <w:rsid w:val="00BA474E"/>
    <w:rsid w:val="00C52A7B"/>
    <w:rsid w:val="00C56BAF"/>
    <w:rsid w:val="00C679AA"/>
    <w:rsid w:val="00C75972"/>
    <w:rsid w:val="00CA1BBB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documentManagement/types"/>
    <ds:schemaRef ds:uri="26005759-6815-4540-b8ea-913958d74f23"/>
    <ds:schemaRef ds:uri="http://www.w3.org/XML/1998/namespace"/>
    <ds:schemaRef ds:uri="970c08f3-bdc0-46be-888b-e62464d9f78c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40951E-0414-419B-BFE6-DEE2B211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안현호</cp:lastModifiedBy>
  <cp:revision>4</cp:revision>
  <cp:lastPrinted>2013-10-03T12:51:00Z</cp:lastPrinted>
  <dcterms:created xsi:type="dcterms:W3CDTF">2024-10-04T23:52:00Z</dcterms:created>
  <dcterms:modified xsi:type="dcterms:W3CDTF">2024-10-05T00:14:00Z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