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804228">
      <w:pPr>
        <w:widowControl/>
        <w:spacing w:before="100" w:beforeAutospacing="1" w:after="100" w:afterAutospacing="1"/>
        <w:jc w:val="center"/>
        <w:outlineLvl w:val="2"/>
        <w:rPr>
          <w:rFonts w:hint="default" w:cs="Times New Roman"/>
          <w:b/>
          <w:color w:val="000000" w:themeColor="text1"/>
          <w:kern w:val="0"/>
          <w:sz w:val="32"/>
          <w:szCs w:val="22"/>
          <w:lang w:val="en-US" w:eastAsia="zh-CN"/>
          <w14:textFill>
            <w14:solidFill>
              <w14:schemeClr w14:val="tx1"/>
            </w14:solidFill>
          </w14:textFill>
        </w:rPr>
      </w:pPr>
      <w:r>
        <w:rPr>
          <w:rFonts w:hint="eastAsia" w:cs="Times New Roman"/>
          <w:b/>
          <w:color w:val="000000" w:themeColor="text1"/>
          <w:kern w:val="0"/>
          <w:sz w:val="32"/>
          <w:szCs w:val="22"/>
          <w:lang w:val="en-US" w:eastAsia="zh-CN"/>
          <w14:textFill>
            <w14:solidFill>
              <w14:schemeClr w14:val="tx1"/>
            </w14:solidFill>
          </w14:textFill>
        </w:rPr>
        <w:t>Supplementary Information</w:t>
      </w:r>
    </w:p>
    <w:p w14:paraId="27A9F6BF">
      <w:pPr>
        <w:widowControl/>
        <w:spacing w:before="100" w:beforeAutospacing="1" w:after="100" w:afterAutospacing="1"/>
        <w:jc w:val="left"/>
        <w:outlineLvl w:val="2"/>
        <w:rPr>
          <w:rFonts w:hint="default" w:eastAsia="等线" w:cs="Times New Roman"/>
          <w:b/>
          <w:color w:val="000000" w:themeColor="text1"/>
          <w:kern w:val="0"/>
          <w:szCs w:val="20"/>
          <w:lang w:val="en-US" w:eastAsia="zh-CN"/>
          <w14:textFill>
            <w14:solidFill>
              <w14:schemeClr w14:val="tx1"/>
            </w14:solidFill>
          </w14:textFill>
        </w:rPr>
      </w:pPr>
      <w:r>
        <w:rPr>
          <w:rFonts w:hint="eastAsia" w:cs="Times New Roman"/>
          <w:b/>
          <w:color w:val="000000" w:themeColor="text1"/>
          <w:kern w:val="0"/>
          <w:szCs w:val="20"/>
          <w:lang w:val="en-US" w:eastAsia="zh-CN"/>
          <w14:textFill>
            <w14:solidFill>
              <w14:schemeClr w14:val="tx1"/>
            </w14:solidFill>
          </w14:textFill>
        </w:rPr>
        <w:t xml:space="preserve">Methods and Results of the </w:t>
      </w:r>
      <w:r>
        <w:rPr>
          <w:rFonts w:cs="Times New Roman"/>
          <w:b/>
          <w:color w:val="000000" w:themeColor="text1"/>
          <w:kern w:val="0"/>
          <w:szCs w:val="20"/>
          <w:lang w:eastAsia="en-US"/>
          <w14:textFill>
            <w14:solidFill>
              <w14:schemeClr w14:val="tx1"/>
            </w14:solidFill>
          </w14:textFill>
        </w:rPr>
        <w:t xml:space="preserve">Random </w:t>
      </w:r>
      <w:r>
        <w:rPr>
          <w:rFonts w:hint="eastAsia" w:cs="Times New Roman"/>
          <w:b/>
          <w:color w:val="000000" w:themeColor="text1"/>
          <w:kern w:val="0"/>
          <w:szCs w:val="20"/>
          <w:lang w:val="en-US" w:eastAsia="zh-CN"/>
          <w14:textFill>
            <w14:solidFill>
              <w14:schemeClr w14:val="tx1"/>
            </w14:solidFill>
          </w14:textFill>
        </w:rPr>
        <w:t>F</w:t>
      </w:r>
      <w:r>
        <w:rPr>
          <w:rFonts w:cs="Times New Roman"/>
          <w:b/>
          <w:color w:val="000000" w:themeColor="text1"/>
          <w:kern w:val="0"/>
          <w:szCs w:val="20"/>
          <w:lang w:eastAsia="en-US"/>
          <w14:textFill>
            <w14:solidFill>
              <w14:schemeClr w14:val="tx1"/>
            </w14:solidFill>
          </w14:textFill>
        </w:rPr>
        <w:t xml:space="preserve">orest </w:t>
      </w:r>
      <w:r>
        <w:rPr>
          <w:rFonts w:hint="eastAsia" w:cs="Times New Roman"/>
          <w:b/>
          <w:color w:val="000000" w:themeColor="text1"/>
          <w:kern w:val="0"/>
          <w:szCs w:val="20"/>
          <w:lang w:val="en-US" w:eastAsia="zh-CN"/>
          <w14:textFill>
            <w14:solidFill>
              <w14:schemeClr w14:val="tx1"/>
            </w14:solidFill>
          </w14:textFill>
        </w:rPr>
        <w:t>C</w:t>
      </w:r>
      <w:r>
        <w:rPr>
          <w:rFonts w:cs="Times New Roman"/>
          <w:b/>
          <w:color w:val="000000" w:themeColor="text1"/>
          <w:kern w:val="0"/>
          <w:szCs w:val="20"/>
          <w:lang w:eastAsia="en-US"/>
          <w14:textFill>
            <w14:solidFill>
              <w14:schemeClr w14:val="tx1"/>
            </w14:solidFill>
          </w14:textFill>
        </w:rPr>
        <w:t>lassifier</w:t>
      </w:r>
      <w:r>
        <w:rPr>
          <w:rFonts w:hint="eastAsia" w:cs="Times New Roman"/>
          <w:b/>
          <w:color w:val="000000" w:themeColor="text1"/>
          <w:kern w:val="0"/>
          <w:szCs w:val="20"/>
          <w:lang w:val="en-US" w:eastAsia="zh-CN"/>
          <w14:textFill>
            <w14:solidFill>
              <w14:schemeClr w14:val="tx1"/>
            </w14:solidFill>
          </w14:textFill>
        </w:rPr>
        <w:t xml:space="preserve"> </w:t>
      </w:r>
    </w:p>
    <w:p w14:paraId="448CAEA9">
      <w:pP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Random forest (RF) developed by Leo Breiman i</w:t>
      </w:r>
      <w:bookmarkStart w:id="2" w:name="_GoBack"/>
      <w:bookmarkEnd w:id="2"/>
      <w:r>
        <w:rPr>
          <w:rFonts w:cs="Times New Roman"/>
          <w:color w:val="000000" w:themeColor="text1"/>
          <w14:textFill>
            <w14:solidFill>
              <w14:schemeClr w14:val="tx1"/>
            </w14:solidFill>
          </w14:textFill>
        </w:rPr>
        <w:t xml:space="preserve">n 2001 has been proved to be a powerful approach with excellent performance in classification tasks </w:t>
      </w:r>
      <w:r>
        <w:rPr>
          <w:rFonts w:cs="Times New Roman"/>
          <w:color w:val="000000" w:themeColor="text1"/>
          <w14:textFill>
            <w14:solidFill>
              <w14:schemeClr w14:val="tx1"/>
            </w14:solidFill>
          </w14:textFill>
        </w:rPr>
        <w:fldChar w:fldCharType="begin"/>
      </w:r>
      <w:r>
        <w:rPr>
          <w:rFonts w:cs="Times New Roman"/>
          <w:color w:val="000000" w:themeColor="text1"/>
          <w14:textFill>
            <w14:solidFill>
              <w14:schemeClr w14:val="tx1"/>
            </w14:solidFill>
          </w14:textFill>
        </w:rPr>
        <w:instrText xml:space="preserve"> ADDIN EN.CITE &lt;EndNote&gt;&lt;Cite&gt;&lt;Author&gt;Breiman&lt;/Author&gt;&lt;Year&gt;2001&lt;/Year&gt;&lt;RecNum&gt;127&lt;/RecNum&gt;&lt;DisplayText&gt;[1, 2]&lt;/DisplayText&gt;&lt;record&gt;&lt;rec-number&gt;127&lt;/rec-number&gt;&lt;foreign-keys&gt;&lt;key app="EN" db-id="t2vpxd9x1p5ad3esv0nxettydfxpwvf5pzsf" timestamp="1734334037"&gt;127&lt;/key&gt;&lt;/foreign-keys&gt;&lt;ref-type name="Journal Article"&gt;17&lt;/ref-type&gt;&lt;contributors&gt;&lt;authors&gt;&lt;author&gt;Breiman, Leo&lt;/author&gt;&lt;/authors&gt;&lt;/contributors&gt;&lt;titles&gt;&lt;title&gt;Random Forests&lt;/title&gt;&lt;secondary-title&gt;Machine Learning&lt;/secondary-title&gt;&lt;/titles&gt;&lt;periodical&gt;&lt;full-title&gt;Machine Learning&lt;/full-title&gt;&lt;/periodical&gt;&lt;pages&gt;5-32&lt;/pages&gt;&lt;volume&gt;45&lt;/volume&gt;&lt;number&gt;1&lt;/number&gt;&lt;dates&gt;&lt;year&gt;2001&lt;/year&gt;&lt;pub-dates&gt;&lt;date&gt;2001/10/01&lt;/date&gt;&lt;/pub-dates&gt;&lt;/dates&gt;&lt;isbn&gt;1573-0565&lt;/isbn&gt;&lt;urls&gt;&lt;related-urls&gt;&lt;url&gt;https://doi.org/10.1023/A:1010933404324&lt;/url&gt;&lt;/related-urls&gt;&lt;/urls&gt;&lt;electronic-resource-num&gt;10.1023/A:1010933404324&lt;/electronic-resource-num&gt;&lt;/record&gt;&lt;/Cite&gt;&lt;Cite&gt;&lt;Author&gt;Segal&lt;/Author&gt;&lt;Year&gt;2003&lt;/Year&gt;&lt;RecNum&gt;128&lt;/RecNum&gt;&lt;record&gt;&lt;rec-number&gt;128&lt;/rec-number&gt;&lt;foreign-keys&gt;&lt;key app="EN" db-id="t2vpxd9x1p5ad3esv0nxettydfxpwvf5pzsf" timestamp="1734334157"&gt;128&lt;/key&gt;&lt;/foreign-keys&gt;&lt;ref-type name="Journal Article"&gt;17&lt;/ref-type&gt;&lt;contributors&gt;&lt;authors&gt;&lt;author&gt;Segal, Mark&lt;/author&gt;&lt;/authors&gt;&lt;/contributors&gt;&lt;titles&gt;&lt;title&gt;Machine Learning Benchmarks and Random Forest Regression&lt;/title&gt;&lt;secondary-title&gt;Technical Report, Center for Bioinformatics &amp;amp; Molecular Biostatistics, University of California, San Francisco&lt;/secondary-title&gt;&lt;/titles&gt;&lt;periodical&gt;&lt;full-title&gt;Technical Report, Center for Bioinformatics &amp;amp; Molecular Biostatistics, University of California, San Francisco&lt;/full-title&gt;&lt;/periodical&gt;&lt;dates&gt;&lt;year&gt;2003&lt;/year&gt;&lt;pub-dates&gt;&lt;date&gt;05/14&lt;/date&gt;&lt;/pub-dates&gt;&lt;/dates&gt;&lt;urls&gt;&lt;/urls&gt;&lt;/record&gt;&lt;/Cite&gt;&lt;/EndNote&gt;</w:instrText>
      </w:r>
      <w:r>
        <w:rPr>
          <w:rFonts w:cs="Times New Roman"/>
          <w:color w:val="000000" w:themeColor="text1"/>
          <w14:textFill>
            <w14:solidFill>
              <w14:schemeClr w14:val="tx1"/>
            </w14:solidFill>
          </w14:textFill>
        </w:rPr>
        <w:fldChar w:fldCharType="separate"/>
      </w:r>
      <w:r>
        <w:rPr>
          <w:rFonts w:cs="Times New Roman"/>
          <w:color w:val="000000" w:themeColor="text1"/>
          <w14:textFill>
            <w14:solidFill>
              <w14:schemeClr w14:val="tx1"/>
            </w14:solidFill>
          </w14:textFill>
        </w:rPr>
        <w:t>[1, 2]</w:t>
      </w:r>
      <w:r>
        <w:rPr>
          <w:rFonts w:cs="Times New Roman"/>
          <w:color w:val="000000" w:themeColor="text1"/>
          <w14:textFill>
            <w14:solidFill>
              <w14:schemeClr w14:val="tx1"/>
            </w14:solidFill>
          </w14:textFill>
        </w:rPr>
        <w:fldChar w:fldCharType="end"/>
      </w:r>
      <w:r>
        <w:rPr>
          <w:rFonts w:cs="Times New Roman"/>
          <w:color w:val="000000" w:themeColor="text1"/>
          <w14:textFill>
            <w14:solidFill>
              <w14:schemeClr w14:val="tx1"/>
            </w14:solidFill>
          </w14:textFill>
        </w:rPr>
        <w:t xml:space="preserve">. The random forest uses bootstrap sampling technology to randomly select multiple subsamples from the original dataset and independently train a decision tree on each subsample. During the growth of the tree, a subset of features is randomly selected for node splitting, which effectively reduces the risk of overfitting the model. Eventually, the RF generates the final prediction by voting on the predictions of all trees (classification task) or averaging (regression task). </w:t>
      </w:r>
      <w:bookmarkStart w:id="0" w:name="_Hlk185261054"/>
      <w:r>
        <w:rPr>
          <w:rFonts w:cs="Times New Roman"/>
          <w:color w:val="000000" w:themeColor="text1"/>
          <w14:textFill>
            <w14:solidFill>
              <w14:schemeClr w14:val="tx1"/>
            </w14:solidFill>
          </w14:textFill>
        </w:rPr>
        <w:t>This approach not only enhances the model's stability and accuracy, but also demonstrates effective handling of high-dimensional data and the assessment of feature importance</w:t>
      </w:r>
      <w:bookmarkEnd w:id="0"/>
      <w:r>
        <w:rPr>
          <w:rFonts w:cs="Times New Roman"/>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fldChar w:fldCharType="begin"/>
      </w:r>
      <w:r>
        <w:rPr>
          <w:rFonts w:cs="Times New Roman"/>
          <w:color w:val="000000" w:themeColor="text1"/>
          <w14:textFill>
            <w14:solidFill>
              <w14:schemeClr w14:val="tx1"/>
            </w14:solidFill>
          </w14:textFill>
        </w:rPr>
        <w:instrText xml:space="preserve"> ADDIN EN.CITE &lt;EndNote&gt;&lt;Cite&gt;&lt;Author&gt;Chen&lt;/Author&gt;&lt;Year&gt;2014&lt;/Year&gt;&lt;RecNum&gt;130&lt;/RecNum&gt;&lt;DisplayText&gt;[3]&lt;/DisplayText&gt;&lt;record&gt;&lt;rec-number&gt;130&lt;/rec-number&gt;&lt;foreign-keys&gt;&lt;key app="EN" db-id="t2vpxd9x1p5ad3esv0nxettydfxpwvf5pzsf" timestamp="1734334504"&gt;130&lt;/key&gt;&lt;/foreign-keys&gt;&lt;ref-type name="Journal Article"&gt;17&lt;/ref-type&gt;&lt;contributors&gt;&lt;authors&gt;&lt;author&gt;Chen, Weiting&lt;/author&gt;&lt;author&gt;Wang, Yu&lt;/author&gt;&lt;author&gt;Cao, Guitao&lt;/author&gt;&lt;author&gt;Chen, Guoqiang&lt;/author&gt;&lt;author&gt;Gu, Qiufang&lt;/author&gt;&lt;/authors&gt;&lt;/contributors&gt;&lt;titles&gt;&lt;title&gt;A random forest model based classification scheme for neonatal amplitude-integrated EEG&lt;/title&gt;&lt;secondary-title&gt;BioMedical Engineering OnLine&lt;/secondary-title&gt;&lt;/titles&gt;&lt;periodical&gt;&lt;full-title&gt;BioMedical Engineering OnLine&lt;/full-title&gt;&lt;/periodical&gt;&lt;pages&gt;S4&lt;/pages&gt;&lt;volume&gt;13&lt;/volume&gt;&lt;number&gt;2&lt;/number&gt;&lt;dates&gt;&lt;year&gt;2014&lt;/year&gt;&lt;pub-dates&gt;&lt;date&gt;2014/12/11&lt;/date&gt;&lt;/pub-dates&gt;&lt;/dates&gt;&lt;isbn&gt;1475-925X&lt;/isbn&gt;&lt;urls&gt;&lt;related-urls&gt;&lt;url&gt;https://doi.org/10.1186/1475-925X-13-S2-S4&lt;/url&gt;&lt;/related-urls&gt;&lt;/urls&gt;&lt;electronic-resource-num&gt;10.1186/1475-925X-13-S2-S4&lt;/electronic-resource-num&gt;&lt;/record&gt;&lt;/Cite&gt;&lt;/EndNote&gt;</w:instrText>
      </w:r>
      <w:r>
        <w:rPr>
          <w:rFonts w:cs="Times New Roman"/>
          <w:color w:val="000000" w:themeColor="text1"/>
          <w14:textFill>
            <w14:solidFill>
              <w14:schemeClr w14:val="tx1"/>
            </w14:solidFill>
          </w14:textFill>
        </w:rPr>
        <w:fldChar w:fldCharType="separate"/>
      </w:r>
      <w:r>
        <w:rPr>
          <w:rFonts w:cs="Times New Roman"/>
          <w:color w:val="000000" w:themeColor="text1"/>
          <w14:textFill>
            <w14:solidFill>
              <w14:schemeClr w14:val="tx1"/>
            </w14:solidFill>
          </w14:textFill>
        </w:rPr>
        <w:t>[3]</w:t>
      </w:r>
      <w:r>
        <w:rPr>
          <w:rFonts w:cs="Times New Roman"/>
          <w:color w:val="000000" w:themeColor="text1"/>
          <w14:textFill>
            <w14:solidFill>
              <w14:schemeClr w14:val="tx1"/>
            </w14:solidFill>
          </w14:textFill>
        </w:rPr>
        <w:fldChar w:fldCharType="end"/>
      </w:r>
      <w:r>
        <w:rPr>
          <w:rFonts w:cs="Times New Roman"/>
          <w:color w:val="000000" w:themeColor="text1"/>
          <w14:textFill>
            <w14:solidFill>
              <w14:schemeClr w14:val="tx1"/>
            </w14:solidFill>
          </w14:textFill>
        </w:rPr>
        <w:t xml:space="preserve">. In this study, grid search and 10-fold cross-validation were used for parameter tuning. The number of trees (N </w:t>
      </w:r>
      <w:r>
        <w:rPr>
          <w:rFonts w:cs="Times New Roman"/>
          <w:color w:val="000000" w:themeColor="text1"/>
          <w:vertAlign w:val="subscript"/>
          <w14:textFill>
            <w14:solidFill>
              <w14:schemeClr w14:val="tx1"/>
            </w14:solidFill>
          </w14:textFill>
        </w:rPr>
        <w:t>trees</w:t>
      </w:r>
      <w:r>
        <w:rPr>
          <w:rFonts w:cs="Times New Roman"/>
          <w:color w:val="000000" w:themeColor="text1"/>
          <w14:textFill>
            <w14:solidFill>
              <w14:schemeClr w14:val="tx1"/>
            </w14:solidFill>
          </w14:textFill>
        </w:rPr>
        <w:t xml:space="preserve">) that need to grow in each forest is 50, and the maximum depth of trees is 5. The number of attempts to select variables for splitting on each node (M </w:t>
      </w:r>
      <w:r>
        <w:rPr>
          <w:rFonts w:cs="Times New Roman"/>
          <w:color w:val="000000" w:themeColor="text1"/>
          <w:vertAlign w:val="subscript"/>
          <w14:textFill>
            <w14:solidFill>
              <w14:schemeClr w14:val="tx1"/>
            </w14:solidFill>
          </w14:textFill>
        </w:rPr>
        <w:t>try</w:t>
      </w:r>
      <w:r>
        <w:rPr>
          <w:rFonts w:cs="Times New Roman"/>
          <w:color w:val="000000" w:themeColor="text1"/>
          <w14:textFill>
            <w14:solidFill>
              <w14:schemeClr w14:val="tx1"/>
            </w14:solidFill>
          </w14:textFill>
        </w:rPr>
        <w:t xml:space="preserve">) that is considered at each split is a practical parameter because its optimal value depends on the data. </w:t>
      </w:r>
      <w:bookmarkStart w:id="1" w:name="_Hlk185357436"/>
      <w:r>
        <w:rPr>
          <w:color w:val="000000" w:themeColor="text1"/>
          <w14:textFill>
            <w14:solidFill>
              <w14:schemeClr w14:val="tx1"/>
            </w14:solidFill>
          </w14:textFill>
        </w:rPr>
        <w:t xml:space="preserve">Number of input variables (M </w:t>
      </w:r>
      <w:r>
        <w:rPr>
          <w:color w:val="000000" w:themeColor="text1"/>
          <w:vertAlign w:val="subscript"/>
          <w14:textFill>
            <w14:solidFill>
              <w14:schemeClr w14:val="tx1"/>
            </w14:solidFill>
          </w14:textFill>
        </w:rPr>
        <w:t>try</w:t>
      </w:r>
      <w:r>
        <w:rPr>
          <w:color w:val="000000" w:themeColor="text1"/>
          <w14:textFill>
            <w14:solidFill>
              <w14:schemeClr w14:val="tx1"/>
            </w14:solidFill>
          </w14:textFill>
        </w:rPr>
        <w:t xml:space="preserve"> ) use the default value (</w:t>
      </w:r>
      <w:r>
        <w:rPr>
          <w:rFonts w:cs="Times New Roman"/>
          <w:color w:val="000000" w:themeColor="text1"/>
          <w14:textFill>
            <w14:solidFill>
              <w14:schemeClr w14:val="tx1"/>
            </w14:solidFill>
          </w14:textFill>
        </w:rPr>
        <w:t>the square root of the number of input variables</w:t>
      </w:r>
      <w:r>
        <w:rPr>
          <w:color w:val="000000" w:themeColor="text1"/>
          <w14:textFill>
            <w14:solidFill>
              <w14:schemeClr w14:val="tx1"/>
            </w14:solidFill>
          </w14:textFill>
        </w:rPr>
        <w:t>)</w:t>
      </w:r>
      <w:bookmarkEnd w:id="1"/>
      <w:r>
        <w:rPr>
          <w:rFonts w:cs="Times New Roman"/>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fldChar w:fldCharType="begin"/>
      </w:r>
      <w:r>
        <w:rPr>
          <w:rFonts w:cs="Times New Roman"/>
          <w:color w:val="000000" w:themeColor="text1"/>
          <w14:textFill>
            <w14:solidFill>
              <w14:schemeClr w14:val="tx1"/>
            </w14:solidFill>
          </w14:textFill>
        </w:rPr>
        <w:instrText xml:space="preserve"> ADDIN EN.CITE &lt;EndNote&gt;&lt;Cite&gt;&lt;Author&gt;Liaw&lt;/Author&gt;&lt;Year&gt;2002&lt;/Year&gt;&lt;RecNum&gt;129&lt;/RecNum&gt;&lt;DisplayText&gt;[4]&lt;/DisplayText&gt;&lt;record&gt;&lt;rec-number&gt;129&lt;/rec-number&gt;&lt;foreign-keys&gt;&lt;key app="EN" db-id="t2vpxd9x1p5ad3esv0nxettydfxpwvf5pzsf" timestamp="1734334241"&gt;129&lt;/key&gt;&lt;/foreign-keys&gt;&lt;ref-type name="Journal Article"&gt;17&lt;/ref-type&gt;&lt;contributors&gt;&lt;authors&gt;&lt;author&gt;Liaw, A&lt;/author&gt;&lt;/authors&gt;&lt;/contributors&gt;&lt;titles&gt;&lt;title&gt;Classification and regression by randomForest&lt;/title&gt;&lt;secondary-title&gt;R news&lt;/secondary-title&gt;&lt;/titles&gt;&lt;periodical&gt;&lt;full-title&gt;R news&lt;/full-title&gt;&lt;/periodical&gt;&lt;dates&gt;&lt;year&gt;2002&lt;/year&gt;&lt;/dates&gt;&lt;urls&gt;&lt;/urls&gt;&lt;/record&gt;&lt;/Cite&gt;&lt;/EndNote&gt;</w:instrText>
      </w:r>
      <w:r>
        <w:rPr>
          <w:rFonts w:cs="Times New Roman"/>
          <w:color w:val="000000" w:themeColor="text1"/>
          <w14:textFill>
            <w14:solidFill>
              <w14:schemeClr w14:val="tx1"/>
            </w14:solidFill>
          </w14:textFill>
        </w:rPr>
        <w:fldChar w:fldCharType="separate"/>
      </w:r>
      <w:r>
        <w:rPr>
          <w:rFonts w:cs="Times New Roman"/>
          <w:color w:val="000000" w:themeColor="text1"/>
          <w14:textFill>
            <w14:solidFill>
              <w14:schemeClr w14:val="tx1"/>
            </w14:solidFill>
          </w14:textFill>
        </w:rPr>
        <w:t>[4]</w:t>
      </w:r>
      <w:r>
        <w:rPr>
          <w:rFonts w:cs="Times New Roman"/>
          <w:color w:val="000000" w:themeColor="text1"/>
          <w14:textFill>
            <w14:solidFill>
              <w14:schemeClr w14:val="tx1"/>
            </w14:solidFill>
          </w14:textFill>
        </w:rPr>
        <w:fldChar w:fldCharType="end"/>
      </w:r>
      <w:r>
        <w:rPr>
          <w:rFonts w:cs="Times New Roman"/>
          <w:color w:val="000000" w:themeColor="text1"/>
          <w14:textFill>
            <w14:solidFill>
              <w14:schemeClr w14:val="tx1"/>
            </w14:solidFill>
          </w14:textFill>
        </w:rPr>
        <w:t>.</w:t>
      </w:r>
    </w:p>
    <w:p w14:paraId="52080697">
      <w:pPr>
        <w:rPr>
          <w:rFonts w:cs="Times New Roman"/>
          <w:color w:val="000000" w:themeColor="text1"/>
          <w14:textFill>
            <w14:solidFill>
              <w14:schemeClr w14:val="tx1"/>
            </w14:solidFill>
          </w14:textFill>
        </w:rPr>
      </w:pPr>
    </w:p>
    <w:p w14:paraId="3FE490B1">
      <w:pPr>
        <w:rPr>
          <w:color w:val="000000" w:themeColor="text1"/>
          <w14:textFill>
            <w14:solidFill>
              <w14:schemeClr w14:val="tx1"/>
            </w14:solidFill>
          </w14:textFill>
        </w:rPr>
      </w:pPr>
      <w:r>
        <w:rPr>
          <w:color w:val="000000" w:themeColor="text1"/>
          <w14:textFill>
            <w14:solidFill>
              <w14:schemeClr w14:val="tx1"/>
            </w14:solidFill>
          </w14:textFill>
        </w:rPr>
        <w:t>The accuracy, sensitivity, specificity, and AUC of RF under the combined conditions were 94%, 92.00%, 96.00%, and 95.5%, respectively, while the accuracy, sensitivity, specificity, and AUC of the SVM method were 96.36%, 98.10%, 97.78%, and 99.70%, respectively. These results indicate that the SVM method has higher accuracy, sensitivity, specificity, and AUC than random forest.</w:t>
      </w:r>
    </w:p>
    <w:p w14:paraId="29B2C343"/>
    <w:p w14:paraId="075041C8"/>
    <w:p w14:paraId="620633A1">
      <w:pPr>
        <w:spacing w:line="360" w:lineRule="auto"/>
        <w:rPr>
          <w:rFonts w:cs="Times New Roman"/>
          <w:b/>
          <w:bCs/>
        </w:rPr>
      </w:pPr>
      <w:r>
        <w:rPr>
          <w:rFonts w:cs="Times New Roman"/>
          <w:b/>
          <w:bCs/>
        </w:rPr>
        <w:t>Table S1. Classification performance comparison between different feature construction schemes for distinguishing AD from HC.</w:t>
      </w:r>
    </w:p>
    <w:tbl>
      <w:tblPr>
        <w:tblStyle w:val="5"/>
        <w:tblW w:w="0" w:type="auto"/>
        <w:tblInd w:w="0"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14:paraId="38A47689">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765" w:type="dxa"/>
            <w:tcBorders>
              <w:top w:val="single" w:color="auto" w:sz="18" w:space="0"/>
              <w:left w:val="nil"/>
              <w:bottom w:val="single" w:color="auto" w:sz="8" w:space="0"/>
              <w:right w:val="nil"/>
            </w:tcBorders>
          </w:tcPr>
          <w:p w14:paraId="22F78EBE">
            <w:pPr>
              <w:widowControl/>
              <w:jc w:val="center"/>
              <w:rPr>
                <w:rFonts w:cs="Times New Roman"/>
                <w:kern w:val="0"/>
              </w:rPr>
            </w:pPr>
          </w:p>
        </w:tc>
        <w:tc>
          <w:tcPr>
            <w:tcW w:w="2765" w:type="dxa"/>
            <w:tcBorders>
              <w:top w:val="single" w:color="auto" w:sz="18" w:space="0"/>
              <w:left w:val="nil"/>
              <w:bottom w:val="single" w:color="auto" w:sz="8" w:space="0"/>
              <w:right w:val="nil"/>
            </w:tcBorders>
          </w:tcPr>
          <w:p w14:paraId="0E2BCE0B">
            <w:pPr>
              <w:widowControl/>
              <w:jc w:val="left"/>
              <w:rPr>
                <w:rFonts w:ascii="Arial" w:hAnsi="Arial" w:cs="Arial"/>
                <w:b/>
                <w:bCs/>
                <w:kern w:val="0"/>
              </w:rPr>
            </w:pPr>
            <w:r>
              <w:rPr>
                <w:rFonts w:ascii="Arial" w:hAnsi="Arial" w:cs="Arial"/>
                <w:b/>
                <w:bCs/>
                <w:kern w:val="0"/>
              </w:rPr>
              <w:t>EC</w:t>
            </w:r>
          </w:p>
        </w:tc>
        <w:tc>
          <w:tcPr>
            <w:tcW w:w="2766" w:type="dxa"/>
            <w:tcBorders>
              <w:top w:val="single" w:color="auto" w:sz="18" w:space="0"/>
              <w:left w:val="nil"/>
              <w:bottom w:val="single" w:color="auto" w:sz="8" w:space="0"/>
              <w:right w:val="nil"/>
            </w:tcBorders>
          </w:tcPr>
          <w:p w14:paraId="418C2642">
            <w:pPr>
              <w:widowControl/>
              <w:jc w:val="left"/>
              <w:rPr>
                <w:rFonts w:ascii="Arial" w:hAnsi="Arial" w:cs="Arial"/>
                <w:b/>
                <w:bCs/>
                <w:kern w:val="0"/>
              </w:rPr>
            </w:pPr>
            <w:r>
              <w:rPr>
                <w:rFonts w:ascii="Arial" w:hAnsi="Arial" w:cs="Arial"/>
                <w:b/>
                <w:bCs/>
                <w:kern w:val="0"/>
              </w:rPr>
              <w:t>EC+EO</w:t>
            </w:r>
          </w:p>
        </w:tc>
      </w:tr>
      <w:tr w14:paraId="331C9E88">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765" w:type="dxa"/>
            <w:tcBorders>
              <w:top w:val="single" w:color="auto" w:sz="8" w:space="0"/>
              <w:left w:val="nil"/>
              <w:bottom w:val="nil"/>
              <w:right w:val="nil"/>
            </w:tcBorders>
          </w:tcPr>
          <w:p w14:paraId="18644754">
            <w:pPr>
              <w:widowControl/>
              <w:jc w:val="left"/>
              <w:rPr>
                <w:rFonts w:ascii="Arial" w:hAnsi="Arial" w:cs="Arial"/>
                <w:b/>
                <w:bCs/>
                <w:kern w:val="0"/>
              </w:rPr>
            </w:pPr>
            <w:r>
              <w:rPr>
                <w:rFonts w:ascii="Arial" w:hAnsi="Arial" w:cs="Arial"/>
                <w:b/>
                <w:bCs/>
                <w:kern w:val="0"/>
              </w:rPr>
              <w:t>ACC</w:t>
            </w:r>
          </w:p>
        </w:tc>
        <w:tc>
          <w:tcPr>
            <w:tcW w:w="2765" w:type="dxa"/>
            <w:tcBorders>
              <w:top w:val="single" w:color="auto" w:sz="8" w:space="0"/>
              <w:left w:val="nil"/>
              <w:bottom w:val="nil"/>
              <w:right w:val="nil"/>
            </w:tcBorders>
          </w:tcPr>
          <w:p w14:paraId="5A112806">
            <w:pPr>
              <w:widowControl/>
              <w:jc w:val="left"/>
              <w:rPr>
                <w:rFonts w:ascii="Arial" w:hAnsi="Arial" w:cs="Arial"/>
                <w:b/>
                <w:bCs/>
                <w:color w:val="000000" w:themeColor="text1"/>
                <w:kern w:val="0"/>
                <w14:textFill>
                  <w14:solidFill>
                    <w14:schemeClr w14:val="tx1"/>
                  </w14:solidFill>
                </w14:textFill>
              </w:rPr>
            </w:pPr>
            <w:r>
              <w:rPr>
                <w:rFonts w:cs="Times New Roman"/>
                <w:b/>
                <w:bCs/>
                <w:color w:val="000000" w:themeColor="text1"/>
                <w:kern w:val="0"/>
                <w14:textFill>
                  <w14:solidFill>
                    <w14:schemeClr w14:val="tx1"/>
                  </w14:solidFill>
                </w14:textFill>
              </w:rPr>
              <w:t>90.00%</w:t>
            </w:r>
          </w:p>
        </w:tc>
        <w:tc>
          <w:tcPr>
            <w:tcW w:w="2766" w:type="dxa"/>
            <w:tcBorders>
              <w:top w:val="single" w:color="auto" w:sz="8" w:space="0"/>
              <w:left w:val="nil"/>
              <w:bottom w:val="nil"/>
              <w:right w:val="nil"/>
            </w:tcBorders>
          </w:tcPr>
          <w:p w14:paraId="5F394518">
            <w:pPr>
              <w:widowControl/>
              <w:jc w:val="left"/>
              <w:rPr>
                <w:rFonts w:ascii="Arial" w:hAnsi="Arial" w:cs="Arial"/>
                <w:b/>
                <w:bCs/>
                <w:color w:val="000000" w:themeColor="text1"/>
                <w:kern w:val="0"/>
                <w14:textFill>
                  <w14:solidFill>
                    <w14:schemeClr w14:val="tx1"/>
                  </w14:solidFill>
                </w14:textFill>
              </w:rPr>
            </w:pPr>
            <w:r>
              <w:rPr>
                <w:rFonts w:cs="Times New Roman"/>
                <w:b/>
                <w:bCs/>
                <w:color w:val="000000" w:themeColor="text1"/>
                <w:kern w:val="0"/>
                <w14:textFill>
                  <w14:solidFill>
                    <w14:schemeClr w14:val="tx1"/>
                  </w14:solidFill>
                </w14:textFill>
              </w:rPr>
              <w:t>94.00%</w:t>
            </w:r>
          </w:p>
        </w:tc>
      </w:tr>
      <w:tr w14:paraId="471BFC27">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765" w:type="dxa"/>
            <w:tcBorders>
              <w:top w:val="nil"/>
              <w:left w:val="nil"/>
              <w:bottom w:val="nil"/>
              <w:right w:val="nil"/>
            </w:tcBorders>
          </w:tcPr>
          <w:p w14:paraId="6BFAA810">
            <w:pPr>
              <w:widowControl/>
              <w:jc w:val="left"/>
              <w:rPr>
                <w:rFonts w:ascii="Arial" w:hAnsi="Arial" w:cs="Arial"/>
                <w:b/>
                <w:bCs/>
                <w:kern w:val="0"/>
              </w:rPr>
            </w:pPr>
            <w:r>
              <w:rPr>
                <w:rFonts w:ascii="Arial" w:hAnsi="Arial" w:cs="Arial"/>
                <w:b/>
                <w:bCs/>
                <w:kern w:val="0"/>
              </w:rPr>
              <w:t>Sensitivity</w:t>
            </w:r>
          </w:p>
        </w:tc>
        <w:tc>
          <w:tcPr>
            <w:tcW w:w="2765" w:type="dxa"/>
            <w:tcBorders>
              <w:top w:val="nil"/>
              <w:left w:val="nil"/>
              <w:bottom w:val="nil"/>
              <w:right w:val="nil"/>
            </w:tcBorders>
          </w:tcPr>
          <w:p w14:paraId="0A0E53CB">
            <w:pPr>
              <w:widowControl/>
              <w:jc w:val="left"/>
              <w:rPr>
                <w:rFonts w:ascii="Arial" w:hAnsi="Arial" w:cs="Arial"/>
                <w:b/>
                <w:bCs/>
                <w:color w:val="000000" w:themeColor="text1"/>
                <w:kern w:val="0"/>
                <w14:textFill>
                  <w14:solidFill>
                    <w14:schemeClr w14:val="tx1"/>
                  </w14:solidFill>
                </w14:textFill>
              </w:rPr>
            </w:pPr>
            <w:r>
              <w:rPr>
                <w:rFonts w:cs="Times New Roman"/>
                <w:b/>
                <w:bCs/>
                <w:color w:val="000000" w:themeColor="text1"/>
                <w:kern w:val="0"/>
                <w14:textFill>
                  <w14:solidFill>
                    <w14:schemeClr w14:val="tx1"/>
                  </w14:solidFill>
                </w14:textFill>
              </w:rPr>
              <w:t>92.00%</w:t>
            </w:r>
          </w:p>
        </w:tc>
        <w:tc>
          <w:tcPr>
            <w:tcW w:w="2766" w:type="dxa"/>
            <w:tcBorders>
              <w:top w:val="nil"/>
              <w:left w:val="nil"/>
              <w:bottom w:val="nil"/>
              <w:right w:val="nil"/>
            </w:tcBorders>
          </w:tcPr>
          <w:p w14:paraId="62B14E76">
            <w:pPr>
              <w:widowControl/>
              <w:jc w:val="left"/>
              <w:rPr>
                <w:rFonts w:ascii="Arial" w:hAnsi="Arial" w:cs="Arial"/>
                <w:b/>
                <w:bCs/>
                <w:color w:val="000000" w:themeColor="text1"/>
                <w:kern w:val="0"/>
                <w14:textFill>
                  <w14:solidFill>
                    <w14:schemeClr w14:val="tx1"/>
                  </w14:solidFill>
                </w14:textFill>
              </w:rPr>
            </w:pPr>
            <w:r>
              <w:rPr>
                <w:rFonts w:cs="Times New Roman"/>
                <w:b/>
                <w:bCs/>
                <w:color w:val="000000" w:themeColor="text1"/>
                <w:kern w:val="0"/>
                <w14:textFill>
                  <w14:solidFill>
                    <w14:schemeClr w14:val="tx1"/>
                  </w14:solidFill>
                </w14:textFill>
              </w:rPr>
              <w:t>92.00%</w:t>
            </w:r>
          </w:p>
        </w:tc>
      </w:tr>
      <w:tr w14:paraId="3ABA937C">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765" w:type="dxa"/>
            <w:tcBorders>
              <w:top w:val="nil"/>
              <w:left w:val="nil"/>
              <w:bottom w:val="nil"/>
              <w:right w:val="nil"/>
            </w:tcBorders>
          </w:tcPr>
          <w:p w14:paraId="17A5449A">
            <w:pPr>
              <w:widowControl/>
              <w:jc w:val="left"/>
              <w:rPr>
                <w:rFonts w:ascii="Arial" w:hAnsi="Arial" w:cs="Arial"/>
                <w:b/>
                <w:bCs/>
                <w:kern w:val="0"/>
              </w:rPr>
            </w:pPr>
            <w:r>
              <w:rPr>
                <w:rFonts w:ascii="Arial" w:hAnsi="Arial" w:cs="Arial"/>
                <w:b/>
                <w:bCs/>
                <w:kern w:val="0"/>
              </w:rPr>
              <w:t>Specificity</w:t>
            </w:r>
          </w:p>
        </w:tc>
        <w:tc>
          <w:tcPr>
            <w:tcW w:w="2765" w:type="dxa"/>
            <w:tcBorders>
              <w:top w:val="nil"/>
              <w:left w:val="nil"/>
              <w:bottom w:val="nil"/>
              <w:right w:val="nil"/>
            </w:tcBorders>
          </w:tcPr>
          <w:p w14:paraId="3A459905">
            <w:pPr>
              <w:widowControl/>
              <w:jc w:val="left"/>
              <w:rPr>
                <w:rFonts w:ascii="Arial" w:hAnsi="Arial" w:cs="Arial"/>
                <w:b/>
                <w:bCs/>
                <w:color w:val="000000" w:themeColor="text1"/>
                <w:kern w:val="0"/>
                <w14:textFill>
                  <w14:solidFill>
                    <w14:schemeClr w14:val="tx1"/>
                  </w14:solidFill>
                </w14:textFill>
              </w:rPr>
            </w:pPr>
            <w:r>
              <w:rPr>
                <w:rFonts w:cs="Times New Roman"/>
                <w:b/>
                <w:bCs/>
                <w:color w:val="000000" w:themeColor="text1"/>
                <w:kern w:val="0"/>
                <w14:textFill>
                  <w14:solidFill>
                    <w14:schemeClr w14:val="tx1"/>
                  </w14:solidFill>
                </w14:textFill>
              </w:rPr>
              <w:t>99.00%</w:t>
            </w:r>
          </w:p>
        </w:tc>
        <w:tc>
          <w:tcPr>
            <w:tcW w:w="2766" w:type="dxa"/>
            <w:tcBorders>
              <w:top w:val="nil"/>
              <w:left w:val="nil"/>
              <w:bottom w:val="nil"/>
              <w:right w:val="nil"/>
            </w:tcBorders>
          </w:tcPr>
          <w:p w14:paraId="1B0C1CD3">
            <w:pPr>
              <w:widowControl/>
              <w:jc w:val="left"/>
              <w:rPr>
                <w:rFonts w:ascii="Arial" w:hAnsi="Arial" w:cs="Arial"/>
                <w:b/>
                <w:bCs/>
                <w:color w:val="000000" w:themeColor="text1"/>
                <w:kern w:val="0"/>
                <w14:textFill>
                  <w14:solidFill>
                    <w14:schemeClr w14:val="tx1"/>
                  </w14:solidFill>
                </w14:textFill>
              </w:rPr>
            </w:pPr>
            <w:r>
              <w:rPr>
                <w:rFonts w:cs="Times New Roman"/>
                <w:b/>
                <w:bCs/>
                <w:color w:val="000000" w:themeColor="text1"/>
                <w:kern w:val="0"/>
                <w14:textFill>
                  <w14:solidFill>
                    <w14:schemeClr w14:val="tx1"/>
                  </w14:solidFill>
                </w14:textFill>
              </w:rPr>
              <w:t>96.00%</w:t>
            </w:r>
          </w:p>
        </w:tc>
      </w:tr>
      <w:tr w14:paraId="690452CD">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765" w:type="dxa"/>
            <w:tcBorders>
              <w:top w:val="nil"/>
              <w:left w:val="nil"/>
              <w:bottom w:val="single" w:color="auto" w:sz="18" w:space="0"/>
              <w:right w:val="nil"/>
            </w:tcBorders>
          </w:tcPr>
          <w:p w14:paraId="22B8C4CE">
            <w:pPr>
              <w:widowControl/>
              <w:jc w:val="left"/>
              <w:rPr>
                <w:rFonts w:ascii="Arial" w:hAnsi="Arial" w:cs="Arial"/>
                <w:b/>
                <w:bCs/>
                <w:kern w:val="0"/>
              </w:rPr>
            </w:pPr>
            <w:r>
              <w:rPr>
                <w:rFonts w:ascii="Arial" w:hAnsi="Arial" w:cs="Arial"/>
                <w:b/>
                <w:bCs/>
                <w:kern w:val="0"/>
              </w:rPr>
              <w:t>AUC</w:t>
            </w:r>
          </w:p>
        </w:tc>
        <w:tc>
          <w:tcPr>
            <w:tcW w:w="2765" w:type="dxa"/>
            <w:tcBorders>
              <w:top w:val="nil"/>
              <w:left w:val="nil"/>
              <w:bottom w:val="single" w:color="auto" w:sz="18" w:space="0"/>
              <w:right w:val="nil"/>
            </w:tcBorders>
          </w:tcPr>
          <w:p w14:paraId="2562D4A0">
            <w:pPr>
              <w:widowControl/>
              <w:jc w:val="left"/>
              <w:rPr>
                <w:rFonts w:ascii="Arial" w:hAnsi="Arial" w:cs="Arial"/>
                <w:b/>
                <w:bCs/>
                <w:color w:val="000000" w:themeColor="text1"/>
                <w:kern w:val="0"/>
                <w14:textFill>
                  <w14:solidFill>
                    <w14:schemeClr w14:val="tx1"/>
                  </w14:solidFill>
                </w14:textFill>
              </w:rPr>
            </w:pPr>
            <w:r>
              <w:rPr>
                <w:rFonts w:cs="Times New Roman"/>
                <w:b/>
                <w:bCs/>
                <w:color w:val="000000" w:themeColor="text1"/>
                <w:kern w:val="0"/>
                <w14:textFill>
                  <w14:solidFill>
                    <w14:schemeClr w14:val="tx1"/>
                  </w14:solidFill>
                </w14:textFill>
              </w:rPr>
              <w:t>0.949</w:t>
            </w:r>
          </w:p>
        </w:tc>
        <w:tc>
          <w:tcPr>
            <w:tcW w:w="2766" w:type="dxa"/>
            <w:tcBorders>
              <w:top w:val="nil"/>
              <w:left w:val="nil"/>
              <w:bottom w:val="single" w:color="auto" w:sz="18" w:space="0"/>
              <w:right w:val="nil"/>
            </w:tcBorders>
          </w:tcPr>
          <w:p w14:paraId="5B83C408">
            <w:pPr>
              <w:widowControl/>
              <w:jc w:val="left"/>
              <w:rPr>
                <w:rFonts w:ascii="Arial" w:hAnsi="Arial" w:cs="Arial"/>
                <w:b/>
                <w:bCs/>
                <w:color w:val="000000" w:themeColor="text1"/>
                <w:kern w:val="0"/>
                <w14:textFill>
                  <w14:solidFill>
                    <w14:schemeClr w14:val="tx1"/>
                  </w14:solidFill>
                </w14:textFill>
              </w:rPr>
            </w:pPr>
            <w:r>
              <w:rPr>
                <w:rFonts w:cs="Times New Roman"/>
                <w:b/>
                <w:bCs/>
                <w:color w:val="000000" w:themeColor="text1"/>
                <w:kern w:val="0"/>
                <w14:textFill>
                  <w14:solidFill>
                    <w14:schemeClr w14:val="tx1"/>
                  </w14:solidFill>
                </w14:textFill>
              </w:rPr>
              <w:t>0.955</w:t>
            </w:r>
          </w:p>
        </w:tc>
      </w:tr>
    </w:tbl>
    <w:p w14:paraId="65E971E4">
      <w:r>
        <w:drawing>
          <wp:inline distT="0" distB="0" distL="0" distR="0">
            <wp:extent cx="5274310" cy="3956050"/>
            <wp:effectExtent l="0" t="0" r="254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p>
    <w:p w14:paraId="47C3157D">
      <w:pPr>
        <w:rPr>
          <w:rFonts w:cs="Times New Roman"/>
          <w:b/>
          <w:bCs/>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Figure S1. ROC curves and AUC values for different feature residuals constructions extracted from the EC (eye closed) condition only and EC combined with the EO (eye open) condition by RF classification. </w:t>
      </w:r>
    </w:p>
    <w:p w14:paraId="221C3833">
      <w:pPr>
        <w:spacing w:line="360" w:lineRule="auto"/>
        <w:rPr>
          <w:rFonts w:cs="Times New Roman" w:eastAsiaTheme="minorEastAsia"/>
        </w:rPr>
      </w:pPr>
    </w:p>
    <w:p w14:paraId="7B86E564">
      <w:pPr>
        <w:spacing w:line="360" w:lineRule="auto"/>
        <w:rPr>
          <w:rFonts w:cs="Times New Roman" w:eastAsiaTheme="minorEastAsia"/>
        </w:rPr>
      </w:pPr>
    </w:p>
    <w:p w14:paraId="0A892DEA">
      <w:pPr>
        <w:spacing w:line="360" w:lineRule="auto"/>
        <w:rPr>
          <w:rFonts w:cs="Times New Roman" w:eastAsiaTheme="minorEastAsia"/>
        </w:rPr>
      </w:pPr>
    </w:p>
    <w:p w14:paraId="06947AAC">
      <w:pPr>
        <w:widowControl/>
        <w:jc w:val="center"/>
        <w:rPr>
          <w:rFonts w:eastAsia="宋体" w:cs="Times New Roman"/>
          <w:kern w:val="0"/>
          <w:lang w:val="en-GB"/>
        </w:rPr>
      </w:pPr>
      <w:r>
        <w:rPr>
          <w:rFonts w:eastAsia="宋体" w:cs="Times New Roman"/>
          <w:kern w:val="0"/>
          <w:lang w:val="en-GB"/>
        </w:rPr>
        <w:t>References</w:t>
      </w:r>
    </w:p>
    <w:p w14:paraId="7A108983">
      <w:pPr>
        <w:pStyle w:val="11"/>
        <w:ind w:left="720" w:hanging="720"/>
      </w:pPr>
      <w:r>
        <w:fldChar w:fldCharType="begin"/>
      </w:r>
      <w:r>
        <w:instrText xml:space="preserve"> ADDIN EN.REFLIST </w:instrText>
      </w:r>
      <w:r>
        <w:fldChar w:fldCharType="separate"/>
      </w:r>
      <w:r>
        <w:t>1.</w:t>
      </w:r>
      <w:r>
        <w:tab/>
      </w:r>
      <w:r>
        <w:t xml:space="preserve">Breiman, L., </w:t>
      </w:r>
      <w:r>
        <w:rPr>
          <w:i/>
        </w:rPr>
        <w:t>Random Forests.</w:t>
      </w:r>
      <w:r>
        <w:t xml:space="preserve"> Machine Learning, 2001. </w:t>
      </w:r>
      <w:r>
        <w:rPr>
          <w:b/>
        </w:rPr>
        <w:t>45</w:t>
      </w:r>
      <w:r>
        <w:t>(1): p. 5-32.</w:t>
      </w:r>
    </w:p>
    <w:p w14:paraId="7FF75FCD">
      <w:pPr>
        <w:pStyle w:val="11"/>
        <w:ind w:left="720" w:hanging="720"/>
      </w:pPr>
      <w:r>
        <w:t>2.</w:t>
      </w:r>
      <w:r>
        <w:tab/>
      </w:r>
      <w:r>
        <w:t xml:space="preserve">Segal, M., </w:t>
      </w:r>
      <w:r>
        <w:rPr>
          <w:i/>
        </w:rPr>
        <w:t>Machine Learning Benchmarks and Random Forest Regression.</w:t>
      </w:r>
      <w:r>
        <w:t xml:space="preserve"> Technical Report, Center for Bioinformatics &amp; Molecular Biostatistics, University of California, San Francisco, 2003.</w:t>
      </w:r>
    </w:p>
    <w:p w14:paraId="71C97832">
      <w:pPr>
        <w:pStyle w:val="11"/>
        <w:ind w:left="720" w:hanging="720"/>
      </w:pPr>
      <w:r>
        <w:t>3.</w:t>
      </w:r>
      <w:r>
        <w:tab/>
      </w:r>
      <w:r>
        <w:t xml:space="preserve">Chen, W., et al., </w:t>
      </w:r>
      <w:r>
        <w:rPr>
          <w:i/>
        </w:rPr>
        <w:t>A random forest model based classification scheme for neonatal amplitude-integrated EEG.</w:t>
      </w:r>
      <w:r>
        <w:t xml:space="preserve"> BioMedical Engineering OnLine, 2014. </w:t>
      </w:r>
      <w:r>
        <w:rPr>
          <w:b/>
        </w:rPr>
        <w:t>13</w:t>
      </w:r>
      <w:r>
        <w:t>(2): p. S4.</w:t>
      </w:r>
    </w:p>
    <w:p w14:paraId="18E8473F">
      <w:pPr>
        <w:pStyle w:val="11"/>
        <w:ind w:left="720" w:hanging="720"/>
      </w:pPr>
      <w:r>
        <w:t>4.</w:t>
      </w:r>
      <w:r>
        <w:tab/>
      </w:r>
      <w:r>
        <w:t xml:space="preserve">Liaw, A., </w:t>
      </w:r>
      <w:r>
        <w:rPr>
          <w:i/>
        </w:rPr>
        <w:t>Classification and regression by randomForest.</w:t>
      </w:r>
      <w:r>
        <w:t xml:space="preserve"> R news, 2002.</w:t>
      </w:r>
    </w:p>
    <w:p w14:paraId="16170BD9">
      <w: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Numbered1&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2vpxd9x1p5ad3esv0nxettydfxpwvf5pzsf&quot;&gt;My EndNote Library&lt;record-ids&gt;&lt;item&gt;127&lt;/item&gt;&lt;item&gt;128&lt;/item&gt;&lt;item&gt;129&lt;/item&gt;&lt;item&gt;130&lt;/item&gt;&lt;/record-ids&gt;&lt;/item&gt;&lt;/Libraries&gt;"/>
  </w:docVars>
  <w:rsids>
    <w:rsidRoot w:val="001420B8"/>
    <w:rsid w:val="001420B8"/>
    <w:rsid w:val="002A7285"/>
    <w:rsid w:val="00555B73"/>
    <w:rsid w:val="00624EC0"/>
    <w:rsid w:val="006B028D"/>
    <w:rsid w:val="00D93288"/>
    <w:rsid w:val="00DA6910"/>
    <w:rsid w:val="00EA7972"/>
    <w:rsid w:val="00EA7B67"/>
    <w:rsid w:val="10BC32D7"/>
    <w:rsid w:val="6DC57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等线" w:cstheme="minorBidi"/>
      <w:kern w:val="2"/>
      <w:sz w:val="24"/>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sz w:val="18"/>
      <w:szCs w:val="18"/>
    </w:rPr>
  </w:style>
  <w:style w:type="table" w:styleId="5">
    <w:name w:val="Table Grid"/>
    <w:basedOn w:val="4"/>
    <w:qFormat/>
    <w:uiPriority w:val="9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customStyle="1" w:styleId="9">
    <w:name w:val="EndNote Bibliography Title"/>
    <w:basedOn w:val="1"/>
    <w:link w:val="10"/>
    <w:qFormat/>
    <w:uiPriority w:val="0"/>
    <w:pPr>
      <w:jc w:val="center"/>
    </w:pPr>
    <w:rPr>
      <w:rFonts w:cs="Times New Roman"/>
    </w:rPr>
  </w:style>
  <w:style w:type="character" w:customStyle="1" w:styleId="10">
    <w:name w:val="EndNote Bibliography Title 字符"/>
    <w:basedOn w:val="6"/>
    <w:link w:val="9"/>
    <w:qFormat/>
    <w:uiPriority w:val="0"/>
    <w:rPr>
      <w:rFonts w:ascii="Times New Roman" w:hAnsi="Times New Roman" w:eastAsia="等线" w:cs="Times New Roman"/>
      <w:sz w:val="24"/>
      <w:szCs w:val="24"/>
    </w:rPr>
  </w:style>
  <w:style w:type="paragraph" w:customStyle="1" w:styleId="11">
    <w:name w:val="EndNote Bibliography"/>
    <w:basedOn w:val="1"/>
    <w:link w:val="12"/>
    <w:qFormat/>
    <w:uiPriority w:val="0"/>
    <w:rPr>
      <w:rFonts w:cs="Times New Roman"/>
    </w:rPr>
  </w:style>
  <w:style w:type="character" w:customStyle="1" w:styleId="12">
    <w:name w:val="EndNote Bibliography 字符"/>
    <w:basedOn w:val="6"/>
    <w:link w:val="11"/>
    <w:qFormat/>
    <w:uiPriority w:val="0"/>
    <w:rPr>
      <w:rFonts w:ascii="Times New Roman" w:hAnsi="Times New Roman" w:eastAsia="等线"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403</Words>
  <Characters>2263</Characters>
  <Lines>44</Lines>
  <Paragraphs>12</Paragraphs>
  <TotalTime>29</TotalTime>
  <ScaleCrop>false</ScaleCrop>
  <LinksUpToDate>false</LinksUpToDate>
  <CharactersWithSpaces>2644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2024-12-17T10:37:00Z</dcterms:created>
  <dc:creator>Administrator</dc:creator>
  <cp:lastModifiedBy>王娟</cp:lastModifiedBy>
  <dcterms:modified xsi:type="dcterms:W3CDTF">2024-12-24T11:03:40Z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8B17E7E115FE44EAB1F33BF708556C30_12</vt:lpwstr>
  </property>
</Properties>
</file>