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7838CE">
      <w:pPr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Step-by-Step Instructions for Finding NHANES Datasets</w:t>
      </w:r>
    </w:p>
    <w:p w14:paraId="28D465FA">
      <w:pPr>
        <w:rPr>
          <w:rFonts w:hint="default" w:ascii="Times New Roman Bold" w:hAnsi="Times New Roman Bold" w:cs="Times New Roman Bold"/>
          <w:b/>
          <w:bCs/>
          <w:sz w:val="24"/>
          <w:szCs w:val="32"/>
        </w:rPr>
      </w:pPr>
    </w:p>
    <w:p w14:paraId="1615D9E7">
      <w:pPr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1: Visit the NHANES Website</w:t>
      </w:r>
    </w:p>
    <w:p w14:paraId="69BB7B5E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>G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o to the NHANES official website: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https://www.cdc.gov/nchs/nhanes/index.htm.</w:t>
      </w:r>
    </w:p>
    <w:p w14:paraId="2A4602B5">
      <w:pPr>
        <w:numPr>
          <w:ilvl w:val="0"/>
          <w:numId w:val="1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On the homepage, find and click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Data &amp; Documentation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" to enter the data access section.</w:t>
      </w:r>
    </w:p>
    <w:p w14:paraId="4F4C5C4D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17FD80AF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2: Choose a Survey Cycle</w:t>
      </w:r>
    </w:p>
    <w:p w14:paraId="6DCB82AD">
      <w:pPr>
        <w:widowControl w:val="0"/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NHANES data are released in two-year cycles. Each cycle provides a snapshot of the U.S. population for that period.</w:t>
      </w:r>
    </w:p>
    <w:p w14:paraId="36C17F85">
      <w:pPr>
        <w:widowControl w:val="0"/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The available cycles are listed, ranging from 1999-2000 to the most recent 2019-2020. For example: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If your study involves data collected between 2017 and 2020, select these cycles for your dataset.</w:t>
      </w:r>
    </w:p>
    <w:p w14:paraId="5D7A9C4E">
      <w:pPr>
        <w:widowControl w:val="0"/>
        <w:numPr>
          <w:ilvl w:val="0"/>
          <w:numId w:val="2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Click the specific cycle link to view the data files.</w:t>
      </w:r>
    </w:p>
    <w:p w14:paraId="5DE8975E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6F175D99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3: Select the Relevant Data Category</w:t>
      </w:r>
    </w:p>
    <w:p w14:paraId="5F05AB67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NHANES organizes datasets into the following categories. Choose files based on your study needs:</w:t>
      </w:r>
    </w:p>
    <w:p w14:paraId="0B03F047">
      <w:pPr>
        <w:widowControl w:val="0"/>
        <w:numPr>
          <w:ilvl w:val="0"/>
          <w:numId w:val="3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Demographics Data: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Includes information on age, gender, ethnicity, education, income, and marital status.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Click on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Demographics Data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" and download the </w:t>
      </w: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.XPT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 file corresponding to the cycle.</w:t>
      </w:r>
    </w:p>
    <w:p w14:paraId="625AE83F">
      <w:pPr>
        <w:widowControl w:val="0"/>
        <w:numPr>
          <w:ilvl w:val="0"/>
          <w:numId w:val="3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Examination Data: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Contains results from physical exams, imaging, or diagnostic tests (e.g., body measurements, liver ultrasound results).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Navigate to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Examination Data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" and identify relevant data files.</w:t>
      </w:r>
    </w:p>
    <w:p w14:paraId="79E998B7">
      <w:pPr>
        <w:widowControl w:val="0"/>
        <w:numPr>
          <w:ilvl w:val="0"/>
          <w:numId w:val="3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Laboratory Data: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Includes biochemical and clinical test results (e.g., serum uric acid, cholesterol levels, glucose levels).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Go to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Laboratory Data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" and download the required files for your study.</w:t>
      </w:r>
    </w:p>
    <w:p w14:paraId="74729327">
      <w:pPr>
        <w:widowControl w:val="0"/>
        <w:numPr>
          <w:ilvl w:val="0"/>
          <w:numId w:val="3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Questionnaire Data: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Includes self-reported health information, such as conditions like gallstones (GS), dietary intake, or physical activity.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Navigate to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Questionnaire Data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" and locate the questionnaire on gallstone history or dietary recalls.</w:t>
      </w:r>
    </w:p>
    <w:p w14:paraId="72BA1D5A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1014C0A4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4: Access Documentation (Codebooks)</w:t>
      </w:r>
    </w:p>
    <w:p w14:paraId="0ED14F53">
      <w:pPr>
        <w:widowControl w:val="0"/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Every dataset includes a Codebook to describe variables, values, and units.</w:t>
      </w:r>
    </w:p>
    <w:p w14:paraId="473F4EF8">
      <w:pPr>
        <w:widowControl w:val="0"/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Download the Codebook (available as a PDF or TXT file) to understand: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Variable names (e.g., MCQ160L for gallstone diagnosis).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Value coding (e.g., "1" = Yes, "2" = No).</w:t>
      </w:r>
    </w:p>
    <w:p w14:paraId="71A1F2E2">
      <w:pPr>
        <w:widowControl w:val="0"/>
        <w:numPr>
          <w:ilvl w:val="0"/>
          <w:numId w:val="4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Use the Codebook to interpret your dataset correctly.</w:t>
      </w:r>
    </w:p>
    <w:p w14:paraId="743C38A1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7E7162B4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5: Download Data Files</w:t>
      </w:r>
    </w:p>
    <w:p w14:paraId="3E1898F4"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The data files are provided in </w:t>
      </w: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.XPT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 format, compatible with statistical software like R, Python, SAS, or Stata.</w:t>
      </w:r>
    </w:p>
    <w:p w14:paraId="4C4CB4E0"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Click "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sz w:val="21"/>
          <w:szCs w:val="24"/>
        </w:rPr>
        <w:t>Data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" next to each file and download it to your computer.</w:t>
      </w:r>
    </w:p>
    <w:p w14:paraId="011BFDD4">
      <w:pPr>
        <w:widowControl w:val="0"/>
        <w:numPr>
          <w:ilvl w:val="0"/>
          <w:numId w:val="5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Save the files in an organized directory for further analysis.</w:t>
      </w:r>
    </w:p>
    <w:p w14:paraId="428F929A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072E010A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6: Open and Process the Data</w:t>
      </w:r>
    </w:p>
    <w:p w14:paraId="6E109FBE"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Open the </w:t>
      </w: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.XPT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 xml:space="preserve"> files in software</w:t>
      </w:r>
      <w:r>
        <w:rPr>
          <w:rFonts w:hint="eastAsia" w:ascii="Times New Roman" w:hAnsi="Times New Roman" w:cs="Times New Roman"/>
          <w:b w:val="0"/>
          <w:bCs w:val="0"/>
          <w:sz w:val="21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R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Python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SAS or Stata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 w:eastAsia="zh-CN"/>
        </w:rPr>
        <w:t>)</w:t>
      </w:r>
    </w:p>
    <w:p w14:paraId="030956F8">
      <w:pPr>
        <w:widowControl w:val="0"/>
        <w:numPr>
          <w:ilvl w:val="0"/>
          <w:numId w:val="6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Merge datasets using the unique participant identifier variable SEQN to combine demographic, laboratory, examination, and questionnaire data.</w:t>
      </w:r>
    </w:p>
    <w:p w14:paraId="4D96674F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7B9B5380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Step 7: Analyze the Data</w:t>
      </w:r>
    </w:p>
    <w:p w14:paraId="278F7AD6"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Clean and prepare the data according to your study design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/>
        </w:rPr>
        <w:t>.</w:t>
      </w:r>
    </w:p>
    <w:p w14:paraId="68193437">
      <w:pPr>
        <w:widowControl w:val="0"/>
        <w:numPr>
          <w:ilvl w:val="0"/>
          <w:numId w:val="7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Perform statist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ical analyses, such as logistic regression or subgroup analysis, to test your hypotheses.</w:t>
      </w:r>
    </w:p>
    <w:p w14:paraId="0E15E64A">
      <w:pPr>
        <w:widowControl w:val="0"/>
        <w:numPr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</w:p>
    <w:p w14:paraId="395C91F2">
      <w:pPr>
        <w:widowControl w:val="0"/>
        <w:numPr>
          <w:numId w:val="0"/>
        </w:numPr>
        <w:jc w:val="left"/>
        <w:rPr>
          <w:rFonts w:hint="default" w:ascii="Times New Roman Bold" w:hAnsi="Times New Roman Bold" w:cs="Times New Roman Bold"/>
          <w:b/>
          <w:bCs/>
          <w:sz w:val="21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1"/>
          <w:szCs w:val="24"/>
        </w:rPr>
        <w:t>Additional Tips</w:t>
      </w:r>
    </w:p>
    <w:p w14:paraId="05C3EFCA">
      <w:pPr>
        <w:widowControl w:val="0"/>
        <w:numPr>
          <w:ilvl w:val="0"/>
          <w:numId w:val="8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Search Keywords: Use relevant keywords to locate datasets in the NHANES database, such as “serum uric acid,” “gallstones,” or “dietary recall.”</w:t>
      </w:r>
    </w:p>
    <w:p w14:paraId="40883F67">
      <w:pPr>
        <w:widowControl w:val="0"/>
        <w:numPr>
          <w:ilvl w:val="0"/>
          <w:numId w:val="8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Tutorials: NHANES provides tutorials on data usage and merging files. Access these at: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https://wwwn.cdc.gov/nchs/nhanes/tutorials.aspx.</w:t>
      </w:r>
    </w:p>
    <w:p w14:paraId="2F31530F">
      <w:pPr>
        <w:widowControl w:val="0"/>
        <w:numPr>
          <w:ilvl w:val="0"/>
          <w:numId w:val="8"/>
        </w:numPr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1"/>
          <w:szCs w:val="24"/>
        </w:rPr>
        <w:t>Ethical Considerations: NHANES data are de-identified and publicly available, but always cite the source appropriately.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ourier New">
    <w:panose1 w:val="02070409020205090404"/>
    <w:charset w:val="00"/>
    <w:family w:val="auto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DF7834"/>
    <w:multiLevelType w:val="singleLevel"/>
    <w:tmpl w:val="B7DF783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BF0BCD"/>
    <w:multiLevelType w:val="singleLevel"/>
    <w:tmpl w:val="BFBF0BC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D7EE2A5C"/>
    <w:multiLevelType w:val="singleLevel"/>
    <w:tmpl w:val="D7EE2A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DFBF78DB"/>
    <w:multiLevelType w:val="singleLevel"/>
    <w:tmpl w:val="DFBF78D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EE4D6AA"/>
    <w:multiLevelType w:val="singleLevel"/>
    <w:tmpl w:val="EEE4D6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FFA6A6AA"/>
    <w:multiLevelType w:val="singleLevel"/>
    <w:tmpl w:val="FFA6A6A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FFEF949E"/>
    <w:multiLevelType w:val="singleLevel"/>
    <w:tmpl w:val="FFEF949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FFF63D4E"/>
    <w:multiLevelType w:val="singleLevel"/>
    <w:tmpl w:val="FFF63D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9C28B"/>
    <w:rsid w:val="3559C28B"/>
    <w:rsid w:val="76FE5B71"/>
    <w:rsid w:val="77FB1EF1"/>
    <w:rsid w:val="F7B7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styleId="8">
    <w:name w:val="HTML Code"/>
    <w:basedOn w:val="5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2024-11-23T13:39:00Z</dcterms:created>
  <dc:creator>王建军</dc:creator>
  <cp:lastModifiedBy>王建军</cp:lastModifiedBy>
  <dcterms:modified xsi:type="dcterms:W3CDTF">2024-11-23T20:54:13Z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8B6BFB2AD75B49C7976A4167E431858E_41</vt:lpwstr>
  </property>
</Properties>
</file>