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3910A" w14:textId="77777777" w:rsidR="000A25D1" w:rsidRPr="00E9481A" w:rsidRDefault="000A25D1" w:rsidP="000A25D1">
      <w:pPr>
        <w:spacing w:line="360" w:lineRule="auto"/>
        <w:ind w:left="720" w:hanging="720"/>
        <w:contextualSpacing/>
        <w:rPr>
          <w:b/>
          <w:lang w:val="en-GB"/>
        </w:rPr>
      </w:pPr>
      <w:r w:rsidRPr="00E9481A">
        <w:rPr>
          <w:b/>
          <w:lang w:val="en-GB"/>
        </w:rPr>
        <w:t>Supplementary Information</w:t>
      </w:r>
    </w:p>
    <w:p w14:paraId="18E01A55" w14:textId="77777777" w:rsidR="000A25D1" w:rsidRDefault="000A25D1" w:rsidP="000A25D1">
      <w:pPr>
        <w:spacing w:line="360" w:lineRule="auto"/>
        <w:ind w:left="720" w:hanging="720"/>
        <w:contextualSpacing/>
      </w:pPr>
    </w:p>
    <w:p w14:paraId="685EDF5B" w14:textId="77777777" w:rsidR="000A25D1" w:rsidRPr="0025697F" w:rsidRDefault="000A25D1" w:rsidP="000A25D1">
      <w:pPr>
        <w:spacing w:line="360" w:lineRule="auto"/>
        <w:ind w:left="720" w:hanging="720"/>
        <w:contextualSpacing/>
        <w:rPr>
          <w:b/>
        </w:rPr>
      </w:pPr>
      <w:r w:rsidRPr="0025697F">
        <w:rPr>
          <w:b/>
        </w:rPr>
        <w:t>Plant uses of clumped pollen and other commonly occurring pollen types.</w:t>
      </w:r>
    </w:p>
    <w:p w14:paraId="1AAB93E8" w14:textId="77777777" w:rsidR="000A25D1" w:rsidRDefault="000A25D1" w:rsidP="000A25D1">
      <w:pPr>
        <w:spacing w:line="360" w:lineRule="auto"/>
        <w:ind w:left="720" w:hanging="720"/>
        <w:contextualSpacing/>
        <w:rPr>
          <w:lang w:val="en-GB"/>
        </w:rPr>
      </w:pPr>
    </w:p>
    <w:p w14:paraId="4355E9B2" w14:textId="5F16F20B" w:rsidR="000A25D1" w:rsidRDefault="000A25D1" w:rsidP="000A25D1">
      <w:pPr>
        <w:spacing w:line="360" w:lineRule="auto"/>
        <w:contextualSpacing/>
      </w:pPr>
      <w:proofErr w:type="spellStart"/>
      <w:r w:rsidRPr="0025697F">
        <w:rPr>
          <w:b/>
          <w:i/>
          <w:iCs/>
        </w:rPr>
        <w:t>Pimelea</w:t>
      </w:r>
      <w:proofErr w:type="spellEnd"/>
      <w:r w:rsidRPr="0025697F">
        <w:rPr>
          <w:b/>
        </w:rPr>
        <w:t xml:space="preserve"> spp.</w:t>
      </w:r>
      <w:r w:rsidRPr="00032D78">
        <w:t xml:space="preserve"> (</w:t>
      </w:r>
      <w:proofErr w:type="spellStart"/>
      <w:r w:rsidRPr="00032D78">
        <w:t>riceflowers</w:t>
      </w:r>
      <w:proofErr w:type="spellEnd"/>
      <w:r w:rsidRPr="00032D78">
        <w:t xml:space="preserve">) pollen </w:t>
      </w:r>
      <w:r w:rsidR="00EF223E">
        <w:t>(Figure 5M) is</w:t>
      </w:r>
      <w:r w:rsidRPr="00032D78">
        <w:t xml:space="preserve"> found throughout the R31 sediment sequence (and </w:t>
      </w:r>
      <w:r w:rsidR="00EF223E">
        <w:t>is</w:t>
      </w:r>
      <w:r w:rsidRPr="00032D78">
        <w:t xml:space="preserve"> absent in the possum scat samples). </w:t>
      </w:r>
      <w:proofErr w:type="spellStart"/>
      <w:r w:rsidRPr="00032D78">
        <w:t>GunaiKurnai</w:t>
      </w:r>
      <w:proofErr w:type="spellEnd"/>
      <w:r w:rsidRPr="00032D78">
        <w:t xml:space="preserve"> knowledge and ethnohistoric documents report the use of </w:t>
      </w:r>
      <w:proofErr w:type="spellStart"/>
      <w:r w:rsidRPr="00032D78">
        <w:rPr>
          <w:i/>
          <w:iCs/>
        </w:rPr>
        <w:t>Pimelea</w:t>
      </w:r>
      <w:proofErr w:type="spellEnd"/>
      <w:r w:rsidRPr="00032D78">
        <w:t xml:space="preserve"> spp. bark to make fine string for a range of</w:t>
      </w:r>
      <w:r w:rsidRPr="007158F7">
        <w:t xml:space="preserve"> purposes, including finely woven bags carried by </w:t>
      </w:r>
      <w:proofErr w:type="spellStart"/>
      <w:r w:rsidRPr="007158F7">
        <w:rPr>
          <w:i/>
        </w:rPr>
        <w:t>mulla</w:t>
      </w:r>
      <w:r>
        <w:rPr>
          <w:i/>
        </w:rPr>
        <w:t>-</w:t>
      </w:r>
      <w:r w:rsidRPr="007158F7">
        <w:rPr>
          <w:i/>
        </w:rPr>
        <w:t>mull</w:t>
      </w:r>
      <w:r>
        <w:rPr>
          <w:i/>
        </w:rPr>
        <w:t>u</w:t>
      </w:r>
      <w:r w:rsidRPr="007158F7">
        <w:rPr>
          <w:i/>
        </w:rPr>
        <w:t>ng</w:t>
      </w:r>
      <w:proofErr w:type="spellEnd"/>
      <w:r w:rsidRPr="007158F7">
        <w:t xml:space="preserve"> </w:t>
      </w:r>
      <w:r>
        <w:t>and</w:t>
      </w:r>
      <w:r w:rsidRPr="007158F7">
        <w:t xml:space="preserve"> </w:t>
      </w:r>
      <w:r>
        <w:t xml:space="preserve">for </w:t>
      </w:r>
      <w:r w:rsidRPr="007158F7">
        <w:t xml:space="preserve">nets used to </w:t>
      </w:r>
      <w:r>
        <w:t xml:space="preserve">hold a range of materials (Gott 2008; Nash 2004). </w:t>
      </w:r>
    </w:p>
    <w:p w14:paraId="51F33744" w14:textId="77777777" w:rsidR="000A25D1" w:rsidRDefault="000A25D1" w:rsidP="000A25D1">
      <w:pPr>
        <w:spacing w:line="360" w:lineRule="auto"/>
        <w:contextualSpacing/>
        <w:rPr>
          <w:i/>
          <w:iCs/>
        </w:rPr>
      </w:pPr>
    </w:p>
    <w:p w14:paraId="7A9C113A" w14:textId="33611E1F" w:rsidR="000A25D1" w:rsidRDefault="000A25D1" w:rsidP="000A25D1">
      <w:pPr>
        <w:spacing w:line="360" w:lineRule="auto"/>
        <w:contextualSpacing/>
        <w:rPr>
          <w:bCs/>
        </w:rPr>
      </w:pPr>
      <w:r w:rsidRPr="0025697F">
        <w:rPr>
          <w:b/>
          <w:i/>
          <w:iCs/>
        </w:rPr>
        <w:t>Plantago</w:t>
      </w:r>
      <w:r w:rsidRPr="0025697F">
        <w:rPr>
          <w:b/>
        </w:rPr>
        <w:t xml:space="preserve"> spp.</w:t>
      </w:r>
      <w:r w:rsidRPr="00024F8C">
        <w:t xml:space="preserve"> </w:t>
      </w:r>
      <w:r w:rsidR="00EF223E">
        <w:t xml:space="preserve">(Figure 5N) </w:t>
      </w:r>
      <w:r w:rsidR="00EF223E" w:rsidRPr="00024F8C">
        <w:t xml:space="preserve">in the pollen assemblage </w:t>
      </w:r>
      <w:r w:rsidR="00EF223E">
        <w:t>is</w:t>
      </w:r>
      <w:r w:rsidR="00EF223E" w:rsidRPr="00024F8C">
        <w:t xml:space="preserve"> native</w:t>
      </w:r>
      <w:r w:rsidR="00EF223E">
        <w:t xml:space="preserve"> to Australia</w:t>
      </w:r>
      <w:r w:rsidR="00EF223E" w:rsidRPr="00024F8C">
        <w:t xml:space="preserve">. </w:t>
      </w:r>
      <w:r w:rsidRPr="00024F8C">
        <w:rPr>
          <w:i/>
          <w:iCs/>
        </w:rPr>
        <w:t>Plantago debilis</w:t>
      </w:r>
      <w:r w:rsidRPr="00024F8C">
        <w:t xml:space="preserve"> and </w:t>
      </w:r>
      <w:r w:rsidRPr="00024F8C">
        <w:rPr>
          <w:i/>
          <w:iCs/>
        </w:rPr>
        <w:t>P. varia</w:t>
      </w:r>
      <w:r w:rsidRPr="00024F8C">
        <w:t xml:space="preserve"> have distributions across </w:t>
      </w:r>
      <w:proofErr w:type="spellStart"/>
      <w:r w:rsidRPr="00024F8C">
        <w:t>GunaiKurnai</w:t>
      </w:r>
      <w:proofErr w:type="spellEnd"/>
      <w:r w:rsidRPr="00024F8C">
        <w:t xml:space="preserve"> </w:t>
      </w:r>
      <w:r>
        <w:t>C</w:t>
      </w:r>
      <w:r w:rsidRPr="00024F8C">
        <w:t>ountry</w:t>
      </w:r>
      <w:r>
        <w:t xml:space="preserve"> today and in recent historical times</w:t>
      </w:r>
      <w:r w:rsidRPr="00024F8C">
        <w:t>.</w:t>
      </w:r>
      <w:r>
        <w:t xml:space="preserve"> </w:t>
      </w:r>
      <w:r w:rsidRPr="007158F7">
        <w:rPr>
          <w:bCs/>
          <w:i/>
        </w:rPr>
        <w:t>Plantago</w:t>
      </w:r>
      <w:r w:rsidRPr="007158F7">
        <w:rPr>
          <w:bCs/>
        </w:rPr>
        <w:t xml:space="preserve"> sp</w:t>
      </w:r>
      <w:r>
        <w:rPr>
          <w:bCs/>
        </w:rPr>
        <w:t>p.</w:t>
      </w:r>
      <w:r w:rsidRPr="007158F7">
        <w:rPr>
          <w:bCs/>
        </w:rPr>
        <w:t xml:space="preserve"> (e.g., </w:t>
      </w:r>
      <w:r w:rsidRPr="007158F7">
        <w:rPr>
          <w:bCs/>
          <w:i/>
        </w:rPr>
        <w:t>Plantago debilis</w:t>
      </w:r>
      <w:r w:rsidRPr="007158F7">
        <w:rPr>
          <w:bCs/>
        </w:rPr>
        <w:t>) can be used as both a food and medicine.</w:t>
      </w:r>
      <w:r>
        <w:rPr>
          <w:bCs/>
        </w:rPr>
        <w:t xml:space="preserve"> </w:t>
      </w:r>
      <w:r w:rsidR="00517582">
        <w:t>Elsewhere, s</w:t>
      </w:r>
      <w:r w:rsidRPr="00F323F5">
        <w:t xml:space="preserve">eeds of </w:t>
      </w:r>
      <w:r w:rsidRPr="0010429E">
        <w:rPr>
          <w:i/>
          <w:iCs/>
        </w:rPr>
        <w:t>Plantago</w:t>
      </w:r>
      <w:r w:rsidRPr="00F323F5">
        <w:t xml:space="preserve"> s</w:t>
      </w:r>
      <w:r>
        <w:t>p</w:t>
      </w:r>
      <w:r w:rsidRPr="00F323F5">
        <w:t>p. produce a gel-like coating of sticky mucilage upon wetting and are used to make a thickened porridge rich in dietary fibre (</w:t>
      </w:r>
      <w:r>
        <w:t>Low 1991</w:t>
      </w:r>
      <w:r w:rsidRPr="00F323F5">
        <w:t>)</w:t>
      </w:r>
      <w:r>
        <w:t xml:space="preserve">. </w:t>
      </w:r>
      <w:r w:rsidR="00517582">
        <w:rPr>
          <w:bCs/>
          <w:iCs/>
        </w:rPr>
        <w:t>T</w:t>
      </w:r>
      <w:r w:rsidRPr="00F323F5">
        <w:rPr>
          <w:bCs/>
        </w:rPr>
        <w:t xml:space="preserve">he Noongar of southwest Western Australia </w:t>
      </w:r>
      <w:r>
        <w:rPr>
          <w:bCs/>
        </w:rPr>
        <w:t>use(d)</w:t>
      </w:r>
      <w:r w:rsidRPr="007158F7">
        <w:rPr>
          <w:bCs/>
        </w:rPr>
        <w:t xml:space="preserve"> the leaves to treat insect bites, cuts and infections, and to make poultices for the treatment of ulcers and boils</w:t>
      </w:r>
      <w:r>
        <w:rPr>
          <w:bCs/>
        </w:rPr>
        <w:t xml:space="preserve"> (Hansen and Horsfall 2016; Low 1991). We do not know if </w:t>
      </w:r>
      <w:r w:rsidRPr="006547AA">
        <w:rPr>
          <w:bCs/>
          <w:i/>
          <w:iCs/>
        </w:rPr>
        <w:t>Plantago</w:t>
      </w:r>
      <w:r>
        <w:rPr>
          <w:bCs/>
        </w:rPr>
        <w:t xml:space="preserve"> spp. were also used in th</w:t>
      </w:r>
      <w:r w:rsidR="00517582">
        <w:rPr>
          <w:bCs/>
        </w:rPr>
        <w:t>ese</w:t>
      </w:r>
      <w:r>
        <w:rPr>
          <w:bCs/>
        </w:rPr>
        <w:t xml:space="preserve"> way</w:t>
      </w:r>
      <w:r w:rsidR="00517582">
        <w:rPr>
          <w:bCs/>
        </w:rPr>
        <w:t>s</w:t>
      </w:r>
      <w:r>
        <w:rPr>
          <w:bCs/>
        </w:rPr>
        <w:t xml:space="preserve"> in the past by </w:t>
      </w:r>
      <w:proofErr w:type="spellStart"/>
      <w:r>
        <w:rPr>
          <w:bCs/>
        </w:rPr>
        <w:t>GunaiKurnai</w:t>
      </w:r>
      <w:proofErr w:type="spellEnd"/>
      <w:r w:rsidRPr="007158F7">
        <w:rPr>
          <w:bCs/>
        </w:rPr>
        <w:t xml:space="preserve">. </w:t>
      </w:r>
      <w:r w:rsidRPr="007158F7">
        <w:rPr>
          <w:bCs/>
          <w:i/>
        </w:rPr>
        <w:t>Plantago</w:t>
      </w:r>
      <w:r w:rsidRPr="007158F7">
        <w:rPr>
          <w:bCs/>
        </w:rPr>
        <w:t xml:space="preserve"> s</w:t>
      </w:r>
      <w:r>
        <w:rPr>
          <w:bCs/>
        </w:rPr>
        <w:t>p</w:t>
      </w:r>
      <w:r w:rsidRPr="007158F7">
        <w:rPr>
          <w:bCs/>
        </w:rPr>
        <w:t>p. pollen, as single grains and in single</w:t>
      </w:r>
      <w:r>
        <w:rPr>
          <w:bCs/>
        </w:rPr>
        <w:t>-</w:t>
      </w:r>
      <w:r w:rsidRPr="007158F7">
        <w:rPr>
          <w:bCs/>
        </w:rPr>
        <w:t xml:space="preserve">taxon clumps, are most common </w:t>
      </w:r>
      <w:r>
        <w:rPr>
          <w:bCs/>
        </w:rPr>
        <w:t>in sediments dated to</w:t>
      </w:r>
      <w:r w:rsidRPr="007158F7">
        <w:rPr>
          <w:bCs/>
        </w:rPr>
        <w:t xml:space="preserve"> </w:t>
      </w:r>
      <w:r>
        <w:rPr>
          <w:bCs/>
        </w:rPr>
        <w:t>c.</w:t>
      </w:r>
      <w:r w:rsidRPr="007158F7">
        <w:rPr>
          <w:bCs/>
        </w:rPr>
        <w:t xml:space="preserve"> 15,000–11,000 </w:t>
      </w:r>
      <w:r>
        <w:rPr>
          <w:bCs/>
        </w:rPr>
        <w:t>cal BP</w:t>
      </w:r>
      <w:r w:rsidRPr="007158F7">
        <w:rPr>
          <w:bCs/>
        </w:rPr>
        <w:t xml:space="preserve"> in R31 and 5000–4000 </w:t>
      </w:r>
      <w:r>
        <w:rPr>
          <w:bCs/>
        </w:rPr>
        <w:t>cal BP</w:t>
      </w:r>
      <w:r w:rsidRPr="007158F7">
        <w:rPr>
          <w:bCs/>
        </w:rPr>
        <w:t xml:space="preserve"> in P35. </w:t>
      </w:r>
      <w:r w:rsidR="00EF223E" w:rsidRPr="007158F7">
        <w:rPr>
          <w:bCs/>
        </w:rPr>
        <w:t xml:space="preserve">Above </w:t>
      </w:r>
      <w:r w:rsidR="00EF223E">
        <w:rPr>
          <w:bCs/>
        </w:rPr>
        <w:t>these levels</w:t>
      </w:r>
      <w:r w:rsidR="00EF223E" w:rsidRPr="007158F7">
        <w:rPr>
          <w:bCs/>
        </w:rPr>
        <w:t xml:space="preserve">, the barren zones associated with the ash layers (SU2) preclude insight into </w:t>
      </w:r>
      <w:r w:rsidR="00EF223E">
        <w:rPr>
          <w:bCs/>
        </w:rPr>
        <w:t xml:space="preserve">the </w:t>
      </w:r>
      <w:r w:rsidR="00EF223E" w:rsidRPr="007158F7">
        <w:rPr>
          <w:bCs/>
        </w:rPr>
        <w:t>occurrence of cultural plant use</w:t>
      </w:r>
      <w:r w:rsidR="00EF223E">
        <w:rPr>
          <w:bCs/>
        </w:rPr>
        <w:t xml:space="preserve"> during more recent times at </w:t>
      </w:r>
      <w:proofErr w:type="spellStart"/>
      <w:r w:rsidR="00EF223E">
        <w:rPr>
          <w:bCs/>
        </w:rPr>
        <w:t>Cloggs</w:t>
      </w:r>
      <w:proofErr w:type="spellEnd"/>
      <w:r w:rsidR="00EF223E">
        <w:rPr>
          <w:bCs/>
        </w:rPr>
        <w:t xml:space="preserve"> Cave</w:t>
      </w:r>
      <w:r w:rsidR="00EF223E" w:rsidRPr="007158F7">
        <w:rPr>
          <w:bCs/>
        </w:rPr>
        <w:t>.</w:t>
      </w:r>
    </w:p>
    <w:p w14:paraId="504DE2FE" w14:textId="77777777" w:rsidR="000A25D1" w:rsidRDefault="000A25D1" w:rsidP="000A25D1">
      <w:pPr>
        <w:spacing w:line="360" w:lineRule="auto"/>
        <w:contextualSpacing/>
        <w:rPr>
          <w:bCs/>
        </w:rPr>
      </w:pPr>
    </w:p>
    <w:p w14:paraId="570A0D1A" w14:textId="21F4D9A6" w:rsidR="000A25D1" w:rsidRDefault="000A25D1" w:rsidP="000A25D1">
      <w:pPr>
        <w:spacing w:line="360" w:lineRule="auto"/>
        <w:contextualSpacing/>
      </w:pPr>
      <w:r w:rsidRPr="0025697F">
        <w:rPr>
          <w:b/>
        </w:rPr>
        <w:t>The Asteraceae family</w:t>
      </w:r>
      <w:r w:rsidRPr="00FB3D8F">
        <w:t xml:space="preserve">, including members of the two major sub-families </w:t>
      </w:r>
      <w:proofErr w:type="spellStart"/>
      <w:r w:rsidRPr="00FB3D8F">
        <w:t>Asteroideae</w:t>
      </w:r>
      <w:proofErr w:type="spellEnd"/>
      <w:r w:rsidRPr="00FB3D8F">
        <w:t xml:space="preserve"> (echinate</w:t>
      </w:r>
      <w:r>
        <w:t>-</w:t>
      </w:r>
      <w:r w:rsidRPr="00FB3D8F">
        <w:t xml:space="preserve">type pollen) and </w:t>
      </w:r>
      <w:proofErr w:type="spellStart"/>
      <w:r w:rsidRPr="00FB3D8F">
        <w:t>Cichorioide</w:t>
      </w:r>
      <w:r>
        <w:t>ae</w:t>
      </w:r>
      <w:proofErr w:type="spellEnd"/>
      <w:r w:rsidRPr="00FB3D8F">
        <w:t xml:space="preserve"> (fenestrate</w:t>
      </w:r>
      <w:r>
        <w:t>-</w:t>
      </w:r>
      <w:r w:rsidRPr="00FB3D8F">
        <w:t>type pollen)</w:t>
      </w:r>
      <w:r>
        <w:t>,</w:t>
      </w:r>
      <w:r w:rsidRPr="00FB3D8F">
        <w:t xml:space="preserve"> dominate the assemblage</w:t>
      </w:r>
      <w:r>
        <w:t xml:space="preserve"> as both single grains and clumps. S</w:t>
      </w:r>
      <w:r w:rsidRPr="00FB3D8F">
        <w:t>everal species of Asteraceae</w:t>
      </w:r>
      <w:r>
        <w:t xml:space="preserve"> are</w:t>
      </w:r>
      <w:r w:rsidRPr="00FB3D8F">
        <w:t xml:space="preserve"> known to have medicinal uses</w:t>
      </w:r>
      <w:r>
        <w:t xml:space="preserve"> among the </w:t>
      </w:r>
      <w:proofErr w:type="spellStart"/>
      <w:r w:rsidRPr="00905684">
        <w:t>Wotjobaluk</w:t>
      </w:r>
      <w:proofErr w:type="spellEnd"/>
      <w:r w:rsidRPr="00905684">
        <w:t xml:space="preserve"> </w:t>
      </w:r>
      <w:r>
        <w:t>of western</w:t>
      </w:r>
      <w:r w:rsidRPr="00905684">
        <w:t xml:space="preserve"> Victoria </w:t>
      </w:r>
      <w:r>
        <w:t xml:space="preserve">(c. 150 km west of </w:t>
      </w:r>
      <w:proofErr w:type="spellStart"/>
      <w:r>
        <w:t>GunaiKurnai</w:t>
      </w:r>
      <w:proofErr w:type="spellEnd"/>
      <w:r>
        <w:t xml:space="preserve"> Country) </w:t>
      </w:r>
      <w:r w:rsidRPr="00905684">
        <w:t xml:space="preserve">and the </w:t>
      </w:r>
      <w:proofErr w:type="spellStart"/>
      <w:r w:rsidRPr="00905684">
        <w:t>Yaegl</w:t>
      </w:r>
      <w:proofErr w:type="spellEnd"/>
      <w:r w:rsidRPr="00905684">
        <w:t xml:space="preserve"> </w:t>
      </w:r>
      <w:r>
        <w:t>of</w:t>
      </w:r>
      <w:r w:rsidRPr="00905684">
        <w:t xml:space="preserve"> northern New South Wales </w:t>
      </w:r>
      <w:r>
        <w:t xml:space="preserve">(c. 800 km north) </w:t>
      </w:r>
      <w:r w:rsidRPr="00905684">
        <w:t>(De Angelis 2005; Packer et al. 2012)</w:t>
      </w:r>
      <w:r>
        <w:t>. Few Aboriginal communities in SE Australia have published details of their plant uses, so their real geographical extents are likely to be more extensive than what is known from the literature</w:t>
      </w:r>
      <w:r w:rsidRPr="00FB3D8F">
        <w:t xml:space="preserve">. </w:t>
      </w:r>
      <w:r w:rsidRPr="00024F8C">
        <w:t xml:space="preserve">Pollen resembling </w:t>
      </w:r>
      <w:proofErr w:type="spellStart"/>
      <w:r w:rsidRPr="00024F8C">
        <w:rPr>
          <w:i/>
          <w:iCs/>
        </w:rPr>
        <w:t>Microseris</w:t>
      </w:r>
      <w:proofErr w:type="spellEnd"/>
      <w:r w:rsidRPr="00024F8C">
        <w:t xml:space="preserve"> s</w:t>
      </w:r>
      <w:r>
        <w:t>p</w:t>
      </w:r>
      <w:r w:rsidRPr="00024F8C">
        <w:t xml:space="preserve">p. </w:t>
      </w:r>
      <w:r w:rsidR="00EF223E" w:rsidRPr="00024F8C">
        <w:t>(Figure 5D),</w:t>
      </w:r>
      <w:r w:rsidR="00EF223E">
        <w:t xml:space="preserve"> </w:t>
      </w:r>
      <w:r w:rsidRPr="00024F8C">
        <w:t xml:space="preserve">commonly known as </w:t>
      </w:r>
      <w:proofErr w:type="spellStart"/>
      <w:r>
        <w:rPr>
          <w:i/>
          <w:iCs/>
        </w:rPr>
        <w:t>murnong</w:t>
      </w:r>
      <w:proofErr w:type="spellEnd"/>
      <w:r w:rsidRPr="00024F8C">
        <w:t xml:space="preserve"> or yam daisy</w:t>
      </w:r>
      <w:r>
        <w:t>,</w:t>
      </w:r>
      <w:r w:rsidRPr="00024F8C">
        <w:t xml:space="preserve"> cannot be definitively </w:t>
      </w:r>
      <w:r>
        <w:t>differentiated</w:t>
      </w:r>
      <w:r w:rsidRPr="00024F8C">
        <w:t xml:space="preserve"> from other species </w:t>
      </w:r>
      <w:r>
        <w:t xml:space="preserve">of the </w:t>
      </w:r>
      <w:proofErr w:type="spellStart"/>
      <w:r w:rsidRPr="00024F8C">
        <w:t>Cichorioideae</w:t>
      </w:r>
      <w:proofErr w:type="spellEnd"/>
      <w:r w:rsidRPr="00024F8C">
        <w:t xml:space="preserve"> subfamily</w:t>
      </w:r>
      <w:r>
        <w:t>,</w:t>
      </w:r>
      <w:r w:rsidRPr="00024F8C">
        <w:t xml:space="preserve"> </w:t>
      </w:r>
      <w:r>
        <w:t>so we refer to it</w:t>
      </w:r>
      <w:r w:rsidRPr="00024F8C">
        <w:t xml:space="preserve"> as ‘</w:t>
      </w:r>
      <w:proofErr w:type="spellStart"/>
      <w:r w:rsidRPr="00A71ACC">
        <w:rPr>
          <w:i/>
          <w:iCs/>
        </w:rPr>
        <w:t>murnong</w:t>
      </w:r>
      <w:proofErr w:type="spellEnd"/>
      <w:r>
        <w:t>-</w:t>
      </w:r>
      <w:r w:rsidRPr="00024F8C">
        <w:t xml:space="preserve">type’ pollen </w:t>
      </w:r>
      <w:r>
        <w:t>to</w:t>
      </w:r>
      <w:r w:rsidRPr="00024F8C">
        <w:t xml:space="preserve"> indicate </w:t>
      </w:r>
      <w:r>
        <w:t>that it resembles that of</w:t>
      </w:r>
      <w:r w:rsidRPr="00024F8C">
        <w:t xml:space="preserve"> </w:t>
      </w:r>
      <w:proofErr w:type="spellStart"/>
      <w:r>
        <w:rPr>
          <w:i/>
          <w:iCs/>
        </w:rPr>
        <w:t>murnong</w:t>
      </w:r>
      <w:proofErr w:type="spellEnd"/>
      <w:r w:rsidRPr="00024F8C">
        <w:t xml:space="preserve">. </w:t>
      </w:r>
      <w:r w:rsidRPr="00FB3D8F">
        <w:t>The tubers of</w:t>
      </w:r>
      <w:r>
        <w:t xml:space="preserve"> </w:t>
      </w:r>
      <w:proofErr w:type="spellStart"/>
      <w:r w:rsidRPr="00FB3D8F">
        <w:rPr>
          <w:iCs/>
        </w:rPr>
        <w:t>Cichorioide</w:t>
      </w:r>
      <w:proofErr w:type="spellEnd"/>
      <w:r>
        <w:t xml:space="preserve"> spp. </w:t>
      </w:r>
      <w:r>
        <w:rPr>
          <w:iCs/>
        </w:rPr>
        <w:t xml:space="preserve">are </w:t>
      </w:r>
      <w:r w:rsidRPr="00FB3D8F">
        <w:rPr>
          <w:iCs/>
        </w:rPr>
        <w:t>a</w:t>
      </w:r>
      <w:r>
        <w:rPr>
          <w:iCs/>
        </w:rPr>
        <w:t xml:space="preserve">n </w:t>
      </w:r>
      <w:r w:rsidRPr="00FB3D8F">
        <w:rPr>
          <w:iCs/>
        </w:rPr>
        <w:t>important group of plant</w:t>
      </w:r>
      <w:r>
        <w:rPr>
          <w:iCs/>
        </w:rPr>
        <w:t xml:space="preserve"> </w:t>
      </w:r>
      <w:r w:rsidRPr="00FB3D8F">
        <w:rPr>
          <w:iCs/>
        </w:rPr>
        <w:lastRenderedPageBreak/>
        <w:t>food</w:t>
      </w:r>
      <w:r>
        <w:rPr>
          <w:iCs/>
        </w:rPr>
        <w:t>s</w:t>
      </w:r>
      <w:r w:rsidRPr="00FB3D8F">
        <w:rPr>
          <w:iCs/>
        </w:rPr>
        <w:t xml:space="preserve"> </w:t>
      </w:r>
      <w:r>
        <w:rPr>
          <w:iCs/>
        </w:rPr>
        <w:t>in many parts of the world</w:t>
      </w:r>
      <w:r w:rsidRPr="00FB3D8F">
        <w:rPr>
          <w:iCs/>
        </w:rPr>
        <w:t xml:space="preserve">. </w:t>
      </w:r>
      <w:proofErr w:type="spellStart"/>
      <w:r w:rsidRPr="00213CAC">
        <w:rPr>
          <w:i/>
        </w:rPr>
        <w:t>Murnong</w:t>
      </w:r>
      <w:proofErr w:type="spellEnd"/>
      <w:r w:rsidRPr="00FB3D8F">
        <w:rPr>
          <w:iCs/>
        </w:rPr>
        <w:t xml:space="preserve"> was once an important staple</w:t>
      </w:r>
      <w:r>
        <w:rPr>
          <w:iCs/>
        </w:rPr>
        <w:t xml:space="preserve"> food</w:t>
      </w:r>
      <w:r w:rsidRPr="00FB3D8F">
        <w:rPr>
          <w:iCs/>
        </w:rPr>
        <w:t xml:space="preserve"> for Aboriginal people</w:t>
      </w:r>
      <w:r>
        <w:rPr>
          <w:iCs/>
        </w:rPr>
        <w:t>s</w:t>
      </w:r>
      <w:r w:rsidRPr="00FB3D8F">
        <w:rPr>
          <w:iCs/>
        </w:rPr>
        <w:t xml:space="preserve"> across</w:t>
      </w:r>
      <w:r>
        <w:rPr>
          <w:iCs/>
        </w:rPr>
        <w:t xml:space="preserve"> much of</w:t>
      </w:r>
      <w:r w:rsidRPr="00FB3D8F">
        <w:rPr>
          <w:iCs/>
        </w:rPr>
        <w:t xml:space="preserve"> </w:t>
      </w:r>
      <w:r>
        <w:rPr>
          <w:iCs/>
        </w:rPr>
        <w:t>SE Australia</w:t>
      </w:r>
      <w:r w:rsidRPr="00FB3D8F">
        <w:rPr>
          <w:iCs/>
        </w:rPr>
        <w:t xml:space="preserve">, </w:t>
      </w:r>
      <w:r>
        <w:rPr>
          <w:iCs/>
        </w:rPr>
        <w:t>where the</w:t>
      </w:r>
      <w:r w:rsidRPr="00FB3D8F">
        <w:rPr>
          <w:iCs/>
        </w:rPr>
        <w:t xml:space="preserve"> </w:t>
      </w:r>
      <w:r>
        <w:rPr>
          <w:iCs/>
        </w:rPr>
        <w:t xml:space="preserve">tubers were eaten </w:t>
      </w:r>
      <w:r w:rsidRPr="00FB3D8F">
        <w:rPr>
          <w:iCs/>
        </w:rPr>
        <w:t>raw or roasted</w:t>
      </w:r>
      <w:r>
        <w:rPr>
          <w:iCs/>
        </w:rPr>
        <w:t>, sometimes in</w:t>
      </w:r>
      <w:r w:rsidRPr="00FB3D8F">
        <w:rPr>
          <w:iCs/>
        </w:rPr>
        <w:t xml:space="preserve"> earth oven</w:t>
      </w:r>
      <w:r>
        <w:rPr>
          <w:iCs/>
        </w:rPr>
        <w:t>s (De Angelis 2005; Nash 2004)</w:t>
      </w:r>
      <w:r w:rsidRPr="00FB3D8F">
        <w:rPr>
          <w:iCs/>
        </w:rPr>
        <w:t>.</w:t>
      </w:r>
      <w:r>
        <w:rPr>
          <w:iCs/>
        </w:rPr>
        <w:t xml:space="preserve"> The leaves can also be eaten.</w:t>
      </w:r>
      <w:r w:rsidRPr="00FB3D8F">
        <w:rPr>
          <w:iCs/>
        </w:rPr>
        <w:t xml:space="preserve"> </w:t>
      </w:r>
      <w:proofErr w:type="spellStart"/>
      <w:r w:rsidRPr="00CC0C52">
        <w:rPr>
          <w:i/>
          <w:iCs/>
        </w:rPr>
        <w:t>Murnong</w:t>
      </w:r>
      <w:proofErr w:type="spellEnd"/>
      <w:r>
        <w:rPr>
          <w:iCs/>
        </w:rPr>
        <w:t>-</w:t>
      </w:r>
      <w:r w:rsidRPr="00FB3D8F">
        <w:rPr>
          <w:iCs/>
        </w:rPr>
        <w:t xml:space="preserve">type pollen occurs in low levels throughout the </w:t>
      </w:r>
      <w:r>
        <w:rPr>
          <w:iCs/>
        </w:rPr>
        <w:t xml:space="preserve">P35 and R31 sediment </w:t>
      </w:r>
      <w:r w:rsidRPr="00FB3D8F">
        <w:rPr>
          <w:iCs/>
        </w:rPr>
        <w:t>sequence</w:t>
      </w:r>
      <w:r>
        <w:rPr>
          <w:iCs/>
        </w:rPr>
        <w:t>s,</w:t>
      </w:r>
      <w:r w:rsidRPr="00FB3D8F">
        <w:rPr>
          <w:iCs/>
        </w:rPr>
        <w:t xml:space="preserve"> with the </w:t>
      </w:r>
      <w:r w:rsidRPr="00F52079">
        <w:rPr>
          <w:iCs/>
        </w:rPr>
        <w:t xml:space="preserve">highest values </w:t>
      </w:r>
      <w:r w:rsidRPr="00F52079">
        <w:t>in the late glacial levels (c. 17,500 to 1</w:t>
      </w:r>
      <w:r>
        <w:t>2</w:t>
      </w:r>
      <w:r w:rsidRPr="00F52079">
        <w:t>,500 cal BP</w:t>
      </w:r>
      <w:r>
        <w:t>, XU13–XU33)</w:t>
      </w:r>
      <w:r w:rsidR="00EF223E">
        <w:t xml:space="preserve"> (Figure 4)</w:t>
      </w:r>
      <w:r w:rsidRPr="00F52079">
        <w:t xml:space="preserve">. </w:t>
      </w:r>
      <w:proofErr w:type="spellStart"/>
      <w:r w:rsidRPr="00F52079">
        <w:rPr>
          <w:i/>
        </w:rPr>
        <w:t>Murnong</w:t>
      </w:r>
      <w:proofErr w:type="spellEnd"/>
      <w:r w:rsidRPr="00F52079">
        <w:t xml:space="preserve">-type pollen </w:t>
      </w:r>
      <w:r>
        <w:t xml:space="preserve">usually </w:t>
      </w:r>
      <w:r w:rsidRPr="00E84887">
        <w:t>transport</w:t>
      </w:r>
      <w:r>
        <w:t>s</w:t>
      </w:r>
      <w:r w:rsidRPr="00E84887">
        <w:t xml:space="preserve"> only short distances from the parent plant</w:t>
      </w:r>
      <w:r>
        <w:t xml:space="preserve"> (Macphail and Woodward 2017) and</w:t>
      </w:r>
      <w:r w:rsidRPr="00E84887">
        <w:t xml:space="preserve"> </w:t>
      </w:r>
      <w:r>
        <w:t>is</w:t>
      </w:r>
      <w:r w:rsidRPr="00F52079">
        <w:t xml:space="preserve"> not commonly found in </w:t>
      </w:r>
      <w:r>
        <w:t xml:space="preserve">other </w:t>
      </w:r>
      <w:r w:rsidRPr="00F52079">
        <w:t>sedimentary pollen records</w:t>
      </w:r>
      <w:r>
        <w:t>, such as lake or swamp records</w:t>
      </w:r>
      <w:r w:rsidRPr="00F52079">
        <w:t xml:space="preserve">. This is because </w:t>
      </w:r>
      <w:proofErr w:type="spellStart"/>
      <w:r>
        <w:rPr>
          <w:i/>
          <w:iCs/>
        </w:rPr>
        <w:t>murnong</w:t>
      </w:r>
      <w:proofErr w:type="spellEnd"/>
      <w:r w:rsidRPr="00F52079">
        <w:t xml:space="preserve"> </w:t>
      </w:r>
      <w:r>
        <w:t>is</w:t>
      </w:r>
      <w:r w:rsidRPr="00F52079">
        <w:t xml:space="preserve"> </w:t>
      </w:r>
      <w:r>
        <w:t>thought</w:t>
      </w:r>
      <w:r w:rsidRPr="00F52079">
        <w:t xml:space="preserve"> to have low pollen production rates and rel</w:t>
      </w:r>
      <w:r>
        <w:t>ies</w:t>
      </w:r>
      <w:r w:rsidRPr="00F52079">
        <w:t xml:space="preserve"> on insects instead</w:t>
      </w:r>
      <w:r w:rsidRPr="00FB3D8F">
        <w:t xml:space="preserve"> of air currents for pollination.</w:t>
      </w:r>
      <w:r w:rsidRPr="0073033D">
        <w:t xml:space="preserve"> </w:t>
      </w:r>
      <w:proofErr w:type="spellStart"/>
      <w:r w:rsidRPr="00CC26BB">
        <w:rPr>
          <w:i/>
          <w:iCs/>
        </w:rPr>
        <w:t>Murnong</w:t>
      </w:r>
      <w:proofErr w:type="spellEnd"/>
      <w:r>
        <w:t>-type</w:t>
      </w:r>
      <w:r w:rsidRPr="0073033D">
        <w:t xml:space="preserve"> pollen is not found in </w:t>
      </w:r>
      <w:r>
        <w:t xml:space="preserve">the </w:t>
      </w:r>
      <w:proofErr w:type="spellStart"/>
      <w:r>
        <w:t>Cloggs</w:t>
      </w:r>
      <w:proofErr w:type="spellEnd"/>
      <w:r>
        <w:t xml:space="preserve"> Cave </w:t>
      </w:r>
      <w:r w:rsidRPr="0073033D">
        <w:t>possum scats.</w:t>
      </w:r>
    </w:p>
    <w:p w14:paraId="37A58EB0" w14:textId="77777777" w:rsidR="000A25D1" w:rsidRDefault="000A25D1" w:rsidP="000A25D1">
      <w:pPr>
        <w:spacing w:line="360" w:lineRule="auto"/>
        <w:contextualSpacing/>
      </w:pPr>
    </w:p>
    <w:p w14:paraId="78037318" w14:textId="25B24BE8" w:rsidR="00EF223E" w:rsidRDefault="00EF223E" w:rsidP="000A25D1">
      <w:pPr>
        <w:spacing w:line="360" w:lineRule="auto"/>
        <w:contextualSpacing/>
        <w:rPr>
          <w:bCs/>
        </w:rPr>
      </w:pPr>
      <w:r>
        <w:t xml:space="preserve">The presence of </w:t>
      </w:r>
      <w:r w:rsidR="000A25D1" w:rsidRPr="0025697F">
        <w:rPr>
          <w:b/>
          <w:bCs/>
          <w:i/>
          <w:iCs/>
        </w:rPr>
        <w:t>Banksia</w:t>
      </w:r>
      <w:r w:rsidR="000A25D1">
        <w:rPr>
          <w:bCs/>
          <w:iCs/>
        </w:rPr>
        <w:t xml:space="preserve"> </w:t>
      </w:r>
      <w:r w:rsidR="000A25D1" w:rsidRPr="00242861">
        <w:rPr>
          <w:b/>
          <w:iCs/>
        </w:rPr>
        <w:t>spp.</w:t>
      </w:r>
      <w:r w:rsidR="000A25D1">
        <w:rPr>
          <w:bCs/>
          <w:iCs/>
        </w:rPr>
        <w:t xml:space="preserve"> </w:t>
      </w:r>
      <w:r>
        <w:rPr>
          <w:bCs/>
          <w:iCs/>
        </w:rPr>
        <w:t xml:space="preserve">(Figure 5E) </w:t>
      </w:r>
      <w:r w:rsidR="000A25D1" w:rsidRPr="00FB3D8F">
        <w:rPr>
          <w:bCs/>
        </w:rPr>
        <w:t xml:space="preserve">pollen in the </w:t>
      </w:r>
      <w:proofErr w:type="spellStart"/>
      <w:r w:rsidR="000A25D1" w:rsidRPr="00FB3D8F">
        <w:rPr>
          <w:bCs/>
        </w:rPr>
        <w:t>Cloggs</w:t>
      </w:r>
      <w:proofErr w:type="spellEnd"/>
      <w:r w:rsidR="000A25D1" w:rsidRPr="00FB3D8F">
        <w:rPr>
          <w:bCs/>
        </w:rPr>
        <w:t xml:space="preserve"> Cave sediments </w:t>
      </w:r>
      <w:r w:rsidR="000A25D1">
        <w:rPr>
          <w:bCs/>
        </w:rPr>
        <w:t>is</w:t>
      </w:r>
      <w:r w:rsidR="000A25D1" w:rsidRPr="00FB3D8F">
        <w:rPr>
          <w:bCs/>
        </w:rPr>
        <w:t xml:space="preserve"> intriguing</w:t>
      </w:r>
      <w:r w:rsidR="000A25D1">
        <w:rPr>
          <w:bCs/>
        </w:rPr>
        <w:t>.</w:t>
      </w:r>
      <w:r w:rsidR="000A25D1" w:rsidRPr="00FB3D8F">
        <w:rPr>
          <w:bCs/>
        </w:rPr>
        <w:t xml:space="preserve"> </w:t>
      </w:r>
      <w:r w:rsidR="000A25D1">
        <w:rPr>
          <w:bCs/>
        </w:rPr>
        <w:t>A</w:t>
      </w:r>
      <w:r w:rsidR="000A25D1" w:rsidRPr="00FB3D8F">
        <w:rPr>
          <w:bCs/>
        </w:rPr>
        <w:t>s</w:t>
      </w:r>
      <w:r w:rsidR="000A25D1">
        <w:rPr>
          <w:bCs/>
        </w:rPr>
        <w:t xml:space="preserve"> with</w:t>
      </w:r>
      <w:r w:rsidR="000A25D1" w:rsidRPr="00FB3D8F">
        <w:rPr>
          <w:bCs/>
        </w:rPr>
        <w:t xml:space="preserve"> the </w:t>
      </w:r>
      <w:proofErr w:type="spellStart"/>
      <w:r w:rsidR="000A25D1">
        <w:rPr>
          <w:bCs/>
          <w:i/>
          <w:iCs/>
        </w:rPr>
        <w:t>murnong</w:t>
      </w:r>
      <w:proofErr w:type="spellEnd"/>
      <w:r w:rsidR="000A25D1">
        <w:rPr>
          <w:bCs/>
        </w:rPr>
        <w:t>-</w:t>
      </w:r>
      <w:r w:rsidR="000A25D1" w:rsidRPr="00FB3D8F">
        <w:rPr>
          <w:bCs/>
        </w:rPr>
        <w:t xml:space="preserve">type pollen, </w:t>
      </w:r>
      <w:r w:rsidR="000A25D1" w:rsidRPr="00FB3D8F">
        <w:rPr>
          <w:bCs/>
          <w:i/>
        </w:rPr>
        <w:t>Banksia</w:t>
      </w:r>
      <w:r w:rsidR="000A25D1" w:rsidRPr="00FB3D8F">
        <w:rPr>
          <w:bCs/>
        </w:rPr>
        <w:t xml:space="preserve"> s</w:t>
      </w:r>
      <w:r w:rsidR="000A25D1">
        <w:rPr>
          <w:bCs/>
        </w:rPr>
        <w:t>p</w:t>
      </w:r>
      <w:r w:rsidR="000A25D1" w:rsidRPr="00FB3D8F">
        <w:rPr>
          <w:bCs/>
        </w:rPr>
        <w:t xml:space="preserve">p. pollen is rarely found in </w:t>
      </w:r>
      <w:r w:rsidR="000A25D1">
        <w:rPr>
          <w:bCs/>
        </w:rPr>
        <w:t xml:space="preserve">pollen records recovered from </w:t>
      </w:r>
      <w:r w:rsidR="000A25D1" w:rsidRPr="00FB3D8F">
        <w:rPr>
          <w:bCs/>
        </w:rPr>
        <w:t>lake</w:t>
      </w:r>
      <w:r w:rsidR="000A25D1">
        <w:rPr>
          <w:bCs/>
        </w:rPr>
        <w:t>s</w:t>
      </w:r>
      <w:r w:rsidR="000A25D1" w:rsidRPr="00FB3D8F">
        <w:rPr>
          <w:bCs/>
        </w:rPr>
        <w:t xml:space="preserve"> and swamp</w:t>
      </w:r>
      <w:r w:rsidR="000A25D1">
        <w:rPr>
          <w:bCs/>
        </w:rPr>
        <w:t>s (Hooley et al. 1980)</w:t>
      </w:r>
      <w:r w:rsidR="000A25D1" w:rsidRPr="00FB3D8F">
        <w:rPr>
          <w:bCs/>
        </w:rPr>
        <w:t>. This</w:t>
      </w:r>
      <w:r w:rsidR="000A25D1">
        <w:rPr>
          <w:bCs/>
        </w:rPr>
        <w:t xml:space="preserve"> is</w:t>
      </w:r>
      <w:r w:rsidR="000A25D1" w:rsidRPr="00FB3D8F">
        <w:rPr>
          <w:bCs/>
        </w:rPr>
        <w:t xml:space="preserve"> largely due to the non-aerodynamic morphology of the pollen grains</w:t>
      </w:r>
      <w:r w:rsidR="000A25D1">
        <w:rPr>
          <w:bCs/>
        </w:rPr>
        <w:t>,</w:t>
      </w:r>
      <w:r w:rsidR="000A25D1" w:rsidRPr="00FB3D8F">
        <w:rPr>
          <w:bCs/>
        </w:rPr>
        <w:t xml:space="preserve"> and </w:t>
      </w:r>
      <w:r w:rsidR="000A25D1">
        <w:rPr>
          <w:bCs/>
        </w:rPr>
        <w:t xml:space="preserve">their </w:t>
      </w:r>
      <w:r w:rsidR="000A25D1" w:rsidRPr="00FB3D8F">
        <w:rPr>
          <w:bCs/>
        </w:rPr>
        <w:t xml:space="preserve">pollination </w:t>
      </w:r>
      <w:r w:rsidR="000A25D1">
        <w:rPr>
          <w:bCs/>
        </w:rPr>
        <w:t>pathways</w:t>
      </w:r>
      <w:r w:rsidR="000A25D1" w:rsidRPr="00FB3D8F">
        <w:rPr>
          <w:bCs/>
        </w:rPr>
        <w:t xml:space="preserve"> that rel</w:t>
      </w:r>
      <w:r w:rsidR="000A25D1">
        <w:rPr>
          <w:bCs/>
        </w:rPr>
        <w:t>y</w:t>
      </w:r>
      <w:r w:rsidR="000A25D1" w:rsidRPr="00FB3D8F">
        <w:rPr>
          <w:bCs/>
        </w:rPr>
        <w:t xml:space="preserve"> largely on small mammals</w:t>
      </w:r>
      <w:r w:rsidR="000A25D1">
        <w:rPr>
          <w:bCs/>
        </w:rPr>
        <w:t>, birds</w:t>
      </w:r>
      <w:r w:rsidR="000A25D1" w:rsidRPr="00FB3D8F">
        <w:rPr>
          <w:bCs/>
        </w:rPr>
        <w:t xml:space="preserve"> and </w:t>
      </w:r>
      <w:r w:rsidR="000A25D1" w:rsidRPr="00AA58EA">
        <w:rPr>
          <w:bCs/>
        </w:rPr>
        <w:t>insects (</w:t>
      </w:r>
      <w:r w:rsidR="000A25D1" w:rsidRPr="00D97946">
        <w:rPr>
          <w:bCs/>
        </w:rPr>
        <w:t>Ramsey 1988</w:t>
      </w:r>
      <w:r w:rsidR="000A25D1" w:rsidRPr="00AA58EA">
        <w:rPr>
          <w:bCs/>
        </w:rPr>
        <w:t>).</w:t>
      </w:r>
      <w:r w:rsidR="000A25D1" w:rsidRPr="00FB3D8F">
        <w:rPr>
          <w:bCs/>
        </w:rPr>
        <w:t xml:space="preserve"> </w:t>
      </w:r>
      <w:r w:rsidR="000A25D1">
        <w:rPr>
          <w:bCs/>
        </w:rPr>
        <w:t>In R31 at</w:t>
      </w:r>
      <w:r w:rsidR="000A25D1" w:rsidRPr="00FB3D8F">
        <w:rPr>
          <w:bCs/>
        </w:rPr>
        <w:t xml:space="preserve"> </w:t>
      </w:r>
      <w:proofErr w:type="spellStart"/>
      <w:r w:rsidR="000A25D1" w:rsidRPr="00FB3D8F">
        <w:rPr>
          <w:bCs/>
        </w:rPr>
        <w:t>Cloggs</w:t>
      </w:r>
      <w:proofErr w:type="spellEnd"/>
      <w:r w:rsidR="000A25D1" w:rsidRPr="00FB3D8F">
        <w:rPr>
          <w:bCs/>
        </w:rPr>
        <w:t xml:space="preserve"> Cave, </w:t>
      </w:r>
      <w:r w:rsidR="000A25D1" w:rsidRPr="00FB3D8F">
        <w:rPr>
          <w:bCs/>
          <w:i/>
          <w:iCs/>
        </w:rPr>
        <w:t>Banksia</w:t>
      </w:r>
      <w:r w:rsidR="000A25D1" w:rsidRPr="00FB3D8F">
        <w:rPr>
          <w:bCs/>
        </w:rPr>
        <w:t xml:space="preserve"> s</w:t>
      </w:r>
      <w:r w:rsidR="000A25D1">
        <w:rPr>
          <w:bCs/>
        </w:rPr>
        <w:t>p</w:t>
      </w:r>
      <w:r w:rsidR="000A25D1" w:rsidRPr="00FB3D8F">
        <w:rPr>
          <w:bCs/>
        </w:rPr>
        <w:t xml:space="preserve">p. </w:t>
      </w:r>
      <w:r w:rsidR="000A25D1">
        <w:rPr>
          <w:bCs/>
        </w:rPr>
        <w:t xml:space="preserve">pollen </w:t>
      </w:r>
      <w:r w:rsidR="000A25D1" w:rsidRPr="00FB3D8F">
        <w:rPr>
          <w:bCs/>
        </w:rPr>
        <w:t>is relatively common</w:t>
      </w:r>
      <w:r w:rsidR="000A25D1">
        <w:rPr>
          <w:bCs/>
        </w:rPr>
        <w:t xml:space="preserve"> in the sediment samples</w:t>
      </w:r>
      <w:r w:rsidR="000A25D1" w:rsidRPr="00B21B44">
        <w:rPr>
          <w:bCs/>
        </w:rPr>
        <w:t xml:space="preserve"> </w:t>
      </w:r>
      <w:r w:rsidR="000A25D1">
        <w:rPr>
          <w:bCs/>
        </w:rPr>
        <w:t>between</w:t>
      </w:r>
      <w:r w:rsidR="000A25D1" w:rsidRPr="00FB3D8F">
        <w:rPr>
          <w:bCs/>
        </w:rPr>
        <w:t xml:space="preserve"> c.</w:t>
      </w:r>
      <w:r w:rsidR="000A25D1">
        <w:rPr>
          <w:bCs/>
        </w:rPr>
        <w:t xml:space="preserve"> </w:t>
      </w:r>
      <w:r w:rsidR="000A25D1" w:rsidRPr="00FB3D8F">
        <w:rPr>
          <w:bCs/>
        </w:rPr>
        <w:t xml:space="preserve">15,000 </w:t>
      </w:r>
      <w:r w:rsidR="00E35D43">
        <w:rPr>
          <w:bCs/>
        </w:rPr>
        <w:t>and</w:t>
      </w:r>
      <w:r w:rsidR="00E35D43" w:rsidRPr="00FB3D8F">
        <w:rPr>
          <w:bCs/>
        </w:rPr>
        <w:t xml:space="preserve"> </w:t>
      </w:r>
      <w:r w:rsidR="000A25D1" w:rsidRPr="00FB3D8F">
        <w:rPr>
          <w:bCs/>
        </w:rPr>
        <w:t>c.</w:t>
      </w:r>
      <w:r w:rsidR="000A25D1">
        <w:rPr>
          <w:bCs/>
        </w:rPr>
        <w:t xml:space="preserve"> </w:t>
      </w:r>
      <w:r w:rsidR="000A25D1" w:rsidRPr="00FB3D8F">
        <w:rPr>
          <w:bCs/>
        </w:rPr>
        <w:t>11,000 cal BP</w:t>
      </w:r>
      <w:r w:rsidR="000A25D1">
        <w:rPr>
          <w:bCs/>
        </w:rPr>
        <w:t xml:space="preserve"> (XU10</w:t>
      </w:r>
      <w:r w:rsidR="000A25D1">
        <w:t>–XU</w:t>
      </w:r>
      <w:r w:rsidR="000A25D1">
        <w:rPr>
          <w:bCs/>
        </w:rPr>
        <w:t>17</w:t>
      </w:r>
      <w:r w:rsidR="000A25D1">
        <w:t>, in SU</w:t>
      </w:r>
      <w:r w:rsidR="000A25D1">
        <w:rPr>
          <w:bCs/>
        </w:rPr>
        <w:t>4C</w:t>
      </w:r>
      <w:r w:rsidR="000A25D1">
        <w:t>–SU</w:t>
      </w:r>
      <w:r w:rsidR="000A25D1">
        <w:rPr>
          <w:bCs/>
        </w:rPr>
        <w:t>4G</w:t>
      </w:r>
      <w:r w:rsidR="000A25D1">
        <w:t>)</w:t>
      </w:r>
      <w:r w:rsidR="000A25D1" w:rsidRPr="00FB3D8F">
        <w:rPr>
          <w:bCs/>
        </w:rPr>
        <w:t>, both as individual grains and in large single</w:t>
      </w:r>
      <w:r w:rsidR="000A25D1">
        <w:rPr>
          <w:bCs/>
        </w:rPr>
        <w:t>-</w:t>
      </w:r>
      <w:r w:rsidR="000A25D1" w:rsidRPr="00FB3D8F">
        <w:rPr>
          <w:bCs/>
        </w:rPr>
        <w:t>taxon clumps</w:t>
      </w:r>
      <w:r>
        <w:rPr>
          <w:bCs/>
        </w:rPr>
        <w:t xml:space="preserve"> </w:t>
      </w:r>
      <w:r w:rsidRPr="00FB3D8F">
        <w:rPr>
          <w:bCs/>
        </w:rPr>
        <w:t>(Figure 8</w:t>
      </w:r>
      <w:r>
        <w:rPr>
          <w:bCs/>
        </w:rPr>
        <w:t>A</w:t>
      </w:r>
      <w:r w:rsidRPr="00FB3D8F">
        <w:rPr>
          <w:bCs/>
        </w:rPr>
        <w:t>)</w:t>
      </w:r>
      <w:r>
        <w:rPr>
          <w:bCs/>
        </w:rPr>
        <w:t xml:space="preserve"> (in contrast, only one </w:t>
      </w:r>
      <w:r w:rsidR="00D57BE5">
        <w:rPr>
          <w:bCs/>
        </w:rPr>
        <w:t xml:space="preserve">pollen </w:t>
      </w:r>
      <w:r>
        <w:rPr>
          <w:bCs/>
        </w:rPr>
        <w:t xml:space="preserve">grain of </w:t>
      </w:r>
      <w:r w:rsidRPr="00D97946">
        <w:rPr>
          <w:bCs/>
          <w:i/>
          <w:iCs/>
        </w:rPr>
        <w:t xml:space="preserve">Banksia </w:t>
      </w:r>
      <w:r>
        <w:rPr>
          <w:bCs/>
        </w:rPr>
        <w:t>spp.</w:t>
      </w:r>
      <w:r w:rsidR="000A25D1">
        <w:rPr>
          <w:bCs/>
        </w:rPr>
        <w:t xml:space="preserve"> was detected </w:t>
      </w:r>
      <w:r>
        <w:rPr>
          <w:bCs/>
        </w:rPr>
        <w:t>throughout all</w:t>
      </w:r>
      <w:r w:rsidR="000A25D1">
        <w:rPr>
          <w:bCs/>
        </w:rPr>
        <w:t xml:space="preserve"> the possum scat samples</w:t>
      </w:r>
      <w:r>
        <w:rPr>
          <w:bCs/>
        </w:rPr>
        <w:t>)</w:t>
      </w:r>
      <w:r w:rsidR="000A25D1">
        <w:rPr>
          <w:bCs/>
        </w:rPr>
        <w:t>.</w:t>
      </w:r>
      <w:r>
        <w:rPr>
          <w:bCs/>
        </w:rPr>
        <w:t xml:space="preserve"> This</w:t>
      </w:r>
      <w:r w:rsidRPr="00FB3D8F">
        <w:rPr>
          <w:bCs/>
        </w:rPr>
        <w:t xml:space="preserve"> suggest</w:t>
      </w:r>
      <w:r>
        <w:rPr>
          <w:bCs/>
        </w:rPr>
        <w:t xml:space="preserve">s </w:t>
      </w:r>
      <w:r w:rsidRPr="00FB3D8F">
        <w:rPr>
          <w:bCs/>
        </w:rPr>
        <w:t xml:space="preserve">the </w:t>
      </w:r>
      <w:r w:rsidRPr="00FB3D8F">
        <w:rPr>
          <w:bCs/>
          <w:i/>
        </w:rPr>
        <w:t>Banksia</w:t>
      </w:r>
      <w:r w:rsidRPr="00FB3D8F">
        <w:rPr>
          <w:bCs/>
        </w:rPr>
        <w:t xml:space="preserve"> </w:t>
      </w:r>
      <w:r>
        <w:rPr>
          <w:bCs/>
        </w:rPr>
        <w:t xml:space="preserve">spp. </w:t>
      </w:r>
      <w:r w:rsidRPr="00A720B9">
        <w:rPr>
          <w:bCs/>
        </w:rPr>
        <w:t xml:space="preserve">flowers were brought into the cave </w:t>
      </w:r>
      <w:r>
        <w:rPr>
          <w:bCs/>
        </w:rPr>
        <w:t>by people</w:t>
      </w:r>
      <w:r w:rsidRPr="00A720B9">
        <w:rPr>
          <w:bCs/>
        </w:rPr>
        <w:t xml:space="preserve">. This is partly supported by observations of whole </w:t>
      </w:r>
      <w:r w:rsidRPr="00A720B9">
        <w:rPr>
          <w:bCs/>
          <w:i/>
          <w:iCs/>
        </w:rPr>
        <w:t xml:space="preserve">Banksia </w:t>
      </w:r>
      <w:r w:rsidRPr="00A720B9">
        <w:rPr>
          <w:bCs/>
        </w:rPr>
        <w:t>s</w:t>
      </w:r>
      <w:r>
        <w:rPr>
          <w:bCs/>
        </w:rPr>
        <w:t>p</w:t>
      </w:r>
      <w:r w:rsidRPr="00A720B9">
        <w:rPr>
          <w:bCs/>
        </w:rPr>
        <w:t>p.</w:t>
      </w:r>
      <w:r w:rsidRPr="00EF223E">
        <w:rPr>
          <w:bCs/>
        </w:rPr>
        <w:t xml:space="preserve"> </w:t>
      </w:r>
      <w:r w:rsidRPr="00A720B9">
        <w:rPr>
          <w:bCs/>
        </w:rPr>
        <w:t xml:space="preserve">leaves in </w:t>
      </w:r>
      <w:r>
        <w:rPr>
          <w:bCs/>
        </w:rPr>
        <w:t xml:space="preserve">spits </w:t>
      </w:r>
      <w:r w:rsidRPr="00A720B9">
        <w:rPr>
          <w:bCs/>
        </w:rPr>
        <w:t xml:space="preserve">2A and 7B of </w:t>
      </w:r>
      <w:r>
        <w:rPr>
          <w:bCs/>
        </w:rPr>
        <w:t>s</w:t>
      </w:r>
      <w:r w:rsidRPr="00A720B9">
        <w:rPr>
          <w:bCs/>
        </w:rPr>
        <w:t xml:space="preserve">quare SS </w:t>
      </w:r>
      <w:r>
        <w:rPr>
          <w:bCs/>
        </w:rPr>
        <w:t>in</w:t>
      </w:r>
      <w:r w:rsidRPr="00A720B9">
        <w:rPr>
          <w:bCs/>
        </w:rPr>
        <w:t xml:space="preserve"> </w:t>
      </w:r>
      <w:r w:rsidRPr="00A720B9">
        <w:t>Flood’s 1971–1972</w:t>
      </w:r>
      <w:r w:rsidRPr="00FB3D8F">
        <w:t xml:space="preserve"> </w:t>
      </w:r>
      <w:r w:rsidRPr="00FB3D8F">
        <w:rPr>
          <w:bCs/>
        </w:rPr>
        <w:t>excavations</w:t>
      </w:r>
      <w:r>
        <w:rPr>
          <w:bCs/>
        </w:rPr>
        <w:t xml:space="preserve"> </w:t>
      </w:r>
      <w:r w:rsidRPr="00FB3D8F">
        <w:t>(</w:t>
      </w:r>
      <w:r>
        <w:t xml:space="preserve">Flood </w:t>
      </w:r>
      <w:r w:rsidRPr="00FB3D8F">
        <w:t>1974</w:t>
      </w:r>
      <w:r>
        <w:t>: 180–181</w:t>
      </w:r>
      <w:r w:rsidRPr="00FB3D8F">
        <w:t>)</w:t>
      </w:r>
      <w:r>
        <w:rPr>
          <w:bCs/>
        </w:rPr>
        <w:t>, equating with our SU2 and top of SU3 respectively (see David et al. 2021; Delannoy et al. 2020).</w:t>
      </w:r>
    </w:p>
    <w:p w14:paraId="452D39D8" w14:textId="77777777" w:rsidR="00237FA8" w:rsidRDefault="00237FA8" w:rsidP="000A25D1">
      <w:pPr>
        <w:spacing w:line="360" w:lineRule="auto"/>
        <w:contextualSpacing/>
        <w:rPr>
          <w:bCs/>
        </w:rPr>
      </w:pPr>
    </w:p>
    <w:p w14:paraId="28429080" w14:textId="0138CE6D" w:rsidR="000A25D1" w:rsidRDefault="000A25D1" w:rsidP="00EF223E">
      <w:pPr>
        <w:spacing w:line="360" w:lineRule="auto"/>
        <w:contextualSpacing/>
        <w:rPr>
          <w:bCs/>
        </w:rPr>
      </w:pPr>
      <w:r>
        <w:rPr>
          <w:bCs/>
        </w:rPr>
        <w:t xml:space="preserve">The period </w:t>
      </w:r>
      <w:r w:rsidRPr="00A86E82">
        <w:rPr>
          <w:bCs/>
        </w:rPr>
        <w:t>from 15,000 to 11,000 cal</w:t>
      </w:r>
      <w:r w:rsidRPr="00FB3D8F">
        <w:rPr>
          <w:bCs/>
        </w:rPr>
        <w:t xml:space="preserve"> BP</w:t>
      </w:r>
      <w:r>
        <w:rPr>
          <w:bCs/>
        </w:rPr>
        <w:t xml:space="preserve"> corresponds precisely with the layers when very small, highly localised ritual fires were lit in R31 (</w:t>
      </w:r>
      <w:r w:rsidR="00AF094B">
        <w:rPr>
          <w:bCs/>
        </w:rPr>
        <w:t>David et al. 2024</w:t>
      </w:r>
      <w:r>
        <w:rPr>
          <w:bCs/>
        </w:rPr>
        <w:t xml:space="preserve">). </w:t>
      </w:r>
      <w:r w:rsidRPr="00FB3D8F">
        <w:rPr>
          <w:bCs/>
        </w:rPr>
        <w:t xml:space="preserve">The </w:t>
      </w:r>
      <w:r w:rsidRPr="00FB3D8F">
        <w:rPr>
          <w:bCs/>
          <w:i/>
        </w:rPr>
        <w:t>Banksia</w:t>
      </w:r>
      <w:r w:rsidRPr="00FB3D8F">
        <w:rPr>
          <w:bCs/>
        </w:rPr>
        <w:t xml:space="preserve"> </w:t>
      </w:r>
      <w:r>
        <w:rPr>
          <w:bCs/>
        </w:rPr>
        <w:t>spp. spikes (woody ‘cones’) that contain the flowers were</w:t>
      </w:r>
      <w:r w:rsidRPr="00FB3D8F">
        <w:rPr>
          <w:bCs/>
        </w:rPr>
        <w:t xml:space="preserve"> important fire</w:t>
      </w:r>
      <w:r>
        <w:rPr>
          <w:bCs/>
        </w:rPr>
        <w:t>-</w:t>
      </w:r>
      <w:r w:rsidRPr="00FB3D8F">
        <w:rPr>
          <w:bCs/>
        </w:rPr>
        <w:t>starter</w:t>
      </w:r>
      <w:r>
        <w:rPr>
          <w:bCs/>
        </w:rPr>
        <w:t>s</w:t>
      </w:r>
      <w:r w:rsidRPr="00FB3D8F">
        <w:rPr>
          <w:bCs/>
        </w:rPr>
        <w:t xml:space="preserve"> </w:t>
      </w:r>
      <w:r>
        <w:rPr>
          <w:bCs/>
        </w:rPr>
        <w:t xml:space="preserve">for </w:t>
      </w:r>
      <w:proofErr w:type="spellStart"/>
      <w:r>
        <w:rPr>
          <w:bCs/>
        </w:rPr>
        <w:t>GunaiKurnai</w:t>
      </w:r>
      <w:proofErr w:type="spellEnd"/>
      <w:r>
        <w:rPr>
          <w:bCs/>
        </w:rPr>
        <w:t xml:space="preserve"> during the 19</w:t>
      </w:r>
      <w:r w:rsidRPr="00F43142">
        <w:rPr>
          <w:bCs/>
          <w:vertAlign w:val="superscript"/>
        </w:rPr>
        <w:t>th</w:t>
      </w:r>
      <w:r>
        <w:rPr>
          <w:bCs/>
        </w:rPr>
        <w:t xml:space="preserve"> century (e.</w:t>
      </w:r>
      <w:r w:rsidRPr="00637C77">
        <w:rPr>
          <w:bCs/>
        </w:rPr>
        <w:t xml:space="preserve">g., </w:t>
      </w:r>
      <w:r w:rsidRPr="00637C77">
        <w:t>Smyth 1878:</w:t>
      </w:r>
      <w:r>
        <w:t xml:space="preserve"> </w:t>
      </w:r>
      <w:r w:rsidRPr="00637C77">
        <w:t>132</w:t>
      </w:r>
      <w:r w:rsidRPr="00637C77">
        <w:rPr>
          <w:bCs/>
        </w:rPr>
        <w:t>).</w:t>
      </w:r>
      <w:r>
        <w:rPr>
          <w:bCs/>
        </w:rPr>
        <w:t xml:space="preserve"> </w:t>
      </w:r>
      <w:r w:rsidRPr="00F04B02">
        <w:rPr>
          <w:bCs/>
          <w:i/>
          <w:iCs/>
        </w:rPr>
        <w:t>Banksia</w:t>
      </w:r>
      <w:r>
        <w:rPr>
          <w:bCs/>
        </w:rPr>
        <w:t xml:space="preserve"> spp. flowers typically dry and remain attached to the spikes for up to a few years, making them excellent fire-starters. The association of </w:t>
      </w:r>
      <w:r w:rsidRPr="00FF6FDE">
        <w:rPr>
          <w:bCs/>
          <w:i/>
          <w:iCs/>
        </w:rPr>
        <w:t>Banksia</w:t>
      </w:r>
      <w:r>
        <w:rPr>
          <w:bCs/>
        </w:rPr>
        <w:t xml:space="preserve"> spp. pollen with ritual fireplaces at </w:t>
      </w:r>
      <w:proofErr w:type="spellStart"/>
      <w:r>
        <w:rPr>
          <w:bCs/>
        </w:rPr>
        <w:t>Cloggs</w:t>
      </w:r>
      <w:proofErr w:type="spellEnd"/>
      <w:r>
        <w:rPr>
          <w:bCs/>
        </w:rPr>
        <w:t xml:space="preserve"> Cave suggests that the</w:t>
      </w:r>
      <w:r w:rsidRPr="00FB3D8F">
        <w:rPr>
          <w:bCs/>
        </w:rPr>
        <w:t xml:space="preserve"> flowering material </w:t>
      </w:r>
      <w:r>
        <w:rPr>
          <w:bCs/>
        </w:rPr>
        <w:t xml:space="preserve">may have </w:t>
      </w:r>
      <w:r w:rsidRPr="00FB3D8F">
        <w:rPr>
          <w:bCs/>
        </w:rPr>
        <w:t xml:space="preserve">arrived in the cave </w:t>
      </w:r>
      <w:r>
        <w:rPr>
          <w:bCs/>
        </w:rPr>
        <w:t xml:space="preserve">as spikes </w:t>
      </w:r>
      <w:r w:rsidRPr="00FB3D8F">
        <w:rPr>
          <w:bCs/>
        </w:rPr>
        <w:t>for fire</w:t>
      </w:r>
      <w:r>
        <w:rPr>
          <w:bCs/>
        </w:rPr>
        <w:t>-</w:t>
      </w:r>
      <w:r w:rsidRPr="00FB3D8F">
        <w:rPr>
          <w:bCs/>
        </w:rPr>
        <w:t>making</w:t>
      </w:r>
      <w:r>
        <w:rPr>
          <w:bCs/>
        </w:rPr>
        <w:t xml:space="preserve">, although dry flower spikes </w:t>
      </w:r>
      <w:r w:rsidR="0018531C">
        <w:rPr>
          <w:bCs/>
        </w:rPr>
        <w:t>are</w:t>
      </w:r>
      <w:r>
        <w:rPr>
          <w:bCs/>
        </w:rPr>
        <w:t xml:space="preserve"> unlikely to contain residual pollen. </w:t>
      </w:r>
      <w:r w:rsidR="00671CA5">
        <w:rPr>
          <w:bCs/>
        </w:rPr>
        <w:t>F</w:t>
      </w:r>
      <w:r>
        <w:rPr>
          <w:bCs/>
        </w:rPr>
        <w:t xml:space="preserve">resh </w:t>
      </w:r>
      <w:r w:rsidRPr="00DB3C8A">
        <w:rPr>
          <w:bCs/>
          <w:i/>
          <w:iCs/>
        </w:rPr>
        <w:t>Banksia</w:t>
      </w:r>
      <w:r w:rsidRPr="00DB3C8A">
        <w:rPr>
          <w:bCs/>
        </w:rPr>
        <w:t xml:space="preserve"> </w:t>
      </w:r>
      <w:r>
        <w:rPr>
          <w:bCs/>
        </w:rPr>
        <w:t xml:space="preserve">spp. </w:t>
      </w:r>
      <w:r w:rsidRPr="00DB3C8A">
        <w:rPr>
          <w:bCs/>
        </w:rPr>
        <w:t>flowers are also known to have been sucked as a traditional source of sweet nectar (</w:t>
      </w:r>
      <w:r w:rsidRPr="00DB3C8A">
        <w:t>Smyth 1878:</w:t>
      </w:r>
      <w:r>
        <w:t xml:space="preserve"> </w:t>
      </w:r>
      <w:r w:rsidRPr="00DB3C8A">
        <w:t>213</w:t>
      </w:r>
      <w:r w:rsidRPr="00DB3C8A">
        <w:rPr>
          <w:bCs/>
        </w:rPr>
        <w:t>).</w:t>
      </w:r>
      <w:r w:rsidRPr="00FB3D8F">
        <w:rPr>
          <w:bCs/>
        </w:rPr>
        <w:t xml:space="preserve"> </w:t>
      </w:r>
    </w:p>
    <w:p w14:paraId="1CAE49A8" w14:textId="77777777" w:rsidR="000A25D1" w:rsidRPr="00FB3D8F" w:rsidRDefault="000A25D1" w:rsidP="000A25D1">
      <w:pPr>
        <w:spacing w:line="360" w:lineRule="auto"/>
        <w:contextualSpacing/>
        <w:rPr>
          <w:bCs/>
        </w:rPr>
      </w:pPr>
    </w:p>
    <w:p w14:paraId="654C6CA0" w14:textId="67E7F706" w:rsidR="000A25D1" w:rsidRDefault="000A25D1" w:rsidP="000A25D1">
      <w:pPr>
        <w:spacing w:line="360" w:lineRule="auto"/>
        <w:contextualSpacing/>
      </w:pPr>
      <w:r w:rsidRPr="0025697F">
        <w:rPr>
          <w:b/>
          <w:bCs/>
          <w:i/>
        </w:rPr>
        <w:lastRenderedPageBreak/>
        <w:t xml:space="preserve">Casuarina </w:t>
      </w:r>
      <w:r w:rsidRPr="00B31597">
        <w:rPr>
          <w:b/>
          <w:bCs/>
          <w:iCs/>
        </w:rPr>
        <w:t>spp</w:t>
      </w:r>
      <w:r w:rsidRPr="00B31597">
        <w:rPr>
          <w:b/>
          <w:iCs/>
        </w:rPr>
        <w:t>.</w:t>
      </w:r>
      <w:r w:rsidRPr="0070650C">
        <w:rPr>
          <w:bCs/>
        </w:rPr>
        <w:t xml:space="preserve"> (she-oak) pollen</w:t>
      </w:r>
      <w:r>
        <w:rPr>
          <w:bCs/>
        </w:rPr>
        <w:t xml:space="preserve"> is found in large quantities in R31</w:t>
      </w:r>
      <w:r w:rsidRPr="0070650C">
        <w:rPr>
          <w:bCs/>
        </w:rPr>
        <w:t xml:space="preserve"> between XU11 and XU7 (SU4E to SU4B–SU4C interface), dating from c. 12,150 cal BP to 10,000 cal BP. This is particularly interesting as this horizon corresponds with that of the two ritual fires</w:t>
      </w:r>
      <w:r>
        <w:rPr>
          <w:bCs/>
        </w:rPr>
        <w:t xml:space="preserve"> that include </w:t>
      </w:r>
      <w:r w:rsidRPr="000B76A6">
        <w:rPr>
          <w:bCs/>
        </w:rPr>
        <w:t>well-preserved wooden artefacts</w:t>
      </w:r>
      <w:r w:rsidRPr="00245606">
        <w:rPr>
          <w:bCs/>
        </w:rPr>
        <w:t xml:space="preserve"> </w:t>
      </w:r>
      <w:r>
        <w:rPr>
          <w:bCs/>
        </w:rPr>
        <w:t xml:space="preserve">(in XU11 in SU4E, and XU9 in SU4D) </w:t>
      </w:r>
      <w:r w:rsidRPr="00245606">
        <w:rPr>
          <w:bCs/>
        </w:rPr>
        <w:t xml:space="preserve">made from </w:t>
      </w:r>
      <w:r w:rsidRPr="00EB3658">
        <w:rPr>
          <w:bCs/>
          <w:i/>
          <w:iCs/>
        </w:rPr>
        <w:t>Casuarina</w:t>
      </w:r>
      <w:r w:rsidRPr="00245606">
        <w:rPr>
          <w:bCs/>
        </w:rPr>
        <w:t xml:space="preserve"> </w:t>
      </w:r>
      <w:r>
        <w:rPr>
          <w:bCs/>
        </w:rPr>
        <w:t xml:space="preserve">spp. </w:t>
      </w:r>
      <w:r w:rsidRPr="00245606">
        <w:rPr>
          <w:bCs/>
        </w:rPr>
        <w:t>branches that had been brought to the cave when green</w:t>
      </w:r>
      <w:r>
        <w:rPr>
          <w:bCs/>
        </w:rPr>
        <w:t xml:space="preserve"> (</w:t>
      </w:r>
      <w:r w:rsidR="00D5057A">
        <w:rPr>
          <w:bCs/>
        </w:rPr>
        <w:t>David et al. 2024</w:t>
      </w:r>
      <w:r>
        <w:rPr>
          <w:bCs/>
        </w:rPr>
        <w:t>)</w:t>
      </w:r>
      <w:r w:rsidRPr="00245606">
        <w:rPr>
          <w:bCs/>
        </w:rPr>
        <w:t>.</w:t>
      </w:r>
      <w:r>
        <w:rPr>
          <w:bCs/>
        </w:rPr>
        <w:t xml:space="preserve"> The two wooden artefacts from R31 closely match descriptions of </w:t>
      </w:r>
      <w:proofErr w:type="spellStart"/>
      <w:r>
        <w:rPr>
          <w:bCs/>
        </w:rPr>
        <w:t>GunaiKurnai</w:t>
      </w:r>
      <w:proofErr w:type="spellEnd"/>
      <w:r>
        <w:rPr>
          <w:bCs/>
        </w:rPr>
        <w:t xml:space="preserve"> ritual installations described in 19</w:t>
      </w:r>
      <w:r w:rsidRPr="00595118">
        <w:rPr>
          <w:bCs/>
          <w:vertAlign w:val="superscript"/>
        </w:rPr>
        <w:t>th</w:t>
      </w:r>
      <w:r>
        <w:rPr>
          <w:bCs/>
        </w:rPr>
        <w:t xml:space="preserve"> century ethnography</w:t>
      </w:r>
      <w:r w:rsidR="00120DE9">
        <w:rPr>
          <w:bCs/>
        </w:rPr>
        <w:t xml:space="preserve">; these ethnographic descriptions explicitly identify </w:t>
      </w:r>
      <w:r w:rsidR="00120DE9" w:rsidRPr="00D928EB">
        <w:rPr>
          <w:bCs/>
          <w:i/>
          <w:iCs/>
        </w:rPr>
        <w:t>Casuarina</w:t>
      </w:r>
      <w:r w:rsidR="00120DE9">
        <w:rPr>
          <w:bCs/>
        </w:rPr>
        <w:t xml:space="preserve"> as being used in the performance of ritual spells</w:t>
      </w:r>
      <w:r>
        <w:rPr>
          <w:bCs/>
        </w:rPr>
        <w:t xml:space="preserve"> </w:t>
      </w:r>
      <w:r w:rsidRPr="00245606">
        <w:rPr>
          <w:bCs/>
        </w:rPr>
        <w:t>(</w:t>
      </w:r>
      <w:r>
        <w:rPr>
          <w:bCs/>
        </w:rPr>
        <w:t>Howitt 1887</w:t>
      </w:r>
      <w:r w:rsidR="00296946">
        <w:rPr>
          <w:bCs/>
        </w:rPr>
        <w:t>; see David et al. 2024 for details</w:t>
      </w:r>
      <w:r>
        <w:rPr>
          <w:bCs/>
        </w:rPr>
        <w:t xml:space="preserve">). In other contexts, </w:t>
      </w:r>
      <w:r w:rsidRPr="00CF1BDA">
        <w:rPr>
          <w:i/>
          <w:iCs/>
        </w:rPr>
        <w:t>Casuarina</w:t>
      </w:r>
      <w:r w:rsidRPr="00CF1BDA">
        <w:t xml:space="preserve"> spp. wood is very dense and hard, making it an effective wood for fuel and for making wooden implements and weapons (Nash 2004).</w:t>
      </w:r>
    </w:p>
    <w:p w14:paraId="3FF0119D" w14:textId="77777777" w:rsidR="000A25D1" w:rsidRPr="00895884" w:rsidRDefault="000A25D1" w:rsidP="000A25D1">
      <w:pPr>
        <w:spacing w:line="360" w:lineRule="auto"/>
        <w:contextualSpacing/>
        <w:rPr>
          <w:bCs/>
        </w:rPr>
      </w:pPr>
    </w:p>
    <w:p w14:paraId="77E0858E" w14:textId="452397A0" w:rsidR="000A25D1" w:rsidRDefault="000A25D1" w:rsidP="000A25D1">
      <w:pPr>
        <w:spacing w:line="360" w:lineRule="auto"/>
        <w:contextualSpacing/>
      </w:pPr>
      <w:proofErr w:type="spellStart"/>
      <w:r w:rsidRPr="0025697F">
        <w:rPr>
          <w:b/>
          <w:bCs/>
        </w:rPr>
        <w:t>Poaceae</w:t>
      </w:r>
      <w:proofErr w:type="spellEnd"/>
      <w:r w:rsidRPr="00E730C9">
        <w:rPr>
          <w:bCs/>
        </w:rPr>
        <w:t xml:space="preserve"> (grass) pollen</w:t>
      </w:r>
      <w:r>
        <w:rPr>
          <w:bCs/>
        </w:rPr>
        <w:t xml:space="preserve"> </w:t>
      </w:r>
      <w:r w:rsidR="007817F4">
        <w:rPr>
          <w:bCs/>
        </w:rPr>
        <w:t xml:space="preserve">(Figure 5O) </w:t>
      </w:r>
      <w:r>
        <w:rPr>
          <w:bCs/>
        </w:rPr>
        <w:t xml:space="preserve">is observed as both single grains and clumps and </w:t>
      </w:r>
      <w:r w:rsidRPr="00E730C9">
        <w:rPr>
          <w:bCs/>
        </w:rPr>
        <w:t>dominate</w:t>
      </w:r>
      <w:r>
        <w:rPr>
          <w:bCs/>
        </w:rPr>
        <w:t>s</w:t>
      </w:r>
      <w:r w:rsidRPr="00E730C9">
        <w:rPr>
          <w:bCs/>
        </w:rPr>
        <w:t xml:space="preserve"> the </w:t>
      </w:r>
      <w:r>
        <w:rPr>
          <w:bCs/>
        </w:rPr>
        <w:t>earlier levels of the R31 sediment pollen sequence (XU17–XU43) until c. 14,000 cal BP (XU17) when its relative percentage values begin to fall. W</w:t>
      </w:r>
      <w:r w:rsidRPr="00E730C9">
        <w:rPr>
          <w:bCs/>
        </w:rPr>
        <w:t xml:space="preserve">hile differentiating grass pollen to genus or species level is notoriously difficult, many grass species were utilised for </w:t>
      </w:r>
      <w:r>
        <w:rPr>
          <w:bCs/>
        </w:rPr>
        <w:t xml:space="preserve">a variety of </w:t>
      </w:r>
      <w:r w:rsidRPr="00E730C9">
        <w:rPr>
          <w:bCs/>
        </w:rPr>
        <w:t>cultural purposes</w:t>
      </w:r>
      <w:r>
        <w:rPr>
          <w:bCs/>
        </w:rPr>
        <w:t xml:space="preserve"> in SE Australia.</w:t>
      </w:r>
      <w:r>
        <w:t xml:space="preserve"> I</w:t>
      </w:r>
      <w:r w:rsidRPr="00895884">
        <w:t>n Victoria and New South Wales</w:t>
      </w:r>
      <w:r>
        <w:t xml:space="preserve">, the </w:t>
      </w:r>
      <w:r w:rsidRPr="0079246D">
        <w:rPr>
          <w:i/>
          <w:iCs/>
        </w:rPr>
        <w:t xml:space="preserve">Poa </w:t>
      </w:r>
      <w:r w:rsidRPr="00895884">
        <w:t xml:space="preserve">genus (tussock grass) </w:t>
      </w:r>
      <w:r>
        <w:t xml:space="preserve">was </w:t>
      </w:r>
      <w:r w:rsidRPr="00895884">
        <w:t xml:space="preserve">used </w:t>
      </w:r>
      <w:r>
        <w:t>in string-making</w:t>
      </w:r>
      <w:r w:rsidRPr="00895884">
        <w:t xml:space="preserve"> for nets, bags, baskets and mats, while the seeds</w:t>
      </w:r>
      <w:r>
        <w:t xml:space="preserve"> of</w:t>
      </w:r>
      <w:r w:rsidRPr="00895884">
        <w:t xml:space="preserve"> </w:t>
      </w:r>
      <w:r>
        <w:t>other genera</w:t>
      </w:r>
      <w:r w:rsidRPr="00895884">
        <w:t xml:space="preserve"> (e.g., </w:t>
      </w:r>
      <w:proofErr w:type="spellStart"/>
      <w:r w:rsidRPr="0079246D">
        <w:rPr>
          <w:i/>
          <w:iCs/>
        </w:rPr>
        <w:t>Themeda</w:t>
      </w:r>
      <w:proofErr w:type="spellEnd"/>
      <w:r w:rsidRPr="00895884">
        <w:t xml:space="preserve"> </w:t>
      </w:r>
      <w:r>
        <w:t xml:space="preserve">spp., </w:t>
      </w:r>
      <w:r w:rsidRPr="00895884">
        <w:t>kangaroo grass</w:t>
      </w:r>
      <w:r>
        <w:t>;</w:t>
      </w:r>
      <w:r w:rsidRPr="00895884">
        <w:t xml:space="preserve"> </w:t>
      </w:r>
      <w:proofErr w:type="spellStart"/>
      <w:r w:rsidRPr="0079246D">
        <w:rPr>
          <w:i/>
          <w:iCs/>
        </w:rPr>
        <w:t>Rytidosperma</w:t>
      </w:r>
      <w:proofErr w:type="spellEnd"/>
      <w:r w:rsidRPr="00895884">
        <w:t xml:space="preserve"> </w:t>
      </w:r>
      <w:r>
        <w:t xml:space="preserve">spp., </w:t>
      </w:r>
      <w:r w:rsidRPr="00895884">
        <w:t xml:space="preserve">wallaby grass) </w:t>
      </w:r>
      <w:r>
        <w:t>we</w:t>
      </w:r>
      <w:r w:rsidRPr="00895884">
        <w:t xml:space="preserve">re used to make porridge or ground to make flour for </w:t>
      </w:r>
      <w:r>
        <w:t>damper</w:t>
      </w:r>
      <w:r w:rsidRPr="00895884">
        <w:t xml:space="preserve"> (Cumpston 2020</w:t>
      </w:r>
      <w:r>
        <w:t xml:space="preserve">; </w:t>
      </w:r>
      <w:r w:rsidRPr="00895884">
        <w:t>De Angelis 2005; Nash 2004</w:t>
      </w:r>
      <w:r>
        <w:t xml:space="preserve">). </w:t>
      </w:r>
      <w:r w:rsidR="00603DDF">
        <w:t xml:space="preserve">In </w:t>
      </w:r>
      <w:proofErr w:type="spellStart"/>
      <w:r w:rsidR="00603DDF">
        <w:t>GunaiKurnai</w:t>
      </w:r>
      <w:proofErr w:type="spellEnd"/>
      <w:r w:rsidR="00603DDF">
        <w:t xml:space="preserve"> </w:t>
      </w:r>
      <w:r w:rsidR="001A0F1F">
        <w:t>ethnography</w:t>
      </w:r>
      <w:r w:rsidR="00603DDF">
        <w:t xml:space="preserve">, grass was burnt to make ritual ash (Howitt 1887). </w:t>
      </w:r>
      <w:r w:rsidRPr="00166195">
        <w:t xml:space="preserve">The grass </w:t>
      </w:r>
      <w:r>
        <w:t>pollen could have come from both manually introduced cultural and wind-borne environmental sources</w:t>
      </w:r>
      <w:r w:rsidRPr="00166195">
        <w:t xml:space="preserve">, and while pollen analysis </w:t>
      </w:r>
      <w:r>
        <w:t>is unable to resolve this issue</w:t>
      </w:r>
      <w:r w:rsidRPr="00166195">
        <w:t xml:space="preserve">, the large quantities of grass </w:t>
      </w:r>
      <w:r>
        <w:t xml:space="preserve">pollen </w:t>
      </w:r>
      <w:r w:rsidRPr="00166195">
        <w:t xml:space="preserve">in association with pollen of </w:t>
      </w:r>
      <w:r>
        <w:t xml:space="preserve">culturally important </w:t>
      </w:r>
      <w:r w:rsidRPr="00166195">
        <w:t xml:space="preserve">taxa that are rarely found in such quantities in natural settings </w:t>
      </w:r>
      <w:r>
        <w:t xml:space="preserve">(e.g., </w:t>
      </w:r>
      <w:r w:rsidRPr="0079246D">
        <w:rPr>
          <w:i/>
          <w:iCs/>
        </w:rPr>
        <w:t>Banksia</w:t>
      </w:r>
      <w:r>
        <w:t xml:space="preserve"> spp., </w:t>
      </w:r>
      <w:proofErr w:type="spellStart"/>
      <w:r>
        <w:rPr>
          <w:i/>
          <w:iCs/>
        </w:rPr>
        <w:t>murnong</w:t>
      </w:r>
      <w:proofErr w:type="spellEnd"/>
      <w:r>
        <w:t xml:space="preserve">-type pollen) suggests that </w:t>
      </w:r>
      <w:r w:rsidRPr="00166195">
        <w:t xml:space="preserve">at least some of the grass </w:t>
      </w:r>
      <w:r>
        <w:t>was manually introduced</w:t>
      </w:r>
      <w:r w:rsidRPr="00166195">
        <w:t xml:space="preserve"> </w:t>
      </w:r>
      <w:r>
        <w:t xml:space="preserve">for </w:t>
      </w:r>
      <w:r w:rsidRPr="00166195">
        <w:t>cultural</w:t>
      </w:r>
      <w:r>
        <w:t xml:space="preserve"> purposes</w:t>
      </w:r>
      <w:r w:rsidRPr="00166195">
        <w:t xml:space="preserve">. </w:t>
      </w:r>
      <w:r>
        <w:t>Ongoing p</w:t>
      </w:r>
      <w:r w:rsidRPr="00166195">
        <w:t>hytolith and micromo</w:t>
      </w:r>
      <w:r>
        <w:t xml:space="preserve">rphological analyses of </w:t>
      </w:r>
      <w:proofErr w:type="spellStart"/>
      <w:r>
        <w:t>Cloggs</w:t>
      </w:r>
      <w:proofErr w:type="spellEnd"/>
      <w:r>
        <w:t xml:space="preserve"> Cave’s sediments may help shed light on whether the grass pollen content represents </w:t>
      </w:r>
      <w:r>
        <w:rPr>
          <w:i/>
          <w:iCs/>
        </w:rPr>
        <w:t xml:space="preserve">in situ </w:t>
      </w:r>
      <w:r>
        <w:t>cultural deposition of the grass itself</w:t>
      </w:r>
      <w:r w:rsidRPr="00166195">
        <w:t>.</w:t>
      </w:r>
      <w:r>
        <w:t xml:space="preserve"> </w:t>
      </w:r>
    </w:p>
    <w:p w14:paraId="7B708A66" w14:textId="77777777" w:rsidR="000A25D1" w:rsidRPr="00FB3D8F" w:rsidRDefault="000A25D1" w:rsidP="000A25D1">
      <w:pPr>
        <w:spacing w:line="360" w:lineRule="auto"/>
        <w:contextualSpacing/>
      </w:pPr>
    </w:p>
    <w:p w14:paraId="277A67F6" w14:textId="15BF9CDD" w:rsidR="000A25D1" w:rsidRDefault="000A25D1" w:rsidP="000A25D1">
      <w:pPr>
        <w:spacing w:line="360" w:lineRule="auto"/>
        <w:contextualSpacing/>
      </w:pPr>
      <w:r w:rsidRPr="0025697F">
        <w:rPr>
          <w:b/>
        </w:rPr>
        <w:t>Myrtaceae</w:t>
      </w:r>
      <w:r>
        <w:t xml:space="preserve"> pollen </w:t>
      </w:r>
      <w:r w:rsidR="007817F4">
        <w:t xml:space="preserve">(Figure 5K) </w:t>
      </w:r>
      <w:r>
        <w:t>emerges as an important element in the sediment pollen record from c. 14,000 cal BP (XU17 of the R31 sequence, and throughout the P35 sequence), including as clumps in R31 (XU13–XU17). Myrtaceae pollen is also detected in the possum scat samples</w:t>
      </w:r>
      <w:r w:rsidRPr="00950DB7">
        <w:t>. The</w:t>
      </w:r>
      <w:r w:rsidRPr="00C61711">
        <w:t xml:space="preserve"> Myrtaceae family includes several species of </w:t>
      </w:r>
      <w:r w:rsidRPr="00755373">
        <w:rPr>
          <w:i/>
          <w:iCs/>
        </w:rPr>
        <w:t>Eucalyptus</w:t>
      </w:r>
      <w:r>
        <w:t xml:space="preserve">, </w:t>
      </w:r>
      <w:r w:rsidRPr="00C61711">
        <w:t xml:space="preserve">an important </w:t>
      </w:r>
      <w:r w:rsidRPr="00C61711">
        <w:lastRenderedPageBreak/>
        <w:t>plant resource for Aboriginal peoples</w:t>
      </w:r>
      <w:r>
        <w:t xml:space="preserve"> across SE Australia and beyond</w:t>
      </w:r>
      <w:r w:rsidRPr="00C61711">
        <w:t xml:space="preserve">. </w:t>
      </w:r>
      <w:proofErr w:type="spellStart"/>
      <w:r w:rsidRPr="00C61711">
        <w:t>GunaiKurnai</w:t>
      </w:r>
      <w:proofErr w:type="spellEnd"/>
      <w:r w:rsidRPr="00C61711">
        <w:t xml:space="preserve"> peoples used the twigs and branches for </w:t>
      </w:r>
      <w:r>
        <w:t xml:space="preserve">a broad range of material culture </w:t>
      </w:r>
      <w:r w:rsidR="00A67996">
        <w:t xml:space="preserve">such as </w:t>
      </w:r>
      <w:r w:rsidRPr="00C61711">
        <w:t>spears and digging sticks</w:t>
      </w:r>
      <w:r>
        <w:t xml:space="preserve">, as did all nearby groups such as </w:t>
      </w:r>
      <w:r w:rsidRPr="00C61711">
        <w:t xml:space="preserve">Djadja </w:t>
      </w:r>
      <w:r>
        <w:t>W</w:t>
      </w:r>
      <w:r w:rsidRPr="00C61711">
        <w:t xml:space="preserve">urrung </w:t>
      </w:r>
      <w:r>
        <w:t>of</w:t>
      </w:r>
      <w:r w:rsidRPr="00C61711">
        <w:t xml:space="preserve"> Central Victoria</w:t>
      </w:r>
      <w:r>
        <w:t xml:space="preserve"> who</w:t>
      </w:r>
      <w:r w:rsidRPr="00C61711">
        <w:t xml:space="preserve"> used </w:t>
      </w:r>
      <w:r w:rsidRPr="003150E4">
        <w:rPr>
          <w:i/>
          <w:iCs/>
        </w:rPr>
        <w:t>Eucalyptus</w:t>
      </w:r>
      <w:r w:rsidRPr="00C61711">
        <w:t xml:space="preserve"> </w:t>
      </w:r>
      <w:r>
        <w:t xml:space="preserve">spp. </w:t>
      </w:r>
      <w:r w:rsidRPr="00C61711">
        <w:t>wood for weapons, the outer bark as tinder for fire</w:t>
      </w:r>
      <w:r>
        <w:t>-</w:t>
      </w:r>
      <w:r w:rsidRPr="00C61711">
        <w:t xml:space="preserve">starting, and the inner bark to make coarse string for bags and fishing nets (De Angelis 2005). Medicinally, leaves of </w:t>
      </w:r>
      <w:r w:rsidRPr="0092117E">
        <w:rPr>
          <w:i/>
          <w:iCs/>
        </w:rPr>
        <w:t>Eucalyptus</w:t>
      </w:r>
      <w:r w:rsidRPr="00C61711">
        <w:t xml:space="preserve"> spp. w</w:t>
      </w:r>
      <w:r>
        <w:t>ere</w:t>
      </w:r>
      <w:r w:rsidRPr="00C61711">
        <w:t xml:space="preserve"> used among the </w:t>
      </w:r>
      <w:proofErr w:type="spellStart"/>
      <w:r w:rsidRPr="00C61711">
        <w:t>GunaiKurnai</w:t>
      </w:r>
      <w:proofErr w:type="spellEnd"/>
      <w:r w:rsidRPr="00C61711">
        <w:t xml:space="preserve"> as well as Kulin Nations people</w:t>
      </w:r>
      <w:r>
        <w:t>s of south-central Victoria</w:t>
      </w:r>
      <w:r w:rsidRPr="00C61711">
        <w:t xml:space="preserve"> as a treatment for scabies and for colds, breathing and chest complaints and fever</w:t>
      </w:r>
      <w:r>
        <w:t>. Kulin Nations peoples to the immediate west also</w:t>
      </w:r>
      <w:r w:rsidRPr="00C61711">
        <w:t xml:space="preserve"> used the sap </w:t>
      </w:r>
      <w:r>
        <w:t xml:space="preserve">to treat </w:t>
      </w:r>
      <w:r w:rsidRPr="00C61711">
        <w:t>burns (Cumpston 2020</w:t>
      </w:r>
      <w:r>
        <w:t xml:space="preserve">; </w:t>
      </w:r>
      <w:r w:rsidRPr="00C61711">
        <w:t>De Angelis 2005).</w:t>
      </w:r>
    </w:p>
    <w:p w14:paraId="1DF31A6B" w14:textId="77777777" w:rsidR="000A25D1" w:rsidRDefault="000A25D1" w:rsidP="000A25D1">
      <w:pPr>
        <w:spacing w:line="360" w:lineRule="auto"/>
        <w:contextualSpacing/>
      </w:pPr>
    </w:p>
    <w:p w14:paraId="12492A61" w14:textId="28A45B2C" w:rsidR="000A25D1" w:rsidRDefault="000A25D1" w:rsidP="000A25D1">
      <w:pPr>
        <w:spacing w:line="360" w:lineRule="auto"/>
        <w:contextualSpacing/>
      </w:pPr>
      <w:proofErr w:type="spellStart"/>
      <w:r w:rsidRPr="0025697F">
        <w:rPr>
          <w:b/>
        </w:rPr>
        <w:t>Onagraceae</w:t>
      </w:r>
      <w:proofErr w:type="spellEnd"/>
      <w:r>
        <w:t xml:space="preserve"> </w:t>
      </w:r>
      <w:r w:rsidR="007817F4">
        <w:t xml:space="preserve">(Figure 5L), </w:t>
      </w:r>
      <w:r>
        <w:t xml:space="preserve">another culturally important taxon, </w:t>
      </w:r>
      <w:r w:rsidR="007817F4">
        <w:t xml:space="preserve">is </w:t>
      </w:r>
      <w:r>
        <w:t xml:space="preserve">present in the middle of the R31 sediment sequence (XU18–XU19, 16,500–14,300 cal BP) as single grains and clumps (clumping has been described as part of pollen germination among members of </w:t>
      </w:r>
      <w:proofErr w:type="spellStart"/>
      <w:r>
        <w:t>Onagraceae</w:t>
      </w:r>
      <w:proofErr w:type="spellEnd"/>
      <w:r>
        <w:t xml:space="preserve">; see Nemeth </w:t>
      </w:r>
      <w:r w:rsidR="003514B0">
        <w:t xml:space="preserve">and </w:t>
      </w:r>
      <w:r w:rsidR="003514B0" w:rsidRPr="003514B0">
        <w:t xml:space="preserve">Smith-Huerta </w:t>
      </w:r>
      <w:r>
        <w:t xml:space="preserve">1997). </w:t>
      </w:r>
      <w:proofErr w:type="spellStart"/>
      <w:r>
        <w:t>Onagraceae</w:t>
      </w:r>
      <w:proofErr w:type="spellEnd"/>
      <w:r>
        <w:t xml:space="preserve"> was not detected in the scat samples.</w:t>
      </w:r>
      <w:r w:rsidRPr="00601423">
        <w:t xml:space="preserve"> </w:t>
      </w:r>
      <w:r w:rsidR="009A7D38">
        <w:t>P</w:t>
      </w:r>
      <w:r>
        <w:t xml:space="preserve">arts of </w:t>
      </w:r>
      <w:proofErr w:type="spellStart"/>
      <w:r>
        <w:t>Onagraceae</w:t>
      </w:r>
      <w:proofErr w:type="spellEnd"/>
      <w:r>
        <w:t xml:space="preserve"> plant are known to be edible</w:t>
      </w:r>
      <w:r w:rsidR="009A7D38">
        <w:t xml:space="preserve"> and </w:t>
      </w:r>
      <w:r w:rsidR="00CB275F">
        <w:t>the taxon has medicinal purposes</w:t>
      </w:r>
      <w:r w:rsidR="00AA7EAA">
        <w:t xml:space="preserve"> (</w:t>
      </w:r>
      <w:r w:rsidR="00EF5121">
        <w:t xml:space="preserve">Calvert 2016; </w:t>
      </w:r>
      <w:r w:rsidR="00AA7EAA">
        <w:t>Steckel et al. 2019)</w:t>
      </w:r>
      <w:r>
        <w:t>.</w:t>
      </w:r>
    </w:p>
    <w:p w14:paraId="1BEB84DC" w14:textId="77777777" w:rsidR="000A25D1" w:rsidRDefault="000A25D1" w:rsidP="000A25D1">
      <w:pPr>
        <w:spacing w:line="360" w:lineRule="auto"/>
        <w:contextualSpacing/>
      </w:pPr>
    </w:p>
    <w:p w14:paraId="3554B98C" w14:textId="6CE2E49E" w:rsidR="000A25D1" w:rsidRDefault="000A25D1" w:rsidP="000A25D1">
      <w:pPr>
        <w:spacing w:line="360" w:lineRule="auto"/>
        <w:contextualSpacing/>
      </w:pPr>
      <w:r>
        <w:rPr>
          <w:b/>
        </w:rPr>
        <w:t xml:space="preserve">Fern spores </w:t>
      </w:r>
      <w:r>
        <w:t>increase in frequency in the upper levels of the sediment sequences (from XU18 upwards in R31, post-14,300 cal BP; and throughout P35). Fern spores are also present in the scats. Aboriginal peoples of Victoria and Tasmania ate the s</w:t>
      </w:r>
      <w:r w:rsidRPr="00542B3C">
        <w:t>oft, starchy pith</w:t>
      </w:r>
      <w:r>
        <w:t xml:space="preserve"> of ferns, either </w:t>
      </w:r>
      <w:r w:rsidRPr="00542B3C">
        <w:t xml:space="preserve">raw or </w:t>
      </w:r>
      <w:r>
        <w:t xml:space="preserve">by </w:t>
      </w:r>
      <w:r w:rsidRPr="00542B3C">
        <w:t>roast</w:t>
      </w:r>
      <w:r>
        <w:t>ing then</w:t>
      </w:r>
      <w:r w:rsidRPr="00542B3C">
        <w:t xml:space="preserve"> </w:t>
      </w:r>
      <w:r w:rsidR="003514B0">
        <w:t>grinding</w:t>
      </w:r>
      <w:r w:rsidRPr="00542B3C">
        <w:t xml:space="preserve"> into a damper or porridge (Cumpston 2020; Nash 2004)</w:t>
      </w:r>
      <w:r>
        <w:t>.</w:t>
      </w:r>
      <w:r w:rsidRPr="002E23BF">
        <w:t xml:space="preserve"> </w:t>
      </w:r>
    </w:p>
    <w:p w14:paraId="0E5F1098" w14:textId="77777777" w:rsidR="000A25D1" w:rsidRDefault="000A25D1" w:rsidP="000A25D1">
      <w:pPr>
        <w:spacing w:line="360" w:lineRule="auto"/>
        <w:contextualSpacing/>
      </w:pPr>
    </w:p>
    <w:p w14:paraId="700C5DCC" w14:textId="6099F2B8" w:rsidR="000A25D1" w:rsidRDefault="000A25D1" w:rsidP="000A25D1">
      <w:pPr>
        <w:spacing w:line="360" w:lineRule="auto"/>
        <w:contextualSpacing/>
      </w:pPr>
      <w:r w:rsidRPr="0025697F">
        <w:rPr>
          <w:b/>
        </w:rPr>
        <w:t>Other taxa</w:t>
      </w:r>
      <w:r w:rsidRPr="00564382">
        <w:t xml:space="preserve"> with </w:t>
      </w:r>
      <w:r>
        <w:t xml:space="preserve">recorded </w:t>
      </w:r>
      <w:r w:rsidRPr="00564382">
        <w:t>cultural uses t</w:t>
      </w:r>
      <w:r>
        <w:t>hat are c</w:t>
      </w:r>
      <w:r w:rsidRPr="00564382">
        <w:t>onsistent element</w:t>
      </w:r>
      <w:r>
        <w:t xml:space="preserve">s </w:t>
      </w:r>
      <w:r w:rsidRPr="00564382">
        <w:t xml:space="preserve">(single grains) in </w:t>
      </w:r>
      <w:r w:rsidR="00414450">
        <w:t xml:space="preserve">sediments from </w:t>
      </w:r>
      <w:r w:rsidRPr="00564382">
        <w:t xml:space="preserve">the upper part of the </w:t>
      </w:r>
      <w:r>
        <w:t>R</w:t>
      </w:r>
      <w:r w:rsidRPr="00564382">
        <w:t>31 se</w:t>
      </w:r>
      <w:r>
        <w:t>qu</w:t>
      </w:r>
      <w:r w:rsidRPr="00564382">
        <w:t>ence</w:t>
      </w:r>
      <w:r>
        <w:t xml:space="preserve"> </w:t>
      </w:r>
      <w:r w:rsidRPr="00564382">
        <w:t xml:space="preserve">include </w:t>
      </w:r>
      <w:proofErr w:type="spellStart"/>
      <w:r w:rsidRPr="00D16002">
        <w:rPr>
          <w:i/>
          <w:iCs/>
        </w:rPr>
        <w:t>Wahlenbergia</w:t>
      </w:r>
      <w:proofErr w:type="spellEnd"/>
      <w:r w:rsidRPr="00D16002">
        <w:rPr>
          <w:i/>
          <w:iCs/>
        </w:rPr>
        <w:t xml:space="preserve"> </w:t>
      </w:r>
      <w:r w:rsidRPr="00564382">
        <w:t>s</w:t>
      </w:r>
      <w:r>
        <w:t>p</w:t>
      </w:r>
      <w:r w:rsidRPr="00564382">
        <w:t>p. (</w:t>
      </w:r>
      <w:r>
        <w:t>b</w:t>
      </w:r>
      <w:r w:rsidRPr="00564382">
        <w:t>luebell) (X</w:t>
      </w:r>
      <w:r>
        <w:t>U4–XU31 of R31, 4700–</w:t>
      </w:r>
      <w:r w:rsidRPr="00564382">
        <w:t>17</w:t>
      </w:r>
      <w:r>
        <w:t>,</w:t>
      </w:r>
      <w:r w:rsidRPr="00564382">
        <w:t>100</w:t>
      </w:r>
      <w:r>
        <w:t xml:space="preserve"> </w:t>
      </w:r>
      <w:r w:rsidRPr="00564382">
        <w:t>cal BP) with its edible flowers;</w:t>
      </w:r>
      <w:r>
        <w:t xml:space="preserve"> and,</w:t>
      </w:r>
      <w:r w:rsidRPr="00564382">
        <w:t xml:space="preserve"> </w:t>
      </w:r>
      <w:proofErr w:type="spellStart"/>
      <w:r w:rsidRPr="00D16002">
        <w:rPr>
          <w:i/>
          <w:iCs/>
        </w:rPr>
        <w:t>Dodonaea</w:t>
      </w:r>
      <w:proofErr w:type="spellEnd"/>
      <w:r w:rsidRPr="00D16002">
        <w:rPr>
          <w:i/>
          <w:iCs/>
        </w:rPr>
        <w:t xml:space="preserve"> </w:t>
      </w:r>
      <w:r w:rsidRPr="00564382">
        <w:t>spp. (</w:t>
      </w:r>
      <w:r>
        <w:t>h</w:t>
      </w:r>
      <w:r w:rsidRPr="00564382">
        <w:t>op-bush)</w:t>
      </w:r>
      <w:r w:rsidRPr="00E74999">
        <w:t xml:space="preserve"> </w:t>
      </w:r>
      <w:r w:rsidRPr="00564382">
        <w:t>(</w:t>
      </w:r>
      <w:r>
        <w:t>XU</w:t>
      </w:r>
      <w:r w:rsidRPr="00564382">
        <w:t>1</w:t>
      </w:r>
      <w:r>
        <w:t>–XU</w:t>
      </w:r>
      <w:r w:rsidRPr="00564382">
        <w:t>22</w:t>
      </w:r>
      <w:r>
        <w:t xml:space="preserve"> of R31,</w:t>
      </w:r>
      <w:r w:rsidRPr="00564382">
        <w:t xml:space="preserve"> </w:t>
      </w:r>
      <w:r>
        <w:t>2000–</w:t>
      </w:r>
      <w:r w:rsidRPr="00564382">
        <w:t>15</w:t>
      </w:r>
      <w:r>
        <w:t>,</w:t>
      </w:r>
      <w:r w:rsidRPr="00564382">
        <w:t>000</w:t>
      </w:r>
      <w:r>
        <w:t xml:space="preserve"> </w:t>
      </w:r>
      <w:r w:rsidRPr="00564382">
        <w:t>cal BP), of which the durable, tough wood is favoured for firewood, tools and weapons, while a</w:t>
      </w:r>
      <w:r>
        <w:t xml:space="preserve"> </w:t>
      </w:r>
      <w:r w:rsidRPr="00564382">
        <w:t xml:space="preserve">poultice can be </w:t>
      </w:r>
      <w:r>
        <w:t xml:space="preserve">prepared to </w:t>
      </w:r>
      <w:r w:rsidRPr="00564382">
        <w:t>treat toothache, cuts and stings (</w:t>
      </w:r>
      <w:r>
        <w:t>reported</w:t>
      </w:r>
      <w:r w:rsidRPr="00564382">
        <w:t xml:space="preserve"> among the Kulin Nation</w:t>
      </w:r>
      <w:r>
        <w:t>s</w:t>
      </w:r>
      <w:r w:rsidRPr="00564382">
        <w:t xml:space="preserve"> peoples in southern Victoria</w:t>
      </w:r>
      <w:r>
        <w:t>,</w:t>
      </w:r>
      <w:r w:rsidRPr="00564382">
        <w:t xml:space="preserve"> Hastings Community College 2017)</w:t>
      </w:r>
      <w:r>
        <w:t xml:space="preserve"> (Figure 4). </w:t>
      </w:r>
      <w:r w:rsidRPr="001A6F0F">
        <w:t xml:space="preserve">Members of </w:t>
      </w:r>
      <w:proofErr w:type="spellStart"/>
      <w:r w:rsidRPr="001A6F0F">
        <w:t>Sapindaceae</w:t>
      </w:r>
      <w:proofErr w:type="spellEnd"/>
      <w:r w:rsidRPr="001A6F0F">
        <w:t xml:space="preserve"> </w:t>
      </w:r>
      <w:r>
        <w:t xml:space="preserve">(the family that includes the </w:t>
      </w:r>
      <w:proofErr w:type="spellStart"/>
      <w:r w:rsidRPr="00D16002">
        <w:rPr>
          <w:i/>
          <w:iCs/>
        </w:rPr>
        <w:t>Dodonaea</w:t>
      </w:r>
      <w:proofErr w:type="spellEnd"/>
      <w:r>
        <w:rPr>
          <w:i/>
          <w:iCs/>
        </w:rPr>
        <w:t xml:space="preserve"> </w:t>
      </w:r>
      <w:r>
        <w:t xml:space="preserve">genus) </w:t>
      </w:r>
      <w:r w:rsidRPr="001A6F0F">
        <w:t xml:space="preserve">are present in two scats collected from R31, but </w:t>
      </w:r>
      <w:proofErr w:type="spellStart"/>
      <w:r w:rsidRPr="00E74999">
        <w:t>Campanulaceae</w:t>
      </w:r>
      <w:proofErr w:type="spellEnd"/>
      <w:r>
        <w:t xml:space="preserve"> (including the </w:t>
      </w:r>
      <w:proofErr w:type="spellStart"/>
      <w:r w:rsidRPr="00FB3D8F">
        <w:rPr>
          <w:i/>
          <w:iCs/>
        </w:rPr>
        <w:t>Wahlenbergia</w:t>
      </w:r>
      <w:proofErr w:type="spellEnd"/>
      <w:r w:rsidRPr="00FB3D8F">
        <w:rPr>
          <w:i/>
          <w:iCs/>
        </w:rPr>
        <w:t xml:space="preserve"> </w:t>
      </w:r>
      <w:r>
        <w:t xml:space="preserve">genus) </w:t>
      </w:r>
      <w:r w:rsidRPr="001A6F0F">
        <w:t xml:space="preserve">were not </w:t>
      </w:r>
      <w:r>
        <w:t>identified</w:t>
      </w:r>
      <w:r w:rsidRPr="001A6F0F">
        <w:t xml:space="preserve"> in the scats.</w:t>
      </w:r>
    </w:p>
    <w:p w14:paraId="2791727B" w14:textId="77777777" w:rsidR="003514B0" w:rsidRDefault="003514B0" w:rsidP="000A25D1">
      <w:pPr>
        <w:spacing w:line="360" w:lineRule="auto"/>
        <w:ind w:firstLine="284"/>
        <w:contextualSpacing/>
        <w:sectPr w:rsidR="003514B0" w:rsidSect="000A25D1">
          <w:footerReference w:type="even" r:id="rId8"/>
          <w:footerReference w:type="default" r:id="rId9"/>
          <w:pgSz w:w="11906" w:h="16838"/>
          <w:pgMar w:top="1440" w:right="1440" w:bottom="1440" w:left="1440" w:header="708" w:footer="708" w:gutter="0"/>
          <w:cols w:space="708"/>
          <w:docGrid w:linePitch="360"/>
        </w:sectPr>
      </w:pPr>
    </w:p>
    <w:p w14:paraId="6F9216D3" w14:textId="32050DBE" w:rsidR="000A25D1" w:rsidRDefault="000A25D1" w:rsidP="003514B0">
      <w:pPr>
        <w:spacing w:line="360" w:lineRule="auto"/>
        <w:contextualSpacing/>
      </w:pPr>
      <w:r w:rsidRPr="00C67F3D">
        <w:rPr>
          <w:b/>
          <w:bCs/>
        </w:rPr>
        <w:lastRenderedPageBreak/>
        <w:t xml:space="preserve">Table </w:t>
      </w:r>
      <w:r>
        <w:rPr>
          <w:b/>
          <w:bCs/>
        </w:rPr>
        <w:t>1</w:t>
      </w:r>
      <w:r>
        <w:t xml:space="preserve">. Published examples of </w:t>
      </w:r>
      <w:proofErr w:type="spellStart"/>
      <w:r>
        <w:t>GunaiKurnai</w:t>
      </w:r>
      <w:proofErr w:type="spellEnd"/>
      <w:r>
        <w:t xml:space="preserve"> uses of taxa </w:t>
      </w:r>
      <w:r w:rsidRPr="001E4D31">
        <w:t xml:space="preserve">native to East Gippsland and </w:t>
      </w:r>
      <w:r>
        <w:t xml:space="preserve">other parts of </w:t>
      </w:r>
      <w:r w:rsidRPr="001E4D31">
        <w:t xml:space="preserve">Victoria that were identified in the </w:t>
      </w:r>
      <w:r>
        <w:t xml:space="preserve">clumped </w:t>
      </w:r>
      <w:r w:rsidRPr="001E4D31">
        <w:t xml:space="preserve">pollen from </w:t>
      </w:r>
      <w:proofErr w:type="spellStart"/>
      <w:r w:rsidRPr="001E4D31">
        <w:t>Cloggs</w:t>
      </w:r>
      <w:proofErr w:type="spellEnd"/>
      <w:r w:rsidRPr="001E4D31">
        <w:t xml:space="preserve"> Cave</w:t>
      </w:r>
      <w:r>
        <w:t>. A</w:t>
      </w:r>
      <w:r w:rsidRPr="001E4D31">
        <w:t xml:space="preserve">s pollen identification occurred at the family or genus level, the plant taxa listed </w:t>
      </w:r>
      <w:r>
        <w:t>here are</w:t>
      </w:r>
      <w:r w:rsidRPr="001E4D31">
        <w:t xml:space="preserve"> indicative</w:t>
      </w:r>
      <w:r>
        <w:t xml:space="preserve"> of potential ways these plants may have been used</w:t>
      </w:r>
      <w:r w:rsidRPr="001E4D31">
        <w:t xml:space="preserve"> </w:t>
      </w:r>
      <w:r>
        <w:t xml:space="preserve">in </w:t>
      </w:r>
      <w:proofErr w:type="spellStart"/>
      <w:r>
        <w:t>Cloggs</w:t>
      </w:r>
      <w:proofErr w:type="spellEnd"/>
      <w:r>
        <w:t xml:space="preserve"> Cave in the past</w:t>
      </w:r>
      <w:r w:rsidR="003514B0">
        <w:t>.</w:t>
      </w:r>
    </w:p>
    <w:tbl>
      <w:tblPr>
        <w:tblW w:w="4978" w:type="pct"/>
        <w:tblLayout w:type="fixed"/>
        <w:tblLook w:val="04A0" w:firstRow="1" w:lastRow="0" w:firstColumn="1" w:lastColumn="0" w:noHBand="0" w:noVBand="1"/>
      </w:tblPr>
      <w:tblGrid>
        <w:gridCol w:w="1560"/>
        <w:gridCol w:w="1700"/>
        <w:gridCol w:w="1275"/>
        <w:gridCol w:w="1564"/>
        <w:gridCol w:w="6088"/>
        <w:gridCol w:w="1700"/>
      </w:tblGrid>
      <w:tr w:rsidR="003514B0" w:rsidRPr="00E6499E" w14:paraId="17377827" w14:textId="77777777" w:rsidTr="003514B0">
        <w:trPr>
          <w:trHeight w:val="320"/>
        </w:trPr>
        <w:tc>
          <w:tcPr>
            <w:tcW w:w="562" w:type="pct"/>
            <w:tcBorders>
              <w:top w:val="single" w:sz="4" w:space="0" w:color="auto"/>
              <w:left w:val="single" w:sz="4" w:space="0" w:color="auto"/>
              <w:bottom w:val="single" w:sz="4" w:space="0" w:color="auto"/>
              <w:right w:val="single" w:sz="4" w:space="0" w:color="auto"/>
            </w:tcBorders>
          </w:tcPr>
          <w:p w14:paraId="528284A7" w14:textId="77777777" w:rsidR="000A25D1" w:rsidRPr="00E6499E" w:rsidRDefault="000A25D1" w:rsidP="00465144">
            <w:pPr>
              <w:rPr>
                <w:rFonts w:eastAsiaTheme="minorHAnsi"/>
                <w:b/>
                <w:bCs/>
                <w:kern w:val="2"/>
                <w:sz w:val="20"/>
                <w:szCs w:val="20"/>
                <w:lang w:eastAsia="en-US"/>
              </w:rPr>
            </w:pPr>
            <w:r w:rsidRPr="00E6499E">
              <w:rPr>
                <w:rFonts w:eastAsiaTheme="minorHAnsi"/>
                <w:b/>
                <w:bCs/>
                <w:kern w:val="2"/>
                <w:sz w:val="20"/>
                <w:szCs w:val="20"/>
                <w:lang w:eastAsia="en-US"/>
              </w:rPr>
              <w:t>Family</w:t>
            </w:r>
          </w:p>
        </w:tc>
        <w:tc>
          <w:tcPr>
            <w:tcW w:w="612" w:type="pct"/>
            <w:tcBorders>
              <w:top w:val="single" w:sz="4" w:space="0" w:color="auto"/>
              <w:left w:val="single" w:sz="4" w:space="0" w:color="auto"/>
              <w:bottom w:val="single" w:sz="4" w:space="0" w:color="auto"/>
              <w:right w:val="single" w:sz="4" w:space="0" w:color="auto"/>
            </w:tcBorders>
            <w:shd w:val="clear" w:color="auto" w:fill="auto"/>
            <w:noWrap/>
            <w:hideMark/>
          </w:tcPr>
          <w:p w14:paraId="7427D900" w14:textId="77777777" w:rsidR="000A25D1" w:rsidRPr="00E6499E" w:rsidRDefault="000A25D1" w:rsidP="00465144">
            <w:pPr>
              <w:rPr>
                <w:rFonts w:eastAsiaTheme="minorHAnsi"/>
                <w:b/>
                <w:bCs/>
                <w:kern w:val="2"/>
                <w:sz w:val="20"/>
                <w:szCs w:val="20"/>
                <w:lang w:eastAsia="en-US"/>
              </w:rPr>
            </w:pPr>
            <w:r w:rsidRPr="00E6499E">
              <w:rPr>
                <w:rFonts w:eastAsiaTheme="minorHAnsi"/>
                <w:b/>
                <w:bCs/>
                <w:kern w:val="2"/>
                <w:sz w:val="20"/>
                <w:szCs w:val="20"/>
                <w:lang w:eastAsia="en-US"/>
              </w:rPr>
              <w:t>Taxon</w:t>
            </w:r>
          </w:p>
        </w:tc>
        <w:tc>
          <w:tcPr>
            <w:tcW w:w="459" w:type="pct"/>
            <w:tcBorders>
              <w:top w:val="single" w:sz="4" w:space="0" w:color="auto"/>
              <w:left w:val="nil"/>
              <w:bottom w:val="single" w:sz="4" w:space="0" w:color="auto"/>
              <w:right w:val="single" w:sz="4" w:space="0" w:color="auto"/>
            </w:tcBorders>
            <w:shd w:val="clear" w:color="auto" w:fill="auto"/>
            <w:noWrap/>
            <w:hideMark/>
          </w:tcPr>
          <w:p w14:paraId="37BCC924" w14:textId="77777777" w:rsidR="000A25D1" w:rsidRPr="00E6499E" w:rsidRDefault="000A25D1" w:rsidP="00465144">
            <w:pPr>
              <w:rPr>
                <w:rFonts w:eastAsiaTheme="minorHAnsi"/>
                <w:b/>
                <w:bCs/>
                <w:kern w:val="2"/>
                <w:sz w:val="20"/>
                <w:szCs w:val="20"/>
                <w:lang w:eastAsia="en-US"/>
              </w:rPr>
            </w:pPr>
            <w:r w:rsidRPr="00E6499E">
              <w:rPr>
                <w:rFonts w:eastAsiaTheme="minorHAnsi"/>
                <w:b/>
                <w:bCs/>
                <w:kern w:val="2"/>
                <w:sz w:val="20"/>
                <w:szCs w:val="20"/>
                <w:lang w:eastAsia="en-US"/>
              </w:rPr>
              <w:t>Common Name</w:t>
            </w:r>
          </w:p>
        </w:tc>
        <w:tc>
          <w:tcPr>
            <w:tcW w:w="563" w:type="pct"/>
            <w:tcBorders>
              <w:top w:val="single" w:sz="4" w:space="0" w:color="auto"/>
              <w:left w:val="nil"/>
              <w:bottom w:val="single" w:sz="4" w:space="0" w:color="auto"/>
              <w:right w:val="single" w:sz="4" w:space="0" w:color="auto"/>
            </w:tcBorders>
            <w:shd w:val="clear" w:color="auto" w:fill="auto"/>
            <w:hideMark/>
          </w:tcPr>
          <w:p w14:paraId="607D3288" w14:textId="77777777" w:rsidR="000A25D1" w:rsidRPr="00D06425" w:rsidRDefault="000A25D1" w:rsidP="00465144">
            <w:pPr>
              <w:rPr>
                <w:rFonts w:eastAsiaTheme="minorHAnsi"/>
                <w:b/>
                <w:bCs/>
                <w:kern w:val="2"/>
                <w:sz w:val="20"/>
                <w:szCs w:val="20"/>
                <w:lang w:eastAsia="en-US"/>
              </w:rPr>
            </w:pPr>
            <w:proofErr w:type="spellStart"/>
            <w:r w:rsidRPr="00D06425">
              <w:rPr>
                <w:rFonts w:eastAsiaTheme="minorHAnsi"/>
                <w:b/>
                <w:bCs/>
                <w:kern w:val="2"/>
                <w:sz w:val="20"/>
                <w:szCs w:val="20"/>
                <w:lang w:eastAsia="en-US"/>
              </w:rPr>
              <w:t>GunaiKurnai</w:t>
            </w:r>
            <w:proofErr w:type="spellEnd"/>
            <w:r w:rsidRPr="00D06425">
              <w:rPr>
                <w:rFonts w:eastAsiaTheme="minorHAnsi"/>
                <w:b/>
                <w:bCs/>
                <w:kern w:val="2"/>
                <w:sz w:val="20"/>
                <w:szCs w:val="20"/>
                <w:lang w:eastAsia="en-US"/>
              </w:rPr>
              <w:t xml:space="preserve"> Name</w:t>
            </w:r>
          </w:p>
        </w:tc>
        <w:tc>
          <w:tcPr>
            <w:tcW w:w="2192" w:type="pct"/>
            <w:tcBorders>
              <w:top w:val="single" w:sz="4" w:space="0" w:color="auto"/>
              <w:left w:val="nil"/>
              <w:bottom w:val="single" w:sz="4" w:space="0" w:color="auto"/>
              <w:right w:val="single" w:sz="4" w:space="0" w:color="auto"/>
            </w:tcBorders>
            <w:shd w:val="clear" w:color="auto" w:fill="auto"/>
            <w:hideMark/>
          </w:tcPr>
          <w:p w14:paraId="3E087E0C" w14:textId="77777777" w:rsidR="000A25D1" w:rsidRPr="00E6499E" w:rsidRDefault="000A25D1" w:rsidP="00465144">
            <w:pPr>
              <w:rPr>
                <w:rFonts w:eastAsiaTheme="minorHAnsi"/>
                <w:b/>
                <w:bCs/>
                <w:kern w:val="2"/>
                <w:sz w:val="20"/>
                <w:szCs w:val="20"/>
                <w:lang w:eastAsia="en-US"/>
              </w:rPr>
            </w:pPr>
            <w:r w:rsidRPr="00E6499E">
              <w:rPr>
                <w:rFonts w:eastAsiaTheme="minorHAnsi"/>
                <w:b/>
                <w:bCs/>
                <w:kern w:val="2"/>
                <w:sz w:val="20"/>
                <w:szCs w:val="20"/>
                <w:lang w:eastAsia="en-US"/>
              </w:rPr>
              <w:t>Uses</w:t>
            </w:r>
          </w:p>
        </w:tc>
        <w:tc>
          <w:tcPr>
            <w:tcW w:w="612" w:type="pct"/>
            <w:tcBorders>
              <w:top w:val="single" w:sz="4" w:space="0" w:color="auto"/>
              <w:left w:val="nil"/>
              <w:bottom w:val="single" w:sz="4" w:space="0" w:color="auto"/>
              <w:right w:val="single" w:sz="4" w:space="0" w:color="auto"/>
            </w:tcBorders>
            <w:shd w:val="clear" w:color="auto" w:fill="auto"/>
            <w:noWrap/>
            <w:hideMark/>
          </w:tcPr>
          <w:p w14:paraId="66D868C0" w14:textId="77777777" w:rsidR="000A25D1" w:rsidRPr="00E6499E" w:rsidRDefault="000A25D1" w:rsidP="00465144">
            <w:pPr>
              <w:rPr>
                <w:rFonts w:eastAsiaTheme="minorHAnsi"/>
                <w:b/>
                <w:bCs/>
                <w:kern w:val="2"/>
                <w:sz w:val="20"/>
                <w:szCs w:val="20"/>
                <w:lang w:eastAsia="en-US"/>
              </w:rPr>
            </w:pPr>
            <w:r w:rsidRPr="00E6499E">
              <w:rPr>
                <w:rFonts w:eastAsiaTheme="minorHAnsi"/>
                <w:b/>
                <w:bCs/>
                <w:kern w:val="2"/>
                <w:sz w:val="20"/>
                <w:szCs w:val="20"/>
                <w:lang w:eastAsia="en-US"/>
              </w:rPr>
              <w:t>References</w:t>
            </w:r>
          </w:p>
        </w:tc>
      </w:tr>
      <w:tr w:rsidR="003514B0" w:rsidRPr="00E6499E" w14:paraId="217E6DAC" w14:textId="77777777" w:rsidTr="003514B0">
        <w:trPr>
          <w:trHeight w:val="241"/>
        </w:trPr>
        <w:tc>
          <w:tcPr>
            <w:tcW w:w="562" w:type="pct"/>
            <w:vMerge w:val="restart"/>
            <w:tcBorders>
              <w:top w:val="nil"/>
              <w:left w:val="single" w:sz="4" w:space="0" w:color="auto"/>
              <w:right w:val="single" w:sz="4" w:space="0" w:color="auto"/>
            </w:tcBorders>
          </w:tcPr>
          <w:p w14:paraId="460920F2" w14:textId="77777777" w:rsidR="000A25D1" w:rsidRPr="00E6499E" w:rsidRDefault="000A25D1" w:rsidP="00465144">
            <w:pPr>
              <w:rPr>
                <w:rFonts w:eastAsiaTheme="minorHAnsi"/>
                <w:kern w:val="2"/>
                <w:sz w:val="20"/>
                <w:szCs w:val="20"/>
                <w:lang w:eastAsia="en-US"/>
              </w:rPr>
            </w:pPr>
            <w:r w:rsidRPr="00E6499E">
              <w:rPr>
                <w:rFonts w:eastAsiaTheme="minorHAnsi"/>
                <w:kern w:val="2"/>
                <w:sz w:val="20"/>
                <w:szCs w:val="20"/>
                <w:lang w:eastAsia="en-US"/>
              </w:rPr>
              <w:t>Asteraceae</w:t>
            </w:r>
          </w:p>
        </w:tc>
        <w:tc>
          <w:tcPr>
            <w:tcW w:w="612" w:type="pct"/>
            <w:tcBorders>
              <w:top w:val="nil"/>
              <w:left w:val="single" w:sz="4" w:space="0" w:color="auto"/>
              <w:bottom w:val="single" w:sz="4" w:space="0" w:color="auto"/>
              <w:right w:val="single" w:sz="4" w:space="0" w:color="auto"/>
            </w:tcBorders>
            <w:shd w:val="clear" w:color="auto" w:fill="auto"/>
            <w:noWrap/>
          </w:tcPr>
          <w:p w14:paraId="6741C744" w14:textId="77777777" w:rsidR="000A25D1" w:rsidRPr="00E6499E" w:rsidRDefault="000A25D1" w:rsidP="00465144">
            <w:pPr>
              <w:rPr>
                <w:rFonts w:eastAsiaTheme="minorHAnsi"/>
                <w:kern w:val="2"/>
                <w:sz w:val="20"/>
                <w:szCs w:val="20"/>
                <w:lang w:eastAsia="en-US"/>
              </w:rPr>
            </w:pPr>
            <w:r w:rsidRPr="00E6499E">
              <w:rPr>
                <w:rFonts w:eastAsiaTheme="minorHAnsi"/>
                <w:kern w:val="2"/>
                <w:sz w:val="20"/>
                <w:szCs w:val="20"/>
                <w:lang w:eastAsia="en-US"/>
              </w:rPr>
              <w:t>Various species</w:t>
            </w:r>
          </w:p>
        </w:tc>
        <w:tc>
          <w:tcPr>
            <w:tcW w:w="459" w:type="pct"/>
            <w:tcBorders>
              <w:top w:val="nil"/>
              <w:left w:val="nil"/>
              <w:bottom w:val="single" w:sz="4" w:space="0" w:color="auto"/>
              <w:right w:val="single" w:sz="4" w:space="0" w:color="auto"/>
            </w:tcBorders>
            <w:shd w:val="clear" w:color="auto" w:fill="auto"/>
            <w:noWrap/>
          </w:tcPr>
          <w:p w14:paraId="6186765C" w14:textId="77777777" w:rsidR="000A25D1" w:rsidRPr="00E6499E" w:rsidRDefault="000A25D1" w:rsidP="00465144">
            <w:pPr>
              <w:rPr>
                <w:rFonts w:eastAsiaTheme="minorHAnsi"/>
                <w:kern w:val="2"/>
                <w:sz w:val="20"/>
                <w:szCs w:val="20"/>
                <w:lang w:eastAsia="en-US"/>
              </w:rPr>
            </w:pPr>
            <w:r w:rsidRPr="00E6499E">
              <w:rPr>
                <w:rFonts w:eastAsiaTheme="minorHAnsi"/>
                <w:kern w:val="2"/>
                <w:sz w:val="20"/>
                <w:szCs w:val="20"/>
                <w:lang w:eastAsia="en-US"/>
              </w:rPr>
              <w:t>Daisy</w:t>
            </w:r>
          </w:p>
        </w:tc>
        <w:tc>
          <w:tcPr>
            <w:tcW w:w="563" w:type="pct"/>
            <w:tcBorders>
              <w:top w:val="nil"/>
              <w:left w:val="nil"/>
              <w:bottom w:val="single" w:sz="4" w:space="0" w:color="auto"/>
              <w:right w:val="single" w:sz="4" w:space="0" w:color="auto"/>
            </w:tcBorders>
            <w:shd w:val="clear" w:color="auto" w:fill="auto"/>
          </w:tcPr>
          <w:p w14:paraId="7E778E85" w14:textId="77777777" w:rsidR="000A25D1" w:rsidRPr="00D06425" w:rsidRDefault="000A25D1" w:rsidP="00465144">
            <w:pPr>
              <w:rPr>
                <w:rFonts w:eastAsiaTheme="minorHAnsi"/>
                <w:i/>
                <w:iCs/>
                <w:kern w:val="2"/>
                <w:sz w:val="20"/>
                <w:szCs w:val="20"/>
                <w:lang w:eastAsia="en-US"/>
              </w:rPr>
            </w:pPr>
          </w:p>
        </w:tc>
        <w:tc>
          <w:tcPr>
            <w:tcW w:w="2192" w:type="pct"/>
            <w:tcBorders>
              <w:top w:val="nil"/>
              <w:left w:val="nil"/>
              <w:bottom w:val="single" w:sz="4" w:space="0" w:color="auto"/>
              <w:right w:val="single" w:sz="4" w:space="0" w:color="auto"/>
            </w:tcBorders>
            <w:shd w:val="clear" w:color="auto" w:fill="auto"/>
          </w:tcPr>
          <w:p w14:paraId="4BA3821F" w14:textId="77777777" w:rsidR="000A25D1" w:rsidRPr="00E6499E" w:rsidRDefault="000A25D1" w:rsidP="00465144">
            <w:pPr>
              <w:rPr>
                <w:rFonts w:eastAsiaTheme="minorHAnsi"/>
                <w:kern w:val="2"/>
                <w:sz w:val="20"/>
                <w:szCs w:val="20"/>
                <w:lang w:eastAsia="en-US"/>
              </w:rPr>
            </w:pPr>
            <w:r w:rsidRPr="00E6499E">
              <w:rPr>
                <w:rFonts w:eastAsiaTheme="minorHAnsi"/>
                <w:kern w:val="2"/>
                <w:sz w:val="20"/>
                <w:szCs w:val="20"/>
                <w:lang w:eastAsia="en-US"/>
              </w:rPr>
              <w:t>Various species widely used medicinally, such as repellent for mosquitos (leaf), treatments for liver disease (leaf), treatment of coughs, colds and skin irritations (leaf and stems).</w:t>
            </w:r>
          </w:p>
        </w:tc>
        <w:tc>
          <w:tcPr>
            <w:tcW w:w="612" w:type="pct"/>
            <w:tcBorders>
              <w:top w:val="nil"/>
              <w:left w:val="nil"/>
              <w:bottom w:val="single" w:sz="4" w:space="0" w:color="auto"/>
              <w:right w:val="single" w:sz="4" w:space="0" w:color="auto"/>
            </w:tcBorders>
            <w:shd w:val="clear" w:color="auto" w:fill="auto"/>
          </w:tcPr>
          <w:p w14:paraId="5AC3B833" w14:textId="77777777" w:rsidR="000A25D1" w:rsidRPr="00E6499E" w:rsidRDefault="000A25D1" w:rsidP="00465144">
            <w:pPr>
              <w:rPr>
                <w:rFonts w:eastAsiaTheme="minorHAnsi"/>
                <w:kern w:val="2"/>
                <w:sz w:val="20"/>
                <w:szCs w:val="20"/>
                <w:lang w:eastAsia="en-US"/>
              </w:rPr>
            </w:pPr>
            <w:r w:rsidRPr="00E6499E">
              <w:rPr>
                <w:rFonts w:eastAsiaTheme="minorHAnsi"/>
                <w:kern w:val="2"/>
                <w:sz w:val="20"/>
                <w:szCs w:val="20"/>
                <w:lang w:eastAsia="en-US"/>
              </w:rPr>
              <w:t>De Angelis 2005; Gott 2008; Packer et al. 2012</w:t>
            </w:r>
          </w:p>
        </w:tc>
      </w:tr>
      <w:tr w:rsidR="003514B0" w:rsidRPr="00E6499E" w14:paraId="18E790AB" w14:textId="77777777" w:rsidTr="003514B0">
        <w:trPr>
          <w:trHeight w:val="56"/>
        </w:trPr>
        <w:tc>
          <w:tcPr>
            <w:tcW w:w="562" w:type="pct"/>
            <w:vMerge/>
            <w:tcBorders>
              <w:left w:val="single" w:sz="4" w:space="0" w:color="auto"/>
              <w:bottom w:val="single" w:sz="4" w:space="0" w:color="auto"/>
              <w:right w:val="single" w:sz="4" w:space="0" w:color="auto"/>
            </w:tcBorders>
          </w:tcPr>
          <w:p w14:paraId="0A421D9B" w14:textId="77777777" w:rsidR="000A25D1" w:rsidRPr="00E6499E" w:rsidRDefault="000A25D1" w:rsidP="00465144">
            <w:pPr>
              <w:rPr>
                <w:rFonts w:eastAsiaTheme="minorHAnsi"/>
                <w:kern w:val="2"/>
                <w:sz w:val="20"/>
                <w:szCs w:val="20"/>
                <w:lang w:eastAsia="en-US"/>
              </w:rPr>
            </w:pPr>
          </w:p>
        </w:tc>
        <w:tc>
          <w:tcPr>
            <w:tcW w:w="612" w:type="pct"/>
            <w:tcBorders>
              <w:top w:val="nil"/>
              <w:left w:val="single" w:sz="4" w:space="0" w:color="auto"/>
              <w:bottom w:val="single" w:sz="4" w:space="0" w:color="auto"/>
              <w:right w:val="single" w:sz="4" w:space="0" w:color="auto"/>
            </w:tcBorders>
            <w:shd w:val="clear" w:color="auto" w:fill="auto"/>
            <w:noWrap/>
          </w:tcPr>
          <w:p w14:paraId="257666AD" w14:textId="77777777" w:rsidR="000A25D1" w:rsidRPr="00E6499E" w:rsidRDefault="000A25D1" w:rsidP="00465144">
            <w:pPr>
              <w:rPr>
                <w:rFonts w:eastAsiaTheme="minorHAnsi"/>
                <w:kern w:val="2"/>
                <w:sz w:val="20"/>
                <w:szCs w:val="20"/>
                <w:lang w:eastAsia="en-US"/>
              </w:rPr>
            </w:pPr>
            <w:proofErr w:type="spellStart"/>
            <w:r w:rsidRPr="00E6499E">
              <w:rPr>
                <w:rFonts w:eastAsiaTheme="minorHAnsi"/>
                <w:i/>
                <w:iCs/>
                <w:kern w:val="2"/>
                <w:sz w:val="20"/>
                <w:szCs w:val="20"/>
                <w:lang w:eastAsia="en-US"/>
              </w:rPr>
              <w:t>Microseris</w:t>
            </w:r>
            <w:proofErr w:type="spellEnd"/>
            <w:r w:rsidRPr="00E6499E">
              <w:rPr>
                <w:rFonts w:eastAsiaTheme="minorHAnsi"/>
                <w:kern w:val="2"/>
                <w:sz w:val="20"/>
                <w:szCs w:val="20"/>
                <w:lang w:eastAsia="en-US"/>
              </w:rPr>
              <w:t xml:space="preserve"> spp. </w:t>
            </w:r>
          </w:p>
          <w:p w14:paraId="4A4DCA7F" w14:textId="77777777" w:rsidR="000A25D1" w:rsidRPr="00E6499E" w:rsidRDefault="000A25D1" w:rsidP="00465144">
            <w:pPr>
              <w:rPr>
                <w:rFonts w:eastAsiaTheme="minorHAnsi"/>
                <w:i/>
                <w:iCs/>
                <w:kern w:val="2"/>
                <w:sz w:val="20"/>
                <w:szCs w:val="20"/>
                <w:lang w:eastAsia="en-US"/>
              </w:rPr>
            </w:pPr>
          </w:p>
        </w:tc>
        <w:tc>
          <w:tcPr>
            <w:tcW w:w="459" w:type="pct"/>
            <w:tcBorders>
              <w:top w:val="nil"/>
              <w:left w:val="nil"/>
              <w:bottom w:val="single" w:sz="4" w:space="0" w:color="auto"/>
              <w:right w:val="single" w:sz="4" w:space="0" w:color="auto"/>
            </w:tcBorders>
            <w:shd w:val="clear" w:color="auto" w:fill="auto"/>
            <w:noWrap/>
          </w:tcPr>
          <w:p w14:paraId="255E4733" w14:textId="77777777" w:rsidR="000A25D1" w:rsidRPr="00E6499E" w:rsidRDefault="000A25D1" w:rsidP="00465144">
            <w:pPr>
              <w:rPr>
                <w:rFonts w:eastAsiaTheme="minorHAnsi"/>
                <w:kern w:val="2"/>
                <w:sz w:val="20"/>
                <w:szCs w:val="20"/>
                <w:lang w:eastAsia="en-US"/>
              </w:rPr>
            </w:pPr>
            <w:r w:rsidRPr="00E6499E">
              <w:rPr>
                <w:rFonts w:eastAsiaTheme="minorHAnsi"/>
                <w:kern w:val="2"/>
                <w:sz w:val="20"/>
                <w:szCs w:val="20"/>
                <w:lang w:eastAsia="en-US"/>
              </w:rPr>
              <w:t>Yam daisy</w:t>
            </w:r>
          </w:p>
        </w:tc>
        <w:tc>
          <w:tcPr>
            <w:tcW w:w="563" w:type="pct"/>
            <w:tcBorders>
              <w:top w:val="nil"/>
              <w:left w:val="nil"/>
              <w:bottom w:val="single" w:sz="4" w:space="0" w:color="auto"/>
              <w:right w:val="single" w:sz="4" w:space="0" w:color="auto"/>
            </w:tcBorders>
            <w:shd w:val="clear" w:color="auto" w:fill="auto"/>
          </w:tcPr>
          <w:p w14:paraId="2CDE39EF" w14:textId="77777777" w:rsidR="000A25D1" w:rsidRPr="00D06425" w:rsidRDefault="000A25D1" w:rsidP="00465144">
            <w:pPr>
              <w:rPr>
                <w:rFonts w:eastAsiaTheme="minorHAnsi"/>
                <w:i/>
                <w:iCs/>
                <w:kern w:val="2"/>
                <w:sz w:val="20"/>
                <w:szCs w:val="20"/>
                <w:lang w:eastAsia="en-US"/>
              </w:rPr>
            </w:pPr>
          </w:p>
        </w:tc>
        <w:tc>
          <w:tcPr>
            <w:tcW w:w="2192" w:type="pct"/>
            <w:tcBorders>
              <w:top w:val="nil"/>
              <w:left w:val="nil"/>
              <w:bottom w:val="single" w:sz="4" w:space="0" w:color="auto"/>
              <w:right w:val="single" w:sz="4" w:space="0" w:color="auto"/>
            </w:tcBorders>
            <w:shd w:val="clear" w:color="auto" w:fill="auto"/>
          </w:tcPr>
          <w:p w14:paraId="64614776" w14:textId="77777777" w:rsidR="000A25D1" w:rsidRPr="00E6499E" w:rsidRDefault="000A25D1" w:rsidP="00465144">
            <w:pPr>
              <w:rPr>
                <w:rFonts w:eastAsiaTheme="minorHAnsi"/>
                <w:kern w:val="2"/>
                <w:sz w:val="20"/>
                <w:szCs w:val="20"/>
                <w:lang w:eastAsia="en-US"/>
              </w:rPr>
            </w:pPr>
            <w:r w:rsidRPr="00E6499E">
              <w:rPr>
                <w:rFonts w:eastAsiaTheme="minorHAnsi"/>
                <w:kern w:val="2"/>
                <w:sz w:val="20"/>
                <w:szCs w:val="20"/>
                <w:lang w:eastAsia="en-US"/>
              </w:rPr>
              <w:t>Important staple food to First Australians. Roots/tubers were dug with digging sticks then roasted or cooked in baskets in an earth oven and eaten. The tubers can also be eaten raw.</w:t>
            </w:r>
          </w:p>
        </w:tc>
        <w:tc>
          <w:tcPr>
            <w:tcW w:w="612" w:type="pct"/>
            <w:tcBorders>
              <w:top w:val="nil"/>
              <w:left w:val="nil"/>
              <w:bottom w:val="single" w:sz="4" w:space="0" w:color="auto"/>
              <w:right w:val="single" w:sz="4" w:space="0" w:color="auto"/>
            </w:tcBorders>
            <w:shd w:val="clear" w:color="auto" w:fill="auto"/>
          </w:tcPr>
          <w:p w14:paraId="02FF5835" w14:textId="77777777" w:rsidR="000A25D1" w:rsidRPr="00E6499E" w:rsidRDefault="000A25D1" w:rsidP="00465144">
            <w:pPr>
              <w:rPr>
                <w:rFonts w:eastAsiaTheme="minorHAnsi"/>
                <w:kern w:val="2"/>
                <w:sz w:val="20"/>
                <w:szCs w:val="20"/>
                <w:lang w:eastAsia="en-US"/>
              </w:rPr>
            </w:pPr>
            <w:r w:rsidRPr="00E6499E">
              <w:rPr>
                <w:rFonts w:eastAsiaTheme="minorHAnsi"/>
                <w:kern w:val="2"/>
                <w:sz w:val="20"/>
                <w:szCs w:val="20"/>
                <w:lang w:eastAsia="en-US"/>
              </w:rPr>
              <w:t>De Angelis 2005; Nash 2004</w:t>
            </w:r>
          </w:p>
        </w:tc>
      </w:tr>
      <w:tr w:rsidR="003514B0" w:rsidRPr="00E6499E" w14:paraId="4C94397A" w14:textId="77777777" w:rsidTr="003514B0">
        <w:trPr>
          <w:trHeight w:val="300"/>
        </w:trPr>
        <w:tc>
          <w:tcPr>
            <w:tcW w:w="562" w:type="pct"/>
            <w:vMerge w:val="restart"/>
            <w:tcBorders>
              <w:top w:val="nil"/>
              <w:left w:val="single" w:sz="4" w:space="0" w:color="auto"/>
              <w:right w:val="single" w:sz="4" w:space="0" w:color="auto"/>
            </w:tcBorders>
          </w:tcPr>
          <w:p w14:paraId="06A5B86F" w14:textId="77777777" w:rsidR="000A25D1" w:rsidRPr="00E6499E" w:rsidRDefault="000A25D1" w:rsidP="00465144">
            <w:pPr>
              <w:rPr>
                <w:rFonts w:eastAsiaTheme="minorHAnsi"/>
                <w:kern w:val="2"/>
                <w:sz w:val="20"/>
                <w:szCs w:val="20"/>
                <w:lang w:eastAsia="en-US"/>
              </w:rPr>
            </w:pPr>
            <w:r w:rsidRPr="00E6499E">
              <w:rPr>
                <w:rFonts w:eastAsiaTheme="minorHAnsi"/>
                <w:kern w:val="2"/>
                <w:sz w:val="20"/>
                <w:szCs w:val="20"/>
                <w:lang w:eastAsia="en-US"/>
              </w:rPr>
              <w:t>Myrtaceae</w:t>
            </w:r>
          </w:p>
        </w:tc>
        <w:tc>
          <w:tcPr>
            <w:tcW w:w="612" w:type="pct"/>
            <w:tcBorders>
              <w:top w:val="nil"/>
              <w:left w:val="single" w:sz="4" w:space="0" w:color="auto"/>
              <w:bottom w:val="single" w:sz="4" w:space="0" w:color="auto"/>
              <w:right w:val="single" w:sz="4" w:space="0" w:color="auto"/>
            </w:tcBorders>
            <w:shd w:val="clear" w:color="auto" w:fill="auto"/>
            <w:noWrap/>
            <w:hideMark/>
          </w:tcPr>
          <w:p w14:paraId="1EA1294E" w14:textId="77777777" w:rsidR="000A25D1" w:rsidRPr="00E6499E" w:rsidRDefault="000A25D1" w:rsidP="00465144">
            <w:pPr>
              <w:rPr>
                <w:rFonts w:eastAsiaTheme="minorHAnsi"/>
                <w:kern w:val="2"/>
                <w:sz w:val="20"/>
                <w:szCs w:val="20"/>
                <w:lang w:eastAsia="en-US"/>
              </w:rPr>
            </w:pPr>
            <w:r w:rsidRPr="00E6499E">
              <w:rPr>
                <w:rFonts w:eastAsiaTheme="minorHAnsi"/>
                <w:i/>
                <w:iCs/>
                <w:kern w:val="2"/>
                <w:sz w:val="20"/>
                <w:szCs w:val="20"/>
                <w:lang w:eastAsia="en-US"/>
              </w:rPr>
              <w:t>Eucalyptus</w:t>
            </w:r>
            <w:r w:rsidRPr="00E6499E">
              <w:rPr>
                <w:rFonts w:eastAsiaTheme="minorHAnsi"/>
                <w:kern w:val="2"/>
                <w:sz w:val="20"/>
                <w:szCs w:val="20"/>
                <w:lang w:eastAsia="en-US"/>
              </w:rPr>
              <w:t xml:space="preserve"> spp.</w:t>
            </w:r>
          </w:p>
        </w:tc>
        <w:tc>
          <w:tcPr>
            <w:tcW w:w="459" w:type="pct"/>
            <w:tcBorders>
              <w:top w:val="nil"/>
              <w:left w:val="nil"/>
              <w:bottom w:val="single" w:sz="4" w:space="0" w:color="auto"/>
              <w:right w:val="single" w:sz="4" w:space="0" w:color="auto"/>
            </w:tcBorders>
            <w:shd w:val="clear" w:color="auto" w:fill="auto"/>
            <w:noWrap/>
            <w:hideMark/>
          </w:tcPr>
          <w:p w14:paraId="27BA6AE8" w14:textId="77777777" w:rsidR="000A25D1" w:rsidRPr="00E6499E" w:rsidRDefault="000A25D1" w:rsidP="00465144">
            <w:pPr>
              <w:rPr>
                <w:rFonts w:eastAsiaTheme="minorHAnsi"/>
                <w:kern w:val="2"/>
                <w:sz w:val="20"/>
                <w:szCs w:val="20"/>
                <w:lang w:eastAsia="en-US"/>
              </w:rPr>
            </w:pPr>
            <w:r w:rsidRPr="00E6499E">
              <w:rPr>
                <w:rFonts w:eastAsiaTheme="minorHAnsi"/>
                <w:kern w:val="2"/>
                <w:sz w:val="20"/>
                <w:szCs w:val="20"/>
                <w:lang w:eastAsia="en-US"/>
              </w:rPr>
              <w:t>Gum</w:t>
            </w:r>
          </w:p>
        </w:tc>
        <w:tc>
          <w:tcPr>
            <w:tcW w:w="563" w:type="pct"/>
            <w:tcBorders>
              <w:top w:val="nil"/>
              <w:left w:val="nil"/>
              <w:bottom w:val="single" w:sz="4" w:space="0" w:color="auto"/>
              <w:right w:val="single" w:sz="4" w:space="0" w:color="auto"/>
            </w:tcBorders>
            <w:shd w:val="clear" w:color="auto" w:fill="auto"/>
            <w:hideMark/>
          </w:tcPr>
          <w:p w14:paraId="35A40A64" w14:textId="77777777" w:rsidR="000A25D1" w:rsidRPr="00D06425" w:rsidRDefault="000A25D1" w:rsidP="00465144">
            <w:pPr>
              <w:rPr>
                <w:rFonts w:eastAsiaTheme="minorHAnsi"/>
                <w:kern w:val="2"/>
                <w:sz w:val="20"/>
                <w:szCs w:val="20"/>
                <w:lang w:eastAsia="en-US"/>
              </w:rPr>
            </w:pPr>
            <w:r w:rsidRPr="00D06425">
              <w:rPr>
                <w:rFonts w:eastAsiaTheme="minorHAnsi"/>
                <w:kern w:val="2"/>
                <w:sz w:val="20"/>
                <w:szCs w:val="20"/>
                <w:lang w:eastAsia="en-US"/>
              </w:rPr>
              <w:t> </w:t>
            </w:r>
          </w:p>
        </w:tc>
        <w:tc>
          <w:tcPr>
            <w:tcW w:w="2192" w:type="pct"/>
            <w:tcBorders>
              <w:top w:val="nil"/>
              <w:left w:val="nil"/>
              <w:bottom w:val="single" w:sz="4" w:space="0" w:color="auto"/>
              <w:right w:val="single" w:sz="4" w:space="0" w:color="auto"/>
            </w:tcBorders>
            <w:shd w:val="clear" w:color="auto" w:fill="auto"/>
            <w:hideMark/>
          </w:tcPr>
          <w:p w14:paraId="712F7C6F" w14:textId="77777777" w:rsidR="000A25D1" w:rsidRPr="00E6499E" w:rsidRDefault="000A25D1" w:rsidP="00465144">
            <w:pPr>
              <w:rPr>
                <w:rFonts w:eastAsiaTheme="minorHAnsi"/>
                <w:kern w:val="2"/>
                <w:sz w:val="20"/>
                <w:szCs w:val="20"/>
                <w:lang w:eastAsia="en-US"/>
              </w:rPr>
            </w:pPr>
            <w:r w:rsidRPr="00E6499E">
              <w:rPr>
                <w:rFonts w:eastAsiaTheme="minorHAnsi"/>
                <w:kern w:val="2"/>
                <w:sz w:val="20"/>
                <w:szCs w:val="20"/>
                <w:lang w:eastAsia="en-US"/>
              </w:rPr>
              <w:t>Hard, quality timber used for making canoes, coolamons, shields, weapons and tools. Leaves of some species used medicinally by people of the Kulin Nations (and others), to treat colds and chest complaints and to make aromatic steam baths. Red sap to treat burns and diarrhoea. The outer bark of some species was powdered and used as tinder for fire making, while inner bark used to make coarse string for bags and fishing nets.</w:t>
            </w:r>
          </w:p>
        </w:tc>
        <w:tc>
          <w:tcPr>
            <w:tcW w:w="612" w:type="pct"/>
            <w:tcBorders>
              <w:top w:val="nil"/>
              <w:left w:val="nil"/>
              <w:bottom w:val="single" w:sz="4" w:space="0" w:color="auto"/>
              <w:right w:val="single" w:sz="4" w:space="0" w:color="auto"/>
            </w:tcBorders>
            <w:shd w:val="clear" w:color="auto" w:fill="auto"/>
            <w:noWrap/>
            <w:hideMark/>
          </w:tcPr>
          <w:p w14:paraId="45C5B3EC" w14:textId="77777777" w:rsidR="000A25D1" w:rsidRPr="00E6499E" w:rsidRDefault="000A25D1" w:rsidP="00465144">
            <w:pPr>
              <w:rPr>
                <w:rFonts w:eastAsiaTheme="minorHAnsi"/>
                <w:kern w:val="2"/>
                <w:sz w:val="20"/>
                <w:szCs w:val="20"/>
                <w:lang w:eastAsia="en-US"/>
              </w:rPr>
            </w:pPr>
            <w:r w:rsidRPr="00E6499E">
              <w:rPr>
                <w:rFonts w:eastAsiaTheme="minorHAnsi"/>
                <w:kern w:val="2"/>
                <w:sz w:val="20"/>
                <w:szCs w:val="20"/>
                <w:lang w:eastAsia="en-US"/>
              </w:rPr>
              <w:t>Cumpston 2020; De Angelis 2005; Nash 2004</w:t>
            </w:r>
          </w:p>
        </w:tc>
      </w:tr>
      <w:tr w:rsidR="003514B0" w:rsidRPr="00E6499E" w14:paraId="4C6274EF" w14:textId="77777777" w:rsidTr="003514B0">
        <w:trPr>
          <w:trHeight w:val="300"/>
        </w:trPr>
        <w:tc>
          <w:tcPr>
            <w:tcW w:w="562" w:type="pct"/>
            <w:vMerge/>
            <w:tcBorders>
              <w:left w:val="single" w:sz="4" w:space="0" w:color="auto"/>
              <w:right w:val="single" w:sz="4" w:space="0" w:color="auto"/>
            </w:tcBorders>
          </w:tcPr>
          <w:p w14:paraId="6D6DE7DE" w14:textId="77777777" w:rsidR="000A25D1" w:rsidRPr="00E6499E" w:rsidRDefault="000A25D1" w:rsidP="00465144">
            <w:pPr>
              <w:rPr>
                <w:rFonts w:eastAsiaTheme="minorHAnsi"/>
                <w:kern w:val="2"/>
                <w:sz w:val="20"/>
                <w:szCs w:val="20"/>
                <w:lang w:eastAsia="en-US"/>
              </w:rPr>
            </w:pPr>
          </w:p>
        </w:tc>
        <w:tc>
          <w:tcPr>
            <w:tcW w:w="612" w:type="pct"/>
            <w:tcBorders>
              <w:top w:val="nil"/>
              <w:left w:val="single" w:sz="4" w:space="0" w:color="auto"/>
              <w:bottom w:val="single" w:sz="4" w:space="0" w:color="auto"/>
              <w:right w:val="single" w:sz="4" w:space="0" w:color="auto"/>
            </w:tcBorders>
            <w:shd w:val="clear" w:color="auto" w:fill="auto"/>
            <w:noWrap/>
          </w:tcPr>
          <w:p w14:paraId="2C6514BA" w14:textId="77777777" w:rsidR="000A25D1" w:rsidRPr="00E6499E" w:rsidRDefault="000A25D1" w:rsidP="00465144">
            <w:pPr>
              <w:rPr>
                <w:rFonts w:eastAsiaTheme="minorHAnsi"/>
                <w:i/>
                <w:iCs/>
                <w:kern w:val="2"/>
                <w:sz w:val="20"/>
                <w:szCs w:val="20"/>
                <w:lang w:eastAsia="en-US"/>
              </w:rPr>
            </w:pPr>
            <w:r w:rsidRPr="00E6499E">
              <w:rPr>
                <w:rFonts w:eastAsiaTheme="minorHAnsi"/>
                <w:i/>
                <w:iCs/>
                <w:kern w:val="2"/>
                <w:sz w:val="20"/>
                <w:szCs w:val="20"/>
                <w:lang w:eastAsia="en-US"/>
              </w:rPr>
              <w:t xml:space="preserve">Leptospermum </w:t>
            </w:r>
            <w:r w:rsidRPr="00E6499E">
              <w:rPr>
                <w:rFonts w:eastAsiaTheme="minorHAnsi"/>
                <w:kern w:val="2"/>
                <w:sz w:val="20"/>
                <w:szCs w:val="20"/>
                <w:lang w:eastAsia="en-US"/>
              </w:rPr>
              <w:t>s</w:t>
            </w:r>
            <w:r w:rsidRPr="00BA3064">
              <w:rPr>
                <w:rFonts w:eastAsiaTheme="minorHAnsi"/>
                <w:kern w:val="2"/>
                <w:sz w:val="20"/>
                <w:szCs w:val="20"/>
                <w:lang w:eastAsia="en-US"/>
              </w:rPr>
              <w:t>p</w:t>
            </w:r>
            <w:r w:rsidRPr="00E6499E">
              <w:rPr>
                <w:rFonts w:eastAsiaTheme="minorHAnsi"/>
                <w:kern w:val="2"/>
                <w:sz w:val="20"/>
                <w:szCs w:val="20"/>
                <w:lang w:eastAsia="en-US"/>
              </w:rPr>
              <w:t>p.</w:t>
            </w:r>
          </w:p>
        </w:tc>
        <w:tc>
          <w:tcPr>
            <w:tcW w:w="459" w:type="pct"/>
            <w:tcBorders>
              <w:top w:val="nil"/>
              <w:left w:val="nil"/>
              <w:bottom w:val="single" w:sz="4" w:space="0" w:color="auto"/>
              <w:right w:val="single" w:sz="4" w:space="0" w:color="auto"/>
            </w:tcBorders>
            <w:shd w:val="clear" w:color="auto" w:fill="auto"/>
            <w:noWrap/>
          </w:tcPr>
          <w:p w14:paraId="3CD8FEC2" w14:textId="77777777" w:rsidR="000A25D1" w:rsidRPr="00E6499E" w:rsidRDefault="000A25D1" w:rsidP="00465144">
            <w:pPr>
              <w:rPr>
                <w:rFonts w:eastAsiaTheme="minorHAnsi"/>
                <w:kern w:val="2"/>
                <w:sz w:val="20"/>
                <w:szCs w:val="20"/>
                <w:lang w:eastAsia="en-US"/>
              </w:rPr>
            </w:pPr>
            <w:r w:rsidRPr="00E6499E">
              <w:rPr>
                <w:rFonts w:eastAsiaTheme="minorHAnsi"/>
                <w:kern w:val="2"/>
                <w:sz w:val="20"/>
                <w:szCs w:val="20"/>
                <w:lang w:eastAsia="en-US"/>
              </w:rPr>
              <w:t>Tea-tree</w:t>
            </w:r>
          </w:p>
        </w:tc>
        <w:tc>
          <w:tcPr>
            <w:tcW w:w="563" w:type="pct"/>
            <w:tcBorders>
              <w:top w:val="nil"/>
              <w:left w:val="nil"/>
              <w:bottom w:val="single" w:sz="4" w:space="0" w:color="auto"/>
              <w:right w:val="single" w:sz="4" w:space="0" w:color="auto"/>
            </w:tcBorders>
            <w:shd w:val="clear" w:color="auto" w:fill="auto"/>
          </w:tcPr>
          <w:p w14:paraId="6BB2347C" w14:textId="77777777" w:rsidR="000A25D1" w:rsidRPr="00D06425" w:rsidRDefault="000A25D1" w:rsidP="00465144">
            <w:pPr>
              <w:rPr>
                <w:rFonts w:eastAsiaTheme="minorHAnsi"/>
                <w:kern w:val="2"/>
                <w:sz w:val="20"/>
                <w:szCs w:val="20"/>
                <w:lang w:eastAsia="en-US"/>
              </w:rPr>
            </w:pPr>
          </w:p>
        </w:tc>
        <w:tc>
          <w:tcPr>
            <w:tcW w:w="2192" w:type="pct"/>
            <w:tcBorders>
              <w:top w:val="nil"/>
              <w:left w:val="nil"/>
              <w:bottom w:val="single" w:sz="4" w:space="0" w:color="auto"/>
              <w:right w:val="single" w:sz="4" w:space="0" w:color="auto"/>
            </w:tcBorders>
            <w:shd w:val="clear" w:color="auto" w:fill="auto"/>
          </w:tcPr>
          <w:p w14:paraId="2E947B59" w14:textId="77777777" w:rsidR="000A25D1" w:rsidRPr="00E6499E" w:rsidRDefault="000A25D1" w:rsidP="00465144">
            <w:pPr>
              <w:rPr>
                <w:rFonts w:eastAsiaTheme="minorHAnsi"/>
                <w:kern w:val="2"/>
                <w:sz w:val="20"/>
                <w:szCs w:val="20"/>
                <w:lang w:eastAsia="en-US"/>
              </w:rPr>
            </w:pPr>
            <w:r w:rsidRPr="00E6499E">
              <w:rPr>
                <w:rFonts w:eastAsiaTheme="minorHAnsi"/>
                <w:kern w:val="2"/>
                <w:sz w:val="20"/>
                <w:szCs w:val="20"/>
                <w:lang w:eastAsia="en-US"/>
              </w:rPr>
              <w:t>Leaves used medicinally as a treatment for scabies and to relieve respiratory conditions.</w:t>
            </w:r>
          </w:p>
        </w:tc>
        <w:tc>
          <w:tcPr>
            <w:tcW w:w="612" w:type="pct"/>
            <w:tcBorders>
              <w:top w:val="nil"/>
              <w:left w:val="nil"/>
              <w:bottom w:val="single" w:sz="4" w:space="0" w:color="auto"/>
              <w:right w:val="single" w:sz="4" w:space="0" w:color="auto"/>
            </w:tcBorders>
            <w:shd w:val="clear" w:color="auto" w:fill="auto"/>
            <w:noWrap/>
          </w:tcPr>
          <w:p w14:paraId="114CDA61" w14:textId="77777777" w:rsidR="000A25D1" w:rsidRPr="00E6499E" w:rsidRDefault="000A25D1" w:rsidP="00465144">
            <w:pPr>
              <w:rPr>
                <w:rFonts w:eastAsiaTheme="minorHAnsi"/>
                <w:kern w:val="2"/>
                <w:sz w:val="20"/>
                <w:szCs w:val="20"/>
                <w:lang w:eastAsia="en-US"/>
              </w:rPr>
            </w:pPr>
            <w:r w:rsidRPr="00E6499E">
              <w:rPr>
                <w:rFonts w:eastAsiaTheme="minorHAnsi"/>
                <w:kern w:val="2"/>
                <w:sz w:val="20"/>
                <w:szCs w:val="20"/>
                <w:lang w:eastAsia="en-US"/>
              </w:rPr>
              <w:t>De Angelis 2005</w:t>
            </w:r>
          </w:p>
        </w:tc>
      </w:tr>
      <w:tr w:rsidR="003514B0" w:rsidRPr="00E6499E" w14:paraId="7EC2CC08" w14:textId="77777777" w:rsidTr="003514B0">
        <w:trPr>
          <w:trHeight w:val="300"/>
        </w:trPr>
        <w:tc>
          <w:tcPr>
            <w:tcW w:w="562" w:type="pct"/>
            <w:vMerge/>
            <w:tcBorders>
              <w:left w:val="single" w:sz="4" w:space="0" w:color="auto"/>
              <w:bottom w:val="single" w:sz="4" w:space="0" w:color="auto"/>
              <w:right w:val="single" w:sz="4" w:space="0" w:color="auto"/>
            </w:tcBorders>
          </w:tcPr>
          <w:p w14:paraId="782CC96A" w14:textId="77777777" w:rsidR="000A25D1" w:rsidRPr="00E6499E" w:rsidRDefault="000A25D1" w:rsidP="00465144">
            <w:pPr>
              <w:rPr>
                <w:rFonts w:eastAsiaTheme="minorHAnsi"/>
                <w:kern w:val="2"/>
                <w:sz w:val="20"/>
                <w:szCs w:val="20"/>
                <w:lang w:eastAsia="en-US"/>
              </w:rPr>
            </w:pPr>
          </w:p>
        </w:tc>
        <w:tc>
          <w:tcPr>
            <w:tcW w:w="612" w:type="pct"/>
            <w:tcBorders>
              <w:top w:val="nil"/>
              <w:left w:val="single" w:sz="4" w:space="0" w:color="auto"/>
              <w:bottom w:val="single" w:sz="4" w:space="0" w:color="auto"/>
              <w:right w:val="single" w:sz="4" w:space="0" w:color="auto"/>
            </w:tcBorders>
            <w:shd w:val="clear" w:color="auto" w:fill="auto"/>
            <w:noWrap/>
          </w:tcPr>
          <w:p w14:paraId="6937EA7B" w14:textId="77777777" w:rsidR="000A25D1" w:rsidRPr="00E6499E" w:rsidRDefault="000A25D1" w:rsidP="00465144">
            <w:pPr>
              <w:rPr>
                <w:rFonts w:eastAsiaTheme="minorHAnsi"/>
                <w:i/>
                <w:iCs/>
                <w:kern w:val="2"/>
                <w:sz w:val="20"/>
                <w:szCs w:val="20"/>
                <w:lang w:eastAsia="en-US"/>
              </w:rPr>
            </w:pPr>
            <w:r w:rsidRPr="00E6499E">
              <w:rPr>
                <w:rFonts w:eastAsiaTheme="minorHAnsi"/>
                <w:i/>
                <w:iCs/>
                <w:kern w:val="2"/>
                <w:sz w:val="20"/>
                <w:szCs w:val="20"/>
                <w:lang w:eastAsia="en-US"/>
              </w:rPr>
              <w:t xml:space="preserve">Melaleuca </w:t>
            </w:r>
            <w:r w:rsidRPr="00E6499E">
              <w:rPr>
                <w:rFonts w:eastAsiaTheme="minorHAnsi"/>
                <w:kern w:val="2"/>
                <w:sz w:val="20"/>
                <w:szCs w:val="20"/>
                <w:lang w:eastAsia="en-US"/>
              </w:rPr>
              <w:t>s</w:t>
            </w:r>
            <w:r w:rsidRPr="00BA3064">
              <w:rPr>
                <w:rFonts w:eastAsiaTheme="minorHAnsi"/>
                <w:kern w:val="2"/>
                <w:sz w:val="20"/>
                <w:szCs w:val="20"/>
                <w:lang w:eastAsia="en-US"/>
              </w:rPr>
              <w:t>p</w:t>
            </w:r>
            <w:r w:rsidRPr="00E6499E">
              <w:rPr>
                <w:rFonts w:eastAsiaTheme="minorHAnsi"/>
                <w:kern w:val="2"/>
                <w:sz w:val="20"/>
                <w:szCs w:val="20"/>
                <w:lang w:eastAsia="en-US"/>
              </w:rPr>
              <w:t>p.</w:t>
            </w:r>
          </w:p>
        </w:tc>
        <w:tc>
          <w:tcPr>
            <w:tcW w:w="459" w:type="pct"/>
            <w:tcBorders>
              <w:top w:val="nil"/>
              <w:left w:val="nil"/>
              <w:bottom w:val="single" w:sz="4" w:space="0" w:color="auto"/>
              <w:right w:val="single" w:sz="4" w:space="0" w:color="auto"/>
            </w:tcBorders>
            <w:shd w:val="clear" w:color="auto" w:fill="auto"/>
            <w:noWrap/>
          </w:tcPr>
          <w:p w14:paraId="212B5E02" w14:textId="77777777" w:rsidR="000A25D1" w:rsidRPr="00E6499E" w:rsidRDefault="000A25D1" w:rsidP="00465144">
            <w:pPr>
              <w:rPr>
                <w:rFonts w:eastAsiaTheme="minorHAnsi"/>
                <w:kern w:val="2"/>
                <w:sz w:val="20"/>
                <w:szCs w:val="20"/>
                <w:lang w:eastAsia="en-US"/>
              </w:rPr>
            </w:pPr>
            <w:r w:rsidRPr="00E6499E">
              <w:rPr>
                <w:rFonts w:eastAsiaTheme="minorHAnsi"/>
                <w:kern w:val="2"/>
                <w:sz w:val="20"/>
                <w:szCs w:val="20"/>
                <w:lang w:eastAsia="en-US"/>
              </w:rPr>
              <w:t>Paperbark</w:t>
            </w:r>
          </w:p>
        </w:tc>
        <w:tc>
          <w:tcPr>
            <w:tcW w:w="563" w:type="pct"/>
            <w:tcBorders>
              <w:top w:val="nil"/>
              <w:left w:val="nil"/>
              <w:bottom w:val="single" w:sz="4" w:space="0" w:color="auto"/>
              <w:right w:val="single" w:sz="4" w:space="0" w:color="auto"/>
            </w:tcBorders>
            <w:shd w:val="clear" w:color="auto" w:fill="auto"/>
          </w:tcPr>
          <w:p w14:paraId="17C226BB" w14:textId="77777777" w:rsidR="000A25D1" w:rsidRPr="00D06425" w:rsidRDefault="000A25D1" w:rsidP="00465144">
            <w:pPr>
              <w:rPr>
                <w:rFonts w:eastAsiaTheme="minorHAnsi"/>
                <w:kern w:val="2"/>
                <w:sz w:val="20"/>
                <w:szCs w:val="20"/>
                <w:lang w:eastAsia="en-US"/>
              </w:rPr>
            </w:pPr>
          </w:p>
        </w:tc>
        <w:tc>
          <w:tcPr>
            <w:tcW w:w="2192" w:type="pct"/>
            <w:tcBorders>
              <w:top w:val="nil"/>
              <w:left w:val="nil"/>
              <w:bottom w:val="single" w:sz="4" w:space="0" w:color="auto"/>
              <w:right w:val="single" w:sz="4" w:space="0" w:color="auto"/>
            </w:tcBorders>
            <w:shd w:val="clear" w:color="auto" w:fill="auto"/>
          </w:tcPr>
          <w:p w14:paraId="0E5489A9" w14:textId="77777777" w:rsidR="000A25D1" w:rsidRPr="00E6499E" w:rsidRDefault="000A25D1" w:rsidP="00465144">
            <w:pPr>
              <w:rPr>
                <w:rFonts w:eastAsiaTheme="minorHAnsi"/>
                <w:kern w:val="2"/>
                <w:sz w:val="20"/>
                <w:szCs w:val="20"/>
                <w:lang w:eastAsia="en-US"/>
              </w:rPr>
            </w:pPr>
            <w:r w:rsidRPr="00E6499E">
              <w:rPr>
                <w:rFonts w:eastAsiaTheme="minorHAnsi"/>
                <w:kern w:val="2"/>
                <w:sz w:val="20"/>
                <w:szCs w:val="20"/>
                <w:lang w:eastAsia="en-US"/>
              </w:rPr>
              <w:t>Paper-like, soft bark used as a cloth to wrap infants and as blankets, bandages and roofing. Timber used to make weapons and digging sticks. Leaves used as a mosquito repellent as well as medicinally to treat coughs, colds/flus, respiratory complaints, and to make infusions to relieve general aches and pains.</w:t>
            </w:r>
          </w:p>
        </w:tc>
        <w:tc>
          <w:tcPr>
            <w:tcW w:w="612" w:type="pct"/>
            <w:tcBorders>
              <w:top w:val="nil"/>
              <w:left w:val="nil"/>
              <w:bottom w:val="single" w:sz="4" w:space="0" w:color="auto"/>
              <w:right w:val="single" w:sz="4" w:space="0" w:color="auto"/>
            </w:tcBorders>
            <w:shd w:val="clear" w:color="auto" w:fill="auto"/>
            <w:noWrap/>
          </w:tcPr>
          <w:p w14:paraId="5C31D4EF" w14:textId="77777777" w:rsidR="000A25D1" w:rsidRPr="00E6499E" w:rsidRDefault="000A25D1" w:rsidP="00465144">
            <w:pPr>
              <w:rPr>
                <w:rFonts w:eastAsiaTheme="minorHAnsi"/>
                <w:kern w:val="2"/>
                <w:sz w:val="20"/>
                <w:szCs w:val="20"/>
                <w:lang w:eastAsia="en-US"/>
              </w:rPr>
            </w:pPr>
            <w:r w:rsidRPr="00E6499E">
              <w:rPr>
                <w:rFonts w:eastAsiaTheme="minorHAnsi"/>
                <w:kern w:val="2"/>
                <w:sz w:val="20"/>
                <w:szCs w:val="20"/>
                <w:lang w:eastAsia="en-US"/>
              </w:rPr>
              <w:t>Cumpston 2020; Packer et al. 2012</w:t>
            </w:r>
          </w:p>
        </w:tc>
      </w:tr>
      <w:tr w:rsidR="003514B0" w:rsidRPr="00E6499E" w14:paraId="639C4718" w14:textId="77777777" w:rsidTr="003514B0">
        <w:trPr>
          <w:trHeight w:val="411"/>
        </w:trPr>
        <w:tc>
          <w:tcPr>
            <w:tcW w:w="562" w:type="pct"/>
            <w:tcBorders>
              <w:top w:val="nil"/>
              <w:left w:val="single" w:sz="4" w:space="0" w:color="auto"/>
              <w:bottom w:val="single" w:sz="4" w:space="0" w:color="auto"/>
              <w:right w:val="single" w:sz="4" w:space="0" w:color="auto"/>
            </w:tcBorders>
          </w:tcPr>
          <w:p w14:paraId="121A4EBD" w14:textId="77777777" w:rsidR="000A25D1" w:rsidRPr="00E6499E" w:rsidRDefault="000A25D1" w:rsidP="00465144">
            <w:pPr>
              <w:rPr>
                <w:rFonts w:eastAsiaTheme="minorHAnsi"/>
                <w:kern w:val="2"/>
                <w:sz w:val="20"/>
                <w:szCs w:val="20"/>
                <w:lang w:eastAsia="en-US"/>
              </w:rPr>
            </w:pPr>
            <w:proofErr w:type="spellStart"/>
            <w:r w:rsidRPr="00E6499E">
              <w:rPr>
                <w:rFonts w:eastAsiaTheme="minorHAnsi"/>
                <w:kern w:val="2"/>
                <w:sz w:val="20"/>
                <w:szCs w:val="20"/>
                <w:lang w:eastAsia="en-US"/>
              </w:rPr>
              <w:t>Onagraceae</w:t>
            </w:r>
            <w:proofErr w:type="spellEnd"/>
          </w:p>
        </w:tc>
        <w:tc>
          <w:tcPr>
            <w:tcW w:w="612" w:type="pct"/>
            <w:tcBorders>
              <w:top w:val="nil"/>
              <w:left w:val="single" w:sz="4" w:space="0" w:color="auto"/>
              <w:bottom w:val="single" w:sz="4" w:space="0" w:color="auto"/>
              <w:right w:val="single" w:sz="4" w:space="0" w:color="auto"/>
            </w:tcBorders>
            <w:shd w:val="clear" w:color="auto" w:fill="auto"/>
            <w:noWrap/>
            <w:hideMark/>
          </w:tcPr>
          <w:p w14:paraId="164B57A5" w14:textId="77777777" w:rsidR="000A25D1" w:rsidRPr="00E6499E" w:rsidRDefault="000A25D1" w:rsidP="00465144">
            <w:pPr>
              <w:rPr>
                <w:rFonts w:eastAsiaTheme="minorHAnsi"/>
                <w:kern w:val="2"/>
                <w:sz w:val="20"/>
                <w:szCs w:val="20"/>
                <w:lang w:eastAsia="en-US"/>
              </w:rPr>
            </w:pPr>
          </w:p>
        </w:tc>
        <w:tc>
          <w:tcPr>
            <w:tcW w:w="459" w:type="pct"/>
            <w:tcBorders>
              <w:top w:val="nil"/>
              <w:left w:val="nil"/>
              <w:bottom w:val="single" w:sz="4" w:space="0" w:color="auto"/>
              <w:right w:val="single" w:sz="4" w:space="0" w:color="auto"/>
            </w:tcBorders>
            <w:shd w:val="clear" w:color="auto" w:fill="auto"/>
            <w:noWrap/>
            <w:hideMark/>
          </w:tcPr>
          <w:p w14:paraId="636E0425" w14:textId="77777777" w:rsidR="000A25D1" w:rsidRPr="00E6499E" w:rsidRDefault="000A25D1" w:rsidP="00465144">
            <w:pPr>
              <w:rPr>
                <w:rFonts w:eastAsiaTheme="minorHAnsi"/>
                <w:kern w:val="2"/>
                <w:sz w:val="20"/>
                <w:szCs w:val="20"/>
                <w:lang w:eastAsia="en-US"/>
              </w:rPr>
            </w:pPr>
            <w:r w:rsidRPr="00E6499E">
              <w:rPr>
                <w:rFonts w:eastAsiaTheme="minorHAnsi"/>
                <w:kern w:val="2"/>
                <w:sz w:val="20"/>
                <w:szCs w:val="20"/>
                <w:lang w:eastAsia="en-US"/>
              </w:rPr>
              <w:t>Evening primrose</w:t>
            </w:r>
          </w:p>
        </w:tc>
        <w:tc>
          <w:tcPr>
            <w:tcW w:w="563" w:type="pct"/>
            <w:tcBorders>
              <w:top w:val="nil"/>
              <w:left w:val="nil"/>
              <w:bottom w:val="single" w:sz="4" w:space="0" w:color="auto"/>
              <w:right w:val="single" w:sz="4" w:space="0" w:color="auto"/>
            </w:tcBorders>
            <w:shd w:val="clear" w:color="auto" w:fill="auto"/>
            <w:hideMark/>
          </w:tcPr>
          <w:p w14:paraId="0EA1E9EB" w14:textId="77777777" w:rsidR="000A25D1" w:rsidRPr="00D06425" w:rsidRDefault="000A25D1" w:rsidP="00465144">
            <w:pPr>
              <w:rPr>
                <w:rFonts w:eastAsiaTheme="minorHAnsi"/>
                <w:kern w:val="2"/>
                <w:sz w:val="20"/>
                <w:szCs w:val="20"/>
                <w:lang w:eastAsia="en-US"/>
              </w:rPr>
            </w:pPr>
            <w:r w:rsidRPr="00D06425">
              <w:rPr>
                <w:rFonts w:eastAsiaTheme="minorHAnsi"/>
                <w:kern w:val="2"/>
                <w:sz w:val="20"/>
                <w:szCs w:val="20"/>
                <w:lang w:eastAsia="en-US"/>
              </w:rPr>
              <w:t> </w:t>
            </w:r>
          </w:p>
        </w:tc>
        <w:tc>
          <w:tcPr>
            <w:tcW w:w="2192" w:type="pct"/>
            <w:tcBorders>
              <w:top w:val="nil"/>
              <w:left w:val="nil"/>
              <w:bottom w:val="single" w:sz="4" w:space="0" w:color="auto"/>
              <w:right w:val="single" w:sz="4" w:space="0" w:color="auto"/>
            </w:tcBorders>
            <w:shd w:val="clear" w:color="auto" w:fill="auto"/>
            <w:hideMark/>
          </w:tcPr>
          <w:p w14:paraId="7497941D" w14:textId="62D7933E" w:rsidR="000A25D1" w:rsidRPr="00E6499E" w:rsidRDefault="00323D68" w:rsidP="00465144">
            <w:pPr>
              <w:rPr>
                <w:rFonts w:eastAsiaTheme="minorHAnsi"/>
                <w:kern w:val="2"/>
                <w:sz w:val="20"/>
                <w:szCs w:val="20"/>
                <w:lang w:eastAsia="en-US"/>
              </w:rPr>
            </w:pPr>
            <w:r>
              <w:rPr>
                <w:rFonts w:eastAsiaTheme="minorHAnsi"/>
                <w:kern w:val="2"/>
                <w:sz w:val="20"/>
                <w:szCs w:val="20"/>
                <w:lang w:eastAsia="en-US"/>
              </w:rPr>
              <w:t xml:space="preserve">Plant parts are edible </w:t>
            </w:r>
            <w:r w:rsidR="002D20C7">
              <w:rPr>
                <w:rFonts w:eastAsiaTheme="minorHAnsi"/>
                <w:kern w:val="2"/>
                <w:sz w:val="20"/>
                <w:szCs w:val="20"/>
                <w:lang w:eastAsia="en-US"/>
              </w:rPr>
              <w:t>and are also used for medicinal purposes</w:t>
            </w:r>
            <w:r w:rsidR="000A25D1" w:rsidRPr="00E6499E">
              <w:rPr>
                <w:rFonts w:eastAsiaTheme="minorHAnsi"/>
                <w:kern w:val="2"/>
                <w:sz w:val="20"/>
                <w:szCs w:val="20"/>
                <w:lang w:eastAsia="en-US"/>
              </w:rPr>
              <w:t>.</w:t>
            </w:r>
          </w:p>
        </w:tc>
        <w:tc>
          <w:tcPr>
            <w:tcW w:w="612" w:type="pct"/>
            <w:tcBorders>
              <w:top w:val="nil"/>
              <w:left w:val="nil"/>
              <w:bottom w:val="single" w:sz="4" w:space="0" w:color="auto"/>
              <w:right w:val="single" w:sz="4" w:space="0" w:color="auto"/>
            </w:tcBorders>
            <w:shd w:val="clear" w:color="auto" w:fill="auto"/>
            <w:noWrap/>
            <w:hideMark/>
          </w:tcPr>
          <w:p w14:paraId="761A2221" w14:textId="07AD3585" w:rsidR="000A25D1" w:rsidRPr="00E6499E" w:rsidRDefault="00323D68" w:rsidP="00465144">
            <w:pPr>
              <w:rPr>
                <w:rFonts w:eastAsiaTheme="minorHAnsi"/>
                <w:kern w:val="2"/>
                <w:sz w:val="20"/>
                <w:szCs w:val="20"/>
                <w:lang w:eastAsia="en-US"/>
              </w:rPr>
            </w:pPr>
            <w:r w:rsidRPr="00323D68">
              <w:rPr>
                <w:rFonts w:eastAsiaTheme="minorHAnsi"/>
                <w:kern w:val="2"/>
                <w:sz w:val="20"/>
                <w:szCs w:val="20"/>
                <w:lang w:eastAsia="en-US"/>
              </w:rPr>
              <w:t>Calvert 2016; Steckel et al. 2019</w:t>
            </w:r>
          </w:p>
        </w:tc>
      </w:tr>
      <w:tr w:rsidR="003514B0" w:rsidRPr="00E6499E" w14:paraId="4E3E5CC0" w14:textId="77777777" w:rsidTr="003514B0">
        <w:trPr>
          <w:trHeight w:val="1170"/>
        </w:trPr>
        <w:tc>
          <w:tcPr>
            <w:tcW w:w="562" w:type="pct"/>
            <w:tcBorders>
              <w:top w:val="nil"/>
              <w:left w:val="single" w:sz="4" w:space="0" w:color="auto"/>
              <w:bottom w:val="single" w:sz="4" w:space="0" w:color="auto"/>
              <w:right w:val="single" w:sz="4" w:space="0" w:color="auto"/>
            </w:tcBorders>
          </w:tcPr>
          <w:p w14:paraId="7D604E57" w14:textId="77777777" w:rsidR="000A25D1" w:rsidRPr="00E6499E" w:rsidRDefault="000A25D1" w:rsidP="00465144">
            <w:pPr>
              <w:rPr>
                <w:rFonts w:eastAsiaTheme="minorHAnsi"/>
                <w:i/>
                <w:iCs/>
                <w:kern w:val="2"/>
                <w:sz w:val="20"/>
                <w:szCs w:val="20"/>
                <w:lang w:eastAsia="en-US"/>
              </w:rPr>
            </w:pPr>
            <w:r w:rsidRPr="00E6499E">
              <w:rPr>
                <w:rFonts w:eastAsiaTheme="minorHAnsi"/>
                <w:kern w:val="2"/>
                <w:sz w:val="20"/>
                <w:szCs w:val="20"/>
                <w:lang w:eastAsia="en-US"/>
              </w:rPr>
              <w:t>Plantaginaceae</w:t>
            </w:r>
          </w:p>
        </w:tc>
        <w:tc>
          <w:tcPr>
            <w:tcW w:w="612" w:type="pct"/>
            <w:tcBorders>
              <w:top w:val="nil"/>
              <w:left w:val="single" w:sz="4" w:space="0" w:color="auto"/>
              <w:bottom w:val="single" w:sz="4" w:space="0" w:color="auto"/>
              <w:right w:val="single" w:sz="4" w:space="0" w:color="auto"/>
            </w:tcBorders>
            <w:shd w:val="clear" w:color="auto" w:fill="auto"/>
            <w:noWrap/>
            <w:hideMark/>
          </w:tcPr>
          <w:p w14:paraId="72AA4BA6" w14:textId="77777777" w:rsidR="000A25D1" w:rsidRPr="00E6499E" w:rsidRDefault="000A25D1" w:rsidP="00465144">
            <w:pPr>
              <w:rPr>
                <w:rFonts w:eastAsiaTheme="minorHAnsi"/>
                <w:i/>
                <w:iCs/>
                <w:kern w:val="2"/>
                <w:sz w:val="20"/>
                <w:szCs w:val="20"/>
                <w:lang w:eastAsia="en-US"/>
              </w:rPr>
            </w:pPr>
            <w:r w:rsidRPr="00E6499E">
              <w:rPr>
                <w:rFonts w:eastAsiaTheme="minorHAnsi"/>
                <w:i/>
                <w:iCs/>
                <w:kern w:val="2"/>
                <w:sz w:val="20"/>
                <w:szCs w:val="20"/>
                <w:lang w:eastAsia="en-US"/>
              </w:rPr>
              <w:t>Plantago</w:t>
            </w:r>
            <w:r w:rsidRPr="00E6499E">
              <w:rPr>
                <w:rFonts w:eastAsiaTheme="minorHAnsi"/>
                <w:kern w:val="2"/>
                <w:sz w:val="20"/>
                <w:szCs w:val="20"/>
                <w:lang w:eastAsia="en-US"/>
              </w:rPr>
              <w:t xml:space="preserve"> spp.</w:t>
            </w:r>
          </w:p>
        </w:tc>
        <w:tc>
          <w:tcPr>
            <w:tcW w:w="459" w:type="pct"/>
            <w:tcBorders>
              <w:top w:val="nil"/>
              <w:left w:val="nil"/>
              <w:bottom w:val="single" w:sz="4" w:space="0" w:color="auto"/>
              <w:right w:val="single" w:sz="4" w:space="0" w:color="auto"/>
            </w:tcBorders>
            <w:shd w:val="clear" w:color="auto" w:fill="auto"/>
            <w:noWrap/>
            <w:hideMark/>
          </w:tcPr>
          <w:p w14:paraId="0A251CD0" w14:textId="77777777" w:rsidR="000A25D1" w:rsidRPr="00E6499E" w:rsidRDefault="000A25D1" w:rsidP="00465144">
            <w:pPr>
              <w:rPr>
                <w:rFonts w:eastAsiaTheme="minorHAnsi"/>
                <w:kern w:val="2"/>
                <w:sz w:val="20"/>
                <w:szCs w:val="20"/>
                <w:lang w:eastAsia="en-US"/>
              </w:rPr>
            </w:pPr>
            <w:r w:rsidRPr="00E6499E">
              <w:rPr>
                <w:rFonts w:eastAsiaTheme="minorHAnsi"/>
                <w:kern w:val="2"/>
                <w:sz w:val="20"/>
                <w:szCs w:val="20"/>
                <w:lang w:eastAsia="en-US"/>
              </w:rPr>
              <w:t>Plantain, Fleawort</w:t>
            </w:r>
          </w:p>
        </w:tc>
        <w:tc>
          <w:tcPr>
            <w:tcW w:w="563" w:type="pct"/>
            <w:tcBorders>
              <w:top w:val="nil"/>
              <w:left w:val="nil"/>
              <w:bottom w:val="single" w:sz="4" w:space="0" w:color="auto"/>
              <w:right w:val="single" w:sz="4" w:space="0" w:color="auto"/>
            </w:tcBorders>
            <w:shd w:val="clear" w:color="auto" w:fill="auto"/>
            <w:hideMark/>
          </w:tcPr>
          <w:p w14:paraId="4CCF14A1" w14:textId="77777777" w:rsidR="000A25D1" w:rsidRPr="00D06425" w:rsidRDefault="000A25D1" w:rsidP="00465144">
            <w:pPr>
              <w:rPr>
                <w:rFonts w:eastAsiaTheme="minorHAnsi"/>
                <w:kern w:val="2"/>
                <w:sz w:val="20"/>
                <w:szCs w:val="20"/>
                <w:lang w:eastAsia="en-US"/>
              </w:rPr>
            </w:pPr>
            <w:r w:rsidRPr="00D06425">
              <w:rPr>
                <w:rFonts w:eastAsiaTheme="minorHAnsi"/>
                <w:kern w:val="2"/>
                <w:sz w:val="20"/>
                <w:szCs w:val="20"/>
                <w:lang w:eastAsia="en-US"/>
              </w:rPr>
              <w:t> </w:t>
            </w:r>
          </w:p>
        </w:tc>
        <w:tc>
          <w:tcPr>
            <w:tcW w:w="2192" w:type="pct"/>
            <w:tcBorders>
              <w:top w:val="nil"/>
              <w:left w:val="nil"/>
              <w:bottom w:val="single" w:sz="4" w:space="0" w:color="auto"/>
              <w:right w:val="single" w:sz="4" w:space="0" w:color="auto"/>
            </w:tcBorders>
            <w:shd w:val="clear" w:color="auto" w:fill="auto"/>
            <w:hideMark/>
          </w:tcPr>
          <w:p w14:paraId="3F573FC0" w14:textId="77777777" w:rsidR="000A25D1" w:rsidRPr="00E6499E" w:rsidRDefault="000A25D1" w:rsidP="00465144">
            <w:pPr>
              <w:rPr>
                <w:rFonts w:eastAsiaTheme="minorHAnsi"/>
                <w:kern w:val="2"/>
                <w:sz w:val="20"/>
                <w:szCs w:val="20"/>
                <w:lang w:eastAsia="en-US"/>
              </w:rPr>
            </w:pPr>
            <w:r w:rsidRPr="00E6499E">
              <w:rPr>
                <w:rFonts w:eastAsiaTheme="minorHAnsi"/>
                <w:kern w:val="2"/>
                <w:sz w:val="20"/>
                <w:szCs w:val="20"/>
                <w:lang w:eastAsia="en-US"/>
              </w:rPr>
              <w:t>Seeds are mixed with water to make porridge. Leaves are medicinally, to treat insect bites, cuts and infections. The Noongar people of southwest Western Australia heated and crushed the leaves to produce a liquid used to make poultices for sprains, ulcers, and boils.</w:t>
            </w:r>
          </w:p>
        </w:tc>
        <w:tc>
          <w:tcPr>
            <w:tcW w:w="612" w:type="pct"/>
            <w:tcBorders>
              <w:top w:val="nil"/>
              <w:left w:val="nil"/>
              <w:bottom w:val="single" w:sz="4" w:space="0" w:color="auto"/>
              <w:right w:val="single" w:sz="4" w:space="0" w:color="auto"/>
            </w:tcBorders>
            <w:shd w:val="clear" w:color="auto" w:fill="auto"/>
            <w:noWrap/>
            <w:hideMark/>
          </w:tcPr>
          <w:p w14:paraId="11358BBC" w14:textId="77777777" w:rsidR="000A25D1" w:rsidRPr="00E6499E" w:rsidRDefault="000A25D1" w:rsidP="00465144">
            <w:pPr>
              <w:rPr>
                <w:rFonts w:eastAsiaTheme="minorHAnsi"/>
                <w:kern w:val="2"/>
                <w:sz w:val="20"/>
                <w:szCs w:val="20"/>
                <w:lang w:eastAsia="en-US"/>
              </w:rPr>
            </w:pPr>
            <w:r w:rsidRPr="00E6499E">
              <w:rPr>
                <w:rFonts w:eastAsiaTheme="minorHAnsi"/>
                <w:kern w:val="2"/>
                <w:sz w:val="20"/>
                <w:szCs w:val="20"/>
                <w:lang w:eastAsia="en-US"/>
              </w:rPr>
              <w:t xml:space="preserve">Hansen and </w:t>
            </w:r>
            <w:proofErr w:type="spellStart"/>
            <w:r w:rsidRPr="00E6499E">
              <w:rPr>
                <w:rFonts w:eastAsiaTheme="minorHAnsi"/>
                <w:kern w:val="2"/>
                <w:sz w:val="20"/>
                <w:szCs w:val="20"/>
                <w:lang w:eastAsia="en-US"/>
              </w:rPr>
              <w:t>Horsefall</w:t>
            </w:r>
            <w:proofErr w:type="spellEnd"/>
            <w:r w:rsidRPr="00E6499E">
              <w:rPr>
                <w:rFonts w:eastAsiaTheme="minorHAnsi"/>
                <w:kern w:val="2"/>
                <w:sz w:val="20"/>
                <w:szCs w:val="20"/>
                <w:lang w:eastAsia="en-US"/>
              </w:rPr>
              <w:t xml:space="preserve"> 2016; Low 1991</w:t>
            </w:r>
          </w:p>
        </w:tc>
      </w:tr>
      <w:tr w:rsidR="003514B0" w:rsidRPr="00E6499E" w14:paraId="0125CAF0" w14:textId="77777777" w:rsidTr="003514B0">
        <w:trPr>
          <w:trHeight w:val="974"/>
        </w:trPr>
        <w:tc>
          <w:tcPr>
            <w:tcW w:w="562" w:type="pct"/>
            <w:tcBorders>
              <w:top w:val="nil"/>
              <w:left w:val="single" w:sz="4" w:space="0" w:color="auto"/>
              <w:bottom w:val="single" w:sz="4" w:space="0" w:color="auto"/>
              <w:right w:val="single" w:sz="4" w:space="0" w:color="auto"/>
            </w:tcBorders>
          </w:tcPr>
          <w:p w14:paraId="49790718" w14:textId="77777777" w:rsidR="000A25D1" w:rsidRPr="00E6499E" w:rsidRDefault="000A25D1" w:rsidP="00465144">
            <w:pPr>
              <w:rPr>
                <w:rFonts w:eastAsiaTheme="minorHAnsi"/>
                <w:kern w:val="2"/>
                <w:sz w:val="20"/>
                <w:szCs w:val="20"/>
                <w:lang w:eastAsia="en-US"/>
              </w:rPr>
            </w:pPr>
            <w:proofErr w:type="spellStart"/>
            <w:r w:rsidRPr="00E6499E">
              <w:rPr>
                <w:rFonts w:eastAsiaTheme="minorHAnsi"/>
                <w:kern w:val="2"/>
                <w:sz w:val="20"/>
                <w:szCs w:val="20"/>
                <w:lang w:eastAsia="en-US"/>
              </w:rPr>
              <w:t>Poaceae</w:t>
            </w:r>
            <w:proofErr w:type="spellEnd"/>
          </w:p>
        </w:tc>
        <w:tc>
          <w:tcPr>
            <w:tcW w:w="612" w:type="pct"/>
            <w:tcBorders>
              <w:top w:val="nil"/>
              <w:left w:val="single" w:sz="4" w:space="0" w:color="auto"/>
              <w:bottom w:val="single" w:sz="4" w:space="0" w:color="auto"/>
              <w:right w:val="single" w:sz="4" w:space="0" w:color="auto"/>
            </w:tcBorders>
            <w:shd w:val="clear" w:color="auto" w:fill="auto"/>
            <w:noWrap/>
            <w:hideMark/>
          </w:tcPr>
          <w:p w14:paraId="4311F949" w14:textId="77777777" w:rsidR="000A25D1" w:rsidRPr="00E6499E" w:rsidRDefault="000A25D1" w:rsidP="00465144">
            <w:pPr>
              <w:rPr>
                <w:rFonts w:eastAsiaTheme="minorHAnsi"/>
                <w:kern w:val="2"/>
                <w:sz w:val="20"/>
                <w:szCs w:val="20"/>
                <w:lang w:eastAsia="en-US"/>
              </w:rPr>
            </w:pPr>
          </w:p>
        </w:tc>
        <w:tc>
          <w:tcPr>
            <w:tcW w:w="459" w:type="pct"/>
            <w:tcBorders>
              <w:top w:val="nil"/>
              <w:left w:val="nil"/>
              <w:bottom w:val="single" w:sz="4" w:space="0" w:color="auto"/>
              <w:right w:val="single" w:sz="4" w:space="0" w:color="auto"/>
            </w:tcBorders>
            <w:shd w:val="clear" w:color="auto" w:fill="auto"/>
            <w:noWrap/>
            <w:hideMark/>
          </w:tcPr>
          <w:p w14:paraId="23954FFF" w14:textId="77777777" w:rsidR="000A25D1" w:rsidRPr="00E6499E" w:rsidRDefault="000A25D1" w:rsidP="00465144">
            <w:pPr>
              <w:rPr>
                <w:rFonts w:eastAsiaTheme="minorHAnsi"/>
                <w:kern w:val="2"/>
                <w:sz w:val="20"/>
                <w:szCs w:val="20"/>
                <w:lang w:eastAsia="en-US"/>
              </w:rPr>
            </w:pPr>
            <w:r w:rsidRPr="00E6499E">
              <w:rPr>
                <w:rFonts w:eastAsiaTheme="minorHAnsi"/>
                <w:kern w:val="2"/>
                <w:sz w:val="20"/>
                <w:szCs w:val="20"/>
                <w:lang w:eastAsia="en-US"/>
              </w:rPr>
              <w:t>Grass</w:t>
            </w:r>
          </w:p>
        </w:tc>
        <w:tc>
          <w:tcPr>
            <w:tcW w:w="563" w:type="pct"/>
            <w:tcBorders>
              <w:top w:val="nil"/>
              <w:left w:val="nil"/>
              <w:bottom w:val="single" w:sz="4" w:space="0" w:color="auto"/>
              <w:right w:val="single" w:sz="4" w:space="0" w:color="auto"/>
            </w:tcBorders>
            <w:shd w:val="clear" w:color="auto" w:fill="auto"/>
            <w:hideMark/>
          </w:tcPr>
          <w:p w14:paraId="322AA162" w14:textId="77777777" w:rsidR="000A25D1" w:rsidRPr="00D06425" w:rsidRDefault="000A25D1" w:rsidP="00465144">
            <w:pPr>
              <w:rPr>
                <w:rFonts w:eastAsiaTheme="minorHAnsi"/>
                <w:kern w:val="2"/>
                <w:sz w:val="20"/>
                <w:szCs w:val="20"/>
                <w:lang w:eastAsia="en-US"/>
              </w:rPr>
            </w:pPr>
            <w:r w:rsidRPr="00D06425">
              <w:rPr>
                <w:rFonts w:eastAsiaTheme="minorHAnsi"/>
                <w:i/>
                <w:iCs/>
                <w:kern w:val="2"/>
                <w:sz w:val="20"/>
                <w:szCs w:val="20"/>
                <w:lang w:eastAsia="en-US"/>
              </w:rPr>
              <w:t>Ban</w:t>
            </w:r>
            <w:r w:rsidRPr="00D06425">
              <w:rPr>
                <w:rFonts w:eastAsiaTheme="minorHAnsi"/>
                <w:kern w:val="2"/>
                <w:sz w:val="20"/>
                <w:szCs w:val="20"/>
                <w:lang w:eastAsia="en-US"/>
              </w:rPr>
              <w:t>: grass</w:t>
            </w:r>
          </w:p>
          <w:p w14:paraId="287E0BD6" w14:textId="77777777" w:rsidR="000A25D1" w:rsidRPr="00D06425" w:rsidRDefault="000A25D1" w:rsidP="00465144">
            <w:pPr>
              <w:rPr>
                <w:rFonts w:eastAsiaTheme="minorHAnsi"/>
                <w:kern w:val="2"/>
                <w:sz w:val="20"/>
                <w:szCs w:val="20"/>
                <w:lang w:eastAsia="en-US"/>
              </w:rPr>
            </w:pPr>
          </w:p>
          <w:p w14:paraId="0698E56A" w14:textId="77777777" w:rsidR="000A25D1" w:rsidRPr="00D06425" w:rsidRDefault="000A25D1" w:rsidP="00465144">
            <w:pPr>
              <w:rPr>
                <w:rFonts w:eastAsiaTheme="minorHAnsi"/>
                <w:kern w:val="2"/>
                <w:sz w:val="20"/>
                <w:szCs w:val="20"/>
                <w:lang w:eastAsia="en-US"/>
              </w:rPr>
            </w:pPr>
            <w:proofErr w:type="spellStart"/>
            <w:r w:rsidRPr="00D06425">
              <w:rPr>
                <w:rFonts w:eastAsiaTheme="minorHAnsi"/>
                <w:i/>
                <w:iCs/>
                <w:kern w:val="2"/>
                <w:sz w:val="20"/>
                <w:szCs w:val="20"/>
                <w:lang w:eastAsia="en-US"/>
              </w:rPr>
              <w:t>Toomban</w:t>
            </w:r>
            <w:proofErr w:type="spellEnd"/>
            <w:r w:rsidRPr="00D06425">
              <w:rPr>
                <w:rFonts w:eastAsiaTheme="minorHAnsi"/>
                <w:kern w:val="2"/>
                <w:sz w:val="20"/>
                <w:szCs w:val="20"/>
                <w:lang w:eastAsia="en-US"/>
              </w:rPr>
              <w:t>: good grass</w:t>
            </w:r>
          </w:p>
        </w:tc>
        <w:tc>
          <w:tcPr>
            <w:tcW w:w="2192" w:type="pct"/>
            <w:tcBorders>
              <w:top w:val="nil"/>
              <w:left w:val="nil"/>
              <w:bottom w:val="single" w:sz="4" w:space="0" w:color="auto"/>
              <w:right w:val="single" w:sz="4" w:space="0" w:color="auto"/>
            </w:tcBorders>
            <w:shd w:val="clear" w:color="auto" w:fill="auto"/>
            <w:hideMark/>
          </w:tcPr>
          <w:p w14:paraId="32A5D0BA" w14:textId="77777777" w:rsidR="000A25D1" w:rsidRPr="00E6499E" w:rsidRDefault="000A25D1" w:rsidP="00465144">
            <w:pPr>
              <w:rPr>
                <w:rFonts w:eastAsiaTheme="minorHAnsi"/>
                <w:kern w:val="2"/>
                <w:sz w:val="20"/>
                <w:szCs w:val="20"/>
                <w:lang w:eastAsia="en-US"/>
              </w:rPr>
            </w:pPr>
            <w:r w:rsidRPr="00E6499E">
              <w:rPr>
                <w:rFonts w:eastAsiaTheme="minorHAnsi"/>
                <w:kern w:val="2"/>
                <w:sz w:val="20"/>
                <w:szCs w:val="20"/>
                <w:lang w:eastAsia="en-US"/>
              </w:rPr>
              <w:t xml:space="preserve"> Species of the Poa genus used to make string for nets and bags, baskets and mats. Species of the </w:t>
            </w:r>
            <w:proofErr w:type="spellStart"/>
            <w:r w:rsidRPr="00E6499E">
              <w:rPr>
                <w:rFonts w:eastAsiaTheme="minorHAnsi"/>
                <w:i/>
                <w:iCs/>
                <w:kern w:val="2"/>
                <w:sz w:val="20"/>
                <w:szCs w:val="20"/>
                <w:lang w:eastAsia="en-US"/>
              </w:rPr>
              <w:t>Themeda</w:t>
            </w:r>
            <w:proofErr w:type="spellEnd"/>
            <w:r w:rsidRPr="00E6499E">
              <w:rPr>
                <w:rFonts w:eastAsiaTheme="minorHAnsi"/>
                <w:i/>
                <w:iCs/>
                <w:kern w:val="2"/>
                <w:sz w:val="20"/>
                <w:szCs w:val="20"/>
                <w:lang w:eastAsia="en-US"/>
              </w:rPr>
              <w:t xml:space="preserve"> </w:t>
            </w:r>
            <w:r w:rsidRPr="00E6499E">
              <w:rPr>
                <w:rFonts w:eastAsiaTheme="minorHAnsi"/>
                <w:kern w:val="2"/>
                <w:sz w:val="20"/>
                <w:szCs w:val="20"/>
                <w:lang w:eastAsia="en-US"/>
              </w:rPr>
              <w:t xml:space="preserve">and </w:t>
            </w:r>
            <w:proofErr w:type="spellStart"/>
            <w:r w:rsidRPr="00E6499E">
              <w:rPr>
                <w:rFonts w:eastAsiaTheme="minorHAnsi"/>
                <w:i/>
                <w:iCs/>
                <w:kern w:val="2"/>
                <w:sz w:val="20"/>
                <w:szCs w:val="20"/>
                <w:lang w:eastAsia="en-US"/>
              </w:rPr>
              <w:t>Rytidosperma</w:t>
            </w:r>
            <w:proofErr w:type="spellEnd"/>
            <w:r w:rsidRPr="00E6499E">
              <w:rPr>
                <w:rFonts w:eastAsiaTheme="minorHAnsi"/>
                <w:i/>
                <w:iCs/>
                <w:kern w:val="2"/>
                <w:sz w:val="20"/>
                <w:szCs w:val="20"/>
                <w:lang w:eastAsia="en-US"/>
              </w:rPr>
              <w:t xml:space="preserve"> </w:t>
            </w:r>
            <w:r w:rsidRPr="00E6499E">
              <w:rPr>
                <w:rFonts w:eastAsiaTheme="minorHAnsi"/>
                <w:kern w:val="2"/>
                <w:sz w:val="20"/>
                <w:szCs w:val="20"/>
                <w:lang w:eastAsia="en-US"/>
              </w:rPr>
              <w:t xml:space="preserve">genera are harvested for seeds to make porridge or ground to make flour for bread </w:t>
            </w:r>
            <w:r w:rsidRPr="00E6499E">
              <w:rPr>
                <w:rFonts w:eastAsiaTheme="minorHAnsi"/>
                <w:kern w:val="2"/>
                <w:sz w:val="20"/>
                <w:szCs w:val="20"/>
                <w:lang w:eastAsia="en-US"/>
              </w:rPr>
              <w:lastRenderedPageBreak/>
              <w:t xml:space="preserve">or cakes. Species of the </w:t>
            </w:r>
            <w:r w:rsidRPr="00E6499E">
              <w:rPr>
                <w:rFonts w:eastAsiaTheme="minorHAnsi"/>
                <w:i/>
                <w:iCs/>
                <w:kern w:val="2"/>
                <w:sz w:val="20"/>
                <w:szCs w:val="20"/>
                <w:lang w:eastAsia="en-US"/>
              </w:rPr>
              <w:t xml:space="preserve">Phragmites </w:t>
            </w:r>
            <w:r w:rsidRPr="00E6499E">
              <w:rPr>
                <w:rFonts w:eastAsiaTheme="minorHAnsi"/>
                <w:kern w:val="2"/>
                <w:sz w:val="20"/>
                <w:szCs w:val="20"/>
                <w:lang w:eastAsia="en-US"/>
              </w:rPr>
              <w:t xml:space="preserve">genus have </w:t>
            </w:r>
            <w:proofErr w:type="gramStart"/>
            <w:r w:rsidRPr="00E6499E">
              <w:rPr>
                <w:rFonts w:eastAsiaTheme="minorHAnsi"/>
                <w:kern w:val="2"/>
                <w:sz w:val="20"/>
                <w:szCs w:val="20"/>
                <w:lang w:eastAsia="en-US"/>
              </w:rPr>
              <w:t>a number of</w:t>
            </w:r>
            <w:proofErr w:type="gramEnd"/>
            <w:r w:rsidRPr="00E6499E">
              <w:rPr>
                <w:rFonts w:eastAsiaTheme="minorHAnsi"/>
                <w:kern w:val="2"/>
                <w:sz w:val="20"/>
                <w:szCs w:val="20"/>
                <w:lang w:eastAsia="en-US"/>
              </w:rPr>
              <w:t xml:space="preserve"> uses including as food, tools and weapons.</w:t>
            </w:r>
          </w:p>
        </w:tc>
        <w:tc>
          <w:tcPr>
            <w:tcW w:w="612" w:type="pct"/>
            <w:tcBorders>
              <w:top w:val="nil"/>
              <w:left w:val="nil"/>
              <w:bottom w:val="single" w:sz="4" w:space="0" w:color="auto"/>
              <w:right w:val="single" w:sz="4" w:space="0" w:color="auto"/>
            </w:tcBorders>
            <w:shd w:val="clear" w:color="auto" w:fill="auto"/>
            <w:hideMark/>
          </w:tcPr>
          <w:p w14:paraId="1E453269" w14:textId="77777777" w:rsidR="000A25D1" w:rsidRPr="00E6499E" w:rsidRDefault="000A25D1" w:rsidP="00465144">
            <w:pPr>
              <w:rPr>
                <w:rFonts w:eastAsiaTheme="minorHAnsi"/>
                <w:kern w:val="2"/>
                <w:sz w:val="20"/>
                <w:szCs w:val="20"/>
                <w:lang w:eastAsia="en-US"/>
              </w:rPr>
            </w:pPr>
            <w:r w:rsidRPr="00E6499E">
              <w:rPr>
                <w:rFonts w:eastAsiaTheme="minorHAnsi"/>
                <w:kern w:val="2"/>
                <w:sz w:val="20"/>
                <w:szCs w:val="20"/>
                <w:lang w:eastAsia="en-US"/>
              </w:rPr>
              <w:lastRenderedPageBreak/>
              <w:t>Cumpston 2020; De Angelis 2005; Nash 2004</w:t>
            </w:r>
          </w:p>
          <w:p w14:paraId="5FAB9A85" w14:textId="77777777" w:rsidR="000A25D1" w:rsidRPr="00E6499E" w:rsidRDefault="000A25D1" w:rsidP="00465144">
            <w:pPr>
              <w:rPr>
                <w:rFonts w:eastAsiaTheme="minorHAnsi"/>
                <w:kern w:val="2"/>
                <w:sz w:val="20"/>
                <w:szCs w:val="20"/>
                <w:highlight w:val="yellow"/>
                <w:lang w:eastAsia="en-US"/>
              </w:rPr>
            </w:pPr>
          </w:p>
          <w:p w14:paraId="5553B8E1" w14:textId="77777777" w:rsidR="000A25D1" w:rsidRPr="00637D59" w:rsidRDefault="000A25D1" w:rsidP="00465144">
            <w:pPr>
              <w:rPr>
                <w:rFonts w:eastAsiaTheme="minorHAnsi"/>
                <w:kern w:val="2"/>
                <w:sz w:val="20"/>
                <w:szCs w:val="20"/>
                <w:lang w:eastAsia="en-US"/>
              </w:rPr>
            </w:pPr>
            <w:r w:rsidRPr="00637D59">
              <w:rPr>
                <w:rFonts w:eastAsiaTheme="minorHAnsi"/>
                <w:kern w:val="2"/>
                <w:sz w:val="20"/>
                <w:szCs w:val="20"/>
                <w:lang w:eastAsia="en-US"/>
              </w:rPr>
              <w:lastRenderedPageBreak/>
              <w:t>Wesson 2001: 60</w:t>
            </w:r>
          </w:p>
          <w:p w14:paraId="7E2C3623" w14:textId="3739E53C" w:rsidR="000A25D1" w:rsidRPr="00E6499E" w:rsidRDefault="000A25D1" w:rsidP="00465144">
            <w:pPr>
              <w:rPr>
                <w:rFonts w:eastAsiaTheme="minorHAnsi"/>
                <w:kern w:val="2"/>
                <w:sz w:val="20"/>
                <w:szCs w:val="20"/>
                <w:lang w:eastAsia="en-US"/>
              </w:rPr>
            </w:pPr>
          </w:p>
        </w:tc>
      </w:tr>
      <w:tr w:rsidR="003514B0" w:rsidRPr="00E6499E" w14:paraId="3FD54CE4" w14:textId="77777777" w:rsidTr="003514B0">
        <w:trPr>
          <w:trHeight w:val="640"/>
        </w:trPr>
        <w:tc>
          <w:tcPr>
            <w:tcW w:w="562" w:type="pct"/>
            <w:tcBorders>
              <w:top w:val="nil"/>
              <w:left w:val="single" w:sz="4" w:space="0" w:color="auto"/>
              <w:bottom w:val="single" w:sz="4" w:space="0" w:color="auto"/>
              <w:right w:val="single" w:sz="4" w:space="0" w:color="auto"/>
            </w:tcBorders>
          </w:tcPr>
          <w:p w14:paraId="21E71429" w14:textId="77777777" w:rsidR="000A25D1" w:rsidRPr="00E6499E" w:rsidRDefault="000A25D1" w:rsidP="00465144">
            <w:pPr>
              <w:rPr>
                <w:rFonts w:eastAsiaTheme="minorHAnsi"/>
                <w:kern w:val="2"/>
                <w:sz w:val="20"/>
                <w:szCs w:val="20"/>
                <w:lang w:eastAsia="en-US"/>
              </w:rPr>
            </w:pPr>
            <w:r w:rsidRPr="00E6499E">
              <w:rPr>
                <w:rFonts w:eastAsiaTheme="minorHAnsi"/>
                <w:kern w:val="2"/>
                <w:sz w:val="20"/>
                <w:szCs w:val="20"/>
                <w:lang w:eastAsia="en-US"/>
              </w:rPr>
              <w:lastRenderedPageBreak/>
              <w:t>Proteaceae</w:t>
            </w:r>
          </w:p>
        </w:tc>
        <w:tc>
          <w:tcPr>
            <w:tcW w:w="612" w:type="pct"/>
            <w:tcBorders>
              <w:top w:val="nil"/>
              <w:left w:val="single" w:sz="4" w:space="0" w:color="auto"/>
              <w:bottom w:val="single" w:sz="4" w:space="0" w:color="auto"/>
              <w:right w:val="single" w:sz="4" w:space="0" w:color="auto"/>
            </w:tcBorders>
            <w:shd w:val="clear" w:color="auto" w:fill="auto"/>
            <w:noWrap/>
          </w:tcPr>
          <w:p w14:paraId="38FD1A80" w14:textId="77777777" w:rsidR="000A25D1" w:rsidRPr="00E6499E" w:rsidRDefault="000A25D1" w:rsidP="00465144">
            <w:pPr>
              <w:rPr>
                <w:rFonts w:eastAsiaTheme="minorHAnsi"/>
                <w:kern w:val="2"/>
                <w:sz w:val="20"/>
                <w:szCs w:val="20"/>
                <w:lang w:eastAsia="en-US"/>
              </w:rPr>
            </w:pPr>
            <w:r w:rsidRPr="00E6499E">
              <w:rPr>
                <w:rFonts w:eastAsiaTheme="minorHAnsi"/>
                <w:i/>
                <w:iCs/>
                <w:kern w:val="2"/>
                <w:sz w:val="20"/>
                <w:szCs w:val="20"/>
                <w:lang w:eastAsia="en-US"/>
              </w:rPr>
              <w:t>Banksia</w:t>
            </w:r>
            <w:r w:rsidRPr="00E6499E">
              <w:rPr>
                <w:rFonts w:eastAsiaTheme="minorHAnsi"/>
                <w:kern w:val="2"/>
                <w:sz w:val="20"/>
                <w:szCs w:val="20"/>
                <w:lang w:eastAsia="en-US"/>
              </w:rPr>
              <w:t xml:space="preserve"> spp.</w:t>
            </w:r>
          </w:p>
        </w:tc>
        <w:tc>
          <w:tcPr>
            <w:tcW w:w="459" w:type="pct"/>
            <w:tcBorders>
              <w:top w:val="nil"/>
              <w:left w:val="nil"/>
              <w:bottom w:val="single" w:sz="4" w:space="0" w:color="auto"/>
              <w:right w:val="single" w:sz="4" w:space="0" w:color="auto"/>
            </w:tcBorders>
            <w:shd w:val="clear" w:color="auto" w:fill="auto"/>
            <w:noWrap/>
          </w:tcPr>
          <w:p w14:paraId="60EE68EB" w14:textId="77777777" w:rsidR="000A25D1" w:rsidRPr="00E6499E" w:rsidRDefault="000A25D1" w:rsidP="00465144">
            <w:pPr>
              <w:rPr>
                <w:rFonts w:eastAsiaTheme="minorHAnsi"/>
                <w:kern w:val="2"/>
                <w:sz w:val="20"/>
                <w:szCs w:val="20"/>
                <w:lang w:eastAsia="en-US"/>
              </w:rPr>
            </w:pPr>
            <w:r w:rsidRPr="00E6499E">
              <w:rPr>
                <w:rFonts w:eastAsiaTheme="minorHAnsi"/>
                <w:kern w:val="2"/>
                <w:sz w:val="20"/>
                <w:szCs w:val="20"/>
                <w:lang w:eastAsia="en-US"/>
              </w:rPr>
              <w:t>Banksia</w:t>
            </w:r>
          </w:p>
        </w:tc>
        <w:tc>
          <w:tcPr>
            <w:tcW w:w="563" w:type="pct"/>
            <w:tcBorders>
              <w:top w:val="nil"/>
              <w:left w:val="nil"/>
              <w:bottom w:val="single" w:sz="4" w:space="0" w:color="auto"/>
              <w:right w:val="single" w:sz="4" w:space="0" w:color="auto"/>
            </w:tcBorders>
            <w:shd w:val="clear" w:color="auto" w:fill="auto"/>
          </w:tcPr>
          <w:p w14:paraId="353BDB62" w14:textId="77777777" w:rsidR="000A25D1" w:rsidRPr="00D06425" w:rsidRDefault="000A25D1" w:rsidP="00465144">
            <w:pPr>
              <w:rPr>
                <w:rFonts w:eastAsiaTheme="minorHAnsi"/>
                <w:kern w:val="2"/>
                <w:sz w:val="20"/>
                <w:szCs w:val="20"/>
                <w:lang w:eastAsia="en-US"/>
              </w:rPr>
            </w:pPr>
            <w:r w:rsidRPr="00D06425">
              <w:rPr>
                <w:rFonts w:eastAsiaTheme="minorHAnsi"/>
                <w:kern w:val="2"/>
                <w:sz w:val="20"/>
                <w:szCs w:val="20"/>
                <w:lang w:eastAsia="en-US"/>
              </w:rPr>
              <w:t> </w:t>
            </w:r>
          </w:p>
        </w:tc>
        <w:tc>
          <w:tcPr>
            <w:tcW w:w="2192" w:type="pct"/>
            <w:tcBorders>
              <w:top w:val="nil"/>
              <w:left w:val="nil"/>
              <w:bottom w:val="single" w:sz="4" w:space="0" w:color="auto"/>
              <w:right w:val="single" w:sz="4" w:space="0" w:color="auto"/>
            </w:tcBorders>
            <w:shd w:val="clear" w:color="auto" w:fill="auto"/>
          </w:tcPr>
          <w:p w14:paraId="545C1A8A" w14:textId="77777777" w:rsidR="000A25D1" w:rsidRPr="00B809C9" w:rsidRDefault="000A25D1" w:rsidP="00465144">
            <w:pPr>
              <w:rPr>
                <w:rFonts w:eastAsiaTheme="minorHAnsi"/>
                <w:kern w:val="2"/>
                <w:sz w:val="20"/>
                <w:szCs w:val="20"/>
                <w:lang w:eastAsia="en-US"/>
              </w:rPr>
            </w:pPr>
            <w:r w:rsidRPr="00B809C9">
              <w:rPr>
                <w:rFonts w:eastAsiaTheme="minorHAnsi"/>
                <w:kern w:val="2"/>
                <w:sz w:val="20"/>
                <w:szCs w:val="20"/>
                <w:lang w:eastAsia="en-US"/>
              </w:rPr>
              <w:t>Carry when travelling (Smyth 1878: viii).</w:t>
            </w:r>
          </w:p>
          <w:p w14:paraId="6C72F519" w14:textId="77777777" w:rsidR="000A25D1" w:rsidRPr="0085630D" w:rsidRDefault="000A25D1" w:rsidP="00465144">
            <w:pPr>
              <w:rPr>
                <w:rFonts w:eastAsiaTheme="minorHAnsi"/>
                <w:kern w:val="2"/>
                <w:sz w:val="20"/>
                <w:szCs w:val="20"/>
                <w:lang w:eastAsia="en-US"/>
              </w:rPr>
            </w:pPr>
            <w:r w:rsidRPr="00B809C9">
              <w:rPr>
                <w:rFonts w:eastAsiaTheme="minorHAnsi"/>
                <w:kern w:val="2"/>
                <w:sz w:val="20"/>
                <w:szCs w:val="20"/>
                <w:lang w:eastAsia="en-US"/>
              </w:rPr>
              <w:t>Small ones for starting fires (Smyth 1878: 132).</w:t>
            </w:r>
            <w:r w:rsidRPr="0085630D">
              <w:rPr>
                <w:rFonts w:eastAsiaTheme="minorHAnsi"/>
                <w:kern w:val="2"/>
                <w:sz w:val="20"/>
                <w:szCs w:val="20"/>
                <w:lang w:eastAsia="en-US"/>
              </w:rPr>
              <w:t xml:space="preserve"> </w:t>
            </w:r>
          </w:p>
          <w:p w14:paraId="1131BF8A" w14:textId="77777777" w:rsidR="000A25D1" w:rsidRPr="00E6499E" w:rsidRDefault="000A25D1" w:rsidP="00465144">
            <w:pPr>
              <w:rPr>
                <w:rFonts w:eastAsiaTheme="minorHAnsi"/>
                <w:kern w:val="2"/>
                <w:sz w:val="20"/>
                <w:szCs w:val="20"/>
                <w:lang w:eastAsia="en-US"/>
              </w:rPr>
            </w:pPr>
            <w:r w:rsidRPr="00B809C9">
              <w:rPr>
                <w:rFonts w:eastAsiaTheme="minorHAnsi"/>
                <w:kern w:val="2"/>
                <w:sz w:val="20"/>
                <w:szCs w:val="20"/>
                <w:lang w:eastAsia="en-US"/>
              </w:rPr>
              <w:t>Drink honey-like secretions (Smyth 1878: 213).</w:t>
            </w:r>
          </w:p>
          <w:p w14:paraId="3C8DC38F" w14:textId="77777777" w:rsidR="000A25D1" w:rsidRPr="00E6499E" w:rsidRDefault="000A25D1" w:rsidP="00465144">
            <w:pPr>
              <w:rPr>
                <w:rFonts w:eastAsiaTheme="minorHAnsi"/>
                <w:kern w:val="2"/>
                <w:sz w:val="20"/>
                <w:szCs w:val="20"/>
                <w:lang w:eastAsia="en-US"/>
              </w:rPr>
            </w:pPr>
            <w:r w:rsidRPr="00E6499E">
              <w:rPr>
                <w:rFonts w:eastAsiaTheme="minorHAnsi"/>
                <w:kern w:val="2"/>
                <w:sz w:val="20"/>
                <w:szCs w:val="20"/>
                <w:lang w:eastAsia="en-US"/>
              </w:rPr>
              <w:t>Flowers are soaked to extract nectar and make a sweet nectar drink. Stamens were used to make fine paint brushes. The dry cones are used as strainers and fire carriers.</w:t>
            </w:r>
          </w:p>
        </w:tc>
        <w:tc>
          <w:tcPr>
            <w:tcW w:w="612" w:type="pct"/>
            <w:tcBorders>
              <w:top w:val="nil"/>
              <w:left w:val="nil"/>
              <w:bottom w:val="single" w:sz="4" w:space="0" w:color="auto"/>
              <w:right w:val="single" w:sz="4" w:space="0" w:color="auto"/>
            </w:tcBorders>
            <w:shd w:val="clear" w:color="auto" w:fill="auto"/>
            <w:noWrap/>
          </w:tcPr>
          <w:p w14:paraId="25942828" w14:textId="77777777" w:rsidR="000A25D1" w:rsidRPr="00E6499E" w:rsidRDefault="000A25D1" w:rsidP="00465144">
            <w:pPr>
              <w:rPr>
                <w:rFonts w:eastAsiaTheme="minorHAnsi"/>
                <w:kern w:val="2"/>
                <w:sz w:val="20"/>
                <w:szCs w:val="20"/>
                <w:lang w:eastAsia="en-US"/>
              </w:rPr>
            </w:pPr>
            <w:r w:rsidRPr="00E6499E">
              <w:rPr>
                <w:rFonts w:eastAsiaTheme="minorHAnsi"/>
                <w:kern w:val="2"/>
                <w:sz w:val="20"/>
                <w:szCs w:val="20"/>
                <w:lang w:eastAsia="en-US"/>
              </w:rPr>
              <w:t>Cumpston 2020; De Angelis 2005</w:t>
            </w:r>
          </w:p>
        </w:tc>
      </w:tr>
      <w:tr w:rsidR="003514B0" w:rsidRPr="00E6499E" w14:paraId="30012FD0" w14:textId="77777777" w:rsidTr="003514B0">
        <w:trPr>
          <w:trHeight w:val="700"/>
        </w:trPr>
        <w:tc>
          <w:tcPr>
            <w:tcW w:w="562" w:type="pct"/>
            <w:tcBorders>
              <w:top w:val="nil"/>
              <w:left w:val="single" w:sz="4" w:space="0" w:color="auto"/>
              <w:bottom w:val="single" w:sz="4" w:space="0" w:color="auto"/>
              <w:right w:val="single" w:sz="4" w:space="0" w:color="auto"/>
            </w:tcBorders>
          </w:tcPr>
          <w:p w14:paraId="74F38FCE" w14:textId="77777777" w:rsidR="000A25D1" w:rsidRPr="00E6499E" w:rsidRDefault="000A25D1" w:rsidP="00465144">
            <w:pPr>
              <w:rPr>
                <w:rFonts w:eastAsiaTheme="minorHAnsi"/>
                <w:i/>
                <w:iCs/>
                <w:kern w:val="2"/>
                <w:sz w:val="20"/>
                <w:szCs w:val="20"/>
                <w:lang w:eastAsia="en-US"/>
              </w:rPr>
            </w:pPr>
            <w:proofErr w:type="spellStart"/>
            <w:r w:rsidRPr="00E6499E">
              <w:rPr>
                <w:rFonts w:eastAsiaTheme="minorHAnsi"/>
                <w:kern w:val="2"/>
                <w:sz w:val="20"/>
                <w:szCs w:val="20"/>
                <w:lang w:eastAsia="en-US"/>
              </w:rPr>
              <w:t>Thymelaeaceae</w:t>
            </w:r>
            <w:proofErr w:type="spellEnd"/>
          </w:p>
        </w:tc>
        <w:tc>
          <w:tcPr>
            <w:tcW w:w="612" w:type="pct"/>
            <w:tcBorders>
              <w:top w:val="nil"/>
              <w:left w:val="single" w:sz="4" w:space="0" w:color="auto"/>
              <w:bottom w:val="single" w:sz="4" w:space="0" w:color="auto"/>
              <w:right w:val="single" w:sz="4" w:space="0" w:color="auto"/>
            </w:tcBorders>
            <w:shd w:val="clear" w:color="auto" w:fill="auto"/>
            <w:noWrap/>
            <w:hideMark/>
          </w:tcPr>
          <w:p w14:paraId="3EE0CEE4" w14:textId="77777777" w:rsidR="000A25D1" w:rsidRPr="00E6499E" w:rsidRDefault="000A25D1" w:rsidP="00465144">
            <w:pPr>
              <w:rPr>
                <w:rFonts w:eastAsiaTheme="minorHAnsi"/>
                <w:i/>
                <w:iCs/>
                <w:kern w:val="2"/>
                <w:sz w:val="20"/>
                <w:szCs w:val="20"/>
                <w:lang w:eastAsia="en-US"/>
              </w:rPr>
            </w:pPr>
            <w:proofErr w:type="spellStart"/>
            <w:r w:rsidRPr="00E6499E">
              <w:rPr>
                <w:rFonts w:eastAsiaTheme="minorHAnsi"/>
                <w:i/>
                <w:iCs/>
                <w:kern w:val="2"/>
                <w:sz w:val="20"/>
                <w:szCs w:val="20"/>
                <w:lang w:eastAsia="en-US"/>
              </w:rPr>
              <w:t>Pimelea</w:t>
            </w:r>
            <w:proofErr w:type="spellEnd"/>
            <w:r w:rsidRPr="00E6499E">
              <w:rPr>
                <w:rFonts w:eastAsiaTheme="minorHAnsi"/>
                <w:kern w:val="2"/>
                <w:sz w:val="20"/>
                <w:szCs w:val="20"/>
                <w:lang w:eastAsia="en-US"/>
              </w:rPr>
              <w:t xml:space="preserve"> spp. </w:t>
            </w:r>
          </w:p>
        </w:tc>
        <w:tc>
          <w:tcPr>
            <w:tcW w:w="459" w:type="pct"/>
            <w:tcBorders>
              <w:top w:val="nil"/>
              <w:left w:val="nil"/>
              <w:bottom w:val="single" w:sz="4" w:space="0" w:color="auto"/>
              <w:right w:val="single" w:sz="4" w:space="0" w:color="auto"/>
            </w:tcBorders>
            <w:shd w:val="clear" w:color="auto" w:fill="auto"/>
            <w:noWrap/>
            <w:hideMark/>
          </w:tcPr>
          <w:p w14:paraId="516DE0CF" w14:textId="77777777" w:rsidR="000A25D1" w:rsidRPr="00E6499E" w:rsidRDefault="000A25D1" w:rsidP="00465144">
            <w:pPr>
              <w:rPr>
                <w:rFonts w:eastAsiaTheme="minorHAnsi"/>
                <w:kern w:val="2"/>
                <w:sz w:val="20"/>
                <w:szCs w:val="20"/>
                <w:lang w:eastAsia="en-US"/>
              </w:rPr>
            </w:pPr>
            <w:r w:rsidRPr="00E6499E">
              <w:rPr>
                <w:rFonts w:eastAsiaTheme="minorHAnsi"/>
                <w:kern w:val="2"/>
                <w:sz w:val="20"/>
                <w:szCs w:val="20"/>
                <w:lang w:eastAsia="en-US"/>
              </w:rPr>
              <w:t>Rice flower</w:t>
            </w:r>
          </w:p>
        </w:tc>
        <w:tc>
          <w:tcPr>
            <w:tcW w:w="563" w:type="pct"/>
            <w:tcBorders>
              <w:top w:val="nil"/>
              <w:left w:val="nil"/>
              <w:bottom w:val="single" w:sz="4" w:space="0" w:color="auto"/>
              <w:right w:val="single" w:sz="4" w:space="0" w:color="auto"/>
            </w:tcBorders>
            <w:shd w:val="clear" w:color="auto" w:fill="auto"/>
            <w:hideMark/>
          </w:tcPr>
          <w:p w14:paraId="7F56592F" w14:textId="77777777" w:rsidR="000A25D1" w:rsidRPr="00D06425" w:rsidRDefault="000A25D1" w:rsidP="00465144">
            <w:pPr>
              <w:rPr>
                <w:rFonts w:eastAsiaTheme="minorHAnsi"/>
                <w:kern w:val="2"/>
                <w:sz w:val="20"/>
                <w:szCs w:val="20"/>
                <w:lang w:eastAsia="en-US"/>
              </w:rPr>
            </w:pPr>
            <w:r w:rsidRPr="00D06425">
              <w:rPr>
                <w:rFonts w:eastAsiaTheme="minorHAnsi"/>
                <w:kern w:val="2"/>
                <w:sz w:val="20"/>
                <w:szCs w:val="20"/>
                <w:lang w:eastAsia="en-US"/>
              </w:rPr>
              <w:t> </w:t>
            </w:r>
          </w:p>
        </w:tc>
        <w:tc>
          <w:tcPr>
            <w:tcW w:w="2192" w:type="pct"/>
            <w:tcBorders>
              <w:top w:val="nil"/>
              <w:left w:val="nil"/>
              <w:bottom w:val="single" w:sz="4" w:space="0" w:color="auto"/>
              <w:right w:val="single" w:sz="4" w:space="0" w:color="auto"/>
            </w:tcBorders>
            <w:shd w:val="clear" w:color="auto" w:fill="auto"/>
            <w:hideMark/>
          </w:tcPr>
          <w:p w14:paraId="2EA8672C" w14:textId="77777777" w:rsidR="000A25D1" w:rsidRPr="00E6499E" w:rsidRDefault="000A25D1" w:rsidP="00465144">
            <w:pPr>
              <w:rPr>
                <w:rFonts w:eastAsiaTheme="minorHAnsi"/>
                <w:kern w:val="2"/>
                <w:sz w:val="20"/>
                <w:szCs w:val="20"/>
                <w:lang w:eastAsia="en-US"/>
              </w:rPr>
            </w:pPr>
            <w:r w:rsidRPr="00E6499E">
              <w:rPr>
                <w:rFonts w:eastAsiaTheme="minorHAnsi"/>
                <w:kern w:val="2"/>
                <w:sz w:val="20"/>
                <w:szCs w:val="20"/>
                <w:lang w:eastAsia="en-US"/>
              </w:rPr>
              <w:t>Flower eaten, but green plant may poison.</w:t>
            </w:r>
          </w:p>
          <w:p w14:paraId="0D8AC9A5" w14:textId="77777777" w:rsidR="000A25D1" w:rsidRPr="00E6499E" w:rsidRDefault="000A25D1" w:rsidP="00465144">
            <w:pPr>
              <w:rPr>
                <w:rFonts w:eastAsiaTheme="minorHAnsi"/>
                <w:kern w:val="2"/>
                <w:sz w:val="20"/>
                <w:szCs w:val="20"/>
                <w:lang w:eastAsia="en-US"/>
              </w:rPr>
            </w:pPr>
            <w:r w:rsidRPr="00E6499E">
              <w:rPr>
                <w:rFonts w:eastAsiaTheme="minorHAnsi"/>
                <w:kern w:val="2"/>
                <w:sz w:val="20"/>
                <w:szCs w:val="20"/>
                <w:lang w:eastAsia="en-US"/>
              </w:rPr>
              <w:t>Fine fibre extracted from the outside of stems and bark to make very fine nets and strings. These were used to catch Bogong Moths.</w:t>
            </w:r>
          </w:p>
          <w:p w14:paraId="20667D6F" w14:textId="77777777" w:rsidR="000A25D1" w:rsidRPr="00E6499E" w:rsidRDefault="000A25D1" w:rsidP="00465144">
            <w:pPr>
              <w:rPr>
                <w:rFonts w:eastAsiaTheme="minorHAnsi"/>
                <w:kern w:val="2"/>
                <w:sz w:val="20"/>
                <w:szCs w:val="20"/>
                <w:lang w:eastAsia="en-US"/>
              </w:rPr>
            </w:pPr>
            <w:r w:rsidRPr="00E6499E">
              <w:rPr>
                <w:rFonts w:eastAsiaTheme="minorHAnsi"/>
                <w:kern w:val="2"/>
                <w:sz w:val="20"/>
                <w:szCs w:val="20"/>
                <w:lang w:eastAsia="en-US"/>
              </w:rPr>
              <w:t>Medicinal use, especially acupressure.</w:t>
            </w:r>
          </w:p>
        </w:tc>
        <w:tc>
          <w:tcPr>
            <w:tcW w:w="612" w:type="pct"/>
            <w:tcBorders>
              <w:top w:val="nil"/>
              <w:left w:val="nil"/>
              <w:bottom w:val="single" w:sz="4" w:space="0" w:color="auto"/>
              <w:right w:val="single" w:sz="4" w:space="0" w:color="auto"/>
            </w:tcBorders>
            <w:shd w:val="clear" w:color="auto" w:fill="auto"/>
            <w:noWrap/>
            <w:hideMark/>
          </w:tcPr>
          <w:p w14:paraId="16E6D189" w14:textId="77777777" w:rsidR="000A25D1" w:rsidRPr="00E6499E" w:rsidRDefault="000A25D1" w:rsidP="00465144">
            <w:pPr>
              <w:rPr>
                <w:rFonts w:eastAsiaTheme="minorHAnsi"/>
                <w:kern w:val="2"/>
                <w:sz w:val="20"/>
                <w:szCs w:val="20"/>
                <w:lang w:eastAsia="en-US"/>
              </w:rPr>
            </w:pPr>
            <w:r w:rsidRPr="00E6499E">
              <w:rPr>
                <w:rFonts w:eastAsiaTheme="minorHAnsi"/>
                <w:kern w:val="2"/>
                <w:sz w:val="20"/>
                <w:szCs w:val="20"/>
                <w:lang w:eastAsia="en-US"/>
              </w:rPr>
              <w:t>De Angelis 2005; Gott 2008: 222; Nash 2004</w:t>
            </w:r>
          </w:p>
        </w:tc>
      </w:tr>
    </w:tbl>
    <w:p w14:paraId="38941D7F" w14:textId="77777777" w:rsidR="000A25D1" w:rsidRDefault="000A25D1" w:rsidP="000A25D1">
      <w:pPr>
        <w:spacing w:line="360" w:lineRule="auto"/>
        <w:contextualSpacing/>
        <w:rPr>
          <w:lang w:val="en-GB"/>
        </w:rPr>
      </w:pPr>
    </w:p>
    <w:p w14:paraId="11B89F3A" w14:textId="77777777" w:rsidR="003514B0" w:rsidRDefault="003514B0">
      <w:pPr>
        <w:sectPr w:rsidR="003514B0" w:rsidSect="003514B0">
          <w:pgSz w:w="16838" w:h="11906" w:orient="landscape"/>
          <w:pgMar w:top="1440" w:right="1440" w:bottom="1440" w:left="1440" w:header="708" w:footer="708" w:gutter="0"/>
          <w:cols w:space="708"/>
          <w:docGrid w:linePitch="360"/>
        </w:sectPr>
      </w:pPr>
    </w:p>
    <w:p w14:paraId="7A5BDAC0" w14:textId="279CCE58" w:rsidR="00F77B54" w:rsidRDefault="003514B0">
      <w:pPr>
        <w:rPr>
          <w:b/>
          <w:bCs/>
        </w:rPr>
      </w:pPr>
      <w:r w:rsidRPr="003514B0">
        <w:rPr>
          <w:b/>
          <w:bCs/>
        </w:rPr>
        <w:lastRenderedPageBreak/>
        <w:t>References Cited</w:t>
      </w:r>
    </w:p>
    <w:p w14:paraId="314E6402" w14:textId="77777777" w:rsidR="00621711" w:rsidRDefault="00621711">
      <w:pPr>
        <w:rPr>
          <w:b/>
          <w:bCs/>
        </w:rPr>
      </w:pPr>
    </w:p>
    <w:p w14:paraId="78454EE2" w14:textId="21AEB32A" w:rsidR="00701DE3" w:rsidRPr="00701DE3" w:rsidRDefault="00701DE3" w:rsidP="00701DE3">
      <w:pPr>
        <w:pStyle w:val="Bibliography"/>
        <w:rPr>
          <w:rFonts w:asciiTheme="majorBidi" w:hAnsiTheme="majorBidi" w:cstheme="majorBidi"/>
        </w:rPr>
      </w:pPr>
      <w:r w:rsidRPr="00701DE3">
        <w:rPr>
          <w:rFonts w:asciiTheme="majorBidi" w:hAnsiTheme="majorBidi" w:cstheme="majorBidi"/>
        </w:rPr>
        <w:t xml:space="preserve">Calvert, G., 2016. Wetland Plants of the Wet </w:t>
      </w:r>
      <w:proofErr w:type="spellStart"/>
      <w:r w:rsidRPr="00701DE3">
        <w:rPr>
          <w:rFonts w:asciiTheme="majorBidi" w:hAnsiTheme="majorBidi" w:cstheme="majorBidi"/>
        </w:rPr>
        <w:t>Tropcis</w:t>
      </w:r>
      <w:proofErr w:type="spellEnd"/>
      <w:r w:rsidRPr="00701DE3">
        <w:rPr>
          <w:rFonts w:asciiTheme="majorBidi" w:hAnsiTheme="majorBidi" w:cstheme="majorBidi"/>
        </w:rPr>
        <w:t>. Terrain NRM, Innisfail, QLD.</w:t>
      </w:r>
    </w:p>
    <w:p w14:paraId="53ED6855" w14:textId="04C46144" w:rsidR="003514B0" w:rsidRPr="00701DE3" w:rsidRDefault="003514B0" w:rsidP="003514B0">
      <w:pPr>
        <w:pStyle w:val="Bibliography"/>
        <w:rPr>
          <w:rFonts w:asciiTheme="majorBidi" w:hAnsiTheme="majorBidi" w:cstheme="majorBidi"/>
        </w:rPr>
      </w:pPr>
      <w:r w:rsidRPr="00701DE3">
        <w:rPr>
          <w:rFonts w:asciiTheme="majorBidi" w:hAnsiTheme="majorBidi" w:cstheme="majorBidi"/>
        </w:rPr>
        <w:t>Cumpston, Z., 2020. Indigenous plant use: a booklet on the medicinal, nutritional and technological use of indigenous plants. Clean Air and Urban Landscapes Hub, The University of Melbourne, Victoria, Australia.</w:t>
      </w:r>
    </w:p>
    <w:p w14:paraId="55C85820" w14:textId="77777777" w:rsidR="003514B0" w:rsidRPr="003514B0" w:rsidRDefault="003514B0" w:rsidP="003514B0">
      <w:pPr>
        <w:pStyle w:val="Bibliography"/>
        <w:rPr>
          <w:rFonts w:asciiTheme="majorBidi" w:hAnsiTheme="majorBidi" w:cstheme="majorBidi"/>
        </w:rPr>
      </w:pPr>
      <w:r w:rsidRPr="00701DE3">
        <w:rPr>
          <w:rFonts w:asciiTheme="majorBidi" w:hAnsiTheme="majorBidi" w:cstheme="majorBidi"/>
        </w:rPr>
        <w:t xml:space="preserve">David, B., Fresløv, J., Mullett, R., Land, G., Corporation, W.A., Delannoy, J.-J., McDowell, M., Urwin, C., </w:t>
      </w:r>
      <w:proofErr w:type="spellStart"/>
      <w:r w:rsidRPr="00701DE3">
        <w:rPr>
          <w:rFonts w:asciiTheme="majorBidi" w:hAnsiTheme="majorBidi" w:cstheme="majorBidi"/>
        </w:rPr>
        <w:t>Mialanes</w:t>
      </w:r>
      <w:proofErr w:type="spellEnd"/>
      <w:r w:rsidRPr="00701DE3">
        <w:rPr>
          <w:rFonts w:asciiTheme="majorBidi" w:hAnsiTheme="majorBidi" w:cstheme="majorBidi"/>
        </w:rPr>
        <w:t xml:space="preserve">, J., Petchey, F., Wood, R., 2021. 50 years and worlds apart: Rethinking the Holocene occupation of </w:t>
      </w:r>
      <w:proofErr w:type="spellStart"/>
      <w:r w:rsidRPr="00701DE3">
        <w:rPr>
          <w:rFonts w:asciiTheme="majorBidi" w:hAnsiTheme="majorBidi" w:cstheme="majorBidi"/>
        </w:rPr>
        <w:t>Cloggs</w:t>
      </w:r>
      <w:proofErr w:type="spellEnd"/>
      <w:r w:rsidRPr="00701DE3">
        <w:rPr>
          <w:rFonts w:asciiTheme="majorBidi" w:hAnsiTheme="majorBidi" w:cstheme="majorBidi"/>
        </w:rPr>
        <w:t xml:space="preserve"> Cave (East Gippsland, SE Australia) five decades after its initial</w:t>
      </w:r>
      <w:r w:rsidRPr="003514B0">
        <w:rPr>
          <w:rFonts w:asciiTheme="majorBidi" w:hAnsiTheme="majorBidi" w:cstheme="majorBidi"/>
        </w:rPr>
        <w:t xml:space="preserve"> archaeological excavation and </w:t>
      </w:r>
      <w:proofErr w:type="gramStart"/>
      <w:r w:rsidRPr="003514B0">
        <w:rPr>
          <w:rFonts w:asciiTheme="majorBidi" w:hAnsiTheme="majorBidi" w:cstheme="majorBidi"/>
        </w:rPr>
        <w:t>in light of</w:t>
      </w:r>
      <w:proofErr w:type="gramEnd"/>
      <w:r w:rsidRPr="003514B0">
        <w:rPr>
          <w:rFonts w:asciiTheme="majorBidi" w:hAnsiTheme="majorBidi" w:cstheme="majorBidi"/>
        </w:rPr>
        <w:t xml:space="preserve"> </w:t>
      </w:r>
      <w:proofErr w:type="spellStart"/>
      <w:r w:rsidRPr="003514B0">
        <w:rPr>
          <w:rFonts w:asciiTheme="majorBidi" w:hAnsiTheme="majorBidi" w:cstheme="majorBidi"/>
        </w:rPr>
        <w:t>GunaiKurnai</w:t>
      </w:r>
      <w:proofErr w:type="spellEnd"/>
      <w:r w:rsidRPr="003514B0">
        <w:rPr>
          <w:rFonts w:asciiTheme="majorBidi" w:hAnsiTheme="majorBidi" w:cstheme="majorBidi"/>
        </w:rPr>
        <w:t xml:space="preserve"> world views. Australian Archaeology 87, 1–20.</w:t>
      </w:r>
    </w:p>
    <w:p w14:paraId="490F73CB" w14:textId="7DE69039" w:rsidR="00DD0797" w:rsidRDefault="00DD0797" w:rsidP="003514B0">
      <w:pPr>
        <w:pStyle w:val="Bibliography"/>
        <w:rPr>
          <w:rFonts w:asciiTheme="majorBidi" w:hAnsiTheme="majorBidi" w:cstheme="majorBidi"/>
        </w:rPr>
      </w:pPr>
      <w:r w:rsidRPr="00DD0797">
        <w:rPr>
          <w:rFonts w:asciiTheme="majorBidi" w:hAnsiTheme="majorBidi" w:cstheme="majorBidi"/>
        </w:rPr>
        <w:t xml:space="preserve">David, B., Mullett, R., Wright, N., Stephenson, B., Ash, J., Fresløv, J., </w:t>
      </w:r>
      <w:proofErr w:type="spellStart"/>
      <w:r w:rsidRPr="00DD0797">
        <w:rPr>
          <w:rFonts w:asciiTheme="majorBidi" w:hAnsiTheme="majorBidi" w:cstheme="majorBidi"/>
        </w:rPr>
        <w:t>GunaiKurnai</w:t>
      </w:r>
      <w:proofErr w:type="spellEnd"/>
      <w:r w:rsidRPr="00DD0797">
        <w:rPr>
          <w:rFonts w:asciiTheme="majorBidi" w:hAnsiTheme="majorBidi" w:cstheme="majorBidi"/>
        </w:rPr>
        <w:t xml:space="preserve"> Land and Waters Aboriginal Corporation, Delannoy, J.-J., McDowell, M.C., </w:t>
      </w:r>
      <w:proofErr w:type="spellStart"/>
      <w:r w:rsidRPr="00DD0797">
        <w:rPr>
          <w:rFonts w:asciiTheme="majorBidi" w:hAnsiTheme="majorBidi" w:cstheme="majorBidi"/>
        </w:rPr>
        <w:t>Mialanes</w:t>
      </w:r>
      <w:proofErr w:type="spellEnd"/>
      <w:r w:rsidRPr="00DD0797">
        <w:rPr>
          <w:rFonts w:asciiTheme="majorBidi" w:hAnsiTheme="majorBidi" w:cstheme="majorBidi"/>
        </w:rPr>
        <w:t xml:space="preserve">, J., Petchey, F., Arnold, L.J., Rogers, A.J., Crouch, J., Green, H., Urwin, C., Matheson, C.D. (2024). Archaeological evidence of an ethnographically documented Australian Aboriginal ritual dated to the last ice age. Nature Human Behaviour. </w:t>
      </w:r>
      <w:hyperlink r:id="rId10" w:history="1">
        <w:r w:rsidRPr="00CF3AAA">
          <w:rPr>
            <w:rStyle w:val="Hyperlink"/>
            <w:rFonts w:asciiTheme="majorBidi" w:hAnsiTheme="majorBidi" w:cstheme="majorBidi"/>
          </w:rPr>
          <w:t>https://doi.org/10.1038/s41562-024-01912-w</w:t>
        </w:r>
      </w:hyperlink>
    </w:p>
    <w:p w14:paraId="01E995E6" w14:textId="4C1126EF" w:rsidR="003514B0" w:rsidRPr="003514B0" w:rsidRDefault="003514B0" w:rsidP="003514B0">
      <w:pPr>
        <w:pStyle w:val="Bibliography"/>
        <w:rPr>
          <w:rFonts w:asciiTheme="majorBidi" w:hAnsiTheme="majorBidi" w:cstheme="majorBidi"/>
        </w:rPr>
      </w:pPr>
      <w:r w:rsidRPr="003514B0">
        <w:rPr>
          <w:rFonts w:asciiTheme="majorBidi" w:hAnsiTheme="majorBidi" w:cstheme="majorBidi"/>
        </w:rPr>
        <w:t>De Angelis, D., 2005. Aboriginal use plants of the greater Melbourne area. La Trobe University Environment Collective.</w:t>
      </w:r>
    </w:p>
    <w:p w14:paraId="79285CF6" w14:textId="77777777" w:rsidR="003514B0" w:rsidRPr="003514B0" w:rsidRDefault="003514B0" w:rsidP="003514B0">
      <w:pPr>
        <w:pStyle w:val="Bibliography"/>
        <w:rPr>
          <w:rFonts w:asciiTheme="majorBidi" w:hAnsiTheme="majorBidi" w:cstheme="majorBidi"/>
        </w:rPr>
      </w:pPr>
      <w:r w:rsidRPr="003514B0">
        <w:rPr>
          <w:rFonts w:asciiTheme="majorBidi" w:hAnsiTheme="majorBidi" w:cstheme="majorBidi"/>
        </w:rPr>
        <w:t xml:space="preserve">Delannoy, J.-J., David, B., Fresløv, J., Mullett, R., Land, G., Green, H., Berthet, J., Petchey, F., Arnold, L.J., Wood, R., 2020. Geomorphological context and formation history of </w:t>
      </w:r>
      <w:proofErr w:type="spellStart"/>
      <w:r w:rsidRPr="003514B0">
        <w:rPr>
          <w:rFonts w:asciiTheme="majorBidi" w:hAnsiTheme="majorBidi" w:cstheme="majorBidi"/>
        </w:rPr>
        <w:t>Cloggs</w:t>
      </w:r>
      <w:proofErr w:type="spellEnd"/>
      <w:r w:rsidRPr="003514B0">
        <w:rPr>
          <w:rFonts w:asciiTheme="majorBidi" w:hAnsiTheme="majorBidi" w:cstheme="majorBidi"/>
        </w:rPr>
        <w:t xml:space="preserve"> Cave: What was the cave like when people inhabited it? Journal of Archaeological Science: Reports 33, 102461.</w:t>
      </w:r>
    </w:p>
    <w:p w14:paraId="1C83435B" w14:textId="77777777" w:rsidR="003514B0" w:rsidRPr="003514B0" w:rsidRDefault="003514B0" w:rsidP="003514B0">
      <w:pPr>
        <w:pStyle w:val="Bibliography"/>
        <w:rPr>
          <w:rFonts w:asciiTheme="majorBidi" w:hAnsiTheme="majorBidi" w:cstheme="majorBidi"/>
        </w:rPr>
      </w:pPr>
      <w:r w:rsidRPr="003514B0">
        <w:rPr>
          <w:rFonts w:asciiTheme="majorBidi" w:hAnsiTheme="majorBidi" w:cstheme="majorBidi"/>
        </w:rPr>
        <w:t xml:space="preserve">Flood, J., 1974. Pleistocene man at </w:t>
      </w:r>
      <w:proofErr w:type="spellStart"/>
      <w:r w:rsidRPr="003514B0">
        <w:rPr>
          <w:rFonts w:asciiTheme="majorBidi" w:hAnsiTheme="majorBidi" w:cstheme="majorBidi"/>
        </w:rPr>
        <w:t>Cloggs</w:t>
      </w:r>
      <w:proofErr w:type="spellEnd"/>
      <w:r w:rsidRPr="003514B0">
        <w:rPr>
          <w:rFonts w:asciiTheme="majorBidi" w:hAnsiTheme="majorBidi" w:cstheme="majorBidi"/>
        </w:rPr>
        <w:t xml:space="preserve"> Cave: his tool kit and environment. The Australian Journal of Anthropology 9, 175.</w:t>
      </w:r>
    </w:p>
    <w:p w14:paraId="72BBB985" w14:textId="77777777" w:rsidR="003514B0" w:rsidRPr="003514B0" w:rsidRDefault="003514B0" w:rsidP="003514B0">
      <w:pPr>
        <w:pStyle w:val="Bibliography"/>
        <w:rPr>
          <w:rFonts w:asciiTheme="majorBidi" w:hAnsiTheme="majorBidi" w:cstheme="majorBidi"/>
        </w:rPr>
      </w:pPr>
      <w:r w:rsidRPr="003514B0">
        <w:rPr>
          <w:rFonts w:asciiTheme="majorBidi" w:hAnsiTheme="majorBidi" w:cstheme="majorBidi"/>
        </w:rPr>
        <w:t>Gott, B., 2008. Indigenous use of plants in south-eastern Australia. Telopea 12, 215–226.</w:t>
      </w:r>
    </w:p>
    <w:p w14:paraId="26C91DC0" w14:textId="77777777" w:rsidR="003514B0" w:rsidRPr="003514B0" w:rsidRDefault="003514B0" w:rsidP="003514B0">
      <w:pPr>
        <w:pStyle w:val="Bibliography"/>
        <w:rPr>
          <w:rFonts w:asciiTheme="majorBidi" w:hAnsiTheme="majorBidi" w:cstheme="majorBidi"/>
        </w:rPr>
      </w:pPr>
      <w:r w:rsidRPr="003514B0">
        <w:rPr>
          <w:rFonts w:asciiTheme="majorBidi" w:hAnsiTheme="majorBidi" w:cstheme="majorBidi"/>
        </w:rPr>
        <w:t>Hansen, V., Horsfall, J., 2016. Noongar bush medicine: medicinal plants of the south-west of Western Australia. University of Western Australia Publishing, Crawley, WA.</w:t>
      </w:r>
    </w:p>
    <w:p w14:paraId="0C87211A" w14:textId="77777777" w:rsidR="003514B0" w:rsidRPr="003514B0" w:rsidRDefault="003514B0" w:rsidP="003514B0">
      <w:pPr>
        <w:pStyle w:val="Bibliography"/>
        <w:rPr>
          <w:rFonts w:asciiTheme="majorBidi" w:hAnsiTheme="majorBidi" w:cstheme="majorBidi"/>
        </w:rPr>
      </w:pPr>
      <w:r w:rsidRPr="003514B0">
        <w:rPr>
          <w:rFonts w:asciiTheme="majorBidi" w:hAnsiTheme="majorBidi" w:cstheme="majorBidi"/>
        </w:rPr>
        <w:t>Hastings Community College, 2017. Use for native plants of the Mornington Peninsula. Advance Community College, Hastings Community Hub, and the Australian Government.</w:t>
      </w:r>
    </w:p>
    <w:p w14:paraId="70C82D73" w14:textId="77777777" w:rsidR="00232EDC" w:rsidRDefault="003514B0" w:rsidP="00232EDC">
      <w:pPr>
        <w:pStyle w:val="Bibliography"/>
        <w:rPr>
          <w:rFonts w:asciiTheme="majorBidi" w:hAnsiTheme="majorBidi" w:cstheme="majorBidi"/>
        </w:rPr>
      </w:pPr>
      <w:r w:rsidRPr="003514B0">
        <w:rPr>
          <w:rFonts w:asciiTheme="majorBidi" w:hAnsiTheme="majorBidi" w:cstheme="majorBidi"/>
        </w:rPr>
        <w:t xml:space="preserve">Hooley, A.D., Southern, W., Kershaw, A.P., 1980. Holocene vegetation and environments of Sperm Whale head, Victoria, Australia. Journal of Biogeography </w:t>
      </w:r>
      <w:r w:rsidR="007817F4">
        <w:rPr>
          <w:rFonts w:asciiTheme="majorBidi" w:hAnsiTheme="majorBidi" w:cstheme="majorBidi"/>
        </w:rPr>
        <w:t xml:space="preserve">7(4): </w:t>
      </w:r>
      <w:r w:rsidRPr="003514B0">
        <w:rPr>
          <w:rFonts w:asciiTheme="majorBidi" w:hAnsiTheme="majorBidi" w:cstheme="majorBidi"/>
        </w:rPr>
        <w:t>349–362.</w:t>
      </w:r>
    </w:p>
    <w:p w14:paraId="0B62848D" w14:textId="519ADA7E" w:rsidR="00232EDC" w:rsidRDefault="00232EDC" w:rsidP="003514B0">
      <w:pPr>
        <w:pStyle w:val="Bibliography"/>
        <w:rPr>
          <w:rFonts w:asciiTheme="majorBidi" w:hAnsiTheme="majorBidi" w:cstheme="majorBidi"/>
        </w:rPr>
      </w:pPr>
      <w:r w:rsidRPr="007A1D2F">
        <w:rPr>
          <w:rFonts w:asciiTheme="majorBidi" w:hAnsiTheme="majorBidi" w:cstheme="majorBidi"/>
          <w:color w:val="222222"/>
          <w:shd w:val="clear" w:color="auto" w:fill="FFFFFF"/>
        </w:rPr>
        <w:t xml:space="preserve">Howitt, A.W. (1887). On Australian medicine men; </w:t>
      </w:r>
      <w:proofErr w:type="gramStart"/>
      <w:r w:rsidRPr="007A1D2F">
        <w:rPr>
          <w:rFonts w:asciiTheme="majorBidi" w:hAnsiTheme="majorBidi" w:cstheme="majorBidi"/>
          <w:color w:val="222222"/>
          <w:shd w:val="clear" w:color="auto" w:fill="FFFFFF"/>
        </w:rPr>
        <w:t>or,</w:t>
      </w:r>
      <w:proofErr w:type="gramEnd"/>
      <w:r w:rsidRPr="007A1D2F">
        <w:rPr>
          <w:rFonts w:asciiTheme="majorBidi" w:hAnsiTheme="majorBidi" w:cstheme="majorBidi"/>
          <w:color w:val="222222"/>
          <w:shd w:val="clear" w:color="auto" w:fill="FFFFFF"/>
        </w:rPr>
        <w:t xml:space="preserve"> doctors and wizards of some Australian tribes. </w:t>
      </w:r>
      <w:r w:rsidRPr="007A1D2F">
        <w:rPr>
          <w:rFonts w:asciiTheme="majorBidi" w:hAnsiTheme="majorBidi" w:cstheme="majorBidi"/>
          <w:i/>
          <w:iCs/>
          <w:color w:val="222222"/>
        </w:rPr>
        <w:t xml:space="preserve">The Journal of the Anthropological Institute of Great Britain and </w:t>
      </w:r>
      <w:r w:rsidRPr="007A1D2F">
        <w:rPr>
          <w:rFonts w:asciiTheme="majorBidi" w:hAnsiTheme="majorBidi" w:cstheme="majorBidi"/>
          <w:i/>
          <w:iCs/>
        </w:rPr>
        <w:t>Ireland</w:t>
      </w:r>
      <w:r w:rsidRPr="007A1D2F">
        <w:rPr>
          <w:rFonts w:asciiTheme="majorBidi" w:hAnsiTheme="majorBidi" w:cstheme="majorBidi"/>
          <w:shd w:val="clear" w:color="auto" w:fill="FFFFFF"/>
        </w:rPr>
        <w:t xml:space="preserve"> </w:t>
      </w:r>
      <w:r w:rsidRPr="007A1D2F">
        <w:rPr>
          <w:rFonts w:asciiTheme="majorBidi" w:hAnsiTheme="majorBidi" w:cstheme="majorBidi"/>
        </w:rPr>
        <w:t>16</w:t>
      </w:r>
      <w:r w:rsidRPr="007A1D2F">
        <w:rPr>
          <w:rFonts w:asciiTheme="majorBidi" w:hAnsiTheme="majorBidi" w:cstheme="majorBidi"/>
          <w:shd w:val="clear" w:color="auto" w:fill="FFFFFF"/>
        </w:rPr>
        <w:t xml:space="preserve">: 23–59. </w:t>
      </w:r>
      <w:hyperlink r:id="rId11" w:history="1">
        <w:r w:rsidRPr="007A1D2F">
          <w:rPr>
            <w:rStyle w:val="Hyperlink"/>
            <w:rFonts w:asciiTheme="majorBidi" w:hAnsiTheme="majorBidi"/>
            <w:spacing w:val="-5"/>
          </w:rPr>
          <w:t>https://doi.org/10.2307/2841737</w:t>
        </w:r>
      </w:hyperlink>
    </w:p>
    <w:p w14:paraId="1D12895E" w14:textId="637E9D39" w:rsidR="003514B0" w:rsidRPr="003514B0" w:rsidRDefault="003514B0" w:rsidP="003514B0">
      <w:pPr>
        <w:pStyle w:val="Bibliography"/>
        <w:rPr>
          <w:rFonts w:asciiTheme="majorBidi" w:hAnsiTheme="majorBidi" w:cstheme="majorBidi"/>
        </w:rPr>
      </w:pPr>
      <w:r w:rsidRPr="003514B0">
        <w:rPr>
          <w:rFonts w:asciiTheme="majorBidi" w:hAnsiTheme="majorBidi" w:cstheme="majorBidi"/>
        </w:rPr>
        <w:t>Low, T., 1991. Wild food plants of Australia. HarperCollins, Australia.</w:t>
      </w:r>
    </w:p>
    <w:p w14:paraId="6B2CAA45" w14:textId="77777777" w:rsidR="003514B0" w:rsidRPr="003514B0" w:rsidRDefault="003514B0" w:rsidP="003514B0">
      <w:pPr>
        <w:pStyle w:val="Bibliography"/>
        <w:rPr>
          <w:rFonts w:asciiTheme="majorBidi" w:hAnsiTheme="majorBidi" w:cstheme="majorBidi"/>
        </w:rPr>
      </w:pPr>
      <w:r w:rsidRPr="003514B0">
        <w:rPr>
          <w:rFonts w:asciiTheme="majorBidi" w:hAnsiTheme="majorBidi" w:cstheme="majorBidi"/>
        </w:rPr>
        <w:t xml:space="preserve">Macphail, M.K., Woodward, D., 2017. Non-seasonal plant foods in the </w:t>
      </w:r>
      <w:proofErr w:type="spellStart"/>
      <w:r w:rsidRPr="003514B0">
        <w:rPr>
          <w:rFonts w:asciiTheme="majorBidi" w:hAnsiTheme="majorBidi" w:cstheme="majorBidi"/>
        </w:rPr>
        <w:t>palawa</w:t>
      </w:r>
      <w:proofErr w:type="spellEnd"/>
      <w:r w:rsidRPr="003514B0">
        <w:rPr>
          <w:rFonts w:asciiTheme="majorBidi" w:hAnsiTheme="majorBidi" w:cstheme="majorBidi"/>
        </w:rPr>
        <w:t xml:space="preserve"> (Tasmanian Aborigine) diet: 1: the Yam Daisy </w:t>
      </w:r>
      <w:proofErr w:type="spellStart"/>
      <w:r w:rsidRPr="003514B0">
        <w:rPr>
          <w:rFonts w:asciiTheme="majorBidi" w:hAnsiTheme="majorBidi" w:cstheme="majorBidi"/>
        </w:rPr>
        <w:t>Microseris</w:t>
      </w:r>
      <w:proofErr w:type="spellEnd"/>
      <w:r w:rsidRPr="003514B0">
        <w:rPr>
          <w:rFonts w:asciiTheme="majorBidi" w:hAnsiTheme="majorBidi" w:cstheme="majorBidi"/>
        </w:rPr>
        <w:t xml:space="preserve"> lanceolata (Walp.) Sch. </w:t>
      </w:r>
      <w:proofErr w:type="spellStart"/>
      <w:r w:rsidRPr="003514B0">
        <w:rPr>
          <w:rFonts w:asciiTheme="majorBidi" w:hAnsiTheme="majorBidi" w:cstheme="majorBidi"/>
        </w:rPr>
        <w:t>Bip</w:t>
      </w:r>
      <w:proofErr w:type="spellEnd"/>
      <w:r w:rsidRPr="003514B0">
        <w:rPr>
          <w:rFonts w:asciiTheme="majorBidi" w:hAnsiTheme="majorBidi" w:cstheme="majorBidi"/>
        </w:rPr>
        <w:t>, in: Papers and Proceedings of the Royal Society of Tasmania. pp. 11–18.</w:t>
      </w:r>
    </w:p>
    <w:p w14:paraId="2B8D1214" w14:textId="77777777" w:rsidR="003514B0" w:rsidRPr="003514B0" w:rsidRDefault="003514B0" w:rsidP="003514B0">
      <w:pPr>
        <w:pStyle w:val="Bibliography"/>
        <w:rPr>
          <w:rFonts w:asciiTheme="majorBidi" w:hAnsiTheme="majorBidi" w:cstheme="majorBidi"/>
        </w:rPr>
      </w:pPr>
      <w:r w:rsidRPr="003514B0">
        <w:rPr>
          <w:rFonts w:asciiTheme="majorBidi" w:hAnsiTheme="majorBidi" w:cstheme="majorBidi"/>
        </w:rPr>
        <w:t>Nash, D., 2004. Aboriginal Plant Use in south-eastern Australia. Australia, Australian National Botanic Gardens, Australian Government.</w:t>
      </w:r>
    </w:p>
    <w:p w14:paraId="5DFB4A3A" w14:textId="77777777" w:rsidR="003514B0" w:rsidRPr="003514B0" w:rsidRDefault="003514B0" w:rsidP="003514B0">
      <w:pPr>
        <w:pStyle w:val="Bibliography"/>
        <w:rPr>
          <w:rFonts w:asciiTheme="majorBidi" w:hAnsiTheme="majorBidi" w:cstheme="majorBidi"/>
        </w:rPr>
      </w:pPr>
      <w:r w:rsidRPr="003514B0">
        <w:rPr>
          <w:rFonts w:asciiTheme="majorBidi" w:hAnsiTheme="majorBidi" w:cstheme="majorBidi"/>
        </w:rPr>
        <w:t>Nemeth, M.B., Smith-Huerta, N.L., 1997. The effects of pollen clumping on pollen germination and early tube growth in Clarkia unguiculata (</w:t>
      </w:r>
      <w:proofErr w:type="spellStart"/>
      <w:r w:rsidRPr="003514B0">
        <w:rPr>
          <w:rFonts w:asciiTheme="majorBidi" w:hAnsiTheme="majorBidi" w:cstheme="majorBidi"/>
        </w:rPr>
        <w:t>Onagraceae</w:t>
      </w:r>
      <w:proofErr w:type="spellEnd"/>
      <w:r w:rsidRPr="003514B0">
        <w:rPr>
          <w:rFonts w:asciiTheme="majorBidi" w:hAnsiTheme="majorBidi" w:cstheme="majorBidi"/>
        </w:rPr>
        <w:t>). International Journal of Plant Sciences 158, 292–297.</w:t>
      </w:r>
    </w:p>
    <w:p w14:paraId="0C5B7F6C" w14:textId="77777777" w:rsidR="003514B0" w:rsidRPr="003514B0" w:rsidRDefault="003514B0" w:rsidP="003514B0">
      <w:pPr>
        <w:pStyle w:val="Bibliography"/>
        <w:rPr>
          <w:rFonts w:asciiTheme="majorBidi" w:hAnsiTheme="majorBidi" w:cstheme="majorBidi"/>
        </w:rPr>
      </w:pPr>
      <w:r w:rsidRPr="003514B0">
        <w:rPr>
          <w:rFonts w:asciiTheme="majorBidi" w:hAnsiTheme="majorBidi" w:cstheme="majorBidi"/>
        </w:rPr>
        <w:lastRenderedPageBreak/>
        <w:t xml:space="preserve">Packer, J., Brouwer, N., Harrington, D., Gaikwad, J., Heron, R., Elders, Y.C., Ranganathan, S., </w:t>
      </w:r>
      <w:proofErr w:type="spellStart"/>
      <w:r w:rsidRPr="003514B0">
        <w:rPr>
          <w:rFonts w:asciiTheme="majorBidi" w:hAnsiTheme="majorBidi" w:cstheme="majorBidi"/>
        </w:rPr>
        <w:t>Vemulpad</w:t>
      </w:r>
      <w:proofErr w:type="spellEnd"/>
      <w:r w:rsidRPr="003514B0">
        <w:rPr>
          <w:rFonts w:asciiTheme="majorBidi" w:hAnsiTheme="majorBidi" w:cstheme="majorBidi"/>
        </w:rPr>
        <w:t xml:space="preserve">, S., Jamie, J., 2012. An ethnobotanical study of medicinal plants used by the </w:t>
      </w:r>
      <w:proofErr w:type="spellStart"/>
      <w:r w:rsidRPr="003514B0">
        <w:rPr>
          <w:rFonts w:asciiTheme="majorBidi" w:hAnsiTheme="majorBidi" w:cstheme="majorBidi"/>
        </w:rPr>
        <w:t>Yaegl</w:t>
      </w:r>
      <w:proofErr w:type="spellEnd"/>
      <w:r w:rsidRPr="003514B0">
        <w:rPr>
          <w:rFonts w:asciiTheme="majorBidi" w:hAnsiTheme="majorBidi" w:cstheme="majorBidi"/>
        </w:rPr>
        <w:t xml:space="preserve"> Aboriginal community in northern New South Wales, Australia. Journal of Ethnopharmacology 139, 244–255.</w:t>
      </w:r>
    </w:p>
    <w:p w14:paraId="0E31DC1B" w14:textId="77777777" w:rsidR="009C12BB" w:rsidRDefault="003514B0" w:rsidP="009C12BB">
      <w:pPr>
        <w:pStyle w:val="Bibliography"/>
        <w:rPr>
          <w:rFonts w:asciiTheme="majorBidi" w:hAnsiTheme="majorBidi" w:cstheme="majorBidi"/>
        </w:rPr>
      </w:pPr>
      <w:r w:rsidRPr="003514B0">
        <w:rPr>
          <w:rFonts w:asciiTheme="majorBidi" w:hAnsiTheme="majorBidi" w:cstheme="majorBidi"/>
        </w:rPr>
        <w:t xml:space="preserve">Ramsey, M.W., 1988. Differences in pollinator effectiveness of birds and insects visiting Banksia </w:t>
      </w:r>
      <w:proofErr w:type="spellStart"/>
      <w:r w:rsidRPr="003514B0">
        <w:rPr>
          <w:rFonts w:asciiTheme="majorBidi" w:hAnsiTheme="majorBidi" w:cstheme="majorBidi"/>
        </w:rPr>
        <w:t>menziesii</w:t>
      </w:r>
      <w:proofErr w:type="spellEnd"/>
      <w:r w:rsidRPr="003514B0">
        <w:rPr>
          <w:rFonts w:asciiTheme="majorBidi" w:hAnsiTheme="majorBidi" w:cstheme="majorBidi"/>
        </w:rPr>
        <w:t xml:space="preserve"> (Proteaceae). </w:t>
      </w:r>
      <w:proofErr w:type="spellStart"/>
      <w:r w:rsidRPr="003514B0">
        <w:rPr>
          <w:rFonts w:asciiTheme="majorBidi" w:hAnsiTheme="majorBidi" w:cstheme="majorBidi"/>
        </w:rPr>
        <w:t>Oecologia</w:t>
      </w:r>
      <w:proofErr w:type="spellEnd"/>
      <w:r w:rsidRPr="003514B0">
        <w:rPr>
          <w:rFonts w:asciiTheme="majorBidi" w:hAnsiTheme="majorBidi" w:cstheme="majorBidi"/>
        </w:rPr>
        <w:t xml:space="preserve"> 76, 119–124.</w:t>
      </w:r>
    </w:p>
    <w:p w14:paraId="20A8AC0E" w14:textId="3407115D" w:rsidR="009C12BB" w:rsidRPr="00EC270C" w:rsidRDefault="009C12BB" w:rsidP="009C12BB">
      <w:pPr>
        <w:pStyle w:val="Bibliography"/>
        <w:rPr>
          <w:rFonts w:asciiTheme="majorBidi" w:hAnsiTheme="majorBidi" w:cstheme="majorBidi"/>
        </w:rPr>
      </w:pPr>
      <w:r w:rsidRPr="00EC270C">
        <w:rPr>
          <w:rFonts w:asciiTheme="majorBidi" w:hAnsiTheme="majorBidi" w:cstheme="majorBidi"/>
          <w:lang w:val="en-GB"/>
        </w:rPr>
        <w:t xml:space="preserve">Smyth, R.B. (1878). </w:t>
      </w:r>
      <w:r w:rsidRPr="00EC270C">
        <w:rPr>
          <w:rFonts w:asciiTheme="majorBidi" w:hAnsiTheme="majorBidi" w:cstheme="majorBidi"/>
          <w:i/>
          <w:iCs/>
          <w:lang w:val="en-GB"/>
        </w:rPr>
        <w:t>The Aborigines of Victoria, with Notes</w:t>
      </w:r>
      <w:r w:rsidRPr="00EC270C">
        <w:rPr>
          <w:rFonts w:asciiTheme="majorBidi" w:hAnsiTheme="majorBidi" w:cstheme="majorBidi"/>
          <w:i/>
          <w:iCs/>
        </w:rPr>
        <w:t xml:space="preserve"> </w:t>
      </w:r>
      <w:r w:rsidRPr="00EC270C">
        <w:rPr>
          <w:rFonts w:asciiTheme="majorBidi" w:hAnsiTheme="majorBidi" w:cstheme="majorBidi"/>
          <w:i/>
          <w:iCs/>
          <w:lang w:val="en-GB"/>
        </w:rPr>
        <w:t>Relating to the Habits of the Natives of Other Parts of</w:t>
      </w:r>
      <w:r w:rsidRPr="00EC270C">
        <w:rPr>
          <w:rFonts w:asciiTheme="majorBidi" w:hAnsiTheme="majorBidi" w:cstheme="majorBidi"/>
          <w:i/>
          <w:iCs/>
        </w:rPr>
        <w:t xml:space="preserve"> </w:t>
      </w:r>
      <w:r w:rsidRPr="00EC270C">
        <w:rPr>
          <w:rFonts w:asciiTheme="majorBidi" w:hAnsiTheme="majorBidi" w:cstheme="majorBidi"/>
          <w:i/>
          <w:iCs/>
          <w:lang w:val="en-GB"/>
        </w:rPr>
        <w:t>Australia and Tasmania</w:t>
      </w:r>
      <w:r w:rsidRPr="00EC270C">
        <w:rPr>
          <w:rFonts w:asciiTheme="majorBidi" w:hAnsiTheme="majorBidi" w:cstheme="majorBidi"/>
          <w:lang w:val="en-GB"/>
        </w:rPr>
        <w:t>. Melbourne: John Ferres,</w:t>
      </w:r>
      <w:r w:rsidRPr="00EC270C">
        <w:rPr>
          <w:rFonts w:asciiTheme="majorBidi" w:hAnsiTheme="majorBidi" w:cstheme="majorBidi"/>
        </w:rPr>
        <w:t xml:space="preserve"> </w:t>
      </w:r>
      <w:r w:rsidRPr="00EC270C">
        <w:rPr>
          <w:rFonts w:asciiTheme="majorBidi" w:hAnsiTheme="majorBidi" w:cstheme="majorBidi"/>
          <w:lang w:val="en-GB"/>
        </w:rPr>
        <w:t>Government Printer.</w:t>
      </w:r>
    </w:p>
    <w:p w14:paraId="6DB3D843" w14:textId="77777777" w:rsidR="00701DE3" w:rsidRDefault="00701DE3" w:rsidP="003514B0">
      <w:pPr>
        <w:pStyle w:val="Bibliography"/>
        <w:rPr>
          <w:rFonts w:asciiTheme="majorBidi" w:hAnsiTheme="majorBidi" w:cstheme="majorBidi"/>
        </w:rPr>
      </w:pPr>
      <w:r w:rsidRPr="00701DE3">
        <w:rPr>
          <w:rFonts w:asciiTheme="majorBidi" w:hAnsiTheme="majorBidi" w:cstheme="majorBidi"/>
        </w:rPr>
        <w:t xml:space="preserve">Steckel, L.E., Sosnoskie, L.M., Steckel, S.J., 2019. Common evening-primrose (Oenothera </w:t>
      </w:r>
      <w:proofErr w:type="spellStart"/>
      <w:r w:rsidRPr="00701DE3">
        <w:rPr>
          <w:rFonts w:asciiTheme="majorBidi" w:hAnsiTheme="majorBidi" w:cstheme="majorBidi"/>
        </w:rPr>
        <w:t>biennis</w:t>
      </w:r>
      <w:proofErr w:type="spellEnd"/>
      <w:r w:rsidRPr="00701DE3">
        <w:rPr>
          <w:rFonts w:asciiTheme="majorBidi" w:hAnsiTheme="majorBidi" w:cstheme="majorBidi"/>
        </w:rPr>
        <w:t xml:space="preserve"> L.). Weed Technology 33, 757–760.</w:t>
      </w:r>
    </w:p>
    <w:p w14:paraId="30E0C17B" w14:textId="1040B6CA" w:rsidR="00DD52EC" w:rsidRPr="00D10ACC" w:rsidRDefault="00DD52EC" w:rsidP="00D10ACC">
      <w:r w:rsidRPr="00DD52EC">
        <w:rPr>
          <w:lang w:eastAsia="en-US"/>
        </w:rPr>
        <w:t>Wesson, S.,</w:t>
      </w:r>
      <w:r>
        <w:rPr>
          <w:lang w:eastAsia="en-US"/>
        </w:rPr>
        <w:t xml:space="preserve"> 2001.</w:t>
      </w:r>
      <w:r w:rsidRPr="00DD52EC">
        <w:rPr>
          <w:lang w:eastAsia="en-US"/>
        </w:rPr>
        <w:t> </w:t>
      </w:r>
      <w:r w:rsidRPr="00DD52EC">
        <w:rPr>
          <w:i/>
          <w:iCs/>
          <w:lang w:eastAsia="en-US"/>
        </w:rPr>
        <w:t>Aboriginal Flora and Fauna</w:t>
      </w:r>
      <w:r>
        <w:rPr>
          <w:i/>
          <w:iCs/>
          <w:lang w:eastAsia="en-US"/>
        </w:rPr>
        <w:t xml:space="preserve">: </w:t>
      </w:r>
      <w:r w:rsidRPr="00DD52EC">
        <w:rPr>
          <w:i/>
          <w:iCs/>
          <w:lang w:eastAsia="en-US"/>
        </w:rPr>
        <w:t>Names of Victoria</w:t>
      </w:r>
      <w:r>
        <w:rPr>
          <w:i/>
          <w:iCs/>
          <w:lang w:eastAsia="en-US"/>
        </w:rPr>
        <w:t>,</w:t>
      </w:r>
      <w:r w:rsidRPr="00DD52EC">
        <w:rPr>
          <w:i/>
          <w:iCs/>
          <w:lang w:eastAsia="en-US"/>
        </w:rPr>
        <w:t xml:space="preserve"> </w:t>
      </w:r>
      <w:r>
        <w:rPr>
          <w:i/>
          <w:iCs/>
          <w:lang w:eastAsia="en-US"/>
        </w:rPr>
        <w:t>a</w:t>
      </w:r>
      <w:r w:rsidRPr="00DD52EC">
        <w:rPr>
          <w:i/>
          <w:iCs/>
          <w:lang w:eastAsia="en-US"/>
        </w:rPr>
        <w:t>s Extracted from Early Surveyors’ Reports</w:t>
      </w:r>
      <w:r w:rsidRPr="00DD52EC">
        <w:rPr>
          <w:lang w:eastAsia="en-US"/>
        </w:rPr>
        <w:t>.  Northcote</w:t>
      </w:r>
      <w:r>
        <w:rPr>
          <w:lang w:eastAsia="en-US"/>
        </w:rPr>
        <w:t>:</w:t>
      </w:r>
      <w:r w:rsidRPr="00DD52EC">
        <w:rPr>
          <w:lang w:eastAsia="en-US"/>
        </w:rPr>
        <w:t xml:space="preserve"> Victorian Aboriginal Corporation for Languages.</w:t>
      </w:r>
    </w:p>
    <w:p w14:paraId="5EE3541F" w14:textId="77777777" w:rsidR="003514B0" w:rsidRPr="003514B0" w:rsidRDefault="003514B0">
      <w:pPr>
        <w:rPr>
          <w:b/>
          <w:bCs/>
        </w:rPr>
      </w:pPr>
    </w:p>
    <w:sectPr w:rsidR="003514B0" w:rsidRPr="003514B0" w:rsidSect="003514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2A20A" w14:textId="77777777" w:rsidR="00C67382" w:rsidRDefault="00C67382">
      <w:r>
        <w:separator/>
      </w:r>
    </w:p>
  </w:endnote>
  <w:endnote w:type="continuationSeparator" w:id="0">
    <w:p w14:paraId="20361F5C" w14:textId="77777777" w:rsidR="00C67382" w:rsidRDefault="00C67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07934796"/>
      <w:docPartObj>
        <w:docPartGallery w:val="Page Numbers (Bottom of Page)"/>
        <w:docPartUnique/>
      </w:docPartObj>
    </w:sdtPr>
    <w:sdtContent>
      <w:p w14:paraId="699C03B3" w14:textId="77777777" w:rsidR="00755E55" w:rsidRDefault="00701DE3" w:rsidP="00806CD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146E7FC" w14:textId="77777777" w:rsidR="00755E55" w:rsidRDefault="00755E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59195616"/>
      <w:docPartObj>
        <w:docPartGallery w:val="Page Numbers (Bottom of Page)"/>
        <w:docPartUnique/>
      </w:docPartObj>
    </w:sdtPr>
    <w:sdtContent>
      <w:p w14:paraId="4E349B7A" w14:textId="77777777" w:rsidR="00755E55" w:rsidRDefault="00701DE3" w:rsidP="00806CD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sdtContent>
  </w:sdt>
  <w:p w14:paraId="533D80AB" w14:textId="77777777" w:rsidR="00755E55" w:rsidRPr="00A55C7E" w:rsidRDefault="00755E55">
    <w:pPr>
      <w:pStyle w:val="Footer"/>
      <w:jc w:val="center"/>
      <w:rPr>
        <w:rFonts w:ascii="Times New Roman" w:hAnsi="Times New Roman" w:cs="Times New Roman"/>
        <w:sz w:val="20"/>
        <w:szCs w:val="20"/>
      </w:rPr>
    </w:pPr>
  </w:p>
  <w:p w14:paraId="797E08CB" w14:textId="77777777" w:rsidR="00755E55" w:rsidRDefault="00755E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F5675" w14:textId="77777777" w:rsidR="00C67382" w:rsidRDefault="00C67382">
      <w:r>
        <w:separator/>
      </w:r>
    </w:p>
  </w:footnote>
  <w:footnote w:type="continuationSeparator" w:id="0">
    <w:p w14:paraId="17947046" w14:textId="77777777" w:rsidR="00C67382" w:rsidRDefault="00C673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D15F5E"/>
    <w:multiLevelType w:val="hybridMultilevel"/>
    <w:tmpl w:val="B6DEFF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34093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5D1"/>
    <w:rsid w:val="00000597"/>
    <w:rsid w:val="00003D9C"/>
    <w:rsid w:val="000A25D1"/>
    <w:rsid w:val="00120DE9"/>
    <w:rsid w:val="0018531C"/>
    <w:rsid w:val="00197214"/>
    <w:rsid w:val="001A0F1F"/>
    <w:rsid w:val="001E6E80"/>
    <w:rsid w:val="00206450"/>
    <w:rsid w:val="00224AAA"/>
    <w:rsid w:val="00232DFD"/>
    <w:rsid w:val="00232EDC"/>
    <w:rsid w:val="00237FA8"/>
    <w:rsid w:val="00296946"/>
    <w:rsid w:val="002D20C7"/>
    <w:rsid w:val="00323D68"/>
    <w:rsid w:val="003514B0"/>
    <w:rsid w:val="0036432A"/>
    <w:rsid w:val="00374B6C"/>
    <w:rsid w:val="00384525"/>
    <w:rsid w:val="00414450"/>
    <w:rsid w:val="00445FD2"/>
    <w:rsid w:val="00517582"/>
    <w:rsid w:val="0059157F"/>
    <w:rsid w:val="005A0A49"/>
    <w:rsid w:val="00600F27"/>
    <w:rsid w:val="00603DDF"/>
    <w:rsid w:val="00621711"/>
    <w:rsid w:val="00637D59"/>
    <w:rsid w:val="00671CA5"/>
    <w:rsid w:val="006917FB"/>
    <w:rsid w:val="00694385"/>
    <w:rsid w:val="006B1B7E"/>
    <w:rsid w:val="006E5DD7"/>
    <w:rsid w:val="00701DE3"/>
    <w:rsid w:val="007076B8"/>
    <w:rsid w:val="00745777"/>
    <w:rsid w:val="007458A1"/>
    <w:rsid w:val="00755E55"/>
    <w:rsid w:val="00763D46"/>
    <w:rsid w:val="007817F4"/>
    <w:rsid w:val="007972E0"/>
    <w:rsid w:val="00874C0B"/>
    <w:rsid w:val="008E5382"/>
    <w:rsid w:val="009274DC"/>
    <w:rsid w:val="00983EEE"/>
    <w:rsid w:val="009A7D38"/>
    <w:rsid w:val="009C12BB"/>
    <w:rsid w:val="00A1731A"/>
    <w:rsid w:val="00A67996"/>
    <w:rsid w:val="00A91432"/>
    <w:rsid w:val="00AA7EAA"/>
    <w:rsid w:val="00AF094B"/>
    <w:rsid w:val="00B41F61"/>
    <w:rsid w:val="00C37123"/>
    <w:rsid w:val="00C45385"/>
    <w:rsid w:val="00C66301"/>
    <w:rsid w:val="00C66BF7"/>
    <w:rsid w:val="00C67382"/>
    <w:rsid w:val="00CB275F"/>
    <w:rsid w:val="00D10ACC"/>
    <w:rsid w:val="00D27152"/>
    <w:rsid w:val="00D4219E"/>
    <w:rsid w:val="00D5057A"/>
    <w:rsid w:val="00D57BE5"/>
    <w:rsid w:val="00D928EB"/>
    <w:rsid w:val="00DA6EDB"/>
    <w:rsid w:val="00DB689A"/>
    <w:rsid w:val="00DD0797"/>
    <w:rsid w:val="00DD52EC"/>
    <w:rsid w:val="00DF711D"/>
    <w:rsid w:val="00E35D43"/>
    <w:rsid w:val="00E57DBE"/>
    <w:rsid w:val="00E620B4"/>
    <w:rsid w:val="00EF223E"/>
    <w:rsid w:val="00EF5121"/>
    <w:rsid w:val="00F42D28"/>
    <w:rsid w:val="00F77B54"/>
    <w:rsid w:val="00FC6C27"/>
    <w:rsid w:val="00FF426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5F7DA"/>
  <w15:chartTrackingRefBased/>
  <w15:docId w15:val="{2CA88FFB-41F2-4ECF-A198-B3D3D7E2D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5D1"/>
    <w:pPr>
      <w:spacing w:after="0" w:line="240" w:lineRule="auto"/>
    </w:pPr>
    <w:rPr>
      <w:rFonts w:ascii="Times New Roman" w:eastAsia="Times New Roman" w:hAnsi="Times New Roman" w:cs="Times New Roman"/>
      <w:kern w:val="0"/>
      <w:sz w:val="24"/>
      <w:szCs w:val="24"/>
      <w:lang w:eastAsia="en-GB"/>
    </w:rPr>
  </w:style>
  <w:style w:type="paragraph" w:styleId="Heading1">
    <w:name w:val="heading 1"/>
    <w:basedOn w:val="Normal"/>
    <w:next w:val="Normal"/>
    <w:link w:val="Heading1Char"/>
    <w:uiPriority w:val="9"/>
    <w:qFormat/>
    <w:rsid w:val="000A25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25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25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25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25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25D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25D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25D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25D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25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25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25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25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25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25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25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25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25D1"/>
    <w:rPr>
      <w:rFonts w:eastAsiaTheme="majorEastAsia" w:cstheme="majorBidi"/>
      <w:color w:val="272727" w:themeColor="text1" w:themeTint="D8"/>
    </w:rPr>
  </w:style>
  <w:style w:type="paragraph" w:styleId="Title">
    <w:name w:val="Title"/>
    <w:basedOn w:val="Normal"/>
    <w:next w:val="Normal"/>
    <w:link w:val="TitleChar"/>
    <w:uiPriority w:val="10"/>
    <w:qFormat/>
    <w:rsid w:val="000A25D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25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25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25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25D1"/>
    <w:pPr>
      <w:spacing w:before="160"/>
      <w:jc w:val="center"/>
    </w:pPr>
    <w:rPr>
      <w:i/>
      <w:iCs/>
      <w:color w:val="404040" w:themeColor="text1" w:themeTint="BF"/>
    </w:rPr>
  </w:style>
  <w:style w:type="character" w:customStyle="1" w:styleId="QuoteChar">
    <w:name w:val="Quote Char"/>
    <w:basedOn w:val="DefaultParagraphFont"/>
    <w:link w:val="Quote"/>
    <w:uiPriority w:val="29"/>
    <w:rsid w:val="000A25D1"/>
    <w:rPr>
      <w:i/>
      <w:iCs/>
      <w:color w:val="404040" w:themeColor="text1" w:themeTint="BF"/>
    </w:rPr>
  </w:style>
  <w:style w:type="paragraph" w:styleId="ListParagraph">
    <w:name w:val="List Paragraph"/>
    <w:basedOn w:val="Normal"/>
    <w:uiPriority w:val="34"/>
    <w:qFormat/>
    <w:rsid w:val="000A25D1"/>
    <w:pPr>
      <w:ind w:left="720"/>
      <w:contextualSpacing/>
    </w:pPr>
  </w:style>
  <w:style w:type="character" w:styleId="IntenseEmphasis">
    <w:name w:val="Intense Emphasis"/>
    <w:basedOn w:val="DefaultParagraphFont"/>
    <w:uiPriority w:val="21"/>
    <w:qFormat/>
    <w:rsid w:val="000A25D1"/>
    <w:rPr>
      <w:i/>
      <w:iCs/>
      <w:color w:val="0F4761" w:themeColor="accent1" w:themeShade="BF"/>
    </w:rPr>
  </w:style>
  <w:style w:type="paragraph" w:styleId="IntenseQuote">
    <w:name w:val="Intense Quote"/>
    <w:basedOn w:val="Normal"/>
    <w:next w:val="Normal"/>
    <w:link w:val="IntenseQuoteChar"/>
    <w:uiPriority w:val="30"/>
    <w:qFormat/>
    <w:rsid w:val="000A25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25D1"/>
    <w:rPr>
      <w:i/>
      <w:iCs/>
      <w:color w:val="0F4761" w:themeColor="accent1" w:themeShade="BF"/>
    </w:rPr>
  </w:style>
  <w:style w:type="character" w:styleId="IntenseReference">
    <w:name w:val="Intense Reference"/>
    <w:basedOn w:val="DefaultParagraphFont"/>
    <w:uiPriority w:val="32"/>
    <w:qFormat/>
    <w:rsid w:val="000A25D1"/>
    <w:rPr>
      <w:b/>
      <w:bCs/>
      <w:smallCaps/>
      <w:color w:val="0F4761" w:themeColor="accent1" w:themeShade="BF"/>
      <w:spacing w:val="5"/>
    </w:rPr>
  </w:style>
  <w:style w:type="character" w:styleId="CommentReference">
    <w:name w:val="annotation reference"/>
    <w:basedOn w:val="DefaultParagraphFont"/>
    <w:uiPriority w:val="99"/>
    <w:semiHidden/>
    <w:unhideWhenUsed/>
    <w:rsid w:val="000A25D1"/>
    <w:rPr>
      <w:sz w:val="16"/>
      <w:szCs w:val="16"/>
    </w:rPr>
  </w:style>
  <w:style w:type="paragraph" w:styleId="CommentText">
    <w:name w:val="annotation text"/>
    <w:basedOn w:val="Normal"/>
    <w:link w:val="CommentTextChar"/>
    <w:uiPriority w:val="99"/>
    <w:unhideWhenUsed/>
    <w:rsid w:val="000A25D1"/>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0A25D1"/>
    <w:rPr>
      <w:kern w:val="0"/>
      <w:sz w:val="20"/>
      <w:szCs w:val="20"/>
    </w:rPr>
  </w:style>
  <w:style w:type="paragraph" w:styleId="Footer">
    <w:name w:val="footer"/>
    <w:basedOn w:val="Normal"/>
    <w:link w:val="FooterChar"/>
    <w:uiPriority w:val="99"/>
    <w:unhideWhenUsed/>
    <w:rsid w:val="000A25D1"/>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0A25D1"/>
    <w:rPr>
      <w:kern w:val="0"/>
    </w:rPr>
  </w:style>
  <w:style w:type="character" w:styleId="PageNumber">
    <w:name w:val="page number"/>
    <w:basedOn w:val="DefaultParagraphFont"/>
    <w:uiPriority w:val="99"/>
    <w:semiHidden/>
    <w:unhideWhenUsed/>
    <w:rsid w:val="000A25D1"/>
  </w:style>
  <w:style w:type="paragraph" w:styleId="Bibliography">
    <w:name w:val="Bibliography"/>
    <w:basedOn w:val="Normal"/>
    <w:next w:val="Normal"/>
    <w:uiPriority w:val="37"/>
    <w:unhideWhenUsed/>
    <w:rsid w:val="003514B0"/>
    <w:pPr>
      <w:spacing w:after="160" w:line="259" w:lineRule="auto"/>
    </w:pPr>
    <w:rPr>
      <w:rFonts w:asciiTheme="minorHAnsi" w:eastAsiaTheme="minorHAnsi" w:hAnsiTheme="minorHAnsi" w:cstheme="minorBidi"/>
      <w:kern w:val="2"/>
      <w:sz w:val="22"/>
      <w:szCs w:val="22"/>
      <w:lang w:eastAsia="en-US"/>
    </w:rPr>
  </w:style>
  <w:style w:type="paragraph" w:styleId="Revision">
    <w:name w:val="Revision"/>
    <w:hidden/>
    <w:uiPriority w:val="99"/>
    <w:semiHidden/>
    <w:rsid w:val="00EF223E"/>
    <w:pPr>
      <w:spacing w:after="0"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unhideWhenUsed/>
    <w:rsid w:val="00232EDC"/>
    <w:rPr>
      <w:color w:val="0563C1"/>
      <w:u w:val="single"/>
    </w:rPr>
  </w:style>
  <w:style w:type="character" w:styleId="UnresolvedMention">
    <w:name w:val="Unresolved Mention"/>
    <w:basedOn w:val="DefaultParagraphFont"/>
    <w:uiPriority w:val="99"/>
    <w:semiHidden/>
    <w:unhideWhenUsed/>
    <w:rsid w:val="00DD07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307/2841737" TargetMode="External"/><Relationship Id="rId5" Type="http://schemas.openxmlformats.org/officeDocument/2006/relationships/webSettings" Target="webSettings.xml"/><Relationship Id="rId10" Type="http://schemas.openxmlformats.org/officeDocument/2006/relationships/hyperlink" Target="https://doi.org/10.1038/s41562-024-01912-w"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75551-A3C5-4C33-808F-CC3268693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2693</Words>
  <Characters>15351</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 Grono</dc:creator>
  <cp:keywords/>
  <dc:description/>
  <cp:lastModifiedBy>Elle Grono</cp:lastModifiedBy>
  <cp:revision>52</cp:revision>
  <dcterms:created xsi:type="dcterms:W3CDTF">2024-06-03T22:52:00Z</dcterms:created>
  <dcterms:modified xsi:type="dcterms:W3CDTF">2024-08-30T00:35:00Z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id="1Ilbb4HB"/&gt;&lt;style id="http://www.zotero.org/styles/journal-of-archaeological-science-reports" hasBibliography="1" bibliographyStyleHasBeenSet="0"/&gt;&lt;prefs&gt;&lt;pref name="fieldType" value="Field"/&gt;&lt;/p</vt:lpwstr>
  </property>
  <property fmtid="{D5CDD505-2E9C-101B-9397-08002B2CF9AE}" pid="3" name="ZOTERO_PREF_2">
    <vt:lpwstr>refs&gt;&lt;/data&gt;</vt:lpwstr>
  </property>
</Properties>
</file>