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57" w:rsidRPr="009E6A08" w:rsidRDefault="005E1F57" w:rsidP="005E1F5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9E6A08">
        <w:rPr>
          <w:rFonts w:cstheme="minorHAnsi"/>
          <w:sz w:val="20"/>
          <w:szCs w:val="20"/>
          <w:shd w:val="clear" w:color="auto" w:fill="FFFFFF"/>
        </w:rPr>
        <w:t>Supplementary</w:t>
      </w:r>
      <w:proofErr w:type="spellEnd"/>
      <w:r w:rsidRPr="009E6A08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9E6A08">
        <w:rPr>
          <w:rFonts w:cstheme="minorHAnsi"/>
          <w:sz w:val="20"/>
          <w:szCs w:val="20"/>
          <w:shd w:val="clear" w:color="auto" w:fill="FFFFFF"/>
        </w:rPr>
        <w:t>Materials</w:t>
      </w:r>
      <w:proofErr w:type="spellEnd"/>
    </w:p>
    <w:p w:rsidR="0094016B" w:rsidRPr="009E6A08" w:rsidRDefault="0094016B" w:rsidP="005E1F5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:rsidR="0094016B" w:rsidRPr="009E6A08" w:rsidRDefault="0094016B" w:rsidP="0094016B">
      <w:pPr>
        <w:pStyle w:val="MDPI22heading2"/>
        <w:spacing w:before="0" w:after="0"/>
        <w:ind w:left="0"/>
        <w:rPr>
          <w:rFonts w:asciiTheme="minorHAnsi" w:hAnsiTheme="minorHAnsi" w:cstheme="minorHAnsi"/>
          <w:i w:val="0"/>
          <w:color w:val="000000" w:themeColor="text1"/>
          <w:szCs w:val="20"/>
        </w:rPr>
      </w:pPr>
      <w:r w:rsidRPr="009E6A08">
        <w:rPr>
          <w:rFonts w:asciiTheme="minorHAnsi" w:hAnsiTheme="minorHAnsi" w:cstheme="minorHAnsi"/>
          <w:b/>
          <w:i w:val="0"/>
          <w:color w:val="000000" w:themeColor="text1"/>
          <w:szCs w:val="20"/>
        </w:rPr>
        <w:t>Table A.</w:t>
      </w:r>
      <w:r w:rsidRPr="009E6A08">
        <w:rPr>
          <w:rFonts w:asciiTheme="minorHAnsi" w:hAnsiTheme="minorHAnsi" w:cstheme="minorHAnsi"/>
          <w:i w:val="0"/>
          <w:color w:val="000000" w:themeColor="text1"/>
          <w:szCs w:val="20"/>
        </w:rPr>
        <w:t xml:space="preserve"> Extensive neuropsychological assessment</w:t>
      </w:r>
    </w:p>
    <w:p w:rsidR="0094016B" w:rsidRPr="009E6A08" w:rsidRDefault="0094016B" w:rsidP="0094016B">
      <w:pPr>
        <w:pStyle w:val="MDPI22heading2"/>
        <w:spacing w:before="0" w:after="0"/>
        <w:ind w:left="0"/>
        <w:rPr>
          <w:rFonts w:asciiTheme="minorHAnsi" w:hAnsiTheme="minorHAnsi" w:cstheme="minorHAnsi"/>
          <w:i w:val="0"/>
          <w:noProof w:val="0"/>
          <w:color w:val="000000" w:themeColor="text1"/>
          <w:szCs w:val="20"/>
        </w:rPr>
      </w:pPr>
    </w:p>
    <w:tbl>
      <w:tblPr>
        <w:tblStyle w:val="8"/>
        <w:tblW w:w="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2525"/>
        <w:gridCol w:w="5471"/>
      </w:tblGrid>
      <w:tr w:rsidR="0094016B" w:rsidRPr="009E6A08" w:rsidTr="0094016B">
        <w:tc>
          <w:tcPr>
            <w:tcW w:w="252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Neuropsychological dimensions</w:t>
            </w:r>
          </w:p>
        </w:tc>
        <w:tc>
          <w:tcPr>
            <w:tcW w:w="5471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Assessment tools</w:t>
            </w:r>
          </w:p>
        </w:tc>
      </w:tr>
      <w:tr w:rsidR="0094016B" w:rsidRPr="009E6A08" w:rsidTr="0094016B">
        <w:trPr>
          <w:trHeight w:val="2347"/>
        </w:trPr>
        <w:tc>
          <w:tcPr>
            <w:tcW w:w="25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Attention and executive functions</w:t>
            </w:r>
          </w:p>
        </w:tc>
        <w:tc>
          <w:tcPr>
            <w:tcW w:w="54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Trail Making Test A, TMT-A and Trail Making Test, TMT-B (</w:t>
            </w:r>
            <w:proofErr w:type="spellStart"/>
            <w:r w:rsidR="00BE382B"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Amodio</w:t>
            </w:r>
            <w:proofErr w:type="spellEnd"/>
            <w:r w:rsidR="00BE382B"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et al., 2002)</w:t>
            </w:r>
          </w:p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Stroop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Test (</w:t>
            </w:r>
            <w:proofErr w:type="spellStart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Caffarra</w:t>
            </w:r>
            <w:proofErr w:type="spellEnd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et al., 2002) </w:t>
            </w:r>
          </w:p>
          <w:p w:rsidR="0094016B" w:rsidRPr="009E6A08" w:rsidRDefault="0094016B">
            <w:pPr>
              <w:pStyle w:val="Normale1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Weigl’s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Sorting Test (</w:t>
            </w:r>
            <w:proofErr w:type="spellStart"/>
            <w:r w:rsidR="00BE382B"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Laiacona</w:t>
            </w:r>
            <w:proofErr w:type="spellEnd"/>
            <w:r w:rsidR="00BE382B"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et al., 2000) </w:t>
            </w:r>
          </w:p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Multiple Features Target Test (MFTC) time; accuracy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; error (</w:t>
            </w:r>
            <w:proofErr w:type="spellStart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Gainotti</w:t>
            </w:r>
            <w:proofErr w:type="spellEnd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et al., 2001)</w:t>
            </w:r>
          </w:p>
          <w:p w:rsidR="0094016B" w:rsidRPr="009E6A08" w:rsidRDefault="0094016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Frontal Assessment Battery 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(FAB) (</w:t>
            </w:r>
            <w:proofErr w:type="spellStart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Apollonio</w:t>
            </w:r>
            <w:proofErr w:type="spellEnd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et al., 2005)</w:t>
            </w:r>
          </w:p>
        </w:tc>
      </w:tr>
      <w:tr w:rsidR="0094016B" w:rsidRPr="009E6A08" w:rsidTr="0094016B">
        <w:tc>
          <w:tcPr>
            <w:tcW w:w="252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Memory</w:t>
            </w:r>
          </w:p>
        </w:tc>
        <w:tc>
          <w:tcPr>
            <w:tcW w:w="547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94016B" w:rsidRPr="009E6A08" w:rsidRDefault="0094016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Digit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span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Monaco et </w:t>
            </w:r>
            <w:r w:rsidR="00BE382B" w:rsidRPr="009E6A0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al., 2013)</w:t>
            </w:r>
          </w:p>
        </w:tc>
      </w:tr>
      <w:tr w:rsidR="0094016B" w:rsidRPr="009E6A08" w:rsidTr="0094016B">
        <w:tc>
          <w:tcPr>
            <w:tcW w:w="252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4016B" w:rsidRPr="009E6A08" w:rsidRDefault="009401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5471" w:type="dxa"/>
            <w:hideMark/>
          </w:tcPr>
          <w:p w:rsidR="0094016B" w:rsidRPr="009E6A08" w:rsidRDefault="0094016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Rey Auditory Verbal Learning Test-RAVLT, immediate and delayed r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ecall (</w:t>
            </w:r>
            <w:proofErr w:type="spellStart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Carlesimo</w:t>
            </w:r>
            <w:proofErr w:type="spellEnd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et al., 1996)</w:t>
            </w:r>
          </w:p>
        </w:tc>
      </w:tr>
      <w:tr w:rsidR="0094016B" w:rsidRPr="009E6A08" w:rsidTr="0094016B">
        <w:trPr>
          <w:trHeight w:val="400"/>
        </w:trPr>
        <w:tc>
          <w:tcPr>
            <w:tcW w:w="252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4016B" w:rsidRPr="009E6A08" w:rsidRDefault="009401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Rey-</w:t>
            </w: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Osterrieth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Complex Figure B: immediate and delayed recall </w:t>
            </w:r>
          </w:p>
          <w:p w:rsidR="0094016B" w:rsidRPr="009E6A08" w:rsidRDefault="00BE382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Luzzi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et al., 2011)</w:t>
            </w:r>
          </w:p>
        </w:tc>
      </w:tr>
      <w:tr w:rsidR="0094016B" w:rsidRPr="009E6A08" w:rsidTr="0094016B">
        <w:tc>
          <w:tcPr>
            <w:tcW w:w="252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547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94016B" w:rsidRPr="009E6A08" w:rsidRDefault="0094016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Fluency for semantic categories (Costa 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et al., 2014) </w:t>
            </w:r>
          </w:p>
        </w:tc>
      </w:tr>
      <w:tr w:rsidR="0094016B" w:rsidRPr="009E6A08" w:rsidTr="0094016B">
        <w:tc>
          <w:tcPr>
            <w:tcW w:w="252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4016B" w:rsidRPr="009E6A08" w:rsidRDefault="009401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5471" w:type="dxa"/>
            <w:hideMark/>
          </w:tcPr>
          <w:p w:rsidR="0094016B" w:rsidRPr="009E6A08" w:rsidRDefault="0094016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Phonemic Flue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ncy (FAS) (Costa et al., 2014) </w:t>
            </w:r>
          </w:p>
        </w:tc>
      </w:tr>
      <w:tr w:rsidR="0094016B" w:rsidRPr="009E6A08" w:rsidTr="0094016B">
        <w:tc>
          <w:tcPr>
            <w:tcW w:w="252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4016B" w:rsidRPr="009E6A08" w:rsidRDefault="009401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it-IT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94016B" w:rsidRPr="009E6A08" w:rsidRDefault="0094016B" w:rsidP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Noun Naming (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CAGI) (</w:t>
            </w:r>
            <w:proofErr w:type="spellStart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Catricalà</w:t>
            </w:r>
            <w:proofErr w:type="spellEnd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et al., 2013) </w:t>
            </w: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94016B" w:rsidRPr="009E6A08" w:rsidTr="0094016B">
        <w:tc>
          <w:tcPr>
            <w:tcW w:w="25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hideMark/>
          </w:tcPr>
          <w:p w:rsidR="0094016B" w:rsidRPr="009E6A08" w:rsidRDefault="0094016B">
            <w:pPr>
              <w:pStyle w:val="Normale1"/>
              <w:keepNext/>
              <w:keepLines/>
              <w:spacing w:line="240" w:lineRule="auto"/>
              <w:outlineLvl w:val="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GB"/>
              </w:rPr>
              <w:t>Visual constructional ability</w:t>
            </w:r>
          </w:p>
        </w:tc>
        <w:tc>
          <w:tcPr>
            <w:tcW w:w="547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016B" w:rsidRPr="009E6A08" w:rsidRDefault="0094016B" w:rsidP="0094016B">
            <w:pPr>
              <w:pStyle w:val="Normale1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Rey-</w:t>
            </w:r>
            <w:proofErr w:type="spellStart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Osterrieth</w:t>
            </w:r>
            <w:proofErr w:type="spellEnd"/>
            <w:r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Complex Figu</w:t>
            </w:r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re B copy (</w:t>
            </w:r>
            <w:proofErr w:type="spellStart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Luzzi</w:t>
            </w:r>
            <w:proofErr w:type="spellEnd"/>
            <w:r w:rsidR="00BE382B" w:rsidRPr="009E6A0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et al., 2011) </w:t>
            </w:r>
          </w:p>
        </w:tc>
      </w:tr>
    </w:tbl>
    <w:p w:rsidR="0094016B" w:rsidRPr="009E6A08" w:rsidRDefault="0094016B" w:rsidP="005E1F5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:rsidR="005E1F57" w:rsidRPr="009E6A08" w:rsidRDefault="005E1F57" w:rsidP="005E1F5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:rsidR="005E1F57" w:rsidRPr="009E6A08" w:rsidRDefault="005E1F57" w:rsidP="005E1F5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9E6A08">
        <w:rPr>
          <w:rFonts w:cstheme="minorHAnsi"/>
          <w:b/>
          <w:sz w:val="20"/>
          <w:szCs w:val="20"/>
          <w:shd w:val="clear" w:color="auto" w:fill="FFFFFF"/>
        </w:rPr>
        <w:t>Table</w:t>
      </w:r>
      <w:proofErr w:type="spellEnd"/>
      <w:r w:rsidRPr="009E6A08">
        <w:rPr>
          <w:rFonts w:cstheme="minorHAnsi"/>
          <w:b/>
          <w:sz w:val="20"/>
          <w:szCs w:val="20"/>
          <w:shd w:val="clear" w:color="auto" w:fill="FFFFFF"/>
        </w:rPr>
        <w:t xml:space="preserve"> B</w:t>
      </w:r>
      <w:r w:rsidR="0094016B" w:rsidRPr="009E6A08">
        <w:rPr>
          <w:rFonts w:cstheme="minorHAnsi"/>
          <w:sz w:val="20"/>
          <w:szCs w:val="20"/>
          <w:shd w:val="clear" w:color="auto" w:fill="FFFFFF"/>
        </w:rPr>
        <w:t>.</w:t>
      </w:r>
      <w:r w:rsidRPr="009E6A08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9E6A08">
        <w:rPr>
          <w:rFonts w:cstheme="minorHAnsi"/>
          <w:sz w:val="20"/>
          <w:szCs w:val="20"/>
          <w:shd w:val="clear" w:color="auto" w:fill="FFFFFF"/>
        </w:rPr>
        <w:t>ADLs</w:t>
      </w:r>
      <w:proofErr w:type="spellEnd"/>
    </w:p>
    <w:p w:rsidR="005E1F57" w:rsidRPr="009E6A08" w:rsidRDefault="005E1F57" w:rsidP="005E1F5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9788"/>
      </w:tblGrid>
      <w:tr w:rsidR="005E1F57" w:rsidRPr="009E6A08" w:rsidTr="00A913FA">
        <w:trPr>
          <w:trHeight w:val="256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tabs>
                <w:tab w:val="left" w:pos="1515"/>
              </w:tabs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</w:pPr>
            <w:r w:rsidRPr="009E6A08"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  <w:t xml:space="preserve">Treatment </w:t>
            </w:r>
            <w:proofErr w:type="spellStart"/>
            <w:r w:rsidRPr="009E6A08">
              <w:rPr>
                <w:rFonts w:eastAsia="Times New Roman" w:cstheme="minorHAnsi"/>
                <w:i/>
                <w:color w:val="000000"/>
                <w:sz w:val="20"/>
                <w:szCs w:val="20"/>
                <w:lang w:eastAsia="it-IT"/>
              </w:rPr>
              <w:t>actions</w:t>
            </w:r>
            <w:proofErr w:type="spellEnd"/>
          </w:p>
        </w:tc>
      </w:tr>
      <w:tr w:rsidR="005E1F57" w:rsidRPr="009E6A08" w:rsidTr="00A913FA">
        <w:trPr>
          <w:trHeight w:val="256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</w:pPr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  <w:t>Pick up, put on and fasten a jacket with zip</w:t>
            </w:r>
          </w:p>
        </w:tc>
      </w:tr>
      <w:tr w:rsidR="005E1F57" w:rsidRPr="009E6A08" w:rsidTr="00A913FA">
        <w:trPr>
          <w:trHeight w:val="256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</w:pPr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  <w:t>Take and read a magazine</w:t>
            </w:r>
          </w:p>
        </w:tc>
      </w:tr>
      <w:tr w:rsidR="005E1F57" w:rsidRPr="009E6A08" w:rsidTr="00A913FA">
        <w:trPr>
          <w:trHeight w:val="256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</w:pPr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  <w:t>Take the necessary amount and prepare a soluble chocolate</w:t>
            </w:r>
          </w:p>
        </w:tc>
      </w:tr>
      <w:tr w:rsidR="005E1F57" w:rsidRPr="009E6A08" w:rsidTr="00A913FA">
        <w:trPr>
          <w:trHeight w:val="242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Set the </w:t>
            </w:r>
            <w:proofErr w:type="spellStart"/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table</w:t>
            </w:r>
            <w:proofErr w:type="spellEnd"/>
          </w:p>
        </w:tc>
      </w:tr>
      <w:tr w:rsidR="005E1F57" w:rsidRPr="009E6A08" w:rsidTr="00A913FA">
        <w:trPr>
          <w:trHeight w:val="256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Draw</w:t>
            </w:r>
            <w:proofErr w:type="spellEnd"/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a star</w:t>
            </w:r>
          </w:p>
        </w:tc>
      </w:tr>
      <w:tr w:rsidR="005E1F57" w:rsidRPr="009E6A08" w:rsidTr="00A913FA">
        <w:trPr>
          <w:trHeight w:val="256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7" w:rsidRPr="009E6A08" w:rsidRDefault="005E1F57" w:rsidP="00A913F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</w:pPr>
            <w:r w:rsidRPr="009E6A08">
              <w:rPr>
                <w:rFonts w:eastAsia="Times New Roman" w:cstheme="minorHAnsi"/>
                <w:color w:val="000000"/>
                <w:sz w:val="20"/>
                <w:szCs w:val="20"/>
                <w:lang w:val="en-US" w:eastAsia="it-IT"/>
              </w:rPr>
              <w:t>Cut a piece of pong on a plate with knife</w:t>
            </w:r>
          </w:p>
        </w:tc>
      </w:tr>
    </w:tbl>
    <w:p w:rsidR="00D82C8E" w:rsidRPr="009E6A08" w:rsidRDefault="00D82C8E">
      <w:pPr>
        <w:rPr>
          <w:rFonts w:cstheme="minorHAnsi"/>
          <w:sz w:val="18"/>
          <w:szCs w:val="18"/>
        </w:rPr>
      </w:pPr>
    </w:p>
    <w:p w:rsidR="00BE382B" w:rsidRDefault="00BE382B" w:rsidP="0094016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color w:val="000000" w:themeColor="text1"/>
          <w:sz w:val="18"/>
          <w:szCs w:val="18"/>
          <w:lang w:val="en-US" w:eastAsia="it-IT"/>
        </w:rPr>
      </w:pPr>
      <w:r w:rsidRPr="00053C2E">
        <w:rPr>
          <w:rFonts w:ascii="Palatino Linotype" w:eastAsia="Times New Roman" w:hAnsi="Palatino Linotype" w:cs="Times New Roman"/>
          <w:b/>
          <w:bCs/>
          <w:color w:val="000000" w:themeColor="text1"/>
          <w:sz w:val="18"/>
          <w:szCs w:val="18"/>
          <w:lang w:val="en-US" w:eastAsia="it-IT"/>
        </w:rPr>
        <w:t>REFERENCES</w:t>
      </w:r>
      <w:r w:rsidRPr="00BE382B">
        <w:rPr>
          <w:rFonts w:ascii="Palatino Linotype" w:eastAsia="Times New Roman" w:hAnsi="Palatino Linotype" w:cstheme="minorHAnsi"/>
          <w:color w:val="000000" w:themeColor="text1"/>
          <w:sz w:val="18"/>
          <w:szCs w:val="18"/>
          <w:lang w:val="en-US" w:eastAsia="it-IT"/>
        </w:rPr>
        <w:t xml:space="preserve"> </w:t>
      </w:r>
    </w:p>
    <w:p w:rsidR="0094016B" w:rsidRPr="00BE382B" w:rsidRDefault="00F604CA" w:rsidP="00BE382B">
      <w:pPr>
        <w:shd w:val="clear" w:color="auto" w:fill="FFFFFF"/>
        <w:spacing w:after="0" w:line="240" w:lineRule="auto"/>
        <w:ind w:left="113" w:hanging="113"/>
        <w:jc w:val="both"/>
        <w:rPr>
          <w:rFonts w:ascii="Palatino Linotype" w:hAnsi="Palatino Linotype" w:cstheme="minorHAnsi"/>
          <w:color w:val="000000" w:themeColor="text1"/>
          <w:sz w:val="18"/>
          <w:szCs w:val="18"/>
        </w:rPr>
      </w:pP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Amodio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P., </w:t>
      </w: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Wenin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H., Del Piccolo, F., </w:t>
      </w: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Mapelli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D., </w:t>
      </w: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Montagnese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S., Pellegrini, A,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et al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.</w:t>
      </w:r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(</w:t>
      </w:r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>2002).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Variability of trail making test, symbol digit test and line trait test in normal people. A normative study taking into account age-dependent decline and so-</w:t>
      </w:r>
      <w:proofErr w:type="spellStart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ciobiological</w:t>
      </w:r>
      <w:proofErr w:type="spellEnd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variables. </w:t>
      </w:r>
      <w:proofErr w:type="spellStart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>Aging</w:t>
      </w:r>
      <w:proofErr w:type="spellEnd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 xml:space="preserve"> </w:t>
      </w:r>
      <w:proofErr w:type="spellStart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>Clin</w:t>
      </w:r>
      <w:proofErr w:type="spellEnd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 xml:space="preserve">. </w:t>
      </w:r>
      <w:proofErr w:type="spellStart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>Exp</w:t>
      </w:r>
      <w:proofErr w:type="spellEnd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>. Res.</w:t>
      </w:r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 xml:space="preserve"> </w:t>
      </w:r>
      <w:r w:rsidR="00EE04D2" w:rsidRPr="00BE382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14</w:t>
      </w:r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>,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 xml:space="preserve"> 117-131.</w:t>
      </w:r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 xml:space="preserve"> </w:t>
      </w:r>
      <w:proofErr w:type="spellStart"/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>doi</w:t>
      </w:r>
      <w:proofErr w:type="spellEnd"/>
      <w:r w:rsidR="00EE04D2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>: 10.1007/BF03324425</w:t>
      </w:r>
    </w:p>
    <w:p w:rsidR="0094016B" w:rsidRPr="00BE382B" w:rsidRDefault="00F604CA" w:rsidP="00BE382B">
      <w:pPr>
        <w:shd w:val="clear" w:color="auto" w:fill="FFFFFF"/>
        <w:spacing w:after="0" w:line="240" w:lineRule="auto"/>
        <w:ind w:left="113" w:hanging="113"/>
        <w:jc w:val="both"/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Caffarra</w:t>
      </w:r>
      <w:proofErr w:type="spellEnd"/>
      <w:r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 xml:space="preserve">, P., </w:t>
      </w:r>
      <w:proofErr w:type="spellStart"/>
      <w:r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Vezzadini</w:t>
      </w:r>
      <w:proofErr w:type="spellEnd"/>
      <w:r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, G., Dieci, F., Zonato, F., and</w:t>
      </w:r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Venneri</w:t>
      </w:r>
      <w:proofErr w:type="spellEnd"/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, A.</w:t>
      </w:r>
      <w:r w:rsidR="00E91668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, (</w:t>
      </w:r>
      <w:r w:rsidR="00E91668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  <w:lang w:val="en-US"/>
        </w:rPr>
        <w:t>2002).</w:t>
      </w:r>
      <w:r w:rsidR="00E91668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 xml:space="preserve"> Una versione abbre</w:t>
      </w:r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 xml:space="preserve">viata del test di </w:t>
      </w:r>
      <w:proofErr w:type="spellStart"/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Stroop</w:t>
      </w:r>
      <w:proofErr w:type="spellEnd"/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 xml:space="preserve">: Dati normativi nella popolazione italiana. </w:t>
      </w:r>
      <w:r w:rsidR="0094016B" w:rsidRPr="0000585B">
        <w:rPr>
          <w:rFonts w:ascii="Palatino Linotype" w:hAnsi="Palatino Linotype" w:cstheme="minorHAnsi"/>
          <w:b/>
          <w:i/>
          <w:color w:val="000000" w:themeColor="text1"/>
          <w:sz w:val="18"/>
          <w:szCs w:val="18"/>
          <w:lang w:val="en-US"/>
        </w:rPr>
        <w:t>Riv. Neurol.</w:t>
      </w:r>
      <w:r w:rsidR="0094016B" w:rsidRPr="0000585B">
        <w:rPr>
          <w:rFonts w:ascii="Palatino Linotype" w:hAnsi="Palatino Linotype" w:cstheme="minorHAnsi"/>
          <w:b/>
          <w:color w:val="000000" w:themeColor="text1"/>
          <w:sz w:val="18"/>
          <w:szCs w:val="18"/>
          <w:lang w:val="en-US"/>
        </w:rPr>
        <w:t>, 12, 111-115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.</w:t>
      </w:r>
    </w:p>
    <w:p w:rsidR="0094016B" w:rsidRPr="00BE382B" w:rsidRDefault="00F604CA" w:rsidP="00BE382B">
      <w:pPr>
        <w:shd w:val="clear" w:color="auto" w:fill="FFFFFF"/>
        <w:spacing w:after="0" w:line="240" w:lineRule="auto"/>
        <w:ind w:left="113" w:hanging="113"/>
        <w:jc w:val="both"/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Laiacona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M.,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Inzaghi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M.G., De Tanti, A., and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Capitani</w:t>
      </w:r>
      <w:proofErr w:type="spellEnd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E.</w:t>
      </w:r>
      <w:r w:rsidR="00E91668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(2000</w:t>
      </w:r>
      <w:r w:rsidR="00E91668" w:rsidRPr="00BE382B">
        <w:rPr>
          <w:rFonts w:ascii="Palatino Linotype" w:hAnsi="Palatino Linotype" w:cstheme="minorHAnsi"/>
          <w:b/>
          <w:color w:val="000000" w:themeColor="text1"/>
          <w:sz w:val="18"/>
          <w:szCs w:val="18"/>
          <w:lang w:val="en-US"/>
        </w:rPr>
        <w:t>)</w:t>
      </w:r>
      <w:r w:rsidR="00C36E04" w:rsidRPr="00BE382B">
        <w:rPr>
          <w:rFonts w:ascii="Palatino Linotype" w:hAnsi="Palatino Linotype" w:cstheme="minorHAnsi"/>
          <w:b/>
          <w:color w:val="000000" w:themeColor="text1"/>
          <w:sz w:val="18"/>
          <w:szCs w:val="18"/>
          <w:lang w:val="en-US"/>
        </w:rPr>
        <w:t>.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Wisconsin card sorting test: A new global score, with Italian norms, and its relationship with the </w:t>
      </w:r>
      <w:proofErr w:type="spellStart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Weigl</w:t>
      </w:r>
      <w:proofErr w:type="spellEnd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sorting test.</w:t>
      </w:r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  <w:lang w:val="en-US"/>
        </w:rPr>
        <w:t>Neu-rol</w:t>
      </w:r>
      <w:proofErr w:type="spellEnd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  <w:lang w:val="en-US"/>
        </w:rPr>
        <w:t>. Sci.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</w:t>
      </w:r>
      <w:r w:rsidR="0094016B" w:rsidRPr="00BE382B">
        <w:rPr>
          <w:rFonts w:ascii="Palatino Linotype" w:hAnsi="Palatino Linotype" w:cstheme="minorHAnsi"/>
          <w:b/>
          <w:color w:val="000000" w:themeColor="text1"/>
          <w:sz w:val="18"/>
          <w:szCs w:val="18"/>
          <w:lang w:val="en-US"/>
        </w:rPr>
        <w:t>21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279-291.</w:t>
      </w:r>
      <w:r w:rsidR="00E91668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E91668" w:rsidRPr="00BE382B">
        <w:rPr>
          <w:rFonts w:ascii="Palatino Linotype" w:hAnsi="Palatino Linotype" w:cstheme="minorHAnsi"/>
          <w:sz w:val="18"/>
          <w:szCs w:val="18"/>
          <w:shd w:val="clear" w:color="auto" w:fill="FFFFFF"/>
        </w:rPr>
        <w:t>doi</w:t>
      </w:r>
      <w:proofErr w:type="spellEnd"/>
      <w:r w:rsidR="00E91668" w:rsidRPr="00BE382B">
        <w:rPr>
          <w:rFonts w:ascii="Palatino Linotype" w:hAnsi="Palatino Linotype" w:cstheme="minorHAnsi"/>
          <w:sz w:val="18"/>
          <w:szCs w:val="18"/>
          <w:shd w:val="clear" w:color="auto" w:fill="FFFFFF"/>
        </w:rPr>
        <w:t>: 10.1007/s100720070065</w:t>
      </w:r>
    </w:p>
    <w:p w:rsidR="0094016B" w:rsidRPr="00BE382B" w:rsidRDefault="0094016B" w:rsidP="00BE382B">
      <w:pPr>
        <w:shd w:val="clear" w:color="auto" w:fill="FFFFFF"/>
        <w:spacing w:after="0" w:line="240" w:lineRule="auto"/>
        <w:ind w:left="113" w:hanging="113"/>
        <w:jc w:val="both"/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</w:pPr>
      <w:proofErr w:type="spellStart"/>
      <w:r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Gai</w:t>
      </w:r>
      <w:r w:rsidR="00F604CA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notti</w:t>
      </w:r>
      <w:proofErr w:type="spellEnd"/>
      <w:r w:rsidR="00F604CA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G., </w:t>
      </w:r>
      <w:proofErr w:type="spellStart"/>
      <w:r w:rsidR="00F604CA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Marra</w:t>
      </w:r>
      <w:proofErr w:type="spellEnd"/>
      <w:r w:rsidR="00F604CA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C., and Villa, G.</w:t>
      </w:r>
      <w:r w:rsidR="00E91668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(2001)</w:t>
      </w:r>
      <w:r w:rsidR="00C36E04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.</w:t>
      </w:r>
      <w:r w:rsidR="00E91668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r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A double dissociation between accuracy and time of execution on attentional tasks in Alzheimer’s disease and multi-infarct dementia. </w:t>
      </w:r>
      <w:r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  <w:lang w:val="en-US"/>
        </w:rPr>
        <w:t>Brain</w:t>
      </w:r>
      <w:r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</w:t>
      </w:r>
      <w:r w:rsidRPr="00BE382B">
        <w:rPr>
          <w:rFonts w:ascii="Palatino Linotype" w:hAnsi="Palatino Linotype" w:cstheme="minorHAnsi"/>
          <w:b/>
          <w:color w:val="000000" w:themeColor="text1"/>
          <w:sz w:val="18"/>
          <w:szCs w:val="18"/>
          <w:lang w:val="en-US"/>
        </w:rPr>
        <w:t>124</w:t>
      </w:r>
      <w:r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731-738.</w:t>
      </w:r>
      <w:r w:rsidR="00E91668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E91668" w:rsidRPr="00BE382B">
        <w:rPr>
          <w:rFonts w:ascii="Palatino Linotype" w:hAnsi="Palatino Linotype" w:cstheme="minorHAnsi"/>
          <w:sz w:val="18"/>
          <w:szCs w:val="18"/>
          <w:shd w:val="clear" w:color="auto" w:fill="FFFFFF"/>
        </w:rPr>
        <w:t>doi</w:t>
      </w:r>
      <w:proofErr w:type="spellEnd"/>
      <w:r w:rsidR="00E91668" w:rsidRPr="00BE382B">
        <w:rPr>
          <w:rFonts w:ascii="Palatino Linotype" w:hAnsi="Palatino Linotype" w:cstheme="minorHAnsi"/>
          <w:sz w:val="18"/>
          <w:szCs w:val="18"/>
          <w:shd w:val="clear" w:color="auto" w:fill="FFFFFF"/>
        </w:rPr>
        <w:t>: 10.1093/brain/124.4.731</w:t>
      </w:r>
    </w:p>
    <w:p w:rsidR="0094016B" w:rsidRPr="00BE382B" w:rsidRDefault="00F604CA" w:rsidP="00BE382B">
      <w:pPr>
        <w:pStyle w:val="MDPI21heading1"/>
        <w:spacing w:before="0" w:after="0" w:line="240" w:lineRule="auto"/>
        <w:ind w:left="113" w:hanging="113"/>
        <w:jc w:val="both"/>
        <w:rPr>
          <w:rFonts w:cstheme="minorHAnsi"/>
          <w:b w:val="0"/>
          <w:color w:val="000000" w:themeColor="text1"/>
          <w:sz w:val="18"/>
          <w:szCs w:val="18"/>
        </w:rPr>
      </w:pP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Appollonio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 xml:space="preserve">, I., Leone, M.,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Isella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 xml:space="preserve">, V.,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Piamarta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>, F.,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Consoli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>, T., Villa, M.L.,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</w:t>
      </w:r>
      <w:r>
        <w:rPr>
          <w:rFonts w:cstheme="minorHAnsi"/>
          <w:b w:val="0"/>
          <w:color w:val="000000" w:themeColor="text1"/>
          <w:sz w:val="18"/>
          <w:szCs w:val="18"/>
        </w:rPr>
        <w:t>et al.</w:t>
      </w:r>
      <w:r w:rsidR="00E91668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(2005</w:t>
      </w:r>
      <w:r w:rsidR="00E91668" w:rsidRPr="00BE382B">
        <w:rPr>
          <w:rFonts w:cstheme="minorHAnsi"/>
          <w:color w:val="000000" w:themeColor="text1"/>
          <w:sz w:val="18"/>
          <w:szCs w:val="18"/>
        </w:rPr>
        <w:t xml:space="preserve">). 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The Frontal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Assesment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Battery (FAB): Normative values in an Ital-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ian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population sample. </w:t>
      </w:r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</w:rPr>
        <w:t>Neurol. Sci.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,</w:t>
      </w:r>
      <w:r w:rsidR="00E91668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</w:t>
      </w:r>
      <w:r w:rsidR="00E91668" w:rsidRPr="00BE382B">
        <w:rPr>
          <w:rFonts w:cstheme="minorHAnsi"/>
          <w:color w:val="000000" w:themeColor="text1"/>
          <w:sz w:val="18"/>
          <w:szCs w:val="18"/>
        </w:rPr>
        <w:t>26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, 108-116. </w:t>
      </w:r>
      <w:proofErr w:type="spellStart"/>
      <w:r w:rsidR="00E91668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doi</w:t>
      </w:r>
      <w:proofErr w:type="spellEnd"/>
      <w:r w:rsidR="00E91668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: 10.1007/s10072-005-0443-4</w:t>
      </w:r>
    </w:p>
    <w:p w:rsidR="0094016B" w:rsidRPr="00BE382B" w:rsidRDefault="00F604CA" w:rsidP="00BE382B">
      <w:pPr>
        <w:pStyle w:val="MDPI21heading1"/>
        <w:spacing w:before="0" w:after="0" w:line="240" w:lineRule="auto"/>
        <w:ind w:left="113" w:hanging="113"/>
        <w:jc w:val="both"/>
        <w:rPr>
          <w:rFonts w:cstheme="minorHAnsi"/>
          <w:b w:val="0"/>
          <w:color w:val="000000" w:themeColor="text1"/>
          <w:sz w:val="18"/>
          <w:szCs w:val="18"/>
        </w:rPr>
      </w:pPr>
      <w:r>
        <w:rPr>
          <w:rFonts w:cstheme="minorHAnsi"/>
          <w:b w:val="0"/>
          <w:color w:val="000000" w:themeColor="text1"/>
          <w:sz w:val="18"/>
          <w:szCs w:val="18"/>
        </w:rPr>
        <w:t xml:space="preserve">Monaco, M., Costa, A.,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Caltagirone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>, C., and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Carlesimo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, G.A.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(2013).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Forward and backward span for verbal and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visuo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-spatial data: Standardization and normative data from an Italian adult population. </w:t>
      </w:r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</w:rPr>
        <w:t>Neurol. Sci.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, </w:t>
      </w:r>
      <w:r w:rsidR="0094016B" w:rsidRPr="00BE382B">
        <w:rPr>
          <w:rFonts w:cstheme="minorHAnsi"/>
          <w:color w:val="000000" w:themeColor="text1"/>
          <w:sz w:val="18"/>
          <w:szCs w:val="18"/>
        </w:rPr>
        <w:t>34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, 749-754. </w:t>
      </w:r>
      <w:proofErr w:type="spellStart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doi</w:t>
      </w:r>
      <w:proofErr w:type="spellEnd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: 10.1007/s10072-012-1130-x</w:t>
      </w:r>
    </w:p>
    <w:p w:rsidR="0094016B" w:rsidRPr="00BE382B" w:rsidRDefault="00F604CA" w:rsidP="00BE382B">
      <w:pPr>
        <w:pStyle w:val="MDPI21heading1"/>
        <w:spacing w:before="0" w:after="0" w:line="240" w:lineRule="auto"/>
        <w:ind w:left="113" w:hanging="113"/>
        <w:jc w:val="both"/>
        <w:rPr>
          <w:rFonts w:cstheme="minorHAnsi"/>
          <w:b w:val="0"/>
          <w:color w:val="000000" w:themeColor="text1"/>
          <w:sz w:val="18"/>
          <w:szCs w:val="18"/>
          <w:lang w:val="it-IT"/>
        </w:rPr>
      </w:pP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Carlesimo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>, G.A.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Caltagirone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, C.</w:t>
      </w:r>
      <w:r>
        <w:rPr>
          <w:rFonts w:cstheme="minorHAnsi"/>
          <w:b w:val="0"/>
          <w:color w:val="000000" w:themeColor="text1"/>
          <w:sz w:val="18"/>
          <w:szCs w:val="18"/>
        </w:rPr>
        <w:t xml:space="preserve">, and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Gainotti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, G.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(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1996)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</w:rPr>
        <w:t>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The Mental Deterioration Battery: Normative data, diagnostic reliability and qualitative analyses of cognitive impairment. The Group for the Standardization of the Mental Deterioration Battery. </w:t>
      </w:r>
      <w:proofErr w:type="spellStart"/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  <w:lang w:val="it-IT"/>
        </w:rPr>
        <w:t>Eur</w:t>
      </w:r>
      <w:proofErr w:type="spellEnd"/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  <w:lang w:val="it-IT"/>
        </w:rPr>
        <w:t xml:space="preserve">. </w:t>
      </w:r>
      <w:proofErr w:type="spellStart"/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  <w:lang w:val="it-IT"/>
        </w:rPr>
        <w:t>Neurol</w:t>
      </w:r>
      <w:proofErr w:type="spellEnd"/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  <w:lang w:val="it-IT"/>
        </w:rPr>
        <w:t>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, </w:t>
      </w:r>
      <w:r w:rsidR="0094016B" w:rsidRPr="00BE382B">
        <w:rPr>
          <w:rFonts w:cstheme="minorHAnsi"/>
          <w:color w:val="000000" w:themeColor="text1"/>
          <w:sz w:val="18"/>
          <w:szCs w:val="18"/>
          <w:lang w:val="it-IT"/>
        </w:rPr>
        <w:t>36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, 378-384. </w:t>
      </w:r>
      <w:proofErr w:type="spellStart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doi</w:t>
      </w:r>
      <w:proofErr w:type="spellEnd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: 10.1159/000117297</w:t>
      </w:r>
    </w:p>
    <w:p w:rsidR="0094016B" w:rsidRPr="00BE382B" w:rsidRDefault="00F604CA" w:rsidP="00BE382B">
      <w:pPr>
        <w:pStyle w:val="MDPI21heading1"/>
        <w:spacing w:before="0" w:after="0" w:line="240" w:lineRule="auto"/>
        <w:ind w:left="113" w:hanging="113"/>
        <w:jc w:val="both"/>
        <w:rPr>
          <w:rFonts w:cstheme="minorHAnsi"/>
          <w:b w:val="0"/>
          <w:color w:val="000000" w:themeColor="text1"/>
          <w:sz w:val="18"/>
          <w:szCs w:val="18"/>
        </w:rPr>
      </w:pPr>
      <w:r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Luzzi, S.,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  <w:lang w:val="it-IT"/>
        </w:rPr>
        <w:t>Pesallaccia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, M.,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  <w:lang w:val="it-IT"/>
        </w:rPr>
        <w:t>Fabi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  <w:lang w:val="it-IT"/>
        </w:rPr>
        <w:t>, K., Muti, M., Viticchi, G., Provinciali, L., et al.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(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</w:rPr>
        <w:t>2011)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Non-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verbal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memory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measured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by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Rey-Osterrieth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>Complex</w:t>
      </w:r>
      <w:proofErr w:type="spellEnd"/>
      <w:r w:rsidR="0094016B" w:rsidRPr="00BE382B">
        <w:rPr>
          <w:rFonts w:cstheme="minorHAnsi"/>
          <w:b w:val="0"/>
          <w:color w:val="000000" w:themeColor="text1"/>
          <w:sz w:val="18"/>
          <w:szCs w:val="18"/>
          <w:lang w:val="it-IT"/>
        </w:rPr>
        <w:t xml:space="preserve"> Figure B: Normative data. </w:t>
      </w:r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</w:rPr>
        <w:t>Neurol. Sci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., </w:t>
      </w:r>
      <w:r w:rsidR="0094016B" w:rsidRPr="00BE382B">
        <w:rPr>
          <w:rFonts w:cstheme="minorHAnsi"/>
          <w:color w:val="000000" w:themeColor="text1"/>
          <w:sz w:val="18"/>
          <w:szCs w:val="18"/>
        </w:rPr>
        <w:t>32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, 1081-1089. </w:t>
      </w:r>
      <w:proofErr w:type="spellStart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doi</w:t>
      </w:r>
      <w:proofErr w:type="spellEnd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: 10.1007/s10072-011-0641-1</w:t>
      </w:r>
    </w:p>
    <w:p w:rsidR="0094016B" w:rsidRPr="00BE382B" w:rsidRDefault="00BB39A3" w:rsidP="00BE382B">
      <w:pPr>
        <w:pStyle w:val="MDPI21heading1"/>
        <w:spacing w:before="0" w:after="0" w:line="240" w:lineRule="auto"/>
        <w:ind w:left="113" w:hanging="113"/>
        <w:jc w:val="both"/>
        <w:rPr>
          <w:rFonts w:cstheme="minorHAnsi"/>
          <w:b w:val="0"/>
          <w:color w:val="000000" w:themeColor="text1"/>
          <w:sz w:val="18"/>
          <w:szCs w:val="18"/>
        </w:rPr>
      </w:pPr>
      <w:r>
        <w:rPr>
          <w:rFonts w:cstheme="minorHAnsi"/>
          <w:b w:val="0"/>
          <w:color w:val="000000" w:themeColor="text1"/>
          <w:sz w:val="18"/>
          <w:szCs w:val="18"/>
        </w:rPr>
        <w:lastRenderedPageBreak/>
        <w:t>Costa, A.,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Bagoj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 xml:space="preserve">, E., Monaco, M.,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Zabberoni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>
        <w:rPr>
          <w:rFonts w:cstheme="minorHAnsi"/>
          <w:b w:val="0"/>
          <w:color w:val="000000" w:themeColor="text1"/>
          <w:sz w:val="18"/>
          <w:szCs w:val="18"/>
        </w:rPr>
        <w:t>S.,De</w:t>
      </w:r>
      <w:proofErr w:type="spellEnd"/>
      <w:proofErr w:type="gramEnd"/>
      <w:r>
        <w:rPr>
          <w:rFonts w:cstheme="minorHAnsi"/>
          <w:b w:val="0"/>
          <w:color w:val="000000" w:themeColor="text1"/>
          <w:sz w:val="18"/>
          <w:szCs w:val="18"/>
        </w:rPr>
        <w:t xml:space="preserve"> Rosa, S., </w:t>
      </w:r>
      <w:proofErr w:type="spellStart"/>
      <w:r>
        <w:rPr>
          <w:rFonts w:cstheme="minorHAnsi"/>
          <w:b w:val="0"/>
          <w:color w:val="000000" w:themeColor="text1"/>
          <w:sz w:val="18"/>
          <w:szCs w:val="18"/>
        </w:rPr>
        <w:t>Papantonio</w:t>
      </w:r>
      <w:proofErr w:type="spellEnd"/>
      <w:r>
        <w:rPr>
          <w:rFonts w:cstheme="minorHAnsi"/>
          <w:b w:val="0"/>
          <w:color w:val="000000" w:themeColor="text1"/>
          <w:sz w:val="18"/>
          <w:szCs w:val="18"/>
        </w:rPr>
        <w:t>, A.M., et al.</w:t>
      </w:r>
      <w:r w:rsidR="00C36E04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(2014).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 Standardization and normative data obtained the Italian population for a new verbal fluency instrument, the phonemic/semantic alternate fluency test. </w:t>
      </w:r>
      <w:r w:rsidR="0094016B" w:rsidRPr="00BE382B">
        <w:rPr>
          <w:rFonts w:cstheme="minorHAnsi"/>
          <w:b w:val="0"/>
          <w:i/>
          <w:color w:val="000000" w:themeColor="text1"/>
          <w:sz w:val="18"/>
          <w:szCs w:val="18"/>
        </w:rPr>
        <w:t>Neurol. Sci.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 xml:space="preserve">, </w:t>
      </w:r>
      <w:r w:rsidR="0094016B" w:rsidRPr="00BE382B">
        <w:rPr>
          <w:rFonts w:cstheme="minorHAnsi"/>
          <w:color w:val="000000" w:themeColor="text1"/>
          <w:sz w:val="18"/>
          <w:szCs w:val="18"/>
        </w:rPr>
        <w:t>35</w:t>
      </w:r>
      <w:r w:rsidR="0094016B" w:rsidRPr="00BE382B">
        <w:rPr>
          <w:rFonts w:cstheme="minorHAnsi"/>
          <w:b w:val="0"/>
          <w:color w:val="000000" w:themeColor="text1"/>
          <w:sz w:val="18"/>
          <w:szCs w:val="18"/>
        </w:rPr>
        <w:t>, 365-372</w:t>
      </w:r>
      <w:r w:rsidR="0094016B" w:rsidRPr="00BE382B">
        <w:rPr>
          <w:rFonts w:cstheme="minorHAnsi"/>
          <w:b w:val="0"/>
          <w:color w:val="auto"/>
          <w:sz w:val="18"/>
          <w:szCs w:val="18"/>
        </w:rPr>
        <w:t xml:space="preserve">. </w:t>
      </w:r>
      <w:proofErr w:type="spellStart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doi</w:t>
      </w:r>
      <w:proofErr w:type="spellEnd"/>
      <w:r w:rsidR="00C36E04" w:rsidRPr="00BE382B">
        <w:rPr>
          <w:rFonts w:cstheme="minorHAnsi"/>
          <w:b w:val="0"/>
          <w:color w:val="auto"/>
          <w:sz w:val="18"/>
          <w:szCs w:val="18"/>
          <w:shd w:val="clear" w:color="auto" w:fill="FFFFFF"/>
        </w:rPr>
        <w:t>: 10.1007/s10072-013-1520-8</w:t>
      </w:r>
    </w:p>
    <w:p w:rsidR="0094016B" w:rsidRPr="00BE382B" w:rsidRDefault="00BB39A3" w:rsidP="00BE382B">
      <w:pPr>
        <w:shd w:val="clear" w:color="auto" w:fill="FFFFFF"/>
        <w:spacing w:after="0" w:line="240" w:lineRule="auto"/>
        <w:ind w:left="113" w:hanging="113"/>
        <w:jc w:val="both"/>
        <w:rPr>
          <w:rFonts w:ascii="Palatino Linotype" w:hAnsi="Palatino Linotype" w:cstheme="minorHAnsi"/>
          <w:color w:val="000000" w:themeColor="text1"/>
          <w:sz w:val="18"/>
          <w:szCs w:val="18"/>
        </w:rPr>
      </w:pP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Catricalà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E., Della Rosa, P.A., </w:t>
      </w: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Ginex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V., </w:t>
      </w: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Mussetti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, Z., </w:t>
      </w:r>
      <w:proofErr w:type="spellStart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Plebani</w:t>
      </w:r>
      <w:proofErr w:type="spellEnd"/>
      <w:r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V.,</w:t>
      </w:r>
      <w:bookmarkStart w:id="0" w:name="_GoBack"/>
      <w:bookmarkEnd w:id="0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Cappa</w:t>
      </w:r>
      <w:proofErr w:type="spellEnd"/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S.F.</w:t>
      </w:r>
      <w:r w:rsidR="00C36E04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>, (</w:t>
      </w:r>
      <w:r w:rsidR="00C36E04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>2013).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  <w:lang w:val="en-US"/>
        </w:rPr>
        <w:t xml:space="preserve"> An Italian battery for the assessment of semantic memory disorders. </w:t>
      </w:r>
      <w:proofErr w:type="spellStart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>Neurol</w:t>
      </w:r>
      <w:proofErr w:type="spellEnd"/>
      <w:r w:rsidR="0094016B" w:rsidRPr="00BE382B">
        <w:rPr>
          <w:rFonts w:ascii="Palatino Linotype" w:hAnsi="Palatino Linotype" w:cstheme="minorHAnsi"/>
          <w:i/>
          <w:color w:val="000000" w:themeColor="text1"/>
          <w:sz w:val="18"/>
          <w:szCs w:val="18"/>
        </w:rPr>
        <w:t>. Sci.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 xml:space="preserve">, </w:t>
      </w:r>
      <w:r w:rsidR="0094016B" w:rsidRPr="00BE382B">
        <w:rPr>
          <w:rFonts w:ascii="Palatino Linotype" w:hAnsi="Palatino Linotype" w:cstheme="minorHAnsi"/>
          <w:b/>
          <w:color w:val="000000" w:themeColor="text1"/>
          <w:sz w:val="18"/>
          <w:szCs w:val="18"/>
        </w:rPr>
        <w:t>34</w:t>
      </w:r>
      <w:r w:rsidR="0094016B" w:rsidRPr="00BE382B">
        <w:rPr>
          <w:rFonts w:ascii="Palatino Linotype" w:hAnsi="Palatino Linotype" w:cstheme="minorHAnsi"/>
          <w:color w:val="000000" w:themeColor="text1"/>
          <w:sz w:val="18"/>
          <w:szCs w:val="18"/>
        </w:rPr>
        <w:t>, 985-993</w:t>
      </w:r>
      <w:r w:rsidR="0094016B" w:rsidRPr="00BE382B">
        <w:rPr>
          <w:rFonts w:ascii="Palatino Linotype" w:hAnsi="Palatino Linotype" w:cstheme="minorHAnsi"/>
          <w:sz w:val="18"/>
          <w:szCs w:val="18"/>
        </w:rPr>
        <w:t>.</w:t>
      </w:r>
      <w:r w:rsidR="00C36E04" w:rsidRPr="00BE382B">
        <w:rPr>
          <w:rFonts w:ascii="Palatino Linotype" w:hAnsi="Palatino Linotype" w:cstheme="minorHAnsi"/>
          <w:sz w:val="18"/>
          <w:szCs w:val="18"/>
        </w:rPr>
        <w:t xml:space="preserve"> </w:t>
      </w:r>
      <w:proofErr w:type="spellStart"/>
      <w:r w:rsidR="00C36E04" w:rsidRPr="00BE382B">
        <w:rPr>
          <w:rFonts w:ascii="Palatino Linotype" w:hAnsi="Palatino Linotype" w:cstheme="minorHAnsi"/>
          <w:sz w:val="18"/>
          <w:szCs w:val="18"/>
          <w:shd w:val="clear" w:color="auto" w:fill="FFFFFF"/>
        </w:rPr>
        <w:t>doi</w:t>
      </w:r>
      <w:proofErr w:type="spellEnd"/>
      <w:r w:rsidR="00C36E04" w:rsidRPr="00BE382B">
        <w:rPr>
          <w:rFonts w:ascii="Palatino Linotype" w:hAnsi="Palatino Linotype" w:cstheme="minorHAnsi"/>
          <w:sz w:val="18"/>
          <w:szCs w:val="18"/>
          <w:shd w:val="clear" w:color="auto" w:fill="FFFFFF"/>
        </w:rPr>
        <w:t>: 10.1007/s10072-012-1181-z</w:t>
      </w:r>
    </w:p>
    <w:p w:rsidR="0094016B" w:rsidRPr="00BE382B" w:rsidRDefault="0094016B">
      <w:pPr>
        <w:rPr>
          <w:rFonts w:cstheme="minorHAnsi"/>
          <w:sz w:val="20"/>
          <w:szCs w:val="20"/>
        </w:rPr>
      </w:pPr>
    </w:p>
    <w:sectPr w:rsidR="0094016B" w:rsidRPr="00BE3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7"/>
    <w:rsid w:val="0000585B"/>
    <w:rsid w:val="00492F9E"/>
    <w:rsid w:val="005E1F57"/>
    <w:rsid w:val="00920972"/>
    <w:rsid w:val="0094016B"/>
    <w:rsid w:val="009E6A08"/>
    <w:rsid w:val="00BB39A3"/>
    <w:rsid w:val="00BE382B"/>
    <w:rsid w:val="00C36E04"/>
    <w:rsid w:val="00D82C8E"/>
    <w:rsid w:val="00E91668"/>
    <w:rsid w:val="00EE04D2"/>
    <w:rsid w:val="00F604CA"/>
    <w:rsid w:val="00F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FCB8"/>
  <w15:chartTrackingRefBased/>
  <w15:docId w15:val="{3855C068-BDC3-4F97-8E4D-61FDCBE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2heading2">
    <w:name w:val="MDPI_2.2_heading2"/>
    <w:qFormat/>
    <w:rsid w:val="0094016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customStyle="1" w:styleId="Normale1">
    <w:name w:val="Normale1"/>
    <w:rsid w:val="0094016B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8">
    <w:name w:val="8"/>
    <w:basedOn w:val="Tabellanormale"/>
    <w:rsid w:val="0094016B"/>
    <w:pP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4016B"/>
    <w:rPr>
      <w:color w:val="0000FF"/>
      <w:u w:val="single"/>
    </w:rPr>
  </w:style>
  <w:style w:type="character" w:customStyle="1" w:styleId="authors-list-item2">
    <w:name w:val="authors-list-item2"/>
    <w:basedOn w:val="Carpredefinitoparagrafo"/>
    <w:rsid w:val="0094016B"/>
  </w:style>
  <w:style w:type="character" w:customStyle="1" w:styleId="comma">
    <w:name w:val="comma"/>
    <w:basedOn w:val="Carpredefinitoparagrafo"/>
    <w:rsid w:val="0094016B"/>
  </w:style>
  <w:style w:type="paragraph" w:customStyle="1" w:styleId="MDPI21heading1">
    <w:name w:val="MDPI_2.1_heading1"/>
    <w:qFormat/>
    <w:rsid w:val="0094016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Ambulatorio Psicologia</dc:creator>
  <cp:keywords/>
  <dc:description/>
  <cp:lastModifiedBy>Ambulatorio Psicologia</cp:lastModifiedBy>
  <cp:revision>4</cp:revision>
  <dcterms:created xsi:type="dcterms:W3CDTF">2024-04-02T14:39:00Z</dcterms:created>
  <dcterms:modified xsi:type="dcterms:W3CDTF">2024-07-09T11:20:00Z</dcterms:modified>
</cp:coreProperties>
</file>