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C4" w:rsidRPr="00FA29C4" w:rsidRDefault="00FA29C4" w:rsidP="00FA29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29C4">
        <w:rPr>
          <w:rFonts w:ascii="Times New Roman" w:hAnsi="Times New Roman" w:cs="Times New Roman"/>
          <w:b/>
          <w:sz w:val="24"/>
          <w:szCs w:val="24"/>
          <w:lang w:val="en-US"/>
        </w:rPr>
        <w:t>SUPPORTING INFORMATION</w:t>
      </w:r>
    </w:p>
    <w:p w:rsidR="00FA29C4" w:rsidRDefault="00FA29C4" w:rsidP="00FA29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29C4" w:rsidRPr="00FA29C4" w:rsidRDefault="00FA29C4" w:rsidP="00FA2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9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Investigation of photophysical properties and potential biological applications of </w:t>
      </w:r>
      <w:r w:rsidRPr="00FA29C4">
        <w:rPr>
          <w:rFonts w:ascii="Times New Roman" w:hAnsi="Times New Roman" w:cs="Times New Roman"/>
          <w:b/>
          <w:sz w:val="24"/>
          <w:szCs w:val="24"/>
        </w:rPr>
        <w:t xml:space="preserve">substituted </w:t>
      </w:r>
      <w:proofErr w:type="gramStart"/>
      <w:r w:rsidRPr="00FA29C4">
        <w:rPr>
          <w:rFonts w:ascii="Times New Roman" w:hAnsi="Times New Roman" w:cs="Times New Roman"/>
          <w:b/>
          <w:sz w:val="24"/>
          <w:szCs w:val="24"/>
        </w:rPr>
        <w:t>Tris(</w:t>
      </w:r>
      <w:proofErr w:type="gramEnd"/>
      <w:r w:rsidRPr="00FA29C4">
        <w:rPr>
          <w:rFonts w:ascii="Times New Roman" w:hAnsi="Times New Roman" w:cs="Times New Roman"/>
          <w:b/>
          <w:sz w:val="24"/>
          <w:szCs w:val="24"/>
        </w:rPr>
        <w:t>polypyridyl)ruthenium(II) complexes</w:t>
      </w:r>
    </w:p>
    <w:p w:rsidR="00FA29C4" w:rsidRPr="00FA29C4" w:rsidRDefault="00FA29C4" w:rsidP="00FA29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29C4">
        <w:rPr>
          <w:rFonts w:ascii="Times New Roman" w:hAnsi="Times New Roman" w:cs="Times New Roman"/>
          <w:sz w:val="24"/>
          <w:szCs w:val="24"/>
        </w:rPr>
        <w:t xml:space="preserve">T.Sumitha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Celin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 xml:space="preserve">, </w:t>
      </w:r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29C4">
        <w:rPr>
          <w:rFonts w:ascii="Times New Roman" w:hAnsi="Times New Roman" w:cs="Times New Roman"/>
          <w:sz w:val="24"/>
          <w:szCs w:val="24"/>
        </w:rPr>
        <w:t xml:space="preserve">G.Allen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Gnana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 xml:space="preserve"> Raj, </w:t>
      </w:r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29C4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Pr="00FA29C4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Prathima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 xml:space="preserve">, </w:t>
      </w:r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29C4">
        <w:rPr>
          <w:rFonts w:ascii="Times New Roman" w:hAnsi="Times New Roman" w:cs="Times New Roman"/>
          <w:sz w:val="24"/>
          <w:szCs w:val="24"/>
        </w:rPr>
        <w:t xml:space="preserve">M. M.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Balamurali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>*</w:t>
      </w:r>
    </w:p>
    <w:p w:rsidR="00FA29C4" w:rsidRPr="00FA29C4" w:rsidRDefault="00FA29C4" w:rsidP="00FA2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29C4">
        <w:rPr>
          <w:rFonts w:ascii="Times New Roman" w:hAnsi="Times New Roman" w:cs="Times New Roman"/>
          <w:sz w:val="24"/>
          <w:szCs w:val="24"/>
        </w:rPr>
        <w:t xml:space="preserve">Department of Chemistry &amp; Research Centre, Scott Christian College (Autonomous),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Nagercoil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>, India</w:t>
      </w:r>
    </w:p>
    <w:p w:rsidR="00FA29C4" w:rsidRPr="00FA29C4" w:rsidRDefault="00FA29C4" w:rsidP="00FA2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29C4">
        <w:rPr>
          <w:rFonts w:ascii="Times New Roman" w:hAnsi="Times New Roman" w:cs="Times New Roman"/>
          <w:sz w:val="24"/>
          <w:szCs w:val="24"/>
        </w:rPr>
        <w:t>Department of Chemistry,</w:t>
      </w:r>
      <w:r w:rsidRPr="00FA29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A29C4">
        <w:rPr>
          <w:rFonts w:ascii="Times New Roman" w:hAnsi="Times New Roman" w:cs="Times New Roman"/>
          <w:sz w:val="24"/>
          <w:szCs w:val="24"/>
        </w:rPr>
        <w:t xml:space="preserve">School of Advanced Sciences, Vellore Institute of Technology, Chennai, </w:t>
      </w:r>
      <w:proofErr w:type="spellStart"/>
      <w:r w:rsidRPr="00FA29C4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FA29C4">
        <w:rPr>
          <w:rFonts w:ascii="Times New Roman" w:hAnsi="Times New Roman" w:cs="Times New Roman"/>
          <w:sz w:val="24"/>
          <w:szCs w:val="24"/>
        </w:rPr>
        <w:t>, India</w:t>
      </w:r>
    </w:p>
    <w:p w:rsidR="00FA29C4" w:rsidRDefault="00FA29C4" w:rsidP="00FA2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9C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FA29C4">
          <w:rPr>
            <w:rStyle w:val="Hyperlink"/>
            <w:rFonts w:ascii="Times New Roman" w:hAnsi="Times New Roman" w:cs="Times New Roman"/>
            <w:sz w:val="24"/>
            <w:szCs w:val="24"/>
          </w:rPr>
          <w:t>allengraj@gmail.com</w:t>
        </w:r>
      </w:hyperlink>
      <w:r w:rsidRPr="00FA29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Pr="00FA29C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balamurali.mm@vit.ac.in</w:t>
        </w:r>
      </w:hyperlink>
    </w:p>
    <w:p w:rsidR="003244A5" w:rsidRDefault="003244A5" w:rsidP="00FA2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4A5" w:rsidRDefault="003244A5" w:rsidP="00FA2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4A5" w:rsidRPr="003244A5" w:rsidRDefault="003244A5" w:rsidP="003244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4A5">
        <w:rPr>
          <w:rFonts w:ascii="Times New Roman" w:hAnsi="Times New Roman" w:cs="Times New Roman"/>
          <w:b/>
          <w:sz w:val="24"/>
          <w:szCs w:val="24"/>
          <w:lang w:val="en-GB"/>
        </w:rPr>
        <w:t xml:space="preserve">Synthesis of </w:t>
      </w:r>
      <w:proofErr w:type="gramStart"/>
      <w:r w:rsidRPr="003244A5">
        <w:rPr>
          <w:rFonts w:ascii="Times New Roman" w:hAnsi="Times New Roman" w:cs="Times New Roman"/>
          <w:b/>
          <w:sz w:val="24"/>
          <w:szCs w:val="24"/>
          <w:lang w:val="en-GB"/>
        </w:rPr>
        <w:t>Ru(</w:t>
      </w:r>
      <w:proofErr w:type="gramEnd"/>
      <w:r w:rsidRPr="003244A5">
        <w:rPr>
          <w:rFonts w:ascii="Times New Roman" w:hAnsi="Times New Roman" w:cs="Times New Roman"/>
          <w:b/>
          <w:sz w:val="24"/>
          <w:szCs w:val="24"/>
          <w:lang w:val="en-GB"/>
        </w:rPr>
        <w:t>II)-</w:t>
      </w:r>
      <w:proofErr w:type="spellStart"/>
      <w:r w:rsidRPr="003244A5">
        <w:rPr>
          <w:rFonts w:ascii="Times New Roman" w:hAnsi="Times New Roman" w:cs="Times New Roman"/>
          <w:b/>
          <w:sz w:val="24"/>
          <w:szCs w:val="24"/>
          <w:lang w:val="en-GB"/>
        </w:rPr>
        <w:t>polypyridine</w:t>
      </w:r>
      <w:proofErr w:type="spellEnd"/>
      <w:r w:rsidRPr="003244A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complexes</w:t>
      </w:r>
    </w:p>
    <w:p w:rsidR="003244A5" w:rsidRPr="003244A5" w:rsidRDefault="003244A5" w:rsidP="003244A5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>Tris (2</w:t>
      </w:r>
      <w:proofErr w:type="gramStart"/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>,2'</w:t>
      </w:r>
      <w:proofErr w:type="gramEnd"/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 xml:space="preserve">- </w:t>
      </w:r>
      <w:proofErr w:type="spellStart"/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>bipyridine</w:t>
      </w:r>
      <w:proofErr w:type="spellEnd"/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>) Ruthenium (II) Chloride, [Ru(</w:t>
      </w:r>
      <w:proofErr w:type="spellStart"/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>bpy</w:t>
      </w:r>
      <w:proofErr w:type="spellEnd"/>
      <w:r w:rsidRPr="003244A5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Pr="003244A5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3</w:t>
      </w:r>
      <w:r w:rsidR="00292C5B" w:rsidRPr="00D0461D">
        <w:rPr>
          <w:rFonts w:ascii="Times New Roman" w:hAnsi="Times New Roman" w:cs="Times New Roman"/>
          <w:i/>
          <w:sz w:val="24"/>
          <w:szCs w:val="24"/>
          <w:lang w:val="en-GB"/>
        </w:rPr>
        <w:t>](BF</w:t>
      </w:r>
      <w:r w:rsidR="00292C5B" w:rsidRPr="00D0461D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4</w:t>
      </w:r>
      <w:r w:rsidR="00292C5B" w:rsidRPr="00D0461D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="00292C5B" w:rsidRPr="00D0461D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2</w:t>
      </w:r>
    </w:p>
    <w:p w:rsidR="00D0461D" w:rsidRDefault="003244A5" w:rsidP="003244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0.5 g of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RuCl</w:t>
      </w:r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3H</w:t>
      </w:r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was reacted with 0.6 g of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2, 2ˈ- </w:t>
      </w:r>
      <w:proofErr w:type="spellStart"/>
      <w:r w:rsidRPr="003244A5">
        <w:rPr>
          <w:rFonts w:ascii="Times New Roman" w:hAnsi="Times New Roman" w:cs="Times New Roman"/>
          <w:sz w:val="24"/>
          <w:szCs w:val="24"/>
          <w:lang w:val="en-GB"/>
        </w:rPr>
        <w:t>bipyridine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in 25 ml of ethanol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 above 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>solution was refluxed for 20 hours for a</w:t>
      </w:r>
      <w:r w:rsidR="00D0461D" w:rsidRPr="001C75AA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 orange red complex to form. </w:t>
      </w:r>
      <w:r w:rsidR="001C75AA"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Following this a saturated solution of sodium </w:t>
      </w:r>
      <w:proofErr w:type="spellStart"/>
      <w:r w:rsidR="001C75AA" w:rsidRPr="001C75AA">
        <w:rPr>
          <w:rFonts w:ascii="Times New Roman" w:hAnsi="Times New Roman" w:cs="Times New Roman"/>
          <w:sz w:val="24"/>
          <w:szCs w:val="24"/>
          <w:lang w:val="en-GB"/>
        </w:rPr>
        <w:t>tetrafluoroborate</w:t>
      </w:r>
      <w:proofErr w:type="spellEnd"/>
      <w:r w:rsidR="001C75AA"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 was then added dropwise until an orange precipitate is formed. Further p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urification of the above obtained crude product was </w:t>
      </w:r>
      <w:r w:rsidR="00D0461D" w:rsidRPr="001C75AA">
        <w:rPr>
          <w:rFonts w:ascii="Times New Roman" w:hAnsi="Times New Roman" w:cs="Times New Roman"/>
          <w:sz w:val="24"/>
          <w:szCs w:val="24"/>
          <w:lang w:val="en-GB"/>
        </w:rPr>
        <w:t>performed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461D" w:rsidRPr="001C75A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 a silica gel column </w:t>
      </w:r>
      <w:r w:rsidR="00D0461D" w:rsidRPr="001C75AA">
        <w:rPr>
          <w:rFonts w:ascii="Times New Roman" w:hAnsi="Times New Roman" w:cs="Times New Roman"/>
          <w:sz w:val="24"/>
          <w:szCs w:val="24"/>
          <w:lang w:val="en-GB"/>
        </w:rPr>
        <w:t>employing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n-propanol as 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eluent.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The pure complex was 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>obtained upon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subsequent evaporation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of the solvent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authenticity of the complex was done by monitoring the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absorption maximum (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sym w:font="Symbol" w:char="F06C"/>
      </w:r>
      <w:proofErr w:type="spellStart"/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abs</w:t>
      </w:r>
      <w:r w:rsidRPr="003244A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max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>) and emission maximum (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sym w:font="Symbol" w:char="F06C"/>
      </w:r>
      <w:proofErr w:type="spellStart"/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em</w:t>
      </w:r>
      <w:r w:rsidRPr="003244A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max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>) of the complex in CH</w:t>
      </w:r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CN 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448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nm and 596 nm respectively.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The values were in agr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>eement with the reported values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023D0" w:rsidRPr="007023D0" w:rsidRDefault="007023D0" w:rsidP="007023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H-NMR (DMSO-d</w:t>
      </w:r>
      <w:r w:rsidRPr="007023D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 xml:space="preserve"> 8.85-8.91(d</w:t>
      </w:r>
      <w:proofErr w:type="gramStart"/>
      <w:r w:rsidRPr="007023D0">
        <w:rPr>
          <w:rFonts w:ascii="Times New Roman" w:hAnsi="Times New Roman" w:cs="Times New Roman"/>
          <w:sz w:val="24"/>
          <w:szCs w:val="24"/>
          <w:lang w:val="en-GB"/>
        </w:rPr>
        <w:t>,2H</w:t>
      </w:r>
      <w:proofErr w:type="gramEnd"/>
      <w:r w:rsidRPr="007023D0">
        <w:rPr>
          <w:rFonts w:ascii="Times New Roman" w:hAnsi="Times New Roman" w:cs="Times New Roman"/>
          <w:sz w:val="24"/>
          <w:szCs w:val="24"/>
          <w:lang w:val="en-GB"/>
        </w:rPr>
        <w:t>), 8.16(d,2H), 7.72(t,2H), 7.53(t,2H).</w:t>
      </w:r>
    </w:p>
    <w:p w:rsidR="007023D0" w:rsidRPr="007023D0" w:rsidRDefault="007023D0" w:rsidP="007023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23D0">
        <w:rPr>
          <w:rFonts w:ascii="Times New Roman" w:hAnsi="Times New Roman" w:cs="Times New Roman"/>
          <w:sz w:val="24"/>
          <w:szCs w:val="24"/>
          <w:lang w:val="en-GB"/>
        </w:rPr>
        <w:t>IR (</w:t>
      </w:r>
      <w:proofErr w:type="spellStart"/>
      <w:r w:rsidRPr="007023D0">
        <w:rPr>
          <w:rFonts w:ascii="Times New Roman" w:hAnsi="Times New Roman" w:cs="Times New Roman"/>
          <w:sz w:val="24"/>
          <w:szCs w:val="24"/>
          <w:lang w:val="en-GB"/>
        </w:rPr>
        <w:t>KBr</w:t>
      </w:r>
      <w:proofErr w:type="spellEnd"/>
      <w:r w:rsidRPr="007023D0">
        <w:rPr>
          <w:rFonts w:ascii="Times New Roman" w:hAnsi="Times New Roman" w:cs="Times New Roman"/>
          <w:sz w:val="24"/>
          <w:szCs w:val="24"/>
          <w:lang w:val="en-GB"/>
        </w:rPr>
        <w:t>, cm</w:t>
      </w: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 xml:space="preserve">3068 (C-H), 1617(C=C), 1476(C-C), 1155(C=N) and 808(Ru-N) 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sym w:font="Symbol" w:char="F075"/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/cm</w:t>
      </w: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244A5" w:rsidRPr="003244A5" w:rsidRDefault="003244A5" w:rsidP="003244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244A5" w:rsidRPr="00D0461D" w:rsidRDefault="003244A5" w:rsidP="00292C5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Tris(4,4</w:t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sym w:font="Symbol" w:char="F0A2"/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-dimethyl-2,2</w:t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sym w:font="Symbol" w:char="F0A2"/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bipyridine</w:t>
      </w:r>
      <w:proofErr w:type="spellEnd"/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)ruthenium(II)</w:t>
      </w:r>
      <w:proofErr w:type="spellStart"/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tetrafluoroborate</w:t>
      </w:r>
      <w:proofErr w:type="spellEnd"/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, [Ru(</w:t>
      </w:r>
      <w:proofErr w:type="spellStart"/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dmbpy</w:t>
      </w:r>
      <w:proofErr w:type="spellEnd"/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Pr="00D0461D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3</w:t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](BF</w:t>
      </w:r>
      <w:r w:rsidRPr="00D0461D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4</w:t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Pr="00D0461D">
        <w:rPr>
          <w:rFonts w:ascii="Times New Roman" w:hAnsi="Times New Roman" w:cs="Times New Roman"/>
          <w:i/>
          <w:sz w:val="24"/>
          <w:szCs w:val="24"/>
          <w:vertAlign w:val="subscript"/>
          <w:lang w:val="en-GB"/>
        </w:rPr>
        <w:t>2</w:t>
      </w:r>
      <w:r w:rsidRPr="00D0461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D0461D" w:rsidRDefault="003244A5" w:rsidP="003244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44A5">
        <w:rPr>
          <w:rFonts w:ascii="Times New Roman" w:hAnsi="Times New Roman" w:cs="Times New Roman"/>
          <w:sz w:val="24"/>
          <w:szCs w:val="24"/>
          <w:lang w:val="en-GB"/>
        </w:rPr>
        <w:t>RuCl</w:t>
      </w:r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.3H</w:t>
      </w:r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O (1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244A5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>) and 4,4ˈ-dimethyl-2,2ˈ-</w:t>
      </w:r>
      <w:proofErr w:type="spellStart"/>
      <w:r w:rsidRPr="003244A5">
        <w:rPr>
          <w:rFonts w:ascii="Times New Roman" w:hAnsi="Times New Roman" w:cs="Times New Roman"/>
          <w:sz w:val="24"/>
          <w:szCs w:val="24"/>
          <w:lang w:val="en-GB"/>
        </w:rPr>
        <w:t>bipyridine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(3 </w:t>
      </w:r>
      <w:proofErr w:type="spellStart"/>
      <w:r w:rsidRPr="003244A5">
        <w:rPr>
          <w:rFonts w:ascii="Times New Roman" w:hAnsi="Times New Roman" w:cs="Times New Roman"/>
          <w:sz w:val="24"/>
          <w:szCs w:val="24"/>
          <w:lang w:val="en-GB"/>
        </w:rPr>
        <w:t>mM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>) were dissolved in 20 ml of ethylene glycol and refluxed for 4 hours.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The solution was then allowed to cool at room temperature and filtered to remove any insoluble impurities.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A saturated solution of sodium </w:t>
      </w:r>
      <w:proofErr w:type="spellStart"/>
      <w:r w:rsidRPr="001C75AA">
        <w:rPr>
          <w:rFonts w:ascii="Times New Roman" w:hAnsi="Times New Roman" w:cs="Times New Roman"/>
          <w:sz w:val="24"/>
          <w:szCs w:val="24"/>
          <w:lang w:val="en-GB"/>
        </w:rPr>
        <w:t>tetrafluoroborate</w:t>
      </w:r>
      <w:proofErr w:type="spellEnd"/>
      <w:r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 was then added dropwise into the filtrate until an orange precipitate is formed.</w:t>
      </w:r>
      <w:r w:rsidR="00D0461D" w:rsidRPr="001C75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C75AA">
        <w:rPr>
          <w:rFonts w:ascii="Times New Roman" w:hAnsi="Times New Roman" w:cs="Times New Roman"/>
          <w:sz w:val="24"/>
          <w:szCs w:val="24"/>
          <w:lang w:val="en-GB"/>
        </w:rPr>
        <w:t>The product was filtered, washed with cold water and diethyl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ether and further dried in a vacuum desiccator.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The product was further purified by </w:t>
      </w:r>
      <w:proofErr w:type="spellStart"/>
      <w:r w:rsidRPr="003244A5">
        <w:rPr>
          <w:rFonts w:ascii="Times New Roman" w:hAnsi="Times New Roman" w:cs="Times New Roman"/>
          <w:sz w:val="24"/>
          <w:szCs w:val="24"/>
          <w:lang w:val="en-GB"/>
        </w:rPr>
        <w:t>recrystallisation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 from water.</w:t>
      </w:r>
      <w:r w:rsidR="00222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Pr="003244A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lastRenderedPageBreak/>
        <w:t>absorption maximum (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sym w:font="Symbol" w:char="F06C"/>
      </w:r>
      <w:proofErr w:type="spellStart"/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abs</w:t>
      </w:r>
      <w:r w:rsidRPr="003244A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max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>) and emission maximum (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sym w:font="Symbol" w:char="F06C"/>
      </w:r>
      <w:proofErr w:type="spellStart"/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em</w:t>
      </w:r>
      <w:r w:rsidRPr="003244A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max</w:t>
      </w:r>
      <w:proofErr w:type="spellEnd"/>
      <w:r w:rsidRPr="003244A5">
        <w:rPr>
          <w:rFonts w:ascii="Times New Roman" w:hAnsi="Times New Roman" w:cs="Times New Roman"/>
          <w:sz w:val="24"/>
          <w:szCs w:val="24"/>
          <w:lang w:val="en-GB"/>
        </w:rPr>
        <w:t>) of the complex in CH</w:t>
      </w:r>
      <w:r w:rsidRPr="003244A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CN are 458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244A5">
        <w:rPr>
          <w:rFonts w:ascii="Times New Roman" w:hAnsi="Times New Roman" w:cs="Times New Roman"/>
          <w:sz w:val="24"/>
          <w:szCs w:val="24"/>
          <w:lang w:val="en-GB"/>
        </w:rPr>
        <w:t>nm and 601 nm respectively.</w:t>
      </w:r>
    </w:p>
    <w:p w:rsidR="007023D0" w:rsidRPr="007023D0" w:rsidRDefault="007023D0" w:rsidP="007023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H-NMR (DMSO-d</w:t>
      </w:r>
      <w:r w:rsidRPr="007023D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 xml:space="preserve"> 8.68(d, 2H), 7.54-7.55(t</w:t>
      </w:r>
      <w:proofErr w:type="gramStart"/>
      <w:r w:rsidRPr="007023D0">
        <w:rPr>
          <w:rFonts w:ascii="Times New Roman" w:hAnsi="Times New Roman" w:cs="Times New Roman"/>
          <w:sz w:val="24"/>
          <w:szCs w:val="24"/>
          <w:lang w:val="en-GB"/>
        </w:rPr>
        <w:t>,2H</w:t>
      </w:r>
      <w:proofErr w:type="gramEnd"/>
      <w:r w:rsidRPr="007023D0">
        <w:rPr>
          <w:rFonts w:ascii="Times New Roman" w:hAnsi="Times New Roman" w:cs="Times New Roman"/>
          <w:sz w:val="24"/>
          <w:szCs w:val="24"/>
          <w:lang w:val="en-GB"/>
        </w:rPr>
        <w:t>) and 7.34-7.35(t,2H) and 2.5 (6H (CH</w:t>
      </w:r>
      <w:r w:rsidRPr="007023D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),s).</w:t>
      </w:r>
    </w:p>
    <w:p w:rsidR="007023D0" w:rsidRPr="007023D0" w:rsidRDefault="007023D0" w:rsidP="007023D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23D0">
        <w:rPr>
          <w:rFonts w:ascii="Times New Roman" w:hAnsi="Times New Roman" w:cs="Times New Roman"/>
          <w:sz w:val="24"/>
          <w:szCs w:val="24"/>
          <w:lang w:val="en-GB"/>
        </w:rPr>
        <w:t>IR (</w:t>
      </w:r>
      <w:proofErr w:type="spellStart"/>
      <w:r w:rsidRPr="007023D0">
        <w:rPr>
          <w:rFonts w:ascii="Times New Roman" w:hAnsi="Times New Roman" w:cs="Times New Roman"/>
          <w:sz w:val="24"/>
          <w:szCs w:val="24"/>
          <w:lang w:val="en-GB"/>
        </w:rPr>
        <w:t>KBr</w:t>
      </w:r>
      <w:proofErr w:type="spellEnd"/>
      <w:r w:rsidRPr="007023D0">
        <w:rPr>
          <w:rFonts w:ascii="Times New Roman" w:hAnsi="Times New Roman" w:cs="Times New Roman"/>
          <w:sz w:val="24"/>
          <w:szCs w:val="24"/>
          <w:lang w:val="en-GB"/>
        </w:rPr>
        <w:t>, cm</w:t>
      </w: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): 1068(C-N),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1505(C=C)</w:t>
      </w:r>
      <w:proofErr w:type="gramStart"/>
      <w:r w:rsidRPr="007023D0">
        <w:rPr>
          <w:rFonts w:ascii="Times New Roman" w:hAnsi="Times New Roman" w:cs="Times New Roman"/>
          <w:sz w:val="24"/>
          <w:szCs w:val="24"/>
          <w:lang w:val="en-GB"/>
        </w:rPr>
        <w:t>,2345</w:t>
      </w:r>
      <w:proofErr w:type="gramEnd"/>
      <w:r w:rsidRPr="007023D0">
        <w:rPr>
          <w:rFonts w:ascii="Times New Roman" w:hAnsi="Times New Roman" w:cs="Times New Roman"/>
          <w:sz w:val="24"/>
          <w:szCs w:val="24"/>
          <w:lang w:val="en-GB"/>
        </w:rPr>
        <w:t>(C-H) and 2966(</w:t>
      </w:r>
      <w:r w:rsidRPr="007023D0">
        <w:rPr>
          <w:rFonts w:ascii="Times New Roman" w:hAnsi="Times New Roman" w:cs="Times New Roman"/>
          <w:i/>
          <w:sz w:val="24"/>
          <w:szCs w:val="24"/>
          <w:lang w:val="en-GB"/>
        </w:rPr>
        <w:t>sp</w:t>
      </w: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 xml:space="preserve">-C-H) 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sym w:font="Symbol" w:char="F075"/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/cm</w:t>
      </w:r>
      <w:r w:rsidRPr="007023D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7023D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023D0" w:rsidRDefault="007023D0" w:rsidP="003244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023D0" w:rsidRDefault="007023D0" w:rsidP="003244A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244A5" w:rsidRPr="00D0461D" w:rsidRDefault="003244A5" w:rsidP="001C75AA">
      <w:pPr>
        <w:pStyle w:val="ListParagraph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Kalaiyar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Swarnalatha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, Eswaran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Rajkumar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, S,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Rajagopal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, R,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Ramaraj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, I,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Sadhiya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Banu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GB"/>
        </w:rPr>
        <w:t>Perumal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 Ramamurthy, 2011, ‘Proton coupled ET reaction of phenols with excited state ruthenium(II) Polypyridyl complexes’, Journal of Physical Organic Chemistry,</w:t>
      </w:r>
      <w:r w:rsid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0461D">
        <w:rPr>
          <w:rFonts w:ascii="Times New Roman" w:hAnsi="Times New Roman" w:cs="Times New Roman"/>
          <w:sz w:val="24"/>
          <w:szCs w:val="24"/>
          <w:lang w:val="en-GB"/>
        </w:rPr>
        <w:t>vol. 24, no.1, pp. 14 - 21.</w:t>
      </w:r>
    </w:p>
    <w:p w:rsidR="003244A5" w:rsidRPr="00D0461D" w:rsidRDefault="003244A5" w:rsidP="001C75AA">
      <w:pPr>
        <w:pStyle w:val="ListParagraph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D04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US"/>
        </w:rPr>
        <w:t>Saha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US"/>
        </w:rPr>
        <w:t xml:space="preserve">, B &amp; </w:t>
      </w:r>
      <w:proofErr w:type="spellStart"/>
      <w:r w:rsidRPr="00D0461D">
        <w:rPr>
          <w:rFonts w:ascii="Times New Roman" w:hAnsi="Times New Roman" w:cs="Times New Roman"/>
          <w:sz w:val="24"/>
          <w:szCs w:val="24"/>
          <w:lang w:val="en-US"/>
        </w:rPr>
        <w:t>Stanbury</w:t>
      </w:r>
      <w:proofErr w:type="spellEnd"/>
      <w:r w:rsidRPr="00D0461D">
        <w:rPr>
          <w:rFonts w:ascii="Times New Roman" w:hAnsi="Times New Roman" w:cs="Times New Roman"/>
          <w:sz w:val="24"/>
          <w:szCs w:val="24"/>
          <w:lang w:val="en-US"/>
        </w:rPr>
        <w:t xml:space="preserve">, DM 2000, ‘Thermal and photochemical reduction of aqueous chlorine by </w:t>
      </w:r>
      <w:proofErr w:type="gramStart"/>
      <w:r w:rsidRPr="00D0461D">
        <w:rPr>
          <w:rFonts w:ascii="Times New Roman" w:hAnsi="Times New Roman" w:cs="Times New Roman"/>
          <w:sz w:val="24"/>
          <w:szCs w:val="24"/>
          <w:lang w:val="en-US"/>
        </w:rPr>
        <w:t>ruthenium(</w:t>
      </w:r>
      <w:proofErr w:type="gramEnd"/>
      <w:r w:rsidRPr="00D0461D">
        <w:rPr>
          <w:rFonts w:ascii="Times New Roman" w:hAnsi="Times New Roman" w:cs="Times New Roman"/>
          <w:sz w:val="24"/>
          <w:szCs w:val="24"/>
          <w:lang w:val="en-US"/>
        </w:rPr>
        <w:t>II) polypyridyl complexes’, Inorganic Chemistry,</w:t>
      </w:r>
      <w:r w:rsidR="00D04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461D">
        <w:rPr>
          <w:rFonts w:ascii="Times New Roman" w:hAnsi="Times New Roman" w:cs="Times New Roman"/>
          <w:sz w:val="24"/>
          <w:szCs w:val="24"/>
          <w:lang w:val="en-US"/>
        </w:rPr>
        <w:t>vol. 39, pp. 1294 -1300.</w:t>
      </w:r>
    </w:p>
    <w:p w:rsidR="00FA29C4" w:rsidRDefault="00FA29C4" w:rsidP="00FA2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DE3" w:rsidRPr="009B0DE3" w:rsidRDefault="009B0DE3" w:rsidP="009B0D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DE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Pr="009B0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DE3">
        <w:rPr>
          <w:rFonts w:ascii="Times New Roman" w:hAnsi="Times New Roman" w:cs="Times New Roman"/>
          <w:sz w:val="24"/>
          <w:szCs w:val="24"/>
        </w:rPr>
        <w:t xml:space="preserve">Geometry optimized coordinates of </w:t>
      </w:r>
      <w:proofErr w:type="gramStart"/>
      <w:r w:rsidRPr="009B0DE3">
        <w:rPr>
          <w:rFonts w:ascii="Times New Roman" w:hAnsi="Times New Roman" w:cs="Times New Roman"/>
          <w:sz w:val="24"/>
          <w:szCs w:val="24"/>
        </w:rPr>
        <w:t>tris(</w:t>
      </w:r>
      <w:proofErr w:type="gramEnd"/>
      <w:r w:rsidRPr="009B0DE3">
        <w:rPr>
          <w:rFonts w:ascii="Times New Roman" w:hAnsi="Times New Roman" w:cs="Times New Roman"/>
          <w:sz w:val="24"/>
          <w:szCs w:val="24"/>
        </w:rPr>
        <w:t>polypyridyl)ruthenium(II) complexes.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43"/>
        <w:gridCol w:w="4341"/>
        <w:gridCol w:w="643"/>
        <w:gridCol w:w="4120"/>
      </w:tblGrid>
      <w:tr w:rsidR="009B0DE3" w:rsidRPr="009B0DE3" w:rsidTr="003244A5">
        <w:tc>
          <w:tcPr>
            <w:tcW w:w="449" w:type="dxa"/>
          </w:tcPr>
          <w:p w:rsidR="009B0DE3" w:rsidRPr="009B0DE3" w:rsidRDefault="009B0DE3" w:rsidP="009B0D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3">
              <w:rPr>
                <w:rFonts w:ascii="Times New Roman" w:hAnsi="Times New Roman" w:cs="Times New Roman"/>
                <w:b/>
                <w:sz w:val="24"/>
                <w:szCs w:val="24"/>
              </w:rPr>
              <w:t>Ru1</w:t>
            </w:r>
          </w:p>
        </w:tc>
        <w:tc>
          <w:tcPr>
            <w:tcW w:w="4621" w:type="dxa"/>
          </w:tcPr>
          <w:tbl>
            <w:tblPr>
              <w:tblW w:w="3548" w:type="dxa"/>
              <w:jc w:val="center"/>
              <w:tblLook w:val="04A0" w:firstRow="1" w:lastRow="0" w:firstColumn="1" w:lastColumn="0" w:noHBand="0" w:noVBand="1"/>
            </w:tblPr>
            <w:tblGrid>
              <w:gridCol w:w="583"/>
              <w:gridCol w:w="980"/>
              <w:gridCol w:w="980"/>
              <w:gridCol w:w="1005"/>
            </w:tblGrid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bookmarkStart w:id="1" w:name="RANGE!A1"/>
                  <w:bookmarkStart w:id="2" w:name="OLE_LINK2" w:colFirst="0" w:colLast="0"/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  <w:bookmarkEnd w:id="1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-0.6751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-4.2068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-2.4246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bookmarkStart w:id="3" w:name="OLE_LINK1" w:colFirst="0" w:colLast="0"/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0.3302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-3.3064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-2.8853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0.5278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-2.1142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-2.1884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-0.1906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-1.7678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-1.0819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-1.1595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-2.6570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-0.5968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-1.4083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-3.8778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-1.2893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-1.8435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-2.2366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0.5987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-1.4884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-0.9702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1.0830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-2.1221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-0.4853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2.1892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-3.0962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-1.2002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2.8864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-3.4450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-2.5042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2.4264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-2.8201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-3.0101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1.2914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-0.4515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4.2359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2.4252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3.2836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2.8853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0.6394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2.0828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2.1882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-0.0966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1.7751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1.0817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-1.0173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2.7142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0.5970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-1.2013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3.9463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1.2900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-1.7226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2.3309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-0.5985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-1.4347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1.0478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-1.0836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-2.0930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0.5976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-2.1900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-3.0282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1.3632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-2.8867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-3.3078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2.6835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-2.4260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lastRenderedPageBreak/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-2.6570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3.1552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-1.2908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3.9802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1.5216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-2.4252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2.6974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1.9426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-2.8842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1.5667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1.5160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-2.1874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1.6270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0.7188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-1.0824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2.8819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0.3251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-0.5979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4.0630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0.7208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-1.2908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2.8605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-0.4771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0.5979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1.5865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-0.8037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1.0823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1.4839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-1.5963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2.1875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2.5903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-2.0820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2.8846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3.8937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-1.7298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2.4256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4.0189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-0.9348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1.2911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Ru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0.0011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-0.0001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-0.0003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1.3463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1.3266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2.5093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1.1237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3.4751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3.7559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-1.9352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4.6592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0.9281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-2.8564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4.1587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-0.9287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-3.5255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0.9483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-3.7572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-1.8425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-0.4069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-2.5111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-3.5707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-0.7592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3.7568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-1.8188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0.5046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2.5098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0.4749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-1.8303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2.5070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2.4461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-2.7144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3.7543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5.0036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-0.6557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0.9300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0.9375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-3.5304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-3.7561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1.2734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-1.3962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-2.5099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0.5716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1.8032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-2.5068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2.5869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2.5821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-3.7537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-3.0721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-4.0018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0.9297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-2.1786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-4.5511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-0.9271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5.0315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0.3899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-0.9297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4.8811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1.8217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-2.9537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4.7774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-2.0772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2.9542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5.1749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2.9536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-4.0192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3.3130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-2.9539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-4.1885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-3.0950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2.9547</w:t>
                  </w:r>
                </w:p>
              </w:tc>
            </w:tr>
            <w:tr w:rsidR="00DE3331" w:rsidRPr="00DE3331" w:rsidTr="00DE3331">
              <w:trPr>
                <w:trHeight w:val="315"/>
                <w:jc w:val="center"/>
              </w:trPr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-0.8665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-5.1372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-2.9527</w:t>
                  </w:r>
                </w:p>
              </w:tc>
            </w:tr>
            <w:bookmarkEnd w:id="2"/>
            <w:bookmarkEnd w:id="3"/>
          </w:tbl>
          <w:p w:rsidR="009B0DE3" w:rsidRPr="009B0DE3" w:rsidRDefault="009B0DE3" w:rsidP="009B0D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0DE3" w:rsidRPr="009B0DE3" w:rsidRDefault="009B0DE3" w:rsidP="009B0D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Ru2</w:t>
            </w:r>
          </w:p>
        </w:tc>
        <w:tc>
          <w:tcPr>
            <w:tcW w:w="4252" w:type="dxa"/>
          </w:tcPr>
          <w:tbl>
            <w:tblPr>
              <w:tblW w:w="3633" w:type="dxa"/>
              <w:tblLook w:val="04A0" w:firstRow="1" w:lastRow="0" w:firstColumn="1" w:lastColumn="0" w:noHBand="0" w:noVBand="1"/>
            </w:tblPr>
            <w:tblGrid>
              <w:gridCol w:w="617"/>
              <w:gridCol w:w="1005"/>
              <w:gridCol w:w="1005"/>
              <w:gridCol w:w="1006"/>
            </w:tblGrid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3.7200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2.1273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-2.4241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2.3766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2.3367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-2.8724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1.3231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1.7412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-2.1812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1.4987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0.9601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-1.0787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2.7978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0.7643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-0.5967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3.9047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1.3410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-1.2891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2.9003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-0.0351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0.5971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1.6925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-0.5521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1.0795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1.7202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-1.3530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2.1815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2.8902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-1.6640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2.8718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4.1373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-1.1224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2.4235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4.1171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-0.3144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1.2887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-3.0401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-3.0196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2.4245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-2.8848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-1.6689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2.8727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-2.0302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-0.8118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2.1818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-1.3237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-1.1889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1.0795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-1.4806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-2.4932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0.5972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-2.3311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-3.4068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1.2895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-0.7375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-2.8046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-0.5966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0.0820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-1.7778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-1.0791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0.8460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-2.0172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-2.1818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0.8340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-3.2276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-2.8724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-0.0198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-4.2857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-2.4239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lastRenderedPageBreak/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-0.7926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-4.0516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-1.2887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-3.7009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2.1584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-2.4252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-3.2108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0.8900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-2.8733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-2.1686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0.2752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-2.1819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-1.5799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0.8177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-1.0794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-2.0598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2.0408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-0.5974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-3.1122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2.7114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-1.2901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-1.4194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2.5287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0.5969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N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-0.3682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1.7409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1.0795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0.3108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2.1645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2.1824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-0.0052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3.3328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2.8733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-1.0975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4.1423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2.4246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-1.7865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3.7216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1.2892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Ru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0.0003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0.0000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0.0003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-1.8863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0.2130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2.5047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-3.4250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-1.3034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3.7412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-2.4233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-4.4248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0.9230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-1.4535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-4.8313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-0.9220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1.4730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-3.3564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-3.7412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1.4758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-1.1964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-2.5053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2.8444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-2.3152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3.7399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0.7614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-1.7424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2.5044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1.1266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1.5280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2.5056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0.5808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3.6180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3.7422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-2.6221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4.3103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0.9225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2.1679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2.9544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-3.7411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0.2969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1.8754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-2.5041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-1.7719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-0.6807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-2.5043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-3.6414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0.4005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-3.7419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5.0445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0.1152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0.9220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4.9106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1.1591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-0.9227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-3.4574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3.6736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-0.9238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-0.0649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-5.6023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-3.1701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0.9277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-6.0740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-3.1981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-0.7607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-6.3077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-2.7019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-0.3811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-5.4568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-4.2129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-3.9475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-3.9749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3.1704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-4.9797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-3.5978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3.1984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-3.9628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-4.9656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2.7021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-3.6221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-4.0985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4.2133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4.8821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-2.7471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3.1709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4.7924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3.8424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-3.2013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5.8413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2.5000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-2.7017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4.9154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2.3984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-4.2130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lastRenderedPageBreak/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5.4187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-1.4299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3.1690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5.6110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-2.5120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3.1934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6.2833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-0.9440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2.7027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5.3618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-1.0899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4.2129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-4.8190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2.8549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-3.1716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-5.7232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2.2302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-3.2000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-5.0832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3.8099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-2.7034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-4.5347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3.0564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-4.2143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C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-1.4723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5.4051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3.1708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-0.6300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6.1110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3.1997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-2.3226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5.9134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2.7022</w:t>
                  </w:r>
                </w:p>
              </w:tc>
            </w:tr>
            <w:tr w:rsidR="00DE3331" w:rsidRPr="00DE3331" w:rsidTr="001C75AA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H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-1.7425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5.1846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3331" w:rsidRPr="00DE3331" w:rsidRDefault="00DE3331" w:rsidP="00DE33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</w:pPr>
                  <w:r w:rsidRPr="00DE3331">
                    <w:rPr>
                      <w:rFonts w:ascii="Times New Roman" w:eastAsia="Times New Roman" w:hAnsi="Times New Roman" w:cs="Times New Roman"/>
                      <w:color w:val="000000"/>
                      <w:lang w:eastAsia="en-IN"/>
                    </w:rPr>
                    <w:t>4.2134</w:t>
                  </w:r>
                </w:p>
              </w:tc>
            </w:tr>
          </w:tbl>
          <w:p w:rsidR="009B0DE3" w:rsidRPr="009B0DE3" w:rsidRDefault="009B0DE3" w:rsidP="00DE33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4A5" w:rsidRDefault="003244A5" w:rsidP="00FA2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6C2" w:rsidRDefault="00B406C2" w:rsidP="00FA2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6C2" w:rsidRPr="00FA29C4" w:rsidRDefault="00B406C2" w:rsidP="00FA29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406C2" w:rsidRPr="00FA2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37D"/>
    <w:multiLevelType w:val="hybridMultilevel"/>
    <w:tmpl w:val="0ED441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C4"/>
    <w:rsid w:val="001C75AA"/>
    <w:rsid w:val="002225B0"/>
    <w:rsid w:val="00292C5B"/>
    <w:rsid w:val="003244A5"/>
    <w:rsid w:val="00582906"/>
    <w:rsid w:val="005C27F0"/>
    <w:rsid w:val="006D53B6"/>
    <w:rsid w:val="007023D0"/>
    <w:rsid w:val="009B0DE3"/>
    <w:rsid w:val="00AE1A69"/>
    <w:rsid w:val="00B406C2"/>
    <w:rsid w:val="00CA679C"/>
    <w:rsid w:val="00D0461D"/>
    <w:rsid w:val="00DE3331"/>
    <w:rsid w:val="00F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lamurali.mm@v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ngra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2024-11-14T04:31:00Z</dcterms:created>
  <dcterms:modified xsi:type="dcterms:W3CDTF">2024-11-15T08:34:00Z</dcterms:modified>
</cp:coreProperties>
</file>