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6602" w14:textId="77777777" w:rsidR="00D80757" w:rsidRPr="00D16100" w:rsidRDefault="00D80757" w:rsidP="00D8075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6100">
        <w:rPr>
          <w:rFonts w:ascii="Times New Roman" w:eastAsia="Times New Roman" w:hAnsi="Times New Roman" w:cs="Times New Roman"/>
          <w:b/>
          <w:bCs/>
          <w:sz w:val="28"/>
          <w:szCs w:val="28"/>
        </w:rPr>
        <w:t>Supplementary Information</w:t>
      </w:r>
    </w:p>
    <w:p w14:paraId="7B571F64" w14:textId="77777777" w:rsidR="00D80757" w:rsidRDefault="00D80757" w:rsidP="00E31E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E61EE2" w14:textId="0770734A" w:rsidR="00D80757" w:rsidRPr="00936E0E" w:rsidRDefault="00D80757" w:rsidP="00936E0E">
      <w:pPr>
        <w:spacing w:line="480" w:lineRule="auto"/>
        <w:jc w:val="left"/>
        <w:rPr>
          <w:rFonts w:ascii="Times New Roman" w:hAnsi="Times New Roman" w:cs="Times New Roman" w:hint="eastAsia"/>
          <w:sz w:val="28"/>
          <w:szCs w:val="28"/>
        </w:rPr>
      </w:pPr>
      <w:bookmarkStart w:id="0" w:name="_Hlk137485755"/>
      <w:r w:rsidRPr="00D80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novel interplay between bacteria and metabolites in different early-stage lung cancer: An integrated microbiome and metabolome analysis</w:t>
      </w:r>
      <w:bookmarkEnd w:id="0"/>
    </w:p>
    <w:p w14:paraId="775E1A17" w14:textId="77777777" w:rsidR="00936E0E" w:rsidRPr="00E01A8F" w:rsidRDefault="00936E0E" w:rsidP="00936E0E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4F40E2">
        <w:rPr>
          <w:rFonts w:ascii="Times New Roman" w:hAnsi="Times New Roman" w:cs="Times New Roman"/>
          <w:color w:val="000000" w:themeColor="text1"/>
          <w:sz w:val="24"/>
        </w:rPr>
        <w:t>Xiaoqian</w:t>
      </w:r>
      <w:proofErr w:type="spellEnd"/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 Zhai</w:t>
      </w:r>
      <w:r w:rsidRPr="004F40E2">
        <w:rPr>
          <w:rFonts w:ascii="Times New Roman" w:hAnsi="Times New Roman" w:cs="Times New Roman"/>
          <w:color w:val="000000" w:themeColor="text1"/>
          <w:sz w:val="24"/>
          <w:vertAlign w:val="superscript"/>
        </w:rPr>
        <w:t>1,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3</w:t>
      </w:r>
      <w:bookmarkStart w:id="1" w:name="_Hlk139494073"/>
      <w:r w:rsidRPr="00ED326D">
        <w:rPr>
          <w:rFonts w:ascii="Times New Roman" w:hAnsi="Times New Roman" w:cs="Times New Roman"/>
          <w:bCs/>
          <w:sz w:val="24"/>
          <w:vertAlign w:val="superscript"/>
        </w:rPr>
        <w:t>†</w:t>
      </w:r>
      <w:bookmarkEnd w:id="1"/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4F40E2">
        <w:rPr>
          <w:rFonts w:ascii="Times New Roman" w:hAnsi="Times New Roman" w:cs="Times New Roman"/>
          <w:color w:val="000000" w:themeColor="text1"/>
          <w:sz w:val="24"/>
        </w:rPr>
        <w:t>Dongqi</w:t>
      </w:r>
      <w:proofErr w:type="spellEnd"/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 Lin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4F40E2">
        <w:rPr>
          <w:rFonts w:ascii="Times New Roman" w:hAnsi="Times New Roman" w:cs="Times New Roman"/>
          <w:color w:val="000000" w:themeColor="text1"/>
          <w:sz w:val="24"/>
          <w:vertAlign w:val="superscript"/>
        </w:rPr>
        <w:t>,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3</w:t>
      </w:r>
      <w:r w:rsidRPr="00ED326D">
        <w:rPr>
          <w:rFonts w:ascii="Times New Roman" w:hAnsi="Times New Roman" w:cs="Times New Roman"/>
          <w:bCs/>
          <w:sz w:val="24"/>
          <w:vertAlign w:val="superscript"/>
        </w:rPr>
        <w:t>†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>, Y</w:t>
      </w:r>
      <w:r w:rsidRPr="004F40E2">
        <w:rPr>
          <w:rFonts w:ascii="Times New Roman" w:hAnsi="Times New Roman" w:cs="Times New Roman" w:hint="eastAsia"/>
          <w:color w:val="000000" w:themeColor="text1"/>
          <w:sz w:val="24"/>
        </w:rPr>
        <w:t>u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 F</w:t>
      </w:r>
      <w:r w:rsidRPr="004F40E2">
        <w:rPr>
          <w:rFonts w:ascii="Times New Roman" w:hAnsi="Times New Roman" w:cs="Times New Roman" w:hint="eastAsia"/>
          <w:color w:val="000000" w:themeColor="text1"/>
          <w:sz w:val="24"/>
        </w:rPr>
        <w:t>an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4F40E2">
        <w:rPr>
          <w:rFonts w:ascii="Times New Roman" w:hAnsi="Times New Roman" w:cs="Times New Roman"/>
          <w:color w:val="000000" w:themeColor="text1"/>
          <w:sz w:val="24"/>
          <w:vertAlign w:val="superscript"/>
        </w:rPr>
        <w:t>,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3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4F40E2">
        <w:rPr>
          <w:rFonts w:ascii="Times New Roman" w:hAnsi="Times New Roman" w:cs="Times New Roman"/>
          <w:color w:val="000000" w:themeColor="text1"/>
          <w:sz w:val="24"/>
        </w:rPr>
        <w:t>Jia</w:t>
      </w:r>
      <w:r w:rsidRPr="004F40E2">
        <w:rPr>
          <w:rFonts w:ascii="Times New Roman" w:hAnsi="Times New Roman" w:cs="Times New Roman" w:hint="eastAsia"/>
          <w:color w:val="000000" w:themeColor="text1"/>
          <w:sz w:val="24"/>
        </w:rPr>
        <w:t>bi</w:t>
      </w:r>
      <w:proofErr w:type="spellEnd"/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 Z</w:t>
      </w:r>
      <w:r w:rsidRPr="004F40E2">
        <w:rPr>
          <w:rFonts w:ascii="Times New Roman" w:hAnsi="Times New Roman" w:cs="Times New Roman" w:hint="eastAsia"/>
          <w:color w:val="000000" w:themeColor="text1"/>
          <w:sz w:val="24"/>
        </w:rPr>
        <w:t>hang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4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4F40E2">
        <w:rPr>
          <w:rFonts w:ascii="Times New Roman" w:hAnsi="Times New Roman" w:cs="Times New Roman"/>
          <w:color w:val="000000" w:themeColor="text1"/>
          <w:sz w:val="24"/>
        </w:rPr>
        <w:t>Yiyun</w:t>
      </w:r>
      <w:proofErr w:type="spellEnd"/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 Lin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5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4F40E2">
        <w:rPr>
          <w:rFonts w:ascii="Times New Roman" w:hAnsi="Times New Roman" w:cs="Times New Roman"/>
          <w:color w:val="000000" w:themeColor="text1"/>
          <w:sz w:val="24"/>
        </w:rPr>
        <w:t>Yuqing</w:t>
      </w:r>
      <w:proofErr w:type="spellEnd"/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 Wang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6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Q</w:t>
      </w:r>
      <w:r>
        <w:rPr>
          <w:rFonts w:ascii="Times New Roman" w:hAnsi="Times New Roman" w:cs="Times New Roman" w:hint="eastAsia"/>
          <w:color w:val="000000" w:themeColor="text1"/>
          <w:sz w:val="24"/>
        </w:rPr>
        <w:t>inghua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Zhou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4F40E2">
        <w:rPr>
          <w:rFonts w:ascii="Times New Roman" w:hAnsi="Times New Roman" w:cs="Times New Roman"/>
          <w:color w:val="000000" w:themeColor="text1"/>
          <w:sz w:val="24"/>
          <w:vertAlign w:val="superscript"/>
        </w:rPr>
        <w:t>,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>Xi Zheng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4F40E2">
        <w:rPr>
          <w:rFonts w:ascii="Times New Roman" w:hAnsi="Times New Roman" w:cs="Times New Roman"/>
          <w:color w:val="000000" w:themeColor="text1"/>
          <w:sz w:val="24"/>
          <w:vertAlign w:val="superscript"/>
        </w:rPr>
        <w:t>,</w:t>
      </w:r>
      <w:r>
        <w:rPr>
          <w:rFonts w:ascii="Times New Roman" w:hAnsi="Times New Roman" w:cs="Times New Roman"/>
          <w:color w:val="000000" w:themeColor="text1"/>
          <w:sz w:val="24"/>
          <w:vertAlign w:val="superscript"/>
        </w:rPr>
        <w:t>3</w:t>
      </w:r>
      <w:bookmarkStart w:id="2" w:name="_Hlk139494221"/>
      <w:r w:rsidRPr="00ED326D">
        <w:rPr>
          <w:rFonts w:ascii="Times New Roman" w:hAnsi="Times New Roman" w:cs="Times New Roman"/>
          <w:color w:val="000000" w:themeColor="text1"/>
          <w:sz w:val="24"/>
          <w:vertAlign w:val="superscript"/>
        </w:rPr>
        <w:t>*</w:t>
      </w:r>
      <w:bookmarkEnd w:id="2"/>
    </w:p>
    <w:p w14:paraId="701BEA2D" w14:textId="77777777" w:rsidR="00936E0E" w:rsidRPr="004F40E2" w:rsidRDefault="00936E0E" w:rsidP="00936E0E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ED326D">
        <w:rPr>
          <w:rFonts w:ascii="Times New Roman" w:hAnsi="Times New Roman" w:cs="Times New Roman"/>
          <w:color w:val="000000" w:themeColor="text1"/>
          <w:sz w:val="24"/>
          <w:vertAlign w:val="superscript"/>
        </w:rPr>
        <w:t>*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</w:rPr>
        <w:t>orresponding author:</w:t>
      </w:r>
      <w:r w:rsidRPr="00D2116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F40E2">
        <w:rPr>
          <w:rFonts w:ascii="Times New Roman" w:hAnsi="Times New Roman" w:cs="Times New Roman"/>
          <w:color w:val="000000" w:themeColor="text1"/>
          <w:sz w:val="24"/>
        </w:rPr>
        <w:t>rmhahea@ucl.ac.uk</w:t>
      </w:r>
    </w:p>
    <w:p w14:paraId="79F3AA11" w14:textId="77777777" w:rsidR="00936E0E" w:rsidRDefault="00936E0E" w:rsidP="00936E0E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ED326D">
        <w:rPr>
          <w:rFonts w:ascii="Times New Roman" w:hAnsi="Times New Roman" w:cs="Times New Roman"/>
          <w:bCs/>
          <w:sz w:val="24"/>
          <w:vertAlign w:val="superscript"/>
        </w:rPr>
        <w:t>†</w:t>
      </w:r>
      <w:proofErr w:type="spellStart"/>
      <w:r w:rsidRPr="004F40E2">
        <w:rPr>
          <w:rFonts w:ascii="Times New Roman" w:hAnsi="Times New Roman" w:cs="Times New Roman"/>
          <w:color w:val="000000" w:themeColor="text1"/>
          <w:sz w:val="24"/>
        </w:rPr>
        <w:t>Xiaoqian</w:t>
      </w:r>
      <w:proofErr w:type="spellEnd"/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 Zhai, </w:t>
      </w:r>
      <w:proofErr w:type="spellStart"/>
      <w:r w:rsidRPr="004F40E2">
        <w:rPr>
          <w:rFonts w:ascii="Times New Roman" w:hAnsi="Times New Roman" w:cs="Times New Roman"/>
          <w:color w:val="000000" w:themeColor="text1"/>
          <w:sz w:val="24"/>
        </w:rPr>
        <w:t>Dongqi</w:t>
      </w:r>
      <w:proofErr w:type="spellEnd"/>
      <w:r w:rsidRPr="004F40E2">
        <w:rPr>
          <w:rFonts w:ascii="Times New Roman" w:hAnsi="Times New Roman" w:cs="Times New Roman"/>
          <w:color w:val="000000" w:themeColor="text1"/>
          <w:sz w:val="24"/>
        </w:rPr>
        <w:t xml:space="preserve"> Lin </w:t>
      </w:r>
      <w:r>
        <w:rPr>
          <w:rFonts w:ascii="Times New Roman" w:hAnsi="Times New Roman" w:cs="Times New Roman"/>
          <w:color w:val="000000" w:themeColor="text1"/>
          <w:sz w:val="24"/>
        </w:rPr>
        <w:t>are regarded as co-first authors.</w:t>
      </w:r>
    </w:p>
    <w:p w14:paraId="04E8AE0D" w14:textId="77777777" w:rsidR="00D80757" w:rsidRPr="00936E0E" w:rsidRDefault="00D80757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4B5DAA" w14:textId="77777777" w:rsidR="00D80757" w:rsidRPr="00D16100" w:rsidRDefault="00D80757" w:rsidP="00D807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100">
        <w:rPr>
          <w:rFonts w:ascii="Times New Roman" w:eastAsia="Times New Roman" w:hAnsi="Times New Roman" w:cs="Times New Roman"/>
          <w:b/>
          <w:sz w:val="24"/>
          <w:szCs w:val="24"/>
        </w:rPr>
        <w:t>This PDF file includes:</w:t>
      </w:r>
    </w:p>
    <w:p w14:paraId="1F550945" w14:textId="77777777" w:rsidR="00D80757" w:rsidRPr="00D16100" w:rsidRDefault="00D80757" w:rsidP="00D807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514C9F" w14:textId="3A3468A7" w:rsidR="00D80757" w:rsidRPr="00D16100" w:rsidRDefault="00D80757" w:rsidP="00D8075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16100">
        <w:rPr>
          <w:rFonts w:ascii="Times New Roman" w:eastAsia="Times New Roman" w:hAnsi="Times New Roman" w:cs="Times New Roman"/>
          <w:sz w:val="24"/>
          <w:szCs w:val="24"/>
        </w:rPr>
        <w:t>Figures. S1 to S2</w:t>
      </w:r>
    </w:p>
    <w:p w14:paraId="50269F6D" w14:textId="77777777" w:rsidR="00D80757" w:rsidRPr="00D80757" w:rsidRDefault="00D80757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E71ACB" w14:textId="77777777" w:rsidR="00D80757" w:rsidRDefault="00D80757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53D910" w14:textId="77777777" w:rsidR="00D80757" w:rsidRDefault="00D80757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9FACB4" w14:textId="77777777" w:rsidR="00D80757" w:rsidRDefault="00D80757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08A8BB" w14:textId="77777777" w:rsidR="00D80757" w:rsidRDefault="00D80757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BFEFD8" w14:textId="0E96FA51" w:rsidR="00D80757" w:rsidRDefault="00D80757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0DA78D" w14:textId="13E1B9EC" w:rsidR="00D16100" w:rsidRDefault="00D16100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A64336" w14:textId="666D5C76" w:rsidR="00D16100" w:rsidRDefault="00D16100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80FFA6" w14:textId="77777777" w:rsidR="00D16100" w:rsidRDefault="00D16100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59832E" w14:textId="77777777" w:rsidR="00936E0E" w:rsidRDefault="00936E0E" w:rsidP="00B2032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6E7ED" w14:textId="77777777" w:rsidR="00936E0E" w:rsidRDefault="00936E0E" w:rsidP="00B2032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DDA5E" w14:textId="190A51F5" w:rsidR="00F87D9A" w:rsidRDefault="00B20328" w:rsidP="00B2032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1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 </w:t>
      </w:r>
      <w:r w:rsidR="00776911" w:rsidRPr="00D1610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16100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7E3912F" w14:textId="0674A146" w:rsidR="00DF38B3" w:rsidRPr="00D16100" w:rsidRDefault="00DF38B3" w:rsidP="00B2032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35B9E79" wp14:editId="0D94F964">
            <wp:extent cx="5274310" cy="3431540"/>
            <wp:effectExtent l="0" t="0" r="2540" b="0"/>
            <wp:docPr id="2139930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30996" name="图片 21399309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63590" w14:textId="6F903AF8" w:rsidR="00B20328" w:rsidRPr="00F87D9A" w:rsidRDefault="00F87D9A" w:rsidP="00F87D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0186">
        <w:rPr>
          <w:rFonts w:ascii="Times New Roman" w:hAnsi="Times New Roman" w:cs="Times New Roman"/>
          <w:sz w:val="24"/>
        </w:rPr>
        <w:t>When compared with BPD groups,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793082">
        <w:rPr>
          <w:rFonts w:ascii="Times New Roman" w:hAnsi="Times New Roman" w:cs="Times New Roman"/>
          <w:i/>
          <w:iCs/>
          <w:sz w:val="24"/>
        </w:rPr>
        <w:t>Akkermansia</w:t>
      </w:r>
      <w:proofErr w:type="spellEnd"/>
      <w:r w:rsidRPr="00793082">
        <w:rPr>
          <w:rFonts w:ascii="Times New Roman" w:hAnsi="Times New Roman" w:cs="Times New Roman"/>
          <w:sz w:val="24"/>
        </w:rPr>
        <w:t xml:space="preserve">, </w:t>
      </w:r>
      <w:r w:rsidRPr="00793082">
        <w:rPr>
          <w:rFonts w:ascii="Times New Roman" w:hAnsi="Times New Roman" w:cs="Times New Roman"/>
          <w:i/>
          <w:iCs/>
          <w:sz w:val="24"/>
        </w:rPr>
        <w:t>Escherichia-shigella</w:t>
      </w:r>
      <w:r>
        <w:rPr>
          <w:rFonts w:ascii="Times New Roman" w:hAnsi="Times New Roman" w:cs="Times New Roman"/>
          <w:sz w:val="24"/>
        </w:rPr>
        <w:t xml:space="preserve"> </w:t>
      </w:r>
      <w:r w:rsidRPr="00793082">
        <w:rPr>
          <w:rFonts w:ascii="Times New Roman" w:hAnsi="Times New Roman" w:cs="Times New Roman"/>
          <w:sz w:val="24"/>
        </w:rPr>
        <w:t xml:space="preserve">and </w:t>
      </w:r>
      <w:r w:rsidRPr="00793082">
        <w:rPr>
          <w:rFonts w:ascii="Times New Roman" w:hAnsi="Times New Roman" w:cs="Times New Roman"/>
          <w:i/>
          <w:iCs/>
          <w:sz w:val="24"/>
        </w:rPr>
        <w:t>Klebsiella</w:t>
      </w:r>
      <w:r w:rsidRPr="00793082">
        <w:rPr>
          <w:rFonts w:ascii="Times New Roman" w:hAnsi="Times New Roman" w:cs="Times New Roman"/>
          <w:sz w:val="24"/>
        </w:rPr>
        <w:t xml:space="preserve"> were found to be significantly enriched in the LUSC group at the genus level</w:t>
      </w:r>
      <w:r>
        <w:rPr>
          <w:rFonts w:ascii="Times New Roman" w:hAnsi="Times New Roman" w:cs="Times New Roman"/>
          <w:sz w:val="24"/>
        </w:rPr>
        <w:t>,</w:t>
      </w:r>
      <w:r w:rsidRPr="00330186">
        <w:rPr>
          <w:rFonts w:ascii="Times New Roman" w:hAnsi="Times New Roman" w:cs="Times New Roman"/>
          <w:sz w:val="24"/>
        </w:rPr>
        <w:t xml:space="preserve"> while</w:t>
      </w:r>
      <w:r w:rsidRPr="009435BF">
        <w:rPr>
          <w:rFonts w:ascii="Times New Roman" w:hAnsi="Times New Roman" w:cs="Times New Roman"/>
          <w:i/>
          <w:sz w:val="24"/>
        </w:rPr>
        <w:t xml:space="preserve"> Vibrio, </w:t>
      </w:r>
      <w:proofErr w:type="spellStart"/>
      <w:r w:rsidRPr="009435BF">
        <w:rPr>
          <w:rFonts w:ascii="Times New Roman" w:hAnsi="Times New Roman" w:cs="Times New Roman"/>
          <w:i/>
          <w:sz w:val="24"/>
        </w:rPr>
        <w:t>Pseudoalteromonas</w:t>
      </w:r>
      <w:proofErr w:type="spellEnd"/>
      <w:r w:rsidRPr="0033018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9435BF">
        <w:rPr>
          <w:rFonts w:ascii="Times New Roman" w:hAnsi="Times New Roman" w:cs="Times New Roman"/>
          <w:i/>
          <w:sz w:val="24"/>
        </w:rPr>
        <w:t>Atopobium</w:t>
      </w:r>
      <w:proofErr w:type="spellEnd"/>
      <w:r w:rsidRPr="00330186">
        <w:rPr>
          <w:rFonts w:ascii="Times New Roman" w:hAnsi="Times New Roman" w:cs="Times New Roman"/>
          <w:sz w:val="24"/>
        </w:rPr>
        <w:t xml:space="preserve"> were significantly enriched in the BPD group</w:t>
      </w:r>
      <w:r>
        <w:rPr>
          <w:rFonts w:ascii="Times New Roman" w:hAnsi="Times New Roman" w:cs="Times New Roman"/>
          <w:sz w:val="24"/>
        </w:rPr>
        <w:t xml:space="preserve"> </w:t>
      </w:r>
      <w:r w:rsidRPr="00330186">
        <w:rPr>
          <w:rFonts w:ascii="Times New Roman" w:hAnsi="Times New Roman" w:cs="Times New Roman"/>
          <w:sz w:val="24"/>
        </w:rPr>
        <w:t>(</w:t>
      </w:r>
      <w:r w:rsidRPr="00793082">
        <w:rPr>
          <w:rFonts w:ascii="Times New Roman" w:hAnsi="Times New Roman" w:cs="Times New Roman"/>
          <w:sz w:val="24"/>
        </w:rPr>
        <w:t>Fig.</w:t>
      </w:r>
      <w:r w:rsidR="00D16100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>1</w:t>
      </w:r>
      <w:r w:rsidRPr="00793082">
        <w:rPr>
          <w:rFonts w:ascii="Times New Roman" w:hAnsi="Times New Roman" w:cs="Times New Roman"/>
          <w:sz w:val="24"/>
        </w:rPr>
        <w:t>A</w:t>
      </w:r>
      <w:r w:rsidRPr="00330186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 w:hint="eastAsia"/>
          <w:sz w:val="24"/>
          <w:szCs w:val="24"/>
        </w:rPr>
        <w:t>ext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0186">
        <w:rPr>
          <w:rFonts w:ascii="Times New Roman" w:hAnsi="Times New Roman" w:cs="Times New Roman" w:hint="eastAsia"/>
          <w:sz w:val="24"/>
        </w:rPr>
        <w:t>w</w:t>
      </w:r>
      <w:r w:rsidRPr="00330186">
        <w:rPr>
          <w:rFonts w:ascii="Times New Roman" w:hAnsi="Times New Roman" w:cs="Times New Roman"/>
          <w:sz w:val="24"/>
        </w:rPr>
        <w:t>e compared</w:t>
      </w:r>
      <w:r w:rsidRPr="00F87D9A">
        <w:rPr>
          <w:rFonts w:ascii="Times New Roman" w:hAnsi="Times New Roman" w:cs="Times New Roman"/>
          <w:sz w:val="24"/>
        </w:rPr>
        <w:t xml:space="preserve"> </w:t>
      </w:r>
      <w:r w:rsidRPr="00793082">
        <w:rPr>
          <w:rFonts w:ascii="Times New Roman" w:hAnsi="Times New Roman" w:cs="Times New Roman"/>
          <w:sz w:val="24"/>
        </w:rPr>
        <w:t xml:space="preserve">LUSC with lung adenocarcinoma (SN) </w:t>
      </w:r>
      <w:r w:rsidRPr="00330186">
        <w:rPr>
          <w:rFonts w:ascii="Times New Roman" w:hAnsi="Times New Roman" w:cs="Times New Roman"/>
          <w:sz w:val="24"/>
        </w:rPr>
        <w:t>and found that</w:t>
      </w:r>
      <w:r w:rsidRPr="002E32BA">
        <w:rPr>
          <w:rFonts w:ascii="Times New Roman" w:hAnsi="Times New Roman" w:cs="Times New Roman"/>
          <w:i/>
          <w:sz w:val="24"/>
        </w:rPr>
        <w:t xml:space="preserve"> </w:t>
      </w:r>
      <w:r w:rsidRPr="009435BF">
        <w:rPr>
          <w:rFonts w:ascii="Times New Roman" w:hAnsi="Times New Roman" w:cs="Times New Roman"/>
          <w:i/>
          <w:sz w:val="24"/>
        </w:rPr>
        <w:t>B</w:t>
      </w:r>
      <w:r w:rsidRPr="002E32BA">
        <w:rPr>
          <w:rFonts w:ascii="Times New Roman" w:hAnsi="Times New Roman" w:cs="Times New Roman"/>
          <w:i/>
          <w:sz w:val="24"/>
        </w:rPr>
        <w:t xml:space="preserve">acillus, </w:t>
      </w:r>
      <w:r>
        <w:rPr>
          <w:rFonts w:ascii="Times New Roman" w:hAnsi="Times New Roman" w:cs="Times New Roman"/>
          <w:i/>
          <w:sz w:val="24"/>
        </w:rPr>
        <w:t xml:space="preserve">and </w:t>
      </w:r>
      <w:proofErr w:type="spellStart"/>
      <w:r w:rsidRPr="002E32BA">
        <w:rPr>
          <w:rFonts w:ascii="Times New Roman" w:hAnsi="Times New Roman" w:cs="Times New Roman"/>
          <w:i/>
          <w:sz w:val="24"/>
        </w:rPr>
        <w:t>Hydrogenophaga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330186">
        <w:rPr>
          <w:rFonts w:ascii="Times New Roman" w:hAnsi="Times New Roman" w:cs="Times New Roman"/>
          <w:sz w:val="24"/>
        </w:rPr>
        <w:t xml:space="preserve">were significantly enriched in the SN group, whereas </w:t>
      </w:r>
      <w:proofErr w:type="spellStart"/>
      <w:r w:rsidRPr="002E32BA">
        <w:rPr>
          <w:rFonts w:ascii="Times New Roman" w:hAnsi="Times New Roman" w:cs="Times New Roman"/>
          <w:i/>
          <w:sz w:val="24"/>
        </w:rPr>
        <w:t>Akkermansia</w:t>
      </w:r>
      <w:proofErr w:type="spellEnd"/>
      <w:r w:rsidRPr="002E32BA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E32BA">
        <w:rPr>
          <w:rFonts w:ascii="Times New Roman" w:hAnsi="Times New Roman" w:cs="Times New Roman"/>
          <w:i/>
          <w:sz w:val="24"/>
        </w:rPr>
        <w:t>Feacalibacteriu</w:t>
      </w:r>
      <w:r>
        <w:rPr>
          <w:rFonts w:ascii="Times New Roman" w:hAnsi="Times New Roman" w:cs="Times New Roman"/>
          <w:i/>
          <w:sz w:val="24"/>
        </w:rPr>
        <w:t>m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Pr="00834C11">
        <w:rPr>
          <w:rFonts w:ascii="Times New Roman" w:hAnsi="Times New Roman" w:cs="Times New Roman"/>
          <w:iCs/>
          <w:sz w:val="24"/>
        </w:rPr>
        <w:t>and</w:t>
      </w:r>
      <w:r>
        <w:rPr>
          <w:rFonts w:ascii="Times New Roman" w:hAnsi="Times New Roman" w:cs="Times New Roman"/>
          <w:i/>
          <w:sz w:val="24"/>
        </w:rPr>
        <w:t xml:space="preserve"> K</w:t>
      </w:r>
      <w:r w:rsidRPr="002E32BA">
        <w:rPr>
          <w:rFonts w:ascii="Times New Roman" w:hAnsi="Times New Roman" w:cs="Times New Roman"/>
          <w:i/>
          <w:sz w:val="24"/>
        </w:rPr>
        <w:t>lebsiella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330186">
        <w:rPr>
          <w:rFonts w:ascii="Times New Roman" w:hAnsi="Times New Roman" w:cs="Times New Roman"/>
          <w:sz w:val="24"/>
        </w:rPr>
        <w:t>were significantly enriched in the LUSC group</w:t>
      </w:r>
      <w:r>
        <w:rPr>
          <w:rFonts w:ascii="Times New Roman" w:hAnsi="Times New Roman" w:cs="Times New Roman"/>
          <w:sz w:val="24"/>
        </w:rPr>
        <w:t xml:space="preserve"> </w:t>
      </w:r>
      <w:r w:rsidRPr="00793082">
        <w:rPr>
          <w:rFonts w:ascii="Times New Roman" w:hAnsi="Times New Roman" w:cs="Times New Roman"/>
          <w:sz w:val="24"/>
        </w:rPr>
        <w:t>(Fig.</w:t>
      </w:r>
      <w:r w:rsidR="00D16100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1</w:t>
      </w:r>
      <w:r w:rsidRPr="00793082">
        <w:rPr>
          <w:rFonts w:ascii="Times New Roman" w:hAnsi="Times New Roman" w:cs="Times New Roman"/>
          <w:sz w:val="24"/>
        </w:rPr>
        <w:t>B)</w:t>
      </w:r>
      <w:r w:rsidRPr="00330186">
        <w:rPr>
          <w:rFonts w:ascii="Times New Roman" w:hAnsi="Times New Roman" w:cs="Times New Roman"/>
          <w:sz w:val="24"/>
        </w:rPr>
        <w:t>.</w:t>
      </w:r>
    </w:p>
    <w:p w14:paraId="1FB42892" w14:textId="77777777" w:rsidR="00F87D9A" w:rsidRDefault="00F87D9A" w:rsidP="00B203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DE5669" w14:textId="77777777" w:rsidR="00936E0E" w:rsidRDefault="00936E0E" w:rsidP="008458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22BAB" w14:textId="77777777" w:rsidR="00936E0E" w:rsidRDefault="00936E0E" w:rsidP="008458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3597B" w14:textId="77777777" w:rsidR="00936E0E" w:rsidRDefault="00936E0E" w:rsidP="008458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7B953" w14:textId="77777777" w:rsidR="00936E0E" w:rsidRDefault="00936E0E" w:rsidP="008458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1688F" w14:textId="59EC72AA" w:rsidR="00B20328" w:rsidRDefault="00B20328" w:rsidP="008458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1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 </w:t>
      </w:r>
      <w:r w:rsidR="00776911" w:rsidRPr="00D1610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1610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C378D8F" w14:textId="4DCAF581" w:rsidR="00DF38B3" w:rsidRPr="00D16100" w:rsidRDefault="00DF38B3" w:rsidP="008458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3938FD" wp14:editId="722DB20E">
            <wp:extent cx="5274310" cy="5314950"/>
            <wp:effectExtent l="0" t="0" r="2540" b="0"/>
            <wp:docPr id="1001776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7629" name="图片 1001776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78A41" w14:textId="67B91A98" w:rsidR="00DF594D" w:rsidRDefault="00F87D9A" w:rsidP="008458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7EB0">
        <w:rPr>
          <w:rFonts w:ascii="Times New Roman" w:hAnsi="Times New Roman" w:cs="Times New Roman"/>
          <w:sz w:val="24"/>
        </w:rPr>
        <w:t>We validated the metabolomic data using the OPLS-DA model and found that the metabolic data were comparable between the lung nodule pairs (</w:t>
      </w:r>
      <w:r w:rsidRPr="00793082">
        <w:rPr>
          <w:rFonts w:ascii="Times New Roman" w:hAnsi="Times New Roman" w:cs="Times New Roman"/>
          <w:sz w:val="24"/>
        </w:rPr>
        <w:t>Fig.</w:t>
      </w:r>
      <w:r w:rsidR="00D16100">
        <w:rPr>
          <w:rFonts w:ascii="Times New Roman" w:hAnsi="Times New Roman" w:cs="Times New Roman"/>
          <w:sz w:val="24"/>
        </w:rPr>
        <w:t xml:space="preserve"> S</w:t>
      </w:r>
      <w:r>
        <w:rPr>
          <w:rFonts w:ascii="Times New Roman" w:hAnsi="Times New Roman" w:cs="Times New Roman"/>
          <w:sz w:val="24"/>
        </w:rPr>
        <w:t>2</w:t>
      </w:r>
      <w:r w:rsidRPr="00793082">
        <w:rPr>
          <w:rFonts w:ascii="Times New Roman" w:hAnsi="Times New Roman" w:cs="Times New Roman"/>
          <w:sz w:val="24"/>
        </w:rPr>
        <w:t>A</w:t>
      </w:r>
      <w:r w:rsidRPr="00F17EB0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</w:t>
      </w:r>
      <w:r w:rsidR="00845829" w:rsidRPr="00845829">
        <w:rPr>
          <w:rFonts w:ascii="Times New Roman" w:hAnsi="Times New Roman" w:cs="Times New Roman"/>
          <w:sz w:val="24"/>
          <w:szCs w:val="24"/>
        </w:rPr>
        <w:t xml:space="preserve">We compared the two groups of early </w:t>
      </w:r>
      <w:proofErr w:type="gramStart"/>
      <w:r w:rsidR="00845829" w:rsidRPr="00845829">
        <w:rPr>
          <w:rFonts w:ascii="Times New Roman" w:hAnsi="Times New Roman" w:cs="Times New Roman"/>
          <w:sz w:val="24"/>
          <w:szCs w:val="24"/>
        </w:rPr>
        <w:t>adenocarcinoma</w:t>
      </w:r>
      <w:proofErr w:type="gramEnd"/>
      <w:r w:rsidR="00845829" w:rsidRPr="00845829">
        <w:rPr>
          <w:rFonts w:ascii="Times New Roman" w:hAnsi="Times New Roman" w:cs="Times New Roman"/>
          <w:sz w:val="24"/>
          <w:szCs w:val="24"/>
        </w:rPr>
        <w:t xml:space="preserve"> (GGN and SN) and found that 122 differential metabolites were up-regulated and 189 metabolites were down-regulated in the GGN group. Among them, the top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5829" w:rsidRPr="00845829">
        <w:rPr>
          <w:rFonts w:ascii="Times New Roman" w:hAnsi="Times New Roman" w:cs="Times New Roman"/>
          <w:sz w:val="24"/>
          <w:szCs w:val="24"/>
        </w:rPr>
        <w:t xml:space="preserve"> differential metabolites of the GGN group were 8(R)-Hydroxy-(5Z,9E,11Z,14Z)-eicosatetraenoic acid (fold change=4), L-Anserine (fold change=4)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45829" w:rsidRPr="00845829">
        <w:rPr>
          <w:rFonts w:ascii="Times New Roman" w:hAnsi="Times New Roman" w:cs="Times New Roman"/>
          <w:sz w:val="24"/>
          <w:szCs w:val="24"/>
        </w:rPr>
        <w:t>Phosphoenolpyruvic</w:t>
      </w:r>
      <w:proofErr w:type="spellEnd"/>
      <w:r w:rsidR="00845829" w:rsidRPr="00845829">
        <w:rPr>
          <w:rFonts w:ascii="Times New Roman" w:hAnsi="Times New Roman" w:cs="Times New Roman"/>
          <w:sz w:val="24"/>
          <w:szCs w:val="24"/>
        </w:rPr>
        <w:t xml:space="preserve"> acid (fold change= 4) (Fig.</w:t>
      </w:r>
      <w:r w:rsidR="00D16100">
        <w:rPr>
          <w:rFonts w:ascii="Times New Roman" w:hAnsi="Times New Roman" w:cs="Times New Roman"/>
          <w:sz w:val="24"/>
          <w:szCs w:val="24"/>
        </w:rPr>
        <w:t xml:space="preserve"> S</w:t>
      </w:r>
      <w:r w:rsidR="00CC63D9">
        <w:rPr>
          <w:rFonts w:ascii="Times New Roman" w:hAnsi="Times New Roman" w:cs="Times New Roman"/>
          <w:sz w:val="24"/>
          <w:szCs w:val="24"/>
        </w:rPr>
        <w:t>2</w:t>
      </w:r>
      <w:r w:rsidR="00845829" w:rsidRPr="00845829">
        <w:rPr>
          <w:rFonts w:ascii="Times New Roman" w:hAnsi="Times New Roman" w:cs="Times New Roman"/>
          <w:sz w:val="24"/>
          <w:szCs w:val="24"/>
        </w:rPr>
        <w:t xml:space="preserve">B). KEGG enrichment analysis revealed that the pathways of up-regulated metabolite enrichment </w:t>
      </w:r>
      <w:r w:rsidR="00845829" w:rsidRPr="00845829">
        <w:rPr>
          <w:rFonts w:ascii="Times New Roman" w:hAnsi="Times New Roman" w:cs="Times New Roman"/>
          <w:sz w:val="24"/>
          <w:szCs w:val="24"/>
        </w:rPr>
        <w:lastRenderedPageBreak/>
        <w:t>in the GGN group were the Citrate cycle (TCA cycle), Histidine metabolism (Fig.</w:t>
      </w:r>
      <w:r w:rsidR="00D16100">
        <w:rPr>
          <w:rFonts w:ascii="Times New Roman" w:hAnsi="Times New Roman" w:cs="Times New Roman"/>
          <w:sz w:val="24"/>
          <w:szCs w:val="24"/>
        </w:rPr>
        <w:t xml:space="preserve"> S</w:t>
      </w:r>
      <w:r w:rsidR="00CC63D9">
        <w:rPr>
          <w:rFonts w:ascii="Times New Roman" w:hAnsi="Times New Roman" w:cs="Times New Roman"/>
          <w:sz w:val="24"/>
          <w:szCs w:val="24"/>
        </w:rPr>
        <w:t>2</w:t>
      </w:r>
      <w:r w:rsidR="00845829" w:rsidRPr="00845829">
        <w:rPr>
          <w:rFonts w:ascii="Times New Roman" w:hAnsi="Times New Roman" w:cs="Times New Roman"/>
          <w:sz w:val="24"/>
          <w:szCs w:val="24"/>
        </w:rPr>
        <w:t>C).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328">
        <w:rPr>
          <w:rFonts w:ascii="Times New Roman" w:hAnsi="Times New Roman" w:cs="Times New Roman"/>
          <w:sz w:val="24"/>
          <w:szCs w:val="24"/>
        </w:rPr>
        <w:t xml:space="preserve">Next, </w:t>
      </w:r>
      <w:r w:rsidR="00845829" w:rsidRPr="00845829">
        <w:rPr>
          <w:rFonts w:ascii="Times New Roman" w:hAnsi="Times New Roman" w:cs="Times New Roman"/>
          <w:sz w:val="24"/>
          <w:szCs w:val="24"/>
        </w:rPr>
        <w:t>we compared SN (adenocarcinoma) and LUSC (solid nodules on CT) and found 196 metabolites up-regulated, while 161 down-regulated in the SN group. The top 3 differential metabolites were Puromycin (fold change=8), Adenosine 3'5'-cyclic monophosphate (fold change=8), and Ethylmalonic acid (fold change=8) (Fig.</w:t>
      </w:r>
      <w:r w:rsidR="00D16100">
        <w:rPr>
          <w:rFonts w:ascii="Times New Roman" w:hAnsi="Times New Roman" w:cs="Times New Roman"/>
          <w:sz w:val="24"/>
          <w:szCs w:val="24"/>
        </w:rPr>
        <w:t xml:space="preserve"> S</w:t>
      </w:r>
      <w:r w:rsidR="00CC63D9">
        <w:rPr>
          <w:rFonts w:ascii="Times New Roman" w:hAnsi="Times New Roman" w:cs="Times New Roman"/>
          <w:sz w:val="24"/>
          <w:szCs w:val="24"/>
        </w:rPr>
        <w:t>2</w:t>
      </w:r>
      <w:r w:rsidR="00845829" w:rsidRPr="00845829">
        <w:rPr>
          <w:rFonts w:ascii="Times New Roman" w:hAnsi="Times New Roman" w:cs="Times New Roman"/>
          <w:sz w:val="24"/>
          <w:szCs w:val="24"/>
        </w:rPr>
        <w:t>B). The KEGG pathways enriched in the SN group included Tyrosine metabolism, Arachidonic acid metabolism, and Steroid hormone biosynthesis (Fig.</w:t>
      </w:r>
      <w:r w:rsidR="00D16100">
        <w:rPr>
          <w:rFonts w:ascii="Times New Roman" w:hAnsi="Times New Roman" w:cs="Times New Roman"/>
          <w:sz w:val="24"/>
          <w:szCs w:val="24"/>
        </w:rPr>
        <w:t xml:space="preserve"> S</w:t>
      </w:r>
      <w:r w:rsidR="00CC63D9">
        <w:rPr>
          <w:rFonts w:ascii="Times New Roman" w:hAnsi="Times New Roman" w:cs="Times New Roman"/>
          <w:sz w:val="24"/>
          <w:szCs w:val="24"/>
        </w:rPr>
        <w:t>2</w:t>
      </w:r>
      <w:r w:rsidR="00845829" w:rsidRPr="00845829">
        <w:rPr>
          <w:rFonts w:ascii="Times New Roman" w:hAnsi="Times New Roman" w:cs="Times New Roman"/>
          <w:sz w:val="24"/>
          <w:szCs w:val="24"/>
        </w:rPr>
        <w:t>C). Glutathione metabolism, Pyrimidine metabolism, and Fatty acid biosynthesis were enriched in LUSC.</w:t>
      </w:r>
    </w:p>
    <w:p w14:paraId="7D851501" w14:textId="1DB46A73" w:rsidR="00F038C6" w:rsidRDefault="00F038C6" w:rsidP="008458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648290" w14:textId="28148DA6" w:rsidR="00B20328" w:rsidRPr="00D16100" w:rsidRDefault="006B5B8F" w:rsidP="0084582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100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D16100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B20328" w:rsidRPr="00D16100">
        <w:rPr>
          <w:rFonts w:ascii="Times New Roman" w:hAnsi="Times New Roman" w:cs="Times New Roman"/>
          <w:b/>
          <w:bCs/>
          <w:sz w:val="24"/>
          <w:szCs w:val="24"/>
        </w:rPr>
        <w:t>Figure legends</w:t>
      </w:r>
    </w:p>
    <w:p w14:paraId="218E1E17" w14:textId="4140BEDD" w:rsidR="00B20328" w:rsidRDefault="00B20328" w:rsidP="00B20328">
      <w:pPr>
        <w:spacing w:before="240" w:after="120" w:line="480" w:lineRule="auto"/>
        <w:rPr>
          <w:rFonts w:ascii="Times New Roman" w:hAnsi="Times New Roman" w:cs="Times New Roman"/>
          <w:bCs/>
          <w:sz w:val="24"/>
        </w:rPr>
      </w:pPr>
      <w:r w:rsidRPr="00D85DF0">
        <w:rPr>
          <w:rFonts w:ascii="Times New Roman" w:hAnsi="Times New Roman" w:cs="Times New Roman"/>
          <w:bCs/>
          <w:sz w:val="24"/>
        </w:rPr>
        <w:t>Fig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6B5B8F">
        <w:rPr>
          <w:rFonts w:ascii="Times New Roman" w:hAnsi="Times New Roman" w:cs="Times New Roman"/>
          <w:bCs/>
          <w:sz w:val="24"/>
        </w:rPr>
        <w:t>S</w:t>
      </w:r>
      <w:r>
        <w:rPr>
          <w:rFonts w:ascii="Times New Roman" w:hAnsi="Times New Roman" w:cs="Times New Roman"/>
          <w:bCs/>
          <w:sz w:val="24"/>
        </w:rPr>
        <w:t>1</w:t>
      </w:r>
      <w:r w:rsidRPr="00D85DF0">
        <w:rPr>
          <w:rFonts w:ascii="Times New Roman" w:hAnsi="Times New Roman" w:cs="Times New Roman"/>
          <w:bCs/>
          <w:sz w:val="24"/>
        </w:rPr>
        <w:t>. Comparison of differential microflora between LUSC and BPD</w:t>
      </w:r>
      <w:r w:rsidR="00D42445">
        <w:rPr>
          <w:rFonts w:ascii="Times New Roman" w:hAnsi="Times New Roman" w:cs="Times New Roman"/>
          <w:bCs/>
          <w:sz w:val="24"/>
        </w:rPr>
        <w:t xml:space="preserve"> </w:t>
      </w:r>
      <w:r w:rsidR="00D42445">
        <w:rPr>
          <w:rFonts w:ascii="Times New Roman" w:hAnsi="Times New Roman" w:cs="Times New Roman" w:hint="eastAsia"/>
          <w:bCs/>
          <w:sz w:val="24"/>
        </w:rPr>
        <w:t>o</w:t>
      </w:r>
      <w:r w:rsidR="00D42445">
        <w:rPr>
          <w:rFonts w:ascii="Times New Roman" w:hAnsi="Times New Roman" w:cs="Times New Roman"/>
          <w:bCs/>
          <w:sz w:val="24"/>
        </w:rPr>
        <w:t xml:space="preserve">r </w:t>
      </w:r>
      <w:r w:rsidR="00D42445" w:rsidRPr="00D85DF0">
        <w:rPr>
          <w:rFonts w:ascii="Times New Roman" w:hAnsi="Times New Roman" w:cs="Times New Roman"/>
          <w:bCs/>
          <w:sz w:val="24"/>
        </w:rPr>
        <w:t xml:space="preserve">SN, </w:t>
      </w:r>
      <w:r w:rsidRPr="00D85DF0">
        <w:rPr>
          <w:rFonts w:ascii="Times New Roman" w:hAnsi="Times New Roman" w:cs="Times New Roman"/>
          <w:bCs/>
          <w:sz w:val="24"/>
        </w:rPr>
        <w:t xml:space="preserve">respectively. </w:t>
      </w:r>
      <w:r>
        <w:rPr>
          <w:rFonts w:ascii="Times New Roman" w:hAnsi="Times New Roman" w:cs="Times New Roman"/>
          <w:bCs/>
          <w:sz w:val="24"/>
        </w:rPr>
        <w:t>A</w:t>
      </w:r>
      <w:r w:rsidRPr="00D85DF0">
        <w:rPr>
          <w:rFonts w:ascii="Times New Roman" w:hAnsi="Times New Roman" w:cs="Times New Roman"/>
          <w:bCs/>
          <w:sz w:val="24"/>
        </w:rPr>
        <w:t xml:space="preserve">t the genus level, volcano plot </w:t>
      </w:r>
      <w:r>
        <w:rPr>
          <w:rFonts w:ascii="Times New Roman" w:hAnsi="Times New Roman" w:cs="Times New Roman" w:hint="eastAsia"/>
          <w:bCs/>
          <w:sz w:val="24"/>
        </w:rPr>
        <w:t>using</w:t>
      </w:r>
      <w:r w:rsidRPr="00D85DF0">
        <w:rPr>
          <w:rFonts w:ascii="Times New Roman" w:hAnsi="Times New Roman" w:cs="Times New Roman"/>
          <w:bCs/>
          <w:sz w:val="24"/>
        </w:rPr>
        <w:t xml:space="preserve"> T-test analysis showing the differential flora (fold change&gt; 2)</w:t>
      </w:r>
      <w:r w:rsidR="00D42445" w:rsidRPr="00D42445">
        <w:rPr>
          <w:rFonts w:ascii="Times New Roman" w:hAnsi="Times New Roman" w:cs="Times New Roman" w:hint="eastAsia"/>
          <w:bCs/>
          <w:sz w:val="24"/>
        </w:rPr>
        <w:t xml:space="preserve"> </w:t>
      </w:r>
      <w:r w:rsidR="00D42445">
        <w:rPr>
          <w:rFonts w:ascii="Times New Roman" w:hAnsi="Times New Roman" w:cs="Times New Roman" w:hint="eastAsia"/>
          <w:bCs/>
          <w:sz w:val="24"/>
        </w:rPr>
        <w:t>o</w:t>
      </w:r>
      <w:r w:rsidR="00D42445" w:rsidRPr="00D85DF0">
        <w:rPr>
          <w:rFonts w:ascii="Times New Roman" w:hAnsi="Times New Roman" w:cs="Times New Roman"/>
          <w:bCs/>
          <w:sz w:val="24"/>
        </w:rPr>
        <w:t xml:space="preserve">f </w:t>
      </w:r>
      <w:r w:rsidR="00D42445">
        <w:rPr>
          <w:rFonts w:ascii="Times New Roman" w:hAnsi="Times New Roman" w:cs="Times New Roman"/>
          <w:bCs/>
          <w:sz w:val="24"/>
        </w:rPr>
        <w:t>BPD</w:t>
      </w:r>
      <w:r w:rsidR="00D42445" w:rsidRPr="00D85DF0">
        <w:rPr>
          <w:rFonts w:ascii="Times New Roman" w:hAnsi="Times New Roman" w:cs="Times New Roman"/>
          <w:bCs/>
          <w:sz w:val="24"/>
        </w:rPr>
        <w:t xml:space="preserve"> and </w:t>
      </w:r>
      <w:r w:rsidR="00D42445">
        <w:rPr>
          <w:rFonts w:ascii="Times New Roman" w:hAnsi="Times New Roman" w:cs="Times New Roman"/>
          <w:bCs/>
          <w:sz w:val="24"/>
        </w:rPr>
        <w:t>LUSC (A); SN</w:t>
      </w:r>
      <w:r w:rsidR="00D42445" w:rsidRPr="00D85DF0">
        <w:rPr>
          <w:rFonts w:ascii="Times New Roman" w:hAnsi="Times New Roman" w:cs="Times New Roman"/>
          <w:bCs/>
          <w:sz w:val="24"/>
        </w:rPr>
        <w:t xml:space="preserve"> </w:t>
      </w:r>
      <w:r w:rsidR="00D42445">
        <w:rPr>
          <w:rFonts w:ascii="Times New Roman" w:hAnsi="Times New Roman" w:cs="Times New Roman"/>
          <w:bCs/>
          <w:sz w:val="24"/>
        </w:rPr>
        <w:t>and</w:t>
      </w:r>
      <w:r w:rsidR="00D42445" w:rsidRPr="00D85DF0">
        <w:rPr>
          <w:rFonts w:ascii="Times New Roman" w:hAnsi="Times New Roman" w:cs="Times New Roman"/>
          <w:bCs/>
          <w:sz w:val="24"/>
        </w:rPr>
        <w:t xml:space="preserve"> </w:t>
      </w:r>
      <w:r w:rsidR="00D42445">
        <w:rPr>
          <w:rFonts w:ascii="Times New Roman" w:hAnsi="Times New Roman" w:cs="Times New Roman"/>
          <w:bCs/>
          <w:sz w:val="24"/>
        </w:rPr>
        <w:t>LUSC (B)</w:t>
      </w:r>
      <w:r>
        <w:rPr>
          <w:rFonts w:ascii="Times New Roman" w:hAnsi="Times New Roman" w:cs="Times New Roman"/>
          <w:bCs/>
          <w:sz w:val="24"/>
        </w:rPr>
        <w:t xml:space="preserve">; And </w:t>
      </w:r>
      <w:r>
        <w:rPr>
          <w:rFonts w:ascii="Times New Roman" w:hAnsi="Times New Roman" w:cs="Times New Roman" w:hint="eastAsia"/>
          <w:bCs/>
          <w:sz w:val="24"/>
        </w:rPr>
        <w:t>b</w:t>
      </w:r>
      <w:r w:rsidRPr="00D85DF0">
        <w:rPr>
          <w:rFonts w:ascii="Times New Roman" w:hAnsi="Times New Roman" w:cs="Times New Roman"/>
          <w:bCs/>
          <w:sz w:val="24"/>
        </w:rPr>
        <w:t xml:space="preserve">ar graph showing the mean abundance and </w:t>
      </w:r>
      <w:r w:rsidRPr="00024F9D">
        <w:rPr>
          <w:rFonts w:ascii="Times New Roman" w:hAnsi="Times New Roman" w:cs="Times New Roman"/>
          <w:bCs/>
          <w:i/>
          <w:iCs/>
          <w:sz w:val="24"/>
        </w:rPr>
        <w:t>P</w:t>
      </w:r>
      <w:r>
        <w:rPr>
          <w:rFonts w:ascii="Times New Roman" w:hAnsi="Times New Roman" w:cs="Times New Roman"/>
          <w:bCs/>
          <w:sz w:val="24"/>
        </w:rPr>
        <w:t xml:space="preserve"> value </w:t>
      </w:r>
      <w:r>
        <w:rPr>
          <w:rFonts w:ascii="Times New Roman" w:hAnsi="Times New Roman" w:cs="Times New Roman" w:hint="eastAsia"/>
          <w:bCs/>
          <w:sz w:val="24"/>
        </w:rPr>
        <w:t>o</w:t>
      </w:r>
      <w:r w:rsidRPr="00D85DF0">
        <w:rPr>
          <w:rFonts w:ascii="Times New Roman" w:hAnsi="Times New Roman" w:cs="Times New Roman"/>
          <w:bCs/>
          <w:sz w:val="24"/>
        </w:rPr>
        <w:t xml:space="preserve">f </w:t>
      </w:r>
      <w:r w:rsidR="00D42445">
        <w:rPr>
          <w:rFonts w:ascii="Times New Roman" w:hAnsi="Times New Roman" w:cs="Times New Roman"/>
          <w:bCs/>
          <w:sz w:val="24"/>
        </w:rPr>
        <w:t>BPD</w:t>
      </w:r>
      <w:r w:rsidRPr="00D85DF0">
        <w:rPr>
          <w:rFonts w:ascii="Times New Roman" w:hAnsi="Times New Roman" w:cs="Times New Roman"/>
          <w:bCs/>
          <w:sz w:val="24"/>
        </w:rPr>
        <w:t xml:space="preserve"> and </w:t>
      </w:r>
      <w:r w:rsidR="00D42445">
        <w:rPr>
          <w:rFonts w:ascii="Times New Roman" w:hAnsi="Times New Roman" w:cs="Times New Roman"/>
          <w:bCs/>
          <w:sz w:val="24"/>
        </w:rPr>
        <w:t>LUSC</w:t>
      </w:r>
      <w:r>
        <w:rPr>
          <w:rFonts w:ascii="Times New Roman" w:hAnsi="Times New Roman" w:cs="Times New Roman"/>
          <w:bCs/>
          <w:sz w:val="24"/>
        </w:rPr>
        <w:t xml:space="preserve"> (A); </w:t>
      </w:r>
      <w:r w:rsidR="00D42445">
        <w:rPr>
          <w:rFonts w:ascii="Times New Roman" w:hAnsi="Times New Roman" w:cs="Times New Roman"/>
          <w:bCs/>
          <w:sz w:val="24"/>
        </w:rPr>
        <w:t>SN</w:t>
      </w:r>
      <w:r w:rsidRPr="00D85DF0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and</w:t>
      </w:r>
      <w:r w:rsidRPr="00D85DF0">
        <w:rPr>
          <w:rFonts w:ascii="Times New Roman" w:hAnsi="Times New Roman" w:cs="Times New Roman"/>
          <w:bCs/>
          <w:sz w:val="24"/>
        </w:rPr>
        <w:t xml:space="preserve"> </w:t>
      </w:r>
      <w:r w:rsidR="00D42445">
        <w:rPr>
          <w:rFonts w:ascii="Times New Roman" w:hAnsi="Times New Roman" w:cs="Times New Roman"/>
          <w:bCs/>
          <w:sz w:val="24"/>
        </w:rPr>
        <w:t xml:space="preserve">LUSC </w:t>
      </w:r>
      <w:r>
        <w:rPr>
          <w:rFonts w:ascii="Times New Roman" w:hAnsi="Times New Roman" w:cs="Times New Roman"/>
          <w:bCs/>
          <w:sz w:val="24"/>
        </w:rPr>
        <w:t>(B).</w:t>
      </w:r>
    </w:p>
    <w:p w14:paraId="4879F88C" w14:textId="6BC98CE9" w:rsidR="00727279" w:rsidRDefault="00B20328" w:rsidP="00D807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8C6">
        <w:rPr>
          <w:rFonts w:ascii="Times New Roman" w:hAnsi="Times New Roman" w:cs="Times New Roman"/>
          <w:bCs/>
          <w:sz w:val="24"/>
          <w:szCs w:val="24"/>
        </w:rPr>
        <w:t xml:space="preserve">Fig </w:t>
      </w:r>
      <w:r w:rsidR="006B5B8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038C6">
        <w:rPr>
          <w:rFonts w:ascii="Times New Roman" w:hAnsi="Times New Roman" w:cs="Times New Roman"/>
          <w:bCs/>
          <w:sz w:val="24"/>
          <w:szCs w:val="24"/>
        </w:rPr>
        <w:t>.</w:t>
      </w:r>
      <w:r w:rsidR="00E31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38C6">
        <w:rPr>
          <w:rFonts w:ascii="Times New Roman" w:hAnsi="Times New Roman" w:cs="Times New Roman"/>
          <w:bCs/>
          <w:sz w:val="24"/>
          <w:szCs w:val="24"/>
        </w:rPr>
        <w:t>Differential metabolites and pathways of GGN and LUSC when compared with SN, respectively.</w:t>
      </w:r>
      <w:r w:rsidRPr="00F038C6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F038C6">
        <w:rPr>
          <w:rFonts w:ascii="Times New Roman" w:hAnsi="Times New Roman" w:cs="Times New Roman"/>
          <w:bCs/>
          <w:sz w:val="24"/>
          <w:szCs w:val="24"/>
        </w:rPr>
        <w:t>A. PLS-DA score scatterplot of GGN and LUSC when compared with SN, respectively;</w:t>
      </w:r>
      <w:r w:rsidRPr="00F038C6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F038C6">
        <w:rPr>
          <w:rFonts w:ascii="Times New Roman" w:hAnsi="Times New Roman" w:cs="Times New Roman"/>
          <w:bCs/>
          <w:sz w:val="24"/>
          <w:szCs w:val="24"/>
        </w:rPr>
        <w:t>. Volcano plot showing the differential metabolites of GGN and LUSC when compared with SN, respectively. Set thresholds: VIP &gt; 1.0, FC &gt; 1.5 or FC &lt; 0.667 and P value&lt; 0.05).</w:t>
      </w:r>
      <w:r w:rsidRPr="00F038C6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F038C6">
        <w:rPr>
          <w:rFonts w:ascii="Times New Roman" w:hAnsi="Times New Roman" w:cs="Times New Roman"/>
          <w:bCs/>
          <w:sz w:val="24"/>
          <w:szCs w:val="24"/>
        </w:rPr>
        <w:t>. Bubble plots of KEGG enrichment of GGN and LUSC when compared with SN, respectively.</w:t>
      </w:r>
    </w:p>
    <w:p w14:paraId="5336633E" w14:textId="77777777" w:rsidR="003D266C" w:rsidRPr="003D266C" w:rsidRDefault="003D266C" w:rsidP="00D8075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DFF0F" w14:textId="77777777" w:rsidR="00B20328" w:rsidRPr="00D80757" w:rsidRDefault="00B20328" w:rsidP="008458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02588D" w14:textId="77777777" w:rsidR="00B20328" w:rsidRPr="00F038C6" w:rsidRDefault="00B20328" w:rsidP="008458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20328" w:rsidRPr="00F03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2AB1" w14:textId="77777777" w:rsidR="002B40F4" w:rsidRDefault="002B40F4" w:rsidP="00845829">
      <w:r>
        <w:separator/>
      </w:r>
    </w:p>
  </w:endnote>
  <w:endnote w:type="continuationSeparator" w:id="0">
    <w:p w14:paraId="3510A0BB" w14:textId="77777777" w:rsidR="002B40F4" w:rsidRDefault="002B40F4" w:rsidP="0084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4520" w14:textId="77777777" w:rsidR="002B40F4" w:rsidRDefault="002B40F4" w:rsidP="00845829">
      <w:r>
        <w:separator/>
      </w:r>
    </w:p>
  </w:footnote>
  <w:footnote w:type="continuationSeparator" w:id="0">
    <w:p w14:paraId="204CE806" w14:textId="77777777" w:rsidR="002B40F4" w:rsidRDefault="002B40F4" w:rsidP="00845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5B"/>
    <w:rsid w:val="00060117"/>
    <w:rsid w:val="002B40F4"/>
    <w:rsid w:val="003D266C"/>
    <w:rsid w:val="00433510"/>
    <w:rsid w:val="00465CB9"/>
    <w:rsid w:val="005114E5"/>
    <w:rsid w:val="005F2171"/>
    <w:rsid w:val="00625ACE"/>
    <w:rsid w:val="006B5B8F"/>
    <w:rsid w:val="00727279"/>
    <w:rsid w:val="00751005"/>
    <w:rsid w:val="00761233"/>
    <w:rsid w:val="00763900"/>
    <w:rsid w:val="00776911"/>
    <w:rsid w:val="007F3CAD"/>
    <w:rsid w:val="007F4A18"/>
    <w:rsid w:val="00834C11"/>
    <w:rsid w:val="00845829"/>
    <w:rsid w:val="008D3F65"/>
    <w:rsid w:val="00936E0E"/>
    <w:rsid w:val="00961A14"/>
    <w:rsid w:val="009F1A51"/>
    <w:rsid w:val="009F5C5B"/>
    <w:rsid w:val="00A8235A"/>
    <w:rsid w:val="00AF2244"/>
    <w:rsid w:val="00B20328"/>
    <w:rsid w:val="00BE54D2"/>
    <w:rsid w:val="00CC63D9"/>
    <w:rsid w:val="00D16100"/>
    <w:rsid w:val="00D42445"/>
    <w:rsid w:val="00D80757"/>
    <w:rsid w:val="00D8213A"/>
    <w:rsid w:val="00DF38B3"/>
    <w:rsid w:val="00DF594D"/>
    <w:rsid w:val="00E31E82"/>
    <w:rsid w:val="00E8159D"/>
    <w:rsid w:val="00F038C6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A9D5"/>
  <w15:chartTrackingRefBased/>
  <w15:docId w15:val="{0F49BAC9-8D05-4937-B7F6-3242D59C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8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8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82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2032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B2032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B203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B2032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20328"/>
    <w:rPr>
      <w:b/>
      <w:bCs/>
    </w:rPr>
  </w:style>
  <w:style w:type="paragraph" w:styleId="ac">
    <w:name w:val="Revision"/>
    <w:hidden/>
    <w:uiPriority w:val="99"/>
    <w:semiHidden/>
    <w:rsid w:val="00B20328"/>
  </w:style>
  <w:style w:type="table" w:styleId="ad">
    <w:name w:val="Table Grid"/>
    <w:basedOn w:val="a1"/>
    <w:uiPriority w:val="39"/>
    <w:rsid w:val="00D8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东麒 林</dc:creator>
  <cp:keywords/>
  <dc:description/>
  <cp:lastModifiedBy>东麒 林</cp:lastModifiedBy>
  <cp:revision>2</cp:revision>
  <dcterms:created xsi:type="dcterms:W3CDTF">2023-07-06T16:56:00Z</dcterms:created>
  <dcterms:modified xsi:type="dcterms:W3CDTF">2023-07-06T16:56:00Z</dcterms:modified>
</cp:coreProperties>
</file>