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31FEE">
      <w:pPr>
        <w:pStyle w:val="2"/>
        <w:rPr>
          <w:sz w:val="18"/>
          <w:szCs w:val="20"/>
        </w:rPr>
      </w:pPr>
      <w:r>
        <w:rPr>
          <w:rFonts w:hint="eastAsia" w:ascii="Times New Roman" w:hAnsi="Times New Roman" w:eastAsiaTheme="minorEastAsia" w:cstheme="minorBidi"/>
          <w:b/>
          <w:bCs/>
          <w:color w:val="auto"/>
          <w:sz w:val="18"/>
          <w:szCs w:val="20"/>
        </w:rPr>
        <w:t>Appendix A. Measurement of control variables</w:t>
      </w:r>
    </w:p>
    <w:p w14:paraId="74F9F5DF">
      <w:pPr>
        <w:ind w:firstLine="360" w:firstLineChars="200"/>
        <w:jc w:val="both"/>
        <w:rPr>
          <w:rFonts w:hint="eastAsia" w:ascii="Times New Roman" w:hAnsi="Times New Roman" w:cs="Times New Roman"/>
          <w:sz w:val="18"/>
          <w:szCs w:val="18"/>
          <w:highlight w:val="none"/>
        </w:rPr>
      </w:pPr>
    </w:p>
    <w:p w14:paraId="02739027">
      <w:pPr>
        <w:ind w:firstLine="360" w:firstLineChars="200"/>
        <w:jc w:val="both"/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</w:rPr>
        <w:t>Drawing on prior literature (Liu et al., 2023; Chang et al., 2024), this paper accounts for additional variables that might affect a company's carbon emission intensity.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 xml:space="preserve"> These variables include firm size (</w:t>
      </w:r>
      <w:r>
        <w:rPr>
          <w:rFonts w:ascii="Times New Roman" w:hAnsi="Times New Roman" w:cs="Times New Roman"/>
          <w:i/>
          <w:iCs/>
          <w:color w:val="auto"/>
          <w:sz w:val="18"/>
          <w:szCs w:val="18"/>
          <w:highlight w:val="none"/>
        </w:rPr>
        <w:t>SIZE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>), financial leverage (</w:t>
      </w:r>
      <w:r>
        <w:rPr>
          <w:rFonts w:ascii="Times New Roman" w:hAnsi="Times New Roman" w:cs="Times New Roman"/>
          <w:i/>
          <w:iCs/>
          <w:color w:val="auto"/>
          <w:sz w:val="18"/>
          <w:szCs w:val="18"/>
          <w:highlight w:val="none"/>
        </w:rPr>
        <w:t>LEV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>), return on assets (</w:t>
      </w:r>
      <w:r>
        <w:rPr>
          <w:rFonts w:ascii="Times New Roman" w:hAnsi="Times New Roman" w:cs="Times New Roman"/>
          <w:i/>
          <w:iCs/>
          <w:color w:val="auto"/>
          <w:sz w:val="18"/>
          <w:szCs w:val="18"/>
          <w:highlight w:val="none"/>
        </w:rPr>
        <w:t>ROA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>), sales growth rate (</w:t>
      </w:r>
      <w:r>
        <w:rPr>
          <w:rFonts w:ascii="Times New Roman" w:hAnsi="Times New Roman" w:cs="Times New Roman"/>
          <w:i/>
          <w:iCs/>
          <w:color w:val="auto"/>
          <w:sz w:val="18"/>
          <w:szCs w:val="18"/>
          <w:highlight w:val="none"/>
        </w:rPr>
        <w:t>SGR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>), cash ratio (</w:t>
      </w:r>
      <w:r>
        <w:rPr>
          <w:rFonts w:ascii="Times New Roman" w:hAnsi="Times New Roman" w:cs="Times New Roman"/>
          <w:i/>
          <w:iCs/>
          <w:color w:val="auto"/>
          <w:sz w:val="18"/>
          <w:szCs w:val="18"/>
          <w:highlight w:val="none"/>
        </w:rPr>
        <w:t>CASH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>), firm age (</w:t>
      </w:r>
      <w:r>
        <w:rPr>
          <w:rFonts w:ascii="Times New Roman" w:hAnsi="Times New Roman" w:cs="Times New Roman"/>
          <w:i/>
          <w:iCs/>
          <w:color w:val="auto"/>
          <w:sz w:val="18"/>
          <w:szCs w:val="18"/>
          <w:highlight w:val="none"/>
        </w:rPr>
        <w:t>AGE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>), CEO duality (</w:t>
      </w:r>
      <w:r>
        <w:rPr>
          <w:rFonts w:ascii="Times New Roman" w:hAnsi="Times New Roman" w:cs="Times New Roman"/>
          <w:i/>
          <w:iCs/>
          <w:color w:val="auto"/>
          <w:sz w:val="18"/>
          <w:szCs w:val="18"/>
          <w:highlight w:val="none"/>
        </w:rPr>
        <w:t>DUAL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>), institutional ownership (</w:t>
      </w:r>
      <w:r>
        <w:rPr>
          <w:rFonts w:ascii="Times New Roman" w:hAnsi="Times New Roman" w:cs="Times New Roman"/>
          <w:i/>
          <w:iCs/>
          <w:color w:val="auto"/>
          <w:sz w:val="18"/>
          <w:szCs w:val="18"/>
          <w:highlight w:val="none"/>
        </w:rPr>
        <w:t>INST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>), the proportion of independent directors (</w:t>
      </w:r>
      <w:r>
        <w:rPr>
          <w:rFonts w:ascii="Times New Roman" w:hAnsi="Times New Roman" w:cs="Times New Roman"/>
          <w:i/>
          <w:iCs/>
          <w:color w:val="auto"/>
          <w:sz w:val="18"/>
          <w:szCs w:val="18"/>
          <w:highlight w:val="none"/>
        </w:rPr>
        <w:t>IDR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>), and board size (</w:t>
      </w:r>
      <w:r>
        <w:rPr>
          <w:rFonts w:ascii="Times New Roman" w:hAnsi="Times New Roman" w:cs="Times New Roman"/>
          <w:i/>
          <w:iCs/>
          <w:color w:val="auto"/>
          <w:sz w:val="18"/>
          <w:szCs w:val="18"/>
          <w:highlight w:val="none"/>
        </w:rPr>
        <w:t>BSIZE</w:t>
      </w:r>
      <w:r>
        <w:rPr>
          <w:rFonts w:ascii="Times New Roman" w:hAnsi="Times New Roman" w:cs="Times New Roman"/>
          <w:color w:val="auto"/>
          <w:sz w:val="18"/>
          <w:szCs w:val="18"/>
          <w:highlight w:val="none"/>
        </w:rPr>
        <w:t>).</w:t>
      </w: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 xml:space="preserve"> The specific definitions are provided in Table A1. The reasons for selecting this series of control variables are as follows:</w:t>
      </w:r>
    </w:p>
    <w:p w14:paraId="674B660E">
      <w:pPr>
        <w:ind w:firstLine="360" w:firstLineChars="200"/>
        <w:jc w:val="both"/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>First, firm size (</w:t>
      </w:r>
      <w:r>
        <w:rPr>
          <w:rFonts w:hint="eastAsia" w:ascii="Times New Roman" w:hAnsi="Times New Roman" w:cs="Times New Roman"/>
          <w:i/>
          <w:iCs/>
          <w:color w:val="auto"/>
          <w:sz w:val="18"/>
          <w:szCs w:val="18"/>
          <w:highlight w:val="none"/>
          <w:lang w:val="en-US" w:eastAsia="zh-CN"/>
        </w:rPr>
        <w:t>SIZE</w:t>
      </w: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>) may affect both the total volume and intensity of emissions. On the one hand, larger firms tend to have more resources available for environmental investment; on the other hand, their production scale may generate higher emissions. Therefore, it is necessary to control for size effects. Financial leverage (</w:t>
      </w:r>
      <w:r>
        <w:rPr>
          <w:rFonts w:hint="eastAsia" w:ascii="Times New Roman" w:hAnsi="Times New Roman" w:cs="Times New Roman"/>
          <w:i/>
          <w:iCs/>
          <w:color w:val="auto"/>
          <w:sz w:val="18"/>
          <w:szCs w:val="18"/>
          <w:highlight w:val="none"/>
          <w:lang w:val="en-US" w:eastAsia="zh-CN"/>
        </w:rPr>
        <w:t>LEV</w:t>
      </w: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>) reflects a firm's debt pressure and financial risk. Highly leveraged firms may be more inclined to cut non-core expenditures, including environmental spending. Return on assets (</w:t>
      </w:r>
      <w:r>
        <w:rPr>
          <w:rFonts w:hint="eastAsia" w:ascii="Times New Roman" w:hAnsi="Times New Roman" w:cs="Times New Roman"/>
          <w:i/>
          <w:iCs/>
          <w:color w:val="auto"/>
          <w:sz w:val="18"/>
          <w:szCs w:val="18"/>
          <w:highlight w:val="none"/>
          <w:lang w:val="en-US" w:eastAsia="zh-CN"/>
        </w:rPr>
        <w:t>ROA</w:t>
      </w: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>) captures profitability, which may enhance a firm's capacity to afford environmental costs and respond positively to policy incentives. Sales growth rate (</w:t>
      </w:r>
      <w:r>
        <w:rPr>
          <w:rFonts w:hint="eastAsia" w:ascii="Times New Roman" w:hAnsi="Times New Roman" w:cs="Times New Roman"/>
          <w:i/>
          <w:iCs/>
          <w:color w:val="auto"/>
          <w:sz w:val="18"/>
          <w:szCs w:val="18"/>
          <w:highlight w:val="none"/>
          <w:lang w:val="en-US" w:eastAsia="zh-CN"/>
        </w:rPr>
        <w:t>SGR</w:t>
      </w: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>) reflects the firm's development stage and expansion speed; fast-growing firms may face resource constraints or engage in more emission-intensive operations.</w:t>
      </w:r>
    </w:p>
    <w:p w14:paraId="7367B091">
      <w:pPr>
        <w:ind w:firstLine="360" w:firstLineChars="200"/>
        <w:jc w:val="both"/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>Second, the cash ratio (</w:t>
      </w:r>
      <w:r>
        <w:rPr>
          <w:rFonts w:hint="eastAsia" w:ascii="Times New Roman" w:hAnsi="Times New Roman" w:cs="Times New Roman"/>
          <w:i/>
          <w:iCs/>
          <w:color w:val="auto"/>
          <w:sz w:val="18"/>
          <w:szCs w:val="18"/>
          <w:highlight w:val="none"/>
          <w:lang w:val="en-US" w:eastAsia="zh-CN"/>
        </w:rPr>
        <w:t>CASH</w:t>
      </w: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>) measures short-term liquidity, which can affect a firm's ability to invest in green technologies. Firm age (</w:t>
      </w:r>
      <w:r>
        <w:rPr>
          <w:rFonts w:hint="eastAsia" w:ascii="Times New Roman" w:hAnsi="Times New Roman" w:cs="Times New Roman"/>
          <w:i/>
          <w:iCs/>
          <w:color w:val="auto"/>
          <w:sz w:val="18"/>
          <w:szCs w:val="18"/>
          <w:highlight w:val="none"/>
          <w:lang w:val="en-US" w:eastAsia="zh-CN"/>
        </w:rPr>
        <w:t>AGE</w:t>
      </w: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>) captures organizational maturity and long-term presence in the market. More mature firms are likely to have more developed management systems and higher institutional adaptability, which may facilitate compliance with environmental regulations.</w:t>
      </w:r>
    </w:p>
    <w:p w14:paraId="77B5547A">
      <w:pPr>
        <w:ind w:firstLine="360" w:firstLineChars="200"/>
        <w:jc w:val="both"/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>Finally, in terms of corporate governance, we include CEO duality (</w:t>
      </w:r>
      <w:r>
        <w:rPr>
          <w:rFonts w:hint="eastAsia" w:ascii="Times New Roman" w:hAnsi="Times New Roman" w:cs="Times New Roman"/>
          <w:i/>
          <w:iCs/>
          <w:color w:val="auto"/>
          <w:sz w:val="18"/>
          <w:szCs w:val="18"/>
          <w:highlight w:val="none"/>
          <w:lang w:val="en-US" w:eastAsia="zh-CN"/>
        </w:rPr>
        <w:t>DUAL</w:t>
      </w: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>), institutional ownership (</w:t>
      </w:r>
      <w:r>
        <w:rPr>
          <w:rFonts w:hint="eastAsia" w:ascii="Times New Roman" w:hAnsi="Times New Roman" w:cs="Times New Roman"/>
          <w:i/>
          <w:iCs/>
          <w:color w:val="auto"/>
          <w:sz w:val="18"/>
          <w:szCs w:val="18"/>
          <w:highlight w:val="none"/>
          <w:lang w:val="en-US" w:eastAsia="zh-CN"/>
        </w:rPr>
        <w:t>INST</w:t>
      </w: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>), the proportion of independent directors (</w:t>
      </w:r>
      <w:r>
        <w:rPr>
          <w:rFonts w:hint="eastAsia" w:ascii="Times New Roman" w:hAnsi="Times New Roman" w:cs="Times New Roman"/>
          <w:i/>
          <w:iCs/>
          <w:color w:val="auto"/>
          <w:sz w:val="18"/>
          <w:szCs w:val="18"/>
          <w:highlight w:val="none"/>
          <w:lang w:val="en-US" w:eastAsia="zh-CN"/>
        </w:rPr>
        <w:t>IDR</w:t>
      </w: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>), and board size (</w:t>
      </w:r>
      <w:r>
        <w:rPr>
          <w:rFonts w:hint="eastAsia" w:ascii="Times New Roman" w:hAnsi="Times New Roman" w:cs="Times New Roman"/>
          <w:i/>
          <w:iCs/>
          <w:color w:val="auto"/>
          <w:sz w:val="18"/>
          <w:szCs w:val="18"/>
          <w:highlight w:val="none"/>
          <w:lang w:val="en-US" w:eastAsia="zh-CN"/>
        </w:rPr>
        <w:t>BSIZE</w:t>
      </w: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>). A well-structured governance system may encourage a long-term perspective and stronger engagement in environmental responsibility. For example, CEO duality may lead to more centralized decision-making, potentially reducing oversight over environmental investments. In contrast, institutional investors and independent directors are often seen as external governance forces that can strengthen firm accountability in environmental and social practices.</w:t>
      </w:r>
    </w:p>
    <w:p w14:paraId="542E4B16">
      <w:pPr>
        <w:ind w:firstLine="360" w:firstLineChars="200"/>
        <w:jc w:val="both"/>
        <w:rPr>
          <w:b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t xml:space="preserve">In sum, including these variables helps reduce potential omitted variable bias and improves the robustness of our DID estimates of the policy effects. </w:t>
      </w:r>
    </w:p>
    <w:p w14:paraId="5943E084">
      <w:pPr>
        <w:jc w:val="center"/>
        <w:rPr>
          <w:rFonts w:hint="eastAsia" w:ascii="Times New Roman" w:hAnsi="Times New Roman" w:eastAsia="等线" w:cs="Times New Roman"/>
          <w:b/>
          <w:sz w:val="18"/>
          <w:szCs w:val="18"/>
          <w:lang w:val="en-US" w:eastAsia="zh-CN"/>
        </w:rPr>
      </w:pPr>
      <w:r>
        <w:rPr>
          <w:rFonts w:hint="eastAsia" w:ascii="Times New Roman" w:hAnsi="Times New Roman" w:eastAsia="等线" w:cs="Times New Roman"/>
          <w:b/>
          <w:sz w:val="18"/>
          <w:szCs w:val="18"/>
          <w:lang w:val="en-US" w:eastAsia="zh-CN"/>
        </w:rPr>
        <w:t xml:space="preserve"> Table A1. Variable definitions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6901"/>
      </w:tblGrid>
      <w:tr w14:paraId="2F8E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51" w:type="pct"/>
            <w:tcBorders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96712D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4048" w:type="pct"/>
            <w:tcBorders>
              <w:left w:val="nil"/>
              <w:bottom w:val="single" w:color="auto" w:sz="4" w:space="0"/>
              <w:right w:val="nil"/>
            </w:tcBorders>
            <w:noWrap/>
          </w:tcPr>
          <w:p w14:paraId="40CBA32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Variable definition</w:t>
            </w:r>
          </w:p>
        </w:tc>
      </w:tr>
      <w:tr w14:paraId="7CDD3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96887">
            <w:pPr>
              <w:jc w:val="center"/>
              <w:rPr>
                <w:rFonts w:hint="default" w:ascii="Times New Roman" w:hAnsi="Times New Roman" w:eastAsiaTheme="minorEastAsia"/>
                <w:i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iCs w:val="0"/>
                <w:sz w:val="18"/>
                <w:szCs w:val="18"/>
                <w:lang w:val="en-US" w:eastAsia="zh-CN"/>
              </w:rPr>
              <w:t>SIZE</w:t>
            </w:r>
          </w:p>
        </w:tc>
        <w:tc>
          <w:tcPr>
            <w:tcW w:w="40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37FE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The natural logarithm of total corporate assets</w:t>
            </w:r>
          </w:p>
        </w:tc>
      </w:tr>
      <w:tr w14:paraId="538D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12AB1">
            <w:pPr>
              <w:jc w:val="center"/>
              <w:rPr>
                <w:rFonts w:hint="default" w:ascii="Times New Roman" w:hAnsi="Times New Roman"/>
                <w:i/>
                <w:iCs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i/>
                <w:iCs w:val="0"/>
                <w:sz w:val="18"/>
                <w:szCs w:val="18"/>
                <w:lang w:val="en-US" w:eastAsia="zh-CN"/>
              </w:rPr>
              <w:t>LEV</w:t>
            </w:r>
          </w:p>
        </w:tc>
        <w:tc>
          <w:tcPr>
            <w:tcW w:w="40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7433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The ratio of total liabilities to total assets</w:t>
            </w:r>
          </w:p>
        </w:tc>
      </w:tr>
      <w:tr w14:paraId="2A59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1018C6">
            <w:pPr>
              <w:jc w:val="center"/>
              <w:rPr>
                <w:rFonts w:ascii="Times New Roman" w:hAnsi="Times New Roman"/>
                <w:i/>
                <w:iCs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iCs w:val="0"/>
                <w:sz w:val="18"/>
                <w:szCs w:val="18"/>
              </w:rPr>
              <w:t>ROA</w:t>
            </w:r>
          </w:p>
        </w:tc>
        <w:tc>
          <w:tcPr>
            <w:tcW w:w="40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758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The ratio of EBIT to total assets</w:t>
            </w:r>
          </w:p>
        </w:tc>
      </w:tr>
      <w:tr w14:paraId="54106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6FAF14">
            <w:pPr>
              <w:jc w:val="center"/>
              <w:rPr>
                <w:rFonts w:ascii="Times New Roman" w:hAnsi="Times New Roman"/>
                <w:i/>
                <w:iCs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iCs w:val="0"/>
                <w:sz w:val="18"/>
                <w:szCs w:val="18"/>
              </w:rPr>
              <w:t>SGR</w:t>
            </w:r>
          </w:p>
        </w:tc>
        <w:tc>
          <w:tcPr>
            <w:tcW w:w="40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186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The growth rate of corporate revenue</w:t>
            </w:r>
          </w:p>
        </w:tc>
      </w:tr>
      <w:tr w14:paraId="4BC78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C2B535">
            <w:pPr>
              <w:jc w:val="center"/>
              <w:rPr>
                <w:rFonts w:ascii="Times New Roman" w:hAnsi="Times New Roman"/>
                <w:i/>
                <w:iCs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iCs w:val="0"/>
                <w:sz w:val="18"/>
                <w:szCs w:val="18"/>
              </w:rPr>
              <w:t>CASH</w:t>
            </w:r>
          </w:p>
        </w:tc>
        <w:tc>
          <w:tcPr>
            <w:tcW w:w="40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3163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The ratio of cash and cash equivalents to total assets</w:t>
            </w:r>
          </w:p>
        </w:tc>
      </w:tr>
      <w:tr w14:paraId="0B303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C72299">
            <w:pPr>
              <w:jc w:val="center"/>
              <w:rPr>
                <w:rFonts w:ascii="Times New Roman" w:hAnsi="Times New Roman"/>
                <w:i/>
                <w:iCs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iCs w:val="0"/>
                <w:kern w:val="21"/>
                <w:sz w:val="18"/>
                <w:szCs w:val="18"/>
                <w:lang w:val="en-US" w:eastAsia="zh-CN"/>
              </w:rPr>
              <w:t>AGE</w:t>
            </w:r>
          </w:p>
        </w:tc>
        <w:tc>
          <w:tcPr>
            <w:tcW w:w="40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FDA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The natural logarithm of the firm's age</w:t>
            </w:r>
          </w:p>
        </w:tc>
      </w:tr>
      <w:tr w14:paraId="31A49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EB3F42">
            <w:pPr>
              <w:jc w:val="center"/>
              <w:rPr>
                <w:rFonts w:ascii="Times New Roman" w:hAnsi="Times New Roman"/>
                <w:i/>
                <w:iCs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iCs w:val="0"/>
                <w:kern w:val="21"/>
                <w:sz w:val="18"/>
                <w:szCs w:val="18"/>
                <w:highlight w:val="none"/>
                <w:lang w:val="en-US" w:eastAsia="zh-CN"/>
              </w:rPr>
              <w:t>DU</w:t>
            </w:r>
            <w:r>
              <w:rPr>
                <w:rFonts w:hint="eastAsia" w:ascii="Times New Roman" w:hAnsi="Times New Roman"/>
                <w:i/>
                <w:iCs w:val="0"/>
                <w:kern w:val="21"/>
                <w:sz w:val="18"/>
                <w:szCs w:val="18"/>
                <w:lang w:val="en-US" w:eastAsia="zh-CN"/>
              </w:rPr>
              <w:t>AL</w:t>
            </w:r>
          </w:p>
        </w:tc>
        <w:tc>
          <w:tcPr>
            <w:tcW w:w="40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2DA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 dummy variable for CEO-Chairman duality. Which is set to 1 when the positions of chairman and general manager are held by the same person, and 0 otherwise.</w:t>
            </w:r>
          </w:p>
        </w:tc>
      </w:tr>
      <w:tr w14:paraId="6FF7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EB9E67">
            <w:pPr>
              <w:jc w:val="center"/>
              <w:rPr>
                <w:rFonts w:ascii="Times New Roman" w:hAnsi="Times New Roman"/>
                <w:i/>
                <w:iCs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iCs w:val="0"/>
                <w:sz w:val="18"/>
                <w:szCs w:val="18"/>
              </w:rPr>
              <w:t>INST</w:t>
            </w:r>
          </w:p>
        </w:tc>
        <w:tc>
          <w:tcPr>
            <w:tcW w:w="40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F34A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The ratio of institutional shareholding to total shares outstanding</w:t>
            </w:r>
          </w:p>
        </w:tc>
      </w:tr>
      <w:tr w14:paraId="491E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3FC053">
            <w:pPr>
              <w:jc w:val="center"/>
              <w:rPr>
                <w:rFonts w:ascii="Times New Roman" w:hAnsi="Times New Roman"/>
                <w:i/>
                <w:iCs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iCs w:val="0"/>
                <w:kern w:val="21"/>
                <w:sz w:val="18"/>
                <w:szCs w:val="18"/>
                <w:lang w:val="en-US" w:eastAsia="zh-CN"/>
              </w:rPr>
              <w:t>IDR</w:t>
            </w:r>
          </w:p>
        </w:tc>
        <w:tc>
          <w:tcPr>
            <w:tcW w:w="40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80BF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The proportion of independent directors on the board</w:t>
            </w:r>
          </w:p>
        </w:tc>
      </w:tr>
      <w:tr w14:paraId="41FE2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66EDE05">
            <w:pPr>
              <w:jc w:val="center"/>
              <w:rPr>
                <w:rFonts w:ascii="Times New Roman" w:hAnsi="Times New Roman"/>
                <w:i/>
                <w:iCs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iCs w:val="0"/>
                <w:sz w:val="18"/>
                <w:szCs w:val="18"/>
              </w:rPr>
              <w:t>BSIZE</w:t>
            </w:r>
          </w:p>
        </w:tc>
        <w:tc>
          <w:tcPr>
            <w:tcW w:w="4048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3E39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The natural logarithm of the number of the company's board of directors</w:t>
            </w:r>
          </w:p>
        </w:tc>
      </w:tr>
    </w:tbl>
    <w:p w14:paraId="4690C0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OGViZDFkYWY5MzBjNWM5MWQ2M2NiYmJhM2FjZTEifQ=="/>
  </w:docVars>
  <w:rsids>
    <w:rsidRoot w:val="1DF11AFC"/>
    <w:rsid w:val="00FC7C56"/>
    <w:rsid w:val="028247F4"/>
    <w:rsid w:val="03800D34"/>
    <w:rsid w:val="03A376EB"/>
    <w:rsid w:val="04223B99"/>
    <w:rsid w:val="048B5BE2"/>
    <w:rsid w:val="079B438E"/>
    <w:rsid w:val="07A41680"/>
    <w:rsid w:val="07A94778"/>
    <w:rsid w:val="08690D71"/>
    <w:rsid w:val="0A0D2F01"/>
    <w:rsid w:val="0B5B7E14"/>
    <w:rsid w:val="0BAE21B6"/>
    <w:rsid w:val="0BBA0B5B"/>
    <w:rsid w:val="0E286250"/>
    <w:rsid w:val="0F8120BC"/>
    <w:rsid w:val="0FC226D4"/>
    <w:rsid w:val="10053A99"/>
    <w:rsid w:val="104A65FA"/>
    <w:rsid w:val="12040743"/>
    <w:rsid w:val="120E084B"/>
    <w:rsid w:val="12B04A66"/>
    <w:rsid w:val="14744028"/>
    <w:rsid w:val="152F6116"/>
    <w:rsid w:val="156C736A"/>
    <w:rsid w:val="15E93400"/>
    <w:rsid w:val="16624930"/>
    <w:rsid w:val="171F21BA"/>
    <w:rsid w:val="17B648CC"/>
    <w:rsid w:val="18B232E6"/>
    <w:rsid w:val="19341F4D"/>
    <w:rsid w:val="1C8B21C6"/>
    <w:rsid w:val="1CB05D8E"/>
    <w:rsid w:val="1CCB616D"/>
    <w:rsid w:val="1CEF1D38"/>
    <w:rsid w:val="1D444728"/>
    <w:rsid w:val="1DF11AFC"/>
    <w:rsid w:val="20176124"/>
    <w:rsid w:val="24613E12"/>
    <w:rsid w:val="260C1182"/>
    <w:rsid w:val="27962024"/>
    <w:rsid w:val="27D2721A"/>
    <w:rsid w:val="28A26407"/>
    <w:rsid w:val="2B065713"/>
    <w:rsid w:val="2B400C25"/>
    <w:rsid w:val="2D630BFB"/>
    <w:rsid w:val="2F25260C"/>
    <w:rsid w:val="2FEE6EA1"/>
    <w:rsid w:val="301B1CD7"/>
    <w:rsid w:val="3034062C"/>
    <w:rsid w:val="32586854"/>
    <w:rsid w:val="35DE3514"/>
    <w:rsid w:val="35F745D6"/>
    <w:rsid w:val="3699743B"/>
    <w:rsid w:val="38B4055C"/>
    <w:rsid w:val="3A0D4665"/>
    <w:rsid w:val="3B9F153B"/>
    <w:rsid w:val="3BA01BC1"/>
    <w:rsid w:val="3C1E11D3"/>
    <w:rsid w:val="3C903417"/>
    <w:rsid w:val="3EC314F9"/>
    <w:rsid w:val="40A47108"/>
    <w:rsid w:val="417604C5"/>
    <w:rsid w:val="430B16C1"/>
    <w:rsid w:val="433B1FA6"/>
    <w:rsid w:val="438F40A0"/>
    <w:rsid w:val="446B0669"/>
    <w:rsid w:val="45C53DA9"/>
    <w:rsid w:val="46355883"/>
    <w:rsid w:val="469D6968"/>
    <w:rsid w:val="47C0280C"/>
    <w:rsid w:val="4A2D016F"/>
    <w:rsid w:val="4A6F3B5F"/>
    <w:rsid w:val="4AC36908"/>
    <w:rsid w:val="4B0610EB"/>
    <w:rsid w:val="4D165BC1"/>
    <w:rsid w:val="4D1D367E"/>
    <w:rsid w:val="4DF25957"/>
    <w:rsid w:val="4EC513B7"/>
    <w:rsid w:val="4F2B7658"/>
    <w:rsid w:val="4FCC4BC6"/>
    <w:rsid w:val="4FCE7CFE"/>
    <w:rsid w:val="502142D2"/>
    <w:rsid w:val="530C3017"/>
    <w:rsid w:val="538452A3"/>
    <w:rsid w:val="53A25729"/>
    <w:rsid w:val="5488487A"/>
    <w:rsid w:val="54FB1595"/>
    <w:rsid w:val="56786C15"/>
    <w:rsid w:val="59054D26"/>
    <w:rsid w:val="60206354"/>
    <w:rsid w:val="604C7149"/>
    <w:rsid w:val="6098163D"/>
    <w:rsid w:val="61357BDD"/>
    <w:rsid w:val="62B2525D"/>
    <w:rsid w:val="63293771"/>
    <w:rsid w:val="655C3154"/>
    <w:rsid w:val="65841133"/>
    <w:rsid w:val="65D96B1B"/>
    <w:rsid w:val="65DA37D3"/>
    <w:rsid w:val="68EB3277"/>
    <w:rsid w:val="69EE74C3"/>
    <w:rsid w:val="6E1D2124"/>
    <w:rsid w:val="701A3140"/>
    <w:rsid w:val="762304F4"/>
    <w:rsid w:val="76DF384D"/>
    <w:rsid w:val="79F27278"/>
    <w:rsid w:val="7AF308A5"/>
    <w:rsid w:val="7DF05160"/>
    <w:rsid w:val="7E385FCA"/>
    <w:rsid w:val="7ECB25A2"/>
    <w:rsid w:val="7EF7251E"/>
    <w:rsid w:val="7F155B77"/>
    <w:rsid w:val="7F1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2853</Characters>
  <Lines>0</Lines>
  <Paragraphs>0</Paragraphs>
  <TotalTime>30</TotalTime>
  <ScaleCrop>false</ScaleCrop>
  <LinksUpToDate>false</LinksUpToDate>
  <CharactersWithSpaces>3314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2024-08-14T03:41:00Z</dcterms:created>
  <dc:creator>罗</dc:creator>
  <cp:lastModifiedBy>王敬远</cp:lastModifiedBy>
  <dcterms:modified xsi:type="dcterms:W3CDTF">2025-06-20T14:37:26Z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069AC1CBDF6C40CA90B7DA0AA7F22940_11</vt:lpwstr>
  </property>
  <property fmtid="{D5CDD505-2E9C-101B-9397-08002B2CF9AE}" pid="4" name="KSOTemplateDocerSaveRecord">
    <vt:lpwstr>eyJoZGlkIjoiN2U0ODBkZGY4N2RiZDEwNGIzMmY1ZmFiNjc2NDllZWIiLCJ1c2VySWQiOiI1ODA5MTkxNDcifQ==</vt:lpwstr>
  </property>
</Properties>
</file>