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oter3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upplementaryMaterial"/>
        <w:spacing w:before="240" w:after="120"/>
        <w:rPr>
          <w:b w:val="false"/>
          <w:b w:val="false"/>
          <w:bCs w:val="false"/>
        </w:rPr>
      </w:pPr>
      <w:r>
        <w:rPr>
          <w:lang w:val="en-US"/>
        </w:rPr>
        <w:t>Supplementary Material</w:t>
      </w:r>
    </w:p>
    <w:p>
      <w:pPr>
        <w:pStyle w:val="Heading"/>
        <w:numPr>
          <w:ilvl w:val="0"/>
          <w:numId w:val="1"/>
        </w:numPr>
        <w:ind w:left="567" w:right="0" w:hanging="567"/>
        <w:rPr/>
      </w:pPr>
      <w:r>
        <w:rPr>
          <w:lang w:val="fr-FR"/>
        </w:rPr>
        <w:t>Tables</w:t>
      </w:r>
      <w:r>
        <w:rPr>
          <w:lang w:val="en-US"/>
        </w:rPr>
        <w:t xml:space="preserve">. </w:t>
      </w:r>
    </w:p>
    <w:p>
      <w:pPr>
        <w:pStyle w:val="Default"/>
        <w:tabs>
          <w:tab w:val="clear" w:pos="720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  <w:tab w:val="left" w:pos="6740" w:leader="none"/>
          <w:tab w:val="left" w:pos="6760" w:leader="none"/>
          <w:tab w:val="left" w:pos="6780" w:leader="none"/>
          <w:tab w:val="left" w:pos="6800" w:leader="none"/>
          <w:tab w:val="left" w:pos="6820" w:leader="none"/>
          <w:tab w:val="left" w:pos="6840" w:leader="none"/>
          <w:tab w:val="left" w:pos="6860" w:leader="none"/>
          <w:tab w:val="left" w:pos="6880" w:leader="none"/>
          <w:tab w:val="left" w:pos="6900" w:leader="none"/>
          <w:tab w:val="left" w:pos="6920" w:leader="none"/>
          <w:tab w:val="left" w:pos="6940" w:leader="none"/>
          <w:tab w:val="left" w:pos="6960" w:leader="none"/>
          <w:tab w:val="left" w:pos="6980" w:leader="none"/>
          <w:tab w:val="left" w:pos="7000" w:leader="none"/>
          <w:tab w:val="left" w:pos="7020" w:leader="none"/>
          <w:tab w:val="left" w:pos="7040" w:leader="none"/>
          <w:tab w:val="left" w:pos="7060" w:leader="none"/>
          <w:tab w:val="left" w:pos="7080" w:leader="none"/>
          <w:tab w:val="left" w:pos="7100" w:leader="none"/>
          <w:tab w:val="left" w:pos="7120" w:leader="none"/>
          <w:tab w:val="left" w:pos="7140" w:leader="none"/>
          <w:tab w:val="left" w:pos="7160" w:leader="none"/>
          <w:tab w:val="left" w:pos="7180" w:leader="none"/>
          <w:tab w:val="left" w:pos="7200" w:leader="none"/>
          <w:tab w:val="left" w:pos="7220" w:leader="none"/>
          <w:tab w:val="left" w:pos="7240" w:leader="none"/>
          <w:tab w:val="left" w:pos="7260" w:leader="none"/>
          <w:tab w:val="left" w:pos="7280" w:leader="none"/>
          <w:tab w:val="left" w:pos="7300" w:leader="none"/>
          <w:tab w:val="left" w:pos="7320" w:leader="none"/>
          <w:tab w:val="left" w:pos="7340" w:leader="none"/>
          <w:tab w:val="left" w:pos="7360" w:leader="none"/>
          <w:tab w:val="left" w:pos="7380" w:leader="none"/>
          <w:tab w:val="left" w:pos="7400" w:leader="none"/>
          <w:tab w:val="left" w:pos="7420" w:leader="none"/>
          <w:tab w:val="left" w:pos="7440" w:leader="none"/>
          <w:tab w:val="left" w:pos="7460" w:leader="none"/>
          <w:tab w:val="left" w:pos="7480" w:leader="none"/>
          <w:tab w:val="left" w:pos="7500" w:leader="none"/>
          <w:tab w:val="left" w:pos="7520" w:leader="none"/>
          <w:tab w:val="left" w:pos="7540" w:leader="none"/>
          <w:tab w:val="left" w:pos="7560" w:leader="none"/>
          <w:tab w:val="left" w:pos="7580" w:leader="none"/>
          <w:tab w:val="left" w:pos="7600" w:leader="none"/>
          <w:tab w:val="left" w:pos="7620" w:leader="none"/>
          <w:tab w:val="left" w:pos="7640" w:leader="none"/>
          <w:tab w:val="left" w:pos="7660" w:leader="none"/>
          <w:tab w:val="left" w:pos="7680" w:leader="none"/>
          <w:tab w:val="left" w:pos="7700" w:leader="none"/>
          <w:tab w:val="left" w:pos="7720" w:leader="none"/>
          <w:tab w:val="left" w:pos="7740" w:leader="none"/>
          <w:tab w:val="left" w:pos="7760" w:leader="none"/>
        </w:tabs>
        <w:bidi w:val="0"/>
        <w:spacing w:lineRule="auto" w:line="240" w:before="0" w:after="0"/>
        <w:ind w:left="0" w:right="0" w:hanging="0"/>
        <w:jc w:val="left"/>
        <w:rPr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tbl>
      <w:tblPr>
        <w:tblW w:w="11540" w:type="dxa"/>
        <w:jc w:val="left"/>
        <w:tblInd w:w="108" w:type="dxa"/>
        <w:tblLayout w:type="fixed"/>
        <w:tblCellMar>
          <w:top w:w="80" w:type="dxa"/>
          <w:left w:w="80" w:type="dxa"/>
          <w:bottom w:w="80" w:type="dxa"/>
          <w:right w:w="80" w:type="dxa"/>
        </w:tblCellMar>
      </w:tblPr>
      <w:tblGrid>
        <w:gridCol w:w="840"/>
        <w:gridCol w:w="2480"/>
        <w:gridCol w:w="2540"/>
        <w:gridCol w:w="640"/>
        <w:gridCol w:w="1139"/>
        <w:gridCol w:w="1041"/>
        <w:gridCol w:w="879"/>
        <w:gridCol w:w="1100"/>
        <w:gridCol w:w="879"/>
      </w:tblGrid>
      <w:tr>
        <w:trPr>
          <w:trHeight w:val="73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BDC0BF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Publication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BDC0BF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Publishing organisation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BDC0BF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Title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BDC0BF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Year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BDC0BF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Org. type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BDC0BF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Percent grey refs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BDC0BF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Refs grey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BDC0BF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Refs academic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BDC0BF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Refs total</w:t>
            </w:r>
          </w:p>
        </w:tc>
      </w:tr>
      <w:tr>
        <w:trPr>
          <w:trHeight w:val="73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BFC, 2021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British Fashion Council Institute for Positive Fashion (BFC)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The Circular fashion system: A blueprint for the future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2021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Trade org.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82%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49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11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60</w:t>
            </w:r>
          </w:p>
        </w:tc>
      </w:tr>
      <w:tr>
        <w:trPr>
          <w:trHeight w:val="97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BFC, 2022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British Fashion Council Institute for Positive Fashion (BFC)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THE CIRCULAR FASHION ECOSYSTEM PROJECT: Phase 2 Developing the Roadmap for Change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2022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Trade org.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73%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11</w:t>
            </w:r>
          </w:p>
        </w:tc>
      </w:tr>
      <w:tr>
        <w:trPr>
          <w:trHeight w:val="49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BOF, 2017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The Business of Fashion (BOF), McKinsey &amp; Co.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The State of Fashion 2018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2017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Trade journalism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100%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0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</w:t>
            </w:r>
          </w:p>
        </w:tc>
      </w:tr>
      <w:tr>
        <w:trPr>
          <w:trHeight w:val="73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CE, 2020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Circle Economy (CEc)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AVOIDING BLIND SPOTS: </w:t>
            </w:r>
          </w:p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Promoting circular fashion and fair business models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2020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Advocacy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71%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114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47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161</w:t>
            </w:r>
          </w:p>
        </w:tc>
      </w:tr>
      <w:tr>
        <w:trPr>
          <w:trHeight w:val="73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UK EAC, 2019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UK House of Parliament Environmental Audit Committee (UK EAC)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FIXING FASHION: clothing consumption and sustainability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2019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Policy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94%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83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88</w:t>
            </w:r>
          </w:p>
        </w:tc>
      </w:tr>
      <w:tr>
        <w:trPr>
          <w:trHeight w:val="73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EC, 2022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European Commission (EC)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EU strategy for sustainable and circular textiles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2022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Policy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98%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62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63</w:t>
            </w:r>
          </w:p>
        </w:tc>
      </w:tr>
      <w:tr>
        <w:trPr>
          <w:trHeight w:val="121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EEA, 2021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European Environment Agency: European Topic Centre on Waste and Materials in a Green Economy (EEA)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Business Models in a Circular Economy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2021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Policy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61%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95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60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155</w:t>
            </w:r>
          </w:p>
        </w:tc>
      </w:tr>
      <w:tr>
        <w:trPr>
          <w:trHeight w:val="121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EMF 2013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Ellen MacArthur Foundation (EMF)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TOWARDS THE CIRCULAR ECONOMY: Economic and business rationale for an accelerated transition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2015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Advocacy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88%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80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11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91</w:t>
            </w:r>
          </w:p>
        </w:tc>
      </w:tr>
      <w:tr>
        <w:trPr>
          <w:trHeight w:val="73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EMF, 2017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Ellen MacArthur Foundation (EMF)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 NEW TEXTILES ECONOMY: Redesigning Fashion’s Future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2017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Advocacy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85%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387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68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455</w:t>
            </w:r>
          </w:p>
        </w:tc>
      </w:tr>
      <w:tr>
        <w:trPr>
          <w:trHeight w:val="49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EMF, 2021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Ellen MacArthur Foundation (EMF)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The Jeans Redesign Guidelines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2021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Advocacy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83%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24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29</w:t>
            </w:r>
          </w:p>
        </w:tc>
      </w:tr>
      <w:tr>
        <w:trPr>
          <w:trHeight w:val="73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GFA, 2020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Global Fashion Agenda (GFA)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2020 Circular Fashion System Commitment: Final report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2020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Advocacy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97%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30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31</w:t>
            </w:r>
          </w:p>
        </w:tc>
      </w:tr>
      <w:tr>
        <w:trPr>
          <w:trHeight w:val="73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ILO, 2019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International Labour Organisation (ILO)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The future of work in textiles, clothing, leather and footwear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2019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Policy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98%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46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47</w:t>
            </w:r>
          </w:p>
        </w:tc>
      </w:tr>
      <w:tr>
        <w:trPr>
          <w:trHeight w:val="169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ILO, 2022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International Labour Organisation (ILO)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Opportunities for a Just Transition to environmental sustainability and COVID-19 recovery in the textile and garment sector in Asia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2022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Policy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56%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30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24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54</w:t>
            </w:r>
          </w:p>
        </w:tc>
      </w:tr>
      <w:tr>
        <w:trPr>
          <w:trHeight w:val="97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EURATEX, 2019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European Commission European Apparel and Textiles Organisation (EURATEX)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Support report mapping sustainable fashion opportunities for SMES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2019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Policy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48%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42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46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88</w:t>
            </w:r>
          </w:p>
        </w:tc>
      </w:tr>
      <w:tr>
        <w:trPr>
          <w:trHeight w:val="73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EU JRC, 2021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European Union Joint Research Council (EU JRC)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Circular economy perspectives in the EU textile sector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2021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Policy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86%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136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22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158</w:t>
            </w:r>
          </w:p>
        </w:tc>
      </w:tr>
      <w:tr>
        <w:trPr>
          <w:trHeight w:val="49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PwC, 2024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PwC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Circular fashion: Making resale a reality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2024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Consulting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100%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0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</w:t>
            </w:r>
          </w:p>
        </w:tc>
      </w:tr>
      <w:tr>
        <w:trPr>
          <w:trHeight w:val="169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UNECE, 2019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United Nations Economic Commission for Europe (UNECE)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Accelerating action for a sustainable and circular garment and footwear industry, through transparency and traceability of value chains (ECE/TRADE/449)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2019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Policy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79%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37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10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47</w:t>
            </w:r>
          </w:p>
        </w:tc>
      </w:tr>
      <w:tr>
        <w:trPr>
          <w:trHeight w:val="193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UNEP, 2021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United Nations Environment Programme (UNEP)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CATALYSING SCIENCE-BASED POLICY ACTION ON SUSTAINABLE CONSUMPTION AND PRODUCTION: The value-chain approach &amp; its application to food, construction and textiles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2021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Policy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100%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45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0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45</w:t>
            </w:r>
          </w:p>
        </w:tc>
      </w:tr>
      <w:tr>
        <w:trPr>
          <w:trHeight w:val="97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WRAP, 2020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Waste and Resources Action Plan (WRAP)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Changing our clothes: Why the clothing sector should adopt new business models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2020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Advocacy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100%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16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0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16</w:t>
            </w:r>
          </w:p>
        </w:tc>
      </w:tr>
      <w:tr>
        <w:trPr>
          <w:trHeight w:val="494" w:hRule="atLeast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WRAP, 2021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Waste and Resources Action Plan (WRAP)</w:t>
            </w:r>
          </w:p>
        </w:tc>
        <w:tc>
          <w:tcPr>
            <w:tcW w:w="2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Textiles 2030 Circularity Pathway</w:t>
            </w:r>
          </w:p>
        </w:tc>
        <w:tc>
          <w:tcPr>
            <w:tcW w:w="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2021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Advocacy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righ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–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0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0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0</w:t>
            </w:r>
          </w:p>
        </w:tc>
      </w:tr>
    </w:tbl>
    <w:p>
      <w:pPr>
        <w:pStyle w:val="Default"/>
        <w:bidi w:val="0"/>
        <w:spacing w:lineRule="auto" w:line="240" w:before="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Default"/>
        <w:bidi w:val="0"/>
        <w:spacing w:lineRule="auto" w:line="240" w:before="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Table </w:t>
      </w:r>
      <w:r>
        <w:rPr>
          <w:sz w:val="20"/>
          <w:szCs w:val="20"/>
          <w:lang w:val="en-US"/>
        </w:rPr>
        <w:t>1</w:t>
      </w:r>
      <w:r>
        <w:rPr>
          <w:sz w:val="20"/>
          <w:szCs w:val="20"/>
          <w:lang w:val="en-US"/>
        </w:rPr>
        <w:t>. Grey literature documents in review sample</w:t>
      </w:r>
    </w:p>
    <w:p>
      <w:pPr>
        <w:pStyle w:val="Default"/>
        <w:bidi w:val="0"/>
        <w:spacing w:lineRule="auto" w:line="240" w:before="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Default"/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4340" w:leader="none"/>
          <w:tab w:val="left" w:pos="4360" w:leader="none"/>
          <w:tab w:val="left" w:pos="4380" w:leader="none"/>
          <w:tab w:val="left" w:pos="4400" w:leader="none"/>
          <w:tab w:val="left" w:pos="4420" w:leader="none"/>
          <w:tab w:val="left" w:pos="4440" w:leader="none"/>
          <w:tab w:val="left" w:pos="4460" w:leader="none"/>
          <w:tab w:val="left" w:pos="4480" w:leader="none"/>
          <w:tab w:val="left" w:pos="4500" w:leader="none"/>
          <w:tab w:val="left" w:pos="4520" w:leader="none"/>
          <w:tab w:val="left" w:pos="4540" w:leader="none"/>
          <w:tab w:val="left" w:pos="4560" w:leader="none"/>
          <w:tab w:val="left" w:pos="4580" w:leader="none"/>
          <w:tab w:val="left" w:pos="4600" w:leader="none"/>
          <w:tab w:val="left" w:pos="4620" w:leader="none"/>
          <w:tab w:val="left" w:pos="4640" w:leader="none"/>
          <w:tab w:val="left" w:pos="4660" w:leader="none"/>
          <w:tab w:val="left" w:pos="4680" w:leader="none"/>
          <w:tab w:val="left" w:pos="4700" w:leader="none"/>
          <w:tab w:val="left" w:pos="4720" w:leader="none"/>
          <w:tab w:val="left" w:pos="4740" w:leader="none"/>
          <w:tab w:val="left" w:pos="4760" w:leader="none"/>
          <w:tab w:val="left" w:pos="4780" w:leader="none"/>
          <w:tab w:val="left" w:pos="4800" w:leader="none"/>
          <w:tab w:val="left" w:pos="4820" w:leader="none"/>
          <w:tab w:val="left" w:pos="4840" w:leader="none"/>
          <w:tab w:val="left" w:pos="4860" w:leader="none"/>
          <w:tab w:val="left" w:pos="4880" w:leader="none"/>
          <w:tab w:val="left" w:pos="4900" w:leader="none"/>
          <w:tab w:val="left" w:pos="4920" w:leader="none"/>
          <w:tab w:val="left" w:pos="4940" w:leader="none"/>
          <w:tab w:val="left" w:pos="4960" w:leader="none"/>
          <w:tab w:val="left" w:pos="4980" w:leader="none"/>
          <w:tab w:val="left" w:pos="5000" w:leader="none"/>
          <w:tab w:val="left" w:pos="5020" w:leader="none"/>
          <w:tab w:val="left" w:pos="5040" w:leader="none"/>
          <w:tab w:val="left" w:pos="5060" w:leader="none"/>
          <w:tab w:val="left" w:pos="5080" w:leader="none"/>
          <w:tab w:val="left" w:pos="5100" w:leader="none"/>
          <w:tab w:val="left" w:pos="5120" w:leader="none"/>
          <w:tab w:val="left" w:pos="5140" w:leader="none"/>
          <w:tab w:val="left" w:pos="5160" w:leader="none"/>
          <w:tab w:val="left" w:pos="5180" w:leader="none"/>
          <w:tab w:val="left" w:pos="5200" w:leader="none"/>
          <w:tab w:val="left" w:pos="5220" w:leader="none"/>
          <w:tab w:val="left" w:pos="5240" w:leader="none"/>
          <w:tab w:val="left" w:pos="5260" w:leader="none"/>
          <w:tab w:val="left" w:pos="5280" w:leader="none"/>
          <w:tab w:val="left" w:pos="5300" w:leader="none"/>
          <w:tab w:val="left" w:pos="5320" w:leader="none"/>
          <w:tab w:val="left" w:pos="5340" w:leader="none"/>
          <w:tab w:val="left" w:pos="5360" w:leader="none"/>
          <w:tab w:val="left" w:pos="5380" w:leader="none"/>
          <w:tab w:val="left" w:pos="5400" w:leader="none"/>
          <w:tab w:val="left" w:pos="5420" w:leader="none"/>
        </w:tabs>
        <w:bidi w:val="0"/>
        <w:spacing w:lineRule="auto" w:line="264" w:before="0" w:after="0"/>
        <w:ind w:left="0" w:right="0" w:firstLine="360"/>
        <w:jc w:val="left"/>
        <w:rPr>
          <w:rFonts w:ascii="Palatino" w:hAnsi="Palatino" w:eastAsia="Palatino" w:cs="Palatino"/>
          <w:sz w:val="26"/>
          <w:szCs w:val="26"/>
        </w:rPr>
      </w:pPr>
      <w:r>
        <w:rPr>
          <w:rFonts w:eastAsia="Palatino" w:cs="Palatino" w:ascii="Palatino" w:hAnsi="Palatino"/>
          <w:sz w:val="26"/>
          <w:szCs w:val="26"/>
        </w:rPr>
      </w:r>
    </w:p>
    <w:p>
      <w:pPr>
        <w:pStyle w:val="Default"/>
        <w:tabs>
          <w:tab w:val="clear" w:pos="720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  <w:tab w:val="left" w:pos="6740" w:leader="none"/>
          <w:tab w:val="left" w:pos="6760" w:leader="none"/>
          <w:tab w:val="left" w:pos="6780" w:leader="none"/>
          <w:tab w:val="left" w:pos="6800" w:leader="none"/>
          <w:tab w:val="left" w:pos="6820" w:leader="none"/>
          <w:tab w:val="left" w:pos="6840" w:leader="none"/>
          <w:tab w:val="left" w:pos="6860" w:leader="none"/>
          <w:tab w:val="left" w:pos="6880" w:leader="none"/>
          <w:tab w:val="left" w:pos="6900" w:leader="none"/>
          <w:tab w:val="left" w:pos="6920" w:leader="none"/>
          <w:tab w:val="left" w:pos="6940" w:leader="none"/>
          <w:tab w:val="left" w:pos="6960" w:leader="none"/>
          <w:tab w:val="left" w:pos="6980" w:leader="none"/>
          <w:tab w:val="left" w:pos="7000" w:leader="none"/>
          <w:tab w:val="left" w:pos="7020" w:leader="none"/>
          <w:tab w:val="left" w:pos="7040" w:leader="none"/>
          <w:tab w:val="left" w:pos="7060" w:leader="none"/>
          <w:tab w:val="left" w:pos="7080" w:leader="none"/>
          <w:tab w:val="left" w:pos="7100" w:leader="none"/>
          <w:tab w:val="left" w:pos="7120" w:leader="none"/>
          <w:tab w:val="left" w:pos="7140" w:leader="none"/>
          <w:tab w:val="left" w:pos="7160" w:leader="none"/>
          <w:tab w:val="left" w:pos="7180" w:leader="none"/>
          <w:tab w:val="left" w:pos="7200" w:leader="none"/>
          <w:tab w:val="left" w:pos="7220" w:leader="none"/>
          <w:tab w:val="left" w:pos="7240" w:leader="none"/>
          <w:tab w:val="left" w:pos="7260" w:leader="none"/>
          <w:tab w:val="left" w:pos="7280" w:leader="none"/>
          <w:tab w:val="left" w:pos="7300" w:leader="none"/>
          <w:tab w:val="left" w:pos="7320" w:leader="none"/>
          <w:tab w:val="left" w:pos="7340" w:leader="none"/>
          <w:tab w:val="left" w:pos="7360" w:leader="none"/>
          <w:tab w:val="left" w:pos="7380" w:leader="none"/>
          <w:tab w:val="left" w:pos="7400" w:leader="none"/>
          <w:tab w:val="left" w:pos="7420" w:leader="none"/>
          <w:tab w:val="left" w:pos="7440" w:leader="none"/>
          <w:tab w:val="left" w:pos="7460" w:leader="none"/>
          <w:tab w:val="left" w:pos="7480" w:leader="none"/>
          <w:tab w:val="left" w:pos="7500" w:leader="none"/>
          <w:tab w:val="left" w:pos="7520" w:leader="none"/>
          <w:tab w:val="left" w:pos="7540" w:leader="none"/>
          <w:tab w:val="left" w:pos="7560" w:leader="none"/>
          <w:tab w:val="left" w:pos="7580" w:leader="none"/>
          <w:tab w:val="left" w:pos="7600" w:leader="none"/>
          <w:tab w:val="left" w:pos="7620" w:leader="none"/>
          <w:tab w:val="left" w:pos="7640" w:leader="none"/>
          <w:tab w:val="left" w:pos="7660" w:leader="none"/>
          <w:tab w:val="left" w:pos="7680" w:leader="none"/>
          <w:tab w:val="left" w:pos="7700" w:leader="none"/>
          <w:tab w:val="left" w:pos="7720" w:leader="none"/>
          <w:tab w:val="left" w:pos="7740" w:leader="none"/>
          <w:tab w:val="left" w:pos="7760" w:leader="none"/>
        </w:tabs>
        <w:bidi w:val="0"/>
        <w:spacing w:lineRule="auto" w:line="240" w:before="0" w:after="0"/>
        <w:ind w:left="0" w:right="0" w:hanging="0"/>
        <w:jc w:val="left"/>
        <w:rPr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tbl>
      <w:tblPr>
        <w:tblW w:w="8000" w:type="dxa"/>
        <w:jc w:val="left"/>
        <w:tblInd w:w="108" w:type="dxa"/>
        <w:tblLayout w:type="fixed"/>
        <w:tblCellMar>
          <w:top w:w="80" w:type="dxa"/>
          <w:left w:w="80" w:type="dxa"/>
          <w:bottom w:w="80" w:type="dxa"/>
          <w:right w:w="80" w:type="dxa"/>
        </w:tblCellMar>
      </w:tblPr>
      <w:tblGrid>
        <w:gridCol w:w="1020"/>
        <w:gridCol w:w="3060"/>
        <w:gridCol w:w="1960"/>
        <w:gridCol w:w="1959"/>
      </w:tblGrid>
      <w:tr>
        <w:trPr>
          <w:trHeight w:val="494" w:hRule="atLeast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BDC0BF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BDC0BF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Author/ Publishing organisation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BDC0BF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Citations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BDC0BF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Journal/GL</w:t>
            </w:r>
          </w:p>
        </w:tc>
      </w:tr>
      <w:tr>
        <w:trPr>
          <w:trHeight w:val="254" w:hRule="atLeast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EC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58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EMF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43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WRAP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30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ILO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22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Mistra </w:t>
            </w: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Fashion Futures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21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Greenpeace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19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7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GFA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18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McKinsey &amp; Co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17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9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Nordic Council of Ministers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14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EEA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14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10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UNEP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13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11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UK Parliament EAC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12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Circle Economy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12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12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Eurostat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11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European Parliament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11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33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European Commission decision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11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13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OECD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10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14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IRP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9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15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WEF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Euromonitor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ECAP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DEFRA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8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16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Policy Hub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7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Bocken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7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17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Rreuse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EU JRC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Black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Academic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Fletcher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Academic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Kant Hvass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Academic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18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World Bank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US EPA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UN SDG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IPCC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BOF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Kirchher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Academic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Laitala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Academic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Bakker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Academic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Niinimäki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Academic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19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WTO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UNECE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UN comtrade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UK DLME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GS1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Gartner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Fashion For Good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Clean Clothes Campaign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Changing markets foundation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Accenture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Dahlbo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Academic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20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Kirchain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Academic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UN Population Division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UKFT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Roadmap to zero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Rijkswaterstaat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Chemsec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Bukhari et al 2018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Browne et al 2011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BFC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ED7E7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  <w:tr>
        <w:trPr>
          <w:trHeight w:val="254" w:hRule="atLeast"/>
        </w:trPr>
        <w:tc>
          <w:tcPr>
            <w:tcW w:w="102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DBDBDB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BCG</w:t>
            </w:r>
          </w:p>
        </w:tc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w="1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8ECF3" w:val="clea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outlineLvl w:val="0"/>
              <w:rPr/>
            </w:pPr>
            <w:r>
              <w:rPr>
                <w:rFonts w:eastAsia="Arial Unicode MS" w:cs="Arial Unicode MS" w:ascii="Helvetica Neue" w:hAnsi="Helvetica Neue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2"/>
                <w:sz w:val="22"/>
                <w:szCs w:val="22"/>
                <w:u w:val="none" w:color="FFFFFF"/>
                <w:shd w:fill="auto" w:val="clear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GL</w:t>
            </w:r>
          </w:p>
        </w:tc>
      </w:tr>
    </w:tbl>
    <w:p>
      <w:pPr>
        <w:pStyle w:val="Default"/>
        <w:tabs>
          <w:tab w:val="clear" w:pos="720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  <w:tab w:val="left" w:pos="6740" w:leader="none"/>
          <w:tab w:val="left" w:pos="6760" w:leader="none"/>
          <w:tab w:val="left" w:pos="6780" w:leader="none"/>
          <w:tab w:val="left" w:pos="6800" w:leader="none"/>
          <w:tab w:val="left" w:pos="6820" w:leader="none"/>
          <w:tab w:val="left" w:pos="6840" w:leader="none"/>
          <w:tab w:val="left" w:pos="6860" w:leader="none"/>
          <w:tab w:val="left" w:pos="6880" w:leader="none"/>
          <w:tab w:val="left" w:pos="6900" w:leader="none"/>
          <w:tab w:val="left" w:pos="6920" w:leader="none"/>
          <w:tab w:val="left" w:pos="6940" w:leader="none"/>
          <w:tab w:val="left" w:pos="6960" w:leader="none"/>
          <w:tab w:val="left" w:pos="6980" w:leader="none"/>
          <w:tab w:val="left" w:pos="7000" w:leader="none"/>
          <w:tab w:val="left" w:pos="7020" w:leader="none"/>
          <w:tab w:val="left" w:pos="7040" w:leader="none"/>
          <w:tab w:val="left" w:pos="7060" w:leader="none"/>
          <w:tab w:val="left" w:pos="7080" w:leader="none"/>
          <w:tab w:val="left" w:pos="7100" w:leader="none"/>
          <w:tab w:val="left" w:pos="7120" w:leader="none"/>
          <w:tab w:val="left" w:pos="7140" w:leader="none"/>
          <w:tab w:val="left" w:pos="7160" w:leader="none"/>
          <w:tab w:val="left" w:pos="7180" w:leader="none"/>
          <w:tab w:val="left" w:pos="7200" w:leader="none"/>
          <w:tab w:val="left" w:pos="7220" w:leader="none"/>
          <w:tab w:val="left" w:pos="7240" w:leader="none"/>
          <w:tab w:val="left" w:pos="7260" w:leader="none"/>
          <w:tab w:val="left" w:pos="7280" w:leader="none"/>
          <w:tab w:val="left" w:pos="7300" w:leader="none"/>
          <w:tab w:val="left" w:pos="7320" w:leader="none"/>
          <w:tab w:val="left" w:pos="7340" w:leader="none"/>
          <w:tab w:val="left" w:pos="7360" w:leader="none"/>
          <w:tab w:val="left" w:pos="7380" w:leader="none"/>
          <w:tab w:val="left" w:pos="7400" w:leader="none"/>
          <w:tab w:val="left" w:pos="7420" w:leader="none"/>
          <w:tab w:val="left" w:pos="7440" w:leader="none"/>
          <w:tab w:val="left" w:pos="7460" w:leader="none"/>
          <w:tab w:val="left" w:pos="7480" w:leader="none"/>
          <w:tab w:val="left" w:pos="7500" w:leader="none"/>
          <w:tab w:val="left" w:pos="7520" w:leader="none"/>
          <w:tab w:val="left" w:pos="7540" w:leader="none"/>
          <w:tab w:val="left" w:pos="7560" w:leader="none"/>
          <w:tab w:val="left" w:pos="7580" w:leader="none"/>
          <w:tab w:val="left" w:pos="7600" w:leader="none"/>
          <w:tab w:val="left" w:pos="7620" w:leader="none"/>
          <w:tab w:val="left" w:pos="7640" w:leader="none"/>
          <w:tab w:val="left" w:pos="7660" w:leader="none"/>
          <w:tab w:val="left" w:pos="7680" w:leader="none"/>
          <w:tab w:val="left" w:pos="7700" w:leader="none"/>
          <w:tab w:val="left" w:pos="7720" w:leader="none"/>
          <w:tab w:val="left" w:pos="7740" w:leader="none"/>
          <w:tab w:val="left" w:pos="7760" w:leader="none"/>
        </w:tabs>
        <w:bidi w:val="0"/>
        <w:spacing w:lineRule="auto" w:line="240" w:before="0" w:after="0"/>
        <w:ind w:left="0" w:right="0" w:hanging="0"/>
        <w:jc w:val="left"/>
        <w:rPr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p>
      <w:pPr>
        <w:pStyle w:val="Default"/>
        <w:tabs>
          <w:tab w:val="clear" w:pos="720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  <w:tab w:val="left" w:pos="6740" w:leader="none"/>
          <w:tab w:val="left" w:pos="6760" w:leader="none"/>
          <w:tab w:val="left" w:pos="6780" w:leader="none"/>
          <w:tab w:val="left" w:pos="6800" w:leader="none"/>
          <w:tab w:val="left" w:pos="6820" w:leader="none"/>
          <w:tab w:val="left" w:pos="6840" w:leader="none"/>
          <w:tab w:val="left" w:pos="6860" w:leader="none"/>
          <w:tab w:val="left" w:pos="6880" w:leader="none"/>
          <w:tab w:val="left" w:pos="6900" w:leader="none"/>
          <w:tab w:val="left" w:pos="6920" w:leader="none"/>
          <w:tab w:val="left" w:pos="6940" w:leader="none"/>
          <w:tab w:val="left" w:pos="6960" w:leader="none"/>
          <w:tab w:val="left" w:pos="6980" w:leader="none"/>
          <w:tab w:val="left" w:pos="7000" w:leader="none"/>
          <w:tab w:val="left" w:pos="7020" w:leader="none"/>
          <w:tab w:val="left" w:pos="7040" w:leader="none"/>
          <w:tab w:val="left" w:pos="7060" w:leader="none"/>
          <w:tab w:val="left" w:pos="7080" w:leader="none"/>
          <w:tab w:val="left" w:pos="7100" w:leader="none"/>
          <w:tab w:val="left" w:pos="7120" w:leader="none"/>
          <w:tab w:val="left" w:pos="7140" w:leader="none"/>
          <w:tab w:val="left" w:pos="7160" w:leader="none"/>
          <w:tab w:val="left" w:pos="7180" w:leader="none"/>
          <w:tab w:val="left" w:pos="7200" w:leader="none"/>
          <w:tab w:val="left" w:pos="7220" w:leader="none"/>
          <w:tab w:val="left" w:pos="7240" w:leader="none"/>
          <w:tab w:val="left" w:pos="7260" w:leader="none"/>
          <w:tab w:val="left" w:pos="7280" w:leader="none"/>
          <w:tab w:val="left" w:pos="7300" w:leader="none"/>
          <w:tab w:val="left" w:pos="7320" w:leader="none"/>
          <w:tab w:val="left" w:pos="7340" w:leader="none"/>
          <w:tab w:val="left" w:pos="7360" w:leader="none"/>
          <w:tab w:val="left" w:pos="7380" w:leader="none"/>
          <w:tab w:val="left" w:pos="7400" w:leader="none"/>
          <w:tab w:val="left" w:pos="7420" w:leader="none"/>
          <w:tab w:val="left" w:pos="7440" w:leader="none"/>
          <w:tab w:val="left" w:pos="7460" w:leader="none"/>
          <w:tab w:val="left" w:pos="7480" w:leader="none"/>
          <w:tab w:val="left" w:pos="7500" w:leader="none"/>
          <w:tab w:val="left" w:pos="7520" w:leader="none"/>
          <w:tab w:val="left" w:pos="7540" w:leader="none"/>
          <w:tab w:val="left" w:pos="7560" w:leader="none"/>
          <w:tab w:val="left" w:pos="7580" w:leader="none"/>
          <w:tab w:val="left" w:pos="7600" w:leader="none"/>
          <w:tab w:val="left" w:pos="7620" w:leader="none"/>
          <w:tab w:val="left" w:pos="7640" w:leader="none"/>
          <w:tab w:val="left" w:pos="7660" w:leader="none"/>
          <w:tab w:val="left" w:pos="7680" w:leader="none"/>
          <w:tab w:val="left" w:pos="7700" w:leader="none"/>
          <w:tab w:val="left" w:pos="7720" w:leader="none"/>
          <w:tab w:val="left" w:pos="7740" w:leader="none"/>
          <w:tab w:val="left" w:pos="7760" w:leader="none"/>
        </w:tabs>
        <w:bidi w:val="0"/>
        <w:spacing w:lineRule="auto" w:line="240" w:before="0" w:after="0"/>
        <w:ind w:left="0" w:right="0" w:hanging="0"/>
        <w:jc w:val="left"/>
        <w:rPr>
          <w:rFonts w:ascii="Helvetica" w:hAnsi="Helvetica" w:eastAsia="Helvetica" w:cs="Helvetica"/>
        </w:rPr>
      </w:pPr>
      <w:r>
        <w:rPr>
          <w:rFonts w:ascii="Helvetica" w:hAnsi="Helvetica"/>
          <w:lang w:val="en-US"/>
        </w:rPr>
        <w:t xml:space="preserve">Table </w:t>
      </w:r>
      <w:r>
        <w:rPr>
          <w:rFonts w:ascii="Helvetica" w:hAnsi="Helvetica"/>
          <w:lang w:val="en-US"/>
        </w:rPr>
        <w:t>2</w:t>
      </w:r>
      <w:r>
        <w:rPr>
          <w:rFonts w:ascii="Helvetica" w:hAnsi="Helvetica"/>
          <w:lang w:val="en-US"/>
        </w:rPr>
        <w:t xml:space="preserve">. Top twenty grey publishing organisations and academic journal authors in the sample, but citation count. </w:t>
      </w:r>
    </w:p>
    <w:p>
      <w:pPr>
        <w:pStyle w:val="Default"/>
        <w:tabs>
          <w:tab w:val="clear" w:pos="720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  <w:tab w:val="left" w:pos="6740" w:leader="none"/>
          <w:tab w:val="left" w:pos="6760" w:leader="none"/>
          <w:tab w:val="left" w:pos="6780" w:leader="none"/>
          <w:tab w:val="left" w:pos="6800" w:leader="none"/>
          <w:tab w:val="left" w:pos="6820" w:leader="none"/>
          <w:tab w:val="left" w:pos="6840" w:leader="none"/>
          <w:tab w:val="left" w:pos="6860" w:leader="none"/>
          <w:tab w:val="left" w:pos="6880" w:leader="none"/>
          <w:tab w:val="left" w:pos="6900" w:leader="none"/>
          <w:tab w:val="left" w:pos="6920" w:leader="none"/>
          <w:tab w:val="left" w:pos="6940" w:leader="none"/>
          <w:tab w:val="left" w:pos="6960" w:leader="none"/>
          <w:tab w:val="left" w:pos="6980" w:leader="none"/>
          <w:tab w:val="left" w:pos="7000" w:leader="none"/>
          <w:tab w:val="left" w:pos="7020" w:leader="none"/>
          <w:tab w:val="left" w:pos="7040" w:leader="none"/>
          <w:tab w:val="left" w:pos="7060" w:leader="none"/>
          <w:tab w:val="left" w:pos="7080" w:leader="none"/>
          <w:tab w:val="left" w:pos="7100" w:leader="none"/>
          <w:tab w:val="left" w:pos="7120" w:leader="none"/>
          <w:tab w:val="left" w:pos="7140" w:leader="none"/>
          <w:tab w:val="left" w:pos="7160" w:leader="none"/>
          <w:tab w:val="left" w:pos="7180" w:leader="none"/>
          <w:tab w:val="left" w:pos="7200" w:leader="none"/>
          <w:tab w:val="left" w:pos="7220" w:leader="none"/>
          <w:tab w:val="left" w:pos="7240" w:leader="none"/>
          <w:tab w:val="left" w:pos="7260" w:leader="none"/>
          <w:tab w:val="left" w:pos="7280" w:leader="none"/>
          <w:tab w:val="left" w:pos="7300" w:leader="none"/>
          <w:tab w:val="left" w:pos="7320" w:leader="none"/>
          <w:tab w:val="left" w:pos="7340" w:leader="none"/>
          <w:tab w:val="left" w:pos="7360" w:leader="none"/>
          <w:tab w:val="left" w:pos="7380" w:leader="none"/>
          <w:tab w:val="left" w:pos="7400" w:leader="none"/>
          <w:tab w:val="left" w:pos="7420" w:leader="none"/>
          <w:tab w:val="left" w:pos="7440" w:leader="none"/>
          <w:tab w:val="left" w:pos="7460" w:leader="none"/>
          <w:tab w:val="left" w:pos="7480" w:leader="none"/>
          <w:tab w:val="left" w:pos="7500" w:leader="none"/>
          <w:tab w:val="left" w:pos="7520" w:leader="none"/>
          <w:tab w:val="left" w:pos="7540" w:leader="none"/>
          <w:tab w:val="left" w:pos="7560" w:leader="none"/>
          <w:tab w:val="left" w:pos="7580" w:leader="none"/>
          <w:tab w:val="left" w:pos="7600" w:leader="none"/>
          <w:tab w:val="left" w:pos="7620" w:leader="none"/>
          <w:tab w:val="left" w:pos="7640" w:leader="none"/>
          <w:tab w:val="left" w:pos="7660" w:leader="none"/>
          <w:tab w:val="left" w:pos="7680" w:leader="none"/>
          <w:tab w:val="left" w:pos="7700" w:leader="none"/>
          <w:tab w:val="left" w:pos="7720" w:leader="none"/>
          <w:tab w:val="left" w:pos="7740" w:leader="none"/>
          <w:tab w:val="left" w:pos="7760" w:leader="none"/>
        </w:tabs>
        <w:bidi w:val="0"/>
        <w:spacing w:lineRule="auto" w:line="240" w:before="0" w:after="0"/>
        <w:ind w:left="0" w:right="0" w:hanging="0"/>
        <w:jc w:val="left"/>
        <w:rPr>
          <w:rFonts w:ascii="Helvetica" w:hAnsi="Helvetica" w:eastAsia="Helvetica" w:cs="Helvetica"/>
        </w:rPr>
      </w:pPr>
      <w:r>
        <w:rPr>
          <w:rFonts w:ascii="Helvetica" w:hAnsi="Helvetica"/>
          <w:lang w:val="en-US"/>
        </w:rPr>
        <w:t xml:space="preserve">Note: A full list of all citations was produced. Duplicate citations within individual documents were removed. The list was sorted by publishing organisation and a count of citations produced. A separate list of individual authors and citation count was produced. The two lists are merged above. </w:t>
      </w:r>
    </w:p>
    <w:p>
      <w:pPr>
        <w:pStyle w:val="Default"/>
        <w:tabs>
          <w:tab w:val="clear" w:pos="720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  <w:tab w:val="left" w:pos="6740" w:leader="none"/>
          <w:tab w:val="left" w:pos="6760" w:leader="none"/>
          <w:tab w:val="left" w:pos="6780" w:leader="none"/>
          <w:tab w:val="left" w:pos="6800" w:leader="none"/>
          <w:tab w:val="left" w:pos="6820" w:leader="none"/>
          <w:tab w:val="left" w:pos="6840" w:leader="none"/>
          <w:tab w:val="left" w:pos="6860" w:leader="none"/>
          <w:tab w:val="left" w:pos="6880" w:leader="none"/>
          <w:tab w:val="left" w:pos="6900" w:leader="none"/>
          <w:tab w:val="left" w:pos="6920" w:leader="none"/>
          <w:tab w:val="left" w:pos="6940" w:leader="none"/>
          <w:tab w:val="left" w:pos="6960" w:leader="none"/>
          <w:tab w:val="left" w:pos="6980" w:leader="none"/>
          <w:tab w:val="left" w:pos="7000" w:leader="none"/>
          <w:tab w:val="left" w:pos="7020" w:leader="none"/>
          <w:tab w:val="left" w:pos="7040" w:leader="none"/>
          <w:tab w:val="left" w:pos="7060" w:leader="none"/>
          <w:tab w:val="left" w:pos="7080" w:leader="none"/>
          <w:tab w:val="left" w:pos="7100" w:leader="none"/>
          <w:tab w:val="left" w:pos="7120" w:leader="none"/>
          <w:tab w:val="left" w:pos="7140" w:leader="none"/>
          <w:tab w:val="left" w:pos="7160" w:leader="none"/>
          <w:tab w:val="left" w:pos="7180" w:leader="none"/>
          <w:tab w:val="left" w:pos="7200" w:leader="none"/>
          <w:tab w:val="left" w:pos="7220" w:leader="none"/>
          <w:tab w:val="left" w:pos="7240" w:leader="none"/>
          <w:tab w:val="left" w:pos="7260" w:leader="none"/>
          <w:tab w:val="left" w:pos="7280" w:leader="none"/>
          <w:tab w:val="left" w:pos="7300" w:leader="none"/>
          <w:tab w:val="left" w:pos="7320" w:leader="none"/>
          <w:tab w:val="left" w:pos="7340" w:leader="none"/>
          <w:tab w:val="left" w:pos="7360" w:leader="none"/>
          <w:tab w:val="left" w:pos="7380" w:leader="none"/>
          <w:tab w:val="left" w:pos="7400" w:leader="none"/>
          <w:tab w:val="left" w:pos="7420" w:leader="none"/>
          <w:tab w:val="left" w:pos="7440" w:leader="none"/>
          <w:tab w:val="left" w:pos="7460" w:leader="none"/>
          <w:tab w:val="left" w:pos="7480" w:leader="none"/>
          <w:tab w:val="left" w:pos="7500" w:leader="none"/>
          <w:tab w:val="left" w:pos="7520" w:leader="none"/>
          <w:tab w:val="left" w:pos="7540" w:leader="none"/>
          <w:tab w:val="left" w:pos="7560" w:leader="none"/>
          <w:tab w:val="left" w:pos="7580" w:leader="none"/>
          <w:tab w:val="left" w:pos="7600" w:leader="none"/>
          <w:tab w:val="left" w:pos="7620" w:leader="none"/>
          <w:tab w:val="left" w:pos="7640" w:leader="none"/>
          <w:tab w:val="left" w:pos="7660" w:leader="none"/>
          <w:tab w:val="left" w:pos="7680" w:leader="none"/>
          <w:tab w:val="left" w:pos="7700" w:leader="none"/>
          <w:tab w:val="left" w:pos="7720" w:leader="none"/>
          <w:tab w:val="left" w:pos="7740" w:leader="none"/>
          <w:tab w:val="left" w:pos="7760" w:leader="none"/>
        </w:tabs>
        <w:bidi w:val="0"/>
        <w:spacing w:lineRule="auto" w:line="240" w:before="0" w:after="0"/>
        <w:ind w:left="0" w:right="0" w:hanging="0"/>
        <w:jc w:val="left"/>
        <w:rPr>
          <w:rFonts w:ascii="Helvetica" w:hAnsi="Helvetica" w:eastAsia="Helvetica" w:cs="Helvetica"/>
        </w:rPr>
      </w:pPr>
      <w:r>
        <w:rPr/>
      </w:r>
    </w:p>
    <w:tbl>
      <w:tblPr>
        <w:tblW w:w="8748" w:type="dxa"/>
        <w:jc w:val="left"/>
        <w:tblInd w:w="108" w:type="dxa"/>
        <w:tblLayout w:type="fixed"/>
        <w:tblCellMar>
          <w:top w:w="80" w:type="dxa"/>
          <w:left w:w="80" w:type="dxa"/>
          <w:bottom w:w="80" w:type="dxa"/>
          <w:right w:w="80" w:type="dxa"/>
        </w:tblCellMar>
      </w:tblPr>
      <w:tblGrid>
        <w:gridCol w:w="1836"/>
        <w:gridCol w:w="1727"/>
        <w:gridCol w:w="1726"/>
        <w:gridCol w:w="1731"/>
        <w:gridCol w:w="1728"/>
      </w:tblGrid>
      <w:tr>
        <w:trPr>
          <w:trHeight w:val="6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0B3B2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b/>
                <w:bCs/>
                <w:u w:val="none" w:color="000000"/>
                <w:shd w:fill="auto" w:val="clear"/>
                <w:lang w:val="en-US"/>
              </w:rPr>
              <w:t>Article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0B3B2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b/>
                <w:bCs/>
                <w:u w:val="none" w:color="000000"/>
                <w:shd w:fill="auto" w:val="clear"/>
                <w:lang w:val="en-US"/>
              </w:rPr>
              <w:t>Includes GL in review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0B3B2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b/>
                <w:bCs/>
                <w:u w:val="none" w:color="000000"/>
                <w:shd w:fill="auto" w:val="clear"/>
                <w:lang w:val="en-US"/>
              </w:rPr>
              <w:t>Cites GL in references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0B3B2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b/>
                <w:bCs/>
                <w:u w:val="none" w:color="000000"/>
                <w:shd w:fill="auto" w:val="clear"/>
                <w:lang w:val="en-US"/>
              </w:rPr>
              <w:t>Cites EMF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0B3B2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b/>
                <w:bCs/>
                <w:u w:val="none" w:color="000000"/>
                <w:shd w:fill="auto" w:val="clear"/>
                <w:lang w:val="en-US"/>
              </w:rPr>
              <w:t>Cites EMF 2017</w:t>
            </w:r>
          </w:p>
        </w:tc>
      </w:tr>
      <w:tr>
        <w:trPr>
          <w:trHeight w:val="6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Abbate et al., 2024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6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Abdelmeguid et al., 2022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De Ponte et al., 2023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9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Dissanayake &amp; Weerasinghe, 2021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9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Galatt &amp; Baruque-Ramos, 2022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6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Hugo et al., 2021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6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Hultberg &amp; Pal, 2021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3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Ki et al., 2020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3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Kim, 2024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9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Kongelf &amp; Camacho-Otero, 2020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6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Nosratabadi et al., 2019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Pal et al., 2021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Saha et al., 2024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6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Shirvanimoghadda et al., 2020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Valencia et al., 2023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Vanacker et al., 2023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Yiyan et al., 2023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Yriberry et al., 2023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310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Total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5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17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16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11</w:t>
            </w:r>
          </w:p>
        </w:tc>
      </w:tr>
      <w:tr>
        <w:trPr>
          <w:trHeight w:val="482" w:hRule="atLeast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Percent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28%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94%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89%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61%</w:t>
            </w:r>
          </w:p>
        </w:tc>
      </w:tr>
    </w:tbl>
    <w:p>
      <w:pPr>
        <w:pStyle w:val="Body"/>
        <w:widowControl w:val="false"/>
        <w:rPr/>
      </w:pPr>
      <w:r>
        <w:rPr/>
      </w:r>
    </w:p>
    <w:p>
      <w:pPr>
        <w:pStyle w:val="Body"/>
        <w:widowControl w:val="false"/>
        <w:rPr/>
      </w:pPr>
      <w:r>
        <w:rPr>
          <w:lang w:val="en-US"/>
        </w:rPr>
        <w:t xml:space="preserve">Table </w:t>
      </w:r>
      <w:r>
        <w:rPr>
          <w:lang w:val="en-US"/>
        </w:rPr>
        <w:t>3</w:t>
      </w:r>
      <w:r>
        <w:rPr>
          <w:lang w:val="en-US"/>
        </w:rPr>
        <w:t>: Recent literature reviews on circular fashion. Authors frequently cite grey literature in background information, but exclude it from analysis.</w:t>
      </w:r>
    </w:p>
    <w:p>
      <w:pPr>
        <w:pStyle w:val="Body"/>
        <w:widowControl w:val="false"/>
        <w:rPr>
          <w:rFonts w:ascii="Helvetica" w:hAnsi="Helvetica" w:eastAsia="Helvetica" w:cs="Helvetica"/>
          <w:outline w:val="false"/>
          <w:color w:val="000000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eastAsia="Helvetica" w:cs="Helvetica" w:ascii="Helvetica" w:hAnsi="Helvetica"/>
          <w:outline w:val="false"/>
          <w:color w:val="000000"/>
          <w:u w:val="none" w:color="000000"/>
          <w14:textFill>
            <w14:solidFill>
              <w14:srgbClr w14:val="000000"/>
            </w14:solidFill>
          </w14:textFill>
        </w:rPr>
      </w:r>
    </w:p>
    <w:tbl>
      <w:tblPr>
        <w:tblW w:w="8747" w:type="dxa"/>
        <w:jc w:val="left"/>
        <w:tblInd w:w="108" w:type="dxa"/>
        <w:tblLayout w:type="fixed"/>
        <w:tblCellMar>
          <w:top w:w="80" w:type="dxa"/>
          <w:left w:w="80" w:type="dxa"/>
          <w:bottom w:w="80" w:type="dxa"/>
          <w:right w:w="80" w:type="dxa"/>
        </w:tblCellMar>
      </w:tblPr>
      <w:tblGrid>
        <w:gridCol w:w="2268"/>
        <w:gridCol w:w="2159"/>
        <w:gridCol w:w="2161"/>
        <w:gridCol w:w="2158"/>
      </w:tblGrid>
      <w:tr>
        <w:trPr>
          <w:trHeight w:val="610" w:hRule="atLeast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0B3B2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b/>
                <w:bCs/>
                <w:u w:val="none" w:color="000000"/>
                <w:shd w:fill="auto" w:val="clear"/>
                <w:lang w:val="en-US"/>
              </w:rPr>
              <w:t>Article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0B3B2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b/>
                <w:bCs/>
                <w:u w:val="none" w:color="000000"/>
                <w:shd w:fill="auto" w:val="clear"/>
                <w:lang w:val="en-US"/>
              </w:rPr>
              <w:t>Includes GL in review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0B3B2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b/>
                <w:bCs/>
                <w:u w:val="none" w:color="000000"/>
                <w:shd w:fill="auto" w:val="clear"/>
                <w:lang w:val="en-US"/>
              </w:rPr>
              <w:t>Cites GL in references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0B3B2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b/>
                <w:bCs/>
                <w:u w:val="none" w:color="000000"/>
                <w:shd w:fill="auto" w:val="clear"/>
                <w:lang w:val="en-US"/>
              </w:rPr>
              <w:t>Cites EMF</w:t>
            </w:r>
          </w:p>
        </w:tc>
      </w:tr>
      <w:tr>
        <w:trPr>
          <w:trHeight w:val="310" w:hRule="atLeast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Ghisellini et al., 2016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310" w:hRule="atLeast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Tukker, 2015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610" w:hRule="atLeast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Geissdoerfer et al., 2017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310" w:hRule="atLeast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Kirchherr et al., 2017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610" w:hRule="atLeast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Lieder and Rashid, 2016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Y</w:t>
            </w:r>
          </w:p>
        </w:tc>
      </w:tr>
      <w:tr>
        <w:trPr>
          <w:trHeight w:val="310" w:hRule="atLeast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Total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1 (20%)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5 (100%)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Default"/>
              <w:widowControl w:val="false"/>
              <w:suppressAutoHyphens w:val="true"/>
              <w:bidi w:val="0"/>
              <w:spacing w:lineRule="auto" w:line="240" w:before="120" w:after="24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u w:val="none" w:color="000000"/>
                <w:shd w:fill="auto" w:val="clear"/>
                <w:lang w:val="en-US"/>
              </w:rPr>
              <w:t>5 (100%)</w:t>
            </w:r>
          </w:p>
        </w:tc>
      </w:tr>
    </w:tbl>
    <w:p>
      <w:pPr>
        <w:pStyle w:val="Body"/>
        <w:widowControl w:val="false"/>
        <w:rPr>
          <w:rFonts w:ascii="Helvetica" w:hAnsi="Helvetica" w:eastAsia="Helvetica" w:cs="Helvetica"/>
          <w:outline w:val="false"/>
          <w:color w:val="000000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eastAsia="Helvetica" w:cs="Helvetica" w:ascii="Helvetica" w:hAnsi="Helvetica"/>
          <w:outline w:val="false"/>
          <w:color w:val="000000"/>
          <w:u w:val="none" w:color="000000"/>
          <w14:textFill>
            <w14:solidFill>
              <w14:srgbClr w14:val="000000"/>
            </w14:solidFill>
          </w14:textFill>
        </w:rPr>
      </w:r>
    </w:p>
    <w:p>
      <w:pPr>
        <w:pStyle w:val="Body"/>
        <w:widowControl w:val="false"/>
        <w:rPr/>
      </w:pPr>
      <w:r>
        <w:rPr>
          <w:lang w:val="en-US"/>
        </w:rPr>
        <w:t xml:space="preserve">Table </w:t>
      </w:r>
      <w:r>
        <w:rPr>
          <w:lang w:val="en-US"/>
        </w:rPr>
        <w:t>4</w:t>
      </w:r>
      <w:r>
        <w:rPr>
          <w:lang w:val="en-US"/>
        </w:rPr>
        <w:t>: Influential literature reviews on circular economy and inclusion of grey literature.</w:t>
      </w:r>
    </w:p>
    <w:p>
      <w:pPr>
        <w:pStyle w:val="Default"/>
        <w:tabs>
          <w:tab w:val="clear" w:pos="720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  <w:tab w:val="left" w:pos="6740" w:leader="none"/>
          <w:tab w:val="left" w:pos="6760" w:leader="none"/>
          <w:tab w:val="left" w:pos="6780" w:leader="none"/>
          <w:tab w:val="left" w:pos="6800" w:leader="none"/>
          <w:tab w:val="left" w:pos="6820" w:leader="none"/>
          <w:tab w:val="left" w:pos="6840" w:leader="none"/>
          <w:tab w:val="left" w:pos="6860" w:leader="none"/>
          <w:tab w:val="left" w:pos="6880" w:leader="none"/>
          <w:tab w:val="left" w:pos="6900" w:leader="none"/>
          <w:tab w:val="left" w:pos="6920" w:leader="none"/>
          <w:tab w:val="left" w:pos="6940" w:leader="none"/>
          <w:tab w:val="left" w:pos="6960" w:leader="none"/>
          <w:tab w:val="left" w:pos="6980" w:leader="none"/>
          <w:tab w:val="left" w:pos="7000" w:leader="none"/>
          <w:tab w:val="left" w:pos="7020" w:leader="none"/>
          <w:tab w:val="left" w:pos="7040" w:leader="none"/>
          <w:tab w:val="left" w:pos="7060" w:leader="none"/>
          <w:tab w:val="left" w:pos="7080" w:leader="none"/>
          <w:tab w:val="left" w:pos="7100" w:leader="none"/>
          <w:tab w:val="left" w:pos="7120" w:leader="none"/>
          <w:tab w:val="left" w:pos="7140" w:leader="none"/>
          <w:tab w:val="left" w:pos="7160" w:leader="none"/>
          <w:tab w:val="left" w:pos="7180" w:leader="none"/>
          <w:tab w:val="left" w:pos="7200" w:leader="none"/>
          <w:tab w:val="left" w:pos="7220" w:leader="none"/>
          <w:tab w:val="left" w:pos="7240" w:leader="none"/>
          <w:tab w:val="left" w:pos="7260" w:leader="none"/>
          <w:tab w:val="left" w:pos="7280" w:leader="none"/>
          <w:tab w:val="left" w:pos="7300" w:leader="none"/>
          <w:tab w:val="left" w:pos="7320" w:leader="none"/>
          <w:tab w:val="left" w:pos="7340" w:leader="none"/>
          <w:tab w:val="left" w:pos="7360" w:leader="none"/>
          <w:tab w:val="left" w:pos="7380" w:leader="none"/>
          <w:tab w:val="left" w:pos="7400" w:leader="none"/>
          <w:tab w:val="left" w:pos="7420" w:leader="none"/>
          <w:tab w:val="left" w:pos="7440" w:leader="none"/>
          <w:tab w:val="left" w:pos="7460" w:leader="none"/>
          <w:tab w:val="left" w:pos="7480" w:leader="none"/>
          <w:tab w:val="left" w:pos="7500" w:leader="none"/>
          <w:tab w:val="left" w:pos="7520" w:leader="none"/>
          <w:tab w:val="left" w:pos="7540" w:leader="none"/>
          <w:tab w:val="left" w:pos="7560" w:leader="none"/>
          <w:tab w:val="left" w:pos="7580" w:leader="none"/>
          <w:tab w:val="left" w:pos="7600" w:leader="none"/>
          <w:tab w:val="left" w:pos="7620" w:leader="none"/>
          <w:tab w:val="left" w:pos="7640" w:leader="none"/>
          <w:tab w:val="left" w:pos="7660" w:leader="none"/>
          <w:tab w:val="left" w:pos="7680" w:leader="none"/>
          <w:tab w:val="left" w:pos="7700" w:leader="none"/>
          <w:tab w:val="left" w:pos="7720" w:leader="none"/>
          <w:tab w:val="left" w:pos="7740" w:leader="none"/>
          <w:tab w:val="left" w:pos="7760" w:leader="none"/>
        </w:tabs>
        <w:bidi w:val="0"/>
        <w:spacing w:lineRule="auto" w:line="240" w:before="0" w:after="0"/>
        <w:ind w:left="0" w:right="0" w:hanging="0"/>
        <w:jc w:val="left"/>
        <w:rPr>
          <w:rFonts w:ascii="Helvetica" w:hAnsi="Helvetica" w:eastAsia="Helvetica" w:cs="Helvetica"/>
        </w:rPr>
      </w:pPr>
      <w:r>
        <w:rPr>
          <w:sz w:val="20"/>
          <w:szCs w:val="20"/>
        </w:rPr>
      </w:r>
    </w:p>
    <w:p>
      <w:pPr>
        <w:pStyle w:val="Default"/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4340" w:leader="none"/>
          <w:tab w:val="left" w:pos="4360" w:leader="none"/>
          <w:tab w:val="left" w:pos="4380" w:leader="none"/>
          <w:tab w:val="left" w:pos="4400" w:leader="none"/>
          <w:tab w:val="left" w:pos="4420" w:leader="none"/>
          <w:tab w:val="left" w:pos="4440" w:leader="none"/>
          <w:tab w:val="left" w:pos="4460" w:leader="none"/>
          <w:tab w:val="left" w:pos="4480" w:leader="none"/>
          <w:tab w:val="left" w:pos="4500" w:leader="none"/>
          <w:tab w:val="left" w:pos="4520" w:leader="none"/>
          <w:tab w:val="left" w:pos="4540" w:leader="none"/>
          <w:tab w:val="left" w:pos="4560" w:leader="none"/>
          <w:tab w:val="left" w:pos="4580" w:leader="none"/>
          <w:tab w:val="left" w:pos="4600" w:leader="none"/>
          <w:tab w:val="left" w:pos="4620" w:leader="none"/>
          <w:tab w:val="left" w:pos="4640" w:leader="none"/>
          <w:tab w:val="left" w:pos="4660" w:leader="none"/>
          <w:tab w:val="left" w:pos="4680" w:leader="none"/>
          <w:tab w:val="left" w:pos="4700" w:leader="none"/>
          <w:tab w:val="left" w:pos="4720" w:leader="none"/>
          <w:tab w:val="left" w:pos="4740" w:leader="none"/>
          <w:tab w:val="left" w:pos="4760" w:leader="none"/>
          <w:tab w:val="left" w:pos="4780" w:leader="none"/>
          <w:tab w:val="left" w:pos="4800" w:leader="none"/>
          <w:tab w:val="left" w:pos="4820" w:leader="none"/>
          <w:tab w:val="left" w:pos="4840" w:leader="none"/>
          <w:tab w:val="left" w:pos="4860" w:leader="none"/>
          <w:tab w:val="left" w:pos="4880" w:leader="none"/>
          <w:tab w:val="left" w:pos="4900" w:leader="none"/>
          <w:tab w:val="left" w:pos="4920" w:leader="none"/>
          <w:tab w:val="left" w:pos="4940" w:leader="none"/>
          <w:tab w:val="left" w:pos="4960" w:leader="none"/>
          <w:tab w:val="left" w:pos="4980" w:leader="none"/>
          <w:tab w:val="left" w:pos="5000" w:leader="none"/>
          <w:tab w:val="left" w:pos="5020" w:leader="none"/>
          <w:tab w:val="left" w:pos="5040" w:leader="none"/>
          <w:tab w:val="left" w:pos="5060" w:leader="none"/>
          <w:tab w:val="left" w:pos="5080" w:leader="none"/>
          <w:tab w:val="left" w:pos="5100" w:leader="none"/>
          <w:tab w:val="left" w:pos="5120" w:leader="none"/>
          <w:tab w:val="left" w:pos="5140" w:leader="none"/>
          <w:tab w:val="left" w:pos="5160" w:leader="none"/>
          <w:tab w:val="left" w:pos="5180" w:leader="none"/>
          <w:tab w:val="left" w:pos="5200" w:leader="none"/>
          <w:tab w:val="left" w:pos="5220" w:leader="none"/>
          <w:tab w:val="left" w:pos="5240" w:leader="none"/>
          <w:tab w:val="left" w:pos="5260" w:leader="none"/>
          <w:tab w:val="left" w:pos="5280" w:leader="none"/>
          <w:tab w:val="left" w:pos="5300" w:leader="none"/>
          <w:tab w:val="left" w:pos="5320" w:leader="none"/>
          <w:tab w:val="left" w:pos="5340" w:leader="none"/>
          <w:tab w:val="left" w:pos="5360" w:leader="none"/>
          <w:tab w:val="left" w:pos="5380" w:leader="none"/>
          <w:tab w:val="left" w:pos="5400" w:leader="none"/>
          <w:tab w:val="left" w:pos="5420" w:leader="none"/>
        </w:tabs>
        <w:bidi w:val="0"/>
        <w:spacing w:lineRule="auto" w:line="264" w:before="0" w:after="0"/>
        <w:ind w:left="0" w:right="0" w:firstLine="360"/>
        <w:jc w:val="left"/>
        <w:rPr>
          <w:rFonts w:ascii="Palatino" w:hAnsi="Palatino" w:eastAsia="Palatino" w:cs="Palatino"/>
          <w:sz w:val="26"/>
          <w:szCs w:val="26"/>
        </w:rPr>
      </w:pPr>
      <w:r>
        <w:rPr/>
      </w:r>
    </w:p>
    <w:p>
      <w:pPr>
        <w:pStyle w:val="Default"/>
        <w:tabs>
          <w:tab w:val="clear" w:pos="720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  <w:tab w:val="left" w:pos="6740" w:leader="none"/>
          <w:tab w:val="left" w:pos="6760" w:leader="none"/>
          <w:tab w:val="left" w:pos="6780" w:leader="none"/>
          <w:tab w:val="left" w:pos="6800" w:leader="none"/>
          <w:tab w:val="left" w:pos="6820" w:leader="none"/>
          <w:tab w:val="left" w:pos="6840" w:leader="none"/>
          <w:tab w:val="left" w:pos="6860" w:leader="none"/>
          <w:tab w:val="left" w:pos="6880" w:leader="none"/>
          <w:tab w:val="left" w:pos="6900" w:leader="none"/>
          <w:tab w:val="left" w:pos="6920" w:leader="none"/>
          <w:tab w:val="left" w:pos="6940" w:leader="none"/>
          <w:tab w:val="left" w:pos="6960" w:leader="none"/>
          <w:tab w:val="left" w:pos="6980" w:leader="none"/>
          <w:tab w:val="left" w:pos="7000" w:leader="none"/>
          <w:tab w:val="left" w:pos="7020" w:leader="none"/>
          <w:tab w:val="left" w:pos="7040" w:leader="none"/>
          <w:tab w:val="left" w:pos="7060" w:leader="none"/>
          <w:tab w:val="left" w:pos="7080" w:leader="none"/>
          <w:tab w:val="left" w:pos="7100" w:leader="none"/>
          <w:tab w:val="left" w:pos="7120" w:leader="none"/>
          <w:tab w:val="left" w:pos="7140" w:leader="none"/>
          <w:tab w:val="left" w:pos="7160" w:leader="none"/>
          <w:tab w:val="left" w:pos="7180" w:leader="none"/>
          <w:tab w:val="left" w:pos="7200" w:leader="none"/>
          <w:tab w:val="left" w:pos="7220" w:leader="none"/>
          <w:tab w:val="left" w:pos="7240" w:leader="none"/>
          <w:tab w:val="left" w:pos="7260" w:leader="none"/>
          <w:tab w:val="left" w:pos="7280" w:leader="none"/>
          <w:tab w:val="left" w:pos="7300" w:leader="none"/>
          <w:tab w:val="left" w:pos="7320" w:leader="none"/>
          <w:tab w:val="left" w:pos="7340" w:leader="none"/>
          <w:tab w:val="left" w:pos="7360" w:leader="none"/>
          <w:tab w:val="left" w:pos="7380" w:leader="none"/>
          <w:tab w:val="left" w:pos="7400" w:leader="none"/>
          <w:tab w:val="left" w:pos="7420" w:leader="none"/>
          <w:tab w:val="left" w:pos="7440" w:leader="none"/>
          <w:tab w:val="left" w:pos="7460" w:leader="none"/>
          <w:tab w:val="left" w:pos="7480" w:leader="none"/>
          <w:tab w:val="left" w:pos="7500" w:leader="none"/>
          <w:tab w:val="left" w:pos="7520" w:leader="none"/>
          <w:tab w:val="left" w:pos="7540" w:leader="none"/>
          <w:tab w:val="left" w:pos="7560" w:leader="none"/>
          <w:tab w:val="left" w:pos="7580" w:leader="none"/>
          <w:tab w:val="left" w:pos="7600" w:leader="none"/>
          <w:tab w:val="left" w:pos="7620" w:leader="none"/>
          <w:tab w:val="left" w:pos="7640" w:leader="none"/>
          <w:tab w:val="left" w:pos="7660" w:leader="none"/>
          <w:tab w:val="left" w:pos="7680" w:leader="none"/>
          <w:tab w:val="left" w:pos="7700" w:leader="none"/>
          <w:tab w:val="left" w:pos="7720" w:leader="none"/>
          <w:tab w:val="left" w:pos="7740" w:leader="none"/>
          <w:tab w:val="left" w:pos="7760" w:leader="none"/>
        </w:tabs>
        <w:bidi w:val="0"/>
        <w:spacing w:lineRule="auto" w:line="240" w:before="0" w:after="0"/>
        <w:ind w:left="0" w:right="0" w:hanging="0"/>
        <w:jc w:val="left"/>
        <w:rPr>
          <w:rFonts w:ascii="Helvetica" w:hAnsi="Helvetica" w:eastAsia="Helvetica" w:cs="Helvetica"/>
        </w:rPr>
      </w:pPr>
      <w:r>
        <w:rPr/>
      </w:r>
    </w:p>
    <w:p>
      <w:pPr>
        <w:pStyle w:val="Default"/>
        <w:bidi w:val="0"/>
        <w:spacing w:lineRule="auto" w:line="240" w:before="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8747" w:type="dxa"/>
        <w:jc w:val="left"/>
        <w:tblInd w:w="108" w:type="dxa"/>
        <w:tblLayout w:type="fixed"/>
        <w:tblCellMar>
          <w:top w:w="80" w:type="dxa"/>
          <w:left w:w="80" w:type="dxa"/>
          <w:bottom w:w="80" w:type="dxa"/>
          <w:right w:w="80" w:type="dxa"/>
        </w:tblCellMar>
      </w:tblPr>
      <w:tblGrid>
        <w:gridCol w:w="1548"/>
        <w:gridCol w:w="1439"/>
        <w:gridCol w:w="1440"/>
        <w:gridCol w:w="1441"/>
        <w:gridCol w:w="1440"/>
        <w:gridCol w:w="1438"/>
      </w:tblGrid>
      <w:tr>
        <w:trPr>
          <w:trHeight w:val="974" w:hRule="atLeast"/>
        </w:trPr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Observer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 xml:space="preserve">Year of observation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Observed price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 xml:space="preserve">USD / tonne (calculated conversion)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Market price of 16.6 million tonnes in USD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Market price as a percent of USD 460 billion</w:t>
            </w:r>
          </w:p>
        </w:tc>
      </w:tr>
      <w:tr>
        <w:trPr>
          <w:trHeight w:val="734" w:hRule="atLeast"/>
        </w:trPr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Charity Retail Association, n.d.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2017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GBP 470 per tonne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619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10,275,400,000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2.2%</w:t>
            </w:r>
          </w:p>
        </w:tc>
      </w:tr>
      <w:tr>
        <w:trPr>
          <w:trHeight w:val="494" w:hRule="atLeast"/>
        </w:trPr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hyperlink r:id="rId2">
              <w:r>
                <w:rPr>
                  <w:rStyle w:val="Hyperlink0"/>
                  <w:lang w:val="en-US"/>
                </w:rPr>
                <w:t>letsrecycle.com</w:t>
              </w:r>
            </w:hyperlink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 xml:space="preserve">, n.d. 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2017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GBP 560 per tonne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738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12,250,800,000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2.7%</w:t>
            </w:r>
          </w:p>
        </w:tc>
      </w:tr>
      <w:tr>
        <w:trPr>
          <w:trHeight w:val="494" w:hRule="atLeast"/>
        </w:trPr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EU JRC, 2021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2013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95 Eurocents/kg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1056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17,529,600,000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3.8%</w:t>
            </w:r>
          </w:p>
        </w:tc>
      </w:tr>
      <w:tr>
        <w:trPr>
          <w:trHeight w:val="494" w:hRule="atLeast"/>
        </w:trPr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EU JRC, 2021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2019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76 Eurocents/kg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845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14,027,000,000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Body"/>
              <w:widowControl w:val="false"/>
              <w:spacing w:before="120" w:after="240"/>
              <w:rPr/>
            </w:pPr>
            <w:r>
              <w:rPr>
                <w:rStyle w:val="None"/>
                <w:rFonts w:ascii="Helvetica Neue" w:hAnsi="Helvetica Neue"/>
                <w:sz w:val="20"/>
                <w:szCs w:val="20"/>
                <w:shd w:fill="auto" w:val="clear"/>
                <w:lang w:val="en-US"/>
              </w:rPr>
              <w:t>3.0%</w:t>
            </w:r>
          </w:p>
        </w:tc>
      </w:tr>
    </w:tbl>
    <w:p>
      <w:pPr>
        <w:pStyle w:val="Body"/>
        <w:widowControl w:val="false"/>
        <w:tabs>
          <w:tab w:val="clear" w:pos="720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rStyle w:val="None"/>
          <w:rFonts w:ascii="Helvetica" w:hAnsi="Helvetica" w:eastAsia="Helvetica" w:cs="Helvetica"/>
          <w:outline w:val="false"/>
          <w:color w:val="000000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eastAsia="Helvetica" w:cs="Helvetica" w:ascii="Helvetica" w:hAnsi="Helvetica"/>
          <w:outline w:val="false"/>
          <w:color w:val="000000"/>
          <w:u w:val="none" w:color="000000"/>
          <w14:textFill>
            <w14:solidFill>
              <w14:srgbClr w14:val="000000"/>
            </w14:solidFill>
          </w14:textFill>
        </w:rPr>
      </w:r>
    </w:p>
    <w:p>
      <w:pPr>
        <w:pStyle w:val="Figure"/>
        <w:rPr>
          <w:rStyle w:val="None"/>
        </w:rPr>
      </w:pPr>
      <w:r>
        <w:rPr>
          <w:rStyle w:val="None"/>
          <w:lang w:val="en-US"/>
        </w:rPr>
        <w:t xml:space="preserve">Table </w:t>
      </w:r>
      <w:r>
        <w:rPr>
          <w:rStyle w:val="None"/>
          <w:lang w:val="en-US"/>
        </w:rPr>
        <w:t>5</w:t>
      </w:r>
      <w:r>
        <w:rPr>
          <w:rStyle w:val="None"/>
          <w:lang w:val="en-US"/>
        </w:rPr>
        <w:t xml:space="preserve">: Observed market prices of used textiles, and realisable market value of 16.6 million tonnes of used textiles. </w:t>
      </w:r>
    </w:p>
    <w:p>
      <w:pPr>
        <w:pStyle w:val="Body"/>
        <w:ind w:left="567" w:right="0" w:hanging="0"/>
        <w:rPr>
          <w:rStyle w:val="None"/>
          <w:lang w:val="en-US"/>
        </w:rPr>
      </w:pPr>
      <w:r>
        <w:rPr>
          <w:lang w:val="en-US"/>
        </w:rPr>
      </w:r>
    </w:p>
    <w:p>
      <w:pPr>
        <w:pStyle w:val="Heading"/>
        <w:numPr>
          <w:ilvl w:val="0"/>
          <w:numId w:val="4"/>
        </w:numPr>
        <w:ind w:left="567" w:right="0" w:hanging="567"/>
        <w:rPr/>
      </w:pPr>
      <w:r>
        <w:rPr>
          <w:rStyle w:val="None"/>
          <w:lang w:val="pt-PT"/>
        </w:rPr>
        <w:t xml:space="preserve"> </w:t>
      </w:r>
      <w:r>
        <w:rPr>
          <w:rStyle w:val="None"/>
          <w:lang w:val="pt-PT"/>
        </w:rPr>
        <w:t>Figures.</w:t>
      </w:r>
    </w:p>
    <w:p>
      <w:pPr>
        <w:pStyle w:val="Body"/>
        <w:keepNext w:val="true"/>
        <w:rPr>
          <w:rStyle w:val="None"/>
        </w:rPr>
      </w:pPr>
      <w:r>
        <w:rPr/>
      </w:r>
    </w:p>
    <w:p>
      <w:pPr>
        <w:pStyle w:val="Body"/>
        <w:rPr>
          <w:rStyle w:val="None"/>
        </w:rPr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0</wp:posOffset>
            </wp:positionH>
            <wp:positionV relativeFrom="line">
              <wp:posOffset>635</wp:posOffset>
            </wp:positionV>
            <wp:extent cx="6208395" cy="3334385"/>
            <wp:effectExtent l="0" t="0" r="0" b="0"/>
            <wp:wrapSquare wrapText="largest"/>
            <wp:docPr id="1" name="officeArt object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image1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igure"/>
        <w:rPr>
          <w:rStyle w:val="None"/>
        </w:rPr>
      </w:pPr>
      <w:r>
        <w:rPr>
          <w:rStyle w:val="None"/>
          <w:b/>
          <w:bCs/>
          <w:lang w:val="en-US"/>
        </w:rPr>
        <w:t>Figure 1:</w:t>
      </w:r>
      <w:r>
        <w:rPr>
          <w:rStyle w:val="None"/>
          <w:lang w:val="en-US"/>
        </w:rPr>
        <w:t xml:space="preserve"> Selection process for literature review. </w:t>
      </w:r>
    </w:p>
    <w:p>
      <w:pPr>
        <w:pStyle w:val="Body"/>
        <w:rPr>
          <w:rStyle w:val="None"/>
        </w:rPr>
      </w:pPr>
      <w:r>
        <w:rPr/>
      </w:r>
    </w:p>
    <w:p>
      <w:pPr>
        <w:pStyle w:val="Body"/>
        <w:keepNext w:val="true"/>
        <w:jc w:val="center"/>
        <w:rPr>
          <w:rStyle w:val="None"/>
        </w:rPr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0</wp:posOffset>
            </wp:positionH>
            <wp:positionV relativeFrom="line">
              <wp:posOffset>635</wp:posOffset>
            </wp:positionV>
            <wp:extent cx="6208395" cy="3836670"/>
            <wp:effectExtent l="0" t="0" r="0" b="0"/>
            <wp:wrapSquare wrapText="largest"/>
            <wp:docPr id="2" name="Image2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image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igure"/>
        <w:rPr>
          <w:rStyle w:val="None"/>
          <w:b/>
          <w:b/>
          <w:bCs/>
        </w:rPr>
      </w:pPr>
      <w:r>
        <w:rPr>
          <w:rStyle w:val="None"/>
          <w:b/>
          <w:bCs/>
          <w:lang w:val="en-US"/>
        </w:rPr>
        <w:t xml:space="preserve"> </w:t>
      </w:r>
      <w:r>
        <w:rPr>
          <w:rStyle w:val="None"/>
          <w:b/>
          <w:bCs/>
          <w:lang w:val="en-US"/>
        </w:rPr>
        <w:t>Figure 2.</w:t>
      </w:r>
      <w:r>
        <w:rPr>
          <w:rStyle w:val="None"/>
          <w:lang w:val="en-US"/>
        </w:rPr>
        <w:t xml:space="preserve"> Grey literature heavily cites other grey literature. Note: GL publications analysed in this paper are referenced by publishing organisation and not individual authors.</w:t>
      </w:r>
    </w:p>
    <w:p>
      <w:pPr>
        <w:pStyle w:val="Body"/>
        <w:spacing w:before="240" w:after="240"/>
        <w:rPr>
          <w:rStyle w:val="None"/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p>
      <w:pPr>
        <w:pStyle w:val="Body"/>
        <w:spacing w:before="240" w:after="240"/>
        <w:rPr>
          <w:rStyle w:val="None"/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p>
      <w:pPr>
        <w:pStyle w:val="Body"/>
        <w:spacing w:before="240" w:after="240"/>
        <w:rPr>
          <w:rStyle w:val="None"/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p>
      <w:pPr>
        <w:pStyle w:val="Body"/>
        <w:spacing w:before="240" w:after="240"/>
        <w:rPr>
          <w:rStyle w:val="None"/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p>
      <w:pPr>
        <w:pStyle w:val="Body"/>
        <w:spacing w:before="240" w:after="240"/>
        <w:rPr>
          <w:rStyle w:val="None"/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p>
      <w:pPr>
        <w:pStyle w:val="Body"/>
        <w:spacing w:before="240" w:after="240"/>
        <w:rPr>
          <w:rStyle w:val="None"/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p>
      <w:pPr>
        <w:pStyle w:val="Body"/>
        <w:spacing w:before="240" w:after="240"/>
        <w:rPr>
          <w:rStyle w:val="None"/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p>
      <w:pPr>
        <w:pStyle w:val="Body"/>
        <w:spacing w:before="240" w:after="240"/>
        <w:rPr>
          <w:rStyle w:val="None"/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p>
      <w:pPr>
        <w:pStyle w:val="Body"/>
        <w:spacing w:before="240" w:after="240"/>
        <w:rPr>
          <w:rStyle w:val="None"/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p>
      <w:pPr>
        <w:pStyle w:val="Body"/>
        <w:spacing w:before="240" w:after="240"/>
        <w:rPr>
          <w:rStyle w:val="None"/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1574165</wp:posOffset>
            </wp:positionH>
            <wp:positionV relativeFrom="line">
              <wp:posOffset>635</wp:posOffset>
            </wp:positionV>
            <wp:extent cx="3060065" cy="5072380"/>
            <wp:effectExtent l="0" t="0" r="0" b="0"/>
            <wp:wrapTopAndBottom/>
            <wp:docPr id="3" name="Image3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image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"/>
        <w:spacing w:before="240" w:after="240"/>
        <w:rPr>
          <w:rStyle w:val="None"/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p>
      <w:pPr>
        <w:pStyle w:val="Body"/>
        <w:rPr/>
      </w:pPr>
      <w:r>
        <w:rPr>
          <w:rStyle w:val="None"/>
          <w:b/>
          <w:bCs/>
          <w:lang w:val="it-IT"/>
        </w:rPr>
        <w:t>Figure 3.</w:t>
      </w:r>
      <w:r>
        <w:rPr>
          <w:rStyle w:val="None"/>
        </w:rPr>
        <w:t xml:space="preserve"> </w:t>
      </w:r>
      <w:r>
        <w:rPr>
          <w:lang w:val="en-US"/>
        </w:rPr>
        <w:t>Figure 3. Estimated size of the garment industry. Based on figures provided in EMF 2017 and author</w:t>
      </w:r>
      <w:r>
        <w:rPr/>
        <w:t>’</w:t>
      </w:r>
      <w:r>
        <w:rPr>
          <w:lang w:val="fr-FR"/>
        </w:rPr>
        <w:t>s calculations.</w:t>
      </w:r>
    </w:p>
    <w:p>
      <w:pPr>
        <w:pStyle w:val="Body"/>
        <w:keepNext w:val="false"/>
        <w:keepLines w:val="false"/>
        <w:pageBreakBefore w:val="false"/>
        <w:widowControl/>
        <w:pBdr/>
        <w:shd w:val="clear" w:color="auto" w:fill="auto"/>
        <w:suppressAutoHyphens w:val="true"/>
        <w:bidi w:val="0"/>
        <w:spacing w:lineRule="auto" w:line="240" w:beforeAutospacing="0" w:before="120" w:afterAutospacing="0" w:after="240"/>
        <w:ind w:left="0" w:right="0" w:hanging="0"/>
        <w:jc w:val="left"/>
        <w:rPr/>
      </w:pPr>
      <w:r>
        <w:rPr/>
      </w:r>
    </w:p>
    <w:sectPr>
      <w:headerReference w:type="even" r:id="rId6"/>
      <w:headerReference w:type="default" r:id="rId7"/>
      <w:headerReference w:type="first" r:id="rId8"/>
      <w:footerReference w:type="even" r:id="rId9"/>
      <w:footerReference w:type="default" r:id="rId10"/>
      <w:footerReference w:type="first" r:id="rId11"/>
      <w:type w:val="nextPage"/>
      <w:pgSz w:w="12240" w:h="15840"/>
      <w:pgMar w:left="1282" w:right="1181" w:gutter="0" w:header="720" w:top="1138" w:footer="720" w:bottom="1138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Helvetica Neue">
    <w:charset w:val="01"/>
    <w:family w:val="roman"/>
    <w:pitch w:val="variable"/>
  </w:font>
  <w:font w:name="Helvetica">
    <w:altName w:val="Arial"/>
    <w:charset w:val="01"/>
    <w:family w:val="roman"/>
    <w:pitch w:val="variable"/>
  </w:font>
  <w:font w:name="Palatino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"/>
      <w:keepNext w:val="false"/>
      <w:keepLines w:val="false"/>
      <w:pageBreakBefore w:val="false"/>
      <w:widowControl/>
      <w:pBdr/>
      <w:shd w:val="clear" w:color="auto" w:fill="auto"/>
      <w:suppressAutoHyphens w:val="true"/>
      <w:bidi w:val="0"/>
      <w:spacing w:lineRule="auto" w:line="240" w:beforeAutospacing="0" w:before="120" w:afterAutospacing="0" w:after="240"/>
      <w:ind w:left="0" w:right="0" w:hanging="0"/>
      <w:jc w:val="left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"/>
      <w:keepNext w:val="false"/>
      <w:keepLines w:val="false"/>
      <w:pageBreakBefore w:val="false"/>
      <w:widowControl/>
      <w:pBdr/>
      <w:shd w:val="clear" w:color="auto" w:fill="auto"/>
      <w:suppressAutoHyphens w:val="true"/>
      <w:bidi w:val="0"/>
      <w:spacing w:lineRule="auto" w:line="240" w:beforeAutospacing="0" w:before="120" w:afterAutospacing="0" w:after="240"/>
      <w:ind w:left="0" w:right="0" w:hanging="0"/>
      <w:jc w:val="left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Footer"/>
      <w:bidi w:val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"/>
      <w:keepNext w:val="false"/>
      <w:keepLines w:val="false"/>
      <w:pageBreakBefore w:val="false"/>
      <w:widowControl/>
      <w:pBdr/>
      <w:shd w:val="clear" w:color="auto" w:fill="auto"/>
      <w:suppressAutoHyphens w:val="true"/>
      <w:bidi w:val="0"/>
      <w:spacing w:lineRule="auto" w:line="240" w:beforeAutospacing="0" w:before="120" w:afterAutospacing="0" w:after="240"/>
      <w:ind w:left="0" w:right="0" w:hanging="0"/>
      <w:jc w:val="left"/>
      <w:rPr/>
    </w:pPr>
    <w:r>
      <mc:AlternateContent>
        <mc:Choice Requires="wps">
          <w:drawing>
            <wp:anchor behindDoc="1" distT="0" distB="0" distL="0" distR="0" simplePos="0" locked="0" layoutInCell="0" allowOverlap="1" relativeHeight="10">
              <wp:simplePos x="0" y="0"/>
              <wp:positionH relativeFrom="page">
                <wp:posOffset>5559425</wp:posOffset>
              </wp:positionH>
              <wp:positionV relativeFrom="page">
                <wp:posOffset>9372600</wp:posOffset>
              </wp:positionV>
              <wp:extent cx="1417320" cy="275590"/>
              <wp:effectExtent l="0" t="0" r="0" b="0"/>
              <wp:wrapNone/>
              <wp:docPr id="4" name="officeArt object" descr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7320" cy="27576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20" w:after="240"/>
                            <w:jc w:val="right"/>
                            <w:rPr/>
                          </w:pPr>
                          <w:r>
                            <w:rPr>
                              <w:outline w:val="false"/>
                              <w:color w:val="000000"/>
                              <w:u w:val="none" w:color="000000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outline w:val="false"/>
                              <w:u w:val="none" w:color="000000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outline w:val="false"/>
                              <w:u w:val="none" w:color="000000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outline w:val="false"/>
                              <w:u w:val="none" w:color="000000"/>
                              <w:color w:val="000000"/>
                            </w:rPr>
                            <w:t>12</w:t>
                          </w:r>
                          <w:r>
                            <w:rPr>
                              <w:outline w:val="false"/>
                              <w:u w:val="none" w:color="000000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45720" r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officeArt object" path="m0,0l-2147483645,0l-2147483645,-2147483646l0,-2147483646xe" stroked="f" o:allowincell="f" style="position:absolute;margin-left:437.75pt;margin-top:738pt;width:111.55pt;height:21.65pt;mso-wrap-style:square;v-text-anchor:top;mso-position-horizontal-relative:page;mso-position-vertical-relative:page">
              <v:fill o:detectmouseclick="t" on="false"/>
              <v:stroke color="#3465a4" weight="12600" joinstyle="miter" endcap="flat"/>
              <v:textbox>
                <w:txbxContent>
                  <w:p>
                    <w:pPr>
                      <w:pStyle w:val="FrameContents"/>
                      <w:spacing w:before="120" w:after="240"/>
                      <w:jc w:val="right"/>
                      <w:rPr/>
                    </w:pPr>
                    <w:r>
                      <w:rPr>
                        <w:outline w:val="false"/>
                        <w:color w:val="000000"/>
                        <w:u w:val="none" w:color="000000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outline w:val="false"/>
                        <w:u w:val="none" w:color="000000"/>
                        <w:color w:val="000000"/>
                      </w:rPr>
                      <w:instrText xml:space="preserve"> PAGE </w:instrText>
                    </w:r>
                    <w:r>
                      <w:rPr>
                        <w:outline w:val="false"/>
                        <w:u w:val="none" w:color="000000"/>
                        <w:color w:val="000000"/>
                      </w:rPr>
                      <w:fldChar w:fldCharType="separate"/>
                    </w:r>
                    <w:r>
                      <w:rPr>
                        <w:outline w:val="false"/>
                        <w:u w:val="none" w:color="000000"/>
                        <w:color w:val="000000"/>
                      </w:rPr>
                      <w:t>12</w:t>
                    </w:r>
                    <w:r>
                      <w:rPr>
                        <w:outline w:val="false"/>
                        <w:u w:val="none" w:color="000000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lang w:val="en-US"/>
      </w:rPr>
      <w:tab/>
      <w:tab/>
      <w:t>Supplementary Material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Footer"/>
      <w:bidi w:val="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19">
              <wp:simplePos x="0" y="0"/>
              <wp:positionH relativeFrom="page">
                <wp:posOffset>5559425</wp:posOffset>
              </wp:positionH>
              <wp:positionV relativeFrom="page">
                <wp:posOffset>9372600</wp:posOffset>
              </wp:positionV>
              <wp:extent cx="1417320" cy="275590"/>
              <wp:effectExtent l="0" t="0" r="0" b="0"/>
              <wp:wrapNone/>
              <wp:docPr id="6" name="officeArt object" descr="Text Box 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7320" cy="27576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20" w:after="240"/>
                            <w:jc w:val="right"/>
                            <w:rPr/>
                          </w:pPr>
                          <w:r>
                            <w:rPr>
                              <w:outline w:val="false"/>
                              <w:color w:val="000000"/>
                              <w:u w:val="none" w:color="000000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outline w:val="false"/>
                              <w:u w:val="none" w:color="000000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outline w:val="false"/>
                              <w:u w:val="none" w:color="000000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outline w:val="false"/>
                              <w:u w:val="none" w:color="000000"/>
                              <w:color w:val="000000"/>
                            </w:rPr>
                            <w:t>11</w:t>
                          </w:r>
                          <w:r>
                            <w:rPr>
                              <w:outline w:val="false"/>
                              <w:u w:val="none" w:color="000000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45720" r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officeArt object" path="m0,0l-2147483645,0l-2147483645,-2147483646l0,-2147483646xe" stroked="f" o:allowincell="f" style="position:absolute;margin-left:437.75pt;margin-top:738pt;width:111.55pt;height:21.65pt;mso-wrap-style:square;v-text-anchor:top;mso-position-horizontal-relative:page;mso-position-vertical-relative:page">
              <v:fill o:detectmouseclick="t" on="false"/>
              <v:stroke color="#3465a4" weight="12600" joinstyle="miter" endcap="flat"/>
              <v:textbox>
                <w:txbxContent>
                  <w:p>
                    <w:pPr>
                      <w:pStyle w:val="FrameContents"/>
                      <w:spacing w:before="120" w:after="240"/>
                      <w:jc w:val="right"/>
                      <w:rPr/>
                    </w:pPr>
                    <w:r>
                      <w:rPr>
                        <w:outline w:val="false"/>
                        <w:color w:val="000000"/>
                        <w:u w:val="none" w:color="000000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outline w:val="false"/>
                        <w:u w:val="none" w:color="000000"/>
                        <w:color w:val="000000"/>
                      </w:rPr>
                      <w:instrText xml:space="preserve"> PAGE </w:instrText>
                    </w:r>
                    <w:r>
                      <w:rPr>
                        <w:outline w:val="false"/>
                        <w:u w:val="none" w:color="000000"/>
                        <w:color w:val="000000"/>
                      </w:rPr>
                      <w:fldChar w:fldCharType="separate"/>
                    </w:r>
                    <w:r>
                      <w:rPr>
                        <w:outline w:val="false"/>
                        <w:u w:val="none" w:color="000000"/>
                        <w:color w:val="000000"/>
                      </w:rPr>
                      <w:t>11</w:t>
                    </w:r>
                    <w:r>
                      <w:rPr>
                        <w:outline w:val="false"/>
                        <w:u w:val="none" w:color="000000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"/>
      <w:keepNext w:val="false"/>
      <w:keepLines w:val="false"/>
      <w:pageBreakBefore w:val="false"/>
      <w:widowControl/>
      <w:pBdr/>
      <w:shd w:val="clear" w:color="auto" w:fill="auto"/>
      <w:suppressAutoHyphens w:val="true"/>
      <w:bidi w:val="0"/>
      <w:spacing w:lineRule="auto" w:line="240" w:beforeAutospacing="0" w:before="120" w:afterAutospacing="0" w:after="240"/>
      <w:ind w:left="0" w:right="0" w:hanging="0"/>
      <w:jc w:val="left"/>
      <w:rPr/>
    </w:pPr>
    <w:r>
      <w:rPr/>
      <w:drawing>
        <wp:inline distT="0" distB="0" distL="0" distR="0">
          <wp:extent cx="1382395" cy="497205"/>
          <wp:effectExtent l="0" t="0" r="0" b="0"/>
          <wp:docPr id="8" name="Image4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</w:rPr>
      <w:tab/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4">
      <w:start w:val="1"/>
      <w:numFmt w:val="decimal"/>
      <w:suff w:val="nothing"/>
      <w:lvlText w:val="%1.%2.%3.%4.%5."/>
      <w:lvlJc w:val="left"/>
      <w:pPr>
        <w:tabs>
          <w:tab w:val="num" w:pos="0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5">
      <w:start w:val="1"/>
      <w:numFmt w:val="lowerRoman"/>
      <w:suff w:val="nothing"/>
      <w:lvlText w:val="%1.%2.%3.%4.%5.%6."/>
      <w:lvlJc w:val="left"/>
      <w:pPr>
        <w:tabs>
          <w:tab w:val="num" w:pos="0"/>
        </w:tabs>
        <w:ind w:left="120" w:hanging="12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num" w:pos="0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7">
      <w:start w:val="1"/>
      <w:numFmt w:val="lowerLetter"/>
      <w:suff w:val="nothing"/>
      <w:lvlText w:val="%1.%2.%3.%4.%5.%6.%7.%8."/>
      <w:lvlJc w:val="left"/>
      <w:pPr>
        <w:tabs>
          <w:tab w:val="num" w:pos="0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8">
      <w:start w:val="1"/>
      <w:numFmt w:val="lowerRoman"/>
      <w:suff w:val="nothing"/>
      <w:lvlText w:val="%1.%2.%3.%4.%5.%6.%7.%8.%9."/>
      <w:lvlJc w:val="left"/>
      <w:pPr>
        <w:tabs>
          <w:tab w:val="num" w:pos="0"/>
        </w:tabs>
        <w:ind w:left="120" w:hanging="12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4">
      <w:start w:val="1"/>
      <w:numFmt w:val="decimal"/>
      <w:suff w:val="nothing"/>
      <w:lvlText w:val="%1.%2.%3.%4.%5."/>
      <w:lvlJc w:val="left"/>
      <w:pPr>
        <w:tabs>
          <w:tab w:val="num" w:pos="0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5">
      <w:start w:val="1"/>
      <w:numFmt w:val="lowerRoman"/>
      <w:suff w:val="nothing"/>
      <w:lvlText w:val="%1.%2.%3.%4.%5.%6."/>
      <w:lvlJc w:val="left"/>
      <w:pPr>
        <w:tabs>
          <w:tab w:val="num" w:pos="0"/>
        </w:tabs>
        <w:ind w:left="120" w:hanging="12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num" w:pos="0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7">
      <w:start w:val="1"/>
      <w:numFmt w:val="lowerLetter"/>
      <w:suff w:val="nothing"/>
      <w:lvlText w:val="%1.%2.%3.%4.%5.%6.%7.%8."/>
      <w:lvlJc w:val="left"/>
      <w:pPr>
        <w:tabs>
          <w:tab w:val="num" w:pos="0"/>
        </w:tabs>
        <w:ind w:left="567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  <w:lvl w:ilvl="8">
      <w:start w:val="1"/>
      <w:numFmt w:val="lowerRoman"/>
      <w:suff w:val="nothing"/>
      <w:lvlText w:val="%1.%2.%3.%4.%5.%6.%7.%8.%9."/>
      <w:lvlJc w:val="left"/>
      <w:pPr>
        <w:tabs>
          <w:tab w:val="num" w:pos="0"/>
        </w:tabs>
        <w:ind w:left="120" w:hanging="12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b/>
        <w:kern w:val="0"/>
        <w:bCs/>
        <w:w w:val="100"/>
        <w:emboss w:val="false"/>
        <w:imprint w:val="fals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"/>
    <w:lvlOverride w:ilvl="0">
      <w:startOverride w:val="2"/>
    </w:lvlOverride>
  </w:num>
</w:numbering>
</file>

<file path=word/settings.xml><?xml version="1.0" encoding="utf-8"?>
<w:settings xmlns:w="http://schemas.openxmlformats.org/wordprocessingml/2006/main">
  <w:zoom w:percent="60"/>
  <w:defaultTabStop w:val="720"/>
  <w:autoHyphenation w:val="true"/>
  <w:evenAndOddHeaders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auto"/>
      <w:spacing w:val="0"/>
      <w:w w:val="100"/>
      <w:kern w:val="0"/>
      <w:position w:val="0"/>
      <w:sz w:val="24"/>
      <w:sz w:val="24"/>
      <w:szCs w:val="24"/>
      <w:u w:val="none" w:color="FFFFFF"/>
      <w:vertAlign w:val="baseline"/>
      <w:lang w:val="en-US" w:eastAsia="en-US" w:bidi="ar-SA"/>
    </w:rPr>
  </w:style>
  <w:style w:type="character" w:styleId="DefaultParagraphFont" w:default="1">
    <w:name w:val="Default Paragraph Font"/>
    <w:qFormat/>
    <w:rPr/>
  </w:style>
  <w:style w:type="character" w:styleId="InternetLink">
    <w:name w:val="Hyperlink"/>
    <w:rPr>
      <w:u w:val="single" w:color="FFFFFF"/>
    </w:rPr>
  </w:style>
  <w:style w:type="character" w:styleId="None">
    <w:name w:val="None"/>
    <w:qFormat/>
    <w:rPr/>
  </w:style>
  <w:style w:type="character" w:styleId="Hyperlink0">
    <w:name w:val="Hyperlink.0"/>
    <w:basedOn w:val="None"/>
    <w:qFormat/>
    <w:rPr>
      <w:rFonts w:ascii="Helvetica Neue" w:hAnsi="Helvetica Neue" w:eastAsia="Helvetica Neue" w:cs="Helvetica Neue"/>
      <w:sz w:val="20"/>
      <w:szCs w:val="20"/>
      <w:u w:val="single" w:color="FFFFFF"/>
      <w:shd w:fill="auto" w:val="clear"/>
      <w:lang w:val="en-US"/>
    </w:rPr>
  </w:style>
  <w:style w:type="paragraph" w:styleId="Heading">
    <w:name w:val="Heading"/>
    <w:next w:val="Body"/>
    <w:qFormat/>
    <w:pPr>
      <w:keepNext w:val="false"/>
      <w:keepLines w:val="false"/>
      <w:pageBreakBefore w:val="false"/>
      <w:widowControl/>
      <w:pBdr/>
      <w:shd w:val="clear" w:color="auto" w:fill="auto"/>
      <w:tabs>
        <w:tab w:val="clear" w:pos="720"/>
        <w:tab w:val="left" w:pos="567" w:leader="none"/>
      </w:tabs>
      <w:suppressAutoHyphens w:val="true"/>
      <w:bidi w:val="0"/>
      <w:spacing w:lineRule="auto" w:line="240" w:beforeAutospacing="0" w:before="240" w:afterAutospacing="0" w:after="120"/>
      <w:ind w:left="0" w:right="0" w:hanging="0"/>
      <w:jc w:val="left"/>
      <w:outlineLvl w:val="0"/>
    </w:pPr>
    <w:rPr>
      <w:rFonts w:ascii="Times New Roman" w:hAnsi="Times New Roman" w:eastAsia="Arial Unicode MS" w:cs="Arial Unicode MS"/>
      <w:b/>
      <w:bCs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000000"/>
      <w:shd w:fill="auto" w:val="clear"/>
      <w:vertAlign w:val="baseline"/>
      <w:lang w:val="fr-FR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HeaderFooter">
    <w:name w:val="Header &amp; Footer"/>
    <w:qFormat/>
    <w:pPr>
      <w:keepNext w:val="false"/>
      <w:keepLines w:val="false"/>
      <w:pageBreakBefore w:val="false"/>
      <w:widowControl/>
      <w:pBdr/>
      <w:shd w:val="clear" w:color="auto" w:fill="auto"/>
      <w:tabs>
        <w:tab w:val="clear" w:pos="720"/>
        <w:tab w:val="right" w:pos="9020" w:leader="none"/>
      </w:tabs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FFFFFF"/>
      <w:shd w:fill="auto" w:val="clear"/>
      <w:vertAlign w:val="baseline"/>
      <w:lang w:val="en-GB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paragraph" w:styleId="FrameContents">
    <w:name w:val="Frame Contents"/>
    <w:qFormat/>
    <w:pPr>
      <w:keepNext w:val="false"/>
      <w:keepLines w:val="false"/>
      <w:pageBreakBefore w:val="false"/>
      <w:widowControl/>
      <w:pBdr/>
      <w:shd w:val="clear" w:color="auto" w:fill="auto"/>
      <w:suppressAutoHyphens w:val="true"/>
      <w:bidi w:val="0"/>
      <w:spacing w:lineRule="auto" w:line="240" w:beforeAutospacing="0" w:before="120" w:afterAutospacing="0" w:after="240"/>
      <w:ind w:left="0" w:right="0" w:hanging="0"/>
      <w:jc w:val="lef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000000"/>
      <w:shd w:fill="auto" w:val="clear"/>
      <w:vertAlign w:val="baseline"/>
      <w:lang w:val="en-US" w:eastAsia="zh-CN" w:bidi="hi-IN"/>
      <w14:textFill>
        <w14:solidFill>
          <w14:srgbClr w14:val="000000"/>
        </w14:solidFill>
      </w14:textFill>
    </w:rPr>
  </w:style>
  <w:style w:type="paragraph" w:styleId="Body">
    <w:name w:val="Body"/>
    <w:qFormat/>
    <w:pPr>
      <w:keepNext w:val="false"/>
      <w:keepLines w:val="false"/>
      <w:pageBreakBefore w:val="false"/>
      <w:widowControl/>
      <w:pBdr/>
      <w:shd w:val="clear" w:color="auto" w:fill="auto"/>
      <w:suppressAutoHyphens w:val="true"/>
      <w:bidi w:val="0"/>
      <w:spacing w:lineRule="auto" w:line="240" w:beforeAutospacing="0" w:before="120" w:afterAutospacing="0" w:after="240"/>
      <w:ind w:left="0" w:right="0" w:hanging="0"/>
      <w:jc w:val="lef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000000"/>
      <w:shd w:fill="auto" w:val="clear"/>
      <w:vertAlign w:val="baseline"/>
      <w:lang w:val="en-GB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paragraph" w:styleId="SupplementaryMaterial">
    <w:name w:val="Supplementary Material"/>
    <w:qFormat/>
    <w:pPr>
      <w:keepNext w:val="false"/>
      <w:keepLines w:val="false"/>
      <w:pageBreakBefore w:val="false"/>
      <w:widowControl/>
      <w:pBdr/>
      <w:shd w:val="clear" w:color="auto" w:fill="auto"/>
      <w:suppressAutoHyphens w:val="true"/>
      <w:bidi w:val="0"/>
      <w:spacing w:lineRule="auto" w:line="240" w:beforeAutospacing="0" w:before="240" w:afterAutospacing="0" w:after="120"/>
      <w:ind w:left="0" w:right="0" w:hanging="0"/>
      <w:jc w:val="center"/>
    </w:pPr>
    <w:rPr>
      <w:rFonts w:ascii="Times New Roman" w:hAnsi="Times New Roman" w:eastAsia="Arial Unicode MS" w:cs="Arial Unicode MS"/>
      <w:b/>
      <w:bCs/>
      <w:i/>
      <w:iCs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32"/>
      <w:sz w:val="32"/>
      <w:szCs w:val="32"/>
      <w:u w:val="none" w:color="000000"/>
      <w:shd w:fill="auto" w:val="clear"/>
      <w:vertAlign w:val="baseline"/>
      <w:lang w:val="en-US" w:eastAsia="zh-CN" w:bidi="hi-IN"/>
      <w14:textFill>
        <w14:solidFill>
          <w14:srgbClr w14:val="000000"/>
        </w14:solidFill>
      </w14:textFill>
    </w:rPr>
  </w:style>
  <w:style w:type="paragraph" w:styleId="Default">
    <w:name w:val="Default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88" w:beforeAutospacing="0" w:before="160" w:afterAutospacing="0" w:after="0"/>
      <w:ind w:left="0" w:right="0" w:hanging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FFFFFF"/>
      <w:shd w:fill="auto" w:val="clear"/>
      <w:vertAlign w:val="baseline"/>
      <w:lang w:val="en-US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paragraph" w:styleId="Figure">
    <w:name w:val="Figure"/>
    <w:qFormat/>
    <w:pPr>
      <w:keepNext w:val="false"/>
      <w:keepLines w:val="false"/>
      <w:pageBreakBefore w:val="false"/>
      <w:widowControl/>
      <w:pBdr/>
      <w:shd w:val="clear" w:color="auto" w:fill="auto"/>
      <w:suppressAutoHyphens w:val="true"/>
      <w:bidi w:val="0"/>
      <w:spacing w:lineRule="auto" w:line="240" w:beforeAutospacing="0" w:before="120" w:afterAutospacing="0" w:after="120"/>
      <w:ind w:left="0" w:right="0" w:hanging="0"/>
      <w:jc w:val="left"/>
    </w:pPr>
    <w:rPr>
      <w:rFonts w:ascii="Times New Roman" w:hAnsi="Times New Roman" w:eastAsia="Arial Unicode MS" w:cs="Arial Unicode MS"/>
      <w:b w:val="false"/>
      <w:bCs w:val="false"/>
      <w:i/>
      <w:iCs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000000"/>
      <w:shd w:fill="auto" w:val="clear"/>
      <w:vertAlign w:val="baseline"/>
      <w:lang w:val="en-US" w:eastAsia="zh-CN" w:bidi="hi-IN"/>
      <w14:textFill>
        <w14:solidFill>
          <w14:srgbClr w14:val="000000"/>
        </w14:solidFill>
      </w14:textFill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numbering" w:styleId="NoList" w:default="1">
    <w:name w:val="No List"/>
    <w:qFormat/>
  </w:style>
  <w:style w:type="numbering" w:styleId="ImportedStyle1">
    <w:name w:val="Imported Style 1"/>
    <w:qFormat/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letsrecycle.com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LibreOffice/7.4.3.2$MacOSX_AARCH64 LibreOffice_project/1048a8393ae2eeec98dff31b5c133c5f1d08b890</Application>
  <AppVersion>15.0000</AppVersion>
  <Pages>11</Pages>
  <Words>1173</Words>
  <Characters>5561</Characters>
  <CharactersWithSpaces>6207</CharactersWithSpaces>
  <Paragraphs>542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en-GB</dc:language>
  <cp:lastModifiedBy/>
  <dcterms:modified xsi:type="dcterms:W3CDTF">2024-12-03T11:27:42Z</dcterms:modified>
  <cp:revision>1</cp:revision>
  <dc:subject/>
  <dc:title/>
</cp:coreProperties>
</file>