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61865" w14:textId="2C49A1F8" w:rsidR="00E37BD4" w:rsidRPr="00E37BD4" w:rsidRDefault="00C37848" w:rsidP="00E37BD4">
      <w:pPr>
        <w:rPr>
          <w:rFonts w:ascii="Arial" w:eastAsia="Aptos" w:hAnsi="Arial" w:cs="Arial"/>
          <w:sz w:val="24"/>
          <w:szCs w:val="24"/>
          <w:lang w:val="en-US"/>
        </w:rPr>
      </w:pPr>
      <w:r>
        <w:rPr>
          <w:rFonts w:ascii="Arial" w:eastAsia="Aptos" w:hAnsi="Arial" w:cs="Arial"/>
          <w:sz w:val="24"/>
          <w:szCs w:val="24"/>
          <w:lang w:val="en-US"/>
        </w:rPr>
        <w:t xml:space="preserve">Table E1: </w:t>
      </w:r>
      <w:r w:rsidR="00E37BD4">
        <w:rPr>
          <w:rFonts w:ascii="Arial" w:eastAsia="Aptos" w:hAnsi="Arial" w:cs="Arial"/>
          <w:sz w:val="24"/>
          <w:szCs w:val="24"/>
          <w:lang w:val="en-US"/>
        </w:rPr>
        <w:t xml:space="preserve">Studies reported </w:t>
      </w:r>
      <w:r w:rsidR="00E37BD4" w:rsidRPr="00E37BD4">
        <w:rPr>
          <w:rFonts w:ascii="Arial" w:eastAsia="Aptos" w:hAnsi="Arial" w:cs="Arial"/>
          <w:sz w:val="24"/>
          <w:szCs w:val="24"/>
          <w:lang w:val="en-US"/>
        </w:rPr>
        <w:t>Allergy skin testing for COVID-19 vaccine</w:t>
      </w:r>
      <w:r w:rsidR="00871214">
        <w:rPr>
          <w:rFonts w:ascii="Arial" w:eastAsia="Aptos" w:hAnsi="Arial" w:cs="Arial"/>
          <w:sz w:val="24"/>
          <w:szCs w:val="24"/>
          <w:lang w:val="en-US"/>
        </w:rPr>
        <w:t xml:space="preserve"> and its excipients: </w:t>
      </w:r>
    </w:p>
    <w:p w14:paraId="0D89D5DE" w14:textId="0796DB2F" w:rsidR="00785B4B" w:rsidRDefault="00785B4B" w:rsidP="0012606D"/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045"/>
        <w:gridCol w:w="1560"/>
        <w:gridCol w:w="990"/>
        <w:gridCol w:w="990"/>
        <w:gridCol w:w="1080"/>
        <w:gridCol w:w="1581"/>
        <w:gridCol w:w="1173"/>
        <w:gridCol w:w="1167"/>
        <w:gridCol w:w="1029"/>
        <w:gridCol w:w="1095"/>
        <w:gridCol w:w="1965"/>
      </w:tblGrid>
      <w:tr w:rsidR="000459DE" w14:paraId="254939A0" w14:textId="77777777" w:rsidTr="00654777">
        <w:trPr>
          <w:trHeight w:val="3392"/>
        </w:trPr>
        <w:tc>
          <w:tcPr>
            <w:tcW w:w="1045" w:type="dxa"/>
          </w:tcPr>
          <w:p w14:paraId="7BDE4F28" w14:textId="1F71B4B5" w:rsidR="00F62AD0" w:rsidRDefault="000A7A96">
            <w:r w:rsidRPr="008C382F">
              <w:rPr>
                <w:rFonts w:asciiTheme="minorBidi" w:eastAsia="Aptos" w:hAnsiTheme="minorBidi"/>
                <w:sz w:val="20"/>
                <w:szCs w:val="20"/>
              </w:rPr>
              <w:t>Study, year of publication, country</w:t>
            </w:r>
          </w:p>
        </w:tc>
        <w:tc>
          <w:tcPr>
            <w:tcW w:w="1560" w:type="dxa"/>
          </w:tcPr>
          <w:p w14:paraId="1A8FA380" w14:textId="77777777" w:rsidR="00F62AD0" w:rsidRDefault="00000000">
            <w:r>
              <w:t>Study methodology and time (month/year)</w:t>
            </w:r>
          </w:p>
        </w:tc>
        <w:tc>
          <w:tcPr>
            <w:tcW w:w="990" w:type="dxa"/>
          </w:tcPr>
          <w:p w14:paraId="1380239E" w14:textId="77777777" w:rsidR="00F62AD0" w:rsidRDefault="00000000">
            <w:r>
              <w:t>Female % (NO/Total No of patients)</w:t>
            </w:r>
          </w:p>
        </w:tc>
        <w:tc>
          <w:tcPr>
            <w:tcW w:w="990" w:type="dxa"/>
          </w:tcPr>
          <w:p w14:paraId="35E32E21" w14:textId="77777777" w:rsidR="00F62AD0" w:rsidRDefault="00000000">
            <w:r>
              <w:t>Patients reported reaction to COVID-19 vaccine (NO/%)</w:t>
            </w:r>
          </w:p>
        </w:tc>
        <w:tc>
          <w:tcPr>
            <w:tcW w:w="1080" w:type="dxa"/>
          </w:tcPr>
          <w:p w14:paraId="676D77A3" w14:textId="77777777" w:rsidR="00F62AD0" w:rsidRDefault="00000000">
            <w:r>
              <w:t>Medications used for polysorbate 80 testing</w:t>
            </w:r>
          </w:p>
        </w:tc>
        <w:tc>
          <w:tcPr>
            <w:tcW w:w="1581" w:type="dxa"/>
          </w:tcPr>
          <w:p w14:paraId="6D938546" w14:textId="77777777" w:rsidR="00F62AD0" w:rsidRDefault="00000000">
            <w:r>
              <w:t>Medications used for PEG testing</w:t>
            </w:r>
          </w:p>
        </w:tc>
        <w:tc>
          <w:tcPr>
            <w:tcW w:w="1173" w:type="dxa"/>
          </w:tcPr>
          <w:p w14:paraId="4F6CBF32" w14:textId="77777777" w:rsidR="00F62AD0" w:rsidRDefault="00000000">
            <w:r>
              <w:t>COVID-19 Vaccine used in testing</w:t>
            </w:r>
          </w:p>
        </w:tc>
        <w:tc>
          <w:tcPr>
            <w:tcW w:w="1167" w:type="dxa"/>
          </w:tcPr>
          <w:p w14:paraId="19EFC93E" w14:textId="77777777" w:rsidR="00F62AD0" w:rsidRDefault="00000000">
            <w:r>
              <w:t>Patients with positive allergy testing (NO/%)</w:t>
            </w:r>
          </w:p>
        </w:tc>
        <w:tc>
          <w:tcPr>
            <w:tcW w:w="1029" w:type="dxa"/>
          </w:tcPr>
          <w:p w14:paraId="1F080E77" w14:textId="77777777" w:rsidR="00F62AD0" w:rsidRDefault="00000000">
            <w:r>
              <w:t>Patients with positive allergy testing reacted second dose of the same or different vaccine</w:t>
            </w:r>
          </w:p>
        </w:tc>
        <w:tc>
          <w:tcPr>
            <w:tcW w:w="1095" w:type="dxa"/>
          </w:tcPr>
          <w:p w14:paraId="131FB4E3" w14:textId="77777777" w:rsidR="00F62AD0" w:rsidRDefault="00000000">
            <w:r>
              <w:t>Patients with positive allergy testing tolerate second dose of the same or different vaccine</w:t>
            </w:r>
          </w:p>
        </w:tc>
        <w:tc>
          <w:tcPr>
            <w:tcW w:w="1965" w:type="dxa"/>
          </w:tcPr>
          <w:p w14:paraId="426B3125" w14:textId="77777777" w:rsidR="00F62AD0" w:rsidRDefault="00000000">
            <w:r>
              <w:t>Conclusion</w:t>
            </w:r>
          </w:p>
        </w:tc>
      </w:tr>
      <w:tr w:rsidR="000459DE" w14:paraId="78CF9E0C" w14:textId="77777777" w:rsidTr="00654777">
        <w:trPr>
          <w:trHeight w:val="1610"/>
        </w:trPr>
        <w:tc>
          <w:tcPr>
            <w:tcW w:w="1045" w:type="dxa"/>
          </w:tcPr>
          <w:p w14:paraId="41264B4E" w14:textId="77777777" w:rsidR="00F62AD0" w:rsidRDefault="00000000">
            <w:r>
              <w:t>Wolfson et al. 2021, USA</w:t>
            </w:r>
          </w:p>
          <w:p w14:paraId="05347928" w14:textId="4F747C7D" w:rsidR="00C964C0" w:rsidRDefault="005822EB" w:rsidP="005822EB">
            <w:r>
              <w:fldChar w:fldCharType="begin"/>
            </w:r>
            <w:r>
              <w:instrText xml:space="preserve"> ADDIN ZOTERO_ITEM CSL_CITATION {"citationID":"O9LRf4Vq","properties":{"formattedCitation":"(1)","plainCitation":"(1)","noteIndex":0},"citationItems":[{"id":240,"uris":["http://zotero.org/users/local/YcDeJqNr/items/2SVDR3AM"],"itemData":{"id":240,"type":"article-journal","container-title":"The Journal of Allergy and Clinical Immunology: In Practice","DOI":"10.1016/j.jaip.2021.06.010","ISSN":"22132198","issue":"9","journalAbbreviation":"The Journal of Allergy and Clinical Immunology: In Practice","language":"en","page":"3308-3320.e3","source":"DOI.org (Crossref)","title":"First-Dose mRNA COVID-19 Vaccine Allergic Reactions: Limited Role for Excipient Skin Testing","title-short":"First-Dose mRNA COVID-19 Vaccine Allergic Reactions","volume":"9","author":[{"family":"Wolfson","given":"Anna R."},{"family":"Robinson","given":"Lacey B."},{"family":"Li","given":"Lily"},{"family":"McMahon","given":"Aubree E."},{"family":"Cogan","given":"Amelia S."},{"family":"Fu","given":"Xiaoqing"},{"family":"Wickner","given":"Paige"},{"family":"Samarakoon","given":"Upeka"},{"family":"Saff","given":"Rebecca R."},{"family":"Blumenthal","given":"Kimberly G."},{"family":"Banerji","given":"Aleena"}],"issued":{"date-parts":[["2021",9]]}}}],"schema":"https://github.com/citation-style-language/schema/raw/master/csl-citation.json"} </w:instrText>
            </w:r>
            <w:r>
              <w:fldChar w:fldCharType="separate"/>
            </w:r>
            <w:r w:rsidRPr="005822EB">
              <w:rPr>
                <w:rFonts w:ascii="Calibri" w:hAnsi="Calibri" w:cs="Calibri"/>
              </w:rPr>
              <w:t>(1)</w:t>
            </w:r>
            <w:r>
              <w:fldChar w:fldCharType="end"/>
            </w:r>
          </w:p>
        </w:tc>
        <w:tc>
          <w:tcPr>
            <w:tcW w:w="1560" w:type="dxa"/>
          </w:tcPr>
          <w:p w14:paraId="4918B8B1" w14:textId="77777777" w:rsidR="00F62AD0" w:rsidRDefault="00000000">
            <w:r>
              <w:t>Prospective, January to March 2021</w:t>
            </w:r>
          </w:p>
        </w:tc>
        <w:tc>
          <w:tcPr>
            <w:tcW w:w="990" w:type="dxa"/>
          </w:tcPr>
          <w:p w14:paraId="54722AE0" w14:textId="77777777" w:rsidR="00F62AD0" w:rsidRDefault="00000000">
            <w:r>
              <w:t>89% (71/80)</w:t>
            </w:r>
          </w:p>
        </w:tc>
        <w:tc>
          <w:tcPr>
            <w:tcW w:w="990" w:type="dxa"/>
          </w:tcPr>
          <w:p w14:paraId="3AE3C5A4" w14:textId="77777777" w:rsidR="00F62AD0" w:rsidRDefault="00000000">
            <w:r>
              <w:t>80 (100%)</w:t>
            </w:r>
          </w:p>
        </w:tc>
        <w:tc>
          <w:tcPr>
            <w:tcW w:w="1080" w:type="dxa"/>
          </w:tcPr>
          <w:p w14:paraId="4F21FE7E" w14:textId="77777777" w:rsidR="00F62AD0" w:rsidRDefault="00000000">
            <w:r>
              <w:t>Triamcinolone acetonide, Refresh Tears</w:t>
            </w:r>
          </w:p>
        </w:tc>
        <w:tc>
          <w:tcPr>
            <w:tcW w:w="1581" w:type="dxa"/>
          </w:tcPr>
          <w:p w14:paraId="662D0069" w14:textId="77777777" w:rsidR="00F62AD0" w:rsidRDefault="00000000">
            <w:proofErr w:type="spellStart"/>
            <w:r>
              <w:t>Miralax</w:t>
            </w:r>
            <w:proofErr w:type="spellEnd"/>
            <w:r>
              <w:t>, Methylprednisolone acetate</w:t>
            </w:r>
          </w:p>
        </w:tc>
        <w:tc>
          <w:tcPr>
            <w:tcW w:w="1173" w:type="dxa"/>
          </w:tcPr>
          <w:p w14:paraId="6775B7C6" w14:textId="7AF53AFE" w:rsidR="00F62AD0" w:rsidRDefault="000A7A96">
            <w:r>
              <w:t>No</w:t>
            </w:r>
          </w:p>
        </w:tc>
        <w:tc>
          <w:tcPr>
            <w:tcW w:w="1167" w:type="dxa"/>
          </w:tcPr>
          <w:p w14:paraId="2A181BE5" w14:textId="77777777" w:rsidR="00F62AD0" w:rsidRDefault="00000000">
            <w:r>
              <w:t>14 (18%)</w:t>
            </w:r>
          </w:p>
        </w:tc>
        <w:tc>
          <w:tcPr>
            <w:tcW w:w="1029" w:type="dxa"/>
          </w:tcPr>
          <w:p w14:paraId="79F2E86B" w14:textId="77777777" w:rsidR="00F62AD0" w:rsidRDefault="00000000">
            <w:r>
              <w:t>30% (3/10)</w:t>
            </w:r>
          </w:p>
        </w:tc>
        <w:tc>
          <w:tcPr>
            <w:tcW w:w="1095" w:type="dxa"/>
          </w:tcPr>
          <w:p w14:paraId="76CB54F7" w14:textId="77777777" w:rsidR="00F62AD0" w:rsidRDefault="00000000">
            <w:r>
              <w:t>70% (7/10)</w:t>
            </w:r>
          </w:p>
        </w:tc>
        <w:tc>
          <w:tcPr>
            <w:tcW w:w="1965" w:type="dxa"/>
          </w:tcPr>
          <w:p w14:paraId="718790EC" w14:textId="64817771" w:rsidR="00F62AD0" w:rsidRDefault="00C964C0">
            <w:r w:rsidRPr="008C382F">
              <w:rPr>
                <w:rFonts w:asciiTheme="minorBidi" w:eastAsia="Aptos" w:hAnsiTheme="minorBidi"/>
                <w:sz w:val="20"/>
                <w:szCs w:val="20"/>
                <w:lang w:val="en-US"/>
              </w:rPr>
              <w:t>Skin testing has</w:t>
            </w:r>
            <w:r w:rsidRPr="008C382F">
              <w:rPr>
                <w:rFonts w:asciiTheme="minorBidi" w:eastAsia="Aptos" w:hAnsiTheme="minorBidi"/>
                <w:sz w:val="20"/>
                <w:szCs w:val="20"/>
              </w:rPr>
              <w:t xml:space="preserve"> little utility in assessing non-anaphylaxis allergic reactions secondary to COVID-19 vaccine</w:t>
            </w:r>
          </w:p>
        </w:tc>
      </w:tr>
      <w:tr w:rsidR="000459DE" w14:paraId="0F002BC4" w14:textId="77777777" w:rsidTr="00654777">
        <w:tc>
          <w:tcPr>
            <w:tcW w:w="1045" w:type="dxa"/>
          </w:tcPr>
          <w:p w14:paraId="6E812E47" w14:textId="77777777" w:rsidR="00F62AD0" w:rsidRDefault="00000000">
            <w:proofErr w:type="spellStart"/>
            <w:r>
              <w:t>ALMuhizi</w:t>
            </w:r>
            <w:proofErr w:type="spellEnd"/>
            <w:r>
              <w:t xml:space="preserve"> et al. 2022, Canada</w:t>
            </w:r>
          </w:p>
          <w:p w14:paraId="4FEF3D5A" w14:textId="18A14691" w:rsidR="00E40E04" w:rsidRDefault="005822EB" w:rsidP="002B0661">
            <w:r>
              <w:fldChar w:fldCharType="begin"/>
            </w:r>
            <w:r w:rsidR="002B0661">
              <w:instrText xml:space="preserve"> ADDIN ZOTERO_ITEM CSL_CITATION {"citationID":"IoP7he1J","properties":{"formattedCitation":"(2)","plainCitation":"(2)","noteIndex":0},"citationItems":[{"id":242,"uris":["http://zotero.org/users/local/YcDeJqNr/items/S5IBW3PB"],"itemData":{"id":242,"type":"article-journal","container-title":"Annals of Allergy, Asthma &amp; Immunology","DOI":"10.1016/j.anai.2022.05.014","ISSN":"10811206","issue":"2","journalAbbreviation":"Annals of Allergy, Asthma &amp; Immunology","language":"en","page":"182-188.e1","source":"DOI.org (Crossref)","title":"Allergic reactions to the coronavirus disease 2019 vaccine (ARCOV) study","volume":"129","author":[{"family":"ALMuhizi","given":"Faisal"},{"family":"Fein","given":"Michael"},{"family":"Gabrielli","given":"Sofianne"},{"family":"Gilbert","given":"Louise"},{"family":"Tsoukas","given":"Christos"},{"family":"Ben-Shoshan","given":"Moshe"},{"family":"Copaescu","given":"Ana M."},{"family":"Isabwe","given":"Ghislaine Annie Clarisse"}],"issued":{"date-parts":[["2022",8]]}}}],"schema":"https://github.com/citation-style-language/schema/raw/master/csl-citation.json"} </w:instrText>
            </w:r>
            <w:r>
              <w:fldChar w:fldCharType="separate"/>
            </w:r>
            <w:r w:rsidR="002B0661" w:rsidRPr="002B0661">
              <w:rPr>
                <w:rFonts w:ascii="Calibri" w:hAnsi="Calibri" w:cs="Calibri"/>
              </w:rPr>
              <w:t>(2)</w:t>
            </w:r>
            <w:r>
              <w:fldChar w:fldCharType="end"/>
            </w:r>
          </w:p>
        </w:tc>
        <w:tc>
          <w:tcPr>
            <w:tcW w:w="1560" w:type="dxa"/>
          </w:tcPr>
          <w:p w14:paraId="28117D70" w14:textId="41F5B514" w:rsidR="00F62AD0" w:rsidRDefault="00000000">
            <w:r>
              <w:t>January 1, to October 31, 2021</w:t>
            </w:r>
          </w:p>
        </w:tc>
        <w:tc>
          <w:tcPr>
            <w:tcW w:w="990" w:type="dxa"/>
          </w:tcPr>
          <w:p w14:paraId="42060010" w14:textId="77777777" w:rsidR="00F62AD0" w:rsidRDefault="00000000">
            <w:r>
              <w:t>88.7% (39/44)</w:t>
            </w:r>
          </w:p>
        </w:tc>
        <w:tc>
          <w:tcPr>
            <w:tcW w:w="990" w:type="dxa"/>
          </w:tcPr>
          <w:p w14:paraId="7B3D3F80" w14:textId="77777777" w:rsidR="00F62AD0" w:rsidRDefault="00000000">
            <w:r>
              <w:t>40 (91%) + 4 with previous PEG-related allergies</w:t>
            </w:r>
          </w:p>
        </w:tc>
        <w:tc>
          <w:tcPr>
            <w:tcW w:w="1080" w:type="dxa"/>
          </w:tcPr>
          <w:p w14:paraId="77B9FB98" w14:textId="77777777" w:rsidR="00F62AD0" w:rsidRDefault="00000000">
            <w:r>
              <w:t>Polysorbate 80 (Tween80)</w:t>
            </w:r>
          </w:p>
        </w:tc>
        <w:tc>
          <w:tcPr>
            <w:tcW w:w="1581" w:type="dxa"/>
          </w:tcPr>
          <w:p w14:paraId="34F5FE37" w14:textId="77777777" w:rsidR="00F62AD0" w:rsidRDefault="00000000">
            <w:r>
              <w:t>PEG 300, PEG 3350, PEG 3000, PEG 20,000</w:t>
            </w:r>
          </w:p>
        </w:tc>
        <w:tc>
          <w:tcPr>
            <w:tcW w:w="1173" w:type="dxa"/>
          </w:tcPr>
          <w:p w14:paraId="5C265188" w14:textId="4576D7F4" w:rsidR="00F62AD0" w:rsidRDefault="000A7A96">
            <w:r>
              <w:t>No</w:t>
            </w:r>
          </w:p>
        </w:tc>
        <w:tc>
          <w:tcPr>
            <w:tcW w:w="1167" w:type="dxa"/>
          </w:tcPr>
          <w:p w14:paraId="494E040C" w14:textId="23563EEC" w:rsidR="008B2E94" w:rsidRDefault="000A7A96" w:rsidP="008B2E94">
            <w:r>
              <w:t>-</w:t>
            </w:r>
            <w:r w:rsidR="008B2E94">
              <w:t>7.5%</w:t>
            </w:r>
          </w:p>
          <w:p w14:paraId="1E122A27" w14:textId="50FE1EFE" w:rsidR="008B2E94" w:rsidRDefault="008B2E94" w:rsidP="000A7A96">
            <w:r>
              <w:t>(</w:t>
            </w:r>
            <w:r w:rsidR="000A7A96">
              <w:t>3/40</w:t>
            </w:r>
            <w:r>
              <w:t>)</w:t>
            </w:r>
          </w:p>
          <w:p w14:paraId="71494BAA" w14:textId="75D154AF" w:rsidR="000A7A96" w:rsidRDefault="000A7A96" w:rsidP="008B2E94">
            <w:r>
              <w:t>- 50%</w:t>
            </w:r>
          </w:p>
          <w:p w14:paraId="4512A82C" w14:textId="17DB9305" w:rsidR="008B2E94" w:rsidRDefault="008B2E94" w:rsidP="008B2E94">
            <w:r>
              <w:t>(2/4)</w:t>
            </w:r>
          </w:p>
        </w:tc>
        <w:tc>
          <w:tcPr>
            <w:tcW w:w="1029" w:type="dxa"/>
          </w:tcPr>
          <w:p w14:paraId="77CA6AAF" w14:textId="7403E8C1" w:rsidR="00F62AD0" w:rsidRDefault="000A7A96">
            <w:r>
              <w:t>33% (1/3) non-severe reaction</w:t>
            </w:r>
          </w:p>
        </w:tc>
        <w:tc>
          <w:tcPr>
            <w:tcW w:w="1095" w:type="dxa"/>
          </w:tcPr>
          <w:p w14:paraId="2555B57D" w14:textId="77777777" w:rsidR="008B2E94" w:rsidRDefault="000A7A96">
            <w:r>
              <w:t>-66%</w:t>
            </w:r>
          </w:p>
          <w:p w14:paraId="19D4827E" w14:textId="2BCAFCEC" w:rsidR="000A7A96" w:rsidRDefault="000A7A96">
            <w:r>
              <w:t xml:space="preserve"> (2/3)</w:t>
            </w:r>
          </w:p>
          <w:p w14:paraId="652896A9" w14:textId="77777777" w:rsidR="008B2E94" w:rsidRDefault="008B2E94">
            <w:r>
              <w:t>-100%</w:t>
            </w:r>
          </w:p>
          <w:p w14:paraId="2B6BBF73" w14:textId="1FCA9D25" w:rsidR="00F62AD0" w:rsidRDefault="000A7A96">
            <w:r>
              <w:t xml:space="preserve">(2/2) </w:t>
            </w:r>
            <w:r w:rsidR="008B2E94">
              <w:t>tolerated different vaccine</w:t>
            </w:r>
          </w:p>
        </w:tc>
        <w:tc>
          <w:tcPr>
            <w:tcW w:w="1965" w:type="dxa"/>
          </w:tcPr>
          <w:p w14:paraId="5F9C6CA0" w14:textId="5B02A184" w:rsidR="00F62AD0" w:rsidRDefault="00000000">
            <w:r>
              <w:t>PEG testing is often unnecessary; most patients tolerated</w:t>
            </w:r>
            <w:r w:rsidR="008B2E94">
              <w:t xml:space="preserve"> </w:t>
            </w:r>
            <w:r>
              <w:t>vaccination</w:t>
            </w:r>
          </w:p>
        </w:tc>
      </w:tr>
      <w:tr w:rsidR="000459DE" w14:paraId="588A4288" w14:textId="77777777" w:rsidTr="00654777">
        <w:tc>
          <w:tcPr>
            <w:tcW w:w="1045" w:type="dxa"/>
          </w:tcPr>
          <w:p w14:paraId="34110190" w14:textId="77777777" w:rsidR="00F62AD0" w:rsidRDefault="00000000">
            <w:r>
              <w:t>Otani et al. 2022, USA</w:t>
            </w:r>
          </w:p>
          <w:p w14:paraId="149BB86D" w14:textId="2D15D230" w:rsidR="00E40E04" w:rsidRDefault="002B0661" w:rsidP="002B0661">
            <w:r>
              <w:fldChar w:fldCharType="begin"/>
            </w:r>
            <w:r>
              <w:instrText xml:space="preserve"> ADDIN ZOTERO_ITEM CSL_CITATION {"citationID":"8LiHFa7Y","properties":{"formattedCitation":"(3)","plainCitation":"(3)","noteIndex":0},"citationItems":[{"id":244,"uris":["http://zotero.org/users/local/YcDeJqNr/items/2NAAYY8F"],"itemData":{"id":244,"type":"article-journal","container-title":"Annals of Allergy, Asthma &amp; Immunology","DOI":"10.1016/j.anai.2022.03.006","ISSN":"10811206","issue":"1","journalAbbreviation":"Annals of Allergy, Asthma &amp; Immunology","language":"en","page":"88-94.e1","source":"DOI.org (Crossref)","title":"Coronavirus disease 2019 vaccine administration in patients with reported reactions to polyethylene glycol- and polysorbate-containing therapeutics","volume":"129","author":[{"family":"Otani","given":"Iris M."},{"family":"Tsao","given":"Lulu R."},{"family":"Tang","given":"Monica"}],"issued":{"date-parts":[["2022",7]]}}}],"schema":"https://github.com/citation-style-language/schema/raw/master/csl-citation.json"} </w:instrText>
            </w:r>
            <w:r>
              <w:fldChar w:fldCharType="separate"/>
            </w:r>
            <w:r w:rsidRPr="002B0661">
              <w:rPr>
                <w:rFonts w:ascii="Calibri" w:hAnsi="Calibri" w:cs="Calibri"/>
              </w:rPr>
              <w:t>(3)</w:t>
            </w:r>
            <w:r>
              <w:fldChar w:fldCharType="end"/>
            </w:r>
          </w:p>
        </w:tc>
        <w:tc>
          <w:tcPr>
            <w:tcW w:w="1560" w:type="dxa"/>
          </w:tcPr>
          <w:p w14:paraId="34FEE63F" w14:textId="2890EED0" w:rsidR="00F62AD0" w:rsidRDefault="00E40E04">
            <w:r w:rsidRPr="008C382F">
              <w:rPr>
                <w:rFonts w:asciiTheme="minorBidi" w:eastAsia="Aptos" w:hAnsiTheme="minorBidi"/>
                <w:sz w:val="20"/>
                <w:szCs w:val="20"/>
              </w:rPr>
              <w:t>December 1, 2020,</w:t>
            </w:r>
            <w:r>
              <w:rPr>
                <w:rFonts w:asciiTheme="minorBidi" w:eastAsia="Aptos" w:hAnsiTheme="minorBidi"/>
                <w:sz w:val="20"/>
                <w:szCs w:val="20"/>
              </w:rPr>
              <w:t xml:space="preserve"> </w:t>
            </w:r>
            <w:r>
              <w:t>to August 31, 2021</w:t>
            </w:r>
          </w:p>
        </w:tc>
        <w:tc>
          <w:tcPr>
            <w:tcW w:w="990" w:type="dxa"/>
          </w:tcPr>
          <w:p w14:paraId="4CD8BB84" w14:textId="77777777" w:rsidR="00E40E04" w:rsidRDefault="00000000">
            <w:r>
              <w:t xml:space="preserve">89% </w:t>
            </w:r>
          </w:p>
          <w:p w14:paraId="6708FBBB" w14:textId="77777777" w:rsidR="00E40E04" w:rsidRDefault="00E40E04">
            <w:r>
              <w:t>39/44</w:t>
            </w:r>
          </w:p>
          <w:p w14:paraId="31D3BEA7" w14:textId="5AE620A5" w:rsidR="00F62AD0" w:rsidRDefault="00E40E04">
            <w:r>
              <w:t xml:space="preserve"> </w:t>
            </w:r>
          </w:p>
        </w:tc>
        <w:tc>
          <w:tcPr>
            <w:tcW w:w="990" w:type="dxa"/>
          </w:tcPr>
          <w:p w14:paraId="2345D640" w14:textId="3DC638BC" w:rsidR="00F62AD0" w:rsidRDefault="00422D0E">
            <w:r w:rsidRPr="008C382F">
              <w:rPr>
                <w:rFonts w:asciiTheme="minorBidi" w:eastAsia="Aptos" w:hAnsiTheme="minorBidi"/>
                <w:sz w:val="20"/>
                <w:szCs w:val="20"/>
              </w:rPr>
              <w:t>44</w:t>
            </w:r>
            <w:r w:rsidR="00E40E04">
              <w:rPr>
                <w:rFonts w:asciiTheme="minorBidi" w:eastAsia="Aptos" w:hAnsiTheme="minorBidi"/>
                <w:sz w:val="20"/>
                <w:szCs w:val="20"/>
              </w:rPr>
              <w:t xml:space="preserve"> (100%)</w:t>
            </w:r>
          </w:p>
        </w:tc>
        <w:tc>
          <w:tcPr>
            <w:tcW w:w="1080" w:type="dxa"/>
          </w:tcPr>
          <w:p w14:paraId="493916F6" w14:textId="77777777" w:rsidR="00F62AD0" w:rsidRDefault="00000000">
            <w:r>
              <w:t>Triamcinolone acetate, Prevnar-13</w:t>
            </w:r>
          </w:p>
        </w:tc>
        <w:tc>
          <w:tcPr>
            <w:tcW w:w="1581" w:type="dxa"/>
          </w:tcPr>
          <w:p w14:paraId="2E32C0AC" w14:textId="77777777" w:rsidR="00F62AD0" w:rsidRDefault="00000000">
            <w:proofErr w:type="spellStart"/>
            <w:r>
              <w:t>Miralax</w:t>
            </w:r>
            <w:proofErr w:type="spellEnd"/>
            <w:r>
              <w:t>, Methylprednisolone acetate</w:t>
            </w:r>
          </w:p>
        </w:tc>
        <w:tc>
          <w:tcPr>
            <w:tcW w:w="1173" w:type="dxa"/>
          </w:tcPr>
          <w:p w14:paraId="6C165023" w14:textId="460A2B02" w:rsidR="00F62AD0" w:rsidRDefault="00E40E04">
            <w:r>
              <w:t>N0</w:t>
            </w:r>
          </w:p>
        </w:tc>
        <w:tc>
          <w:tcPr>
            <w:tcW w:w="1167" w:type="dxa"/>
          </w:tcPr>
          <w:p w14:paraId="388C0581" w14:textId="77777777" w:rsidR="00E40E04" w:rsidRDefault="00E40E04">
            <w:r>
              <w:t>(3/14) 21%</w:t>
            </w:r>
          </w:p>
          <w:p w14:paraId="2F0D3DC3" w14:textId="332BF613" w:rsidR="00F62AD0" w:rsidRDefault="00000000">
            <w:r>
              <w:t>questionable positives</w:t>
            </w:r>
          </w:p>
        </w:tc>
        <w:tc>
          <w:tcPr>
            <w:tcW w:w="1029" w:type="dxa"/>
          </w:tcPr>
          <w:p w14:paraId="2A071CCF" w14:textId="60F543E7" w:rsidR="00F62AD0" w:rsidRDefault="00E40E04">
            <w:r>
              <w:t>0/3</w:t>
            </w:r>
          </w:p>
        </w:tc>
        <w:tc>
          <w:tcPr>
            <w:tcW w:w="1095" w:type="dxa"/>
          </w:tcPr>
          <w:p w14:paraId="6DE9092A" w14:textId="727DDBF3" w:rsidR="00F62AD0" w:rsidRDefault="00E40E04">
            <w:r>
              <w:t>3/3</w:t>
            </w:r>
          </w:p>
        </w:tc>
        <w:tc>
          <w:tcPr>
            <w:tcW w:w="1965" w:type="dxa"/>
          </w:tcPr>
          <w:p w14:paraId="2011738A" w14:textId="77777777" w:rsidR="00F62AD0" w:rsidRDefault="00000000">
            <w:r>
              <w:t>Skin testing had limited predictive value for second-dose tolerance.</w:t>
            </w:r>
          </w:p>
        </w:tc>
      </w:tr>
      <w:tr w:rsidR="000459DE" w14:paraId="5A290ED8" w14:textId="77777777" w:rsidTr="00654777">
        <w:tc>
          <w:tcPr>
            <w:tcW w:w="1045" w:type="dxa"/>
          </w:tcPr>
          <w:p w14:paraId="02FBE5F3" w14:textId="77777777" w:rsidR="00F62AD0" w:rsidRDefault="00000000">
            <w:proofErr w:type="spellStart"/>
            <w:r>
              <w:lastRenderedPageBreak/>
              <w:t>Svarca</w:t>
            </w:r>
            <w:proofErr w:type="spellEnd"/>
            <w:r>
              <w:t xml:space="preserve"> et al. 2024, Kosovo</w:t>
            </w:r>
          </w:p>
          <w:p w14:paraId="4B274D99" w14:textId="6E0C3289" w:rsidR="00C35EDE" w:rsidRDefault="002B0661" w:rsidP="002B0661">
            <w:r>
              <w:fldChar w:fldCharType="begin"/>
            </w:r>
            <w:r>
              <w:instrText xml:space="preserve"> ADDIN ZOTERO_ITEM CSL_CITATION {"citationID":"coJ5D7ov","properties":{"formattedCitation":"(4)","plainCitation":"(4)","noteIndex":0},"citationItems":[{"id":204,"uris":["http://zotero.org/users/local/YcDeJqNr/items/BRJDNATM"],"itemData":{"id":204,"type":"article-journal","container-title":"Journal of Morphological Sciences","DOI":"10.55302/JMS2471067s","ISSN":"25454706","issue":"1","journalAbbreviation":"JMS","page":"67-76","source":"DOI.org (Crossref)","title":"ALLERGIC REACTIONS WITH SKIN PRICK TEST AND INTRADERMAL TEST FROM THE ANTI COVID 19 VACCINES AT PATIENTS WITH HIGH RISK FOR HYPERSENSITIVITY OUR EXPERIENCE","volume":"7","author":[{"family":"Svarca","given":"Leonora"},{"family":"Bojadzieva","given":"Sonja"},{"family":"Rashiti","given":"Premtim"},{"family":"Rashiti Bytyci","given":"Albiona"}],"issued":{"date-parts":[["2024"]]}}}],"schema":"https://github.com/citation-style-language/schema/raw/master/csl-citation.json"} </w:instrText>
            </w:r>
            <w:r>
              <w:fldChar w:fldCharType="separate"/>
            </w:r>
            <w:r w:rsidRPr="002B0661">
              <w:rPr>
                <w:rFonts w:ascii="Calibri" w:hAnsi="Calibri" w:cs="Calibri"/>
              </w:rPr>
              <w:t>(4)</w:t>
            </w:r>
            <w:r>
              <w:fldChar w:fldCharType="end"/>
            </w:r>
          </w:p>
        </w:tc>
        <w:tc>
          <w:tcPr>
            <w:tcW w:w="1560" w:type="dxa"/>
          </w:tcPr>
          <w:p w14:paraId="3DD8B987" w14:textId="77777777" w:rsidR="00F62AD0" w:rsidRDefault="00000000">
            <w:r>
              <w:t>December 2020 to February 2023</w:t>
            </w:r>
          </w:p>
        </w:tc>
        <w:tc>
          <w:tcPr>
            <w:tcW w:w="990" w:type="dxa"/>
          </w:tcPr>
          <w:p w14:paraId="3E524CCE" w14:textId="75293183" w:rsidR="00F62AD0" w:rsidRDefault="00000000">
            <w:r>
              <w:t>69.6% (163/234)</w:t>
            </w:r>
          </w:p>
        </w:tc>
        <w:tc>
          <w:tcPr>
            <w:tcW w:w="990" w:type="dxa"/>
          </w:tcPr>
          <w:p w14:paraId="76594FBA" w14:textId="1A3871C7" w:rsidR="00F62AD0" w:rsidRDefault="00000000">
            <w:r>
              <w:t xml:space="preserve">234 </w:t>
            </w:r>
            <w:r w:rsidR="00C35EDE">
              <w:t>(</w:t>
            </w:r>
            <w:r>
              <w:t>high-risk/allergy history</w:t>
            </w:r>
          </w:p>
        </w:tc>
        <w:tc>
          <w:tcPr>
            <w:tcW w:w="1080" w:type="dxa"/>
          </w:tcPr>
          <w:p w14:paraId="5B548B0E" w14:textId="77777777" w:rsidR="00F62AD0" w:rsidRDefault="00000000">
            <w:r>
              <w:t>Not specified</w:t>
            </w:r>
          </w:p>
        </w:tc>
        <w:tc>
          <w:tcPr>
            <w:tcW w:w="1581" w:type="dxa"/>
          </w:tcPr>
          <w:p w14:paraId="556774EC" w14:textId="77777777" w:rsidR="00F62AD0" w:rsidRDefault="00000000">
            <w:r>
              <w:t>Not specified</w:t>
            </w:r>
          </w:p>
        </w:tc>
        <w:tc>
          <w:tcPr>
            <w:tcW w:w="1173" w:type="dxa"/>
          </w:tcPr>
          <w:p w14:paraId="5A379595" w14:textId="2E4B9BC3" w:rsidR="00C35EDE" w:rsidRPr="008C382F" w:rsidRDefault="00C35EDE" w:rsidP="00C35EDE">
            <w:pPr>
              <w:rPr>
                <w:rFonts w:asciiTheme="minorBidi" w:eastAsia="Aptos" w:hAnsiTheme="minorBidi"/>
                <w:sz w:val="20"/>
                <w:szCs w:val="20"/>
                <w:lang w:val="en-US"/>
              </w:rPr>
            </w:pPr>
            <w:r>
              <w:t>66% (155/234)</w:t>
            </w:r>
          </w:p>
          <w:p w14:paraId="66E6C221" w14:textId="77777777" w:rsidR="00C35EDE" w:rsidRDefault="00C35EDE" w:rsidP="00C35EDE">
            <w:r w:rsidRPr="008C382F">
              <w:rPr>
                <w:rFonts w:asciiTheme="minorBidi" w:eastAsia="Aptos" w:hAnsiTheme="minorBidi"/>
                <w:sz w:val="20"/>
                <w:szCs w:val="20"/>
                <w:lang w:val="en-US"/>
              </w:rPr>
              <w:t>(BNT162b2, Pfizer)</w:t>
            </w:r>
            <w:r>
              <w:t>, 34%</w:t>
            </w:r>
          </w:p>
          <w:p w14:paraId="7CFD5D98" w14:textId="436C972F" w:rsidR="00F62AD0" w:rsidRDefault="00C35EDE" w:rsidP="00C35EDE">
            <w:r>
              <w:t>(</w:t>
            </w:r>
            <w:r w:rsidRPr="008C382F">
              <w:rPr>
                <w:rFonts w:asciiTheme="minorBidi" w:eastAsia="Aptos" w:hAnsiTheme="minorBidi"/>
                <w:sz w:val="20"/>
                <w:szCs w:val="20"/>
                <w:lang w:val="en-US"/>
              </w:rPr>
              <w:t>79</w:t>
            </w:r>
            <w:r>
              <w:rPr>
                <w:rFonts w:asciiTheme="minorBidi" w:eastAsia="Aptos" w:hAnsiTheme="minorBidi"/>
                <w:sz w:val="20"/>
                <w:szCs w:val="20"/>
                <w:lang w:val="en-US"/>
              </w:rPr>
              <w:t xml:space="preserve">/234) </w:t>
            </w:r>
            <w:r w:rsidR="00A4741F" w:rsidRPr="008C382F">
              <w:rPr>
                <w:rFonts w:asciiTheme="minorBidi" w:eastAsia="Aptos" w:hAnsiTheme="minorBidi"/>
                <w:sz w:val="20"/>
                <w:szCs w:val="20"/>
                <w:lang w:val="en-US"/>
              </w:rPr>
              <w:t xml:space="preserve">AZD1222, </w:t>
            </w:r>
            <w:r>
              <w:t>AstraZeneca</w:t>
            </w:r>
          </w:p>
        </w:tc>
        <w:tc>
          <w:tcPr>
            <w:tcW w:w="1167" w:type="dxa"/>
          </w:tcPr>
          <w:p w14:paraId="1EFC8496" w14:textId="751BD38D" w:rsidR="00F62AD0" w:rsidRDefault="00A4741F">
            <w:r>
              <w:t>(4/155) 2.58% for Pfizer, (3/79) 3.8% for AZ</w:t>
            </w:r>
          </w:p>
        </w:tc>
        <w:tc>
          <w:tcPr>
            <w:tcW w:w="1029" w:type="dxa"/>
          </w:tcPr>
          <w:p w14:paraId="5877256A" w14:textId="7CBCE60E" w:rsidR="00F62AD0" w:rsidRDefault="00A877AA">
            <w:r>
              <w:t>-</w:t>
            </w:r>
          </w:p>
        </w:tc>
        <w:tc>
          <w:tcPr>
            <w:tcW w:w="1095" w:type="dxa"/>
          </w:tcPr>
          <w:p w14:paraId="6DE332D0" w14:textId="0DBD8502" w:rsidR="00F62AD0" w:rsidRDefault="00A877AA">
            <w:r>
              <w:t>-</w:t>
            </w:r>
          </w:p>
        </w:tc>
        <w:tc>
          <w:tcPr>
            <w:tcW w:w="1965" w:type="dxa"/>
          </w:tcPr>
          <w:p w14:paraId="2FB8DB69" w14:textId="77777777" w:rsidR="00A877AA" w:rsidRPr="008C382F" w:rsidRDefault="00000000" w:rsidP="00A877AA">
            <w:pPr>
              <w:rPr>
                <w:rFonts w:asciiTheme="minorBidi" w:eastAsia="Aptos" w:hAnsiTheme="minorBidi"/>
                <w:sz w:val="20"/>
                <w:szCs w:val="20"/>
                <w:lang w:val="en-US"/>
              </w:rPr>
            </w:pPr>
            <w:r>
              <w:t xml:space="preserve">Most reactions </w:t>
            </w:r>
            <w:r w:rsidR="00A877AA" w:rsidRPr="008C382F">
              <w:rPr>
                <w:rFonts w:asciiTheme="minorBidi" w:eastAsia="Aptos" w:hAnsiTheme="minorBidi"/>
                <w:sz w:val="20"/>
                <w:szCs w:val="20"/>
                <w:lang w:val="en-US"/>
              </w:rPr>
              <w:t>to COVID</w:t>
            </w:r>
          </w:p>
          <w:p w14:paraId="40215790" w14:textId="5FC0D108" w:rsidR="00F62AD0" w:rsidRDefault="00A877AA" w:rsidP="00A877AA">
            <w:r w:rsidRPr="008C382F">
              <w:rPr>
                <w:rFonts w:asciiTheme="minorBidi" w:eastAsia="Aptos" w:hAnsiTheme="minorBidi"/>
                <w:sz w:val="20"/>
                <w:szCs w:val="20"/>
                <w:lang w:val="en-US"/>
              </w:rPr>
              <w:t xml:space="preserve">19 vaccinations </w:t>
            </w:r>
            <w:r>
              <w:t>are mild, self-limiting, and did not discourage vaccination</w:t>
            </w:r>
          </w:p>
        </w:tc>
      </w:tr>
      <w:tr w:rsidR="000459DE" w14:paraId="3D2020BA" w14:textId="77777777" w:rsidTr="00654777">
        <w:tc>
          <w:tcPr>
            <w:tcW w:w="1045" w:type="dxa"/>
          </w:tcPr>
          <w:p w14:paraId="4BE3340A" w14:textId="77777777" w:rsidR="00F62AD0" w:rsidRDefault="00000000">
            <w:r>
              <w:t>Vidal Oribe et al. 2022, Spain</w:t>
            </w:r>
          </w:p>
          <w:p w14:paraId="742B6502" w14:textId="643B780B" w:rsidR="00A877AA" w:rsidRDefault="002B0661" w:rsidP="002B0661">
            <w:r>
              <w:fldChar w:fldCharType="begin"/>
            </w:r>
            <w:r>
              <w:instrText xml:space="preserve"> ADDIN ZOTERO_ITEM CSL_CITATION {"citationID":"bOSvhkZ1","properties":{"formattedCitation":"(5)","plainCitation":"(5)","noteIndex":0},"citationItems":[{"id":246,"uris":["http://zotero.org/users/local/YcDeJqNr/items/XQY8XCNP"],"itemData":{"id":246,"type":"article-journal","container-title":"Journal of Investigational Allergology and Clinical Immunology","DOI":"10.18176/jiaci.0772","ISSN":"10189068","issue":"5","journalAbbreviation":"J Investig Allergol Clin Immunol","page":"403-405","source":"DOI.org (Crossref)","title":"Tolerance to SARS CoV-2 Vaccines Containing Polyethylene Glycol in Patients Allergic to Polysorbate 80","volume":"32","author":[{"family":"Vidal Oribe","given":"I"},{"family":"Venturini Díaz","given":"M"},{"family":"Hernández Alfonso","given":"P"},{"family":"Del Pozo Gil","given":"Md"},{"family":"González Mahave","given":"I"},{"family":"Lobera Labairu","given":"T"}],"issued":{"date-parts":[["2022",10,10]]}}}],"schema":"https://github.com/citation-style-language/schema/raw/master/csl-citation.json"} </w:instrText>
            </w:r>
            <w:r>
              <w:fldChar w:fldCharType="separate"/>
            </w:r>
            <w:r w:rsidRPr="002B0661">
              <w:rPr>
                <w:rFonts w:ascii="Calibri" w:hAnsi="Calibri" w:cs="Calibri"/>
              </w:rPr>
              <w:t>(5)</w:t>
            </w:r>
            <w:r>
              <w:fldChar w:fldCharType="end"/>
            </w:r>
          </w:p>
        </w:tc>
        <w:tc>
          <w:tcPr>
            <w:tcW w:w="1560" w:type="dxa"/>
          </w:tcPr>
          <w:p w14:paraId="3FCEF730" w14:textId="77777777" w:rsidR="00F62AD0" w:rsidRDefault="00000000">
            <w:r>
              <w:t>2022, Case report</w:t>
            </w:r>
          </w:p>
        </w:tc>
        <w:tc>
          <w:tcPr>
            <w:tcW w:w="990" w:type="dxa"/>
          </w:tcPr>
          <w:p w14:paraId="01EDB0DA" w14:textId="77777777" w:rsidR="00F62AD0" w:rsidRDefault="00000000">
            <w:r>
              <w:t>Not specified</w:t>
            </w:r>
          </w:p>
        </w:tc>
        <w:tc>
          <w:tcPr>
            <w:tcW w:w="990" w:type="dxa"/>
          </w:tcPr>
          <w:p w14:paraId="16A64874" w14:textId="064EA9D7" w:rsidR="00F62AD0" w:rsidRDefault="00000000">
            <w:r>
              <w:t>5</w:t>
            </w:r>
          </w:p>
        </w:tc>
        <w:tc>
          <w:tcPr>
            <w:tcW w:w="1080" w:type="dxa"/>
          </w:tcPr>
          <w:p w14:paraId="043658E6" w14:textId="518A0870" w:rsidR="00F62AD0" w:rsidRDefault="00A877AA">
            <w:r w:rsidRPr="008C382F">
              <w:rPr>
                <w:rFonts w:asciiTheme="minorBidi" w:eastAsia="Aptos" w:hAnsiTheme="minorBidi"/>
                <w:sz w:val="20"/>
                <w:szCs w:val="20"/>
              </w:rPr>
              <w:t>polysorbate 80</w:t>
            </w:r>
          </w:p>
        </w:tc>
        <w:tc>
          <w:tcPr>
            <w:tcW w:w="1581" w:type="dxa"/>
          </w:tcPr>
          <w:p w14:paraId="5EBDCBAA" w14:textId="77777777" w:rsidR="00A877AA" w:rsidRDefault="00A877AA">
            <w:r>
              <w:t>PEG 4000 (</w:t>
            </w:r>
            <w:proofErr w:type="spellStart"/>
            <w:r>
              <w:t>Casenlax</w:t>
            </w:r>
            <w:proofErr w:type="spellEnd"/>
            <w:r>
              <w:t>), PEG 3350 (Movicol)</w:t>
            </w:r>
          </w:p>
          <w:p w14:paraId="33FD1000" w14:textId="00412890" w:rsidR="00F62AD0" w:rsidRDefault="00000000">
            <w:r>
              <w:t>PEG 2000, PEG 1500 (</w:t>
            </w:r>
            <w:proofErr w:type="spellStart"/>
            <w:r>
              <w:t>Roxall</w:t>
            </w:r>
            <w:proofErr w:type="spellEnd"/>
            <w:r>
              <w:t>)</w:t>
            </w:r>
          </w:p>
        </w:tc>
        <w:tc>
          <w:tcPr>
            <w:tcW w:w="1173" w:type="dxa"/>
          </w:tcPr>
          <w:p w14:paraId="0E5B9C6E" w14:textId="77777777" w:rsidR="00F62AD0" w:rsidRDefault="00000000">
            <w:r>
              <w:t>Pfizer, Moderna, AstraZeneca</w:t>
            </w:r>
          </w:p>
        </w:tc>
        <w:tc>
          <w:tcPr>
            <w:tcW w:w="1167" w:type="dxa"/>
          </w:tcPr>
          <w:p w14:paraId="6B8CE5ED" w14:textId="543FDDA4" w:rsidR="00F62AD0" w:rsidRDefault="00000000">
            <w:r>
              <w:t>1 positive IDT</w:t>
            </w:r>
            <w:r w:rsidR="000459DE">
              <w:t xml:space="preserve"> with </w:t>
            </w:r>
            <w:r w:rsidR="000459DE" w:rsidRPr="008C382F">
              <w:rPr>
                <w:rFonts w:asciiTheme="minorBidi" w:eastAsia="Aptos" w:hAnsiTheme="minorBidi"/>
                <w:sz w:val="20"/>
                <w:szCs w:val="20"/>
                <w:lang w:val="en-US"/>
              </w:rPr>
              <w:t>PS80 and with all the vaccines</w:t>
            </w:r>
          </w:p>
        </w:tc>
        <w:tc>
          <w:tcPr>
            <w:tcW w:w="1029" w:type="dxa"/>
          </w:tcPr>
          <w:p w14:paraId="175D9742" w14:textId="5E6C30FC" w:rsidR="00F62AD0" w:rsidRDefault="00B737C6">
            <w:r>
              <w:t>0/1</w:t>
            </w:r>
          </w:p>
        </w:tc>
        <w:tc>
          <w:tcPr>
            <w:tcW w:w="1095" w:type="dxa"/>
          </w:tcPr>
          <w:p w14:paraId="7C8070A7" w14:textId="3E4EB379" w:rsidR="00F62AD0" w:rsidRDefault="00B737C6">
            <w:r>
              <w:t>0/1</w:t>
            </w:r>
          </w:p>
        </w:tc>
        <w:tc>
          <w:tcPr>
            <w:tcW w:w="1965" w:type="dxa"/>
          </w:tcPr>
          <w:p w14:paraId="666EA0EA" w14:textId="77777777" w:rsidR="00F62AD0" w:rsidRDefault="00000000">
            <w:r>
              <w:t>Patients allergic to polysorbate 80 may tolerate PEG-containing vaccines.</w:t>
            </w:r>
          </w:p>
        </w:tc>
      </w:tr>
      <w:tr w:rsidR="000459DE" w14:paraId="39022237" w14:textId="77777777" w:rsidTr="00654777">
        <w:tc>
          <w:tcPr>
            <w:tcW w:w="1045" w:type="dxa"/>
          </w:tcPr>
          <w:p w14:paraId="5701F56A" w14:textId="77777777" w:rsidR="00F62AD0" w:rsidRDefault="00000000">
            <w:r>
              <w:t>Pitlick et al. 2022, USA</w:t>
            </w:r>
          </w:p>
          <w:p w14:paraId="149452BE" w14:textId="062DCE07" w:rsidR="000459DE" w:rsidRDefault="002B0661" w:rsidP="002B0661">
            <w:r>
              <w:fldChar w:fldCharType="begin"/>
            </w:r>
            <w:r>
              <w:instrText xml:space="preserve"> ADDIN ZOTERO_ITEM CSL_CITATION {"citationID":"lOWD0KZw","properties":{"formattedCitation":"(6)","plainCitation":"(6)","noteIndex":0},"citationItems":[{"id":236,"uris":["http://zotero.org/users/local/YcDeJqNr/items/XVI7RFNS"],"itemData":{"id":236,"type":"article-journal","container-title":"Annals of Allergy, Asthma &amp; Immunology","DOI":"10.1016/j.anai.2021.11.006","ISSN":"10811206","issue":"2","journalAbbreviation":"Annals of Allergy, Asthma &amp; Immunology","language":"en","page":"153-160","source":"DOI.org (Crossref)","title":"Utility and futility of skin testing to address concerns surrounding messenger RNA coronavirus disease 2019 vaccine reactions","volume":"128","author":[{"family":"Pitlick","given":"Mitchell M."},{"family":"Sitek","given":"Andrea N."},{"family":"D'Netto","given":"Michael E."},{"family":"Dages","given":"Kelley N."},{"family":"Chiarella","given":"Sergio E."},{"family":"Gonzalez-Estrada","given":"Alexei"},{"family":"Joshi","given":"Avni Y."},{"family":"Park","given":"Miguel A."}],"issued":{"date-parts":[["2022",2]]}}}],"schema":"https://github.com/citation-style-language/schema/raw/master/csl-citation.json"} </w:instrText>
            </w:r>
            <w:r>
              <w:fldChar w:fldCharType="separate"/>
            </w:r>
            <w:r w:rsidRPr="002B0661">
              <w:rPr>
                <w:rFonts w:ascii="Calibri" w:hAnsi="Calibri" w:cs="Calibri"/>
              </w:rPr>
              <w:t>(6)</w:t>
            </w:r>
            <w:r>
              <w:fldChar w:fldCharType="end"/>
            </w:r>
          </w:p>
        </w:tc>
        <w:tc>
          <w:tcPr>
            <w:tcW w:w="1560" w:type="dxa"/>
          </w:tcPr>
          <w:p w14:paraId="1C18D7CA" w14:textId="2FEE52D8" w:rsidR="000459DE" w:rsidRDefault="000459DE">
            <w:r w:rsidRPr="000459DE">
              <w:t>Retrospective</w:t>
            </w:r>
            <w:r>
              <w:t>.</w:t>
            </w:r>
          </w:p>
          <w:p w14:paraId="19370E54" w14:textId="4E0E77DA" w:rsidR="00F62AD0" w:rsidRDefault="00000000">
            <w:r>
              <w:t>January to July 2021</w:t>
            </w:r>
          </w:p>
        </w:tc>
        <w:tc>
          <w:tcPr>
            <w:tcW w:w="990" w:type="dxa"/>
          </w:tcPr>
          <w:p w14:paraId="10043170" w14:textId="5070304F" w:rsidR="00F62AD0" w:rsidRDefault="00000000">
            <w:r>
              <w:t>Cohort</w:t>
            </w:r>
            <w:r w:rsidR="00257CEC">
              <w:t xml:space="preserve"> 1:(</w:t>
            </w:r>
            <w:r w:rsidR="00257CEC" w:rsidRPr="008C382F">
              <w:rPr>
                <w:rFonts w:asciiTheme="minorBidi" w:eastAsia="Aptos" w:hAnsiTheme="minorBidi"/>
                <w:sz w:val="20"/>
                <w:szCs w:val="20"/>
              </w:rPr>
              <w:t>44</w:t>
            </w:r>
            <w:r w:rsidR="00257CEC">
              <w:rPr>
                <w:rFonts w:asciiTheme="minorBidi" w:eastAsia="Aptos" w:hAnsiTheme="minorBidi"/>
                <w:sz w:val="20"/>
                <w:szCs w:val="20"/>
              </w:rPr>
              <w:t>/55)</w:t>
            </w:r>
            <w:r w:rsidR="00257CEC" w:rsidRPr="008C382F">
              <w:rPr>
                <w:rFonts w:asciiTheme="minorBidi" w:eastAsia="Aptos" w:hAnsiTheme="minorBidi"/>
                <w:sz w:val="20"/>
                <w:szCs w:val="20"/>
              </w:rPr>
              <w:t xml:space="preserve"> 80%</w:t>
            </w:r>
          </w:p>
          <w:p w14:paraId="58B32BF5" w14:textId="77777777" w:rsidR="0036462B" w:rsidRDefault="0036462B"/>
          <w:p w14:paraId="702D750B" w14:textId="4B3F5BD7" w:rsidR="00257CEC" w:rsidRDefault="00257CEC">
            <w:r>
              <w:t xml:space="preserve">Cohort 2: </w:t>
            </w:r>
            <w:r w:rsidRPr="008C382F">
              <w:rPr>
                <w:rFonts w:asciiTheme="minorBidi" w:eastAsia="Aptos" w:hAnsiTheme="minorBidi"/>
                <w:sz w:val="20"/>
                <w:szCs w:val="20"/>
              </w:rPr>
              <w:t>65</w:t>
            </w:r>
            <w:r w:rsidR="00F178D5">
              <w:rPr>
                <w:rFonts w:asciiTheme="minorBidi" w:eastAsia="Aptos" w:hAnsiTheme="minorBidi"/>
                <w:sz w:val="20"/>
                <w:szCs w:val="20"/>
              </w:rPr>
              <w:t>/74</w:t>
            </w:r>
            <w:r w:rsidRPr="008C382F">
              <w:rPr>
                <w:rFonts w:asciiTheme="minorBidi" w:eastAsia="Aptos" w:hAnsiTheme="minorBidi"/>
                <w:sz w:val="20"/>
                <w:szCs w:val="20"/>
              </w:rPr>
              <w:t xml:space="preserve"> (87.8%)</w:t>
            </w:r>
          </w:p>
        </w:tc>
        <w:tc>
          <w:tcPr>
            <w:tcW w:w="990" w:type="dxa"/>
          </w:tcPr>
          <w:p w14:paraId="1AF0209B" w14:textId="5331AA1C" w:rsidR="00F62AD0" w:rsidRDefault="00F178D5">
            <w:r>
              <w:t>Cohort 1: 55</w:t>
            </w:r>
          </w:p>
        </w:tc>
        <w:tc>
          <w:tcPr>
            <w:tcW w:w="1080" w:type="dxa"/>
          </w:tcPr>
          <w:p w14:paraId="091FACA9" w14:textId="77777777" w:rsidR="00F62AD0" w:rsidRDefault="00000000">
            <w:r>
              <w:t>Triamcinolone acetonide, Prevnar-13</w:t>
            </w:r>
          </w:p>
        </w:tc>
        <w:tc>
          <w:tcPr>
            <w:tcW w:w="1581" w:type="dxa"/>
          </w:tcPr>
          <w:p w14:paraId="1F2F7469" w14:textId="77777777" w:rsidR="00F62AD0" w:rsidRDefault="00000000">
            <w:proofErr w:type="spellStart"/>
            <w:r>
              <w:t>Miralax</w:t>
            </w:r>
            <w:proofErr w:type="spellEnd"/>
            <w:r>
              <w:t>, fresh polysorbate compounds</w:t>
            </w:r>
          </w:p>
        </w:tc>
        <w:tc>
          <w:tcPr>
            <w:tcW w:w="1173" w:type="dxa"/>
          </w:tcPr>
          <w:p w14:paraId="7A91AFA4" w14:textId="25E4A088" w:rsidR="00F62AD0" w:rsidRDefault="00000000">
            <w:r>
              <w:t>Pfizer-BioNTech, Janssen</w:t>
            </w:r>
            <w:r w:rsidR="00F178D5">
              <w:t xml:space="preserve"> in 11 patients</w:t>
            </w:r>
          </w:p>
        </w:tc>
        <w:tc>
          <w:tcPr>
            <w:tcW w:w="1167" w:type="dxa"/>
          </w:tcPr>
          <w:p w14:paraId="268158FB" w14:textId="77777777" w:rsidR="0036462B" w:rsidRDefault="0036462B">
            <w:r>
              <w:t>Cohort 1</w:t>
            </w:r>
          </w:p>
          <w:p w14:paraId="3FB77A2D" w14:textId="7097984A" w:rsidR="00F62AD0" w:rsidRDefault="0036462B">
            <w:r>
              <w:t>(4/55) 7.3%</w:t>
            </w:r>
          </w:p>
          <w:p w14:paraId="5A36B861" w14:textId="77777777" w:rsidR="0036462B" w:rsidRDefault="0036462B"/>
          <w:p w14:paraId="420C1C11" w14:textId="50B0DA79" w:rsidR="0036462B" w:rsidRDefault="0036462B">
            <w:r>
              <w:t>Cohort 2: (8/74) 10.8%</w:t>
            </w:r>
          </w:p>
        </w:tc>
        <w:tc>
          <w:tcPr>
            <w:tcW w:w="1029" w:type="dxa"/>
          </w:tcPr>
          <w:p w14:paraId="22C34288" w14:textId="41270719" w:rsidR="00F62AD0" w:rsidRDefault="0036462B">
            <w:r>
              <w:t xml:space="preserve">Cohort 1: </w:t>
            </w:r>
            <w:r w:rsidR="001926B9">
              <w:t xml:space="preserve">25% </w:t>
            </w:r>
            <w:r>
              <w:t>(1/4)</w:t>
            </w:r>
          </w:p>
          <w:p w14:paraId="113F19C0" w14:textId="77777777" w:rsidR="0036462B" w:rsidRDefault="0036462B"/>
          <w:p w14:paraId="659D8AD2" w14:textId="215A2790" w:rsidR="0036462B" w:rsidRDefault="0036462B">
            <w:r>
              <w:t>Cohort 2: 0/8</w:t>
            </w:r>
          </w:p>
        </w:tc>
        <w:tc>
          <w:tcPr>
            <w:tcW w:w="1095" w:type="dxa"/>
          </w:tcPr>
          <w:p w14:paraId="4AED2DC9" w14:textId="77777777" w:rsidR="00F62AD0" w:rsidRDefault="001926B9">
            <w:r>
              <w:t>Cohort 1: 50% (2/4)</w:t>
            </w:r>
          </w:p>
          <w:p w14:paraId="5C1F55B0" w14:textId="77777777" w:rsidR="001926B9" w:rsidRDefault="001926B9"/>
          <w:p w14:paraId="2D96E651" w14:textId="77777777" w:rsidR="001926B9" w:rsidRDefault="001926B9"/>
          <w:p w14:paraId="355469E7" w14:textId="77777777" w:rsidR="001926B9" w:rsidRDefault="001926B9">
            <w:r>
              <w:t xml:space="preserve">Cohort 2: </w:t>
            </w:r>
          </w:p>
          <w:p w14:paraId="67E3818A" w14:textId="20B9F406" w:rsidR="001926B9" w:rsidRDefault="001926B9">
            <w:r>
              <w:t>37.5% (3/8)</w:t>
            </w:r>
          </w:p>
        </w:tc>
        <w:tc>
          <w:tcPr>
            <w:tcW w:w="1965" w:type="dxa"/>
          </w:tcPr>
          <w:p w14:paraId="1DED7083" w14:textId="77777777" w:rsidR="00F62AD0" w:rsidRDefault="00000000">
            <w:r>
              <w:t>Skin testing showed limited utility; graded dosing often effective.</w:t>
            </w:r>
          </w:p>
        </w:tc>
      </w:tr>
      <w:tr w:rsidR="000459DE" w14:paraId="03AF05F7" w14:textId="77777777" w:rsidTr="00654777">
        <w:tc>
          <w:tcPr>
            <w:tcW w:w="1045" w:type="dxa"/>
          </w:tcPr>
          <w:p w14:paraId="57128638" w14:textId="77777777" w:rsidR="00F62AD0" w:rsidRDefault="00000000">
            <w:r>
              <w:t>Shavit et al. 2022, Israel</w:t>
            </w:r>
          </w:p>
          <w:p w14:paraId="21E75C8B" w14:textId="42AB6F1B" w:rsidR="00C964C0" w:rsidRDefault="002B0661" w:rsidP="002B0661">
            <w:r>
              <w:fldChar w:fldCharType="begin"/>
            </w:r>
            <w:r>
              <w:instrText xml:space="preserve"> ADDIN ZOTERO_ITEM CSL_CITATION {"citationID":"hHk2fyOI","properties":{"formattedCitation":"(7)","plainCitation":"(7)","noteIndex":0},"citationItems":[{"id":202,"uris":["http://zotero.org/users/local/YcDeJqNr/items/84YPUWVA"],"itemData":{"id":202,"type":"article-journal","container-title":"The Journal of Allergy and Clinical Immunology: In Practice","DOI":"10.1016/j.jaip.2022.08.010","ISSN":"22132198","issue":"10","journalAbbreviation":"The Journal of Allergy and Clinical Immunology: In Practice","language":"en","page":"2677-2684","source":"DOI.org (Crossref)","title":"Assessment of Immediate Allergic Reactions After Immunization With the Pfizer BNT162b2 Vaccine Using Intradermal Skin Testing With the COVID-19 Vaccines","volume":"10","author":[{"family":"Shavit","given":"Ronen"},{"family":"Maoz-Segal","given":"Ramit"},{"family":"Offengenden","given":"Irena"},{"family":"Yahia","given":"Soad Haj"},{"family":"Maayan","given":"Diti Machnes"},{"family":"Lifshitz","given":"Yulia"},{"family":"Niznik","given":"Stanley"},{"family":"Deutch","given":"Michal"},{"family":"Elbaz","given":"Eti"},{"family":"Genaim","given":"Hosney"},{"family":"Iancovici-Kidon","given":"Mona"},{"family":"Agmon-Levin","given":"Nancy"}],"issued":{"date-parts":[["2022",10]]}}}],"schema":"https://github.com/citation-style-language/schema/raw/master/csl-citation.json"} </w:instrText>
            </w:r>
            <w:r>
              <w:fldChar w:fldCharType="separate"/>
            </w:r>
            <w:r w:rsidRPr="002B0661">
              <w:rPr>
                <w:rFonts w:ascii="Calibri" w:hAnsi="Calibri" w:cs="Calibri"/>
              </w:rPr>
              <w:t>(7)</w:t>
            </w:r>
            <w:r>
              <w:fldChar w:fldCharType="end"/>
            </w:r>
          </w:p>
        </w:tc>
        <w:tc>
          <w:tcPr>
            <w:tcW w:w="1560" w:type="dxa"/>
          </w:tcPr>
          <w:p w14:paraId="43D5FBB1" w14:textId="77777777" w:rsidR="00F62AD0" w:rsidRDefault="00000000">
            <w:r>
              <w:t>March to December 2021</w:t>
            </w:r>
          </w:p>
        </w:tc>
        <w:tc>
          <w:tcPr>
            <w:tcW w:w="990" w:type="dxa"/>
          </w:tcPr>
          <w:p w14:paraId="03257BD0" w14:textId="77777777" w:rsidR="00F62AD0" w:rsidRDefault="00000000">
            <w:r>
              <w:t>92.1% (47/51)</w:t>
            </w:r>
          </w:p>
        </w:tc>
        <w:tc>
          <w:tcPr>
            <w:tcW w:w="990" w:type="dxa"/>
          </w:tcPr>
          <w:p w14:paraId="500B8B1E" w14:textId="08FDA925" w:rsidR="00F62AD0" w:rsidRDefault="00000000">
            <w:r>
              <w:t xml:space="preserve">51 </w:t>
            </w:r>
          </w:p>
        </w:tc>
        <w:tc>
          <w:tcPr>
            <w:tcW w:w="1080" w:type="dxa"/>
          </w:tcPr>
          <w:p w14:paraId="65E4CC59" w14:textId="389571AC" w:rsidR="00F62AD0" w:rsidRDefault="00654777">
            <w:r>
              <w:t>-</w:t>
            </w:r>
          </w:p>
        </w:tc>
        <w:tc>
          <w:tcPr>
            <w:tcW w:w="1581" w:type="dxa"/>
          </w:tcPr>
          <w:p w14:paraId="158069FF" w14:textId="77777777" w:rsidR="00F62AD0" w:rsidRDefault="00000000">
            <w:r>
              <w:t xml:space="preserve">PEG-3350, </w:t>
            </w:r>
            <w:proofErr w:type="spellStart"/>
            <w:r>
              <w:t>Normalax</w:t>
            </w:r>
            <w:proofErr w:type="spellEnd"/>
            <w:r>
              <w:t>, methylprednisolone acetate</w:t>
            </w:r>
          </w:p>
        </w:tc>
        <w:tc>
          <w:tcPr>
            <w:tcW w:w="1173" w:type="dxa"/>
          </w:tcPr>
          <w:p w14:paraId="7A6F122E" w14:textId="4D791131" w:rsidR="00F62AD0" w:rsidRDefault="00000000">
            <w:r>
              <w:t xml:space="preserve">Pfizer (BNT162b2), </w:t>
            </w:r>
            <w:r w:rsidR="00654777">
              <w:t>AstraZeneca (</w:t>
            </w:r>
            <w:r>
              <w:t>AZD1222)</w:t>
            </w:r>
          </w:p>
        </w:tc>
        <w:tc>
          <w:tcPr>
            <w:tcW w:w="1167" w:type="dxa"/>
          </w:tcPr>
          <w:p w14:paraId="121977E8" w14:textId="522D0AA5" w:rsidR="00F62AD0" w:rsidRDefault="00B737C6">
            <w:r>
              <w:rPr>
                <w:rFonts w:asciiTheme="minorBidi" w:eastAsia="Aptos" w:hAnsiTheme="minorBidi"/>
                <w:sz w:val="20"/>
                <w:szCs w:val="20"/>
              </w:rPr>
              <w:t>(</w:t>
            </w:r>
            <w:r w:rsidRPr="008C382F">
              <w:rPr>
                <w:rFonts w:asciiTheme="minorBidi" w:eastAsia="Aptos" w:hAnsiTheme="minorBidi"/>
                <w:sz w:val="20"/>
                <w:szCs w:val="20"/>
              </w:rPr>
              <w:t>6</w:t>
            </w:r>
            <w:r>
              <w:rPr>
                <w:rFonts w:asciiTheme="minorBidi" w:eastAsia="Aptos" w:hAnsiTheme="minorBidi"/>
                <w:sz w:val="20"/>
                <w:szCs w:val="20"/>
              </w:rPr>
              <w:t>/</w:t>
            </w:r>
            <w:r w:rsidRPr="008C382F">
              <w:rPr>
                <w:rFonts w:asciiTheme="minorBidi" w:eastAsia="Aptos" w:hAnsiTheme="minorBidi"/>
                <w:sz w:val="20"/>
                <w:szCs w:val="20"/>
              </w:rPr>
              <w:t>51</w:t>
            </w:r>
            <w:r>
              <w:rPr>
                <w:rFonts w:asciiTheme="minorBidi" w:eastAsia="Aptos" w:hAnsiTheme="minorBidi"/>
                <w:sz w:val="20"/>
                <w:szCs w:val="20"/>
              </w:rPr>
              <w:t xml:space="preserve">) </w:t>
            </w:r>
            <w:r w:rsidRPr="008C382F">
              <w:rPr>
                <w:rFonts w:asciiTheme="minorBidi" w:eastAsia="Aptos" w:hAnsiTheme="minorBidi"/>
                <w:sz w:val="20"/>
                <w:szCs w:val="20"/>
              </w:rPr>
              <w:t>11.7%</w:t>
            </w:r>
          </w:p>
        </w:tc>
        <w:tc>
          <w:tcPr>
            <w:tcW w:w="1029" w:type="dxa"/>
          </w:tcPr>
          <w:p w14:paraId="7619C93C" w14:textId="08784423" w:rsidR="00F62AD0" w:rsidRDefault="00654777">
            <w:r>
              <w:t xml:space="preserve">16.6% </w:t>
            </w:r>
            <w:r w:rsidR="002B6A05">
              <w:t>(1/6) reacted to different vaccine</w:t>
            </w:r>
          </w:p>
        </w:tc>
        <w:tc>
          <w:tcPr>
            <w:tcW w:w="1095" w:type="dxa"/>
          </w:tcPr>
          <w:p w14:paraId="61800562" w14:textId="77777777" w:rsidR="00654777" w:rsidRDefault="00654777" w:rsidP="00654777">
            <w:r>
              <w:t xml:space="preserve">83% </w:t>
            </w:r>
          </w:p>
          <w:p w14:paraId="5649E75A" w14:textId="57D74524" w:rsidR="00F62AD0" w:rsidRDefault="00654777" w:rsidP="00654777">
            <w:r>
              <w:t>(</w:t>
            </w:r>
            <w:r w:rsidR="002B6A05">
              <w:t>5/6</w:t>
            </w:r>
            <w:r>
              <w:t>)</w:t>
            </w:r>
            <w:r w:rsidR="002B6A05">
              <w:t xml:space="preserve"> </w:t>
            </w:r>
          </w:p>
        </w:tc>
        <w:tc>
          <w:tcPr>
            <w:tcW w:w="1965" w:type="dxa"/>
          </w:tcPr>
          <w:p w14:paraId="6C3D388A" w14:textId="7E8F1AF1" w:rsidR="00F62AD0" w:rsidRDefault="00654777">
            <w:r>
              <w:t xml:space="preserve">Vaccine IDT </w:t>
            </w:r>
            <w:r w:rsidRPr="008C382F">
              <w:rPr>
                <w:rFonts w:asciiTheme="minorBidi" w:eastAsia="Aptos" w:hAnsiTheme="minorBidi"/>
                <w:sz w:val="20"/>
                <w:szCs w:val="20"/>
              </w:rPr>
              <w:t xml:space="preserve">with either BNT162b2 or AZD1222 vaccine </w:t>
            </w:r>
            <w:r>
              <w:t xml:space="preserve">may identify </w:t>
            </w:r>
            <w:r w:rsidRPr="008C382F">
              <w:rPr>
                <w:rFonts w:asciiTheme="minorBidi" w:eastAsia="Aptos" w:hAnsiTheme="minorBidi"/>
                <w:sz w:val="20"/>
                <w:szCs w:val="20"/>
              </w:rPr>
              <w:t>sensitized patients</w:t>
            </w:r>
            <w:r>
              <w:rPr>
                <w:rFonts w:asciiTheme="minorBidi" w:eastAsia="Aptos" w:hAnsiTheme="minorBidi"/>
                <w:sz w:val="20"/>
                <w:szCs w:val="20"/>
              </w:rPr>
              <w:t>.</w:t>
            </w:r>
          </w:p>
        </w:tc>
      </w:tr>
    </w:tbl>
    <w:p w14:paraId="6AEF1FE2" w14:textId="77777777" w:rsidR="00A348D6" w:rsidRDefault="00A348D6"/>
    <w:p w14:paraId="1B15BB37" w14:textId="77777777" w:rsidR="0026307A" w:rsidRDefault="0026307A" w:rsidP="0026307A"/>
    <w:p w14:paraId="625F5182" w14:textId="77777777" w:rsidR="0026307A" w:rsidRDefault="0026307A" w:rsidP="0026307A"/>
    <w:p w14:paraId="519C0378" w14:textId="77777777" w:rsidR="0026307A" w:rsidRDefault="0026307A" w:rsidP="0026307A"/>
    <w:p w14:paraId="00B54634" w14:textId="7DC6E068" w:rsidR="0026307A" w:rsidRPr="0026307A" w:rsidRDefault="0026307A" w:rsidP="0026307A">
      <w:pPr>
        <w:rPr>
          <w:rFonts w:cstheme="minorHAnsi"/>
        </w:rPr>
      </w:pPr>
      <w:r w:rsidRPr="0026307A">
        <w:rPr>
          <w:rFonts w:cstheme="minorHAnsi"/>
        </w:rPr>
        <w:lastRenderedPageBreak/>
        <w:t>References:</w:t>
      </w:r>
    </w:p>
    <w:p w14:paraId="16B06171" w14:textId="77777777" w:rsidR="0026307A" w:rsidRPr="0026307A" w:rsidRDefault="0026307A" w:rsidP="0026307A">
      <w:pPr>
        <w:pStyle w:val="Bibliography"/>
        <w:jc w:val="both"/>
        <w:rPr>
          <w:rFonts w:cstheme="minorHAnsi"/>
        </w:rPr>
      </w:pPr>
    </w:p>
    <w:p w14:paraId="68830DDB" w14:textId="77777777" w:rsidR="002B0661" w:rsidRPr="002B0661" w:rsidRDefault="00654777" w:rsidP="002B0661">
      <w:pPr>
        <w:pStyle w:val="Bibliography"/>
        <w:jc w:val="both"/>
        <w:rPr>
          <w:rFonts w:ascii="Calibri" w:hAnsi="Calibri" w:cs="Calibri"/>
        </w:rPr>
      </w:pPr>
      <w:r w:rsidRPr="0026307A">
        <w:rPr>
          <w:rFonts w:cstheme="minorHAnsi"/>
        </w:rPr>
        <w:fldChar w:fldCharType="begin"/>
      </w:r>
      <w:r w:rsidRPr="0026307A">
        <w:rPr>
          <w:rFonts w:cstheme="minorHAnsi"/>
        </w:rPr>
        <w:instrText xml:space="preserve"> ADDIN ZOTERO_BIBL {"uncited":[],"omitted":[],"custom":[]} CSL_BIBLIOGRAPHY </w:instrText>
      </w:r>
      <w:r w:rsidRPr="0026307A">
        <w:rPr>
          <w:rFonts w:cstheme="minorHAnsi"/>
        </w:rPr>
        <w:fldChar w:fldCharType="separate"/>
      </w:r>
      <w:r w:rsidR="002B0661" w:rsidRPr="002B0661">
        <w:rPr>
          <w:rFonts w:ascii="Calibri" w:hAnsi="Calibri" w:cs="Calibri"/>
        </w:rPr>
        <w:t>1.</w:t>
      </w:r>
      <w:r w:rsidR="002B0661" w:rsidRPr="002B0661">
        <w:rPr>
          <w:rFonts w:ascii="Calibri" w:hAnsi="Calibri" w:cs="Calibri"/>
        </w:rPr>
        <w:tab/>
        <w:t xml:space="preserve">Wolfson AR, Robinson LB, Li L, McMahon AE, Cogan AS, Fu X, et al. First-Dose mRNA COVID-19 Vaccine Allergic Reactions: Limited Role for Excipient Skin Testing. The Journal of Allergy and Clinical Immunology: In Practice. 2021 Sep;9(9):3308-3320.e3. </w:t>
      </w:r>
    </w:p>
    <w:p w14:paraId="06B778DB" w14:textId="77777777" w:rsidR="002B0661" w:rsidRPr="002B0661" w:rsidRDefault="002B0661" w:rsidP="002B0661">
      <w:pPr>
        <w:pStyle w:val="Bibliography"/>
        <w:jc w:val="both"/>
        <w:rPr>
          <w:rFonts w:ascii="Calibri" w:hAnsi="Calibri" w:cs="Calibri"/>
        </w:rPr>
      </w:pPr>
      <w:r w:rsidRPr="002B0661">
        <w:rPr>
          <w:rFonts w:ascii="Calibri" w:hAnsi="Calibri" w:cs="Calibri"/>
        </w:rPr>
        <w:t>2.</w:t>
      </w:r>
      <w:r w:rsidRPr="002B0661">
        <w:rPr>
          <w:rFonts w:ascii="Calibri" w:hAnsi="Calibri" w:cs="Calibri"/>
        </w:rPr>
        <w:tab/>
      </w:r>
      <w:proofErr w:type="spellStart"/>
      <w:r w:rsidRPr="002B0661">
        <w:rPr>
          <w:rFonts w:ascii="Calibri" w:hAnsi="Calibri" w:cs="Calibri"/>
        </w:rPr>
        <w:t>ALMuhizi</w:t>
      </w:r>
      <w:proofErr w:type="spellEnd"/>
      <w:r w:rsidRPr="002B0661">
        <w:rPr>
          <w:rFonts w:ascii="Calibri" w:hAnsi="Calibri" w:cs="Calibri"/>
        </w:rPr>
        <w:t xml:space="preserve"> F, Fein M, Gabrielli S, Gilbert L, </w:t>
      </w:r>
      <w:proofErr w:type="spellStart"/>
      <w:r w:rsidRPr="002B0661">
        <w:rPr>
          <w:rFonts w:ascii="Calibri" w:hAnsi="Calibri" w:cs="Calibri"/>
        </w:rPr>
        <w:t>Tsoukas</w:t>
      </w:r>
      <w:proofErr w:type="spellEnd"/>
      <w:r w:rsidRPr="002B0661">
        <w:rPr>
          <w:rFonts w:ascii="Calibri" w:hAnsi="Calibri" w:cs="Calibri"/>
        </w:rPr>
        <w:t xml:space="preserve"> C, Ben-Shoshan M, et al. Allergic reactions to the coronavirus disease 2019 vaccine (ARCOV) study. Annals of Allergy, Asthma &amp; Immunology. 2022 Aug;129(2):182-188.e1. </w:t>
      </w:r>
    </w:p>
    <w:p w14:paraId="47A42B6C" w14:textId="77777777" w:rsidR="002B0661" w:rsidRPr="002B0661" w:rsidRDefault="002B0661" w:rsidP="002B0661">
      <w:pPr>
        <w:pStyle w:val="Bibliography"/>
        <w:jc w:val="both"/>
        <w:rPr>
          <w:rFonts w:ascii="Calibri" w:hAnsi="Calibri" w:cs="Calibri"/>
        </w:rPr>
      </w:pPr>
      <w:r w:rsidRPr="002B0661">
        <w:rPr>
          <w:rFonts w:ascii="Calibri" w:hAnsi="Calibri" w:cs="Calibri"/>
        </w:rPr>
        <w:t>3.</w:t>
      </w:r>
      <w:r w:rsidRPr="002B0661">
        <w:rPr>
          <w:rFonts w:ascii="Calibri" w:hAnsi="Calibri" w:cs="Calibri"/>
        </w:rPr>
        <w:tab/>
        <w:t>Otani IM, Tsao LR, Tang M. Coronavirus disease 2019 vaccine administration in patients with reported reactions to polyethylene glycol- and polysorbate-containing therapeutics. Annals of Allergy, Asthma &amp; Immunology. 2022 Jul;129(1):88-</w:t>
      </w:r>
      <w:proofErr w:type="gramStart"/>
      <w:r w:rsidRPr="002B0661">
        <w:rPr>
          <w:rFonts w:ascii="Calibri" w:hAnsi="Calibri" w:cs="Calibri"/>
        </w:rPr>
        <w:t>94.e</w:t>
      </w:r>
      <w:proofErr w:type="gramEnd"/>
      <w:r w:rsidRPr="002B0661">
        <w:rPr>
          <w:rFonts w:ascii="Calibri" w:hAnsi="Calibri" w:cs="Calibri"/>
        </w:rPr>
        <w:t xml:space="preserve">1. </w:t>
      </w:r>
    </w:p>
    <w:p w14:paraId="00229B1D" w14:textId="77777777" w:rsidR="002B0661" w:rsidRPr="002B0661" w:rsidRDefault="002B0661" w:rsidP="002B0661">
      <w:pPr>
        <w:pStyle w:val="Bibliography"/>
        <w:jc w:val="both"/>
        <w:rPr>
          <w:rFonts w:ascii="Calibri" w:hAnsi="Calibri" w:cs="Calibri"/>
        </w:rPr>
      </w:pPr>
      <w:r w:rsidRPr="002B0661">
        <w:rPr>
          <w:rFonts w:ascii="Calibri" w:hAnsi="Calibri" w:cs="Calibri"/>
        </w:rPr>
        <w:t>4.</w:t>
      </w:r>
      <w:r w:rsidRPr="002B0661">
        <w:rPr>
          <w:rFonts w:ascii="Calibri" w:hAnsi="Calibri" w:cs="Calibri"/>
        </w:rPr>
        <w:tab/>
      </w:r>
      <w:proofErr w:type="spellStart"/>
      <w:r w:rsidRPr="002B0661">
        <w:rPr>
          <w:rFonts w:ascii="Calibri" w:hAnsi="Calibri" w:cs="Calibri"/>
        </w:rPr>
        <w:t>Svarca</w:t>
      </w:r>
      <w:proofErr w:type="spellEnd"/>
      <w:r w:rsidRPr="002B0661">
        <w:rPr>
          <w:rFonts w:ascii="Calibri" w:hAnsi="Calibri" w:cs="Calibri"/>
        </w:rPr>
        <w:t xml:space="preserve"> L, </w:t>
      </w:r>
      <w:proofErr w:type="spellStart"/>
      <w:r w:rsidRPr="002B0661">
        <w:rPr>
          <w:rFonts w:ascii="Calibri" w:hAnsi="Calibri" w:cs="Calibri"/>
        </w:rPr>
        <w:t>Bojadzieva</w:t>
      </w:r>
      <w:proofErr w:type="spellEnd"/>
      <w:r w:rsidRPr="002B0661">
        <w:rPr>
          <w:rFonts w:ascii="Calibri" w:hAnsi="Calibri" w:cs="Calibri"/>
        </w:rPr>
        <w:t xml:space="preserve"> S, </w:t>
      </w:r>
      <w:proofErr w:type="spellStart"/>
      <w:r w:rsidRPr="002B0661">
        <w:rPr>
          <w:rFonts w:ascii="Calibri" w:hAnsi="Calibri" w:cs="Calibri"/>
        </w:rPr>
        <w:t>Rashiti</w:t>
      </w:r>
      <w:proofErr w:type="spellEnd"/>
      <w:r w:rsidRPr="002B0661">
        <w:rPr>
          <w:rFonts w:ascii="Calibri" w:hAnsi="Calibri" w:cs="Calibri"/>
        </w:rPr>
        <w:t xml:space="preserve"> P, </w:t>
      </w:r>
      <w:proofErr w:type="spellStart"/>
      <w:r w:rsidRPr="002B0661">
        <w:rPr>
          <w:rFonts w:ascii="Calibri" w:hAnsi="Calibri" w:cs="Calibri"/>
        </w:rPr>
        <w:t>Rashiti</w:t>
      </w:r>
      <w:proofErr w:type="spellEnd"/>
      <w:r w:rsidRPr="002B0661">
        <w:rPr>
          <w:rFonts w:ascii="Calibri" w:hAnsi="Calibri" w:cs="Calibri"/>
        </w:rPr>
        <w:t xml:space="preserve"> </w:t>
      </w:r>
      <w:proofErr w:type="spellStart"/>
      <w:r w:rsidRPr="002B0661">
        <w:rPr>
          <w:rFonts w:ascii="Calibri" w:hAnsi="Calibri" w:cs="Calibri"/>
        </w:rPr>
        <w:t>Bytyci</w:t>
      </w:r>
      <w:proofErr w:type="spellEnd"/>
      <w:r w:rsidRPr="002B0661">
        <w:rPr>
          <w:rFonts w:ascii="Calibri" w:hAnsi="Calibri" w:cs="Calibri"/>
        </w:rPr>
        <w:t xml:space="preserve"> A. ALLERGIC REACTIONS WITH SKIN PRICK TEST AND INTRADERMAL TEST FROM THE ANTI COVID 19 VACCINES AT PATIENTS WITH HIGH RISK FOR HYPERSENSITIVITY OUR EXPERIENCE. JMS. 2024;7(1):67–76. </w:t>
      </w:r>
    </w:p>
    <w:p w14:paraId="4AA568F2" w14:textId="77777777" w:rsidR="002B0661" w:rsidRPr="002B0661" w:rsidRDefault="002B0661" w:rsidP="002B0661">
      <w:pPr>
        <w:pStyle w:val="Bibliography"/>
        <w:jc w:val="both"/>
        <w:rPr>
          <w:rFonts w:ascii="Calibri" w:hAnsi="Calibri" w:cs="Calibri"/>
        </w:rPr>
      </w:pPr>
      <w:r w:rsidRPr="002B0661">
        <w:rPr>
          <w:rFonts w:ascii="Calibri" w:hAnsi="Calibri" w:cs="Calibri"/>
        </w:rPr>
        <w:t>5.</w:t>
      </w:r>
      <w:r w:rsidRPr="002B0661">
        <w:rPr>
          <w:rFonts w:ascii="Calibri" w:hAnsi="Calibri" w:cs="Calibri"/>
        </w:rPr>
        <w:tab/>
        <w:t xml:space="preserve">Vidal Oribe I, Venturini Díaz M, Hernández Alfonso P, Del Pozo Gil M, González </w:t>
      </w:r>
      <w:proofErr w:type="spellStart"/>
      <w:r w:rsidRPr="002B0661">
        <w:rPr>
          <w:rFonts w:ascii="Calibri" w:hAnsi="Calibri" w:cs="Calibri"/>
        </w:rPr>
        <w:t>Mahave</w:t>
      </w:r>
      <w:proofErr w:type="spellEnd"/>
      <w:r w:rsidRPr="002B0661">
        <w:rPr>
          <w:rFonts w:ascii="Calibri" w:hAnsi="Calibri" w:cs="Calibri"/>
        </w:rPr>
        <w:t xml:space="preserve"> I, Lobera </w:t>
      </w:r>
      <w:proofErr w:type="spellStart"/>
      <w:r w:rsidRPr="002B0661">
        <w:rPr>
          <w:rFonts w:ascii="Calibri" w:hAnsi="Calibri" w:cs="Calibri"/>
        </w:rPr>
        <w:t>Labairu</w:t>
      </w:r>
      <w:proofErr w:type="spellEnd"/>
      <w:r w:rsidRPr="002B0661">
        <w:rPr>
          <w:rFonts w:ascii="Calibri" w:hAnsi="Calibri" w:cs="Calibri"/>
        </w:rPr>
        <w:t xml:space="preserve"> T. Tolerance to SARS CoV-2 Vaccines Containing Polyethylene Glycol in Patients Allergic to Polysorbate 80. J </w:t>
      </w:r>
      <w:proofErr w:type="spellStart"/>
      <w:r w:rsidRPr="002B0661">
        <w:rPr>
          <w:rFonts w:ascii="Calibri" w:hAnsi="Calibri" w:cs="Calibri"/>
        </w:rPr>
        <w:t>Investig</w:t>
      </w:r>
      <w:proofErr w:type="spellEnd"/>
      <w:r w:rsidRPr="002B0661">
        <w:rPr>
          <w:rFonts w:ascii="Calibri" w:hAnsi="Calibri" w:cs="Calibri"/>
        </w:rPr>
        <w:t xml:space="preserve"> </w:t>
      </w:r>
      <w:proofErr w:type="spellStart"/>
      <w:r w:rsidRPr="002B0661">
        <w:rPr>
          <w:rFonts w:ascii="Calibri" w:hAnsi="Calibri" w:cs="Calibri"/>
        </w:rPr>
        <w:t>Allergol</w:t>
      </w:r>
      <w:proofErr w:type="spellEnd"/>
      <w:r w:rsidRPr="002B0661">
        <w:rPr>
          <w:rFonts w:ascii="Calibri" w:hAnsi="Calibri" w:cs="Calibri"/>
        </w:rPr>
        <w:t xml:space="preserve"> Clin Immunol. 2022 Oct 10;32(5):403–5. </w:t>
      </w:r>
    </w:p>
    <w:p w14:paraId="46B7FBB5" w14:textId="77777777" w:rsidR="002B0661" w:rsidRPr="002B0661" w:rsidRDefault="002B0661" w:rsidP="002B0661">
      <w:pPr>
        <w:pStyle w:val="Bibliography"/>
        <w:jc w:val="both"/>
        <w:rPr>
          <w:rFonts w:ascii="Calibri" w:hAnsi="Calibri" w:cs="Calibri"/>
        </w:rPr>
      </w:pPr>
      <w:r w:rsidRPr="002B0661">
        <w:rPr>
          <w:rFonts w:ascii="Calibri" w:hAnsi="Calibri" w:cs="Calibri"/>
        </w:rPr>
        <w:t>6.</w:t>
      </w:r>
      <w:r w:rsidRPr="002B0661">
        <w:rPr>
          <w:rFonts w:ascii="Calibri" w:hAnsi="Calibri" w:cs="Calibri"/>
        </w:rPr>
        <w:tab/>
        <w:t xml:space="preserve">Pitlick MM, Sitek AN, </w:t>
      </w:r>
      <w:proofErr w:type="spellStart"/>
      <w:r w:rsidRPr="002B0661">
        <w:rPr>
          <w:rFonts w:ascii="Calibri" w:hAnsi="Calibri" w:cs="Calibri"/>
        </w:rPr>
        <w:t>D’Netto</w:t>
      </w:r>
      <w:proofErr w:type="spellEnd"/>
      <w:r w:rsidRPr="002B0661">
        <w:rPr>
          <w:rFonts w:ascii="Calibri" w:hAnsi="Calibri" w:cs="Calibri"/>
        </w:rPr>
        <w:t xml:space="preserve"> ME, Dages KN, Chiarella SE, Gonzalez-Estrada A, et al. Utility and futility of skin testing to address concerns surrounding messenger RNA coronavirus disease 2019 vaccine reactions. Annals of Allergy, Asthma &amp; Immunology. 2022 Feb;128(2):153–60. </w:t>
      </w:r>
    </w:p>
    <w:p w14:paraId="1B403748" w14:textId="77777777" w:rsidR="002B0661" w:rsidRPr="002B0661" w:rsidRDefault="002B0661" w:rsidP="002B0661">
      <w:pPr>
        <w:pStyle w:val="Bibliography"/>
        <w:jc w:val="both"/>
        <w:rPr>
          <w:rFonts w:ascii="Calibri" w:hAnsi="Calibri" w:cs="Calibri"/>
        </w:rPr>
      </w:pPr>
      <w:r w:rsidRPr="002B0661">
        <w:rPr>
          <w:rFonts w:ascii="Calibri" w:hAnsi="Calibri" w:cs="Calibri"/>
        </w:rPr>
        <w:t>7.</w:t>
      </w:r>
      <w:r w:rsidRPr="002B0661">
        <w:rPr>
          <w:rFonts w:ascii="Calibri" w:hAnsi="Calibri" w:cs="Calibri"/>
        </w:rPr>
        <w:tab/>
        <w:t xml:space="preserve">Shavit R, Maoz-Segal R, </w:t>
      </w:r>
      <w:proofErr w:type="spellStart"/>
      <w:r w:rsidRPr="002B0661">
        <w:rPr>
          <w:rFonts w:ascii="Calibri" w:hAnsi="Calibri" w:cs="Calibri"/>
        </w:rPr>
        <w:t>Offengenden</w:t>
      </w:r>
      <w:proofErr w:type="spellEnd"/>
      <w:r w:rsidRPr="002B0661">
        <w:rPr>
          <w:rFonts w:ascii="Calibri" w:hAnsi="Calibri" w:cs="Calibri"/>
        </w:rPr>
        <w:t xml:space="preserve"> I, Yahia SH, Maayan DM, Lifshitz Y, et al. Assessment of Immediate Allergic Reactions After Immunization </w:t>
      </w:r>
      <w:proofErr w:type="gramStart"/>
      <w:r w:rsidRPr="002B0661">
        <w:rPr>
          <w:rFonts w:ascii="Calibri" w:hAnsi="Calibri" w:cs="Calibri"/>
        </w:rPr>
        <w:t>With</w:t>
      </w:r>
      <w:proofErr w:type="gramEnd"/>
      <w:r w:rsidRPr="002B0661">
        <w:rPr>
          <w:rFonts w:ascii="Calibri" w:hAnsi="Calibri" w:cs="Calibri"/>
        </w:rPr>
        <w:t xml:space="preserve"> the Pfizer BNT162b2 Vaccine Using Intradermal Skin Testing With the COVID-19 Vaccines. The Journal of Allergy and Clinical Immunology: In Practice. 2022 Oct;10(10):2677–84. </w:t>
      </w:r>
    </w:p>
    <w:p w14:paraId="25F31F54" w14:textId="19DA2E50" w:rsidR="00654777" w:rsidRDefault="00654777" w:rsidP="00654777">
      <w:r w:rsidRPr="0026307A">
        <w:rPr>
          <w:rFonts w:cstheme="minorHAnsi"/>
        </w:rPr>
        <w:fldChar w:fldCharType="end"/>
      </w:r>
    </w:p>
    <w:sectPr w:rsidR="00654777" w:rsidSect="00E37B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D39F2" w14:textId="77777777" w:rsidR="003530C7" w:rsidRDefault="003530C7" w:rsidP="00E37BD4">
      <w:pPr>
        <w:spacing w:after="0" w:line="240" w:lineRule="auto"/>
      </w:pPr>
      <w:r>
        <w:separator/>
      </w:r>
    </w:p>
  </w:endnote>
  <w:endnote w:type="continuationSeparator" w:id="0">
    <w:p w14:paraId="6626F623" w14:textId="77777777" w:rsidR="003530C7" w:rsidRDefault="003530C7" w:rsidP="00E3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670CA" w14:textId="77777777" w:rsidR="003530C7" w:rsidRDefault="003530C7" w:rsidP="00E37BD4">
      <w:pPr>
        <w:spacing w:after="0" w:line="240" w:lineRule="auto"/>
      </w:pPr>
      <w:r>
        <w:separator/>
      </w:r>
    </w:p>
  </w:footnote>
  <w:footnote w:type="continuationSeparator" w:id="0">
    <w:p w14:paraId="41E6B5D4" w14:textId="77777777" w:rsidR="003530C7" w:rsidRDefault="003530C7" w:rsidP="00E3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2397"/>
    <w:multiLevelType w:val="hybridMultilevel"/>
    <w:tmpl w:val="938A8CFE"/>
    <w:lvl w:ilvl="0" w:tplc="9D3689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0AB4"/>
    <w:multiLevelType w:val="hybridMultilevel"/>
    <w:tmpl w:val="735053E2"/>
    <w:lvl w:ilvl="0" w:tplc="82C408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853C4"/>
    <w:multiLevelType w:val="hybridMultilevel"/>
    <w:tmpl w:val="E7E2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D167D"/>
    <w:multiLevelType w:val="hybridMultilevel"/>
    <w:tmpl w:val="50DC6842"/>
    <w:lvl w:ilvl="0" w:tplc="AC409EA2">
      <w:start w:val="66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675101">
    <w:abstractNumId w:val="2"/>
  </w:num>
  <w:num w:numId="2" w16cid:durableId="738938940">
    <w:abstractNumId w:val="3"/>
  </w:num>
  <w:num w:numId="3" w16cid:durableId="1550872172">
    <w:abstractNumId w:val="1"/>
  </w:num>
  <w:num w:numId="4" w16cid:durableId="146835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D4"/>
    <w:rsid w:val="000459DE"/>
    <w:rsid w:val="00054611"/>
    <w:rsid w:val="0005643D"/>
    <w:rsid w:val="00095DA6"/>
    <w:rsid w:val="000A7A96"/>
    <w:rsid w:val="000C48B8"/>
    <w:rsid w:val="000F62AD"/>
    <w:rsid w:val="00105780"/>
    <w:rsid w:val="0012606D"/>
    <w:rsid w:val="001474FD"/>
    <w:rsid w:val="0015745C"/>
    <w:rsid w:val="00170190"/>
    <w:rsid w:val="00171C08"/>
    <w:rsid w:val="00186EC5"/>
    <w:rsid w:val="001926B9"/>
    <w:rsid w:val="00193C91"/>
    <w:rsid w:val="00195F73"/>
    <w:rsid w:val="001B1B2A"/>
    <w:rsid w:val="001B5697"/>
    <w:rsid w:val="00212259"/>
    <w:rsid w:val="00243084"/>
    <w:rsid w:val="002476ED"/>
    <w:rsid w:val="00257CEC"/>
    <w:rsid w:val="00257D56"/>
    <w:rsid w:val="00260D3E"/>
    <w:rsid w:val="0026307A"/>
    <w:rsid w:val="002B0661"/>
    <w:rsid w:val="002B0AAA"/>
    <w:rsid w:val="002B6A05"/>
    <w:rsid w:val="002F2C63"/>
    <w:rsid w:val="00305E9F"/>
    <w:rsid w:val="00336CBD"/>
    <w:rsid w:val="003530C7"/>
    <w:rsid w:val="00355FE5"/>
    <w:rsid w:val="0036462B"/>
    <w:rsid w:val="00372C80"/>
    <w:rsid w:val="003802A8"/>
    <w:rsid w:val="0039269C"/>
    <w:rsid w:val="003A086C"/>
    <w:rsid w:val="003C7DE7"/>
    <w:rsid w:val="004214A0"/>
    <w:rsid w:val="00422D0E"/>
    <w:rsid w:val="0042658C"/>
    <w:rsid w:val="00434CAC"/>
    <w:rsid w:val="0046124B"/>
    <w:rsid w:val="004C222E"/>
    <w:rsid w:val="004E31DD"/>
    <w:rsid w:val="00570C94"/>
    <w:rsid w:val="005822EB"/>
    <w:rsid w:val="00583A68"/>
    <w:rsid w:val="005A3C8B"/>
    <w:rsid w:val="005E4A71"/>
    <w:rsid w:val="00631F4B"/>
    <w:rsid w:val="00654777"/>
    <w:rsid w:val="00654F2F"/>
    <w:rsid w:val="00666763"/>
    <w:rsid w:val="006B395E"/>
    <w:rsid w:val="006D686A"/>
    <w:rsid w:val="00720E79"/>
    <w:rsid w:val="00741DC4"/>
    <w:rsid w:val="00743FC4"/>
    <w:rsid w:val="007534FE"/>
    <w:rsid w:val="00754476"/>
    <w:rsid w:val="00774B0E"/>
    <w:rsid w:val="00785B4B"/>
    <w:rsid w:val="007C0B37"/>
    <w:rsid w:val="007E724D"/>
    <w:rsid w:val="00871214"/>
    <w:rsid w:val="0087171B"/>
    <w:rsid w:val="00891330"/>
    <w:rsid w:val="008A5665"/>
    <w:rsid w:val="008B2E94"/>
    <w:rsid w:val="008C382F"/>
    <w:rsid w:val="008C6D4A"/>
    <w:rsid w:val="00913A7F"/>
    <w:rsid w:val="00925D2D"/>
    <w:rsid w:val="00962B67"/>
    <w:rsid w:val="0097448B"/>
    <w:rsid w:val="009914D3"/>
    <w:rsid w:val="009948E8"/>
    <w:rsid w:val="009D63F0"/>
    <w:rsid w:val="00A22092"/>
    <w:rsid w:val="00A25D20"/>
    <w:rsid w:val="00A348D6"/>
    <w:rsid w:val="00A4741F"/>
    <w:rsid w:val="00A763F2"/>
    <w:rsid w:val="00A86D6A"/>
    <w:rsid w:val="00A875EE"/>
    <w:rsid w:val="00A877AA"/>
    <w:rsid w:val="00A93CB1"/>
    <w:rsid w:val="00AD489F"/>
    <w:rsid w:val="00AF479F"/>
    <w:rsid w:val="00B737C6"/>
    <w:rsid w:val="00B82D3D"/>
    <w:rsid w:val="00BB3A62"/>
    <w:rsid w:val="00BB4B87"/>
    <w:rsid w:val="00C2323A"/>
    <w:rsid w:val="00C35EDE"/>
    <w:rsid w:val="00C37848"/>
    <w:rsid w:val="00C5205A"/>
    <w:rsid w:val="00C60D74"/>
    <w:rsid w:val="00C721E0"/>
    <w:rsid w:val="00C73F4A"/>
    <w:rsid w:val="00C83317"/>
    <w:rsid w:val="00C92209"/>
    <w:rsid w:val="00C964C0"/>
    <w:rsid w:val="00CB6CBD"/>
    <w:rsid w:val="00CF1991"/>
    <w:rsid w:val="00D022BA"/>
    <w:rsid w:val="00D11E8C"/>
    <w:rsid w:val="00D61EB1"/>
    <w:rsid w:val="00DD2521"/>
    <w:rsid w:val="00E37BD4"/>
    <w:rsid w:val="00E40E04"/>
    <w:rsid w:val="00EE342C"/>
    <w:rsid w:val="00EF1444"/>
    <w:rsid w:val="00F178D5"/>
    <w:rsid w:val="00F35A8F"/>
    <w:rsid w:val="00F4444A"/>
    <w:rsid w:val="00F564EE"/>
    <w:rsid w:val="00F62AD0"/>
    <w:rsid w:val="00F65435"/>
    <w:rsid w:val="00FB0815"/>
    <w:rsid w:val="00FB5569"/>
    <w:rsid w:val="00FC1287"/>
    <w:rsid w:val="00F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22954"/>
  <w15:chartTrackingRefBased/>
  <w15:docId w15:val="{66E16E23-3741-4E7C-92E0-5A008BC9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BD4"/>
  </w:style>
  <w:style w:type="paragraph" w:styleId="Footer">
    <w:name w:val="footer"/>
    <w:basedOn w:val="Normal"/>
    <w:link w:val="FooterChar"/>
    <w:uiPriority w:val="99"/>
    <w:unhideWhenUsed/>
    <w:rsid w:val="00E37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BD4"/>
  </w:style>
  <w:style w:type="table" w:styleId="TableGrid">
    <w:name w:val="Table Grid"/>
    <w:basedOn w:val="TableNormal"/>
    <w:uiPriority w:val="39"/>
    <w:rsid w:val="00E3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1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1E0"/>
    <w:rPr>
      <w:color w:val="605E5C"/>
      <w:shd w:val="clear" w:color="auto" w:fill="E1DFDD"/>
    </w:rPr>
  </w:style>
  <w:style w:type="character" w:customStyle="1" w:styleId="author-sup-separator">
    <w:name w:val="author-sup-separator"/>
    <w:basedOn w:val="DefaultParagraphFont"/>
    <w:rsid w:val="000F62AD"/>
  </w:style>
  <w:style w:type="paragraph" w:styleId="Bibliography">
    <w:name w:val="Bibliography"/>
    <w:basedOn w:val="Normal"/>
    <w:next w:val="Normal"/>
    <w:uiPriority w:val="37"/>
    <w:unhideWhenUsed/>
    <w:rsid w:val="00785B4B"/>
    <w:pPr>
      <w:tabs>
        <w:tab w:val="left" w:pos="264"/>
      </w:tabs>
      <w:spacing w:after="240" w:line="240" w:lineRule="auto"/>
      <w:ind w:left="264" w:hanging="264"/>
    </w:pPr>
  </w:style>
  <w:style w:type="paragraph" w:customStyle="1" w:styleId="pf0">
    <w:name w:val="pf0"/>
    <w:basedOn w:val="Normal"/>
    <w:rsid w:val="0014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1474FD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3f5887-035d-4765-8d10-97aaac8deb4a}" enabled="1" method="Standard" siteId="{f08ae827-76a0-4eda-8325-df208f3835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3919</TotalTime>
  <Pages>3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Tayseer Abbas</dc:creator>
  <cp:keywords/>
  <dc:description/>
  <cp:lastModifiedBy>Dana  Abou El Wafa</cp:lastModifiedBy>
  <cp:revision>6</cp:revision>
  <dcterms:created xsi:type="dcterms:W3CDTF">2024-12-15T09:17:00Z</dcterms:created>
  <dcterms:modified xsi:type="dcterms:W3CDTF">2024-12-18T16:40:00Z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id="dMmp2zOJ"/&gt;&lt;style id="http://www.zotero.org/styles/vancouver" locale="en-US" hasBibliography="1" bibliographyStyleHasBeenSet="1"/&gt;&lt;prefs&gt;&lt;pref name="fieldType" value="Field"/&gt;&lt;/prefs&gt;&lt;/data&gt;</vt:lpwstr>
  </property>
  <property fmtid="{D5CDD505-2E9C-101B-9397-08002B2CF9AE}" pid="3" name="GrammarlyDocumentId">
    <vt:lpwstr>787d9fb2d427b3753f99008df0ce73c02c0ce01bc7f84f5b9dd438bfa04a2e1c</vt:lpwstr>
  </property>
</Properties>
</file>