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r w:rsidRPr="001549D3">
        <w:t>Supplementary Material</w:t>
      </w:r>
    </w:p>
    <w:p w14:paraId="29026311" w14:textId="77777777" w:rsidR="00EA3D3C" w:rsidRDefault="00654E8F" w:rsidP="0001436A">
      <w:pPr>
        <w:pStyle w:val="Heading1"/>
      </w:pPr>
      <w:r w:rsidRPr="00994A3D">
        <w:t>Supplementary Data</w:t>
      </w:r>
    </w:p>
    <w:p w14:paraId="185EE0EC" w14:textId="507F2D1F" w:rsidR="00154F31" w:rsidRDefault="00154F31" w:rsidP="00154F31">
      <w:pPr>
        <w:pStyle w:val="Heading2"/>
      </w:pPr>
      <w:r w:rsidRPr="00154F31">
        <w:t>Data Extraction Tool</w:t>
      </w:r>
    </w:p>
    <w:p w14:paraId="464E0F70" w14:textId="78D70702" w:rsidR="00E56CD2" w:rsidRPr="00E56CD2" w:rsidRDefault="00E56CD2" w:rsidP="00E56CD2">
      <w:r>
        <w:t xml:space="preserve">During the data extraction phase of the review, the </w:t>
      </w:r>
      <w:r w:rsidR="00D30AFF">
        <w:t xml:space="preserve">tool below was used to extract data from each publication included in the review. </w:t>
      </w:r>
      <w:r w:rsidR="00DB2DA0">
        <w:t xml:space="preserve">The tool was </w:t>
      </w:r>
      <w:r w:rsidR="00CB6FA7">
        <w:t>incorporated into</w:t>
      </w:r>
      <w:r w:rsidR="00DB2DA0">
        <w:t xml:space="preserve"> Covidence, a systematic review management softwar</w:t>
      </w:r>
      <w:r w:rsidR="005516DB">
        <w:t xml:space="preserve">e </w:t>
      </w:r>
      <w:sdt>
        <w:sdtPr>
          <w:rPr>
            <w:color w:val="000000"/>
          </w:rPr>
          <w:tag w:val="MENDELEY_CITATION_v3_eyJjaXRhdGlvbklEIjoiTUVOREVMRVlfQ0lUQVRJT05fMzM0ZGU2NGItMjRiMS00NTFkLWEyODctMzY2ZTEwYzc1M2ZlIiwicHJvcGVydGllcyI6eyJub3RlSW5kZXgiOjB9LCJpc0VkaXRlZCI6ZmFsc2UsIm1hbnVhbE92ZXJyaWRlIjp7ImlzTWFudWFsbHlPdmVycmlkZGVuIjpmYWxzZSwiY2l0ZXByb2NUZXh0IjoiKDEpIiwibWFudWFsT3ZlcnJpZGVUZXh0IjoiIn0sImNpdGF0aW9uSXRlbXMiOlt7ImlkIjoiNWU2ZmE5MDktODQyNy0zYTQ0LThiMGEtZDZkZDQ0Zjk0NDQ5IiwiaXRlbURhdGEiOnsidHlwZSI6ImFydGljbGUiLCJpZCI6IjVlNmZhOTA5LTg0MjctM2E0NC04YjBhLWQ2ZGQ0NGY5NDQ0OSIsInRpdGxlIjoiQ292aWRlbmNlIHN5c3RlbWF0aWMgcmV2aWV3IHNvZnR3YXJlIiwicHVibGlzaGVyIjoiVmVyaXRhcyBIZWFsdGggSW5ub3ZhdGlvbiwgTWVsYm91cm5lLCBBdXN0cmFsaWEsIEF2YWlsYWJsZSBhdCB3d3cuY292aWRlbmNlLm9yZyIsImNvbnRhaW5lci10aXRsZS1zaG9ydCI6IiJ9LCJpc1RlbXBvcmFyeSI6ZmFsc2V9XX0="/>
          <w:id w:val="274912391"/>
          <w:placeholder>
            <w:docPart w:val="DefaultPlaceholder_-1854013440"/>
          </w:placeholder>
        </w:sdtPr>
        <w:sdtContent>
          <w:r w:rsidR="00F04E9F" w:rsidRPr="00F04E9F">
            <w:rPr>
              <w:color w:val="000000"/>
            </w:rPr>
            <w:t>(1)</w:t>
          </w:r>
        </w:sdtContent>
      </w:sdt>
      <w:r w:rsidR="005516DB">
        <w:t xml:space="preserve">. </w:t>
      </w:r>
      <w:r w:rsidR="00D30AFF">
        <w:t xml:space="preserve">For each included publication, two reviewers (J.B.W. and D.A.I.) independently </w:t>
      </w:r>
      <w:r w:rsidR="00E20854">
        <w:t xml:space="preserve">extracted </w:t>
      </w:r>
      <w:r w:rsidR="00D30AFF">
        <w:t>data that fell into one of the categories listed below and recorded this data under the appropriate category in the data extraction tool</w:t>
      </w:r>
      <w:r w:rsidR="005516DB">
        <w:t>.</w:t>
      </w:r>
      <w:r w:rsidR="00D30AFF">
        <w:t xml:space="preserve"> After both reviewers completed this process for all included articles, the same two reviewers met to ensure that the</w:t>
      </w:r>
      <w:r w:rsidR="00DB2DA0">
        <w:t>re was a consensus regarding the</w:t>
      </w:r>
      <w:r w:rsidR="00D30AFF">
        <w:t xml:space="preserve"> data </w:t>
      </w:r>
      <w:r w:rsidR="00DB2DA0">
        <w:t>listed under each category for each publication.</w:t>
      </w:r>
    </w:p>
    <w:p w14:paraId="6766BDDF" w14:textId="77777777" w:rsidR="00154F31" w:rsidRPr="005E59A8" w:rsidRDefault="00154F31" w:rsidP="00154F31">
      <w:pPr>
        <w:numPr>
          <w:ilvl w:val="0"/>
          <w:numId w:val="39"/>
        </w:numPr>
        <w:spacing w:before="0" w:after="160" w:line="360" w:lineRule="auto"/>
        <w:textAlignment w:val="baseline"/>
        <w:rPr>
          <w:rFonts w:eastAsia="Times New Roman" w:cs="Times New Roman"/>
          <w:color w:val="000000"/>
        </w:rPr>
      </w:pPr>
      <w:r w:rsidRPr="005E59A8">
        <w:rPr>
          <w:rFonts w:eastAsia="Times New Roman" w:cs="Times New Roman"/>
          <w:color w:val="000000"/>
        </w:rPr>
        <w:t>Study design</w:t>
      </w:r>
    </w:p>
    <w:p w14:paraId="6B8F1243" w14:textId="77777777" w:rsidR="00154F31" w:rsidRPr="005E59A8" w:rsidRDefault="00154F31" w:rsidP="00154F31">
      <w:pPr>
        <w:pStyle w:val="ListParagraph"/>
        <w:numPr>
          <w:ilvl w:val="0"/>
          <w:numId w:val="49"/>
        </w:numPr>
        <w:spacing w:before="0" w:after="160" w:line="360" w:lineRule="auto"/>
        <w:textAlignment w:val="baseline"/>
        <w:rPr>
          <w:rFonts w:eastAsia="Times New Roman"/>
          <w:color w:val="000000"/>
        </w:rPr>
      </w:pPr>
      <w:r w:rsidRPr="005E59A8">
        <w:rPr>
          <w:rFonts w:eastAsia="Times New Roman"/>
          <w:color w:val="000000"/>
        </w:rPr>
        <w:t>Cross-sectional versus longitudinal study</w:t>
      </w:r>
    </w:p>
    <w:p w14:paraId="6ABC9703" w14:textId="77777777" w:rsidR="00154F31" w:rsidRPr="005E59A8" w:rsidRDefault="00154F31" w:rsidP="00154F31">
      <w:pPr>
        <w:pStyle w:val="ListParagraph"/>
        <w:numPr>
          <w:ilvl w:val="0"/>
          <w:numId w:val="49"/>
        </w:numPr>
        <w:spacing w:before="0" w:after="160" w:line="360" w:lineRule="auto"/>
        <w:textAlignment w:val="baseline"/>
        <w:rPr>
          <w:rFonts w:eastAsia="Times New Roman"/>
          <w:color w:val="000000"/>
        </w:rPr>
      </w:pPr>
      <w:r w:rsidRPr="005E59A8">
        <w:rPr>
          <w:rFonts w:eastAsia="Times New Roman"/>
          <w:color w:val="000000"/>
        </w:rPr>
        <w:t>Observational and/or interventional study</w:t>
      </w:r>
    </w:p>
    <w:p w14:paraId="5FFA45E6" w14:textId="77777777" w:rsidR="00154F31" w:rsidRPr="005E59A8" w:rsidRDefault="00154F31" w:rsidP="00154F31">
      <w:pPr>
        <w:pStyle w:val="ListParagraph"/>
        <w:numPr>
          <w:ilvl w:val="0"/>
          <w:numId w:val="49"/>
        </w:numPr>
        <w:spacing w:before="0" w:after="160" w:line="360" w:lineRule="auto"/>
        <w:textAlignment w:val="baseline"/>
        <w:rPr>
          <w:rFonts w:eastAsia="Times New Roman"/>
          <w:color w:val="000000"/>
        </w:rPr>
      </w:pPr>
      <w:r w:rsidRPr="005E59A8">
        <w:rPr>
          <w:rFonts w:eastAsia="Times New Roman"/>
          <w:color w:val="000000"/>
        </w:rPr>
        <w:t>Study clinical assessment methods</w:t>
      </w:r>
    </w:p>
    <w:p w14:paraId="1F587368" w14:textId="77777777" w:rsidR="00154F31" w:rsidRPr="005E59A8" w:rsidRDefault="00154F31" w:rsidP="00154F31">
      <w:pPr>
        <w:pStyle w:val="ListParagraph"/>
        <w:numPr>
          <w:ilvl w:val="1"/>
          <w:numId w:val="49"/>
        </w:numPr>
        <w:spacing w:before="0" w:after="160" w:line="360" w:lineRule="auto"/>
        <w:textAlignment w:val="baseline"/>
        <w:rPr>
          <w:rFonts w:eastAsia="Times New Roman"/>
          <w:color w:val="000000"/>
        </w:rPr>
      </w:pPr>
      <w:r w:rsidRPr="005E59A8">
        <w:rPr>
          <w:rFonts w:eastAsia="Times New Roman"/>
          <w:color w:val="000000"/>
        </w:rPr>
        <w:t>Method of tic disorder diagnosis (e.g., self-report, clinician diagnosed)</w:t>
      </w:r>
    </w:p>
    <w:p w14:paraId="1F501102" w14:textId="77777777" w:rsidR="00154F31" w:rsidRPr="005E59A8" w:rsidRDefault="00154F31" w:rsidP="00154F31">
      <w:pPr>
        <w:pStyle w:val="ListParagraph"/>
        <w:numPr>
          <w:ilvl w:val="1"/>
          <w:numId w:val="49"/>
        </w:numPr>
        <w:spacing w:before="0" w:after="160" w:line="360" w:lineRule="auto"/>
        <w:textAlignment w:val="baseline"/>
        <w:rPr>
          <w:rFonts w:eastAsia="Times New Roman"/>
          <w:color w:val="000000"/>
        </w:rPr>
      </w:pPr>
      <w:r w:rsidRPr="005E59A8">
        <w:rPr>
          <w:rFonts w:eastAsia="Times New Roman"/>
          <w:color w:val="000000"/>
        </w:rPr>
        <w:t>Rating scales used</w:t>
      </w:r>
    </w:p>
    <w:p w14:paraId="5DA9445B" w14:textId="77777777" w:rsidR="00154F31" w:rsidRDefault="00154F31" w:rsidP="00154F31">
      <w:pPr>
        <w:pStyle w:val="ListParagraph"/>
        <w:numPr>
          <w:ilvl w:val="0"/>
          <w:numId w:val="49"/>
        </w:numPr>
        <w:spacing w:before="0" w:after="160" w:line="360" w:lineRule="auto"/>
        <w:textAlignment w:val="baseline"/>
        <w:rPr>
          <w:rFonts w:eastAsia="Times New Roman"/>
          <w:color w:val="000000"/>
        </w:rPr>
      </w:pPr>
      <w:r w:rsidRPr="005E59A8">
        <w:rPr>
          <w:rFonts w:eastAsia="Times New Roman"/>
          <w:color w:val="000000"/>
        </w:rPr>
        <w:t>Presence/characteristics of a control group</w:t>
      </w:r>
    </w:p>
    <w:p w14:paraId="1ED23EEB" w14:textId="7E6EEF6C" w:rsidR="00154F31" w:rsidRPr="00154F31" w:rsidRDefault="00154F31" w:rsidP="00154F31">
      <w:pPr>
        <w:pStyle w:val="ListParagraph"/>
        <w:numPr>
          <w:ilvl w:val="0"/>
          <w:numId w:val="49"/>
        </w:numPr>
        <w:spacing w:before="0" w:after="160" w:line="360" w:lineRule="auto"/>
        <w:textAlignment w:val="baseline"/>
        <w:rPr>
          <w:rFonts w:eastAsia="Times New Roman"/>
          <w:color w:val="000000"/>
        </w:rPr>
      </w:pPr>
      <w:r>
        <w:rPr>
          <w:rFonts w:eastAsia="Times New Roman"/>
          <w:color w:val="000000"/>
        </w:rPr>
        <w:t>Eligibility criteria and/or participants excluded during the course of the study (e.g. outliers)</w:t>
      </w:r>
    </w:p>
    <w:p w14:paraId="02C48C46" w14:textId="77777777" w:rsidR="00154F31" w:rsidRPr="005E59A8" w:rsidRDefault="00154F31" w:rsidP="00154F31">
      <w:pPr>
        <w:numPr>
          <w:ilvl w:val="0"/>
          <w:numId w:val="37"/>
        </w:numPr>
        <w:spacing w:before="0" w:after="160" w:line="360" w:lineRule="auto"/>
        <w:textAlignment w:val="baseline"/>
        <w:rPr>
          <w:rFonts w:eastAsia="Times New Roman" w:cs="Times New Roman"/>
          <w:color w:val="000000"/>
        </w:rPr>
      </w:pPr>
      <w:r w:rsidRPr="005E59A8">
        <w:rPr>
          <w:rFonts w:eastAsia="Times New Roman" w:cs="Times New Roman"/>
          <w:color w:val="000000"/>
        </w:rPr>
        <w:t>Clinical characteristics of the target population under study</w:t>
      </w:r>
    </w:p>
    <w:p w14:paraId="4946172C" w14:textId="77777777" w:rsidR="00154F31" w:rsidRPr="005E59A8" w:rsidRDefault="00154F31" w:rsidP="00154F31">
      <w:pPr>
        <w:numPr>
          <w:ilvl w:val="1"/>
          <w:numId w:val="38"/>
        </w:numPr>
        <w:spacing w:before="0" w:after="160" w:line="360" w:lineRule="auto"/>
        <w:textAlignment w:val="baseline"/>
        <w:rPr>
          <w:rFonts w:eastAsia="Times New Roman" w:cs="Times New Roman"/>
          <w:color w:val="000000"/>
        </w:rPr>
      </w:pPr>
      <w:r w:rsidRPr="005E59A8">
        <w:rPr>
          <w:rFonts w:eastAsia="Times New Roman" w:cs="Times New Roman"/>
          <w:color w:val="000000"/>
        </w:rPr>
        <w:t>Number of individuals studied </w:t>
      </w:r>
    </w:p>
    <w:p w14:paraId="20F3C03D" w14:textId="77777777" w:rsidR="00154F31" w:rsidRPr="005E59A8" w:rsidRDefault="00154F31" w:rsidP="00154F31">
      <w:pPr>
        <w:numPr>
          <w:ilvl w:val="1"/>
          <w:numId w:val="38"/>
        </w:numPr>
        <w:spacing w:before="0" w:after="160" w:line="360" w:lineRule="auto"/>
        <w:textAlignment w:val="baseline"/>
        <w:rPr>
          <w:rFonts w:eastAsia="Times New Roman" w:cs="Times New Roman"/>
          <w:color w:val="000000"/>
        </w:rPr>
      </w:pPr>
      <w:r w:rsidRPr="005E59A8">
        <w:rPr>
          <w:rFonts w:eastAsia="Times New Roman" w:cs="Times New Roman"/>
          <w:color w:val="000000"/>
        </w:rPr>
        <w:t>Age (mean/median, standard deviation / interquartile range, range)</w:t>
      </w:r>
    </w:p>
    <w:p w14:paraId="4222B90E" w14:textId="77777777" w:rsidR="00154F31" w:rsidRPr="005E59A8" w:rsidRDefault="00154F31" w:rsidP="00154F31">
      <w:pPr>
        <w:numPr>
          <w:ilvl w:val="1"/>
          <w:numId w:val="38"/>
        </w:numPr>
        <w:spacing w:before="0" w:after="160" w:line="360" w:lineRule="auto"/>
        <w:textAlignment w:val="baseline"/>
        <w:rPr>
          <w:rFonts w:eastAsia="Times New Roman" w:cs="Times New Roman"/>
          <w:color w:val="000000"/>
        </w:rPr>
      </w:pPr>
      <w:r w:rsidRPr="005E59A8">
        <w:rPr>
          <w:rFonts w:eastAsia="Times New Roman" w:cs="Times New Roman"/>
          <w:color w:val="000000"/>
        </w:rPr>
        <w:t> Sex</w:t>
      </w:r>
    </w:p>
    <w:p w14:paraId="49222035" w14:textId="77777777" w:rsidR="00154F31" w:rsidRPr="005E59A8" w:rsidRDefault="00154F31" w:rsidP="00154F31">
      <w:pPr>
        <w:numPr>
          <w:ilvl w:val="1"/>
          <w:numId w:val="38"/>
        </w:numPr>
        <w:spacing w:before="0" w:after="160" w:line="360" w:lineRule="auto"/>
        <w:textAlignment w:val="baseline"/>
        <w:rPr>
          <w:rFonts w:eastAsia="Times New Roman" w:cs="Times New Roman"/>
          <w:color w:val="000000"/>
        </w:rPr>
      </w:pPr>
      <w:r w:rsidRPr="005E59A8">
        <w:rPr>
          <w:rFonts w:eastAsia="Times New Roman" w:cs="Times New Roman"/>
          <w:color w:val="000000"/>
        </w:rPr>
        <w:t>Race</w:t>
      </w:r>
    </w:p>
    <w:p w14:paraId="3D3A6E17" w14:textId="77777777" w:rsidR="00154F31" w:rsidRPr="005E59A8" w:rsidRDefault="00154F31" w:rsidP="00154F31">
      <w:pPr>
        <w:numPr>
          <w:ilvl w:val="1"/>
          <w:numId w:val="38"/>
        </w:numPr>
        <w:spacing w:before="0" w:after="160" w:line="360" w:lineRule="auto"/>
        <w:textAlignment w:val="baseline"/>
        <w:rPr>
          <w:rFonts w:eastAsia="Times New Roman" w:cs="Times New Roman"/>
          <w:color w:val="000000"/>
        </w:rPr>
      </w:pPr>
      <w:r w:rsidRPr="005E59A8">
        <w:rPr>
          <w:rFonts w:eastAsia="Times New Roman" w:cs="Times New Roman"/>
          <w:color w:val="000000"/>
        </w:rPr>
        <w:t>Ethnicity</w:t>
      </w:r>
    </w:p>
    <w:p w14:paraId="059E4439" w14:textId="77777777" w:rsidR="00154F31" w:rsidRPr="005E59A8" w:rsidRDefault="00154F31" w:rsidP="00154F31">
      <w:pPr>
        <w:numPr>
          <w:ilvl w:val="1"/>
          <w:numId w:val="38"/>
        </w:numPr>
        <w:spacing w:before="0" w:after="160" w:line="360" w:lineRule="auto"/>
        <w:textAlignment w:val="baseline"/>
        <w:rPr>
          <w:rFonts w:eastAsia="Times New Roman" w:cs="Times New Roman"/>
          <w:color w:val="000000"/>
        </w:rPr>
      </w:pPr>
      <w:r w:rsidRPr="005E59A8">
        <w:rPr>
          <w:rFonts w:eastAsia="Times New Roman" w:cs="Times New Roman"/>
          <w:color w:val="000000"/>
        </w:rPr>
        <w:t>Population Setting, i.e., community-based versus clinic-based population</w:t>
      </w:r>
    </w:p>
    <w:p w14:paraId="23ABE659" w14:textId="77777777" w:rsidR="00154F31" w:rsidRPr="005E59A8" w:rsidRDefault="00154F31" w:rsidP="00154F31">
      <w:pPr>
        <w:numPr>
          <w:ilvl w:val="1"/>
          <w:numId w:val="38"/>
        </w:numPr>
        <w:spacing w:before="0" w:after="160" w:line="360" w:lineRule="auto"/>
        <w:textAlignment w:val="baseline"/>
        <w:rPr>
          <w:rFonts w:eastAsia="Times New Roman" w:cs="Times New Roman"/>
          <w:color w:val="000000"/>
        </w:rPr>
      </w:pPr>
      <w:r w:rsidRPr="005E59A8">
        <w:rPr>
          <w:rFonts w:eastAsia="Times New Roman" w:cs="Times New Roman"/>
          <w:color w:val="000000"/>
        </w:rPr>
        <w:t>Types of tic disorders included in the target population</w:t>
      </w:r>
    </w:p>
    <w:p w14:paraId="14B09B2F" w14:textId="77777777" w:rsidR="00154F31" w:rsidRPr="005E59A8" w:rsidRDefault="00154F31" w:rsidP="00154F31">
      <w:pPr>
        <w:numPr>
          <w:ilvl w:val="1"/>
          <w:numId w:val="38"/>
        </w:numPr>
        <w:spacing w:before="0" w:after="160" w:line="360" w:lineRule="auto"/>
        <w:textAlignment w:val="baseline"/>
        <w:rPr>
          <w:rFonts w:eastAsia="Times New Roman" w:cs="Times New Roman"/>
          <w:color w:val="000000"/>
        </w:rPr>
      </w:pPr>
      <w:r w:rsidRPr="005E59A8">
        <w:rPr>
          <w:rFonts w:eastAsia="Times New Roman" w:cs="Times New Roman"/>
          <w:color w:val="000000"/>
        </w:rPr>
        <w:lastRenderedPageBreak/>
        <w:t>Comorbid neuropsychiatric diagnoses</w:t>
      </w:r>
    </w:p>
    <w:p w14:paraId="25612E7C" w14:textId="50BF9C2A" w:rsidR="00154F31" w:rsidRPr="00154F31" w:rsidRDefault="00154F31" w:rsidP="00154F31">
      <w:pPr>
        <w:numPr>
          <w:ilvl w:val="1"/>
          <w:numId w:val="38"/>
        </w:numPr>
        <w:spacing w:before="0" w:after="160" w:line="360" w:lineRule="auto"/>
        <w:textAlignment w:val="baseline"/>
        <w:rPr>
          <w:rFonts w:eastAsia="Times New Roman" w:cs="Times New Roman"/>
          <w:color w:val="000000"/>
        </w:rPr>
      </w:pPr>
      <w:r w:rsidRPr="005E59A8">
        <w:rPr>
          <w:rFonts w:eastAsia="Times New Roman" w:cs="Times New Roman"/>
          <w:color w:val="000000"/>
        </w:rPr>
        <w:t>Psychotropic medication use (e.g., percentage taking psychotropic medication)</w:t>
      </w:r>
    </w:p>
    <w:p w14:paraId="1C4103C5" w14:textId="77777777" w:rsidR="00154F31" w:rsidRPr="005E59A8" w:rsidRDefault="00154F31" w:rsidP="00154F31">
      <w:pPr>
        <w:numPr>
          <w:ilvl w:val="0"/>
          <w:numId w:val="40"/>
        </w:numPr>
        <w:spacing w:before="0" w:after="160" w:line="360" w:lineRule="auto"/>
        <w:textAlignment w:val="baseline"/>
        <w:rPr>
          <w:rFonts w:eastAsia="Times New Roman" w:cs="Times New Roman"/>
          <w:color w:val="000000"/>
        </w:rPr>
      </w:pPr>
      <w:r w:rsidRPr="005E59A8">
        <w:rPr>
          <w:rFonts w:eastAsia="Times New Roman" w:cs="Times New Roman"/>
          <w:color w:val="000000"/>
          <w:shd w:val="clear" w:color="auto" w:fill="FFFFFF"/>
        </w:rPr>
        <w:t>Method(s) of premonitory urge ascertainment </w:t>
      </w:r>
    </w:p>
    <w:p w14:paraId="053A634D" w14:textId="77777777" w:rsidR="00154F31" w:rsidRPr="005E59A8" w:rsidRDefault="00154F31" w:rsidP="00154F31">
      <w:pPr>
        <w:pStyle w:val="ListParagraph"/>
        <w:numPr>
          <w:ilvl w:val="0"/>
          <w:numId w:val="50"/>
        </w:numPr>
        <w:spacing w:before="0" w:after="160" w:line="360" w:lineRule="auto"/>
        <w:textAlignment w:val="baseline"/>
        <w:rPr>
          <w:rFonts w:eastAsia="Times New Roman"/>
          <w:color w:val="000000"/>
        </w:rPr>
      </w:pPr>
      <w:r w:rsidRPr="005E59A8">
        <w:rPr>
          <w:rFonts w:eastAsia="Times New Roman"/>
          <w:color w:val="000000"/>
        </w:rPr>
        <w:t>Tool used to measure (e.g., self-report scale, urge monitor)</w:t>
      </w:r>
    </w:p>
    <w:p w14:paraId="2C00466F" w14:textId="77777777" w:rsidR="00154F31" w:rsidRPr="005E59A8" w:rsidRDefault="00154F31" w:rsidP="00154F31">
      <w:pPr>
        <w:pStyle w:val="ListParagraph"/>
        <w:numPr>
          <w:ilvl w:val="0"/>
          <w:numId w:val="50"/>
        </w:numPr>
        <w:spacing w:before="0" w:after="160" w:line="360" w:lineRule="auto"/>
        <w:textAlignment w:val="baseline"/>
        <w:rPr>
          <w:rFonts w:eastAsia="Times New Roman"/>
          <w:color w:val="000000"/>
        </w:rPr>
      </w:pPr>
      <w:r w:rsidRPr="005E59A8">
        <w:rPr>
          <w:rFonts w:eastAsia="Times New Roman"/>
          <w:color w:val="000000"/>
        </w:rPr>
        <w:t>Dimensions of urge measured with the tool</w:t>
      </w:r>
    </w:p>
    <w:p w14:paraId="219AD26A" w14:textId="77777777" w:rsidR="00154F31" w:rsidRPr="005E59A8" w:rsidRDefault="00154F31" w:rsidP="00154F31">
      <w:pPr>
        <w:pStyle w:val="ListParagraph"/>
        <w:numPr>
          <w:ilvl w:val="0"/>
          <w:numId w:val="51"/>
        </w:numPr>
        <w:spacing w:before="0" w:after="160" w:line="360" w:lineRule="auto"/>
        <w:textAlignment w:val="baseline"/>
        <w:rPr>
          <w:rFonts w:eastAsia="Times New Roman"/>
          <w:color w:val="000000"/>
        </w:rPr>
      </w:pPr>
      <w:r w:rsidRPr="005E59A8">
        <w:rPr>
          <w:rFonts w:eastAsia="Times New Roman"/>
          <w:color w:val="000000"/>
        </w:rPr>
        <w:t>Quality</w:t>
      </w:r>
    </w:p>
    <w:p w14:paraId="4B86E7ED" w14:textId="77777777" w:rsidR="00154F31" w:rsidRPr="005E59A8" w:rsidRDefault="00154F31" w:rsidP="00154F31">
      <w:pPr>
        <w:pStyle w:val="ListParagraph"/>
        <w:numPr>
          <w:ilvl w:val="0"/>
          <w:numId w:val="51"/>
        </w:numPr>
        <w:spacing w:before="0" w:after="160" w:line="360" w:lineRule="auto"/>
        <w:textAlignment w:val="baseline"/>
        <w:rPr>
          <w:rFonts w:eastAsia="Times New Roman"/>
          <w:color w:val="000000"/>
        </w:rPr>
      </w:pPr>
      <w:r w:rsidRPr="005E59A8">
        <w:rPr>
          <w:rFonts w:eastAsia="Times New Roman"/>
          <w:color w:val="000000"/>
        </w:rPr>
        <w:t>Location</w:t>
      </w:r>
    </w:p>
    <w:p w14:paraId="117C4A83" w14:textId="77777777" w:rsidR="00154F31" w:rsidRPr="005E59A8" w:rsidRDefault="00154F31" w:rsidP="00154F31">
      <w:pPr>
        <w:pStyle w:val="ListParagraph"/>
        <w:numPr>
          <w:ilvl w:val="0"/>
          <w:numId w:val="51"/>
        </w:numPr>
        <w:spacing w:before="0" w:after="160" w:line="360" w:lineRule="auto"/>
        <w:textAlignment w:val="baseline"/>
        <w:rPr>
          <w:rFonts w:eastAsia="Times New Roman"/>
          <w:color w:val="000000"/>
        </w:rPr>
      </w:pPr>
      <w:r w:rsidRPr="005E59A8">
        <w:rPr>
          <w:rFonts w:eastAsia="Times New Roman"/>
          <w:color w:val="000000"/>
        </w:rPr>
        <w:t>Temporal pattern in relation to tic</w:t>
      </w:r>
    </w:p>
    <w:p w14:paraId="68434E24" w14:textId="77777777" w:rsidR="00154F31" w:rsidRPr="005E59A8" w:rsidRDefault="00154F31" w:rsidP="00154F31">
      <w:pPr>
        <w:pStyle w:val="ListParagraph"/>
        <w:numPr>
          <w:ilvl w:val="0"/>
          <w:numId w:val="51"/>
        </w:numPr>
        <w:spacing w:before="0" w:after="160" w:line="360" w:lineRule="auto"/>
        <w:textAlignment w:val="baseline"/>
        <w:rPr>
          <w:rFonts w:eastAsia="Times New Roman"/>
          <w:color w:val="000000"/>
        </w:rPr>
      </w:pPr>
      <w:r w:rsidRPr="005E59A8">
        <w:rPr>
          <w:rFonts w:eastAsia="Times New Roman"/>
          <w:color w:val="000000"/>
        </w:rPr>
        <w:t>Intensity</w:t>
      </w:r>
    </w:p>
    <w:p w14:paraId="7919B103" w14:textId="77777777" w:rsidR="00154F31" w:rsidRPr="005E59A8" w:rsidRDefault="00154F31" w:rsidP="00154F31">
      <w:pPr>
        <w:pStyle w:val="ListParagraph"/>
        <w:numPr>
          <w:ilvl w:val="0"/>
          <w:numId w:val="51"/>
        </w:numPr>
        <w:spacing w:before="0" w:after="160" w:line="360" w:lineRule="auto"/>
        <w:textAlignment w:val="baseline"/>
        <w:rPr>
          <w:rFonts w:eastAsia="Times New Roman"/>
          <w:color w:val="000000"/>
        </w:rPr>
      </w:pPr>
      <w:r w:rsidRPr="005E59A8">
        <w:rPr>
          <w:rFonts w:eastAsia="Times New Roman"/>
          <w:color w:val="000000"/>
        </w:rPr>
        <w:t>Frequency</w:t>
      </w:r>
    </w:p>
    <w:p w14:paraId="69A8BC8B" w14:textId="77777777" w:rsidR="00154F31" w:rsidRPr="005E59A8" w:rsidRDefault="00154F31" w:rsidP="00154F31">
      <w:pPr>
        <w:pStyle w:val="ListParagraph"/>
        <w:numPr>
          <w:ilvl w:val="0"/>
          <w:numId w:val="51"/>
        </w:numPr>
        <w:spacing w:before="0" w:after="160" w:line="360" w:lineRule="auto"/>
        <w:textAlignment w:val="baseline"/>
        <w:rPr>
          <w:rFonts w:eastAsia="Times New Roman"/>
          <w:color w:val="000000"/>
        </w:rPr>
      </w:pPr>
      <w:r w:rsidRPr="005E59A8">
        <w:rPr>
          <w:rFonts w:eastAsia="Times New Roman"/>
          <w:color w:val="000000"/>
        </w:rPr>
        <w:t>Distress</w:t>
      </w:r>
    </w:p>
    <w:p w14:paraId="09561576" w14:textId="77777777" w:rsidR="00154F31" w:rsidRPr="005E59A8" w:rsidRDefault="00154F31" w:rsidP="00154F31">
      <w:pPr>
        <w:pStyle w:val="ListParagraph"/>
        <w:numPr>
          <w:ilvl w:val="0"/>
          <w:numId w:val="51"/>
        </w:numPr>
        <w:spacing w:before="0" w:after="160" w:line="360" w:lineRule="auto"/>
        <w:textAlignment w:val="baseline"/>
        <w:rPr>
          <w:rFonts w:eastAsia="Times New Roman"/>
          <w:color w:val="000000"/>
        </w:rPr>
      </w:pPr>
      <w:r w:rsidRPr="005E59A8">
        <w:rPr>
          <w:rFonts w:eastAsia="Times New Roman"/>
          <w:color w:val="000000"/>
        </w:rPr>
        <w:t>Ability to resist</w:t>
      </w:r>
    </w:p>
    <w:p w14:paraId="46821819" w14:textId="77777777" w:rsidR="00154F31" w:rsidRPr="005E59A8" w:rsidRDefault="00154F31" w:rsidP="00154F31">
      <w:pPr>
        <w:pStyle w:val="ListParagraph"/>
        <w:numPr>
          <w:ilvl w:val="0"/>
          <w:numId w:val="51"/>
        </w:numPr>
        <w:spacing w:before="0" w:after="160" w:line="360" w:lineRule="auto"/>
        <w:textAlignment w:val="baseline"/>
        <w:rPr>
          <w:rFonts w:eastAsia="Times New Roman"/>
          <w:color w:val="000000"/>
        </w:rPr>
      </w:pPr>
      <w:r w:rsidRPr="005E59A8">
        <w:rPr>
          <w:rFonts w:eastAsia="Times New Roman"/>
          <w:color w:val="000000"/>
        </w:rPr>
        <w:t>Relief from urge following tic </w:t>
      </w:r>
    </w:p>
    <w:p w14:paraId="07E354D2" w14:textId="77777777" w:rsidR="00154F31" w:rsidRPr="005E59A8" w:rsidRDefault="00154F31" w:rsidP="00154F31">
      <w:pPr>
        <w:pStyle w:val="ListParagraph"/>
        <w:numPr>
          <w:ilvl w:val="0"/>
          <w:numId w:val="50"/>
        </w:numPr>
        <w:spacing w:before="0" w:after="160" w:line="360" w:lineRule="auto"/>
        <w:textAlignment w:val="baseline"/>
        <w:rPr>
          <w:rFonts w:eastAsia="Times New Roman"/>
          <w:color w:val="000000"/>
        </w:rPr>
      </w:pPr>
      <w:r w:rsidRPr="005E59A8">
        <w:rPr>
          <w:rFonts w:eastAsia="Times New Roman"/>
          <w:color w:val="000000"/>
        </w:rPr>
        <w:t>Quantification method</w:t>
      </w:r>
    </w:p>
    <w:p w14:paraId="3739B8AF" w14:textId="77777777" w:rsidR="00154F31" w:rsidRPr="005E59A8" w:rsidRDefault="00154F31" w:rsidP="00154F31">
      <w:pPr>
        <w:pStyle w:val="ListParagraph"/>
        <w:numPr>
          <w:ilvl w:val="0"/>
          <w:numId w:val="50"/>
        </w:numPr>
        <w:spacing w:before="0" w:after="160" w:line="360" w:lineRule="auto"/>
        <w:textAlignment w:val="baseline"/>
        <w:rPr>
          <w:rFonts w:eastAsia="Times New Roman"/>
          <w:color w:val="000000"/>
        </w:rPr>
      </w:pPr>
      <w:r w:rsidRPr="005E59A8">
        <w:rPr>
          <w:rFonts w:eastAsia="Times New Roman"/>
          <w:color w:val="000000"/>
        </w:rPr>
        <w:t>Temporal scale for measurement (e.g., momentary assessment of urge, self-report survey inquiring about the past week, etc.)</w:t>
      </w:r>
    </w:p>
    <w:p w14:paraId="3C6ED47C" w14:textId="77777777" w:rsidR="00154F31" w:rsidRPr="005E59A8" w:rsidRDefault="00154F31" w:rsidP="00154F31">
      <w:pPr>
        <w:pStyle w:val="ListParagraph"/>
        <w:numPr>
          <w:ilvl w:val="0"/>
          <w:numId w:val="50"/>
        </w:numPr>
        <w:spacing w:before="0" w:after="160" w:line="360" w:lineRule="auto"/>
        <w:textAlignment w:val="baseline"/>
        <w:rPr>
          <w:rFonts w:eastAsia="Times New Roman"/>
          <w:color w:val="000000"/>
        </w:rPr>
      </w:pPr>
      <w:r w:rsidRPr="005E59A8">
        <w:rPr>
          <w:rFonts w:eastAsia="Times New Roman"/>
          <w:color w:val="000000"/>
        </w:rPr>
        <w:t xml:space="preserve">Reported psychometric statistics of rating scales </w:t>
      </w:r>
      <w:r w:rsidRPr="005E59A8">
        <w:rPr>
          <w:rFonts w:eastAsia="Times New Roman"/>
          <w:color w:val="000000"/>
          <w:shd w:val="clear" w:color="auto" w:fill="FFFFFF"/>
        </w:rPr>
        <w:t>(if relevant)</w:t>
      </w:r>
    </w:p>
    <w:p w14:paraId="02DA7AC2" w14:textId="77777777" w:rsidR="00154F31" w:rsidRPr="00D852C2" w:rsidRDefault="00154F31" w:rsidP="00154F31">
      <w:pPr>
        <w:pStyle w:val="ListParagraph"/>
        <w:numPr>
          <w:ilvl w:val="0"/>
          <w:numId w:val="50"/>
        </w:numPr>
        <w:spacing w:before="0" w:after="160" w:line="360" w:lineRule="auto"/>
        <w:textAlignment w:val="baseline"/>
        <w:rPr>
          <w:rFonts w:eastAsia="Times New Roman"/>
          <w:color w:val="000000"/>
        </w:rPr>
      </w:pPr>
      <w:r w:rsidRPr="005E59A8">
        <w:rPr>
          <w:rFonts w:eastAsia="Times New Roman"/>
          <w:color w:val="000000"/>
          <w:shd w:val="clear" w:color="auto" w:fill="FFFFFF"/>
        </w:rPr>
        <w:t>Validation procedure for experimental tools / paradigms (if relevant)</w:t>
      </w:r>
    </w:p>
    <w:p w14:paraId="12A41290" w14:textId="77777777" w:rsidR="00154F31" w:rsidRPr="00D852C2" w:rsidRDefault="00154F31" w:rsidP="00154F31">
      <w:pPr>
        <w:pStyle w:val="ListParagraph"/>
        <w:numPr>
          <w:ilvl w:val="0"/>
          <w:numId w:val="50"/>
        </w:numPr>
        <w:spacing w:before="0" w:after="160" w:line="360" w:lineRule="auto"/>
        <w:textAlignment w:val="baseline"/>
        <w:rPr>
          <w:rFonts w:eastAsia="Times New Roman"/>
          <w:color w:val="000000"/>
        </w:rPr>
      </w:pPr>
      <w:r>
        <w:rPr>
          <w:rFonts w:eastAsia="Times New Roman"/>
          <w:color w:val="000000"/>
          <w:shd w:val="clear" w:color="auto" w:fill="FFFFFF"/>
        </w:rPr>
        <w:t>Rating of premonitory assessment tool by participants (e.g. Did this questionnaire accurately capture your symptoms?)</w:t>
      </w:r>
    </w:p>
    <w:p w14:paraId="698978CA" w14:textId="77777777" w:rsidR="00154F31" w:rsidRPr="00154F31" w:rsidRDefault="00154F31" w:rsidP="00154F31">
      <w:pPr>
        <w:pStyle w:val="ListParagraph"/>
        <w:numPr>
          <w:ilvl w:val="0"/>
          <w:numId w:val="50"/>
        </w:numPr>
        <w:spacing w:before="0" w:after="160" w:line="360" w:lineRule="auto"/>
        <w:textAlignment w:val="baseline"/>
        <w:rPr>
          <w:rFonts w:eastAsia="Times New Roman"/>
          <w:color w:val="000000"/>
        </w:rPr>
      </w:pPr>
      <w:r>
        <w:rPr>
          <w:rFonts w:eastAsia="Times New Roman"/>
          <w:color w:val="000000"/>
          <w:shd w:val="clear" w:color="auto" w:fill="FFFFFF"/>
        </w:rPr>
        <w:t>Associations/statistical relationships between different measures of premonitory urge</w:t>
      </w:r>
    </w:p>
    <w:p w14:paraId="3D98CE54" w14:textId="6787A4EA" w:rsidR="00154F31" w:rsidRPr="00154F31" w:rsidRDefault="00154F31" w:rsidP="00154F31">
      <w:pPr>
        <w:pStyle w:val="ListParagraph"/>
        <w:numPr>
          <w:ilvl w:val="0"/>
          <w:numId w:val="40"/>
        </w:numPr>
        <w:spacing w:before="0" w:after="160" w:line="360" w:lineRule="auto"/>
        <w:textAlignment w:val="baseline"/>
        <w:rPr>
          <w:rFonts w:eastAsia="Times New Roman"/>
          <w:color w:val="000000"/>
        </w:rPr>
      </w:pPr>
      <w:r w:rsidRPr="00154F31">
        <w:rPr>
          <w:rFonts w:eastAsia="Times New Roman"/>
          <w:color w:val="000000"/>
          <w:shd w:val="clear" w:color="auto" w:fill="FFFFFF"/>
        </w:rPr>
        <w:t>Characteristics of premonitory urge</w:t>
      </w:r>
    </w:p>
    <w:p w14:paraId="2A303D11" w14:textId="77777777" w:rsidR="00154F31" w:rsidRPr="005E59A8" w:rsidRDefault="00154F31" w:rsidP="00154F31">
      <w:pPr>
        <w:pStyle w:val="ListParagraph"/>
        <w:numPr>
          <w:ilvl w:val="0"/>
          <w:numId w:val="52"/>
        </w:numPr>
        <w:spacing w:before="0" w:after="160" w:line="360" w:lineRule="auto"/>
        <w:textAlignment w:val="baseline"/>
        <w:rPr>
          <w:rFonts w:eastAsia="Times New Roman"/>
          <w:color w:val="000000"/>
        </w:rPr>
      </w:pPr>
      <w:r w:rsidRPr="005E59A8">
        <w:rPr>
          <w:rFonts w:eastAsia="Times New Roman"/>
          <w:color w:val="000000"/>
        </w:rPr>
        <w:t>Method of ascertainment used to identify below characteristics for given study</w:t>
      </w:r>
    </w:p>
    <w:p w14:paraId="17A372C5" w14:textId="77777777" w:rsidR="00154F31" w:rsidRPr="005E59A8" w:rsidRDefault="00154F31" w:rsidP="00154F31">
      <w:pPr>
        <w:pStyle w:val="ListParagraph"/>
        <w:numPr>
          <w:ilvl w:val="0"/>
          <w:numId w:val="52"/>
        </w:numPr>
        <w:spacing w:before="0" w:after="160" w:line="360" w:lineRule="auto"/>
        <w:textAlignment w:val="baseline"/>
        <w:rPr>
          <w:rFonts w:eastAsia="Times New Roman"/>
          <w:color w:val="000000"/>
        </w:rPr>
      </w:pPr>
      <w:r w:rsidRPr="005E59A8">
        <w:rPr>
          <w:rFonts w:eastAsia="Times New Roman"/>
          <w:color w:val="000000"/>
          <w:shd w:val="clear" w:color="auto" w:fill="FFFFFF"/>
        </w:rPr>
        <w:t>Qualitative characteristics</w:t>
      </w:r>
    </w:p>
    <w:p w14:paraId="7476AEE1" w14:textId="312BAD40" w:rsidR="00154F31" w:rsidRPr="005E59A8" w:rsidRDefault="00154F31" w:rsidP="00154F31">
      <w:pPr>
        <w:numPr>
          <w:ilvl w:val="2"/>
          <w:numId w:val="61"/>
        </w:numPr>
        <w:spacing w:before="0" w:after="160" w:line="360" w:lineRule="auto"/>
        <w:textAlignment w:val="baseline"/>
        <w:rPr>
          <w:rFonts w:eastAsia="Times New Roman" w:cs="Times New Roman"/>
          <w:color w:val="000000"/>
        </w:rPr>
      </w:pPr>
      <w:r>
        <w:rPr>
          <w:rFonts w:eastAsia="Times New Roman" w:cs="Times New Roman"/>
          <w:color w:val="000000"/>
        </w:rPr>
        <w:t xml:space="preserve"> </w:t>
      </w:r>
      <w:r w:rsidRPr="005E59A8">
        <w:rPr>
          <w:rFonts w:eastAsia="Times New Roman" w:cs="Times New Roman"/>
          <w:color w:val="000000"/>
        </w:rPr>
        <w:t>Quality</w:t>
      </w:r>
    </w:p>
    <w:p w14:paraId="081FDA3D" w14:textId="73A23255" w:rsidR="00154F31" w:rsidRPr="005E59A8" w:rsidRDefault="00154F31" w:rsidP="00154F31">
      <w:pPr>
        <w:numPr>
          <w:ilvl w:val="2"/>
          <w:numId w:val="61"/>
        </w:numPr>
        <w:spacing w:before="0" w:after="160" w:line="360" w:lineRule="auto"/>
        <w:textAlignment w:val="baseline"/>
        <w:rPr>
          <w:rFonts w:eastAsia="Times New Roman" w:cs="Times New Roman"/>
          <w:color w:val="000000"/>
        </w:rPr>
      </w:pPr>
      <w:r>
        <w:rPr>
          <w:rFonts w:eastAsia="Times New Roman" w:cs="Times New Roman"/>
          <w:color w:val="000000"/>
        </w:rPr>
        <w:t xml:space="preserve"> </w:t>
      </w:r>
      <w:r w:rsidRPr="005E59A8">
        <w:rPr>
          <w:rFonts w:eastAsia="Times New Roman" w:cs="Times New Roman"/>
          <w:color w:val="000000"/>
        </w:rPr>
        <w:t>Location</w:t>
      </w:r>
    </w:p>
    <w:p w14:paraId="49040A3C" w14:textId="3071EF06" w:rsidR="00154F31" w:rsidRPr="005E59A8" w:rsidRDefault="00154F31" w:rsidP="00154F31">
      <w:pPr>
        <w:numPr>
          <w:ilvl w:val="2"/>
          <w:numId w:val="61"/>
        </w:numPr>
        <w:spacing w:before="0" w:after="160" w:line="360" w:lineRule="auto"/>
        <w:textAlignment w:val="baseline"/>
        <w:rPr>
          <w:rFonts w:eastAsia="Times New Roman" w:cs="Times New Roman"/>
          <w:color w:val="000000"/>
        </w:rPr>
      </w:pPr>
      <w:r>
        <w:rPr>
          <w:rFonts w:eastAsia="Times New Roman" w:cs="Times New Roman"/>
          <w:color w:val="000000"/>
        </w:rPr>
        <w:t xml:space="preserve"> </w:t>
      </w:r>
      <w:r w:rsidRPr="005E59A8">
        <w:rPr>
          <w:rFonts w:eastAsia="Times New Roman" w:cs="Times New Roman"/>
          <w:color w:val="000000"/>
        </w:rPr>
        <w:t>Temporal pattern in relation to tic</w:t>
      </w:r>
    </w:p>
    <w:p w14:paraId="3B0982DA" w14:textId="1DEB94AB" w:rsidR="00154F31" w:rsidRPr="005E59A8" w:rsidRDefault="00154F31" w:rsidP="00154F31">
      <w:pPr>
        <w:numPr>
          <w:ilvl w:val="2"/>
          <w:numId w:val="61"/>
        </w:numPr>
        <w:spacing w:before="0" w:after="160" w:line="360" w:lineRule="auto"/>
        <w:textAlignment w:val="baseline"/>
        <w:rPr>
          <w:rFonts w:eastAsia="Times New Roman" w:cs="Times New Roman"/>
          <w:color w:val="000000"/>
        </w:rPr>
      </w:pPr>
      <w:r>
        <w:rPr>
          <w:rFonts w:eastAsia="Times New Roman" w:cs="Times New Roman"/>
          <w:color w:val="000000"/>
        </w:rPr>
        <w:t xml:space="preserve"> </w:t>
      </w:r>
      <w:r w:rsidRPr="005E59A8">
        <w:rPr>
          <w:rFonts w:eastAsia="Times New Roman" w:cs="Times New Roman"/>
          <w:color w:val="000000"/>
        </w:rPr>
        <w:t>Intensity</w:t>
      </w:r>
    </w:p>
    <w:p w14:paraId="76EDC3FA" w14:textId="71B335A4" w:rsidR="00154F31" w:rsidRPr="005E59A8" w:rsidRDefault="00154F31" w:rsidP="00154F31">
      <w:pPr>
        <w:numPr>
          <w:ilvl w:val="2"/>
          <w:numId w:val="61"/>
        </w:numPr>
        <w:spacing w:before="0" w:after="160" w:line="360" w:lineRule="auto"/>
        <w:textAlignment w:val="baseline"/>
        <w:rPr>
          <w:rFonts w:eastAsia="Times New Roman" w:cs="Times New Roman"/>
          <w:color w:val="000000"/>
        </w:rPr>
      </w:pPr>
      <w:r>
        <w:rPr>
          <w:rFonts w:eastAsia="Times New Roman" w:cs="Times New Roman"/>
          <w:color w:val="000000"/>
        </w:rPr>
        <w:lastRenderedPageBreak/>
        <w:t xml:space="preserve"> </w:t>
      </w:r>
      <w:r w:rsidRPr="005E59A8">
        <w:rPr>
          <w:rFonts w:eastAsia="Times New Roman" w:cs="Times New Roman"/>
          <w:color w:val="000000"/>
        </w:rPr>
        <w:t>Frequency</w:t>
      </w:r>
    </w:p>
    <w:p w14:paraId="1A844569" w14:textId="77777777" w:rsidR="00154F31" w:rsidRPr="005E59A8" w:rsidRDefault="00154F31" w:rsidP="00154F31">
      <w:pPr>
        <w:numPr>
          <w:ilvl w:val="2"/>
          <w:numId w:val="61"/>
        </w:numPr>
        <w:spacing w:before="0" w:after="160" w:line="360" w:lineRule="auto"/>
        <w:textAlignment w:val="baseline"/>
        <w:rPr>
          <w:rFonts w:eastAsia="Times New Roman" w:cs="Times New Roman"/>
          <w:color w:val="000000"/>
        </w:rPr>
      </w:pPr>
      <w:r w:rsidRPr="005E59A8">
        <w:rPr>
          <w:rFonts w:eastAsia="Times New Roman" w:cs="Times New Roman"/>
          <w:color w:val="000000"/>
        </w:rPr>
        <w:t>Distress</w:t>
      </w:r>
    </w:p>
    <w:p w14:paraId="5F677CB9" w14:textId="77777777" w:rsidR="00154F31" w:rsidRPr="005E59A8" w:rsidRDefault="00154F31" w:rsidP="00154F31">
      <w:pPr>
        <w:numPr>
          <w:ilvl w:val="2"/>
          <w:numId w:val="61"/>
        </w:numPr>
        <w:spacing w:before="0" w:after="160" w:line="360" w:lineRule="auto"/>
        <w:textAlignment w:val="baseline"/>
        <w:rPr>
          <w:rFonts w:eastAsia="Times New Roman" w:cs="Times New Roman"/>
          <w:color w:val="000000"/>
        </w:rPr>
      </w:pPr>
      <w:r w:rsidRPr="005E59A8">
        <w:rPr>
          <w:rFonts w:eastAsia="Times New Roman" w:cs="Times New Roman"/>
          <w:color w:val="000000"/>
        </w:rPr>
        <w:t>Ability to resist</w:t>
      </w:r>
    </w:p>
    <w:p w14:paraId="2028AC29" w14:textId="77777777" w:rsidR="00154F31" w:rsidRPr="005E59A8" w:rsidRDefault="00154F31" w:rsidP="00154F31">
      <w:pPr>
        <w:numPr>
          <w:ilvl w:val="2"/>
          <w:numId w:val="61"/>
        </w:numPr>
        <w:spacing w:before="0" w:after="160" w:line="360" w:lineRule="auto"/>
        <w:textAlignment w:val="baseline"/>
        <w:rPr>
          <w:rFonts w:eastAsia="Times New Roman" w:cs="Times New Roman"/>
          <w:color w:val="000000"/>
        </w:rPr>
      </w:pPr>
      <w:r w:rsidRPr="005E59A8">
        <w:rPr>
          <w:rFonts w:eastAsia="Times New Roman" w:cs="Times New Roman"/>
          <w:color w:val="000000"/>
        </w:rPr>
        <w:t>Relief from urge following tic </w:t>
      </w:r>
    </w:p>
    <w:p w14:paraId="22432317" w14:textId="77777777" w:rsidR="00154F31" w:rsidRPr="00154F31" w:rsidRDefault="00154F31" w:rsidP="00154F31">
      <w:pPr>
        <w:numPr>
          <w:ilvl w:val="0"/>
          <w:numId w:val="43"/>
        </w:numPr>
        <w:spacing w:before="0" w:after="160" w:line="360" w:lineRule="auto"/>
        <w:ind w:left="1440"/>
        <w:textAlignment w:val="baseline"/>
        <w:rPr>
          <w:rFonts w:eastAsia="Times New Roman" w:cs="Times New Roman"/>
          <w:color w:val="000000"/>
        </w:rPr>
      </w:pPr>
      <w:r w:rsidRPr="005E59A8">
        <w:rPr>
          <w:rFonts w:eastAsia="Times New Roman" w:cs="Times New Roman"/>
          <w:color w:val="000000"/>
          <w:shd w:val="clear" w:color="auto" w:fill="FFFFFF"/>
        </w:rPr>
        <w:t>Quantitative characteristic</w:t>
      </w:r>
      <w:r>
        <w:rPr>
          <w:rFonts w:eastAsia="Times New Roman" w:cs="Times New Roman"/>
          <w:color w:val="000000"/>
          <w:shd w:val="clear" w:color="auto" w:fill="FFFFFF"/>
        </w:rPr>
        <w:t>s</w:t>
      </w:r>
    </w:p>
    <w:p w14:paraId="5B3BAC29" w14:textId="3443A5F9" w:rsidR="00154F31" w:rsidRPr="00154F31" w:rsidRDefault="00154F31" w:rsidP="00154F31">
      <w:pPr>
        <w:numPr>
          <w:ilvl w:val="2"/>
          <w:numId w:val="62"/>
        </w:numPr>
        <w:spacing w:before="0" w:after="160" w:line="360" w:lineRule="auto"/>
        <w:textAlignment w:val="baseline"/>
        <w:rPr>
          <w:rFonts w:eastAsia="Times New Roman" w:cs="Times New Roman"/>
          <w:color w:val="000000"/>
        </w:rPr>
      </w:pPr>
      <w:r w:rsidRPr="00154F31">
        <w:rPr>
          <w:rFonts w:eastAsia="Times New Roman"/>
          <w:color w:val="000000"/>
        </w:rPr>
        <w:t>Temporal pattern in relation to tic</w:t>
      </w:r>
    </w:p>
    <w:p w14:paraId="1B488A52" w14:textId="77777777" w:rsidR="00154F31" w:rsidRPr="005E59A8" w:rsidRDefault="00154F31" w:rsidP="00154F31">
      <w:pPr>
        <w:numPr>
          <w:ilvl w:val="2"/>
          <w:numId w:val="62"/>
        </w:numPr>
        <w:spacing w:before="0" w:after="160" w:line="360" w:lineRule="auto"/>
        <w:textAlignment w:val="baseline"/>
        <w:rPr>
          <w:rFonts w:eastAsia="Times New Roman" w:cs="Times New Roman"/>
          <w:color w:val="000000"/>
        </w:rPr>
      </w:pPr>
      <w:r w:rsidRPr="005E59A8">
        <w:rPr>
          <w:rFonts w:eastAsia="Times New Roman" w:cs="Times New Roman"/>
          <w:color w:val="000000"/>
        </w:rPr>
        <w:t>Intensity</w:t>
      </w:r>
    </w:p>
    <w:p w14:paraId="48EF3512" w14:textId="77777777" w:rsidR="00154F31" w:rsidRPr="005E59A8" w:rsidRDefault="00154F31" w:rsidP="00154F31">
      <w:pPr>
        <w:numPr>
          <w:ilvl w:val="2"/>
          <w:numId w:val="62"/>
        </w:numPr>
        <w:spacing w:before="0" w:after="160" w:line="360" w:lineRule="auto"/>
        <w:textAlignment w:val="baseline"/>
        <w:rPr>
          <w:rFonts w:eastAsia="Times New Roman" w:cs="Times New Roman"/>
          <w:color w:val="000000"/>
        </w:rPr>
      </w:pPr>
      <w:r w:rsidRPr="005E59A8">
        <w:rPr>
          <w:rFonts w:eastAsia="Times New Roman" w:cs="Times New Roman"/>
          <w:color w:val="000000"/>
        </w:rPr>
        <w:t>Frequency</w:t>
      </w:r>
    </w:p>
    <w:p w14:paraId="1BD3BFBE" w14:textId="77777777" w:rsidR="00154F31" w:rsidRPr="005E59A8" w:rsidRDefault="00154F31" w:rsidP="00154F31">
      <w:pPr>
        <w:numPr>
          <w:ilvl w:val="2"/>
          <w:numId w:val="62"/>
        </w:numPr>
        <w:spacing w:before="0" w:after="160" w:line="360" w:lineRule="auto"/>
        <w:textAlignment w:val="baseline"/>
        <w:rPr>
          <w:rFonts w:eastAsia="Times New Roman" w:cs="Times New Roman"/>
          <w:color w:val="000000"/>
        </w:rPr>
      </w:pPr>
      <w:r w:rsidRPr="005E59A8">
        <w:rPr>
          <w:rFonts w:eastAsia="Times New Roman" w:cs="Times New Roman"/>
          <w:color w:val="000000"/>
        </w:rPr>
        <w:t>Distress</w:t>
      </w:r>
    </w:p>
    <w:p w14:paraId="256FAB73" w14:textId="77777777" w:rsidR="00154F31" w:rsidRPr="005E59A8" w:rsidRDefault="00154F31" w:rsidP="00154F31">
      <w:pPr>
        <w:numPr>
          <w:ilvl w:val="2"/>
          <w:numId w:val="62"/>
        </w:numPr>
        <w:spacing w:before="0" w:after="160" w:line="360" w:lineRule="auto"/>
        <w:textAlignment w:val="baseline"/>
        <w:rPr>
          <w:rFonts w:eastAsia="Times New Roman" w:cs="Times New Roman"/>
          <w:color w:val="000000"/>
        </w:rPr>
      </w:pPr>
      <w:r w:rsidRPr="005E59A8">
        <w:rPr>
          <w:rFonts w:eastAsia="Times New Roman" w:cs="Times New Roman"/>
          <w:color w:val="000000"/>
        </w:rPr>
        <w:t>Abilify to resist</w:t>
      </w:r>
    </w:p>
    <w:p w14:paraId="1DA4A8DD" w14:textId="77777777" w:rsidR="00154F31" w:rsidRDefault="00154F31" w:rsidP="00154F31">
      <w:pPr>
        <w:numPr>
          <w:ilvl w:val="2"/>
          <w:numId w:val="62"/>
        </w:numPr>
        <w:spacing w:before="0" w:after="160" w:line="360" w:lineRule="auto"/>
        <w:textAlignment w:val="baseline"/>
        <w:rPr>
          <w:rFonts w:eastAsia="Times New Roman" w:cs="Times New Roman"/>
          <w:color w:val="000000"/>
        </w:rPr>
      </w:pPr>
      <w:r w:rsidRPr="005E59A8">
        <w:rPr>
          <w:rFonts w:eastAsia="Times New Roman" w:cs="Times New Roman"/>
          <w:color w:val="000000"/>
        </w:rPr>
        <w:t>Relief from urge following tic </w:t>
      </w:r>
    </w:p>
    <w:p w14:paraId="54760197" w14:textId="1B54DE74" w:rsidR="00154F31" w:rsidRPr="00154F31" w:rsidRDefault="00154F31" w:rsidP="00154F31">
      <w:pPr>
        <w:pStyle w:val="ListParagraph"/>
        <w:numPr>
          <w:ilvl w:val="0"/>
          <w:numId w:val="40"/>
        </w:numPr>
        <w:spacing w:before="0" w:after="160" w:line="360" w:lineRule="auto"/>
        <w:textAlignment w:val="baseline"/>
        <w:rPr>
          <w:rFonts w:eastAsia="Times New Roman"/>
          <w:color w:val="000000"/>
        </w:rPr>
      </w:pPr>
      <w:r w:rsidRPr="00154F31">
        <w:rPr>
          <w:rFonts w:eastAsia="Times New Roman"/>
          <w:color w:val="000000"/>
          <w:shd w:val="clear" w:color="auto" w:fill="FFFFFF"/>
        </w:rPr>
        <w:t>Associations between premonitory urge and clinical characteristics</w:t>
      </w:r>
    </w:p>
    <w:p w14:paraId="4E27E4BB" w14:textId="77777777" w:rsidR="00154F31" w:rsidRPr="005E59A8" w:rsidRDefault="00154F31" w:rsidP="00154F31">
      <w:pPr>
        <w:pStyle w:val="ListParagraph"/>
        <w:numPr>
          <w:ilvl w:val="0"/>
          <w:numId w:val="53"/>
        </w:numPr>
        <w:spacing w:before="0" w:after="160" w:line="360" w:lineRule="auto"/>
        <w:textAlignment w:val="baseline"/>
        <w:rPr>
          <w:rFonts w:eastAsia="Times New Roman"/>
          <w:color w:val="000000"/>
        </w:rPr>
      </w:pPr>
      <w:r w:rsidRPr="005E59A8">
        <w:rPr>
          <w:rFonts w:eastAsia="Times New Roman"/>
          <w:color w:val="000000"/>
        </w:rPr>
        <w:t>Particular clinical characteristic (e.g., tic intensity, health-related quality of life</w:t>
      </w:r>
      <w:r>
        <w:rPr>
          <w:rFonts w:eastAsia="Times New Roman"/>
          <w:color w:val="000000"/>
        </w:rPr>
        <w:t>, age</w:t>
      </w:r>
      <w:r w:rsidRPr="005E59A8">
        <w:rPr>
          <w:rFonts w:eastAsia="Times New Roman"/>
          <w:color w:val="000000"/>
        </w:rPr>
        <w:t>)</w:t>
      </w:r>
    </w:p>
    <w:p w14:paraId="6B7EC2D5" w14:textId="77777777" w:rsidR="00154F31" w:rsidRPr="005E59A8" w:rsidRDefault="00154F31" w:rsidP="00154F31">
      <w:pPr>
        <w:pStyle w:val="ListParagraph"/>
        <w:numPr>
          <w:ilvl w:val="0"/>
          <w:numId w:val="53"/>
        </w:numPr>
        <w:spacing w:before="0" w:after="160" w:line="360" w:lineRule="auto"/>
        <w:textAlignment w:val="baseline"/>
        <w:rPr>
          <w:rFonts w:eastAsia="Times New Roman"/>
          <w:color w:val="000000"/>
        </w:rPr>
      </w:pPr>
      <w:r w:rsidRPr="005E59A8">
        <w:rPr>
          <w:rFonts w:eastAsia="Times New Roman"/>
          <w:color w:val="000000"/>
        </w:rPr>
        <w:t>Method for measuring clinical characteristic (e.g., YGTSS, GTS-QOL)</w:t>
      </w:r>
    </w:p>
    <w:p w14:paraId="79054A9B" w14:textId="77777777" w:rsidR="00154F31" w:rsidRPr="005E59A8" w:rsidRDefault="00154F31" w:rsidP="00154F31">
      <w:pPr>
        <w:pStyle w:val="ListParagraph"/>
        <w:numPr>
          <w:ilvl w:val="0"/>
          <w:numId w:val="53"/>
        </w:numPr>
        <w:spacing w:before="0" w:after="160" w:line="360" w:lineRule="auto"/>
        <w:textAlignment w:val="baseline"/>
        <w:rPr>
          <w:rFonts w:eastAsia="Times New Roman"/>
          <w:color w:val="000000"/>
        </w:rPr>
      </w:pPr>
      <w:r w:rsidRPr="005E59A8">
        <w:rPr>
          <w:rFonts w:eastAsia="Times New Roman"/>
          <w:color w:val="000000"/>
        </w:rPr>
        <w:t>Tool used to measure premonitory urge</w:t>
      </w:r>
    </w:p>
    <w:p w14:paraId="5B0C056F" w14:textId="77777777" w:rsidR="00154F31" w:rsidRPr="005E59A8" w:rsidRDefault="00154F31" w:rsidP="00154F31">
      <w:pPr>
        <w:pStyle w:val="ListParagraph"/>
        <w:numPr>
          <w:ilvl w:val="0"/>
          <w:numId w:val="53"/>
        </w:numPr>
        <w:spacing w:before="0" w:after="160" w:line="360" w:lineRule="auto"/>
        <w:textAlignment w:val="baseline"/>
        <w:rPr>
          <w:rFonts w:eastAsia="Times New Roman"/>
          <w:color w:val="000000"/>
        </w:rPr>
      </w:pPr>
      <w:r w:rsidRPr="005E59A8">
        <w:rPr>
          <w:rFonts w:eastAsia="Times New Roman"/>
          <w:color w:val="000000"/>
        </w:rPr>
        <w:t>Statistic used to assess association</w:t>
      </w:r>
    </w:p>
    <w:p w14:paraId="7739472A" w14:textId="77777777" w:rsidR="00154F31" w:rsidRPr="005E59A8" w:rsidRDefault="00154F31" w:rsidP="00154F31">
      <w:pPr>
        <w:pStyle w:val="ListParagraph"/>
        <w:numPr>
          <w:ilvl w:val="0"/>
          <w:numId w:val="53"/>
        </w:numPr>
        <w:spacing w:before="0" w:after="160" w:line="360" w:lineRule="auto"/>
        <w:textAlignment w:val="baseline"/>
        <w:rPr>
          <w:rFonts w:eastAsia="Times New Roman"/>
          <w:color w:val="000000"/>
        </w:rPr>
      </w:pPr>
      <w:r w:rsidRPr="005E59A8">
        <w:rPr>
          <w:rFonts w:eastAsia="Times New Roman"/>
          <w:color w:val="000000"/>
        </w:rPr>
        <w:t>Finding of association and statistical significance</w:t>
      </w:r>
    </w:p>
    <w:p w14:paraId="6B6C2046" w14:textId="77777777" w:rsidR="00154F31" w:rsidRPr="005E59A8" w:rsidRDefault="00154F31" w:rsidP="00154F31">
      <w:pPr>
        <w:numPr>
          <w:ilvl w:val="0"/>
          <w:numId w:val="46"/>
        </w:numPr>
        <w:spacing w:before="0" w:after="160" w:line="360" w:lineRule="auto"/>
        <w:textAlignment w:val="baseline"/>
        <w:rPr>
          <w:rFonts w:eastAsia="Times New Roman" w:cs="Times New Roman"/>
          <w:color w:val="000000"/>
        </w:rPr>
      </w:pPr>
      <w:r w:rsidRPr="005E59A8">
        <w:rPr>
          <w:rFonts w:eastAsia="Times New Roman" w:cs="Times New Roman"/>
          <w:color w:val="000000"/>
          <w:shd w:val="clear" w:color="auto" w:fill="FFFFFF"/>
        </w:rPr>
        <w:t>Premonitory urge’s response to treatment and suppression</w:t>
      </w:r>
    </w:p>
    <w:p w14:paraId="2E1F0D99" w14:textId="77777777" w:rsidR="00154F31" w:rsidRPr="005E59A8" w:rsidRDefault="00154F31" w:rsidP="00154F31">
      <w:pPr>
        <w:pStyle w:val="ListParagraph"/>
        <w:numPr>
          <w:ilvl w:val="0"/>
          <w:numId w:val="54"/>
        </w:numPr>
        <w:spacing w:before="0" w:after="160" w:line="360" w:lineRule="auto"/>
        <w:textAlignment w:val="baseline"/>
        <w:rPr>
          <w:rFonts w:eastAsia="Times New Roman"/>
          <w:color w:val="000000"/>
        </w:rPr>
      </w:pPr>
      <w:r w:rsidRPr="005E59A8">
        <w:rPr>
          <w:rFonts w:eastAsia="Times New Roman"/>
          <w:color w:val="000000"/>
        </w:rPr>
        <w:t>Response to suppression</w:t>
      </w:r>
    </w:p>
    <w:p w14:paraId="78597D45" w14:textId="77777777" w:rsidR="00154F31" w:rsidRPr="005E59A8" w:rsidRDefault="00154F31" w:rsidP="00154F31">
      <w:pPr>
        <w:pStyle w:val="ListParagraph"/>
        <w:numPr>
          <w:ilvl w:val="0"/>
          <w:numId w:val="55"/>
        </w:numPr>
        <w:spacing w:before="0" w:after="160" w:line="360" w:lineRule="auto"/>
        <w:textAlignment w:val="baseline"/>
        <w:rPr>
          <w:rFonts w:eastAsia="Times New Roman"/>
          <w:color w:val="000000"/>
        </w:rPr>
      </w:pPr>
      <w:r w:rsidRPr="005E59A8">
        <w:rPr>
          <w:rFonts w:eastAsia="Times New Roman"/>
          <w:color w:val="000000"/>
        </w:rPr>
        <w:t>Instructions for suppression</w:t>
      </w:r>
    </w:p>
    <w:p w14:paraId="1C27C657" w14:textId="77777777" w:rsidR="00154F31" w:rsidRPr="005E59A8" w:rsidRDefault="00154F31" w:rsidP="00154F31">
      <w:pPr>
        <w:pStyle w:val="ListParagraph"/>
        <w:numPr>
          <w:ilvl w:val="0"/>
          <w:numId w:val="55"/>
        </w:numPr>
        <w:spacing w:before="0" w:after="160" w:line="360" w:lineRule="auto"/>
        <w:textAlignment w:val="baseline"/>
        <w:rPr>
          <w:rFonts w:eastAsia="Times New Roman"/>
          <w:color w:val="000000"/>
        </w:rPr>
      </w:pPr>
      <w:r w:rsidRPr="005E59A8">
        <w:rPr>
          <w:rFonts w:eastAsia="Times New Roman"/>
          <w:color w:val="000000"/>
        </w:rPr>
        <w:t>Length/frequency/number of suppressions</w:t>
      </w:r>
    </w:p>
    <w:p w14:paraId="3CF0BE43" w14:textId="77777777" w:rsidR="00154F31" w:rsidRPr="005E59A8" w:rsidRDefault="00154F31" w:rsidP="00154F31">
      <w:pPr>
        <w:pStyle w:val="ListParagraph"/>
        <w:numPr>
          <w:ilvl w:val="0"/>
          <w:numId w:val="55"/>
        </w:numPr>
        <w:spacing w:before="0" w:after="160" w:line="360" w:lineRule="auto"/>
        <w:textAlignment w:val="baseline"/>
        <w:rPr>
          <w:rFonts w:eastAsia="Times New Roman"/>
          <w:color w:val="000000"/>
        </w:rPr>
      </w:pPr>
      <w:r w:rsidRPr="005E59A8">
        <w:rPr>
          <w:rFonts w:eastAsia="Times New Roman"/>
          <w:color w:val="000000"/>
        </w:rPr>
        <w:t>Measurement tool for urge</w:t>
      </w:r>
    </w:p>
    <w:p w14:paraId="7ABFF531" w14:textId="77777777" w:rsidR="00154F31" w:rsidRPr="005E59A8" w:rsidRDefault="00154F31" w:rsidP="00154F31">
      <w:pPr>
        <w:pStyle w:val="ListParagraph"/>
        <w:numPr>
          <w:ilvl w:val="0"/>
          <w:numId w:val="55"/>
        </w:numPr>
        <w:spacing w:before="0" w:after="160" w:line="360" w:lineRule="auto"/>
        <w:textAlignment w:val="baseline"/>
        <w:rPr>
          <w:rFonts w:eastAsia="Times New Roman"/>
          <w:color w:val="000000"/>
        </w:rPr>
      </w:pPr>
      <w:r w:rsidRPr="005E59A8">
        <w:rPr>
          <w:rFonts w:eastAsia="Times New Roman"/>
          <w:color w:val="000000"/>
        </w:rPr>
        <w:t>Frequency/number of assessments of urge</w:t>
      </w:r>
    </w:p>
    <w:p w14:paraId="312E4560" w14:textId="77777777" w:rsidR="00154F31" w:rsidRDefault="00154F31" w:rsidP="00154F31">
      <w:pPr>
        <w:pStyle w:val="ListParagraph"/>
        <w:numPr>
          <w:ilvl w:val="0"/>
          <w:numId w:val="55"/>
        </w:numPr>
        <w:spacing w:before="0" w:after="160" w:line="360" w:lineRule="auto"/>
        <w:textAlignment w:val="baseline"/>
        <w:rPr>
          <w:rFonts w:eastAsia="Times New Roman"/>
          <w:color w:val="000000"/>
        </w:rPr>
      </w:pPr>
      <w:r w:rsidRPr="005E59A8">
        <w:rPr>
          <w:rFonts w:eastAsia="Times New Roman"/>
          <w:color w:val="000000"/>
        </w:rPr>
        <w:t>Length of time between initial assessment of urge and final assessment of urge</w:t>
      </w:r>
    </w:p>
    <w:p w14:paraId="57282EFE" w14:textId="77777777" w:rsidR="00154F31" w:rsidRPr="005E59A8" w:rsidRDefault="00154F31" w:rsidP="00154F31">
      <w:pPr>
        <w:pStyle w:val="ListParagraph"/>
        <w:numPr>
          <w:ilvl w:val="0"/>
          <w:numId w:val="55"/>
        </w:numPr>
        <w:spacing w:before="0" w:after="160" w:line="360" w:lineRule="auto"/>
        <w:textAlignment w:val="baseline"/>
        <w:rPr>
          <w:rFonts w:eastAsia="Times New Roman"/>
          <w:color w:val="000000"/>
        </w:rPr>
      </w:pPr>
      <w:r>
        <w:rPr>
          <w:rFonts w:eastAsia="Times New Roman"/>
          <w:color w:val="000000"/>
        </w:rPr>
        <w:t>Presence and characteristics of a control group/condition</w:t>
      </w:r>
    </w:p>
    <w:p w14:paraId="3B9FAC2D" w14:textId="77777777" w:rsidR="00154F31" w:rsidRPr="005E59A8" w:rsidRDefault="00154F31" w:rsidP="00154F31">
      <w:pPr>
        <w:pStyle w:val="ListParagraph"/>
        <w:numPr>
          <w:ilvl w:val="0"/>
          <w:numId w:val="55"/>
        </w:numPr>
        <w:spacing w:before="0" w:after="160" w:line="360" w:lineRule="auto"/>
        <w:textAlignment w:val="baseline"/>
        <w:rPr>
          <w:rFonts w:eastAsia="Times New Roman"/>
          <w:color w:val="000000"/>
        </w:rPr>
      </w:pPr>
      <w:r w:rsidRPr="005E59A8">
        <w:rPr>
          <w:rFonts w:eastAsia="Times New Roman"/>
          <w:color w:val="000000"/>
        </w:rPr>
        <w:t>Changes in urge measurement scores</w:t>
      </w:r>
      <w:r>
        <w:rPr>
          <w:rFonts w:eastAsia="Times New Roman"/>
          <w:color w:val="000000"/>
        </w:rPr>
        <w:t xml:space="preserve"> during suppression and</w:t>
      </w:r>
      <w:r w:rsidRPr="005E59A8">
        <w:rPr>
          <w:rFonts w:eastAsia="Times New Roman"/>
          <w:color w:val="000000"/>
        </w:rPr>
        <w:t xml:space="preserve"> following suppression</w:t>
      </w:r>
      <w:r>
        <w:rPr>
          <w:rFonts w:eastAsia="Times New Roman"/>
          <w:color w:val="000000"/>
        </w:rPr>
        <w:t>, or differences between urge scores across groups/conditions</w:t>
      </w:r>
    </w:p>
    <w:p w14:paraId="779D1562" w14:textId="77777777" w:rsidR="00154F31" w:rsidRPr="005E59A8" w:rsidRDefault="00154F31" w:rsidP="00154F31">
      <w:pPr>
        <w:pStyle w:val="ListParagraph"/>
        <w:numPr>
          <w:ilvl w:val="0"/>
          <w:numId w:val="55"/>
        </w:numPr>
        <w:spacing w:before="0" w:after="160" w:line="360" w:lineRule="auto"/>
        <w:textAlignment w:val="baseline"/>
        <w:rPr>
          <w:rFonts w:eastAsia="Times New Roman"/>
          <w:color w:val="000000"/>
        </w:rPr>
      </w:pPr>
      <w:r w:rsidRPr="005E59A8">
        <w:rPr>
          <w:rFonts w:eastAsia="Times New Roman"/>
          <w:color w:val="000000"/>
        </w:rPr>
        <w:lastRenderedPageBreak/>
        <w:t>Relationship between changes in urge measurement scores and changes in clinical characteristics</w:t>
      </w:r>
    </w:p>
    <w:p w14:paraId="604A450A" w14:textId="77777777" w:rsidR="00154F31" w:rsidRPr="005E59A8" w:rsidRDefault="00154F31" w:rsidP="00154F31">
      <w:pPr>
        <w:numPr>
          <w:ilvl w:val="0"/>
          <w:numId w:val="47"/>
        </w:numPr>
        <w:spacing w:before="0" w:after="160" w:line="360" w:lineRule="auto"/>
        <w:ind w:left="1440"/>
        <w:textAlignment w:val="baseline"/>
        <w:rPr>
          <w:rFonts w:eastAsia="Times New Roman" w:cs="Times New Roman"/>
          <w:color w:val="000000"/>
        </w:rPr>
      </w:pPr>
      <w:r w:rsidRPr="005E59A8">
        <w:rPr>
          <w:rFonts w:eastAsia="Times New Roman" w:cs="Times New Roman"/>
          <w:color w:val="000000"/>
        </w:rPr>
        <w:t>Response to treatment</w:t>
      </w:r>
    </w:p>
    <w:p w14:paraId="1C4774D0" w14:textId="77777777" w:rsidR="00154F31" w:rsidRPr="005E59A8" w:rsidRDefault="00154F31" w:rsidP="00154F31">
      <w:pPr>
        <w:pStyle w:val="ListParagraph"/>
        <w:numPr>
          <w:ilvl w:val="0"/>
          <w:numId w:val="64"/>
        </w:numPr>
        <w:spacing w:before="0" w:after="160" w:line="360" w:lineRule="auto"/>
        <w:textAlignment w:val="baseline"/>
        <w:rPr>
          <w:rFonts w:eastAsia="Times New Roman"/>
          <w:color w:val="000000"/>
        </w:rPr>
      </w:pPr>
      <w:r w:rsidRPr="005E59A8">
        <w:rPr>
          <w:rFonts w:eastAsia="Times New Roman"/>
          <w:color w:val="000000"/>
        </w:rPr>
        <w:t>Type of treatment</w:t>
      </w:r>
    </w:p>
    <w:p w14:paraId="7C5923C7" w14:textId="77777777" w:rsidR="00154F31" w:rsidRPr="005E59A8" w:rsidRDefault="00154F31" w:rsidP="00154F31">
      <w:pPr>
        <w:pStyle w:val="ListParagraph"/>
        <w:numPr>
          <w:ilvl w:val="0"/>
          <w:numId w:val="64"/>
        </w:numPr>
        <w:spacing w:before="0" w:after="160" w:line="360" w:lineRule="auto"/>
        <w:textAlignment w:val="baseline"/>
        <w:rPr>
          <w:rFonts w:eastAsia="Times New Roman"/>
          <w:color w:val="000000"/>
        </w:rPr>
      </w:pPr>
      <w:r w:rsidRPr="005E59A8">
        <w:rPr>
          <w:rFonts w:eastAsia="Times New Roman"/>
          <w:color w:val="000000"/>
        </w:rPr>
        <w:t>Length/frequency/number of treatment administrations</w:t>
      </w:r>
    </w:p>
    <w:p w14:paraId="02BE8FCB" w14:textId="77777777" w:rsidR="00154F31" w:rsidRPr="005E59A8" w:rsidRDefault="00154F31" w:rsidP="00154F31">
      <w:pPr>
        <w:pStyle w:val="ListParagraph"/>
        <w:numPr>
          <w:ilvl w:val="0"/>
          <w:numId w:val="64"/>
        </w:numPr>
        <w:spacing w:before="0" w:after="160" w:line="360" w:lineRule="auto"/>
        <w:textAlignment w:val="baseline"/>
        <w:rPr>
          <w:rFonts w:eastAsia="Times New Roman"/>
          <w:color w:val="000000"/>
        </w:rPr>
      </w:pPr>
      <w:r w:rsidRPr="005E59A8">
        <w:rPr>
          <w:rFonts w:eastAsia="Times New Roman"/>
          <w:color w:val="000000"/>
        </w:rPr>
        <w:t>Measurement tool for urge</w:t>
      </w:r>
    </w:p>
    <w:p w14:paraId="639F1405" w14:textId="77777777" w:rsidR="00154F31" w:rsidRPr="005E59A8" w:rsidRDefault="00154F31" w:rsidP="00154F31">
      <w:pPr>
        <w:pStyle w:val="ListParagraph"/>
        <w:numPr>
          <w:ilvl w:val="0"/>
          <w:numId w:val="64"/>
        </w:numPr>
        <w:spacing w:before="0" w:after="160" w:line="360" w:lineRule="auto"/>
        <w:textAlignment w:val="baseline"/>
        <w:rPr>
          <w:rFonts w:eastAsia="Times New Roman"/>
          <w:color w:val="000000"/>
        </w:rPr>
      </w:pPr>
      <w:r w:rsidRPr="005E59A8">
        <w:rPr>
          <w:rFonts w:eastAsia="Times New Roman"/>
          <w:color w:val="000000"/>
        </w:rPr>
        <w:t>Frequency/number of assessments of urge</w:t>
      </w:r>
    </w:p>
    <w:p w14:paraId="68CFE346" w14:textId="77777777" w:rsidR="00154F31" w:rsidRDefault="00154F31" w:rsidP="00154F31">
      <w:pPr>
        <w:pStyle w:val="ListParagraph"/>
        <w:numPr>
          <w:ilvl w:val="0"/>
          <w:numId w:val="64"/>
        </w:numPr>
        <w:spacing w:before="0" w:after="160" w:line="360" w:lineRule="auto"/>
        <w:textAlignment w:val="baseline"/>
        <w:rPr>
          <w:rFonts w:eastAsia="Times New Roman"/>
          <w:color w:val="000000"/>
        </w:rPr>
      </w:pPr>
      <w:r w:rsidRPr="005E59A8">
        <w:rPr>
          <w:rFonts w:eastAsia="Times New Roman"/>
          <w:color w:val="000000"/>
        </w:rPr>
        <w:t>Length of time between initial assessment of urge and final assessment of urge</w:t>
      </w:r>
    </w:p>
    <w:p w14:paraId="0A4EF503" w14:textId="77777777" w:rsidR="00154F31" w:rsidRPr="00D852C2" w:rsidRDefault="00154F31" w:rsidP="00154F31">
      <w:pPr>
        <w:pStyle w:val="ListParagraph"/>
        <w:numPr>
          <w:ilvl w:val="0"/>
          <w:numId w:val="64"/>
        </w:numPr>
        <w:spacing w:before="0" w:after="160" w:line="360" w:lineRule="auto"/>
        <w:textAlignment w:val="baseline"/>
        <w:rPr>
          <w:rFonts w:eastAsia="Times New Roman"/>
          <w:color w:val="000000"/>
        </w:rPr>
      </w:pPr>
      <w:r>
        <w:rPr>
          <w:rFonts w:eastAsia="Times New Roman"/>
          <w:color w:val="000000"/>
        </w:rPr>
        <w:t>Presence and characteristics of a control group/condition</w:t>
      </w:r>
    </w:p>
    <w:p w14:paraId="121A1BE1" w14:textId="77777777" w:rsidR="00154F31" w:rsidRPr="005E59A8" w:rsidRDefault="00154F31" w:rsidP="00154F31">
      <w:pPr>
        <w:pStyle w:val="ListParagraph"/>
        <w:numPr>
          <w:ilvl w:val="0"/>
          <w:numId w:val="64"/>
        </w:numPr>
        <w:spacing w:before="0" w:after="160" w:line="360" w:lineRule="auto"/>
        <w:textAlignment w:val="baseline"/>
        <w:rPr>
          <w:rFonts w:eastAsia="Times New Roman"/>
          <w:color w:val="000000"/>
        </w:rPr>
      </w:pPr>
      <w:r w:rsidRPr="005E59A8">
        <w:rPr>
          <w:rFonts w:eastAsia="Times New Roman"/>
          <w:color w:val="000000"/>
        </w:rPr>
        <w:t>Changes in urge measurement scores following treatment</w:t>
      </w:r>
      <w:r>
        <w:rPr>
          <w:rFonts w:eastAsia="Times New Roman"/>
          <w:color w:val="000000"/>
        </w:rPr>
        <w:t>, or differences in urge scores across group/condition</w:t>
      </w:r>
    </w:p>
    <w:p w14:paraId="0EAC4B87" w14:textId="77777777" w:rsidR="00154F31" w:rsidRPr="005E59A8" w:rsidRDefault="00154F31" w:rsidP="00154F31">
      <w:pPr>
        <w:pStyle w:val="ListParagraph"/>
        <w:numPr>
          <w:ilvl w:val="0"/>
          <w:numId w:val="64"/>
        </w:numPr>
        <w:spacing w:before="0" w:after="160" w:line="360" w:lineRule="auto"/>
        <w:textAlignment w:val="baseline"/>
        <w:rPr>
          <w:rFonts w:eastAsia="Times New Roman"/>
          <w:color w:val="000000"/>
        </w:rPr>
      </w:pPr>
      <w:r w:rsidRPr="005E59A8">
        <w:rPr>
          <w:rFonts w:eastAsia="Times New Roman"/>
          <w:color w:val="000000"/>
        </w:rPr>
        <w:t>Relationship between changes in urge measurement scores and changes in clinical characteristics</w:t>
      </w:r>
    </w:p>
    <w:p w14:paraId="02DA23C8" w14:textId="77777777" w:rsidR="00154F31" w:rsidRPr="005E59A8" w:rsidRDefault="00154F31" w:rsidP="00154F31">
      <w:pPr>
        <w:numPr>
          <w:ilvl w:val="0"/>
          <w:numId w:val="48"/>
        </w:numPr>
        <w:spacing w:before="0" w:after="160" w:line="360" w:lineRule="auto"/>
        <w:textAlignment w:val="baseline"/>
        <w:rPr>
          <w:rFonts w:eastAsia="Times New Roman" w:cs="Times New Roman"/>
          <w:color w:val="000000"/>
        </w:rPr>
      </w:pPr>
      <w:r w:rsidRPr="005E59A8">
        <w:rPr>
          <w:rFonts w:eastAsia="Times New Roman" w:cs="Times New Roman"/>
          <w:color w:val="000000"/>
        </w:rPr>
        <w:t>Neural correlates of premonitory urge / methods for investigating neural correlates of premonitory urge</w:t>
      </w:r>
    </w:p>
    <w:p w14:paraId="059B69CE" w14:textId="77777777" w:rsidR="00154F31" w:rsidRPr="005E59A8" w:rsidRDefault="00154F31" w:rsidP="00154F31">
      <w:pPr>
        <w:pStyle w:val="ListParagraph"/>
        <w:numPr>
          <w:ilvl w:val="0"/>
          <w:numId w:val="57"/>
        </w:numPr>
        <w:spacing w:before="0" w:after="160" w:line="360" w:lineRule="auto"/>
        <w:textAlignment w:val="baseline"/>
        <w:rPr>
          <w:rFonts w:eastAsia="Times New Roman"/>
          <w:color w:val="000000"/>
        </w:rPr>
      </w:pPr>
      <w:r w:rsidRPr="005E59A8">
        <w:rPr>
          <w:rFonts w:eastAsia="Times New Roman"/>
          <w:color w:val="000000"/>
        </w:rPr>
        <w:t>Tool used to measure premonitory urge</w:t>
      </w:r>
    </w:p>
    <w:p w14:paraId="3636B584" w14:textId="77777777" w:rsidR="00154F31" w:rsidRPr="005E59A8" w:rsidRDefault="00154F31" w:rsidP="00154F31">
      <w:pPr>
        <w:pStyle w:val="ListParagraph"/>
        <w:numPr>
          <w:ilvl w:val="0"/>
          <w:numId w:val="57"/>
        </w:numPr>
        <w:spacing w:before="0" w:after="160" w:line="360" w:lineRule="auto"/>
        <w:textAlignment w:val="baseline"/>
        <w:rPr>
          <w:rFonts w:eastAsia="Times New Roman"/>
          <w:color w:val="000000"/>
        </w:rPr>
      </w:pPr>
      <w:r w:rsidRPr="005E59A8">
        <w:rPr>
          <w:rFonts w:eastAsia="Times New Roman"/>
          <w:color w:val="000000"/>
        </w:rPr>
        <w:t>Modality for measuring neural structure/function (e.g. fMRI)</w:t>
      </w:r>
    </w:p>
    <w:p w14:paraId="6BDE63D6" w14:textId="77777777" w:rsidR="00154F31" w:rsidRPr="005E59A8" w:rsidRDefault="00154F31" w:rsidP="00154F31">
      <w:pPr>
        <w:pStyle w:val="ListParagraph"/>
        <w:numPr>
          <w:ilvl w:val="0"/>
          <w:numId w:val="57"/>
        </w:numPr>
        <w:spacing w:before="0" w:after="160" w:line="360" w:lineRule="auto"/>
        <w:textAlignment w:val="baseline"/>
        <w:rPr>
          <w:rFonts w:eastAsia="Times New Roman"/>
          <w:color w:val="000000"/>
        </w:rPr>
      </w:pPr>
      <w:r w:rsidRPr="005E59A8">
        <w:rPr>
          <w:rFonts w:eastAsia="Times New Roman"/>
          <w:color w:val="000000"/>
        </w:rPr>
        <w:t>Instructions for individuals while neural activity is being recorded</w:t>
      </w:r>
    </w:p>
    <w:p w14:paraId="4DA8E79A" w14:textId="77777777" w:rsidR="00154F31" w:rsidRDefault="00154F31" w:rsidP="00154F31">
      <w:pPr>
        <w:pStyle w:val="ListParagraph"/>
        <w:numPr>
          <w:ilvl w:val="0"/>
          <w:numId w:val="57"/>
        </w:numPr>
        <w:spacing w:before="0" w:after="160" w:line="360" w:lineRule="auto"/>
        <w:textAlignment w:val="baseline"/>
        <w:rPr>
          <w:rFonts w:eastAsia="Times New Roman"/>
          <w:color w:val="000000"/>
        </w:rPr>
      </w:pPr>
      <w:r w:rsidRPr="005E59A8">
        <w:rPr>
          <w:rFonts w:eastAsia="Times New Roman"/>
          <w:color w:val="000000"/>
        </w:rPr>
        <w:t xml:space="preserve">Temporal </w:t>
      </w:r>
      <w:r>
        <w:rPr>
          <w:rFonts w:eastAsia="Times New Roman"/>
          <w:color w:val="000000"/>
        </w:rPr>
        <w:t>precision of urge measurement in relation to neural measurement (e.g. live urge monitoring during fMRI, comparing PUTS to fMRI)</w:t>
      </w:r>
    </w:p>
    <w:p w14:paraId="63C9D722" w14:textId="77777777" w:rsidR="00154F31" w:rsidRPr="005E59A8" w:rsidRDefault="00154F31" w:rsidP="00154F31">
      <w:pPr>
        <w:pStyle w:val="ListParagraph"/>
        <w:numPr>
          <w:ilvl w:val="0"/>
          <w:numId w:val="57"/>
        </w:numPr>
        <w:spacing w:before="0" w:after="160" w:line="360" w:lineRule="auto"/>
        <w:textAlignment w:val="baseline"/>
        <w:rPr>
          <w:rFonts w:eastAsia="Times New Roman"/>
          <w:color w:val="000000"/>
        </w:rPr>
      </w:pPr>
      <w:r>
        <w:rPr>
          <w:rFonts w:eastAsia="Times New Roman"/>
          <w:color w:val="000000"/>
        </w:rPr>
        <w:t>Presence/characteristics of different groups/conditions</w:t>
      </w:r>
    </w:p>
    <w:p w14:paraId="514F2B89" w14:textId="77777777" w:rsidR="00154F31" w:rsidRPr="005E59A8" w:rsidRDefault="00154F31" w:rsidP="00154F31">
      <w:pPr>
        <w:pStyle w:val="ListParagraph"/>
        <w:numPr>
          <w:ilvl w:val="0"/>
          <w:numId w:val="57"/>
        </w:numPr>
        <w:spacing w:before="0" w:after="160" w:line="360" w:lineRule="auto"/>
        <w:textAlignment w:val="baseline"/>
        <w:rPr>
          <w:rFonts w:eastAsia="Times New Roman"/>
          <w:color w:val="000000"/>
        </w:rPr>
      </w:pPr>
      <w:r w:rsidRPr="005E59A8">
        <w:rPr>
          <w:rFonts w:eastAsia="Times New Roman"/>
          <w:color w:val="000000"/>
        </w:rPr>
        <w:t>Statistic used to assess association between premonitory urge and neural correlate</w:t>
      </w:r>
      <w:r>
        <w:rPr>
          <w:rFonts w:eastAsia="Times New Roman"/>
          <w:color w:val="000000"/>
        </w:rPr>
        <w:t>, or differences between groups/conditions</w:t>
      </w:r>
    </w:p>
    <w:p w14:paraId="4B979B11" w14:textId="669948B3" w:rsidR="00154F31" w:rsidRPr="00154F31" w:rsidRDefault="00154F31" w:rsidP="00154F31">
      <w:pPr>
        <w:pStyle w:val="ListParagraph"/>
        <w:numPr>
          <w:ilvl w:val="0"/>
          <w:numId w:val="57"/>
        </w:numPr>
        <w:spacing w:before="0" w:after="160" w:line="360" w:lineRule="auto"/>
        <w:textAlignment w:val="baseline"/>
        <w:rPr>
          <w:rFonts w:eastAsia="Times New Roman"/>
          <w:color w:val="000000"/>
        </w:rPr>
      </w:pPr>
      <w:r w:rsidRPr="005E59A8">
        <w:rPr>
          <w:rFonts w:eastAsia="Times New Roman"/>
          <w:color w:val="000000"/>
        </w:rPr>
        <w:t>Finding of association and statistical significance</w:t>
      </w:r>
    </w:p>
    <w:p w14:paraId="1224A7AE" w14:textId="77777777" w:rsidR="00154F31" w:rsidRPr="00B61E0D" w:rsidRDefault="00154F31" w:rsidP="00154F31">
      <w:pPr>
        <w:spacing w:after="160" w:line="360" w:lineRule="auto"/>
        <w:textAlignment w:val="baseline"/>
        <w:rPr>
          <w:rFonts w:eastAsia="Times New Roman" w:cs="Times New Roman"/>
          <w:color w:val="000000"/>
        </w:rPr>
      </w:pPr>
      <w:r>
        <w:rPr>
          <w:rFonts w:eastAsia="Times New Roman" w:cs="Times New Roman"/>
          <w:color w:val="000000"/>
        </w:rPr>
        <w:t xml:space="preserve">9. Other relevant information </w:t>
      </w:r>
    </w:p>
    <w:p w14:paraId="23C1B94A" w14:textId="77777777" w:rsidR="00154F31" w:rsidRDefault="00154F31" w:rsidP="00154F31">
      <w:pPr>
        <w:rPr>
          <w:b/>
          <w:bCs/>
        </w:rPr>
      </w:pPr>
    </w:p>
    <w:p w14:paraId="0C606401" w14:textId="18E13414" w:rsidR="00154F31" w:rsidRDefault="00154F31" w:rsidP="00154F31">
      <w:pPr>
        <w:pStyle w:val="Heading2"/>
      </w:pPr>
      <w:r>
        <w:t>Search Strategies</w:t>
      </w:r>
    </w:p>
    <w:p w14:paraId="5F98F537" w14:textId="77777777" w:rsidR="005C5523" w:rsidRPr="00484184" w:rsidRDefault="005C5523" w:rsidP="005C5523">
      <w:pPr>
        <w:rPr>
          <w:rFonts w:cs="Times New Roman"/>
          <w:b/>
          <w:bCs/>
          <w:szCs w:val="24"/>
        </w:rPr>
      </w:pPr>
      <w:r w:rsidRPr="00484184">
        <w:rPr>
          <w:rFonts w:cs="Times New Roman"/>
          <w:b/>
          <w:bCs/>
          <w:szCs w:val="24"/>
        </w:rPr>
        <w:t>PubMed</w:t>
      </w:r>
    </w:p>
    <w:p w14:paraId="5E7D50D1" w14:textId="158DB888" w:rsidR="005C5523" w:rsidRPr="00484184" w:rsidRDefault="005C5523" w:rsidP="005C5523">
      <w:pPr>
        <w:rPr>
          <w:rFonts w:cs="Times New Roman"/>
          <w:szCs w:val="24"/>
        </w:rPr>
      </w:pPr>
      <w:r w:rsidRPr="00484184">
        <w:rPr>
          <w:rFonts w:cs="Times New Roman"/>
          <w:szCs w:val="24"/>
        </w:rPr>
        <w:lastRenderedPageBreak/>
        <w:t>(premonitory[tiab] OR "premonitory urge*"[tiab] OR "premonitory feeling*"[tiab] OR "premonitory sensation*"[tiab] OR "urge-tic network"[tiab] OR "urge to tic"[tiab] OR "tic urge*"[tiab] OR "urge phenomen*"[tiab] OR "associated urge*"[tiab]) AND (Tics[MeSH] OR tic[tiab] OR tics[tiab] OR "habituation spasm*"[tiab] OR "habit chorea*"[tiab] OR "habit spasm*"[tiab] OR Tic Disorders[MeSH] OR "tic disorder*"[tiab] OR Tourette Syndrome[MeSH] OR "Tourette syndrome"[tiab] OR Tourette*[tiab])</w:t>
      </w:r>
    </w:p>
    <w:p w14:paraId="08924236" w14:textId="77777777" w:rsidR="005C5523" w:rsidRPr="00484184" w:rsidRDefault="005C5523" w:rsidP="005C5523">
      <w:pPr>
        <w:rPr>
          <w:rFonts w:cs="Times New Roman"/>
          <w:b/>
          <w:bCs/>
          <w:szCs w:val="24"/>
        </w:rPr>
      </w:pPr>
      <w:r w:rsidRPr="00484184">
        <w:rPr>
          <w:rFonts w:cs="Times New Roman"/>
          <w:b/>
          <w:bCs/>
          <w:szCs w:val="24"/>
        </w:rPr>
        <w:t xml:space="preserve">Embase </w:t>
      </w:r>
    </w:p>
    <w:p w14:paraId="7DA8C05C" w14:textId="78ED0382" w:rsidR="005C5523" w:rsidRPr="00484184" w:rsidRDefault="005C5523" w:rsidP="005C5523">
      <w:pPr>
        <w:rPr>
          <w:rFonts w:cs="Times New Roman"/>
          <w:szCs w:val="24"/>
        </w:rPr>
      </w:pPr>
      <w:r w:rsidRPr="00484184">
        <w:rPr>
          <w:rFonts w:cs="Times New Roman"/>
          <w:szCs w:val="24"/>
        </w:rPr>
        <w:t>(premonitory:ab,ti OR 'premonitory urge*':ab,ti OR 'premonitory feeling*':ab,ti OR 'premonitory sensation*':ab,ti OR 'urge-tic network':ab,ti OR 'urge to tic':ab,ti OR 'tic urge*':ab,ti OR 'urge phenomen*':ab,ti OR 'associated urge*':ab,ti) AND ('tic'/exp OR 'tic*':ab,ti OR 'habituation spasm*':ab,ti OR 'habit chorea*':ab,ti OR 'habit spasm*':ab,ti OR 'tic disorder*':ab,ti OR 'gilles de la tourette syndrome'/exp OR 'tourette syndrome':ab,ti OR 'tourette*':ab,ti)</w:t>
      </w:r>
    </w:p>
    <w:p w14:paraId="4DE877F1" w14:textId="77777777" w:rsidR="005C5523" w:rsidRPr="00484184" w:rsidRDefault="005C5523" w:rsidP="005C5523">
      <w:pPr>
        <w:rPr>
          <w:rFonts w:cs="Times New Roman"/>
          <w:b/>
          <w:bCs/>
          <w:szCs w:val="24"/>
        </w:rPr>
      </w:pPr>
      <w:r w:rsidRPr="00484184">
        <w:rPr>
          <w:rFonts w:cs="Times New Roman"/>
          <w:b/>
          <w:bCs/>
          <w:szCs w:val="24"/>
        </w:rPr>
        <w:t xml:space="preserve">PsycINFO </w:t>
      </w:r>
    </w:p>
    <w:p w14:paraId="547CFD2C" w14:textId="37AC84B8" w:rsidR="005C5523" w:rsidRPr="005C5523" w:rsidRDefault="005C5523" w:rsidP="005C5523">
      <w:pPr>
        <w:rPr>
          <w:rFonts w:cs="Times New Roman"/>
          <w:szCs w:val="24"/>
        </w:rPr>
      </w:pPr>
      <w:r w:rsidRPr="00484184">
        <w:rPr>
          <w:rFonts w:cs="Times New Roman"/>
          <w:szCs w:val="24"/>
        </w:rPr>
        <w:t>(tiab(premonitory) OR tiab("premonitory urge*") OR tiab("premonitory feeling*") OR tiab("premonitory sensation*") OR tiab("urge-tic network") OR tiab("urge to tic") OR tiab("tic urge*") OR tiab("urge phenomen*") OR tiab("associated urge*")) AND (MAINSUBJECT.EXACT("Tics") OR MAINSUBJECT.EXACT("Tourette Syndrome") OR tiab(tic*) OR tiab("habituation spasm*") OR tiab("habit chorea*") OR tiab("habit spasm*") OR tiab("Tourette syndrome") OR tiab("Tourette*"))</w:t>
      </w:r>
    </w:p>
    <w:p w14:paraId="5A0965C3" w14:textId="77777777" w:rsidR="005C5523" w:rsidRPr="00484184" w:rsidRDefault="005C5523" w:rsidP="005C5523">
      <w:pPr>
        <w:rPr>
          <w:rFonts w:cs="Times New Roman"/>
          <w:b/>
          <w:bCs/>
          <w:szCs w:val="24"/>
        </w:rPr>
      </w:pPr>
      <w:r w:rsidRPr="00484184">
        <w:rPr>
          <w:rFonts w:cs="Times New Roman"/>
          <w:b/>
          <w:bCs/>
          <w:szCs w:val="24"/>
        </w:rPr>
        <w:t xml:space="preserve">Web of Science </w:t>
      </w:r>
    </w:p>
    <w:p w14:paraId="35D00794" w14:textId="706C4F4C" w:rsidR="005C5523" w:rsidRPr="00484184" w:rsidRDefault="005C5523" w:rsidP="005C5523">
      <w:pPr>
        <w:rPr>
          <w:rFonts w:cs="Times New Roman"/>
          <w:szCs w:val="24"/>
        </w:rPr>
      </w:pPr>
      <w:r w:rsidRPr="00484184">
        <w:rPr>
          <w:rFonts w:cs="Times New Roman"/>
          <w:szCs w:val="24"/>
        </w:rPr>
        <w:t>(TI=(premonitory) OR AB=(premonitory) OR TI=("premonitory urge*") OR AB=("premonitory urge*") OR TI=("premonitory feeling*") OR AB=("premonitory feeling*") OR TI=("premonitory sensation*") OR AB=("premonitory sensation*") OR TI=("urge-tic network*") OR AB=("urge-tic network*") OR TI=("urge to tic") OR AB=("urge to tic") OR TI=("tic urge") OR AB=("tic urge") OR TI=("urge phenomen*") OR AB=("urge phenomen*") OR TI=("associated urge*") OR AB=("associated urge*")) AND (TI=("tic*") OR AB=("tic*") OR TI=("habituation spasm*") OR AB=("habituation spasm*") OR TI=("habit chorea*") OR AB=("habit chorea*") OR TI=("habit spasm*") OR AB=("habit spasm*") OR TI=("Tourette syndrome") OR AB=("Tourette syndrome") OR TI=("Tourette*") OR AB=("Tourette*"))</w:t>
      </w:r>
    </w:p>
    <w:p w14:paraId="08BF9754" w14:textId="77777777" w:rsidR="005C5523" w:rsidRPr="00484184" w:rsidRDefault="005C5523" w:rsidP="005C5523">
      <w:pPr>
        <w:rPr>
          <w:rFonts w:cs="Times New Roman"/>
          <w:b/>
          <w:bCs/>
          <w:szCs w:val="24"/>
        </w:rPr>
      </w:pPr>
      <w:r w:rsidRPr="00484184">
        <w:rPr>
          <w:rFonts w:cs="Times New Roman"/>
          <w:b/>
          <w:bCs/>
          <w:szCs w:val="24"/>
        </w:rPr>
        <w:t>Scopus</w:t>
      </w:r>
    </w:p>
    <w:p w14:paraId="391D2DD5" w14:textId="77777777" w:rsidR="005C5523" w:rsidRPr="00484184" w:rsidRDefault="005C5523" w:rsidP="005C5523">
      <w:pPr>
        <w:rPr>
          <w:rFonts w:cs="Times New Roman"/>
          <w:szCs w:val="24"/>
        </w:rPr>
      </w:pPr>
      <w:r w:rsidRPr="00484184">
        <w:rPr>
          <w:rFonts w:cs="Times New Roman"/>
          <w:szCs w:val="24"/>
        </w:rPr>
        <w:t>(TITLE-ABS({premonitory} OR {premonitory urge} OR {premonitory urges} OR {premonitory feeling} OR {premonitory feelings} OR {premonitory sensation} OR {premonitory sensations} OR {urge-tic network} OR {urge to tic} OR {tic urge} OR {tic urges} OR {urge phenomenon} OR {urge phenomena} OR {associated urge} OR {associated urges})) AND (TITLE-ABS({tic} OR {tics} OR {habituation spasm} OR {habituation spasms} OR {habit chorea} OR {habit choreas} OR {habit spasm} OR {habit spasms} OR {tic disorder} OR {tic disorders} OR {Tourette Syndrome} OR {Tourette} OR {Tourettes}))</w:t>
      </w:r>
    </w:p>
    <w:p w14:paraId="7F22F9EA" w14:textId="77777777" w:rsidR="00154F31" w:rsidRPr="00154F31" w:rsidRDefault="00154F31" w:rsidP="00154F31">
      <w:pPr>
        <w:rPr>
          <w:b/>
          <w:bCs/>
        </w:rPr>
      </w:pPr>
    </w:p>
    <w:p w14:paraId="0F61A1F1" w14:textId="38F85739" w:rsidR="00986E35" w:rsidRPr="00154F31" w:rsidRDefault="00654E8F" w:rsidP="00154F31">
      <w:pPr>
        <w:pStyle w:val="Heading1"/>
      </w:pPr>
      <w:r w:rsidRPr="00994A3D">
        <w:t>Supplementary Tables</w:t>
      </w:r>
    </w:p>
    <w:p w14:paraId="6CAC1046" w14:textId="77777777" w:rsidR="00986E35" w:rsidRPr="008A1F40" w:rsidRDefault="00986E35" w:rsidP="00986E35">
      <w:pPr>
        <w:rPr>
          <w:rFonts w:cs="Times New Roman"/>
          <w:sz w:val="16"/>
          <w:szCs w:val="16"/>
        </w:rPr>
      </w:pPr>
      <w:r w:rsidRPr="008A1F40">
        <w:rPr>
          <w:rFonts w:cs="Times New Roman"/>
          <w:sz w:val="16"/>
          <w:szCs w:val="16"/>
        </w:rPr>
        <w:lastRenderedPageBreak/>
        <w:t>Table 1: Psychometric Properties of the Premonitory Urge for Tics Scale (PUTS)</w:t>
      </w:r>
    </w:p>
    <w:tbl>
      <w:tblPr>
        <w:tblpPr w:leftFromText="180" w:rightFromText="180" w:vertAnchor="text" w:tblpY="1"/>
        <w:tblOverlap w:val="never"/>
        <w:tblW w:w="9210" w:type="dxa"/>
        <w:tblCellSpacing w:w="15" w:type="dxa"/>
        <w:tblBorders>
          <w:top w:val="thinThickSmallGap" w:sz="24" w:space="0" w:color="C4BC96" w:themeColor="background2" w:themeShade="BF"/>
          <w:left w:val="thinThickSmallGap" w:sz="24" w:space="0" w:color="C4BC96" w:themeColor="background2" w:themeShade="BF"/>
          <w:bottom w:val="thickThinSmallGap" w:sz="24" w:space="0" w:color="C4BC96" w:themeColor="background2" w:themeShade="BF"/>
          <w:right w:val="thickThinSmallGap" w:sz="24" w:space="0" w:color="C4BC96" w:themeColor="background2" w:themeShade="BF"/>
          <w:insideH w:val="single" w:sz="6" w:space="0" w:color="C4BC96" w:themeColor="background2" w:themeShade="BF"/>
          <w:insideV w:val="single" w:sz="6" w:space="0" w:color="C4BC96" w:themeColor="background2"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2197"/>
        <w:gridCol w:w="2774"/>
        <w:gridCol w:w="1914"/>
        <w:gridCol w:w="2325"/>
      </w:tblGrid>
      <w:tr w:rsidR="00F04E9F" w:rsidRPr="008A1F40" w14:paraId="30437772" w14:textId="77777777" w:rsidTr="007F77D2">
        <w:trPr>
          <w:tblHeader/>
          <w:tblCellSpacing w:w="15" w:type="dxa"/>
        </w:trPr>
        <w:tc>
          <w:tcPr>
            <w:tcW w:w="0" w:type="auto"/>
            <w:shd w:val="clear" w:color="auto" w:fill="FFFFFF"/>
            <w:hideMark/>
          </w:tcPr>
          <w:p w14:paraId="1FF95055" w14:textId="77777777" w:rsidR="00986E35" w:rsidRPr="008A1F40" w:rsidRDefault="00986E35" w:rsidP="007F77D2">
            <w:pPr>
              <w:rPr>
                <w:rFonts w:cs="Times New Roman"/>
                <w:b/>
                <w:bCs/>
                <w:color w:val="000000" w:themeColor="text1"/>
                <w:sz w:val="16"/>
                <w:szCs w:val="16"/>
                <w:shd w:val="clear" w:color="auto" w:fill="FFFFFF"/>
              </w:rPr>
            </w:pPr>
            <w:r w:rsidRPr="008A1F40">
              <w:rPr>
                <w:rFonts w:cs="Times New Roman"/>
                <w:b/>
                <w:bCs/>
                <w:sz w:val="16"/>
                <w:szCs w:val="16"/>
              </w:rPr>
              <w:t>Study</w:t>
            </w:r>
          </w:p>
        </w:tc>
        <w:tc>
          <w:tcPr>
            <w:tcW w:w="0" w:type="auto"/>
            <w:shd w:val="clear" w:color="auto" w:fill="FFFFFF"/>
            <w:hideMark/>
          </w:tcPr>
          <w:p w14:paraId="3A8B8CF1" w14:textId="77777777" w:rsidR="00986E35" w:rsidRPr="008A1F40" w:rsidRDefault="00986E35" w:rsidP="007F77D2">
            <w:pPr>
              <w:rPr>
                <w:rFonts w:cs="Times New Roman"/>
                <w:b/>
                <w:bCs/>
                <w:color w:val="000000" w:themeColor="text1"/>
                <w:sz w:val="16"/>
                <w:szCs w:val="16"/>
                <w:shd w:val="clear" w:color="auto" w:fill="FFFFFF"/>
              </w:rPr>
            </w:pPr>
            <w:r w:rsidRPr="008A1F40">
              <w:rPr>
                <w:rFonts w:cs="Times New Roman"/>
                <w:b/>
                <w:bCs/>
                <w:sz w:val="16"/>
                <w:szCs w:val="16"/>
              </w:rPr>
              <w:t>Psychometric Properties of Interest</w:t>
            </w:r>
          </w:p>
        </w:tc>
        <w:tc>
          <w:tcPr>
            <w:tcW w:w="0" w:type="auto"/>
            <w:shd w:val="clear" w:color="auto" w:fill="FFFFFF"/>
            <w:hideMark/>
          </w:tcPr>
          <w:p w14:paraId="16AADF02" w14:textId="77777777" w:rsidR="00986E35" w:rsidRPr="008A1F40" w:rsidRDefault="00986E35" w:rsidP="007F77D2">
            <w:pPr>
              <w:rPr>
                <w:rFonts w:cs="Times New Roman"/>
                <w:b/>
                <w:bCs/>
                <w:color w:val="000000" w:themeColor="text1"/>
                <w:sz w:val="16"/>
                <w:szCs w:val="16"/>
                <w:shd w:val="clear" w:color="auto" w:fill="FFFFFF"/>
              </w:rPr>
            </w:pPr>
            <w:r w:rsidRPr="008A1F40">
              <w:rPr>
                <w:rFonts w:cs="Times New Roman"/>
                <w:b/>
                <w:bCs/>
                <w:sz w:val="16"/>
                <w:szCs w:val="16"/>
              </w:rPr>
              <w:t>Sample Size/Demographics</w:t>
            </w:r>
          </w:p>
        </w:tc>
        <w:tc>
          <w:tcPr>
            <w:tcW w:w="0" w:type="auto"/>
            <w:shd w:val="clear" w:color="auto" w:fill="FFFFFF"/>
            <w:hideMark/>
          </w:tcPr>
          <w:p w14:paraId="343A00F5" w14:textId="77777777" w:rsidR="00986E35" w:rsidRPr="008A1F40" w:rsidRDefault="00986E35" w:rsidP="007F77D2">
            <w:pPr>
              <w:rPr>
                <w:rFonts w:cs="Times New Roman"/>
                <w:b/>
                <w:bCs/>
                <w:color w:val="000000" w:themeColor="text1"/>
                <w:sz w:val="16"/>
                <w:szCs w:val="16"/>
                <w:shd w:val="clear" w:color="auto" w:fill="FFFFFF"/>
              </w:rPr>
            </w:pPr>
            <w:r w:rsidRPr="008A1F40">
              <w:rPr>
                <w:rFonts w:cs="Times New Roman"/>
                <w:b/>
                <w:bCs/>
                <w:sz w:val="16"/>
                <w:szCs w:val="16"/>
              </w:rPr>
              <w:t>Key findings</w:t>
            </w:r>
          </w:p>
        </w:tc>
      </w:tr>
      <w:tr w:rsidR="00F04E9F" w:rsidRPr="008A1F40" w14:paraId="0DB97B68" w14:textId="77777777" w:rsidTr="007F77D2">
        <w:trPr>
          <w:tblCellSpacing w:w="15" w:type="dxa"/>
        </w:trPr>
        <w:tc>
          <w:tcPr>
            <w:tcW w:w="0" w:type="auto"/>
            <w:shd w:val="clear" w:color="auto" w:fill="FFFFFF"/>
            <w:hideMark/>
          </w:tcPr>
          <w:p w14:paraId="274A0BFC" w14:textId="13A4ACBD"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 xml:space="preserve">Woods et al </w:t>
            </w:r>
            <w:r w:rsidR="0067010F">
              <w:rPr>
                <w:rFonts w:cs="Times New Roman"/>
                <w:sz w:val="16"/>
                <w:szCs w:val="16"/>
              </w:rPr>
              <w:t>(</w:t>
            </w:r>
            <w:r w:rsidRPr="008A1F40">
              <w:rPr>
                <w:rFonts w:cs="Times New Roman"/>
                <w:sz w:val="16"/>
                <w:szCs w:val="16"/>
              </w:rPr>
              <w:t>2005</w:t>
            </w:r>
            <w:r w:rsidR="0067010F">
              <w:rPr>
                <w:rFonts w:cs="Times New Roman"/>
                <w:sz w:val="16"/>
                <w:szCs w:val="16"/>
              </w:rPr>
              <w:t>)</w:t>
            </w:r>
            <w:r w:rsidRPr="008A1F40">
              <w:rPr>
                <w:rFonts w:cs="Times New Roman"/>
                <w:sz w:val="16"/>
                <w:szCs w:val="16"/>
              </w:rPr>
              <w:t xml:space="preserve"> (initial development and validation study)</w:t>
            </w:r>
            <w:r w:rsidR="0067010F">
              <w:rPr>
                <w:rFonts w:cs="Times New Roman"/>
                <w:sz w:val="16"/>
                <w:szCs w:val="16"/>
              </w:rPr>
              <w:t xml:space="preserve"> </w:t>
            </w:r>
            <w:sdt>
              <w:sdtPr>
                <w:rPr>
                  <w:rFonts w:cs="Times New Roman"/>
                  <w:color w:val="000000"/>
                  <w:sz w:val="16"/>
                  <w:szCs w:val="16"/>
                </w:rPr>
                <w:tag w:val="MENDELEY_CITATION_v3_eyJjaXRhdGlvbklEIjoiTUVOREVMRVlfQ0lUQVRJT05fMDE2NzQ1ZTYtZDhhOS00MTFhLWI2ZTUtMTVjYzBkYjJkY2IzIiwicHJvcGVydGllcyI6eyJub3RlSW5kZXgiOjB9LCJpc0VkaXRlZCI6ZmFsc2UsIm1hbnVhbE92ZXJyaWRlIjp7ImlzTWFudWFsbHlPdmVycmlkZGVuIjpmYWxzZSwiY2l0ZXByb2NUZXh0IjoiKDIpIiwibWFudWFsT3ZlcnJpZGVUZXh0IjoiIn0sImNpdGF0aW9uSXRlbXMiOlt7ImlkIjoiNjcyM2VkNzQtMGQ1Ny0zYTZhLWIwMzEtODVkN2Y4N2Q5NTVmIiwiaXRlbURhdGEiOnsidHlwZSI6ImFydGljbGUtam91cm5hbCIsImlkIjoiNjcyM2VkNzQtMGQ1Ny0zYTZhLWIwMzEtODVkN2Y4N2Q5NTVmIiwidGl0bGUiOiJQcmVtb25pdG9yeSBVcmdlIGZvciBUaWNzIFNjYWxlIChQVVRTKTogaW5pdGlhbCBwc3ljaG9tZXRyaWMgcmVzdWx0cyBhbmQgZXhhbWluYXRpb24gb2YgdGhlIHByZW1vbml0b3J5IHVyZ2UgcGhlbm9tZW5vbiBpbiB5b3V0aHMgd2l0aCBUaWMgZGlzb3JkZXJzIiwiZ3JvdXBJZCI6IjA3ZDYyYWMxLTVhYTgtMzlhZi1iNDllLTUyZDIwODhhYzU3MSIsImF1dGhvciI6W3siZmFtaWx5IjoiV29vZHMiLCJnaXZlbiI6IkQgVyIsInBhcnNlLW5hbWVzIjpmYWxzZSwiZHJvcHBpbmctcGFydGljbGUiOiIiLCJub24tZHJvcHBpbmctcGFydGljbGUiOiIifSx7ImZhbWlseSI6IlBpYWNlbnRpbmkiLCJnaXZlbiI6IkoiLCJwYXJzZS1uYW1lcyI6ZmFsc2UsImRyb3BwaW5nLXBhcnRpY2xlIjoiIiwibm9uLWRyb3BwaW5nLXBhcnRpY2xlIjoiIn0seyJmYW1pbHkiOiJIaW1sZSIsImdpdmVuIjoiTSBCIiwicGFyc2UtbmFtZXMiOmZhbHNlLCJkcm9wcGluZy1wYXJ0aWNsZSI6IiIsIm5vbi1kcm9wcGluZy1wYXJ0aWNsZSI6IiJ9LHsiZmFtaWx5IjoiQ2hhbmciLCJnaXZlbiI6IlMiLCJwYXJzZS1uYW1lcyI6ZmFsc2UsImRyb3BwaW5nLXBhcnRpY2xlIjoiIiwibm9uLWRyb3BwaW5nLXBhcnRpY2xlIjoiIn1dLCJjb250YWluZXItdGl0bGUiOiJKIERldiBCZWhhdiBQZWRpYXRyIiwiRE9JIjoiMTAuMTA5Ny8wMDAwNDcwMy0yMDA1MTIwMDAtMDAwMDEiLCJQTUlEIjoiMTYzNDQ2NTQiLCJpc3N1ZWQiOnsiZGF0ZS1wYXJ0cyI6W1syMDA1XV19LCJwYWdlIjoiMzk3LTQwMyIsImFic3RyYWN0IjoiQWx0aG91Z2ggbW90b3IgdGljcyBhbmQvb3Igdm9jYWwgdGljcyBhcmUgdGhlIGRlZmluaW5nIGZlYXR1cmVzIG9mIGNocm9uaWMgdGljIGRpc29yZGVyIChDVEQpIGFuZCBUb3VyZXR0ZSBzeW5kcm9tZSAoVFMpLCBvbGRlciB5b3V0aHMgYW5kIGFkdWx0cyBvZnRlbiByZXBvcnQgdGhlaXIgdGljcyB0byBiZSBwcmVjZWRlZCBieSBhbiB1bnBsZWFzYW50IHNlbnNhdGlvbiBvciBcInByZW1vbml0b3J5IHVyZ2UuXCIgV2hpbGUgcHJlbW9uaXRvcnkgdXJnZSBwaGVub21lbmEgbWF5IHBsYXkgYW4gaW1wb3J0YW50IHJvbGUgaW4gYmVoYXZpb3JhbCBpbnRlcnZlbnRpb25zIGZvciBDVEQvVFMsIHN0YW5kYXJkaXplZCBhc3Nlc3NtZW50cyBmb3IgcHJlbW9uaXRvcnkgdXJnZXMgZG8gbm90IGV4aXN0LiBUaGUgY3VycmVudCBzdHVkeSBvZiA0MiB5b3V0aHMgd2l0aCBUUyBvciBDVEQgcHJlc2VudHMgaW5pdGlhbCBwc3ljaG9tZXRyaWMgZGF0YSBmb3IgYSBuZXcsIGJyaWVmIHNlbGYtcmVwb3J0IHNjYWxlIGRlc2lnbmVkIHRvIG1lYXN1cmUgdGljLXJlbGF0ZWQgcHJlbW9uaXRvcnkgdXJnZXMuIFJlc3VsdHMgc2hvd2VkIHRoYXQgdGhlIFByZW1vbml0b3J5IFVyZ2UgZm9yIFRpY3MgU2NhbGUgKFBVVFMpIHdhcyBpbnRlcm5hbGx5IGNvbnNpc3RlbnQgKGFscGhhID0gLjgxKSBhbmQgdGVtcG9yYWxseSBzdGFibGUgYXQgMSAociA9IDAuNzksIHAgPCAuMDEpIGFuZCAyIChyID0gMC44NiwgcCA8IC4wMSkgd2Vla3MuIFBVVFMgc2NvcmVzIHdlcmUgYWxzbyBjb3JyZWxhdGVkIHdpdGggb3ZlcmFsbCB0aWMgc2V2ZXJpdHkgYXMgbWVhc3VyZWQgYnkgdGhlIFlhbGUgR2xvYmFsIFRpYyBTZXZlcml0eSBTY2FsZSAoWUdUU1M7IHIgPSAwLjMxLCBwIDwgLjA1KSBhbmQgdGhlIFlHVFNTIG51bWJlciAociA9IDAuMzUsIHAgPCAuMDUpLCBjb21wbGV4aXR5IChyID0gMC40OSwgcCA8IC4wMSksIGFuZCBpbnRlcmZlcmVuY2UgKHIgPSAwLjM2LCBwIDwgLjA1KSBzdWJzY2FsZXMuIEZpbmFsbHksIGFuIGV4YW1pbmF0aW9uIG9mIHRoZSBwc3ljaGlhdHJpYyBjb3JyZWxhdGVzIG9mIHRoZSBwcmVtb25pdG9yeSB1cmdlIHBoZW5vbWVub24geWllbGRlZCBzaWduaWZpY2FudCBjb3JyZWxhdGlvbnMgYmV0d2VlbiB0aGUgUFVUUyBhbmQgdGhlIENoaWxkIEJlaGF2aW9yIENoZWNrbGlzdCAoQ0JDTCkgYW54aWV0eS9kZXByZXNzaW9uIChyID0gMC4zMywgcCA8IC4wNSksIGFuZCB3aXRoZHJhd2FsIChyID0gMC4zOCwgcCA8IC4wNSkgc3Vic2NhbGVzIGFzIHdlbGwgYXMgdGhlIENoaWxkcmVuJ3MgWWFsZS1Ccm93biBPYnNlc3NpdmUgQ29tcHVsc2l2ZSBTY2FsZSAoQ1lCT0NTOyByID0gMC4zMSwgcCA8IC4wNSkuIEhvd2V2ZXIsIGEgY3Jvc3Mtc2VjdGlvbmFsIGV4YW1pbmF0aW9uIG9mIHRoZSBkYXRhIHNob3dlZCB0aGF0IHRoZSBwc3ljaG9tZXRyaWMgcHJvcGVydGllcyBvZiB0aGUgUFVUUyB3ZXJlIG5vdCBhY2NlcHRhYmxlIGZvciB5b3V0aHMgMTAgeWVhcnMgb2YgYWdlIGFuZCB5b3VuZ2VyLiBMaWtld2lzZSwgc2lnbmlmaWNhbnQgY29ycmVsYXRpb25zIGZvdW5kIGJldHdlZW4gdGhlIFlHVFNTIHN1YnNjYWxlcywgQ0JDTCBzdWJzY2FsZXMsIENZQk9DUywgYW5kIHRoZSBQVVRTIGRpZCBub3QgZW1lcmdlIGluIHRoaXMgeW91bmdlciBhZ2UgZ3JvdXAuIFRoZSBjbGluaWNhbCBhbmQgdGhlb3JldGljYWwgaW1wbGljYXRpb25zIG9mIHRoZXNlIGZpbmRpbmdzIGFyZSBkaXNjdXNzZWQuIiwiaXNzdWUiOiI2Iiwidm9sdW1lIjoiMjYiLCJjb250YWluZXItdGl0bGUtc2hvcnQiOiIifSwiaXNUZW1wb3JhcnkiOmZhbHNlfV19"/>
                <w:id w:val="736515133"/>
                <w:placeholder>
                  <w:docPart w:val="DefaultPlaceholder_-1854013440"/>
                </w:placeholder>
              </w:sdtPr>
              <w:sdtContent>
                <w:r w:rsidR="00F04E9F" w:rsidRPr="00F04E9F">
                  <w:rPr>
                    <w:rFonts w:cs="Times New Roman"/>
                    <w:color w:val="000000"/>
                    <w:sz w:val="16"/>
                    <w:szCs w:val="16"/>
                  </w:rPr>
                  <w:t>(2)</w:t>
                </w:r>
              </w:sdtContent>
            </w:sdt>
          </w:p>
        </w:tc>
        <w:tc>
          <w:tcPr>
            <w:tcW w:w="0" w:type="auto"/>
            <w:shd w:val="clear" w:color="auto" w:fill="FFFFFF"/>
            <w:hideMark/>
          </w:tcPr>
          <w:p w14:paraId="5EBA8588" w14:textId="77777777" w:rsidR="00986E35" w:rsidRPr="008A1F40" w:rsidRDefault="00986E35" w:rsidP="007F77D2">
            <w:pPr>
              <w:rPr>
                <w:rFonts w:cs="Times New Roman"/>
                <w:sz w:val="16"/>
                <w:szCs w:val="16"/>
              </w:rPr>
            </w:pPr>
            <w:r w:rsidRPr="008A1F40">
              <w:rPr>
                <w:rFonts w:cs="Times New Roman"/>
                <w:sz w:val="16"/>
                <w:szCs w:val="16"/>
              </w:rPr>
              <w:t>Internal consistency (Cronbach’s alpha) for 9-item PUTS (English)</w:t>
            </w:r>
          </w:p>
          <w:p w14:paraId="34A19B15" w14:textId="77777777" w:rsidR="00986E35" w:rsidRPr="008A1F40" w:rsidRDefault="00986E35" w:rsidP="007F77D2">
            <w:pPr>
              <w:rPr>
                <w:rFonts w:cs="Times New Roman"/>
                <w:sz w:val="16"/>
                <w:szCs w:val="16"/>
              </w:rPr>
            </w:pPr>
          </w:p>
          <w:p w14:paraId="36C744F4"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Test-retest reliability of 9-item PUTS at one and two weeks</w:t>
            </w:r>
          </w:p>
        </w:tc>
        <w:tc>
          <w:tcPr>
            <w:tcW w:w="0" w:type="auto"/>
            <w:shd w:val="clear" w:color="auto" w:fill="FFFFFF"/>
            <w:hideMark/>
          </w:tcPr>
          <w:p w14:paraId="15AD13B1"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42 children and adolescents with CTDs</w:t>
            </w:r>
          </w:p>
        </w:tc>
        <w:tc>
          <w:tcPr>
            <w:tcW w:w="0" w:type="auto"/>
            <w:shd w:val="clear" w:color="auto" w:fill="FFFFFF"/>
            <w:hideMark/>
          </w:tcPr>
          <w:p w14:paraId="2BD938FB" w14:textId="77777777" w:rsidR="00986E35" w:rsidRPr="008A1F40" w:rsidRDefault="00986E35" w:rsidP="007F77D2">
            <w:pPr>
              <w:rPr>
                <w:rFonts w:cs="Times New Roman"/>
                <w:color w:val="000000"/>
                <w:sz w:val="16"/>
                <w:szCs w:val="16"/>
              </w:rPr>
            </w:pPr>
            <w:r w:rsidRPr="008A1F40">
              <w:rPr>
                <w:rFonts w:cs="Times New Roman"/>
                <w:color w:val="000000"/>
                <w:sz w:val="16"/>
                <w:szCs w:val="16"/>
              </w:rPr>
              <w:t>α = 0.81 for entire sample</w:t>
            </w:r>
          </w:p>
          <w:p w14:paraId="476BBA31" w14:textId="77777777" w:rsidR="00986E35" w:rsidRPr="008A1F40" w:rsidRDefault="00986E35" w:rsidP="007F77D2">
            <w:pPr>
              <w:rPr>
                <w:rFonts w:cs="Times New Roman"/>
                <w:color w:val="202124"/>
                <w:sz w:val="16"/>
                <w:szCs w:val="16"/>
                <w:shd w:val="clear" w:color="auto" w:fill="FFFFFF"/>
              </w:rPr>
            </w:pPr>
            <w:r w:rsidRPr="008A1F40">
              <w:rPr>
                <w:rFonts w:cs="Times New Roman"/>
                <w:color w:val="000000"/>
                <w:sz w:val="16"/>
                <w:szCs w:val="16"/>
              </w:rPr>
              <w:t xml:space="preserve">α = 0.57 for subgroup </w:t>
            </w:r>
            <w:r w:rsidRPr="008A1F40">
              <w:rPr>
                <w:rFonts w:cs="Times New Roman"/>
                <w:color w:val="202124"/>
                <w:sz w:val="16"/>
                <w:szCs w:val="16"/>
                <w:shd w:val="clear" w:color="auto" w:fill="FFFFFF"/>
              </w:rPr>
              <w:t>≤ 10 years old</w:t>
            </w:r>
          </w:p>
          <w:p w14:paraId="0AD2CECF" w14:textId="77777777" w:rsidR="00986E35" w:rsidRPr="008A1F40" w:rsidRDefault="00986E35" w:rsidP="007F77D2">
            <w:pPr>
              <w:rPr>
                <w:rFonts w:cs="Times New Roman"/>
                <w:color w:val="000000"/>
                <w:sz w:val="16"/>
                <w:szCs w:val="16"/>
              </w:rPr>
            </w:pPr>
            <w:r w:rsidRPr="008A1F40">
              <w:rPr>
                <w:rFonts w:cs="Times New Roman"/>
                <w:color w:val="000000"/>
                <w:sz w:val="16"/>
                <w:szCs w:val="16"/>
              </w:rPr>
              <w:t>α = 0.89 for subgroup &gt; 10 years old</w:t>
            </w:r>
          </w:p>
          <w:p w14:paraId="545488FB" w14:textId="77777777" w:rsidR="00986E35" w:rsidRPr="008A1F40" w:rsidRDefault="00986E35" w:rsidP="007F77D2">
            <w:pPr>
              <w:rPr>
                <w:rFonts w:cs="Times New Roman"/>
                <w:color w:val="000000"/>
                <w:sz w:val="16"/>
                <w:szCs w:val="16"/>
              </w:rPr>
            </w:pPr>
          </w:p>
          <w:p w14:paraId="4A17DE59" w14:textId="51513833" w:rsidR="00986E35" w:rsidRPr="008A1F40" w:rsidRDefault="00986E35" w:rsidP="007F77D2">
            <w:pPr>
              <w:rPr>
                <w:rFonts w:cs="Times New Roman"/>
                <w:color w:val="000000"/>
                <w:sz w:val="16"/>
                <w:szCs w:val="16"/>
              </w:rPr>
            </w:pPr>
            <w:r w:rsidRPr="008A1F40">
              <w:rPr>
                <w:rFonts w:cs="Times New Roman"/>
                <w:color w:val="000000"/>
                <w:sz w:val="16"/>
                <w:szCs w:val="16"/>
              </w:rPr>
              <w:t>Test-retest reliability</w:t>
            </w:r>
            <w:r w:rsidR="007A550C">
              <w:rPr>
                <w:rFonts w:cs="Times New Roman"/>
                <w:color w:val="000000"/>
                <w:sz w:val="16"/>
                <w:szCs w:val="16"/>
              </w:rPr>
              <w:t xml:space="preserve"> (correlation type unclear)</w:t>
            </w:r>
          </w:p>
          <w:p w14:paraId="10B9DC05" w14:textId="77777777" w:rsidR="00986E35" w:rsidRPr="008A1F40" w:rsidRDefault="00986E35" w:rsidP="007F77D2">
            <w:pPr>
              <w:rPr>
                <w:rFonts w:cs="Times New Roman"/>
                <w:color w:val="000000"/>
                <w:sz w:val="16"/>
                <w:szCs w:val="16"/>
              </w:rPr>
            </w:pPr>
            <w:r w:rsidRPr="008A1F40">
              <w:rPr>
                <w:rFonts w:cs="Times New Roman"/>
                <w:color w:val="000000"/>
                <w:sz w:val="16"/>
                <w:szCs w:val="16"/>
              </w:rPr>
              <w:t xml:space="preserve">one week: </w:t>
            </w:r>
            <w:r w:rsidRPr="008A1F40">
              <w:rPr>
                <w:rFonts w:cs="Times New Roman"/>
                <w:color w:val="000000"/>
                <w:sz w:val="16"/>
                <w:szCs w:val="16"/>
                <w:shd w:val="clear" w:color="auto" w:fill="FFFFFF"/>
              </w:rPr>
              <w:t>r = 0.79, p &lt; .01</w:t>
            </w:r>
          </w:p>
          <w:p w14:paraId="453A5D92" w14:textId="77777777" w:rsidR="00986E35" w:rsidRPr="008A1F40" w:rsidRDefault="00986E35" w:rsidP="007F77D2">
            <w:pPr>
              <w:rPr>
                <w:rFonts w:cs="Times New Roman"/>
                <w:color w:val="000000"/>
                <w:sz w:val="16"/>
                <w:szCs w:val="16"/>
                <w:shd w:val="clear" w:color="auto" w:fill="FFFFFF"/>
              </w:rPr>
            </w:pPr>
            <w:r w:rsidRPr="008A1F40">
              <w:rPr>
                <w:rFonts w:cs="Times New Roman"/>
                <w:color w:val="000000"/>
                <w:sz w:val="16"/>
                <w:szCs w:val="16"/>
              </w:rPr>
              <w:t xml:space="preserve">two weeks: </w:t>
            </w:r>
            <w:r w:rsidRPr="008A1F40">
              <w:rPr>
                <w:rFonts w:cs="Times New Roman"/>
                <w:color w:val="000000"/>
                <w:sz w:val="16"/>
                <w:szCs w:val="16"/>
                <w:shd w:val="clear" w:color="auto" w:fill="FFFFFF"/>
              </w:rPr>
              <w:t>r = 0.86, p &lt; .01</w:t>
            </w:r>
          </w:p>
          <w:p w14:paraId="6B2474E4" w14:textId="77777777" w:rsidR="00986E35" w:rsidRPr="008A1F40" w:rsidRDefault="00986E35" w:rsidP="007F77D2">
            <w:pPr>
              <w:rPr>
                <w:rFonts w:cs="Times New Roman"/>
                <w:color w:val="202124"/>
                <w:sz w:val="16"/>
                <w:szCs w:val="16"/>
                <w:shd w:val="clear" w:color="auto" w:fill="FFFFFF"/>
              </w:rPr>
            </w:pPr>
            <w:r w:rsidRPr="008A1F40">
              <w:rPr>
                <w:rFonts w:cs="Times New Roman"/>
                <w:color w:val="000000"/>
                <w:sz w:val="16"/>
                <w:szCs w:val="16"/>
                <w:shd w:val="clear" w:color="auto" w:fill="FFFFFF"/>
              </w:rPr>
              <w:t xml:space="preserve">one week for subgroup </w:t>
            </w:r>
            <w:r w:rsidRPr="008A1F40">
              <w:rPr>
                <w:rFonts w:cs="Times New Roman"/>
                <w:color w:val="202124"/>
                <w:sz w:val="16"/>
                <w:szCs w:val="16"/>
                <w:shd w:val="clear" w:color="auto" w:fill="FFFFFF"/>
              </w:rPr>
              <w:t>≤ 10 years old: r = 0.75, p &lt; .01</w:t>
            </w:r>
          </w:p>
          <w:p w14:paraId="70A53A46"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202124"/>
                <w:sz w:val="16"/>
                <w:szCs w:val="16"/>
                <w:shd w:val="clear" w:color="auto" w:fill="FFFFFF"/>
              </w:rPr>
              <w:t>two week for subgroup &gt; 10 years old: r = 0.81, p &lt; .01</w:t>
            </w:r>
          </w:p>
        </w:tc>
      </w:tr>
      <w:tr w:rsidR="00F04E9F" w:rsidRPr="008A1F40" w14:paraId="2F6B6217" w14:textId="77777777" w:rsidTr="007F77D2">
        <w:trPr>
          <w:tblCellSpacing w:w="15" w:type="dxa"/>
        </w:trPr>
        <w:tc>
          <w:tcPr>
            <w:tcW w:w="0" w:type="auto"/>
            <w:shd w:val="clear" w:color="auto" w:fill="FFFFFF"/>
            <w:hideMark/>
          </w:tcPr>
          <w:p w14:paraId="1FBFEE85" w14:textId="721E2D0F"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 xml:space="preserve">Steinberg et al </w:t>
            </w:r>
            <w:r w:rsidR="0067010F">
              <w:rPr>
                <w:rFonts w:cs="Times New Roman"/>
                <w:sz w:val="16"/>
                <w:szCs w:val="16"/>
              </w:rPr>
              <w:t>(</w:t>
            </w:r>
            <w:r w:rsidRPr="008A1F40">
              <w:rPr>
                <w:rFonts w:cs="Times New Roman"/>
                <w:sz w:val="16"/>
                <w:szCs w:val="16"/>
              </w:rPr>
              <w:t>2010</w:t>
            </w:r>
            <w:r w:rsidR="0067010F">
              <w:rPr>
                <w:rFonts w:cs="Times New Roman"/>
                <w:sz w:val="16"/>
                <w:szCs w:val="16"/>
              </w:rPr>
              <w:t xml:space="preserve">) </w:t>
            </w:r>
            <w:sdt>
              <w:sdtPr>
                <w:rPr>
                  <w:rFonts w:cs="Times New Roman"/>
                  <w:color w:val="000000"/>
                  <w:sz w:val="16"/>
                  <w:szCs w:val="16"/>
                </w:rPr>
                <w:tag w:val="MENDELEY_CITATION_v3_eyJjaXRhdGlvbklEIjoiTUVOREVMRVlfQ0lUQVRJT05fY2EyOTA3YmEtN2RkNC00YmM2LTliM2ItYzcyZGE0ZWU2OGNkIiwicHJvcGVydGllcyI6eyJub3RlSW5kZXgiOjB9LCJpc0VkaXRlZCI6ZmFsc2UsIm1hbnVhbE92ZXJyaWRlIjp7ImlzTWFudWFsbHlPdmVycmlkZGVuIjpmYWxzZSwiY2l0ZXByb2NUZXh0IjoiKDMpIiwibWFudWFsT3ZlcnJpZGVUZXh0IjoiIn0sImNpdGF0aW9uSXRlbXMiOlt7ImlkIjoiODE4ODlmYmUtY2I0Zi0zMTQ2LWJlNWMtY2ViYWRjZjFiZmFhIiwiaXRlbURhdGEiOnsidHlwZSI6ImFydGljbGUtam91cm5hbCIsImlkIjoiODE4ODlmYmUtY2I0Zi0zMTQ2LWJlNWMtY2ViYWRjZjFiZmFhIiwidGl0bGUiOiJUaWMgZGlzb3JkZXJzIGFuZCB0aGUgcHJlbW9uaXRvcnkgdXJnZSIsImdyb3VwSWQiOiIwN2Q2MmFjMS01YWE4LTM5YWYtYjQ5ZS01MmQyMDg4YWM1NzEiLCJhdXRob3IiOlt7ImZhbWlseSI6IlN0ZWluYmVyZyIsImdpdmVuIjoiVCIsInBhcnNlLW5hbWVzIjpmYWxzZSwiZHJvcHBpbmctcGFydGljbGUiOiIiLCJub24tZHJvcHBpbmctcGFydGljbGUiOiIifSx7ImZhbWlseSI6IlNobXVlbCBCYXJ1Y2giLCJnaXZlbiI6IlMiLCJwYXJzZS1uYW1lcyI6ZmFsc2UsImRyb3BwaW5nLXBhcnRpY2xlIjoiIiwibm9uLWRyb3BwaW5nLXBhcnRpY2xlIjoiIn0seyJmYW1pbHkiOiJIYXJ1c2giLCJnaXZlbiI6IkEiLCJwYXJzZS1uYW1lcyI6ZmFsc2UsImRyb3BwaW5nLXBhcnRpY2xlIjoiIiwibm9uLWRyb3BwaW5nLXBhcnRpY2xlIjoiIn0seyJmYW1pbHkiOiJEYXIiLCJnaXZlbiI6IlIiLCJwYXJzZS1uYW1lcyI6ZmFsc2UsImRyb3BwaW5nLXBhcnRpY2xlIjoiIiwibm9uLWRyb3BwaW5nLXBhcnRpY2xlIjoiIn0seyJmYW1pbHkiOiJXb29kcyIsImdpdmVuIjoiRCIsInBhcnNlLW5hbWVzIjpmYWxzZSwiZHJvcHBpbmctcGFydGljbGUiOiIiLCJub24tZHJvcHBpbmctcGFydGljbGUiOiIifSx7ImZhbWlseSI6IlBpYWNlbnRpbmkiLCJnaXZlbiI6IkoiLCJwYXJzZS1uYW1lcyI6ZmFsc2UsImRyb3BwaW5nLXBhcnRpY2xlIjoiIiwibm9uLWRyb3BwaW5nLXBhcnRpY2xlIjoiIn0seyJmYW1pbHkiOiJBcHRlciIsImdpdmVuIjoiQSIsInBhcnNlLW5hbWVzIjpmYWxzZSwiZHJvcHBpbmctcGFydGljbGUiOiIiLCJub24tZHJvcHBpbmctcGFydGljbGUiOiIifV0sImNvbnRhaW5lci10aXRsZSI6IkogTmV1cmFsIFRyYW5zbSAoVmllbm5hKSIsIkRPSSI6IjEwLjEwMDcvczAwNzAyLTAwOS0wMzUzLTMiLCJQTUlEIjoiMjAwMzMyMzYiLCJVUkwiOiJodHRwczovL2xpbmsuc3ByaW5nZXIuY29tL2NvbnRlbnQvcGRmLzEwLjEwMDcvczAwNzAyLTAwOS0wMzUzLTMucGRmIiwiaXNzdWVkIjp7ImRhdGUtcGFydHMiOltbMjAxMF1dfSwicGFnZSI6IjI3Ny0yODQiLCJhYnN0cmFjdCI6IlRoZSBhaW1zIG9mIHRoaXMgc3R1ZHkgd2VyZSB0byBleGFtaW5lIGEgbm9uLUVuZ2xpc2ggKEhlYnJldykgdmVyc2lvbiBvZiBhIHNjYWxlIHRoYXQgbWVhc3VyZXMgdGhlIHByZW1vbml0b3J5IHVyZ2UgaW4gY2hpbGRyZW4gc3VmZmVyaW5nIGZyb20gdGljIGRpc29yZGVyLCBhcyB3ZWxsIGFzIGV4YW1pbmUgdGhlIGNvcnJlbGF0aW9ucyBvZiB0aGUgdXJnZSB3aXRoIGRlbW9ncmFwaGljIGFuZCBjbGluaWNhbCBhc3BlY3RzIG9mIFRvdXJldHRlIFN5bmRyb21lLiBGb3J0eSBjaGlsZHJlbiBhbmQgYWRvbGVzY2VudHMsIHN1ZmZlcmluZyBmcm9tIHRpY3MgcGFydGljaXBhdGVkIGluIHRoaXMgc3R1ZHkuIFRoZXkgd2VyZSBhc3Nlc3NlZCB3aXRoIHRoZSBQcmVtb25pdG9yeSBVcmdlIGZvciBUaWNzIFNjYWxlIChQVVRTKTsgdGhlIFlhbGUgR2xvYmFsIFRpYyBTZXZlcml0eSBTY2FsZSAoWUdUU1MpOyB0aGUgQ2hpbGRob29kIFZlcnNpb24gb2YgdGhlIFlhbGUgQnJvd24gT2JzZXNzaXZlIENvbXB1bHNpdmUgU2NhbGUgKENZQk9DUyk7IHRoZSBBREhEIFJhdGluZyBTY2FsZSBJViAoQ29ubmVycykgU2NhbGU7IHRoZSBTY3JlZW4gZm9yIENoaWxkIEFueGlldHkgUmVsYXRlZCBFbW90aW9uYWwgRGlzb3JkZXJzIChTQ0FSRUQpOyBhbmQgdGhlIENoaWxkIERlcHJlc3Npb24gSW52ZW50b3J5IChDREkpLiBUaGUgbWVhbiBQVVRTIHNjb3JlIHdhcyAyMC4xNSAoU0QgPSA1Ljg5KS4gRm9yIHRoZSBlbnRpcmUgc2FtcGxlIHRoZSBQVVRTIHdhcyBmb3VuZCB0byBiZSBpbnRlcm5hbGx5IGNvbnNpc3RlbnQgYXQgYSA9IDAuNzkuIFlvdXRocyBvbGRlciB0aGFuIDEwIHllYXJzIGhhZCBoaWdoZXIgY29uc2lzdGVuY3kgKGEgPSAwLjgzKSB0aGFuIHlvdXRocyB5b3VuZ2VyIHRoYW4gMTAgKGEgPSAwLjY5KS4gUHJlbW9uaXRvcnkgdXJnZSB3YXMgbm90IGNvcnJlbGF0ZWQgd2l0aCB0aWMgc2V2ZXJpdHkgaW4gdGhlIGVudGlyZSBzYW1wbGUuIEluIHlvdXRocyBvbGRlciB0aGFuIDEwLCBhcyBvcHBvc2VkIHRvIHlvdXRocyB5b3VuZ2VyIHRoYW4gMTAsIHByZW1vbml0b3J5IHVyZ2UgZGlkIGNvcnJlbGF0ZSB3aXRoIG9ic2Vzc2lvbnMsIGNvbXB1bHNpb25zIGFuZCBkZXByZXNzaW9uLCBidXQgbm90IHdpdGggYW54aWV0eSBvciB3aXRoIEFESEQuIFRoZSBwcmVtb25pdG9yeSB1cmdlIGNhbiBiZSBtZWFzdXJlZCByZWxpYWJseSBhbmQgdGhlIFBVVFMgaXMgYSB1c2VmdWwgaW5zdHJ1bWVudCBmb3IgbWVhc3VyaW5nIHRoaXMgaW1wb3J0YW50IHBoZW5vbWVuYS4gUHJlbW9uaXRvcnkgdXJnZXMgc2VlbXMgdG8gYmUgcmVsYXRlZCB0byBvYnNlc3Npb25zLCBjb21wdWxzaW9ucywgYW5kIGRlcHJlc3Npb24gaW4gb2xkZXIgY2hpbGRyZW4gYW5kIHRoaXMgbWF5IGhhdmUgaW1wbGljYXRpb25zIGZvciB0aGUgZGV2ZWxvcG1lbnRhbCBwc3ljaG9wYXRob2xneSBvZiB0aGVzZSBzeW1wdG9tcy4iLCJpc3N1ZSI6IjIiLCJ2b2x1bWUiOiIxMTciLCJjb250YWluZXItdGl0bGUtc2hvcnQiOiIifSwiaXNUZW1wb3JhcnkiOmZhbHNlfV19"/>
                <w:id w:val="-250050100"/>
                <w:placeholder>
                  <w:docPart w:val="DefaultPlaceholder_-1854013440"/>
                </w:placeholder>
              </w:sdtPr>
              <w:sdtContent>
                <w:r w:rsidR="00F04E9F" w:rsidRPr="00F04E9F">
                  <w:rPr>
                    <w:rFonts w:cs="Times New Roman"/>
                    <w:color w:val="000000"/>
                    <w:sz w:val="16"/>
                    <w:szCs w:val="16"/>
                  </w:rPr>
                  <w:t>(3)</w:t>
                </w:r>
              </w:sdtContent>
            </w:sdt>
          </w:p>
        </w:tc>
        <w:tc>
          <w:tcPr>
            <w:tcW w:w="0" w:type="auto"/>
            <w:shd w:val="clear" w:color="auto" w:fill="FFFFFF"/>
            <w:hideMark/>
          </w:tcPr>
          <w:p w14:paraId="212E1E77" w14:textId="77777777" w:rsidR="00986E35" w:rsidRPr="008A1F40" w:rsidRDefault="00986E35" w:rsidP="007F77D2">
            <w:pPr>
              <w:rPr>
                <w:rFonts w:cs="Times New Roman"/>
                <w:sz w:val="16"/>
                <w:szCs w:val="16"/>
              </w:rPr>
            </w:pPr>
            <w:r w:rsidRPr="008A1F40">
              <w:rPr>
                <w:rFonts w:cs="Times New Roman"/>
                <w:sz w:val="16"/>
                <w:szCs w:val="16"/>
              </w:rPr>
              <w:t>Internal consistency (Cronbach’s alpha) for 9-item PUTS (Hebrew)</w:t>
            </w:r>
          </w:p>
          <w:p w14:paraId="01536CE9" w14:textId="77777777" w:rsidR="00986E35" w:rsidRPr="008A1F40" w:rsidRDefault="00986E35" w:rsidP="007F77D2">
            <w:pPr>
              <w:rPr>
                <w:rFonts w:cs="Times New Roman"/>
                <w:color w:val="000000" w:themeColor="text1"/>
                <w:sz w:val="16"/>
                <w:szCs w:val="16"/>
                <w:shd w:val="clear" w:color="auto" w:fill="FFFFFF"/>
              </w:rPr>
            </w:pPr>
          </w:p>
        </w:tc>
        <w:tc>
          <w:tcPr>
            <w:tcW w:w="0" w:type="auto"/>
            <w:shd w:val="clear" w:color="auto" w:fill="FFFFFF"/>
            <w:hideMark/>
          </w:tcPr>
          <w:p w14:paraId="7885EA87"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sz w:val="16"/>
                <w:szCs w:val="16"/>
                <w:shd w:val="clear" w:color="auto" w:fill="FFFFFF"/>
              </w:rPr>
              <w:t>40 children with CTDs</w:t>
            </w:r>
          </w:p>
        </w:tc>
        <w:tc>
          <w:tcPr>
            <w:tcW w:w="0" w:type="auto"/>
            <w:shd w:val="clear" w:color="auto" w:fill="FFFFFF"/>
            <w:hideMark/>
          </w:tcPr>
          <w:p w14:paraId="44832C9D" w14:textId="77777777" w:rsidR="00986E35" w:rsidRPr="008A1F40" w:rsidRDefault="00986E35" w:rsidP="007F77D2">
            <w:pPr>
              <w:rPr>
                <w:rFonts w:cs="Times New Roman"/>
                <w:color w:val="000000"/>
                <w:sz w:val="16"/>
                <w:szCs w:val="16"/>
              </w:rPr>
            </w:pPr>
            <w:r w:rsidRPr="008A1F40">
              <w:rPr>
                <w:rFonts w:cs="Times New Roman"/>
                <w:color w:val="000000"/>
                <w:sz w:val="16"/>
                <w:szCs w:val="16"/>
              </w:rPr>
              <w:t>α = 0.79 for entire sample</w:t>
            </w:r>
          </w:p>
          <w:p w14:paraId="775353BB" w14:textId="77777777" w:rsidR="00986E35" w:rsidRPr="008A1F40" w:rsidRDefault="00986E35" w:rsidP="007F77D2">
            <w:pPr>
              <w:rPr>
                <w:rFonts w:cs="Times New Roman"/>
                <w:color w:val="202124"/>
                <w:sz w:val="16"/>
                <w:szCs w:val="16"/>
                <w:shd w:val="clear" w:color="auto" w:fill="FFFFFF"/>
              </w:rPr>
            </w:pPr>
            <w:r w:rsidRPr="008A1F40">
              <w:rPr>
                <w:rFonts w:cs="Times New Roman"/>
                <w:color w:val="000000"/>
                <w:sz w:val="16"/>
                <w:szCs w:val="16"/>
              </w:rPr>
              <w:t xml:space="preserve">α = 0.69 for subgroup </w:t>
            </w:r>
            <w:r w:rsidRPr="008A1F40">
              <w:rPr>
                <w:rFonts w:cs="Times New Roman"/>
                <w:color w:val="202124"/>
                <w:sz w:val="16"/>
                <w:szCs w:val="16"/>
                <w:shd w:val="clear" w:color="auto" w:fill="FFFFFF"/>
              </w:rPr>
              <w:t>≤ 10 years old</w:t>
            </w:r>
          </w:p>
          <w:p w14:paraId="52C01ED3"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sz w:val="16"/>
                <w:szCs w:val="16"/>
              </w:rPr>
              <w:t>α = 0.83 for subgroup &gt; 10 years old</w:t>
            </w:r>
          </w:p>
        </w:tc>
      </w:tr>
      <w:tr w:rsidR="00F04E9F" w:rsidRPr="008A1F40" w14:paraId="058497F7" w14:textId="77777777" w:rsidTr="007F77D2">
        <w:trPr>
          <w:tblCellSpacing w:w="15" w:type="dxa"/>
        </w:trPr>
        <w:tc>
          <w:tcPr>
            <w:tcW w:w="0" w:type="auto"/>
            <w:shd w:val="clear" w:color="auto" w:fill="FFFFFF"/>
            <w:hideMark/>
          </w:tcPr>
          <w:p w14:paraId="459ED33D" w14:textId="0719011D"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 xml:space="preserve">Gulisano et al </w:t>
            </w:r>
            <w:r w:rsidR="0067010F">
              <w:rPr>
                <w:rFonts w:cs="Times New Roman"/>
                <w:sz w:val="16"/>
                <w:szCs w:val="16"/>
              </w:rPr>
              <w:t>(</w:t>
            </w:r>
            <w:r w:rsidRPr="008A1F40">
              <w:rPr>
                <w:rFonts w:cs="Times New Roman"/>
                <w:sz w:val="16"/>
                <w:szCs w:val="16"/>
              </w:rPr>
              <w:t>2015</w:t>
            </w:r>
            <w:r w:rsidR="0067010F">
              <w:rPr>
                <w:rFonts w:cs="Times New Roman"/>
                <w:sz w:val="16"/>
                <w:szCs w:val="16"/>
              </w:rPr>
              <w:t xml:space="preserve">) </w:t>
            </w:r>
            <w:sdt>
              <w:sdtPr>
                <w:rPr>
                  <w:rFonts w:cs="Times New Roman"/>
                  <w:color w:val="000000"/>
                  <w:sz w:val="16"/>
                  <w:szCs w:val="16"/>
                </w:rPr>
                <w:tag w:val="MENDELEY_CITATION_v3_eyJjaXRhdGlvbklEIjoiTUVOREVMRVlfQ0lUQVRJT05fMTYxOTk3NDAtOTljMy00MjliLTkzNTMtZmIxNWZmOGM1M2RlIiwicHJvcGVydGllcyI6eyJub3RlSW5kZXgiOjB9LCJpc0VkaXRlZCI6ZmFsc2UsIm1hbnVhbE92ZXJyaWRlIjp7ImlzTWFudWFsbHlPdmVycmlkZGVuIjpmYWxzZSwiY2l0ZXByb2NUZXh0IjoiKDQpIiwibWFudWFsT3ZlcnJpZGVUZXh0IjoiIn0sImNpdGF0aW9uSXRlbXMiOlt7ImlkIjoiYjVhNWI5YWYtNTk2OC0zZmZkLTlmOTAtMzZhNTI0NGE1MDU4IiwiaXRlbURhdGEiOnsidHlwZSI6ImFydGljbGUtam91cm5hbCIsImlkIjoiYjVhNWI5YWYtNTk2OC0zZmZkLTlmOTAtMzZhNTI0NGE1MDU4IiwidGl0bGUiOiJQcmVtb25pdG9yeSBVcmdlcyBpbiBQYXRpZW50cyB3aXRoIEdpbGxlcyBkZSBsYSBUb3VyZXR0ZSBTeW5kcm9tZTogQW4gSXRhbGlhbiBUcmFuc2xhdGlvbiBhbmQgYSA3LVllYXIgRm9sbG93LXVwIiwiZ3JvdXBJZCI6IjA3ZDYyYWMxLTVhYTgtMzlhZi1iNDllLTUyZDIwODhhYzU3MSIsImF1dGhvciI6W3siZmFtaWx5IjoiR3VsaXNhbm8iLCJnaXZlbiI6Ik0iLCJwYXJzZS1uYW1lcyI6ZmFsc2UsImRyb3BwaW5nLXBhcnRpY2xlIjoiIiwibm9uLWRyb3BwaW5nLXBhcnRpY2xlIjoiIn0seyJmYW1pbHkiOiJDYWzDrCIsImdpdmVuIjoiUCIsInBhcnNlLW5hbWVzIjpmYWxzZSwiZHJvcHBpbmctcGFydGljbGUiOiIiLCJub24tZHJvcHBpbmctcGFydGljbGUiOiIifSx7ImZhbWlseSI6IlBhbGVybW8iLCJnaXZlbiI6IkYiLCJwYXJzZS1uYW1lcyI6ZmFsc2UsImRyb3BwaW5nLXBhcnRpY2xlIjoiIiwibm9uLWRyb3BwaW5nLXBhcnRpY2xlIjoiIn0seyJmYW1pbHkiOiJSb2JlcnRzb24iLCJnaXZlbiI6Ik0iLCJwYXJzZS1uYW1lcyI6ZmFsc2UsImRyb3BwaW5nLXBhcnRpY2xlIjoiIiwibm9uLWRyb3BwaW5nLXBhcnRpY2xlIjoiIn0seyJmYW1pbHkiOiJSaXp6byIsImdpdmVuIjoiUiIsInBhcnNlLW5hbWVzIjpmYWxzZSwiZHJvcHBpbmctcGFydGljbGUiOiIiLCJub24tZHJvcHBpbmctcGFydGljbGUiOiIifV0sImNvbnRhaW5lci10aXRsZSI6IkogQ2hpbGQgQWRvbGVzYyBQc3ljaG9waGFybWFjb2wiLCJET0kiOiIxMC4xMDg5L2NhcC4yMDE0LjAxNTQiLCJQTUlEIjoiMjYyODgzNDUiLCJVUkwiOiJodHRwczovL3d3dy5saWViZXJ0cHViLmNvbS9kb2kvMTAuMTA4OS9jYXAuMjAxNC4wMTU0IiwiaXNzdWVkIjp7ImRhdGUtcGFydHMiOltbMjAxNV1dfSwicGFnZSI6IjgxMC04MTYiLCJhYnN0cmFjdCI6Ik9CSkVDVElWRTogUHJlbW9uaXRvcnkgc2Vuc2F0aW9ucyBvciB1cmdlcyAoUFVzKSBhcmUgZGVzY3JpYmVkIGFzIGNoYXJhY3RlcmlzdGljIHNlbnNvcnkgcGhlbm9tZW5hIHByZWNlZGluZyB0aWNzLCB3aGljaCBhcmUgb2Z0ZW4gZGVzY3JpYmVkIGFzIHVucGxlYXNhbnQuIFRoZXkgb2NjdXIgaW4gOTAlIG9mIHBhdGllbnRzIGFmZmVjdGVkIGJ5IEdpbGxlcyBkZSBsYSBUb3VyZXR0ZSBTeW5kcm9tZSAoR1RTKS4gVGhleSBtYXkgYmUgbG9jYWxpemVkIChhcm91bmQgdGhlIGFyZWEgb2YgdGljKSBvciBnZW5lcmFsaXplZCAoY292ZXJpbmcgYSB3aWRlIGFyZWEgb2YgdGhlIGJvZHkpLiBUaGUgUFVzIGNhbiBiZSBtZWFzdXJlZCBieSB0aGUgUHJlbW9uaXRvcnkgVXJnZSBmb3IgVGljcyBTY2FsZSAoUFVUUykuIEluIHRoaXMgc3R1ZHkgd2UgdHJhbnNsYXRlZCB0aGUgUFVUUyBzY2FsZSBpbnRvIEl0YWxpYW4gYW5kIHRoZW4gYXNzZXNzZWQgY2hpbGRyZW4gYW5kIGFkb2xlc2NlbnRzL3lvdW5nIHBlb3BsZSAoQ1lQKSB3aXRoIEdUUyB1c2luZyB0aGUgc2NhbGUuIE1FVEhPRFM6IEdUUyBwYXRpZW50cyB3ZXJlIGFzc2Vzc2VkIGF0IHRoZSBpbml0aWFsIGludGVydmlldyBhbmQgYWZ0ZXIgNyB5ZWFycyB0byBldmFsdWF0ZSB0aGUgUFVzLCBhbmQgdGhlIGNvcnJlbGF0aW9ucyBvZiB0aGUgUFVUUyBzY29yZXMgd2l0aCB0aWMgc2V2ZXJpdHksIHNldmVyaXR5IG9mIGNvbW9yYmlkIGRpc29yZGVycyAob2JzZXNzaXZlLWNvbXB1bHNpdmUgZGlzb3JkZXIgW09DRF0sIGF0dGVudGlvbi1kZWZpY2l0L2h5cGVyYWN0aXZpdHkgZGlzb3JkZXIgW0FESERdKSwgYW5kIGEgdmFyaWV0eSBvZiBjb2V4aXN0aW5nIHBzeWNob3BhdGhvbG9naWVzLiBSRVNVTFRTOiBBIHRvdGFsIG9mIDk1IHBhdGllbnRzIHdlcmUgc3R1ZGllZC4gV2Ugc3VjY2Vzc2Z1bGx5IHRyYW5zbGF0ZWQgdGhlIFBVVFMgaW50byBJdGFsaWFuLCBhbmQgb3VyIHJlc3VsdHMgaW5kaWNhdGVkIHRoYXQgb3VyIHRyYW5zbGF0ZWQgdmVyc2lvbiBoYWQgZ29vZCBwc3ljaG9tZXRyaWMgcHJvcGVydGllcy4gUmVzdWx0cyBkZW1vbnN0cmF0ZWQgdGhhdCB0aGUgQ1lQIGhhZCBQVXMgYXQgYm90aCBpbnRlcnZpZXdzLCBidXQgdGhhdCBvbGRlciBDWVAgd2VyZSBtb3JlIGNvbnNpc3RlbnQgaW4gcmVwb3J0aW5nIFBVcyB0aGFuIHlvdW5nZXIgQ1lQIChpLmUuLCBQVVRTIHNjb3JlcyBpbmNyZWFzZWQgd2l0aCBhZ2UpLiBXZSBmb3VuZCBubyBjb3JyZWxhdGlvbnMgYmV0d2VlbiBQVVRTIHNjb3JlIGFuZCB0aWMgc2V2ZXJpdHkgYXQgZWl0aGVyIGludGVydmlldy4gV2UgZm91bmQgYSBzdGF0aXN0aWNhbCBzaWduaWZpY2FudCBjb3JyZWxhdGlvbiBiZXR3ZWVuIFBVVFMgc2NvcmUgYW5kIG9ic2Vzc2l2ZS1jb21wdWxzaXZlIHN5bXB0b21zIChPQ1MpIGF0IGJvdGggaW50ZXJ2aWV3czsgTW9yZW92ZXIgYm90aCB0aGUgUFVUUyBhbmQgQ2hpbGRyZW4ncyBZYWxlLUJyb3duIE9ic2Vzc2l2ZSBDb21wdWxzaXZlIFNjYWxlIChDWS1CT0NTKSBzY29yZXMgaW5jcmVhc2VkIHNpZ25pZmljYW50bHksIHdoZXJlYXMgdGhlIFlhbGUgR2xvYmFsIFRpYyBTZXZlcml0eSBSYXRpbmcgU2NhbGUgKFlHVFNTKSBzY29yZSBkZWNyZWFzZWQgc2lnbmlmaWNhbnRseS4gV2UgZm91bmQgbm8gcmVsYXRpb25zaGlwcyBiZXR3ZWVuIFBVVFMgc2NvcmVzIGFuZCBhbnhpZXR5LCBkZXByZXNzaW9uLCBBREhELCBhbmQgZXh0ZXJuYWxpemluZy9pbnRlcm5hbGl6aW5nIGJlaGF2aW9yYWwgc2NvcmVzLiBDT05DTFVTSU9OUzogT3VyIHJlc3VsdHMgc3VnZ2VzdCB0aGUgdGhlIEl0YWxpYW4gdHJhbnNsYXRpb24gb2YgdGhlIFBVVFMgaGFzIGdvb2QgcHN5Y2hvbWV0cmljIHByb3BlcnRpZXMuIEFsdGhvdWdoIGJvdGggeW91bmdlciAoPDEwIHllYXJzIG9mIGFnZSkgYW5kIG9sZGVyIENZUCAo4omkIDEwIHllYXJzIG9mIGFnZSkgcmVwb3J0ZWQgUFVzLCB0aGUgc2NvcmVzIGF0IHRoZSBpbml0aWFsIGludGVydmlldyB3ZXJlIHN0YXRpc3RpY2FsbHkgc2lnbmlmaWNhbnRseSBsb3dlciB0aGFuIGF0IGZvbGxvdy11cC4gTW9yZW92ZXIsIGluIENZUCA+MTAgeWVhcnMgb2YgYWdlLCB0aGUgUFVzIGNvcnJlbGF0ZWQgd2l0aCBvYnNlc3Npb25zIGFuZCBjb21wdWxzaW9ucyAoQ1ktQk9DUyBzY29yZXMpLiIsImlzc3VlIjoiMTAiLCJ2b2x1bWUiOiIyNSIsImNvbnRhaW5lci10aXRsZS1zaG9ydCI6IiJ9LCJpc1RlbXBvcmFyeSI6ZmFsc2V9XX0="/>
                <w:id w:val="-1041429974"/>
                <w:placeholder>
                  <w:docPart w:val="DefaultPlaceholder_-1854013440"/>
                </w:placeholder>
              </w:sdtPr>
              <w:sdtContent>
                <w:r w:rsidR="00F04E9F" w:rsidRPr="00F04E9F">
                  <w:rPr>
                    <w:rFonts w:cs="Times New Roman"/>
                    <w:color w:val="000000"/>
                    <w:sz w:val="16"/>
                    <w:szCs w:val="16"/>
                  </w:rPr>
                  <w:t>(4)</w:t>
                </w:r>
              </w:sdtContent>
            </w:sdt>
          </w:p>
        </w:tc>
        <w:tc>
          <w:tcPr>
            <w:tcW w:w="0" w:type="auto"/>
            <w:shd w:val="clear" w:color="auto" w:fill="FFFFFF"/>
            <w:hideMark/>
          </w:tcPr>
          <w:p w14:paraId="791A9E8D" w14:textId="77777777" w:rsidR="00986E35" w:rsidRPr="008A1F40" w:rsidRDefault="00986E35" w:rsidP="007F77D2">
            <w:pPr>
              <w:rPr>
                <w:rFonts w:cs="Times New Roman"/>
                <w:sz w:val="16"/>
                <w:szCs w:val="16"/>
              </w:rPr>
            </w:pPr>
            <w:r w:rsidRPr="008A1F40">
              <w:rPr>
                <w:rFonts w:cs="Times New Roman"/>
                <w:sz w:val="16"/>
                <w:szCs w:val="16"/>
              </w:rPr>
              <w:t>Internal consistency (Cronbach’s alpha) for 9-item PUTS (Italian)</w:t>
            </w:r>
          </w:p>
          <w:p w14:paraId="0D418DCC" w14:textId="77777777" w:rsidR="00986E35" w:rsidRPr="008A1F40" w:rsidRDefault="00986E35" w:rsidP="007F77D2">
            <w:pPr>
              <w:rPr>
                <w:rFonts w:cs="Times New Roman"/>
                <w:color w:val="000000" w:themeColor="text1"/>
                <w:sz w:val="16"/>
                <w:szCs w:val="16"/>
                <w:shd w:val="clear" w:color="auto" w:fill="FFFFFF"/>
              </w:rPr>
            </w:pPr>
          </w:p>
        </w:tc>
        <w:tc>
          <w:tcPr>
            <w:tcW w:w="0" w:type="auto"/>
            <w:shd w:val="clear" w:color="auto" w:fill="FFFFFF"/>
            <w:hideMark/>
          </w:tcPr>
          <w:p w14:paraId="26E98747" w14:textId="77777777" w:rsidR="00986E35" w:rsidRPr="008A1F40" w:rsidRDefault="00986E35" w:rsidP="007F77D2">
            <w:pPr>
              <w:rPr>
                <w:rFonts w:cs="Times New Roman"/>
                <w:color w:val="000000"/>
                <w:sz w:val="16"/>
                <w:szCs w:val="16"/>
                <w:shd w:val="clear" w:color="auto" w:fill="FFFFFF"/>
              </w:rPr>
            </w:pPr>
            <w:r w:rsidRPr="008A1F40">
              <w:rPr>
                <w:rFonts w:cs="Times New Roman"/>
                <w:color w:val="000000"/>
                <w:sz w:val="16"/>
                <w:szCs w:val="16"/>
                <w:shd w:val="clear" w:color="auto" w:fill="FFFFFF"/>
              </w:rPr>
              <w:t>95 children with TS assessed at baseline and long-term follow up</w:t>
            </w:r>
          </w:p>
          <w:p w14:paraId="67F78329" w14:textId="77777777" w:rsidR="00986E35" w:rsidRPr="008A1F40" w:rsidRDefault="00986E35" w:rsidP="007F77D2">
            <w:pPr>
              <w:rPr>
                <w:rFonts w:cs="Times New Roman"/>
                <w:color w:val="000000" w:themeColor="text1"/>
                <w:sz w:val="16"/>
                <w:szCs w:val="16"/>
                <w:shd w:val="clear" w:color="auto" w:fill="FFFFFF"/>
              </w:rPr>
            </w:pPr>
          </w:p>
        </w:tc>
        <w:tc>
          <w:tcPr>
            <w:tcW w:w="0" w:type="auto"/>
            <w:shd w:val="clear" w:color="auto" w:fill="FFFFFF"/>
            <w:hideMark/>
          </w:tcPr>
          <w:p w14:paraId="1D6FA9F7" w14:textId="77777777" w:rsidR="00986E35" w:rsidRPr="008A1F40" w:rsidRDefault="00986E35" w:rsidP="007F77D2">
            <w:pPr>
              <w:rPr>
                <w:rFonts w:cs="Times New Roman"/>
                <w:color w:val="202124"/>
                <w:sz w:val="16"/>
                <w:szCs w:val="16"/>
                <w:shd w:val="clear" w:color="auto" w:fill="FFFFFF"/>
              </w:rPr>
            </w:pPr>
            <w:r w:rsidRPr="008A1F40">
              <w:rPr>
                <w:rFonts w:cs="Times New Roman"/>
                <w:color w:val="000000"/>
                <w:sz w:val="16"/>
                <w:szCs w:val="16"/>
              </w:rPr>
              <w:t xml:space="preserve">α = 0.70 for subgroup </w:t>
            </w:r>
            <w:r w:rsidRPr="008A1F40">
              <w:rPr>
                <w:rFonts w:cs="Times New Roman"/>
                <w:color w:val="202124"/>
                <w:sz w:val="16"/>
                <w:szCs w:val="16"/>
                <w:shd w:val="clear" w:color="auto" w:fill="FFFFFF"/>
              </w:rPr>
              <w:t>≤ 10 years old</w:t>
            </w:r>
          </w:p>
          <w:p w14:paraId="5FD83C0D"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sz w:val="16"/>
                <w:szCs w:val="16"/>
              </w:rPr>
              <w:t>α = 0.85 for subgroup &gt; 10 years old</w:t>
            </w:r>
          </w:p>
        </w:tc>
      </w:tr>
      <w:tr w:rsidR="00F04E9F" w:rsidRPr="008A1F40" w14:paraId="146C4CF1" w14:textId="77777777" w:rsidTr="007F77D2">
        <w:trPr>
          <w:tblCellSpacing w:w="15" w:type="dxa"/>
        </w:trPr>
        <w:tc>
          <w:tcPr>
            <w:tcW w:w="0" w:type="auto"/>
            <w:shd w:val="clear" w:color="auto" w:fill="FFFFFF"/>
            <w:hideMark/>
          </w:tcPr>
          <w:p w14:paraId="4AC69F05" w14:textId="50E93064"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 xml:space="preserve">Raines et al </w:t>
            </w:r>
            <w:r w:rsidR="0067010F">
              <w:rPr>
                <w:rFonts w:cs="Times New Roman"/>
                <w:sz w:val="16"/>
                <w:szCs w:val="16"/>
              </w:rPr>
              <w:t>(</w:t>
            </w:r>
            <w:r w:rsidRPr="008A1F40">
              <w:rPr>
                <w:rFonts w:cs="Times New Roman"/>
                <w:sz w:val="16"/>
                <w:szCs w:val="16"/>
              </w:rPr>
              <w:t>2018</w:t>
            </w:r>
            <w:r w:rsidR="0067010F">
              <w:rPr>
                <w:rFonts w:cs="Times New Roman"/>
                <w:sz w:val="16"/>
                <w:szCs w:val="16"/>
              </w:rPr>
              <w:t xml:space="preserve">) </w:t>
            </w:r>
            <w:sdt>
              <w:sdtPr>
                <w:rPr>
                  <w:rFonts w:cs="Times New Roman"/>
                  <w:color w:val="000000"/>
                  <w:sz w:val="16"/>
                  <w:szCs w:val="16"/>
                </w:rPr>
                <w:tag w:val="MENDELEY_CITATION_v3_eyJjaXRhdGlvbklEIjoiTUVOREVMRVlfQ0lUQVRJT05fYThlNGFjYjAtNjA1Mi00ZmFjLTg0ZWQtNDhhYWYwNDc5MjQzIiwicHJvcGVydGllcyI6eyJub3RlSW5kZXgiOjB9LCJpc0VkaXRlZCI6ZmFsc2UsIm1hbnVhbE92ZXJyaWRlIjp7ImlzTWFudWFsbHlPdmVycmlkZGVuIjpmYWxzZSwiY2l0ZXByb2NUZXh0IjoiKDUpIiwibWFudWFsT3ZlcnJpZGVUZXh0IjoiIn0sImNpdGF0aW9uSXRlbXMiOlt7ImlkIjoiZDE3NDM1MmUtNmJkMS0zMzVlLTg2ZDUtMjE2Yjg2NDNjZTdmIiwiaXRlbURhdGEiOnsidHlwZSI6ImFydGljbGUtam91cm5hbCIsImlkIjoiZDE3NDM1MmUtNmJkMS0zMzVlLTg2ZDUtMjE2Yjg2NDNjZTdmIiwidGl0bGUiOiJQcmVtb25pdG9yeSBVcmdlIGZvciBUaWNzIFNjYWxlIChQVVRTKTogcmVwbGljYXRpb24gYW5kIGV4dGVuc2lvbiBvZiBwc3ljaG9tZXRyaWMgcHJvcGVydGllcyBpbiB5b3V0aCB3aXRoIGNocm9uaWMgdGljIGRpc29yZGVycyAoQ1REcykiLCJncm91cElkIjoiMDdkNjJhYzEtNWFhOC0zOWFmLWI0OWUtNTJkMjA4OGFjNTcxIiwiYXV0aG9yIjpbeyJmYW1pbHkiOiJSYWluZXMiLCJnaXZlbiI6IkogTSIsInBhcnNlLW5hbWVzIjpmYWxzZSwiZHJvcHBpbmctcGFydGljbGUiOiIiLCJub24tZHJvcHBpbmctcGFydGljbGUiOiIifSx7ImZhbWlseSI6IkVkd2FyZHMiLCJnaXZlbiI6IksgUiIsInBhcnNlLW5hbWVzIjpmYWxzZSwiZHJvcHBpbmctcGFydGljbGUiOiIiLCJub24tZHJvcHBpbmctcGFydGljbGUiOiIifSx7ImZhbWlseSI6IlNoZXJtYW4iLCJnaXZlbiI6Ik0gRiIsInBhcnNlLW5hbWVzIjpmYWxzZSwiZHJvcHBpbmctcGFydGljbGUiOiIiLCJub24tZHJvcHBpbmctcGFydGljbGUiOiIifSx7ImZhbWlseSI6IkhpZ2dpbnNvbiIsImdpdmVuIjoiQyBJIiwicGFyc2UtbmFtZXMiOmZhbHNlLCJkcm9wcGluZy1wYXJ0aWNsZSI6IiIsIm5vbi1kcm9wcGluZy1wYXJ0aWNsZSI6IiJ9LHsiZmFtaWx5IjoiV2lubmljayIsImdpdmVuIjoiSiBCIiwicGFyc2UtbmFtZXMiOmZhbHNlLCJkcm9wcGluZy1wYXJ0aWNsZSI6IiIsIm5vbi1kcm9wcGluZy1wYXJ0aWNsZSI6IiJ9LHsiZmFtaWx5IjoiTmF2aW4iLCJnaXZlbiI6IksiLCJwYXJzZS1uYW1lcyI6ZmFsc2UsImRyb3BwaW5nLXBhcnRpY2xlIjoiIiwibm9uLWRyb3BwaW5nLXBhcnRpY2xlIjoiIn0seyJmYW1pbHkiOiJHZXR0aW5ncyIsImdpdmVuIjoiSiBNIiwicGFyc2UtbmFtZXMiOmZhbHNlLCJkcm9wcGluZy1wYXJ0aWNsZSI6IiIsIm5vbi1kcm9wcGluZy1wYXJ0aWNsZSI6IiJ9LHsiZmFtaWx5IjoiQ29udGVoIiwiZ2l2ZW4iOiJGIiwicGFyc2UtbmFtZXMiOmZhbHNlLCJkcm9wcGluZy1wYXJ0aWNsZSI6IiIsIm5vbi1kcm9wcGluZy1wYXJ0aWNsZSI6IiJ9LHsiZmFtaWx5IjoiQmVubmV0dCIsImdpdmVuIjoiUyBNIiwicGFyc2UtbmFtZXMiOmZhbHNlLCJkcm9wcGluZy1wYXJ0aWNsZSI6IiIsIm5vbi1kcm9wcGluZy1wYXJ0aWNsZSI6IiJ9LHsiZmFtaWx5IjoiU3BlY2h0IiwiZ2l2ZW4iOiJNIFciLCJwYXJzZS1uYW1lcyI6ZmFsc2UsImRyb3BwaW5nLXBhcnRpY2xlIjoiIiwibm9uLWRyb3BwaW5nLXBhcnRpY2xlIjoiIn1dLCJjb250YWluZXItdGl0bGUiOiJKIE5ldXJhbCBUcmFuc20gKFZpZW5uYSkiLCJET0kiOiIxMC4xMDA3L3MwMDcwMi0wMTctMTgxOC00IiwiUE1JRCI6IjI5MTg1MDc3IiwiVVJMIjoiaHR0cHM6Ly9saW5rLnNwcmluZ2VyLmNvbS9hcnRpY2xlLzEwLjEwMDcvczAwNzAyLTAxNy0xODE4LTQiLCJpc3N1ZWQiOnsiZGF0ZS1wYXJ0cyI6W1syMDE4XV19LCJwYWdlIjoiNzI3LTczNCIsImFic3RyYWN0IjoiSW5kaXZpZHVhbHMgd2l0aCBjaHJvbmljIHRpYyBkaXNvcmRlcnMgKENURHMpIGZyZXF1ZW50bHkgZGVzY3JpYmUgYXZlcnNpdmUgc3ViamVjdGl2ZSBzZW5zb3J5IHNlbnNhdGlvbnMgdGhhdCBwcmVjZWRlIHRoZWlyIHRpY3MuIFRoZSBmaXJzdCBhaW0gb2YgdGhlIHByZXNlbnQgc3R1ZHkgd2FzIHRvIGV4cGxvcmUgdGhlIHBzeWNob21ldHJpYyBwcm9wZXJ0aWVzIG9mIGEgc3RhbmRhcmRpemVkIHNlbGYtcmVwb3J0IG1lYXN1cmUgdG8gYXNzZXNzIHByZW1vbml0b3J5IHVyZ2VzIGluIENURHMsIFRoZSBQcmVtb25pdG9yeSBVcmdlIGZvciBUaWNzIFNjYWxlIChQVVRTKSwgYnkgcmVwbGljYXRpbmcgdGhlIGFuYWx5c2VzIG9mIFdvb2RzIGV0IGFsLiAoSiBEZXYgQmVoYXYgUGVkaWF0ciAyNjozOTctNDAzLCAyMDA1KSB1c2luZyBhIHNhbXBsZSB0d2ljZSB0aGUgc2l6ZSBvZiB0aGVpcnMuIFRoZSBzZWNvbmQgYWltIHdhcyB0byBjb25kdWN0IGFuIGV4cGxvcmF0b3J5IGZhY3RvciBhbmFseXNpcyBvZiB0aGUgUFVUUy4gRWlnaHR5LWZvdXIgeW91dGggd2l0aCBDVERzLCByZWNydWl0ZWQgZnJvbSBhIHBlZGlhdHJpYyBPQ0QgYW5kIHRpYyBzcGVjaWFsdHkgY2xpbmljLCBjb21wbGV0ZWQgdGhlIFBVVFMgd2hpbGUgdGhlaXIgY2FyZWdpdmVycyBjb21wbGV0ZWQgVGhlIFBhcmVudCBUaWMgUXVlc3Rpb25uYWlyZSAoUFRRKSBhbmQgYSBkZW1vZ3JhcGhpYyBtZWFzdXJlLiBDb25zaXN0ZW50IHdpdGggKFdvb2RzIGV0IGFsLiBKIERldiBCZWhhdiBQZWRpYXRyIDI2OjM5Ny00MDMsIDIwMDUpLCB0aGUgUFVUUyB3YXMgZm91bmQgdG8gYmUgaW50ZXJuYWxseSBjb25zaXN0ZW50ICjOscKgPcKgMC44MikgYW5kIHNpZ25pZmljYW50bHkgY29ycmVsYXRlZCB3aXRoIG92ZXJhbGwgdGljIHNldmVyaXR5IGFzIG1lYXN1cmVkIGJ5IHRoZSBQVFEgKHLCoD3CoDAuMjQsIHDCoDzCoDAuMDUpIGFzIHdlbGwgYXMgdGhlIFBUUSBudW1iZXIgKHLCoD3CoDAuMzQsIHDCoDzCoDAuMDEpIGFuZCBpbnRlbnNpdHkgKHLCoD3CoDAuMjQsIHDCoDzCoDAuMDUpIHN1YnNjYWxlcy4gQSBmYWN0b3ItYW5hbHlzaXMgb2YgdGhlIFBVVFMgcmV2ZWFsZWQgYSB0d28tZmFjdG9yIHNvbHV0aW9uIHdpdGggb25lIGZhY3RvciBjYXB0dXJpbmcgdGhlIHF1YWxpdHkgb2YgcHJlbW9uaXRvcnkgc2Vuc2F0aW9ucyB3aGlsZSB0aGUgb3RoZXIgZmFjdG9yIGFzc2Vzc2VkIHRoZSBvdmVyYWxsIGludGVuc2l0eSBvZiB0aGUgdXJnZXMuIFRoZXNlIHJlc3VsdHMgc3VwcG9ydCB0aGUgdXNlIG9mIHRoZSBQVVRTIGluIHJlbGlhYmx5IG1lYXN1cmluZyBwcmVtb25pdG9yeSB1cmdlcywgcGFydGljdWxhcmx5IGluIGNoaWxkcmVuIG92ZXIgdGhlIGFnZSBvZiAxMMKgeWVhcnMuIEFkZGl0aW9uYWxseSwgdGhlc2UgZmluZGluZ3MgaGlnaGxpZ2h0IHRoYXQgdXJnZXMgYXJlIHVuaWZvcm1seSByZXBvcnRlZCBhY3Jvc3MgZ2VuZGVyIGFuZCBhZ2UgYW5kIGFyZSBtb3JlIGNsb3NlbHkgYXNzb2NpYXRlZCB3aXRoIG51bWJlciBvZiB0aWNzIHRoYW4gdGhlIGZyZXF1ZW5jeSBvciBpbnRlbnNpdHkgb2YgdGljcy4iLCJpc3N1ZSI6IjQiLCJ2b2x1bWUiOiIxMjUiLCJjb250YWluZXItdGl0bGUtc2hvcnQiOiIifSwiaXNUZW1wb3JhcnkiOmZhbHNlfV19"/>
                <w:id w:val="-1208404882"/>
                <w:placeholder>
                  <w:docPart w:val="DefaultPlaceholder_-1854013440"/>
                </w:placeholder>
              </w:sdtPr>
              <w:sdtContent>
                <w:r w:rsidR="00F04E9F" w:rsidRPr="00F04E9F">
                  <w:rPr>
                    <w:rFonts w:cs="Times New Roman"/>
                    <w:color w:val="000000"/>
                    <w:sz w:val="16"/>
                    <w:szCs w:val="16"/>
                  </w:rPr>
                  <w:t>(5)</w:t>
                </w:r>
              </w:sdtContent>
            </w:sdt>
          </w:p>
        </w:tc>
        <w:tc>
          <w:tcPr>
            <w:tcW w:w="0" w:type="auto"/>
            <w:shd w:val="clear" w:color="auto" w:fill="FFFFFF"/>
            <w:hideMark/>
          </w:tcPr>
          <w:p w14:paraId="40CF56D0" w14:textId="77777777" w:rsidR="00986E35" w:rsidRPr="008A1F40" w:rsidRDefault="00986E35" w:rsidP="007F77D2">
            <w:pPr>
              <w:rPr>
                <w:rFonts w:cs="Times New Roman"/>
                <w:sz w:val="16"/>
                <w:szCs w:val="16"/>
              </w:rPr>
            </w:pPr>
            <w:r w:rsidRPr="008A1F40">
              <w:rPr>
                <w:rFonts w:cs="Times New Roman"/>
                <w:sz w:val="16"/>
                <w:szCs w:val="16"/>
              </w:rPr>
              <w:t>Internal consistency (Cronbach’s alpha) for 9-item PUTS (English)</w:t>
            </w:r>
          </w:p>
          <w:p w14:paraId="6D4234CA" w14:textId="77777777" w:rsidR="00986E35" w:rsidRPr="008A1F40" w:rsidRDefault="00986E35" w:rsidP="007F77D2">
            <w:pPr>
              <w:rPr>
                <w:rFonts w:cs="Times New Roman"/>
                <w:sz w:val="16"/>
                <w:szCs w:val="16"/>
              </w:rPr>
            </w:pPr>
          </w:p>
          <w:p w14:paraId="1FF01150"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EFA of items 1-8 of PUTS</w:t>
            </w:r>
          </w:p>
        </w:tc>
        <w:tc>
          <w:tcPr>
            <w:tcW w:w="0" w:type="auto"/>
            <w:shd w:val="clear" w:color="auto" w:fill="FFFFFF"/>
            <w:hideMark/>
          </w:tcPr>
          <w:p w14:paraId="57D4DB24"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sz w:val="16"/>
                <w:szCs w:val="16"/>
                <w:shd w:val="clear" w:color="auto" w:fill="FFFFFF"/>
              </w:rPr>
              <w:t>84 individuals with CTDs, aged 5-21</w:t>
            </w:r>
          </w:p>
        </w:tc>
        <w:tc>
          <w:tcPr>
            <w:tcW w:w="0" w:type="auto"/>
            <w:shd w:val="clear" w:color="auto" w:fill="FFFFFF"/>
            <w:hideMark/>
          </w:tcPr>
          <w:p w14:paraId="1BE7CCF2" w14:textId="77777777" w:rsidR="00986E35" w:rsidRPr="008A1F40" w:rsidRDefault="00986E35" w:rsidP="007F77D2">
            <w:pPr>
              <w:rPr>
                <w:rFonts w:cs="Times New Roman"/>
                <w:color w:val="000000"/>
                <w:sz w:val="16"/>
                <w:szCs w:val="16"/>
              </w:rPr>
            </w:pPr>
            <w:r w:rsidRPr="008A1F40">
              <w:rPr>
                <w:rFonts w:cs="Times New Roman"/>
                <w:color w:val="000000"/>
                <w:sz w:val="16"/>
                <w:szCs w:val="16"/>
              </w:rPr>
              <w:t>α = 0.82 for entire sample</w:t>
            </w:r>
          </w:p>
          <w:p w14:paraId="26AE23BA" w14:textId="77777777" w:rsidR="00986E35" w:rsidRPr="008A1F40" w:rsidRDefault="00986E35" w:rsidP="007F77D2">
            <w:pPr>
              <w:rPr>
                <w:rFonts w:cs="Times New Roman"/>
                <w:color w:val="202124"/>
                <w:sz w:val="16"/>
                <w:szCs w:val="16"/>
                <w:shd w:val="clear" w:color="auto" w:fill="FFFFFF"/>
              </w:rPr>
            </w:pPr>
            <w:r w:rsidRPr="008A1F40">
              <w:rPr>
                <w:rFonts w:cs="Times New Roman"/>
                <w:color w:val="000000"/>
                <w:sz w:val="16"/>
                <w:szCs w:val="16"/>
              </w:rPr>
              <w:t xml:space="preserve">α = 0.66 for subgroup </w:t>
            </w:r>
            <w:r w:rsidRPr="008A1F40">
              <w:rPr>
                <w:rFonts w:cs="Times New Roman"/>
                <w:color w:val="202124"/>
                <w:sz w:val="16"/>
                <w:szCs w:val="16"/>
                <w:shd w:val="clear" w:color="auto" w:fill="FFFFFF"/>
              </w:rPr>
              <w:t>≤ 10 years old</w:t>
            </w:r>
          </w:p>
          <w:p w14:paraId="019D58D0" w14:textId="77777777" w:rsidR="00986E35" w:rsidRPr="008A1F40" w:rsidRDefault="00986E35" w:rsidP="007F77D2">
            <w:pPr>
              <w:rPr>
                <w:rFonts w:cs="Times New Roman"/>
                <w:color w:val="000000"/>
                <w:sz w:val="16"/>
                <w:szCs w:val="16"/>
              </w:rPr>
            </w:pPr>
            <w:r w:rsidRPr="008A1F40">
              <w:rPr>
                <w:rFonts w:cs="Times New Roman"/>
                <w:color w:val="000000"/>
                <w:sz w:val="16"/>
                <w:szCs w:val="16"/>
              </w:rPr>
              <w:t>α = 0.87 for subgroup &gt; 10 years old</w:t>
            </w:r>
          </w:p>
          <w:p w14:paraId="0C64C68F" w14:textId="77777777" w:rsidR="00986E35" w:rsidRPr="008A1F40" w:rsidRDefault="00986E35" w:rsidP="007F77D2">
            <w:pPr>
              <w:rPr>
                <w:rFonts w:cs="Times New Roman"/>
                <w:color w:val="000000"/>
                <w:sz w:val="16"/>
                <w:szCs w:val="16"/>
              </w:rPr>
            </w:pPr>
          </w:p>
          <w:p w14:paraId="112208C3" w14:textId="77777777" w:rsidR="00986E35" w:rsidRPr="008A1F40" w:rsidRDefault="00986E35" w:rsidP="007F77D2">
            <w:pPr>
              <w:rPr>
                <w:rFonts w:cs="Times New Roman"/>
                <w:color w:val="000000"/>
                <w:sz w:val="16"/>
                <w:szCs w:val="16"/>
              </w:rPr>
            </w:pPr>
            <w:r w:rsidRPr="008A1F40">
              <w:rPr>
                <w:rFonts w:cs="Times New Roman"/>
                <w:color w:val="000000"/>
                <w:sz w:val="16"/>
                <w:szCs w:val="16"/>
              </w:rPr>
              <w:t>two factors:</w:t>
            </w:r>
          </w:p>
          <w:p w14:paraId="61B6D147" w14:textId="77777777" w:rsidR="00986E35" w:rsidRPr="008A1F40" w:rsidRDefault="00986E35" w:rsidP="00986E35">
            <w:pPr>
              <w:pStyle w:val="ListParagraph"/>
              <w:numPr>
                <w:ilvl w:val="0"/>
                <w:numId w:val="26"/>
              </w:numPr>
              <w:spacing w:before="0" w:after="0"/>
              <w:rPr>
                <w:color w:val="000000"/>
                <w:sz w:val="16"/>
                <w:szCs w:val="16"/>
              </w:rPr>
            </w:pPr>
            <w:r w:rsidRPr="008A1F40">
              <w:rPr>
                <w:color w:val="000000"/>
                <w:sz w:val="16"/>
                <w:szCs w:val="16"/>
              </w:rPr>
              <w:t>“specific urge qualities” (items 1, 2, 4, and 5)</w:t>
            </w:r>
          </w:p>
          <w:p w14:paraId="3D878E56" w14:textId="77777777" w:rsidR="00986E35" w:rsidRPr="008A1F40" w:rsidRDefault="00986E35" w:rsidP="00986E35">
            <w:pPr>
              <w:pStyle w:val="ListParagraph"/>
              <w:numPr>
                <w:ilvl w:val="0"/>
                <w:numId w:val="26"/>
              </w:numPr>
              <w:spacing w:before="0" w:after="0"/>
              <w:rPr>
                <w:color w:val="000000" w:themeColor="text1"/>
                <w:sz w:val="16"/>
                <w:szCs w:val="16"/>
                <w:shd w:val="clear" w:color="auto" w:fill="FFFFFF"/>
              </w:rPr>
            </w:pPr>
            <w:r w:rsidRPr="008A1F40">
              <w:rPr>
                <w:color w:val="000000"/>
                <w:sz w:val="16"/>
                <w:szCs w:val="16"/>
              </w:rPr>
              <w:lastRenderedPageBreak/>
              <w:t>“a more general urge experience” (items 3, 6, 7, and 8)</w:t>
            </w:r>
          </w:p>
        </w:tc>
      </w:tr>
      <w:tr w:rsidR="00F04E9F" w:rsidRPr="008A1F40" w14:paraId="795076B5" w14:textId="77777777" w:rsidTr="007F77D2">
        <w:trPr>
          <w:tblCellSpacing w:w="15" w:type="dxa"/>
        </w:trPr>
        <w:tc>
          <w:tcPr>
            <w:tcW w:w="0" w:type="auto"/>
            <w:shd w:val="clear" w:color="auto" w:fill="FFFFFF"/>
            <w:hideMark/>
          </w:tcPr>
          <w:p w14:paraId="19D068E8" w14:textId="7E0919A8"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lastRenderedPageBreak/>
              <w:t xml:space="preserve">Forcadell et al </w:t>
            </w:r>
            <w:r w:rsidR="0067010F">
              <w:rPr>
                <w:rFonts w:cs="Times New Roman"/>
                <w:sz w:val="16"/>
                <w:szCs w:val="16"/>
              </w:rPr>
              <w:t>(</w:t>
            </w:r>
            <w:r w:rsidRPr="008A1F40">
              <w:rPr>
                <w:rFonts w:cs="Times New Roman"/>
                <w:sz w:val="16"/>
                <w:szCs w:val="16"/>
              </w:rPr>
              <w:t>2022</w:t>
            </w:r>
            <w:r w:rsidR="0067010F">
              <w:rPr>
                <w:rFonts w:cs="Times New Roman"/>
                <w:sz w:val="16"/>
                <w:szCs w:val="16"/>
              </w:rPr>
              <w:t xml:space="preserve">) </w:t>
            </w:r>
            <w:sdt>
              <w:sdtPr>
                <w:rPr>
                  <w:rFonts w:cs="Times New Roman"/>
                  <w:color w:val="000000"/>
                  <w:sz w:val="16"/>
                  <w:szCs w:val="16"/>
                </w:rPr>
                <w:tag w:val="MENDELEY_CITATION_v3_eyJjaXRhdGlvbklEIjoiTUVOREVMRVlfQ0lUQVRJT05fODZlY2Q4NTMtNjA4My00MWJkLTk1ODEtOTlkOTYzOTA2ZGQ0IiwicHJvcGVydGllcyI6eyJub3RlSW5kZXgiOjB9LCJpc0VkaXRlZCI6ZmFsc2UsIm1hbnVhbE92ZXJyaWRlIjp7ImlzTWFudWFsbHlPdmVycmlkZGVuIjpmYWxzZSwiY2l0ZXByb2NUZXh0IjoiKDYpIiwibWFudWFsT3ZlcnJpZGVUZXh0IjoiIn0sImNpdGF0aW9uSXRlbXMiOlt7ImlkIjoiYmFlZGM1NjQtYWNjYi0zMGQ3LThmNWItMTE4NGYyY2UyNTk1IiwiaXRlbURhdGEiOnsidHlwZSI6ImFydGljbGUtam91cm5hbCIsImlkIjoiYmFlZGM1NjQtYWNjYi0zMGQ3LThmNWItMTE4NGYyY2UyNTk1IiwidGl0bGUiOiJUaWMgZGlzb3JkZXJzIGFuZCBwcmVtb25pdG9yeSB1cmdlczogdmFsaWRhdGlvbiBvZiB0aGUgU3BhbmlzaC1sYW5ndWFnZSB2ZXJzaW9uIG9mIHRoZSBQcmVtb25pdG9yeSBVcmdlIGZvciBUaWNzIFNjYWxlIGluIGNoaWxkcmVuIGFuZCBhZG9sZXNjZW50cyIsImdyb3VwSWQiOiIwN2Q2MmFjMS01YWE4LTM5YWYtYjQ5ZS01MmQyMDg4YWM1NzEiLCJhdXRob3IiOlt7ImZhbWlseSI6IkZvcmNhZGVsbCIsImdpdmVuIjoiRSIsInBhcnNlLW5hbWVzIjpmYWxzZSwiZHJvcHBpbmctcGFydGljbGUiOiIiLCJub24tZHJvcHBpbmctcGFydGljbGUiOiIifSx7ImZhbWlseSI6IkdhcmNpYS1EZWxnYXIiLCJnaXZlbiI6IkIiLCJwYXJzZS1uYW1lcyI6ZmFsc2UsImRyb3BwaW5nLXBhcnRpY2xlIjoiIiwibm9uLWRyb3BwaW5nLXBhcnRpY2xlIjoiIn0seyJmYW1pbHkiOiJOaWNvbGF1IiwiZ2l2ZW4iOiJSIiwicGFyc2UtbmFtZXMiOmZhbHNlLCJkcm9wcGluZy1wYXJ0aWNsZSI6IiIsIm5vbi1kcm9wcGluZy1wYXJ0aWNsZSI6IiJ9LHsiZmFtaWx5IjoiUMOpcmV6LVZpZ2lsIiwiZ2l2ZW4iOiJBIiwicGFyc2UtbmFtZXMiOmZhbHNlLCJkcm9wcGluZy1wYXJ0aWNsZSI6IiIsIm5vbi1kcm9wcGluZy1wYXJ0aWNsZSI6IiJ9LHsiZmFtaWx5IjoiQ29yZG92aWxsYSIsImdpdmVuIjoiQyIsInBhcnNlLW5hbWVzIjpmYWxzZSwiZHJvcHBpbmctcGFydGljbGUiOiIiLCJub24tZHJvcHBpbmctcGFydGljbGUiOiIifSx7ImZhbWlseSI6IkzDoXphcm8iLCJnaXZlbiI6IkwiLCJwYXJzZS1uYW1lcyI6ZmFsc2UsImRyb3BwaW5nLXBhcnRpY2xlIjoiIiwibm9uLWRyb3BwaW5nLXBhcnRpY2xlIjoiIn0seyJmYW1pbHkiOiJJYsOhw7FleiIsImdpdmVuIjoiTCIsInBhcnNlLW5hbWVzIjpmYWxzZSwiZHJvcHBpbmctcGFydGljbGUiOiIiLCJub24tZHJvcHBpbmctcGFydGljbGUiOiIifSx7ImZhbWlseSI6Ik1pciIsImdpdmVuIjoiUCIsInBhcnNlLW5hbWVzIjpmYWxzZSwiZHJvcHBpbmctcGFydGljbGUiOiIiLCJub24tZHJvcHBpbmctcGFydGljbGUiOiIifSx7ImZhbWlseSI6Ik1hZHJ1Z2EtR2FycmlkbyIsImdpdmVuIjoiTSIsInBhcnNlLW5hbWVzIjpmYWxzZSwiZHJvcHBpbmctcGFydGljbGUiOiIiLCJub24tZHJvcHBpbmctcGFydGljbGUiOiIifSx7ImZhbWlseSI6IkNvcnJlYS1WZWxhIiwiZ2l2ZW4iOiJNIiwicGFyc2UtbmFtZXMiOmZhbHNlLCJkcm9wcGluZy1wYXJ0aWNsZSI6IiIsIm5vbi1kcm9wcGluZy1wYXJ0aWNsZSI6IiJ9LHsiZmFtaWx5IjoiTW9yZXIiLCJnaXZlbiI6IkEiLCJwYXJzZS1uYW1lcyI6ZmFsc2UsImRyb3BwaW5nLXBhcnRpY2xlIjoiIiwibm9uLWRyb3BwaW5nLXBhcnRpY2xlIjoiIn1dLCJjb250YWluZXItdGl0bGUiOiJOZXVyb2xvZ2lhIChFbmdsIEVkKSIsIkRPSSI6IjEwLjEwMTYvai5ucmxlbmcuMjAyMC4wOS4wMDUiLCJQTUlEIjoiMzU4MjA2MzYiLCJpc3N1ZWQiOnsiZGF0ZS1wYXJ0cyI6W1syMDIyXV19LCJwYWdlIjoiLSIsImFic3RyYWN0IjoiSU5UUk9EVUNUSU9OOiBNb3N0IHBlb3BsZSB3aXRoIHBlcnNpc3RlbnQgdGljcyByZXBvcnQgYW4gdW5wbGVhc2FudCBzZW5zYXRpb24gKHByZW1vbml0b3J5IHVyZ2UpIGJlZm9yZSB0aGUgdGljLiBJbiByZWNlbnQgeWVhcnMsIGludGVyZXN0IGluIHRoZXNlIHNlbnNvcnkgcGhlbm9tZW5hIGhhcyBpbmNyZWFzZWQgZHVlIHRvIHRoZWlyIGltcG9ydGFudCByb2xlIGluIGJlaGF2aW91cmFsIHRoZXJhcHkuIEhvd2V2ZXIsIGluc3RydW1lbnRzIGZvciBhc3Nlc3NpbmcgdGhlc2Ugc2Vuc2F0aW9ucyByZW1haW4gc2NhcmNlLiBBbW9uZyB0aGUgYXZhaWxhYmxlIGluc3RydW1lbnRzLCB0aGUgUHJlbW9uaXRvcnkgVXJnZSBmb3IgVGljcyBTY2FsZSAoUFVUUykgaXMgdGhlIG1vc3Qgd2lkZWx5IHVzZWQuIE1FVEhPRFM6IFdlIGV4YW1pbmVkIHRoZSBwc3ljaG9tZXRyaWMgcHJvcGVydGllcyBhbmQgZmFjdG9yIHN0cnVjdHVyZSBvZiB0aGUgU3BhbmlzaC1sYW5ndWFnZSB2ZXJzaW9uIG9mIHRoZSBQVVRTIGluIGEgc2FtcGxlIG9mIDcyIGNoaWxkcmVuIGFuZCBhZG9sZXNjZW50cyB3aXRoIFRvdXJldHRlIHN5bmRyb21lIG9yIHBlcnNpc3RlbnQgdGljIGRpc29yZGVycy4gV2UgYW5hbHlzZWQgZGF0YSBmcm9tIHRoZSB0b3RhbCBzYW1wbGUgYW5kIGJ5IGFnZSBncm91cCAoY2hpbGRyZW4gdXAgdG8gMTAgeWVhcnMgb2xkIGFuZCBjaGlsZHJlbi9hZG9sZXNjZW50cyBvdmVyIDEwKS4gUkVTVUxUUzogVGhlIFBVVFMgcHJlc2VudGVkIGdvb2QgaW50ZXJuYWwgY29uc2lzdGVuY3kgYW5kIG1vZGVyYXRlIGNvcnJlbGF0aW9ucyBiZXR3ZWVuIGl0ZW1zIG9uIHRoZSBzY2FsZSAoZXhjZXB0IGZvciBpdGVtIDEpLiBEaXZlcmdlbnQgdmFsaWRpdHkgd2FzIGdvb2QsIHRlc3QtcmV0ZXN0IHJlbGlhYmlsaXR5IHdhcyBhZGVxdWF0ZSwgYW5kIGEgYmlmYWN0b3JpYWwgc3RydWN0dXJlIHdhcyBpZGVudGlmaWVkIChvbmUgZGltZW5zaW9uIHJlbGF0ZWQgdG8gbWVudGFsIHBoZW5vbWVuYSByZXBvcnRlZCBpbiBvYnNlc3NpdmUtY29tcHVsc2l2ZSBkaXNvcmRlciwgYW5kIGFub3RoZXIgcmVsYXRlZCB0byB0aGUgcXVhbGl0eSBhbmQgZnJlcXVlbmN5IG9mIHByZW1vbml0b3J5IHVyZ2VzKS4gVGhlc2UgcmVzdWx0cyB3ZXJlIHJlcGxpY2F0ZWQgaW4gYm90aCBhZ2UgZ3JvdXBzLCB3aXRoIGxvd2VyIGRpdmVyZ2VudCB2YWxpZGl0eSBhbmQgdGVzdC1yZXRlc3QgcmVsaWFiaWxpdHkgaW4gdGhlIHlvdW5nZXIgZ3JvdXAuIENPTkNMVVNJT05TOiBUaGUgU3BhbmlzaC1sYW5ndWFnZSB2ZXJzaW9uIG9mIHRoZSBQVVRTIGlzIGEgdmFsaWQsIHJlbGlhYmxlIHRvb2wgZm9yIGFzc2Vzc2luZyBwcmVtb25pdG9yeSB1cmdlcyBpbiBib3RoIGNoaWxkcmVuIGFuZCBhZG9sZXNjZW50cywgZXNwZWNpYWxseSBhZnRlciB0aGUgYWdlIG9mIDEwLiIsImNvbnRhaW5lci10aXRsZS1zaG9ydCI6IiJ9LCJpc1RlbXBvcmFyeSI6ZmFsc2V9XX0="/>
                <w:id w:val="-1983608879"/>
                <w:placeholder>
                  <w:docPart w:val="DefaultPlaceholder_-1854013440"/>
                </w:placeholder>
              </w:sdtPr>
              <w:sdtContent>
                <w:r w:rsidR="00F04E9F" w:rsidRPr="00F04E9F">
                  <w:rPr>
                    <w:rFonts w:cs="Times New Roman"/>
                    <w:color w:val="000000"/>
                    <w:sz w:val="16"/>
                    <w:szCs w:val="16"/>
                  </w:rPr>
                  <w:t>(6)</w:t>
                </w:r>
              </w:sdtContent>
            </w:sdt>
          </w:p>
        </w:tc>
        <w:tc>
          <w:tcPr>
            <w:tcW w:w="0" w:type="auto"/>
            <w:shd w:val="clear" w:color="auto" w:fill="FFFFFF"/>
            <w:hideMark/>
          </w:tcPr>
          <w:p w14:paraId="6B555E53" w14:textId="77777777" w:rsidR="00986E35" w:rsidRPr="008A1F40" w:rsidRDefault="00986E35" w:rsidP="007F77D2">
            <w:pPr>
              <w:rPr>
                <w:rFonts w:cs="Times New Roman"/>
                <w:sz w:val="16"/>
                <w:szCs w:val="16"/>
              </w:rPr>
            </w:pPr>
            <w:r w:rsidRPr="008A1F40">
              <w:rPr>
                <w:rFonts w:cs="Times New Roman"/>
                <w:sz w:val="16"/>
                <w:szCs w:val="16"/>
              </w:rPr>
              <w:t>Internal consistency (Cronbach’s alpha) for 9-item PUTS (Spanish)</w:t>
            </w:r>
          </w:p>
          <w:p w14:paraId="45109262" w14:textId="77777777" w:rsidR="00986E35" w:rsidRPr="008A1F40" w:rsidRDefault="00986E35" w:rsidP="007F77D2">
            <w:pPr>
              <w:rPr>
                <w:rFonts w:cs="Times New Roman"/>
                <w:sz w:val="16"/>
                <w:szCs w:val="16"/>
              </w:rPr>
            </w:pPr>
          </w:p>
          <w:p w14:paraId="27CC9996" w14:textId="77777777" w:rsidR="00986E35" w:rsidRPr="008A1F40" w:rsidRDefault="00986E35" w:rsidP="007F77D2">
            <w:pPr>
              <w:rPr>
                <w:rFonts w:cs="Times New Roman"/>
                <w:sz w:val="16"/>
                <w:szCs w:val="16"/>
              </w:rPr>
            </w:pPr>
            <w:r w:rsidRPr="008A1F40">
              <w:rPr>
                <w:rFonts w:cs="Times New Roman"/>
                <w:sz w:val="16"/>
                <w:szCs w:val="16"/>
              </w:rPr>
              <w:t xml:space="preserve">Test-retest reliability of 9-item PUTS at four months </w:t>
            </w:r>
          </w:p>
          <w:p w14:paraId="6F2CDD1E" w14:textId="77777777" w:rsidR="00986E35" w:rsidRPr="008A1F40" w:rsidRDefault="00986E35" w:rsidP="007F77D2">
            <w:pPr>
              <w:rPr>
                <w:rFonts w:cs="Times New Roman"/>
                <w:sz w:val="16"/>
                <w:szCs w:val="16"/>
              </w:rPr>
            </w:pPr>
          </w:p>
          <w:p w14:paraId="272BA8A2"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EFA of items 2-9 of PUTS</w:t>
            </w:r>
          </w:p>
        </w:tc>
        <w:tc>
          <w:tcPr>
            <w:tcW w:w="0" w:type="auto"/>
            <w:shd w:val="clear" w:color="auto" w:fill="FFFFFF"/>
            <w:hideMark/>
          </w:tcPr>
          <w:p w14:paraId="50F11582"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sz w:val="16"/>
                <w:szCs w:val="16"/>
                <w:shd w:val="clear" w:color="auto" w:fill="FFFFFF"/>
              </w:rPr>
              <w:t>72 children and adolescents with CTDs (n = 55 for test-retest reliability)</w:t>
            </w:r>
          </w:p>
        </w:tc>
        <w:tc>
          <w:tcPr>
            <w:tcW w:w="0" w:type="auto"/>
            <w:shd w:val="clear" w:color="auto" w:fill="FFFFFF"/>
            <w:hideMark/>
          </w:tcPr>
          <w:p w14:paraId="4BD30114" w14:textId="77777777" w:rsidR="00986E35" w:rsidRPr="008A1F40" w:rsidRDefault="00986E35" w:rsidP="007F77D2">
            <w:pPr>
              <w:rPr>
                <w:rFonts w:cs="Times New Roman"/>
                <w:color w:val="202124"/>
                <w:sz w:val="16"/>
                <w:szCs w:val="16"/>
                <w:shd w:val="clear" w:color="auto" w:fill="FFFFFF"/>
              </w:rPr>
            </w:pPr>
            <w:r w:rsidRPr="008A1F40">
              <w:rPr>
                <w:rFonts w:cs="Times New Roman"/>
                <w:color w:val="000000"/>
                <w:sz w:val="16"/>
                <w:szCs w:val="16"/>
              </w:rPr>
              <w:t xml:space="preserve">α = 0.88 for subgroup </w:t>
            </w:r>
            <w:r w:rsidRPr="008A1F40">
              <w:rPr>
                <w:rFonts w:cs="Times New Roman"/>
                <w:color w:val="202124"/>
                <w:sz w:val="16"/>
                <w:szCs w:val="16"/>
                <w:shd w:val="clear" w:color="auto" w:fill="FFFFFF"/>
              </w:rPr>
              <w:t>≤ 10 years old</w:t>
            </w:r>
          </w:p>
          <w:p w14:paraId="78DD48D5" w14:textId="77777777" w:rsidR="00986E35" w:rsidRPr="008A1F40" w:rsidRDefault="00986E35" w:rsidP="007F77D2">
            <w:pPr>
              <w:rPr>
                <w:rFonts w:cs="Times New Roman"/>
                <w:color w:val="000000"/>
                <w:sz w:val="16"/>
                <w:szCs w:val="16"/>
              </w:rPr>
            </w:pPr>
            <w:r w:rsidRPr="008A1F40">
              <w:rPr>
                <w:rFonts w:cs="Times New Roman"/>
                <w:color w:val="000000"/>
                <w:sz w:val="16"/>
                <w:szCs w:val="16"/>
              </w:rPr>
              <w:t>α = 0.77 for subgroup &gt; 10 years old</w:t>
            </w:r>
          </w:p>
          <w:p w14:paraId="5C401B26" w14:textId="77777777" w:rsidR="00986E35" w:rsidRPr="008A1F40" w:rsidRDefault="00986E35" w:rsidP="007F77D2">
            <w:pPr>
              <w:rPr>
                <w:rFonts w:cs="Times New Roman"/>
                <w:color w:val="000000"/>
                <w:sz w:val="16"/>
                <w:szCs w:val="16"/>
              </w:rPr>
            </w:pPr>
          </w:p>
          <w:p w14:paraId="225E5FBE" w14:textId="77777777" w:rsidR="00986E35" w:rsidRPr="008A1F40" w:rsidRDefault="00986E35" w:rsidP="007F77D2">
            <w:pPr>
              <w:rPr>
                <w:rFonts w:cs="Times New Roman"/>
                <w:color w:val="202124"/>
                <w:sz w:val="16"/>
                <w:szCs w:val="16"/>
                <w:shd w:val="clear" w:color="auto" w:fill="FFFFFF"/>
              </w:rPr>
            </w:pPr>
            <w:r w:rsidRPr="008A1F40">
              <w:rPr>
                <w:rFonts w:cs="Times New Roman"/>
                <w:color w:val="000000"/>
                <w:sz w:val="16"/>
                <w:szCs w:val="16"/>
              </w:rPr>
              <w:t>r = 0.49, p &lt; .01 entire sample</w:t>
            </w:r>
          </w:p>
          <w:p w14:paraId="198BB4D2" w14:textId="77777777" w:rsidR="00986E35" w:rsidRPr="008A1F40" w:rsidRDefault="00986E35" w:rsidP="007F77D2">
            <w:pPr>
              <w:rPr>
                <w:rFonts w:cs="Times New Roman"/>
                <w:color w:val="202124"/>
                <w:sz w:val="16"/>
                <w:szCs w:val="16"/>
                <w:shd w:val="clear" w:color="auto" w:fill="FFFFFF"/>
              </w:rPr>
            </w:pPr>
            <w:r w:rsidRPr="008A1F40">
              <w:rPr>
                <w:rFonts w:cs="Times New Roman"/>
                <w:color w:val="000000"/>
                <w:sz w:val="16"/>
                <w:szCs w:val="16"/>
              </w:rPr>
              <w:t xml:space="preserve">r = 0.61, p &lt; .01 for subgroup &gt; </w:t>
            </w:r>
            <w:r w:rsidRPr="008A1F40">
              <w:rPr>
                <w:rFonts w:cs="Times New Roman"/>
                <w:color w:val="202124"/>
                <w:sz w:val="16"/>
                <w:szCs w:val="16"/>
                <w:shd w:val="clear" w:color="auto" w:fill="FFFFFF"/>
              </w:rPr>
              <w:t>10 years old</w:t>
            </w:r>
          </w:p>
          <w:p w14:paraId="1FA4A9FE" w14:textId="77777777" w:rsidR="00986E35" w:rsidRPr="008A1F40" w:rsidRDefault="00986E35" w:rsidP="007F77D2">
            <w:pPr>
              <w:rPr>
                <w:rFonts w:cs="Times New Roman"/>
                <w:color w:val="202124"/>
                <w:sz w:val="16"/>
                <w:szCs w:val="16"/>
                <w:shd w:val="clear" w:color="auto" w:fill="FFFFFF"/>
              </w:rPr>
            </w:pPr>
            <w:r w:rsidRPr="008A1F40">
              <w:rPr>
                <w:rFonts w:cs="Times New Roman"/>
                <w:color w:val="202124"/>
                <w:sz w:val="16"/>
                <w:szCs w:val="16"/>
                <w:shd w:val="clear" w:color="auto" w:fill="FFFFFF"/>
              </w:rPr>
              <w:t>Correlation not significant for subgroup ≤ 10 years old</w:t>
            </w:r>
          </w:p>
          <w:p w14:paraId="0B1A369D" w14:textId="77777777" w:rsidR="00986E35" w:rsidRPr="008A1F40" w:rsidRDefault="00986E35" w:rsidP="007F77D2">
            <w:pPr>
              <w:rPr>
                <w:rFonts w:cs="Times New Roman"/>
                <w:color w:val="202124"/>
                <w:sz w:val="16"/>
                <w:szCs w:val="16"/>
                <w:shd w:val="clear" w:color="auto" w:fill="FFFFFF"/>
              </w:rPr>
            </w:pPr>
          </w:p>
          <w:p w14:paraId="07ADE780" w14:textId="77777777" w:rsidR="00986E35" w:rsidRPr="008A1F40" w:rsidRDefault="00986E35" w:rsidP="007F77D2">
            <w:pPr>
              <w:rPr>
                <w:rFonts w:cs="Times New Roman"/>
                <w:color w:val="202124"/>
                <w:sz w:val="16"/>
                <w:szCs w:val="16"/>
                <w:shd w:val="clear" w:color="auto" w:fill="FFFFFF"/>
              </w:rPr>
            </w:pPr>
            <w:r w:rsidRPr="008A1F40">
              <w:rPr>
                <w:rFonts w:cs="Times New Roman"/>
                <w:color w:val="202124"/>
                <w:sz w:val="16"/>
                <w:szCs w:val="16"/>
                <w:shd w:val="clear" w:color="auto" w:fill="FFFFFF"/>
              </w:rPr>
              <w:t>two factors:</w:t>
            </w:r>
          </w:p>
          <w:p w14:paraId="3596D166" w14:textId="77777777" w:rsidR="00986E35" w:rsidRPr="008A1F40" w:rsidRDefault="00986E35" w:rsidP="00986E35">
            <w:pPr>
              <w:pStyle w:val="ListParagraph"/>
              <w:numPr>
                <w:ilvl w:val="0"/>
                <w:numId w:val="28"/>
              </w:numPr>
              <w:spacing w:before="0" w:after="0"/>
              <w:rPr>
                <w:color w:val="202124"/>
                <w:sz w:val="16"/>
                <w:szCs w:val="16"/>
                <w:shd w:val="clear" w:color="auto" w:fill="FFFFFF"/>
              </w:rPr>
            </w:pPr>
            <w:r w:rsidRPr="008A1F40">
              <w:rPr>
                <w:color w:val="202124"/>
                <w:sz w:val="16"/>
                <w:szCs w:val="16"/>
                <w:shd w:val="clear" w:color="auto" w:fill="FFFFFF"/>
              </w:rPr>
              <w:t>“qualities and frequency of premonitory urges” (items 2, 3, 6, 7, 8, and 9)</w:t>
            </w:r>
          </w:p>
          <w:p w14:paraId="75EBFCDC" w14:textId="77777777" w:rsidR="00986E35" w:rsidRPr="008A1F40" w:rsidRDefault="00986E35" w:rsidP="00986E35">
            <w:pPr>
              <w:pStyle w:val="ListParagraph"/>
              <w:numPr>
                <w:ilvl w:val="0"/>
                <w:numId w:val="28"/>
              </w:numPr>
              <w:spacing w:before="0" w:after="0"/>
              <w:rPr>
                <w:color w:val="000000" w:themeColor="text1"/>
                <w:sz w:val="16"/>
                <w:szCs w:val="16"/>
                <w:shd w:val="clear" w:color="auto" w:fill="FFFFFF"/>
              </w:rPr>
            </w:pPr>
            <w:r w:rsidRPr="008A1F40">
              <w:rPr>
                <w:color w:val="202124"/>
                <w:sz w:val="16"/>
                <w:szCs w:val="16"/>
                <w:shd w:val="clear" w:color="auto" w:fill="FFFFFF"/>
              </w:rPr>
              <w:t>“mental phenomena related to OCD” (items 4 and 5)</w:t>
            </w:r>
          </w:p>
        </w:tc>
      </w:tr>
      <w:tr w:rsidR="00F04E9F" w:rsidRPr="008A1F40" w14:paraId="7514B864" w14:textId="77777777" w:rsidTr="007F77D2">
        <w:trPr>
          <w:tblCellSpacing w:w="15" w:type="dxa"/>
        </w:trPr>
        <w:tc>
          <w:tcPr>
            <w:tcW w:w="0" w:type="auto"/>
            <w:shd w:val="clear" w:color="auto" w:fill="FFFFFF"/>
            <w:hideMark/>
          </w:tcPr>
          <w:p w14:paraId="1EE70873" w14:textId="40971893"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 xml:space="preserve">Openneer et al </w:t>
            </w:r>
            <w:r w:rsidR="0067010F">
              <w:rPr>
                <w:rFonts w:cs="Times New Roman"/>
                <w:sz w:val="16"/>
                <w:szCs w:val="16"/>
              </w:rPr>
              <w:t>(</w:t>
            </w:r>
            <w:r w:rsidRPr="008A1F40">
              <w:rPr>
                <w:rFonts w:cs="Times New Roman"/>
                <w:sz w:val="16"/>
                <w:szCs w:val="16"/>
              </w:rPr>
              <w:t>2020</w:t>
            </w:r>
            <w:r w:rsidR="0067010F">
              <w:rPr>
                <w:rFonts w:cs="Times New Roman"/>
                <w:sz w:val="16"/>
                <w:szCs w:val="16"/>
              </w:rPr>
              <w:t xml:space="preserve">) </w:t>
            </w:r>
            <w:sdt>
              <w:sdtPr>
                <w:rPr>
                  <w:rFonts w:cs="Times New Roman"/>
                  <w:color w:val="000000"/>
                  <w:sz w:val="16"/>
                  <w:szCs w:val="16"/>
                </w:rPr>
                <w:tag w:val="MENDELEY_CITATION_v3_eyJjaXRhdGlvbklEIjoiTUVOREVMRVlfQ0lUQVRJT05fMjRkZGE2YmItZTliNC00MjRiLWJjZjYtYWVhOTZiYmZhMjQ4IiwicHJvcGVydGllcyI6eyJub3RlSW5kZXgiOjB9LCJpc0VkaXRlZCI6ZmFsc2UsIm1hbnVhbE92ZXJyaWRlIjp7ImlzTWFudWFsbHlPdmVycmlkZGVuIjpmYWxzZSwiY2l0ZXByb2NUZXh0IjoiKDcpIiwibWFudWFsT3ZlcnJpZGVUZXh0IjoiIn0sImNpdGF0aW9uSXRlbXMiOlt7ImlkIjoiMjMxMzg1NzUtZDFlNC0zZWFmLWJiM2UtNGRlMTJiNWNmMTBhIiwiaXRlbURhdGEiOnsidHlwZSI6ImFydGljbGUtam91cm5hbCIsImlkIjoiMjMxMzg1NzUtZDFlNC0zZWFmLWJiM2UtNGRlMTJiNWNmMTBhIiwidGl0bGUiOiJUaGUgUHJlbW9uaXRvcnkgVXJnZSBmb3IgVGljcyBTY2FsZSBpbiBhIGxhcmdlIHNhbXBsZSBvZiBjaGlsZHJlbiBhbmQgYWRvbGVzY2VudHM6IHBzeWNob21ldHJpYyBwcm9wZXJ0aWVzIGluIGEgZGV2ZWxvcG1lbnRhbCBjb250ZXh0LiBBbiBFTVRJQ1Mgc3R1ZHkiLCJncm91cElkIjoiMDdkNjJhYzEtNWFhOC0zOWFmLWI0OWUtNTJkMjA4OGFjNTcxIiwiYXV0aG9yIjpbeyJmYW1pbHkiOiJPcGVubmVlciIsImdpdmVuIjoiVCBKIEMiLCJwYXJzZS1uYW1lcyI6ZmFsc2UsImRyb3BwaW5nLXBhcnRpY2xlIjoiIiwibm9uLWRyb3BwaW5nLXBhcnRpY2xlIjoiIn0seyJmYW1pbHkiOiJUw6Fybm9rIiwiZ2l2ZW4iOiJaIiwicGFyc2UtbmFtZXMiOmZhbHNlLCJkcm9wcGluZy1wYXJ0aWNsZSI6IiIsIm5vbi1kcm9wcGluZy1wYXJ0aWNsZSI6IiJ9LHsiZmFtaWx5IjoiQm9nbmFyIiwiZ2l2ZW4iOiJFIiwicGFyc2UtbmFtZXMiOmZhbHNlLCJkcm9wcGluZy1wYXJ0aWNsZSI6IiIsIm5vbi1kcm9wcGluZy1wYXJ0aWNsZSI6IiJ9LHsiZmFtaWx5IjoiQmVuYXJveWEtTWlsc2h0ZWluIiwiZ2l2ZW4iOiJOIiwicGFyc2UtbmFtZXMiOmZhbHNlLCJkcm9wcGluZy1wYXJ0aWNsZSI6IiIsIm5vbi1kcm9wcGluZy1wYXJ0aWNsZSI6IiJ9LHsiZmFtaWx5IjoiR2FyY2lhLURlbGdhciIsImdpdmVuIjoiQiIsInBhcnNlLW5hbWVzIjpmYWxzZSwiZHJvcHBpbmctcGFydGljbGUiOiIiLCJub24tZHJvcHBpbmctcGFydGljbGUiOiIifSx7ImZhbWlseSI6Ik1vcmVyIiwiZ2l2ZW4iOiJBIiwicGFyc2UtbmFtZXMiOmZhbHNlLCJkcm9wcGluZy1wYXJ0aWNsZSI6IiIsIm5vbi1kcm9wcGluZy1wYXJ0aWNsZSI6IiJ9LHsiZmFtaWx5IjoiU3RlaW5iZXJnIiwiZ2l2ZW4iOiJUIiwicGFyc2UtbmFtZXMiOmZhbHNlLCJkcm9wcGluZy1wYXJ0aWNsZSI6IiIsIm5vbi1kcm9wcGluZy1wYXJ0aWNsZSI6IiJ9LHsiZmFtaWx5IjoiSG9la3N0cmEiLCJnaXZlbiI6IlAgSiIsInBhcnNlLW5hbWVzIjpmYWxzZSwiZHJvcHBpbmctcGFydGljbGUiOiIiLCJub24tZHJvcHBpbmctcGFydGljbGUiOiIifSx7ImZhbWlseSI6IkRpZXRyaWNoIiwiZ2l2ZW4iOiJBIiwicGFyc2UtbmFtZXMiOmZhbHNlLCJkcm9wcGluZy1wYXJ0aWNsZSI6IiIsIm5vbi1kcm9wcGluZy1wYXJ0aWNsZSI6IiJ9XSwiY29udGFpbmVyLXRpdGxlIjoiRXVyIENoaWxkIEFkb2xlc2MgUHN5Y2hpYXRyeSIsIkRPSSI6IjEwLjEwMDcvczAwNzg3LTAxOS0wMTQ1MC0xIiwiUE1JRCI6IjMxODAyMjcxIiwiVVJMIjoiaHR0cHM6Ly9saW5rLnNwcmluZ2VyLmNvbS9jb250ZW50L3BkZi8xMC4xMDA3L3MwMDc4Ny0wMTktMDE0NTAtMS5wZGYiLCJpc3N1ZWQiOnsiZGF0ZS1wYXJ0cyI6W1syMDIwXV19LCJwYWdlIjoiMTQxMS0xNDI0IiwiYWJzdHJhY3QiOiJQcmVtb25pdG9yeSB1cmdlcyBhcmUgdW5jb21mb3J0YWJsZSBwaHlzaWNhbCBzZW5zYXRpb25zIHByZWNlZGluZyB0aWNzIHRoYXQgb2NjdXIgaW4gbW9zdCBpbmRpdmlkdWFscyB3aXRoIGEgY2hyb25pYyB0aWMgZGlzb3JkZXIuIFRoZSBQcmVtb25pdG9yeSBVcmdlIGZvciBUaWNzIFNjYWxlIChQVVRTKSBpcyB0aGUgbW9zdCBmcmVxdWVudGx5IHVzZWQgc2VsZi1yZXBvcnQgbWVhc3VyZSB0byBhc3Nlc3MgdGhlIHNldmVyaXR5IG9mIHByZW1vbml0b3J5IHVyZ2VzLiBXZSBhaW1lZCB0byBldmFsdWF0ZSB0aGUgcHN5Y2hvbWV0cmljIHByb3BlcnRpZXMgb2YgdGhlIFBVVFMgaW4gdGhlIGxhcmdlc3Qgc2FtcGxlIHNpemUgdG8gZGF0ZSAobuKAiT3igIk2NTYpLCBpbiBjaGlsZHJlbiBhZ2VkIDMtMTbCoHllYXJzLCBmcm9tIHRoZSBiYXNlbGluZSBtZWFzdXJlbWVudCBvZiB0aGUgbG9uZ2l0dWRpbmFsIEV1cm9wZWFuIE11bHRpY2VudGVyIFRpY3MgaW4gQ2hpbGRyZW4gU3R1ZHkgKEVNVElDUykuIE91ciBwc3ljaG9tZXRyaWMgZXZhbHVhdGlvbiB3YXMgZG9uZSBpbiB0aHJlZSBhZ2UtZ3JvdXBzOiBjaGlsZHJlbiBhZ2VkIDMtN8KgeWVhcnMgKG7igIk94oCJMTAzKSwgY2hpbGRyZW4gYmV0d2VlbiA4IGFuZCAxMMKgeWVhcnMgKG7igIk94oCJMjUzKSwgYW5kIGNoaWxkcmVuIGFnZWQgMTEtMTbCoHllYXJzIChu4oCJPeKAiTMwMCkuIFRoZSBQVVRTIGV4aGliaXRlZCBnb29kIGludGVybmFsIHJlbGlhYmlsaXR5IGluIGNoaWxkcmVuIGFuZCBhZG9sZXNjZW50cywgYWxzbyB1bmRlciB0aGUgYWdlIG9mIDEwLCB3aGljaCBpcyB5b3VuZ2VyIHRoYW4gcHJldmlvdXNseSB0aG91Z2h0LiBXZSBvYnNlcnZlZCBzaWduaWZpY2FudCBidXQgc21hbGwgY29ycmVsYXRpb25zIGJldHdlZW4gdGhlIHNldmVyaXR5IG9mIHVyZ2VzIGFuZCBzZXZlcml0eSBvZiB0aWNzIGFuZCBvYnNlc3NpdmUtY29tcHVsc2l2ZSBzeW1wdG9tcywgYW5kIGJldHdlZW4gc2V2ZXJpdHkgb2YgdXJnZXMgYW5kIHJhdGluZ3Mgb2YgYXR0ZW50aW9uLWRlZmljaXQvaHlwZXJhY3Rpdml0eSBkaXNvcmRlciBhbmQgaW50ZXJuYWxpemluZyBhbmQgZXh0ZXJuYWxpemluZyBiZWhhdmlvcnMsIGhvd2V2ZXIsIG9ubHkgaW4gY2hpbGRyZW4gb2YgOC0xMMKgeWVhcnMuIENvbnNpc3RlbnQgd2l0aCBwcmV2aW91cyByZXN1bHRzLCB0aGUgMTB0aCBpdGVtIG9mIHRoZSBQVVRTIGNvcnJlbGF0ZWQgbGVzcyB3aXRoIHRoZSByZXN0IG9mIHRoZSBzY2FsZSBjb21wYXJlZCB0byB0aGUgb3RoZXIgaXRlbXMgYW5kLCB0aGVyZWZvcmUsIHNob3VsZCBub3QgYmUgdXNlZCBhcyBwYXJ0IG9mIHRoZSBxdWVzdGlvbm5haXJlLiBXZSBmb3VuZCBhIHR3by1mYWN0b3Igc3RydWN0dXJlIG9mIHRoZSBQVVRTIGluIGNoaWxkcmVuIG9mIDExwqB5ZWFycyBhbmQgb2xkZXIsIGRpc3Rpbmd1aXNoaW5nIGJldHdlZW4gc2Vuc29yeSBwaGVub21lbmEgcmVsYXRlZCB0byB0aWNzLCBhbmQgbWVudGFsIHBoZW5vbWVuYSBhcyBvZnRlbiBmb3VuZCBpbiBvYnNlc3NpdmUtY29tcHVsc2l2ZSBkaXNvcmRlci4gVGhlIGFnZS1yZWxhdGVkIGRpZmZlcmVuY2VzIG9ic2VydmVkIGluIHRoaXMgc3R1ZHkgbWF5IGluZGljYXRlIHRoZSBuZWVkIGZvciB0aGUgZGV2ZWxvcG1lbnQgb2YgYW4gYWdlLXNwZWNpZmljIHF1ZXN0aW9ubmFpcmUgdG8gYXNzZXNzIHByZW1vbml0b3J5IHVyZ2VzLiIsImlzc3VlIjoiMTAiLCJ2b2x1bWUiOiIyOSIsImNvbnRhaW5lci10aXRsZS1zaG9ydCI6IiJ9LCJpc1RlbXBvcmFyeSI6ZmFsc2V9XX0="/>
                <w:id w:val="1544090666"/>
                <w:placeholder>
                  <w:docPart w:val="DefaultPlaceholder_-1854013440"/>
                </w:placeholder>
              </w:sdtPr>
              <w:sdtContent>
                <w:r w:rsidR="00F04E9F" w:rsidRPr="00F04E9F">
                  <w:rPr>
                    <w:rFonts w:cs="Times New Roman"/>
                    <w:color w:val="000000"/>
                    <w:sz w:val="16"/>
                    <w:szCs w:val="16"/>
                  </w:rPr>
                  <w:t>(7)</w:t>
                </w:r>
              </w:sdtContent>
            </w:sdt>
          </w:p>
        </w:tc>
        <w:tc>
          <w:tcPr>
            <w:tcW w:w="0" w:type="auto"/>
            <w:shd w:val="clear" w:color="auto" w:fill="FFFFFF"/>
            <w:hideMark/>
          </w:tcPr>
          <w:p w14:paraId="203BDFA6" w14:textId="77777777" w:rsidR="00986E35" w:rsidRPr="008A1F40" w:rsidRDefault="00986E35" w:rsidP="007F77D2">
            <w:pPr>
              <w:rPr>
                <w:rFonts w:cs="Times New Roman"/>
                <w:sz w:val="16"/>
                <w:szCs w:val="16"/>
              </w:rPr>
            </w:pPr>
            <w:r w:rsidRPr="008A1F40">
              <w:rPr>
                <w:rFonts w:cs="Times New Roman"/>
                <w:sz w:val="16"/>
                <w:szCs w:val="16"/>
              </w:rPr>
              <w:t>Internal consistency (Cronbach’s alpha) for 9-item PUTS (Languages unclear)</w:t>
            </w:r>
          </w:p>
          <w:p w14:paraId="33FF9BCD" w14:textId="77777777" w:rsidR="00986E35" w:rsidRPr="008A1F40" w:rsidRDefault="00986E35" w:rsidP="007F77D2">
            <w:pPr>
              <w:rPr>
                <w:rFonts w:cs="Times New Roman"/>
                <w:sz w:val="16"/>
                <w:szCs w:val="16"/>
              </w:rPr>
            </w:pPr>
          </w:p>
          <w:p w14:paraId="7008DFA9" w14:textId="77777777" w:rsidR="00986E35" w:rsidRPr="008A1F40" w:rsidRDefault="00986E35" w:rsidP="007F77D2">
            <w:pPr>
              <w:rPr>
                <w:rFonts w:cs="Times New Roman"/>
                <w:sz w:val="16"/>
                <w:szCs w:val="16"/>
              </w:rPr>
            </w:pPr>
          </w:p>
          <w:p w14:paraId="1F794E95" w14:textId="77777777" w:rsidR="00986E35" w:rsidRPr="008A1F40" w:rsidRDefault="00986E35" w:rsidP="007F77D2">
            <w:pPr>
              <w:rPr>
                <w:rFonts w:cs="Times New Roman"/>
                <w:sz w:val="16"/>
                <w:szCs w:val="16"/>
              </w:rPr>
            </w:pPr>
          </w:p>
          <w:p w14:paraId="0BC86B18" w14:textId="77777777" w:rsidR="00986E35" w:rsidRPr="008A1F40" w:rsidRDefault="00986E35" w:rsidP="007F77D2">
            <w:pPr>
              <w:rPr>
                <w:rFonts w:cs="Times New Roman"/>
                <w:sz w:val="16"/>
                <w:szCs w:val="16"/>
              </w:rPr>
            </w:pPr>
            <w:r w:rsidRPr="008A1F40">
              <w:rPr>
                <w:rFonts w:cs="Times New Roman"/>
                <w:sz w:val="16"/>
                <w:szCs w:val="16"/>
              </w:rPr>
              <w:t>EFA of items 2-9 of PUTS</w:t>
            </w:r>
          </w:p>
          <w:p w14:paraId="22C13DB4" w14:textId="77777777" w:rsidR="00986E35" w:rsidRPr="008A1F40" w:rsidRDefault="00986E35" w:rsidP="007F77D2">
            <w:pPr>
              <w:rPr>
                <w:rFonts w:cs="Times New Roman"/>
                <w:sz w:val="16"/>
                <w:szCs w:val="16"/>
              </w:rPr>
            </w:pPr>
          </w:p>
          <w:p w14:paraId="6A68EEE4" w14:textId="77777777" w:rsidR="00986E35" w:rsidRPr="008A1F40" w:rsidRDefault="00986E35" w:rsidP="007F77D2">
            <w:pPr>
              <w:rPr>
                <w:rFonts w:cs="Times New Roman"/>
                <w:sz w:val="16"/>
                <w:szCs w:val="16"/>
              </w:rPr>
            </w:pPr>
          </w:p>
          <w:p w14:paraId="56A18C20"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 xml:space="preserve">EFA of 9-item PUTS with item 2 and item 9 removed in subgroup </w:t>
            </w:r>
            <w:r w:rsidRPr="008A1F40">
              <w:rPr>
                <w:rFonts w:cs="Times New Roman"/>
                <w:color w:val="000000" w:themeColor="text1"/>
                <w:sz w:val="16"/>
                <w:szCs w:val="16"/>
                <w:shd w:val="clear" w:color="auto" w:fill="FFFFFF"/>
              </w:rPr>
              <w:t>≥ 11 years old</w:t>
            </w:r>
          </w:p>
        </w:tc>
        <w:tc>
          <w:tcPr>
            <w:tcW w:w="0" w:type="auto"/>
            <w:shd w:val="clear" w:color="auto" w:fill="FFFFFF"/>
            <w:hideMark/>
          </w:tcPr>
          <w:p w14:paraId="0E8985AA"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sz w:val="16"/>
                <w:szCs w:val="16"/>
              </w:rPr>
              <w:t>656 children ages 3-16 years old with CTDs</w:t>
            </w:r>
          </w:p>
        </w:tc>
        <w:tc>
          <w:tcPr>
            <w:tcW w:w="0" w:type="auto"/>
            <w:shd w:val="clear" w:color="auto" w:fill="FFFFFF"/>
            <w:hideMark/>
          </w:tcPr>
          <w:p w14:paraId="4CD97CA9" w14:textId="77777777" w:rsidR="00986E35" w:rsidRPr="008A1F40" w:rsidRDefault="00986E35" w:rsidP="007F77D2">
            <w:pPr>
              <w:rPr>
                <w:rFonts w:cs="Times New Roman"/>
                <w:color w:val="000000"/>
                <w:sz w:val="16"/>
                <w:szCs w:val="16"/>
              </w:rPr>
            </w:pPr>
            <w:r w:rsidRPr="008A1F40">
              <w:rPr>
                <w:rFonts w:cs="Times New Roman"/>
                <w:color w:val="000000"/>
                <w:sz w:val="16"/>
                <w:szCs w:val="16"/>
              </w:rPr>
              <w:t xml:space="preserve">α = 0.84 for subgroup </w:t>
            </w:r>
            <w:r w:rsidRPr="008A1F40">
              <w:rPr>
                <w:rFonts w:cs="Times New Roman"/>
                <w:color w:val="202124"/>
                <w:sz w:val="16"/>
                <w:szCs w:val="16"/>
                <w:shd w:val="clear" w:color="auto" w:fill="FFFFFF"/>
              </w:rPr>
              <w:t>≤ 7 years old</w:t>
            </w:r>
          </w:p>
          <w:p w14:paraId="4E90382F" w14:textId="77777777" w:rsidR="00986E35" w:rsidRPr="008A1F40" w:rsidRDefault="00986E35" w:rsidP="007F77D2">
            <w:pPr>
              <w:rPr>
                <w:rFonts w:cs="Times New Roman"/>
                <w:color w:val="202124"/>
                <w:sz w:val="16"/>
                <w:szCs w:val="16"/>
                <w:shd w:val="clear" w:color="auto" w:fill="FFFFFF"/>
              </w:rPr>
            </w:pPr>
            <w:r w:rsidRPr="008A1F40">
              <w:rPr>
                <w:rFonts w:cs="Times New Roman"/>
                <w:color w:val="000000"/>
                <w:sz w:val="16"/>
                <w:szCs w:val="16"/>
              </w:rPr>
              <w:t>α = 0.83 for subgroup 8-</w:t>
            </w:r>
            <w:r w:rsidRPr="008A1F40">
              <w:rPr>
                <w:rFonts w:cs="Times New Roman"/>
                <w:color w:val="202124"/>
                <w:sz w:val="16"/>
                <w:szCs w:val="16"/>
                <w:shd w:val="clear" w:color="auto" w:fill="FFFFFF"/>
              </w:rPr>
              <w:t>10 years old</w:t>
            </w:r>
          </w:p>
          <w:p w14:paraId="0DC84648" w14:textId="77777777" w:rsidR="00986E35" w:rsidRPr="008A1F40" w:rsidRDefault="00986E35" w:rsidP="007F77D2">
            <w:pPr>
              <w:rPr>
                <w:rFonts w:cs="Times New Roman"/>
                <w:color w:val="000000"/>
                <w:sz w:val="16"/>
                <w:szCs w:val="16"/>
              </w:rPr>
            </w:pPr>
            <w:r w:rsidRPr="008A1F40">
              <w:rPr>
                <w:rFonts w:cs="Times New Roman"/>
                <w:color w:val="000000"/>
                <w:sz w:val="16"/>
                <w:szCs w:val="16"/>
              </w:rPr>
              <w:t>α = 0.76 for subgroup &gt; 10 years old</w:t>
            </w:r>
          </w:p>
          <w:p w14:paraId="573CFE83" w14:textId="77777777" w:rsidR="00986E35" w:rsidRPr="008A1F40" w:rsidRDefault="00986E35" w:rsidP="007F77D2">
            <w:pPr>
              <w:rPr>
                <w:rFonts w:cs="Times New Roman"/>
                <w:color w:val="000000"/>
                <w:sz w:val="16"/>
                <w:szCs w:val="16"/>
              </w:rPr>
            </w:pPr>
          </w:p>
          <w:p w14:paraId="59FCD6EF" w14:textId="77777777" w:rsidR="00986E35" w:rsidRPr="008A1F40" w:rsidRDefault="00986E35" w:rsidP="007F77D2">
            <w:pPr>
              <w:rPr>
                <w:rFonts w:cs="Times New Roman"/>
                <w:color w:val="000000"/>
                <w:sz w:val="16"/>
                <w:szCs w:val="16"/>
              </w:rPr>
            </w:pPr>
            <w:r w:rsidRPr="008A1F40">
              <w:rPr>
                <w:rFonts w:cs="Times New Roman"/>
                <w:color w:val="000000"/>
                <w:sz w:val="16"/>
                <w:szCs w:val="16"/>
              </w:rPr>
              <w:t>one factor</w:t>
            </w:r>
          </w:p>
          <w:p w14:paraId="53CE6584" w14:textId="77777777" w:rsidR="00986E35" w:rsidRPr="008A1F40" w:rsidRDefault="00986E35" w:rsidP="007F77D2">
            <w:pPr>
              <w:rPr>
                <w:rFonts w:cs="Times New Roman"/>
                <w:color w:val="000000"/>
                <w:sz w:val="16"/>
                <w:szCs w:val="16"/>
              </w:rPr>
            </w:pPr>
          </w:p>
          <w:p w14:paraId="301958DD" w14:textId="77777777" w:rsidR="00986E35" w:rsidRPr="008A1F40" w:rsidRDefault="00986E35" w:rsidP="007F77D2">
            <w:pPr>
              <w:rPr>
                <w:rFonts w:cs="Times New Roman"/>
                <w:color w:val="000000"/>
                <w:sz w:val="16"/>
                <w:szCs w:val="16"/>
              </w:rPr>
            </w:pPr>
          </w:p>
          <w:p w14:paraId="5772DCF1" w14:textId="77777777" w:rsidR="00986E35" w:rsidRPr="008A1F40" w:rsidRDefault="00986E35" w:rsidP="007F77D2">
            <w:pPr>
              <w:rPr>
                <w:rFonts w:cs="Times New Roman"/>
                <w:color w:val="000000"/>
                <w:sz w:val="16"/>
                <w:szCs w:val="16"/>
              </w:rPr>
            </w:pPr>
            <w:r w:rsidRPr="008A1F40">
              <w:rPr>
                <w:rFonts w:cs="Times New Roman"/>
                <w:color w:val="000000"/>
                <w:sz w:val="16"/>
                <w:szCs w:val="16"/>
              </w:rPr>
              <w:t>two factors:</w:t>
            </w:r>
          </w:p>
          <w:p w14:paraId="6C92EE67" w14:textId="77777777" w:rsidR="00986E35" w:rsidRPr="008A1F40" w:rsidRDefault="00986E35" w:rsidP="00986E35">
            <w:pPr>
              <w:pStyle w:val="ListParagraph"/>
              <w:numPr>
                <w:ilvl w:val="0"/>
                <w:numId w:val="29"/>
              </w:numPr>
              <w:spacing w:before="0" w:after="0"/>
              <w:rPr>
                <w:color w:val="000000"/>
                <w:sz w:val="16"/>
                <w:szCs w:val="16"/>
              </w:rPr>
            </w:pPr>
            <w:r w:rsidRPr="008A1F40">
              <w:rPr>
                <w:color w:val="000000"/>
                <w:sz w:val="16"/>
                <w:szCs w:val="16"/>
              </w:rPr>
              <w:t>“OCD-related items” (items 4 and 5)</w:t>
            </w:r>
          </w:p>
          <w:p w14:paraId="5BD0D1FD" w14:textId="77777777" w:rsidR="00986E35" w:rsidRPr="008A1F40" w:rsidRDefault="00986E35" w:rsidP="00986E35">
            <w:pPr>
              <w:pStyle w:val="ListParagraph"/>
              <w:numPr>
                <w:ilvl w:val="0"/>
                <w:numId w:val="29"/>
              </w:numPr>
              <w:spacing w:before="0" w:after="0"/>
              <w:rPr>
                <w:color w:val="000000" w:themeColor="text1"/>
                <w:sz w:val="16"/>
                <w:szCs w:val="16"/>
                <w:shd w:val="clear" w:color="auto" w:fill="FFFFFF"/>
              </w:rPr>
            </w:pPr>
            <w:r w:rsidRPr="008A1F40">
              <w:rPr>
                <w:color w:val="000000"/>
                <w:sz w:val="16"/>
                <w:szCs w:val="16"/>
              </w:rPr>
              <w:t xml:space="preserve">“frequency of urges” (items 1, 3, 6, 7, and 8) </w:t>
            </w:r>
          </w:p>
        </w:tc>
      </w:tr>
      <w:tr w:rsidR="00F04E9F" w:rsidRPr="008A1F40" w14:paraId="262F8307" w14:textId="77777777" w:rsidTr="007F77D2">
        <w:trPr>
          <w:tblCellSpacing w:w="15" w:type="dxa"/>
        </w:trPr>
        <w:tc>
          <w:tcPr>
            <w:tcW w:w="0" w:type="auto"/>
            <w:shd w:val="clear" w:color="auto" w:fill="FFFFFF"/>
            <w:hideMark/>
          </w:tcPr>
          <w:p w14:paraId="36F2BA3B" w14:textId="339D5AFB"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lastRenderedPageBreak/>
              <w:t xml:space="preserve">Li et al </w:t>
            </w:r>
            <w:r w:rsidR="0067010F">
              <w:rPr>
                <w:rFonts w:cs="Times New Roman"/>
                <w:sz w:val="16"/>
                <w:szCs w:val="16"/>
              </w:rPr>
              <w:t>(</w:t>
            </w:r>
            <w:r w:rsidRPr="008A1F40">
              <w:rPr>
                <w:rFonts w:cs="Times New Roman"/>
                <w:sz w:val="16"/>
                <w:szCs w:val="16"/>
              </w:rPr>
              <w:t>2021</w:t>
            </w:r>
            <w:r w:rsidR="0067010F">
              <w:rPr>
                <w:rFonts w:cs="Times New Roman"/>
                <w:sz w:val="16"/>
                <w:szCs w:val="16"/>
              </w:rPr>
              <w:t xml:space="preserve">) </w:t>
            </w:r>
            <w:sdt>
              <w:sdtPr>
                <w:rPr>
                  <w:rFonts w:cs="Times New Roman"/>
                  <w:color w:val="000000"/>
                  <w:sz w:val="16"/>
                  <w:szCs w:val="16"/>
                </w:rPr>
                <w:tag w:val="MENDELEY_CITATION_v3_eyJjaXRhdGlvbklEIjoiTUVOREVMRVlfQ0lUQVRJT05fYzFiYTNhNDMtNTNkOS00M2UxLWI4NzktNTcwZjVhZTIzMWRhIiwicHJvcGVydGllcyI6eyJub3RlSW5kZXgiOjB9LCJpc0VkaXRlZCI6ZmFsc2UsIm1hbnVhbE92ZXJyaWRlIjp7ImlzTWFudWFsbHlPdmVycmlkZGVuIjpmYWxzZSwiY2l0ZXByb2NUZXh0IjoiKDgpIiwibWFudWFsT3ZlcnJpZGVUZXh0IjoiIn0sImNpdGF0aW9uSXRlbXMiOlt7ImlkIjoiYmNhMzA2ZjQtMmViZC0zNjQ1LTkwNWQtYzAwZmYyZjExMGI0IiwiaXRlbURhdGEiOnsidHlwZSI6ImFydGljbGUtam91cm5hbCIsImlkIjoiYmNhMzA2ZjQtMmViZC0zNjQ1LTkwNWQtYzAwZmYyZjExMGI0IiwidGl0bGUiOiJQc3ljaG9tZXRyaWMgUHJvcGVydGllcyBvZiB0aGUgQ2hpbmVzZSBWZXJzaW9uIG9mIHRoZSBQcmVtb25pdG9yeSBVcmdlIGZvciBUaWNzIFNjYWxlOiBBIFByZWxpbWluYXJ5IFJlcG9ydCIsImdyb3VwSWQiOiIwN2Q2MmFjMS01YWE4LTM5YWYtYjQ5ZS01MmQyMDg4YWM1NzEiLCJhdXRob3IiOlt7ImZhbWlseSI6IkxpIiwiZ2l2ZW4iOiJZIiwicGFyc2UtbmFtZXMiOmZhbHNlLCJkcm9wcGluZy1wYXJ0aWNsZSI6IiIsIm5vbi1kcm9wcGluZy1wYXJ0aWNsZSI6IiJ9LHsiZmFtaWx5IjoiV29vZHMiLCJnaXZlbiI6IkQgVyIsInBhcnNlLW5hbWVzIjpmYWxzZSwiZHJvcHBpbmctcGFydGljbGUiOiIiLCJub24tZHJvcHBpbmctcGFydGljbGUiOiIifSx7ImZhbWlseSI6Ikd1IiwiZ2l2ZW4iOiJZIiwicGFyc2UtbmFtZXMiOmZhbHNlLCJkcm9wcGluZy1wYXJ0aWNsZSI6IiIsIm5vbi1kcm9wcGluZy1wYXJ0aWNsZSI6IiJ9LHsiZmFtaWx5IjoiWXUiLCJnaXZlbiI6IkwiLCJwYXJzZS1uYW1lcyI6ZmFsc2UsImRyb3BwaW5nLXBhcnRpY2xlIjoiIiwibm9uLWRyb3BwaW5nLXBhcnRpY2xlIjoiIn0seyJmYW1pbHkiOiJZYW4iLCJnaXZlbiI6IkoiLCJwYXJzZS1uYW1lcyI6ZmFsc2UsImRyb3BwaW5nLXBhcnRpY2xlIjoiIiwibm9uLWRyb3BwaW5nLXBhcnRpY2xlIjoiIn0seyJmYW1pbHkiOiJXZW4iLCJnaXZlbiI6IkYiLCJwYXJzZS1uYW1lcyI6ZmFsc2UsImRyb3BwaW5nLXBhcnRpY2xlIjoiIiwibm9uLWRyb3BwaW5nLXBhcnRpY2xlIjoiIn0seyJmYW1pbHkiOiJXYW5nIiwiZ2l2ZW4iOiJGIiwicGFyc2UtbmFtZXMiOmZhbHNlLCJkcm9wcGluZy1wYXJ0aWNsZSI6IiIsIm5vbi1kcm9wcGluZy1wYXJ0aWNsZSI6IiJ9LHsiZmFtaWx5IjoiTGl1IiwiZ2l2ZW4iOiJKIiwicGFyc2UtbmFtZXMiOmZhbHNlLCJkcm9wcGluZy1wYXJ0aWNsZSI6IiIsIm5vbi1kcm9wcGluZy1wYXJ0aWNsZSI6IiJ9LHsiZmFtaWx5IjoiQ3VpIiwiZ2l2ZW4iOiJZIiwicGFyc2UtbmFtZXMiOmZhbHNlLCJkcm9wcGluZy1wYXJ0aWNsZSI6IiIsIm5vbi1kcm9wcGluZy1wYXJ0aWNsZSI6IiJ9XSwiY29udGFpbmVyLXRpdGxlIjoiRnJvbnQgUHN5Y2hvbCIsIkRPSSI6IjEwLjMzODkvZnBzeWcuMjAyMS41NzM4MDMiLCJQTUlEIjoiMzQ2NDYxODEiLCJpc3N1ZWQiOnsiZGF0ZS1wYXJ0cyI6W1syMDIxXV19LCJwYWdlIjoiNTczODAzIiwiYWJzdHJhY3QiOiJQcmVtb25pdG9yeSB1cmdlcyAoUFVzKSBhcmUgc2Vuc29yeSBwaGVub21lbmEgdGhhdCBpbW1lZGlhdGVseSBwcmVjZWRlIHRpY3MuIFRoZSBQcmVtb25pdG9yeSBVcmdlIGZvciBUaWNzIFNjYWxlIChQVVRTKSBpcyB3aWRlbHkgdXNlZCB0byBhc3Nlc3MgdGhlIHNldmVyaXR5IG9mIFBVcywgYnV0IHRoZSBwc3ljaG9tZXRyaWMgcHJvcGVydGllcyBvZiBQVVRTIGFuZCBjbGluaWNhbCBmZWF0dXJlcyBvZiBQVSBpbiBDaGluZXNlIHBhdGllbnRzIHdpdGggdGljIGRpc29yZGVycyBhcmUgc3RpbGwgdW5jbGVhci4gSW4gdGhpcyBzdHVkeSwgd2UgZXhhbWluZWQgdGhlIHBzeWNob21ldHJpYyBwcm9wZXJ0aWVzIG9mIHRoZSBDaGluZXNlIHZlcnNpb24gb2YgdGhlIFBVVFMgaW4gYSBsYXJnZSBzYW1wbGUgKGluY2x1ZGluZyAzNjcgQ2hpbmVzZSBwZWRpYXRyaWMgcGF0aWVudHMgd2l0aCB0aWMgZGlzb3JkZXJzKS4gV2UgZm91bmQgbm8gZGlmZmVyZW5jZSBpbiBQVSBpbiBkaWZmZXJlbnQgYWdlIGdyb3Vwcy4gVGhlIGV4cGxvcmF0b3J5IGZhY3RvciBhbmFseXNpcyAoRUZBKSBvZiBQVVRTIHNob3dlZCB0aGUgZW1lcmdlbmNlIG9mIGZvdXIgcHJpbWFyeSBmYWN0b3JzLiBUaGUgcmVzdWx0cyBvZiByZWxpYWJpbGl0eSBhbmQgdmFsaWRpdHkgYW5hbHlzZXMgaW5kaWNhdGVkIHRoYXQgdGhlIENoaW5lc2UgdmVyc2lvbiBzaG93ZWQgZ29vZCBwc3ljaG9tZXRyaWMgcHJvcGVydGllcy4gSXQgc2VlbWVkIHRoYXQgUFUgd2FzIGFzc29jaWF0ZWQgd2l0aCB0aGUgc2V2ZXJpdHkgb2Ygb2JzZXNzaW9uIHN5bXB0b21zIGluIHBhdGllbnRzIHdpdGggdGljIGRpc29yZGVycy4gTmV0d29yayBhbmFseXNpcyBzaG93ZWQgdGhhdCBJdGVtIDcgaXMgYSBjcml0aWNhbCBub2RlIGZvciB0aGUgUFUsIGluIGFkZGl0aW9uIHRvIEl0ZW1zIDEgYW5kIDQuIE92ZXJhbGwsIHRoZSBDaGluZXNlIHZlcnNpb24gb2YgUFVUUyBjYW4gYmUgdXNlZCBpbiBDaGluZXNlIGNoaWxkIGFuZCBhZG9sZXNjZW50IHBhdGllbnRzIHdpdGggdGljIGRpc29yZGVycywgcGFydGljdWxhcmx5IGZvciBwYXRpZW50cyB3aXRoIFRvdXJldHRlIHN5bmRyb21lLiIsInZvbHVtZSI6IjEyIiwiY29udGFpbmVyLXRpdGxlLXNob3J0IjoiIn0sImlzVGVtcG9yYXJ5IjpmYWxzZX1dfQ=="/>
                <w:id w:val="1037785458"/>
                <w:placeholder>
                  <w:docPart w:val="DefaultPlaceholder_-1854013440"/>
                </w:placeholder>
              </w:sdtPr>
              <w:sdtContent>
                <w:r w:rsidR="00F04E9F" w:rsidRPr="00F04E9F">
                  <w:rPr>
                    <w:rFonts w:cs="Times New Roman"/>
                    <w:color w:val="000000"/>
                    <w:sz w:val="16"/>
                    <w:szCs w:val="16"/>
                  </w:rPr>
                  <w:t>(8)</w:t>
                </w:r>
              </w:sdtContent>
            </w:sdt>
          </w:p>
        </w:tc>
        <w:tc>
          <w:tcPr>
            <w:tcW w:w="0" w:type="auto"/>
            <w:shd w:val="clear" w:color="auto" w:fill="FFFFFF"/>
            <w:hideMark/>
          </w:tcPr>
          <w:p w14:paraId="18DF4479" w14:textId="77777777" w:rsidR="00986E35" w:rsidRPr="008A1F40" w:rsidRDefault="00986E35" w:rsidP="007F77D2">
            <w:pPr>
              <w:rPr>
                <w:rFonts w:cs="Times New Roman"/>
                <w:sz w:val="16"/>
                <w:szCs w:val="16"/>
              </w:rPr>
            </w:pPr>
            <w:r w:rsidRPr="008A1F40">
              <w:rPr>
                <w:rFonts w:cs="Times New Roman"/>
                <w:sz w:val="16"/>
                <w:szCs w:val="16"/>
              </w:rPr>
              <w:t>Internal consistency (Cronbach’s alpha) for 9-item PUTS (Mandarin/Cantonese)</w:t>
            </w:r>
          </w:p>
          <w:p w14:paraId="4852A408" w14:textId="77777777" w:rsidR="00986E35" w:rsidRPr="008A1F40" w:rsidRDefault="00986E35" w:rsidP="007F77D2">
            <w:pPr>
              <w:rPr>
                <w:rFonts w:cs="Times New Roman"/>
                <w:sz w:val="16"/>
                <w:szCs w:val="16"/>
              </w:rPr>
            </w:pPr>
          </w:p>
          <w:p w14:paraId="256BAB16" w14:textId="77777777" w:rsidR="00986E35" w:rsidRPr="008A1F40" w:rsidRDefault="00986E35" w:rsidP="007F77D2">
            <w:pPr>
              <w:rPr>
                <w:rFonts w:cs="Times New Roman"/>
                <w:sz w:val="16"/>
                <w:szCs w:val="16"/>
              </w:rPr>
            </w:pPr>
            <w:r w:rsidRPr="008A1F40">
              <w:rPr>
                <w:rFonts w:cs="Times New Roman"/>
                <w:sz w:val="16"/>
                <w:szCs w:val="16"/>
              </w:rPr>
              <w:t>Test-retest reliability of 9-item PUTS at one month</w:t>
            </w:r>
          </w:p>
          <w:p w14:paraId="2E8F3F37" w14:textId="77777777" w:rsidR="00986E35" w:rsidRPr="008A1F40" w:rsidRDefault="00986E35" w:rsidP="007F77D2">
            <w:pPr>
              <w:rPr>
                <w:rFonts w:cs="Times New Roman"/>
                <w:sz w:val="16"/>
                <w:szCs w:val="16"/>
              </w:rPr>
            </w:pPr>
          </w:p>
          <w:p w14:paraId="4878DAC0"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EFA of 9-item PUTS</w:t>
            </w:r>
          </w:p>
        </w:tc>
        <w:tc>
          <w:tcPr>
            <w:tcW w:w="0" w:type="auto"/>
            <w:shd w:val="clear" w:color="auto" w:fill="FFFFFF"/>
            <w:hideMark/>
          </w:tcPr>
          <w:p w14:paraId="5F6CD350"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sz w:val="16"/>
                <w:szCs w:val="16"/>
              </w:rPr>
              <w:t>367 children with any tic disorder (n = 147 for test-retest reliability)</w:t>
            </w:r>
          </w:p>
        </w:tc>
        <w:tc>
          <w:tcPr>
            <w:tcW w:w="0" w:type="auto"/>
            <w:shd w:val="clear" w:color="auto" w:fill="FFFFFF"/>
            <w:hideMark/>
          </w:tcPr>
          <w:p w14:paraId="6CF37C8D" w14:textId="77777777" w:rsidR="00986E35" w:rsidRPr="008A1F40" w:rsidRDefault="00986E35" w:rsidP="007F77D2">
            <w:pPr>
              <w:rPr>
                <w:rFonts w:cs="Times New Roman"/>
                <w:color w:val="000000"/>
                <w:sz w:val="16"/>
                <w:szCs w:val="16"/>
              </w:rPr>
            </w:pPr>
            <w:r w:rsidRPr="008A1F40">
              <w:rPr>
                <w:rFonts w:cs="Times New Roman"/>
                <w:color w:val="000000"/>
                <w:sz w:val="16"/>
                <w:szCs w:val="16"/>
              </w:rPr>
              <w:t>α = 0.75 for entire sample</w:t>
            </w:r>
          </w:p>
          <w:p w14:paraId="53FE1AEB" w14:textId="77777777" w:rsidR="00986E35" w:rsidRPr="008A1F40" w:rsidRDefault="00986E35" w:rsidP="007F77D2">
            <w:pPr>
              <w:rPr>
                <w:rFonts w:cs="Times New Roman"/>
                <w:color w:val="202124"/>
                <w:sz w:val="16"/>
                <w:szCs w:val="16"/>
                <w:shd w:val="clear" w:color="auto" w:fill="FFFFFF"/>
              </w:rPr>
            </w:pPr>
            <w:r w:rsidRPr="008A1F40">
              <w:rPr>
                <w:rFonts w:cs="Times New Roman"/>
                <w:color w:val="000000"/>
                <w:sz w:val="16"/>
                <w:szCs w:val="16"/>
              </w:rPr>
              <w:t xml:space="preserve">α = 0.76 for subgroup &lt; </w:t>
            </w:r>
            <w:r w:rsidRPr="008A1F40">
              <w:rPr>
                <w:rFonts w:cs="Times New Roman"/>
                <w:color w:val="202124"/>
                <w:sz w:val="16"/>
                <w:szCs w:val="16"/>
                <w:shd w:val="clear" w:color="auto" w:fill="FFFFFF"/>
              </w:rPr>
              <w:t>10 years old</w:t>
            </w:r>
          </w:p>
          <w:p w14:paraId="565B8036" w14:textId="77777777"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 xml:space="preserve">α = 0.73 for subgroup </w:t>
            </w:r>
            <w:r w:rsidRPr="008A1F40">
              <w:rPr>
                <w:rFonts w:cs="Times New Roman"/>
                <w:color w:val="000000" w:themeColor="text1"/>
                <w:sz w:val="16"/>
                <w:szCs w:val="16"/>
                <w:shd w:val="clear" w:color="auto" w:fill="FFFFFF"/>
              </w:rPr>
              <w:t>≥</w:t>
            </w:r>
            <w:r w:rsidRPr="008A1F40">
              <w:rPr>
                <w:rFonts w:cs="Times New Roman"/>
                <w:color w:val="000000" w:themeColor="text1"/>
                <w:sz w:val="16"/>
                <w:szCs w:val="16"/>
              </w:rPr>
              <w:t xml:space="preserve"> 10 years old</w:t>
            </w:r>
          </w:p>
          <w:p w14:paraId="0F528577" w14:textId="77777777" w:rsidR="00986E35" w:rsidRPr="008A1F40" w:rsidRDefault="00986E35" w:rsidP="007F77D2">
            <w:pPr>
              <w:rPr>
                <w:rFonts w:cs="Times New Roman"/>
                <w:color w:val="000000" w:themeColor="text1"/>
                <w:sz w:val="16"/>
                <w:szCs w:val="16"/>
              </w:rPr>
            </w:pPr>
          </w:p>
          <w:p w14:paraId="6BD6E4A5" w14:textId="5DA01CD7"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r = 0.89</w:t>
            </w:r>
            <w:r w:rsidR="009E46B8">
              <w:rPr>
                <w:rFonts w:cs="Times New Roman"/>
                <w:color w:val="000000" w:themeColor="text1"/>
                <w:sz w:val="16"/>
                <w:szCs w:val="16"/>
              </w:rPr>
              <w:t xml:space="preserve"> (correlation type unclear)</w:t>
            </w:r>
          </w:p>
          <w:p w14:paraId="2E0E738C" w14:textId="77777777" w:rsidR="00986E35" w:rsidRPr="008A1F40" w:rsidRDefault="00986E35" w:rsidP="007F77D2">
            <w:pPr>
              <w:rPr>
                <w:rFonts w:cs="Times New Roman"/>
                <w:color w:val="000000" w:themeColor="text1"/>
                <w:sz w:val="16"/>
                <w:szCs w:val="16"/>
              </w:rPr>
            </w:pPr>
          </w:p>
          <w:p w14:paraId="7B738105" w14:textId="77777777" w:rsidR="00986E35" w:rsidRPr="008A1F40" w:rsidRDefault="00986E35" w:rsidP="007F77D2">
            <w:pPr>
              <w:rPr>
                <w:rFonts w:cs="Times New Roman"/>
                <w:color w:val="000000"/>
                <w:sz w:val="16"/>
                <w:szCs w:val="16"/>
              </w:rPr>
            </w:pPr>
            <w:r w:rsidRPr="008A1F40">
              <w:rPr>
                <w:rFonts w:cs="Times New Roman"/>
                <w:color w:val="000000"/>
                <w:sz w:val="16"/>
                <w:szCs w:val="16"/>
              </w:rPr>
              <w:t>four factors:</w:t>
            </w:r>
          </w:p>
          <w:p w14:paraId="1929A1BE" w14:textId="77777777" w:rsidR="00986E35" w:rsidRPr="008A1F40" w:rsidRDefault="00986E35" w:rsidP="00986E35">
            <w:pPr>
              <w:pStyle w:val="ListParagraph"/>
              <w:numPr>
                <w:ilvl w:val="0"/>
                <w:numId w:val="25"/>
              </w:numPr>
              <w:spacing w:before="0" w:after="0"/>
              <w:rPr>
                <w:color w:val="000000"/>
                <w:sz w:val="16"/>
                <w:szCs w:val="16"/>
              </w:rPr>
            </w:pPr>
            <w:r w:rsidRPr="008A1F40">
              <w:rPr>
                <w:color w:val="000000"/>
                <w:sz w:val="16"/>
                <w:szCs w:val="16"/>
              </w:rPr>
              <w:t>“intensity” (items 4, 7, 8, and 9)</w:t>
            </w:r>
          </w:p>
          <w:p w14:paraId="6D2EB257" w14:textId="77777777" w:rsidR="00986E35" w:rsidRPr="008A1F40" w:rsidRDefault="00986E35" w:rsidP="00986E35">
            <w:pPr>
              <w:pStyle w:val="ListParagraph"/>
              <w:numPr>
                <w:ilvl w:val="0"/>
                <w:numId w:val="25"/>
              </w:numPr>
              <w:spacing w:before="0" w:after="0"/>
              <w:rPr>
                <w:color w:val="000000"/>
                <w:sz w:val="16"/>
                <w:szCs w:val="16"/>
              </w:rPr>
            </w:pPr>
            <w:r w:rsidRPr="008A1F40">
              <w:rPr>
                <w:color w:val="000000"/>
                <w:sz w:val="16"/>
                <w:szCs w:val="16"/>
              </w:rPr>
              <w:t>“frequency” (items 2 and 3)</w:t>
            </w:r>
          </w:p>
          <w:p w14:paraId="337C95EA" w14:textId="77777777" w:rsidR="00986E35" w:rsidRPr="008A1F40" w:rsidRDefault="00986E35" w:rsidP="00986E35">
            <w:pPr>
              <w:pStyle w:val="ListParagraph"/>
              <w:numPr>
                <w:ilvl w:val="0"/>
                <w:numId w:val="25"/>
              </w:numPr>
              <w:spacing w:before="0" w:after="0"/>
              <w:rPr>
                <w:color w:val="000000"/>
                <w:sz w:val="16"/>
                <w:szCs w:val="16"/>
              </w:rPr>
            </w:pPr>
            <w:r w:rsidRPr="008A1F40">
              <w:rPr>
                <w:color w:val="000000"/>
                <w:sz w:val="16"/>
                <w:szCs w:val="16"/>
              </w:rPr>
              <w:t>“sensory aspect of premonitory urges” (items 5 and 6)</w:t>
            </w:r>
          </w:p>
          <w:p w14:paraId="4D8FF179" w14:textId="77777777" w:rsidR="00986E35" w:rsidRPr="008A1F40" w:rsidRDefault="00986E35" w:rsidP="00986E35">
            <w:pPr>
              <w:pStyle w:val="ListParagraph"/>
              <w:numPr>
                <w:ilvl w:val="0"/>
                <w:numId w:val="25"/>
              </w:numPr>
              <w:spacing w:before="0" w:after="0"/>
              <w:rPr>
                <w:color w:val="000000" w:themeColor="text1"/>
                <w:sz w:val="16"/>
                <w:szCs w:val="16"/>
                <w:shd w:val="clear" w:color="auto" w:fill="FFFFFF"/>
              </w:rPr>
            </w:pPr>
            <w:r w:rsidRPr="008A1F40">
              <w:rPr>
                <w:color w:val="000000"/>
                <w:sz w:val="16"/>
                <w:szCs w:val="16"/>
              </w:rPr>
              <w:t>“mental aspect of premonitory urges” (item 1)</w:t>
            </w:r>
          </w:p>
        </w:tc>
      </w:tr>
      <w:tr w:rsidR="00F04E9F" w:rsidRPr="008A1F40" w14:paraId="0E319C0C" w14:textId="77777777" w:rsidTr="007F77D2">
        <w:trPr>
          <w:tblCellSpacing w:w="15" w:type="dxa"/>
        </w:trPr>
        <w:tc>
          <w:tcPr>
            <w:tcW w:w="0" w:type="auto"/>
            <w:shd w:val="clear" w:color="auto" w:fill="FFFFFF"/>
            <w:hideMark/>
          </w:tcPr>
          <w:p w14:paraId="07C275BE" w14:textId="65252F25"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 xml:space="preserve">Baumung et al </w:t>
            </w:r>
            <w:r w:rsidR="0067010F">
              <w:rPr>
                <w:rFonts w:cs="Times New Roman"/>
                <w:sz w:val="16"/>
                <w:szCs w:val="16"/>
              </w:rPr>
              <w:t>(</w:t>
            </w:r>
            <w:r w:rsidRPr="008A1F40">
              <w:rPr>
                <w:rFonts w:cs="Times New Roman"/>
                <w:sz w:val="16"/>
                <w:szCs w:val="16"/>
              </w:rPr>
              <w:t>2021</w:t>
            </w:r>
            <w:r w:rsidR="0067010F">
              <w:rPr>
                <w:rFonts w:cs="Times New Roman"/>
                <w:sz w:val="16"/>
                <w:szCs w:val="16"/>
              </w:rPr>
              <w:t xml:space="preserve">) </w:t>
            </w:r>
            <w:sdt>
              <w:sdtPr>
                <w:rPr>
                  <w:rFonts w:cs="Times New Roman"/>
                  <w:color w:val="000000"/>
                  <w:sz w:val="16"/>
                  <w:szCs w:val="16"/>
                </w:rPr>
                <w:tag w:val="MENDELEY_CITATION_v3_eyJjaXRhdGlvbklEIjoiTUVOREVMRVlfQ0lUQVRJT05fNjExNWY4NGMtNTMyZC00ZTdiLTljODMtMWVjNjljYmZjYTJlIiwicHJvcGVydGllcyI6eyJub3RlSW5kZXgiOjB9LCJpc0VkaXRlZCI6ZmFsc2UsIm1hbnVhbE92ZXJyaWRlIjp7ImlzTWFudWFsbHlPdmVycmlkZGVuIjpmYWxzZSwiY2l0ZXByb2NUZXh0IjoiKDkpIiwibWFudWFsT3ZlcnJpZGVUZXh0IjoiIn0sImNpdGF0aW9uSXRlbXMiOlt7ImlkIjoiNjZhNzhhOTEtZWNjNS0zYmU1LWIyZTYtMmExMTMzNTM4N2I5IiwiaXRlbURhdGEiOnsidHlwZSI6ImFydGljbGUtam91cm5hbCIsImlkIjoiNjZhNzhhOTEtZWNjNS0zYmU1LWIyZTYtMmExMTMzNTM4N2I5IiwidGl0bGUiOiJEZXZlbG9waW5nIHRoZSBQcmVtb25pdG9yeSBVcmdlcyBmb3IgVGljIERpc29yZGVycyBTY2FsZS1SZXZpc2VkIChQVVRTLVIpIiwiZ3JvdXBJZCI6IjA3ZDYyYWMxLTVhYTgtMzlhZi1iNDllLTUyZDIwODhhYzU3MSIsImF1dGhvciI6W3siZmFtaWx5IjoiQmF1bXVuZyIsImdpdmVuIjoiTCIsInBhcnNlLW5hbWVzIjpmYWxzZSwiZHJvcHBpbmctcGFydGljbGUiOiIiLCJub24tZHJvcHBpbmctcGFydGljbGUiOiIifSx7ImZhbWlseSI6Ik3DvGxsZXItVmFobCIsImdpdmVuIjoiSyIsInBhcnNlLW5hbWVzIjpmYWxzZSwiZHJvcHBpbmctcGFydGljbGUiOiIiLCJub24tZHJvcHBpbmctcGFydGljbGUiOiIifSx7ImZhbWlseSI6IkR5a2UiLCJnaXZlbiI6IksiLCJwYXJzZS1uYW1lcyI6ZmFsc2UsImRyb3BwaW5nLXBhcnRpY2xlIjoiIiwibm9uLWRyb3BwaW5nLXBhcnRpY2xlIjoiIn0seyJmYW1pbHkiOiJKYWNrc29uIiwiZ2l2ZW4iOiJHIiwicGFyc2UtbmFtZXMiOmZhbHNlLCJkcm9wcGluZy1wYXJ0aWNsZSI6IiIsIm5vbi1kcm9wcGluZy1wYXJ0aWNsZSI6IiJ9LHsiZmFtaWx5IjoiSmFja3NvbiIsImdpdmVuIjoiUyIsInBhcnNlLW5hbWVzIjpmYWxzZSwiZHJvcHBpbmctcGFydGljbGUiOiIiLCJub24tZHJvcHBpbmctcGFydGljbGUiOiIifSx7ImZhbWlseSI6IkdvbG0iLCJnaXZlbiI6IkQiLCJwYXJzZS1uYW1lcyI6ZmFsc2UsImRyb3BwaW5nLXBhcnRpY2xlIjoiIiwibm9uLWRyb3BwaW5nLXBhcnRpY2xlIjoiIn0seyJmYW1pbHkiOiJNw7xuY2hhdSIsImdpdmVuIjoiQSIsInBhcnNlLW5hbWVzIjpmYWxzZSwiZHJvcHBpbmctcGFydGljbGUiOiIiLCJub24tZHJvcHBpbmctcGFydGljbGUiOiIifSx7ImZhbWlseSI6IkJyYW5kdCIsImdpdmVuIjoiViIsInBhcnNlLW5hbWVzIjpmYWxzZSwiZHJvcHBpbmctcGFydGljbGUiOiIiLCJub24tZHJvcHBpbmctcGFydGljbGUiOiIifV0sImNvbnRhaW5lci10aXRsZSI6IkogTmV1cm9wc3ljaG9sIiwiRE9JIjoiMTAuMTExMS9qbnAuMTIyMTYiLCJQTUlEIjoiMzI1NDMxMTAiLCJVUkwiOiJodHRwczovL2Jwc3BzeWNodWItb25saW5lbGlicmFyeS13aWxleS1jb20ucHJveHkubGlicmFyeS52YW5kZXJiaWx0LmVkdS9kb2kvZnVsbC8xMC4xMTExL2pucC4xMjIxNiIsImlzc3VlZCI6eyJkYXRlLXBhcnRzIjpbWzIwMjFdXX0sInBhZ2UiOiIxMjktMTQyIiwiYWJzdHJhY3QiOiJCQUNLR1JPVU5EOiBQYXRpZW50cyB3aXRoIEdpbGxlcyBkZSBsYSBUb3VyZXR0ZSBzeW5kcm9tZSAoR1RTKSBvciBjaHJvbmljIHRpYyBkaXNvcmRlcnMgZnJlcXVlbnRseSBleHBlcmllbmNlIHByZW1vbml0b3J5IHVyZ2VzIHByaW9yIHRvIHRpY3MuIFRoZSAnUHJlbW9uaXRvcnkgVXJnZXMgZm9yIFRpYyBEaXNvcmRlcnMgU2NhbGUnIChQVVRTKSBpcyBjb21tb25seSB1c2VkIGluIG9yZGVyIHRvIGFzc2VzcyB1cmdlIHNldmVyaXR5IGluIHBhdGllbnRzIHdpdGggdGljcy4gU2V2ZXJhbCBzdHVkaWVzIHN1Z2dlc3QgdGhhdCB0aGUgUFVUUyBtaWdodCBtZWFzdXJlIG1vcmUgdGhhbiBvbmUgZGltZW5zaW9uIG9mIHVyZ2VzLiBUaGVzZSBpbmNsdWRlIHRoZSBxdWFsaXR5IGFuZCBzZXZlcml0eSBvZiBwcmVtb25pdG9yeSB1cmdlcy4gTUVUSE9EUzogVGhpcyBzdHVkeSBhaW1zIHRvIHJlcGxpY2F0ZSBhbmQgZXh0ZW5kIHByZXZpb3VzIGZpbmRpbmdzIGNvbmNlcm5pbmcgdGhlIHBzeWNob21ldHJpYyBwcm9wZXJ0aWVzIG9mIHRoZSBQVVRTIGFuZCBpdHMgdW5kZXJseWluZyBkaW1lbnNpb25zIGluIGEgbGFyZ2Ugc2FtcGxlIG9mIDI0MSBwYXRpZW50cyB3aXRoIEdUUyBpbmNsdWRpbmcgYm90aCBhZHVsdHMgKG7CoD3CoDkzOyBtZWFuIGFnZcKgPcKgMzQuMsKgwrHCoDEyLjg0OyA3MyBtYWxlKSBhbmQgbWlub3JzIChuwqA9wqAxNDg7IG1lYW4gYWdlwqA9wqAxMS44wqDCscKgMi44NjsgMTIzIG1hbGUpLCBwb29sZWQgZnJvbSB0aHJlZSBkaWZmZXJlbnQgcmVjcnVpdG1lbnQgc2l0ZXMuIFJFU1VMVFM6IERhdGEgYW5hbHlzaXMgY29uZmlybWVkIGdvb2QgcmVsaWFiaWxpdHkgYWNyb3NzIHRoZSBQVVRTIGl0ZW1zIGZvciBib3RoIG1pbm9ycyBhbmQgYWR1bHRzIGFuZCBhY2NlcHRhYmxlIGl0ZW0gY2hhcmFjdGVyaXN0aWNzIGZvciBpdGVtcyAyLTguIEEgZmFjdG9yIGFuYWx5c2lzIG9mIGl0ZW1zIDEtOCBjb25maXJtZWQgdGhlIGV4aXN0ZW5jZSBvZiB0d28gZmFjdG9ycyBpbiBib3RoIGFnZSBncm91cHMuIENPTkNMVVNJT05TOiBUaGUgcmVzdWx0cyBzdWdnZXN0IHRoYXQgdGhlIFBVVFMgbWlnaHQgYmVuZWZpdCBmcm9tIHNldmVyYWwgZnVydGhlciBzbWFsbCBtb2RpZmljYXRpb25zLCBzdWNoIGFzIHJlcGhyYXNpbmcgaXRlbXMgMSBhbmQgOSB0byBpbmNyZWFzZSBjb252ZXJnZW5jZSB3aXRoIHRoZSBvdmVyYWxsIGNvbnN0cnVjdCBvZiB0aGUgc2NhbGUuIEZpbmFsbHksIHdlIHByb3Bvc2UgYSByZXZpc2VkIHZlcnNpb24gb2YgdGhlIFBVVFMsIGNvbnNpc3Rpbmcgb2YgdHdvIHN1YnNjYWxlczogb25lIGZvciB1cmdlIHNldmVyaXR5IGFuZCBhbm90aGVyIG9uZSBmb3IgdXJnZSBxdWFsaXR5IGJ5IGluY2x1ZGluZyBzZXZlcmFsIG5ldyBpdGVtcy4iLCJpc3N1ZSI6IjEiLCJ2b2x1bWUiOiIxNSIsImNvbnRhaW5lci10aXRsZS1zaG9ydCI6IiJ9LCJpc1RlbXBvcmFyeSI6ZmFsc2V9XX0="/>
                <w:id w:val="1741370414"/>
                <w:placeholder>
                  <w:docPart w:val="DefaultPlaceholder_-1854013440"/>
                </w:placeholder>
              </w:sdtPr>
              <w:sdtContent>
                <w:r w:rsidR="00F04E9F" w:rsidRPr="00F04E9F">
                  <w:rPr>
                    <w:rFonts w:cs="Times New Roman"/>
                    <w:color w:val="000000"/>
                    <w:sz w:val="16"/>
                    <w:szCs w:val="16"/>
                  </w:rPr>
                  <w:t>(9)</w:t>
                </w:r>
              </w:sdtContent>
            </w:sdt>
          </w:p>
        </w:tc>
        <w:tc>
          <w:tcPr>
            <w:tcW w:w="0" w:type="auto"/>
            <w:shd w:val="clear" w:color="auto" w:fill="FFFFFF"/>
            <w:hideMark/>
          </w:tcPr>
          <w:p w14:paraId="4A2BB777" w14:textId="77777777" w:rsidR="00986E35" w:rsidRPr="008A1F40" w:rsidRDefault="00986E35" w:rsidP="007F77D2">
            <w:pPr>
              <w:rPr>
                <w:rFonts w:cs="Times New Roman"/>
                <w:sz w:val="16"/>
                <w:szCs w:val="16"/>
              </w:rPr>
            </w:pPr>
            <w:r w:rsidRPr="008A1F40">
              <w:rPr>
                <w:rFonts w:cs="Times New Roman"/>
                <w:sz w:val="16"/>
                <w:szCs w:val="16"/>
              </w:rPr>
              <w:t>Internal consistency (Cronbach’s alpha) for 10-item PUTS (English/German)</w:t>
            </w:r>
          </w:p>
          <w:p w14:paraId="0A2A27FA" w14:textId="77777777" w:rsidR="00986E35" w:rsidRPr="008A1F40" w:rsidRDefault="00986E35" w:rsidP="007F77D2">
            <w:pPr>
              <w:rPr>
                <w:rFonts w:cs="Times New Roman"/>
                <w:sz w:val="16"/>
                <w:szCs w:val="16"/>
              </w:rPr>
            </w:pPr>
          </w:p>
          <w:p w14:paraId="0E4C49D6"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EFA of items 1-8 of PUTS</w:t>
            </w:r>
          </w:p>
        </w:tc>
        <w:tc>
          <w:tcPr>
            <w:tcW w:w="0" w:type="auto"/>
            <w:shd w:val="clear" w:color="auto" w:fill="FFFFFF"/>
            <w:hideMark/>
          </w:tcPr>
          <w:p w14:paraId="1FB94A12"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sz w:val="16"/>
                <w:szCs w:val="16"/>
                <w:shd w:val="clear" w:color="auto" w:fill="FFFFFF"/>
              </w:rPr>
              <w:t>93 adults with TS and 148 children with TS</w:t>
            </w:r>
          </w:p>
        </w:tc>
        <w:tc>
          <w:tcPr>
            <w:tcW w:w="0" w:type="auto"/>
            <w:shd w:val="clear" w:color="auto" w:fill="FFFFFF"/>
            <w:hideMark/>
          </w:tcPr>
          <w:p w14:paraId="225B5847" w14:textId="77777777" w:rsidR="00986E35" w:rsidRPr="008A1F40" w:rsidRDefault="00986E35" w:rsidP="007F77D2">
            <w:pPr>
              <w:rPr>
                <w:rFonts w:cs="Times New Roman"/>
                <w:color w:val="000000"/>
                <w:sz w:val="16"/>
                <w:szCs w:val="16"/>
              </w:rPr>
            </w:pPr>
            <w:r w:rsidRPr="008A1F40">
              <w:rPr>
                <w:rFonts w:cs="Times New Roman"/>
                <w:color w:val="000000"/>
                <w:sz w:val="16"/>
                <w:szCs w:val="16"/>
              </w:rPr>
              <w:t>α = 0.82 for minors</w:t>
            </w:r>
          </w:p>
          <w:p w14:paraId="25565710" w14:textId="77777777" w:rsidR="00986E35" w:rsidRPr="008A1F40" w:rsidRDefault="00986E35" w:rsidP="007F77D2">
            <w:pPr>
              <w:rPr>
                <w:rFonts w:cs="Times New Roman"/>
                <w:color w:val="000000"/>
                <w:sz w:val="16"/>
                <w:szCs w:val="16"/>
              </w:rPr>
            </w:pPr>
            <w:r w:rsidRPr="008A1F40">
              <w:rPr>
                <w:rFonts w:cs="Times New Roman"/>
                <w:color w:val="000000"/>
                <w:sz w:val="16"/>
                <w:szCs w:val="16"/>
              </w:rPr>
              <w:t>α = 0.78 for adults</w:t>
            </w:r>
          </w:p>
          <w:p w14:paraId="7C56CE49" w14:textId="77777777" w:rsidR="00986E35" w:rsidRPr="008A1F40" w:rsidRDefault="00986E35" w:rsidP="007F77D2">
            <w:pPr>
              <w:rPr>
                <w:rFonts w:cs="Times New Roman"/>
                <w:color w:val="000000"/>
                <w:sz w:val="16"/>
                <w:szCs w:val="16"/>
              </w:rPr>
            </w:pPr>
          </w:p>
          <w:p w14:paraId="2934BFAE" w14:textId="77777777" w:rsidR="00986E35" w:rsidRPr="008A1F40" w:rsidRDefault="00986E35" w:rsidP="007F77D2">
            <w:pPr>
              <w:rPr>
                <w:rFonts w:cs="Times New Roman"/>
                <w:color w:val="000000"/>
                <w:sz w:val="16"/>
                <w:szCs w:val="16"/>
              </w:rPr>
            </w:pPr>
            <w:r w:rsidRPr="008A1F40">
              <w:rPr>
                <w:rFonts w:cs="Times New Roman"/>
                <w:color w:val="000000"/>
                <w:sz w:val="16"/>
                <w:szCs w:val="16"/>
              </w:rPr>
              <w:t xml:space="preserve">two factors: </w:t>
            </w:r>
          </w:p>
          <w:p w14:paraId="67AA451C" w14:textId="77777777" w:rsidR="00986E35" w:rsidRPr="008A1F40" w:rsidRDefault="00986E35" w:rsidP="00986E35">
            <w:pPr>
              <w:pStyle w:val="ListParagraph"/>
              <w:numPr>
                <w:ilvl w:val="0"/>
                <w:numId w:val="27"/>
              </w:numPr>
              <w:spacing w:before="0" w:after="0"/>
              <w:rPr>
                <w:color w:val="000000"/>
                <w:sz w:val="16"/>
                <w:szCs w:val="16"/>
              </w:rPr>
            </w:pPr>
            <w:r w:rsidRPr="008A1F40">
              <w:rPr>
                <w:color w:val="000000"/>
                <w:sz w:val="16"/>
                <w:szCs w:val="16"/>
              </w:rPr>
              <w:t>“intensity or frequency” (items 1, 6, 7, and 8 in adult sample, and items 1, 2, 6, 7, and 8 in minor sample)</w:t>
            </w:r>
          </w:p>
          <w:p w14:paraId="0A2A2748" w14:textId="77777777" w:rsidR="00986E35" w:rsidRPr="008A1F40" w:rsidRDefault="00986E35" w:rsidP="00986E35">
            <w:pPr>
              <w:pStyle w:val="ListParagraph"/>
              <w:numPr>
                <w:ilvl w:val="0"/>
                <w:numId w:val="27"/>
              </w:numPr>
              <w:spacing w:before="0" w:after="0"/>
              <w:rPr>
                <w:color w:val="000000" w:themeColor="text1"/>
                <w:sz w:val="16"/>
                <w:szCs w:val="16"/>
                <w:shd w:val="clear" w:color="auto" w:fill="FFFFFF"/>
              </w:rPr>
            </w:pPr>
            <w:r w:rsidRPr="008A1F40">
              <w:rPr>
                <w:color w:val="000000"/>
                <w:sz w:val="16"/>
                <w:szCs w:val="16"/>
              </w:rPr>
              <w:t>“quality” (items 2, 3, 4, and 5 in adult sample, and items 3, 4, and 5 in minor sample)</w:t>
            </w:r>
          </w:p>
        </w:tc>
      </w:tr>
      <w:tr w:rsidR="00F04E9F" w:rsidRPr="008A1F40" w14:paraId="15A79A51" w14:textId="77777777" w:rsidTr="007F77D2">
        <w:trPr>
          <w:tblCellSpacing w:w="15" w:type="dxa"/>
        </w:trPr>
        <w:tc>
          <w:tcPr>
            <w:tcW w:w="0" w:type="auto"/>
            <w:shd w:val="clear" w:color="auto" w:fill="FFFFFF"/>
            <w:hideMark/>
          </w:tcPr>
          <w:p w14:paraId="203C3641" w14:textId="55145F69"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 xml:space="preserve">Matsuda et al </w:t>
            </w:r>
            <w:r w:rsidR="0067010F">
              <w:rPr>
                <w:rFonts w:cs="Times New Roman"/>
                <w:sz w:val="16"/>
                <w:szCs w:val="16"/>
              </w:rPr>
              <w:t>(</w:t>
            </w:r>
            <w:r w:rsidRPr="008A1F40">
              <w:rPr>
                <w:rFonts w:cs="Times New Roman"/>
                <w:sz w:val="16"/>
                <w:szCs w:val="16"/>
              </w:rPr>
              <w:t>2020</w:t>
            </w:r>
            <w:r w:rsidR="0067010F">
              <w:rPr>
                <w:rFonts w:cs="Times New Roman"/>
                <w:sz w:val="16"/>
                <w:szCs w:val="16"/>
              </w:rPr>
              <w:t xml:space="preserve">) </w:t>
            </w:r>
            <w:sdt>
              <w:sdtPr>
                <w:rPr>
                  <w:rFonts w:cs="Times New Roman"/>
                  <w:color w:val="000000"/>
                  <w:sz w:val="16"/>
                  <w:szCs w:val="16"/>
                </w:rPr>
                <w:tag w:val="MENDELEY_CITATION_v3_eyJjaXRhdGlvbklEIjoiTUVOREVMRVlfQ0lUQVRJT05fNDJhYzNhYzQtNTIxZS00NDNlLTg0MDItMmRlYTAwYjMxOWYyIiwicHJvcGVydGllcyI6eyJub3RlSW5kZXgiOjB9LCJpc0VkaXRlZCI6ZmFsc2UsIm1hbnVhbE92ZXJyaWRlIjp7ImlzTWFudWFsbHlPdmVycmlkZGVuIjpmYWxzZSwiY2l0ZXByb2NUZXh0IjoiKDEwKSIsIm1hbnVhbE92ZXJyaWRlVGV4dCI6IiJ9LCJjaXRhdGlvbkl0ZW1zIjpbeyJpZCI6IjQxYzU3YjA4LTQ3MmMtMzNiMy1iZDY2LWMxN2YyOWE0ODE2NCIsIml0ZW1EYXRhIjp7InR5cGUiOiJhcnRpY2xlLWpvdXJuYWwiLCJpZCI6IjQxYzU3YjA4LTQ3MmMtMzNiMy1iZDY2LWMxN2YyOWE0ODE2NCIsInRpdGxlIjoiUHJlbW9uaXRvcnkgQXdhcmVuZXNzIEZhY2lsaXRhdGVzIFRpYyBTdXBwcmVzc2lvbjogU3Vic2NhbGVzIG9mIHRoZSBQcmVtb25pdG9yeSBVcmdlIGZvciBUaWNzIFNjYWxlIGFuZCBhIE5ldyBTZWxmLVJlcG9ydCBRdWVzdGlvbm5haXJlIGZvciBUaWMtQXNzb2NpYXRlZCBTZW5zYXRpb25zIiwiZ3JvdXBJZCI6IjA3ZDYyYWMxLTVhYTgtMzlhZi1iNDllLTUyZDIwODhhYzU3MSIsImF1dGhvciI6W3siZmFtaWx5IjoiTWF0c3VkYSIsImdpdmVuIjoiTiIsInBhcnNlLW5hbWVzIjpmYWxzZSwiZHJvcHBpbmctcGFydGljbGUiOiIiLCJub24tZHJvcHBpbmctcGFydGljbGUiOiIifSx7ImZhbWlseSI6Ik5vbmFrYSIsImdpdmVuIjoiTSIsInBhcnNlLW5hbWVzIjpmYWxzZSwiZHJvcHBpbmctcGFydGljbGUiOiIiLCJub24tZHJvcHBpbmctcGFydGljbGUiOiIifSx7ImZhbWlseSI6Iktvbm8iLCJnaXZlbiI6IlQiLCJwYXJzZS1uYW1lcyI6ZmFsc2UsImRyb3BwaW5nLXBhcnRpY2xlIjoiIiwibm9uLWRyb3BwaW5nLXBhcnRpY2xlIjoiIn0seyJmYW1pbHkiOiJGdWppbyIsImdpdmVuIjoiTSIsInBhcnNlLW5hbWVzIjpmYWxzZSwiZHJvcHBpbmctcGFydGljbGUiOiIiLCJub24tZHJvcHBpbmctcGFydGljbGUiOiIifSx7ImZhbWlseSI6Ik5vYnV5b3NoaSIsImdpdmVuIjoiTSIsInBhcnNlLW5hbWVzIjpmYWxzZSwiZHJvcHBpbmctcGFydGljbGUiOiIiLCJub24tZHJvcHBpbmctcGFydGljbGUiOiIifSx7ImZhbWlseSI6Ikthbm8iLCJnaXZlbiI6IlkiLCJwYXJzZS1uYW1lcyI6ZmFsc2UsImRyb3BwaW5nLXBhcnRpY2xlIjoiIiwibm9uLWRyb3BwaW5nLXBhcnRpY2xlIjoiIn1dLCJjb250YWluZXItdGl0bGUiOiJGcm9udCBQc3ljaGlhdHJ5IiwiRE9JIjoiMTAuMzM4OS9mcHN5dC4yMDIwLjAwNTkyIiwiUE1JRCI6IjMyNzE5NjIxIiwiaXNzdWVkIjp7ImRhdGUtcGFydHMiOltbMjAyMF1dfSwicGFnZSI6IjU5MiIsImFic3RyYWN0IjoiQXdhcmVuZXNzIG9mIHByZW1vbml0b3J5IHVyZ2UgaW4gVG91cmV0dGUgc3luZHJvbWUgKFRTKSBtYXkgZmFjaWxpdGF0ZSB0aWMgc3VwcHJlc3Npb247IGhvd2V2ZXIsIHByZXZpb3VzIHN0dWRpZXMgaGF2ZSBub3Qgc3VwcG9ydGVkIHRoaXMgb2JzZXJ2YXRpb24uIFdlIGFpbWVkIHRvIGNsYXJpZnkgdGhlIHJlbGF0aW9uc2hpcCBiZXR3ZWVuIHRpYy1hc3NvY2lhdGVkIHNlbnNhdGlvbiBhbmQgdGljIHN1cHByZXNzaW9uIGJ5IGlkZW50aWZ5aW5nIHRoZSBzdWJ0eXBlcyBvZiB0aWMtYXNzb2NpYXRlZCBzZW5zYXRpb25zLCBpbmNsdWRpbmcgdGhlIFByZW1vbml0b3J5IFVyZ2UgZm9yIFRpY3MgU2NhbGUgKFBVVFMpLiBXZSBkZXZlbG9wZWQgYSBuZXcgcXVlc3Rpb25uYWlyZSBjYWxsZWQgXCJSdW1pbmF0aW9uIGFuZCBBd2FyZW5lc3MgU2NhbGUgZm9yIHRpYy1hc3NvY2lhdGVkIHNlbnNhdGlvbnNcIiAoUkFTVFMpIHRvIGFzc2VzcyB0aGUgdHdvIGFkZGl0aW9uYWwgYXNwZWN0cyBvZiB0aWMtYXNzb2NpYXRlZCBzZW5zYXRpb25zOiB0aGUgaW50ZW5zaXR5IG9mIHNvbWF0b3NlbnNvcnkgaHlwZXJhd2FyZW5lc3MgYW5kIHRoZSBhYmlsaXR5IHRvIGlkZW50aWZ5IHNpZ25hbHMgb2YgZW1lcmdpbmcgdGljcy4gU2l4dHktdHdvIGluZGl2aWR1YWxzIHdpdGggVFMgcGFydGljaXBhdGVkIGluIHRoZSBzdHVkeSAobWVhbiBhZ2UgPSAxOS4yIMKxIDEwLjMgeWVhcnMpLiBBbGwgcGFydGljaXBhbnRzIGNvbXBsZXRlZCB0aGUgUkFTVFMsIFBVVFMsIGFuZCBUaWMgU3VwcHJlc3Npb24gU2NhbGUuIE9mIGFsbCBwYXJ0aWNpcGFudHMsIDQxIHdlcmUgZXZhbHVhdGVkIGJ5IHRoZSBZYWxlIEdsb2JhbCBUaWMgU2V2ZXJpdHkgU2NhbGUgKFlHVFNTKSwgd2hpbGUgYW5vdGhlciBncm91cCBvZiA0MSBjb21wbGV0ZWQgYm90aCB0aGUgTGV5dG9uIE9ic2Vzc2lvbmFsIEludmVudG9yeS1DaGlsZCBWZXJzaW9uIChMT0ktQ1YpIGFuZCB0aGUgVGljcyBTeW1wdG9tIFNlbGYtUmVwb3J0IChUU1NSKS4gRmFjdG9yIGFuYWx5c2VzIGluY2x1ZGluZyBuaW5lIGl0ZW1zIG9mIHRoZSBQVVRTIGFuZCB0aGUgUkFTVFMgd2VyZSBjb25kdWN0ZWQsIGFuZCB0aGVpciByZWxhdGlvbnNoaXBzIHdpdGggcGF0aWVudHMnIHRpYyBzdXBwcmVzc2lvbiBhYmlsaXR5IHdlcmUgZXhhbWluZWQuIFRoZSByZXN1bHRzIHN1cHBvcnQgdXNpbmcgUkFTVFMgZm9yIHRoZSB0d28gc3VwcG9zZWQgZGltZW5zaW9ucyAocnVtaW5hdGlvbiBhYm91dCBzZW5zYXRpb24gYW5kIHByZW1vbml0b3J5IGF3YXJlbmVzcykgZm9yIGFzc2Vzc2luZyB0aGUgdHdvIGRpZmZlcmVudCB0aWMtYXNzb2NpYXRlZCBzZW5zYXRpb25zLCBhbmQgUFVUUyBmb3IgdGhyZWUgZGltZW5zaW9ucyBmb3IgYXNzZXNzaW5nIHRoZSB0d28gdHlwZXMgb2YgcXVhbGl0eSBvZiBwcmVtb25pdG9yeSB1cmdlcyBhbmQgaW50ZW5zaXR5IG9mIHByZW1vbml0b3J5IHVyZ2VzLiBQcmVtb25pdG9yeSBhd2FyZW5lc3MgY29ycmVsYXRlZCB3aXRoIHRpYyBzdXBwcmVzc2lvbiBhYmlsaXR5LiBDb252ZXJzZWx5LCBydW1pbmF0aW9uIGFib3V0IHNlbnNhdGlvbiwgUFVUUyB0b3RhbCBzY29yZSwgYW5kIHRoZSB0aHJlZSBzdWJzY2FsZXMgb2YgUFVUUyBjb3JyZWxhdGVkIHdpdGggb2JzZXNzaXZlLWNvbXB1bHNpdmUgc3ltcHRvbXMuIEluIHN1bW1hcnksIGJlaW5nIGF3YXJlIG9mIHNpZ25hbHMgZm9yIGVtZXJnaW5nIHRpY3MgZmFjaWxpdGF0ZWQgc2VsZi1pbml0aWF0ZWQgdGljIHN1cHByZXNzaW9uLCB3aGlsZSBydW1pbmF0aXZlIHRpYy1hc3NvY2lhdGVkIHNlbnNhdGlvbnMgZGlkIG5vdC4gVGhpcyBzdHVkeSBwcm92aWRlcyBuZXcgaW5zaWdodHMgaW50byBiZWhhdmlvcmFsIHRoZXJhcHkgZm9yIHRpY3MgYnkgaWRlbnRpZnlpbmcgdHdvIGRpc3RpbmN0IGFzcGVjdHMgb2YgdGljLWFzc29jaWF0ZWQgc2Vuc2F0aW9ucyB0aGF0IGluY2x1ZGUgcHJlbW9uaXRvcnkgdXJnZXMuIiwidm9sdW1lIjoiMTEiLCJjb250YWluZXItdGl0bGUtc2hvcnQiOiIifSwiaXNUZW1wb3JhcnkiOmZhbHNlfV19"/>
                <w:id w:val="-952627306"/>
                <w:placeholder>
                  <w:docPart w:val="DefaultPlaceholder_-1854013440"/>
                </w:placeholder>
              </w:sdtPr>
              <w:sdtContent>
                <w:r w:rsidR="00F04E9F" w:rsidRPr="00F04E9F">
                  <w:rPr>
                    <w:rFonts w:cs="Times New Roman"/>
                    <w:color w:val="000000"/>
                    <w:sz w:val="16"/>
                    <w:szCs w:val="16"/>
                  </w:rPr>
                  <w:t>(10)</w:t>
                </w:r>
              </w:sdtContent>
            </w:sdt>
          </w:p>
        </w:tc>
        <w:tc>
          <w:tcPr>
            <w:tcW w:w="0" w:type="auto"/>
            <w:shd w:val="clear" w:color="auto" w:fill="FFFFFF"/>
            <w:hideMark/>
          </w:tcPr>
          <w:p w14:paraId="40FA1070" w14:textId="77777777" w:rsidR="00986E35" w:rsidRPr="008A1F40" w:rsidRDefault="00986E35" w:rsidP="007F77D2">
            <w:pPr>
              <w:rPr>
                <w:rFonts w:cs="Times New Roman"/>
                <w:sz w:val="16"/>
                <w:szCs w:val="16"/>
              </w:rPr>
            </w:pPr>
            <w:r w:rsidRPr="008A1F40">
              <w:rPr>
                <w:rFonts w:cs="Times New Roman"/>
                <w:sz w:val="16"/>
                <w:szCs w:val="16"/>
              </w:rPr>
              <w:t>Internal consistency (Cronbach’s alpha) for 9-item PUTS (Japanese)</w:t>
            </w:r>
          </w:p>
          <w:p w14:paraId="545574B3" w14:textId="77777777" w:rsidR="00986E35" w:rsidRPr="008A1F40" w:rsidRDefault="00986E35" w:rsidP="007F77D2">
            <w:pPr>
              <w:rPr>
                <w:rFonts w:cs="Times New Roman"/>
                <w:sz w:val="16"/>
                <w:szCs w:val="16"/>
              </w:rPr>
            </w:pPr>
          </w:p>
          <w:p w14:paraId="6D6AD2F6"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EFA of 9-item PUTS</w:t>
            </w:r>
          </w:p>
        </w:tc>
        <w:tc>
          <w:tcPr>
            <w:tcW w:w="0" w:type="auto"/>
            <w:shd w:val="clear" w:color="auto" w:fill="FFFFFF"/>
            <w:hideMark/>
          </w:tcPr>
          <w:p w14:paraId="362C22B3"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sz w:val="16"/>
                <w:szCs w:val="16"/>
              </w:rPr>
              <w:t>62 children and adults with TS</w:t>
            </w:r>
          </w:p>
        </w:tc>
        <w:tc>
          <w:tcPr>
            <w:tcW w:w="0" w:type="auto"/>
            <w:shd w:val="clear" w:color="auto" w:fill="FFFFFF"/>
            <w:hideMark/>
          </w:tcPr>
          <w:p w14:paraId="563C061E" w14:textId="77777777" w:rsidR="00986E35" w:rsidRPr="008A1F40" w:rsidRDefault="00986E35" w:rsidP="007F77D2">
            <w:pPr>
              <w:rPr>
                <w:rFonts w:cs="Times New Roman"/>
                <w:color w:val="000000"/>
                <w:sz w:val="16"/>
                <w:szCs w:val="16"/>
              </w:rPr>
            </w:pPr>
            <w:r w:rsidRPr="008A1F40">
              <w:rPr>
                <w:rFonts w:cs="Times New Roman"/>
                <w:color w:val="000000"/>
                <w:sz w:val="16"/>
                <w:szCs w:val="16"/>
              </w:rPr>
              <w:t>α = 0.85 for entire sample</w:t>
            </w:r>
          </w:p>
          <w:p w14:paraId="57C3859D" w14:textId="77777777" w:rsidR="00986E35" w:rsidRPr="008A1F40" w:rsidRDefault="00986E35" w:rsidP="007F77D2">
            <w:pPr>
              <w:rPr>
                <w:rFonts w:cs="Times New Roman"/>
                <w:color w:val="202124"/>
                <w:sz w:val="16"/>
                <w:szCs w:val="16"/>
                <w:shd w:val="clear" w:color="auto" w:fill="FFFFFF"/>
              </w:rPr>
            </w:pPr>
            <w:r w:rsidRPr="008A1F40">
              <w:rPr>
                <w:rFonts w:cs="Times New Roman"/>
                <w:color w:val="000000"/>
                <w:sz w:val="16"/>
                <w:szCs w:val="16"/>
              </w:rPr>
              <w:t>α = 0.85 for minors</w:t>
            </w:r>
          </w:p>
          <w:p w14:paraId="02E9B447" w14:textId="77777777"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α = 0.87 for adults</w:t>
            </w:r>
          </w:p>
          <w:p w14:paraId="5AB5ABE8" w14:textId="77777777" w:rsidR="00986E35" w:rsidRPr="008A1F40" w:rsidRDefault="00986E35" w:rsidP="007F77D2">
            <w:pPr>
              <w:rPr>
                <w:rFonts w:cs="Times New Roman"/>
                <w:color w:val="000000" w:themeColor="text1"/>
                <w:sz w:val="16"/>
                <w:szCs w:val="16"/>
              </w:rPr>
            </w:pPr>
          </w:p>
          <w:p w14:paraId="0690D242" w14:textId="77777777"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three factors:</w:t>
            </w:r>
          </w:p>
          <w:p w14:paraId="7CDED277" w14:textId="77777777" w:rsidR="00986E35" w:rsidRPr="008A1F40" w:rsidRDefault="00986E35" w:rsidP="00986E35">
            <w:pPr>
              <w:pStyle w:val="ListParagraph"/>
              <w:numPr>
                <w:ilvl w:val="0"/>
                <w:numId w:val="24"/>
              </w:numPr>
              <w:spacing w:before="0" w:after="0"/>
              <w:rPr>
                <w:color w:val="000000"/>
                <w:sz w:val="16"/>
                <w:szCs w:val="16"/>
              </w:rPr>
            </w:pPr>
            <w:r w:rsidRPr="008A1F40">
              <w:rPr>
                <w:color w:val="000000"/>
                <w:sz w:val="16"/>
                <w:szCs w:val="16"/>
              </w:rPr>
              <w:lastRenderedPageBreak/>
              <w:t>“quality” (items 1, 2, and 3)</w:t>
            </w:r>
          </w:p>
          <w:p w14:paraId="0B3D0AAE" w14:textId="77777777" w:rsidR="00986E35" w:rsidRPr="008A1F40" w:rsidRDefault="00986E35" w:rsidP="00986E35">
            <w:pPr>
              <w:pStyle w:val="ListParagraph"/>
              <w:numPr>
                <w:ilvl w:val="0"/>
                <w:numId w:val="24"/>
              </w:numPr>
              <w:spacing w:before="0" w:after="0"/>
              <w:rPr>
                <w:color w:val="000000"/>
                <w:sz w:val="16"/>
                <w:szCs w:val="16"/>
              </w:rPr>
            </w:pPr>
            <w:r w:rsidRPr="008A1F40">
              <w:rPr>
                <w:color w:val="000000"/>
                <w:sz w:val="16"/>
                <w:szCs w:val="16"/>
              </w:rPr>
              <w:t>“intensity” (items 1, 7, and 8)</w:t>
            </w:r>
          </w:p>
          <w:p w14:paraId="3FCF7AD2" w14:textId="77777777" w:rsidR="00986E35" w:rsidRPr="008A1F40" w:rsidRDefault="00986E35" w:rsidP="00986E35">
            <w:pPr>
              <w:pStyle w:val="ListParagraph"/>
              <w:numPr>
                <w:ilvl w:val="0"/>
                <w:numId w:val="24"/>
              </w:numPr>
              <w:spacing w:before="0" w:after="0"/>
              <w:rPr>
                <w:color w:val="000000" w:themeColor="text1"/>
                <w:sz w:val="16"/>
                <w:szCs w:val="16"/>
                <w:shd w:val="clear" w:color="auto" w:fill="FFFFFF"/>
              </w:rPr>
            </w:pPr>
            <w:r w:rsidRPr="008A1F40">
              <w:rPr>
                <w:color w:val="000000"/>
                <w:sz w:val="16"/>
                <w:szCs w:val="16"/>
              </w:rPr>
              <w:t>“just right phenomena” (items 4, 5, and 9)</w:t>
            </w:r>
          </w:p>
        </w:tc>
      </w:tr>
      <w:tr w:rsidR="00F04E9F" w:rsidRPr="008A1F40" w14:paraId="46DB6D3D" w14:textId="77777777" w:rsidTr="007F77D2">
        <w:trPr>
          <w:tblCellSpacing w:w="15" w:type="dxa"/>
        </w:trPr>
        <w:tc>
          <w:tcPr>
            <w:tcW w:w="0" w:type="auto"/>
            <w:shd w:val="clear" w:color="auto" w:fill="FFFFFF"/>
            <w:hideMark/>
          </w:tcPr>
          <w:p w14:paraId="59D7C89A" w14:textId="458E1E30"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lastRenderedPageBreak/>
              <w:t xml:space="preserve">Brandt et al </w:t>
            </w:r>
            <w:r w:rsidR="0067010F">
              <w:rPr>
                <w:rFonts w:cs="Times New Roman"/>
                <w:sz w:val="16"/>
                <w:szCs w:val="16"/>
              </w:rPr>
              <w:t>(</w:t>
            </w:r>
            <w:r w:rsidRPr="008A1F40">
              <w:rPr>
                <w:rFonts w:cs="Times New Roman"/>
                <w:sz w:val="16"/>
                <w:szCs w:val="16"/>
              </w:rPr>
              <w:t>2016</w:t>
            </w:r>
            <w:r w:rsidR="0067010F">
              <w:rPr>
                <w:rFonts w:cs="Times New Roman"/>
                <w:sz w:val="16"/>
                <w:szCs w:val="16"/>
              </w:rPr>
              <w:t xml:space="preserve">) </w:t>
            </w:r>
            <w:sdt>
              <w:sdtPr>
                <w:rPr>
                  <w:rFonts w:cs="Times New Roman"/>
                  <w:color w:val="000000"/>
                  <w:sz w:val="16"/>
                  <w:szCs w:val="16"/>
                </w:rPr>
                <w:tag w:val="MENDELEY_CITATION_v3_eyJjaXRhdGlvbklEIjoiTUVOREVMRVlfQ0lUQVRJT05fMDRkYmY2ZjEtYzRhMC00ZTA0LTk3NmItZGQ5ZDc4ZDg5ZDM5IiwicHJvcGVydGllcyI6eyJub3RlSW5kZXgiOjB9LCJpc0VkaXRlZCI6ZmFsc2UsIm1hbnVhbE92ZXJyaWRlIjp7ImlzTWFudWFsbHlPdmVycmlkZGVuIjpmYWxzZSwiY2l0ZXByb2NUZXh0IjoiKDExKSIsIm1hbnVhbE92ZXJyaWRlVGV4dCI6IiJ9LCJjaXRhdGlvbkl0ZW1zIjpbeyJpZCI6ImFkZTRmY2VmLTdmOTYtMzkwZC04MDY3LTIwMWQzNGI1ODJhYiIsIml0ZW1EYXRhIjp7InR5cGUiOiJhcnRpY2xlLWpvdXJuYWwiLCJpZCI6ImFkZTRmY2VmLTdmOTYtMzkwZC04MDY3LTIwMWQzNGI1ODJhYiIsInRpdGxlIjoiQ29udmVyZ2VudCB2YWxpZGl0eSBvZiB0aGUgUFVUUyIsImdyb3VwSWQiOiIwN2Q2MmFjMS01YWE4LTM5YWYtYjQ5ZS01MmQyMDg4YWM1NzEiLCJhdXRob3IiOlt7ImZhbWlseSI6IkJyYW5kdCIsImdpdmVuIjoiVmFsZXJpZSBDYXRow6lyaW5lIiwicGFyc2UtbmFtZXMiOmZhbHNlLCJkcm9wcGluZy1wYXJ0aWNsZSI6IiIsIm5vbi1kcm9wcGluZy1wYXJ0aWNsZSI6IiJ9LHsiZmFtaWx5IjoiQmVjayIsImdpdmVuIjoiQ2hyaXN0aWFuIiwicGFyc2UtbmFtZXMiOmZhbHNlLCJkcm9wcGluZy1wYXJ0aWNsZSI6IiIsIm5vbi1kcm9wcGluZy1wYXJ0aWNsZSI6IiJ9LHsiZmFtaWx5IjoiU2FqaW4iLCJnaXZlbiI6IlZhbGVyaWEiLCJwYXJzZS1uYW1lcyI6ZmFsc2UsImRyb3BwaW5nLXBhcnRpY2xlIjoiIiwibm9uLWRyb3BwaW5nLXBhcnRpY2xlIjoiIn0seyJmYW1pbHkiOiJBbmRlcnMiLCJnaXZlbiI6IlNpbGtlIiwicGFyc2UtbmFtZXMiOmZhbHNlLCJkcm9wcGluZy1wYXJ0aWNsZSI6IiIsIm5vbi1kcm9wcGluZy1wYXJ0aWNsZSI6IiJ9LHsiZmFtaWx5IjoiTcO8bmNoYXUiLCJnaXZlbiI6IkFsZXhhbmRlciIsInBhcnNlLW5hbWVzIjpmYWxzZSwiZHJvcHBpbmctcGFydGljbGUiOiIiLCJub24tZHJvcHBpbmctcGFydGljbGUiOiIifV0sImNvbnRhaW5lci10aXRsZSI6IkZyb250aWVycyBpbiBQc3ljaGlhdHJ5IiwiRE9JIjoiMTAuMzM4OS9mcHN5dC4yMDE2LjAwMDUxIiwiSVNTTiI6IjE2NjQwNjQwIiwiaXNzdWVkIjp7ImRhdGUtcGFydHMiOltbMjAxNiw0LDddXX0sImFic3RyYWN0IjoiUHJlbW9uaXRvcnkgdXJnZXMgYXJlIGEgY2FyZGluYWwgZmVhdHVyZSBpbiBHaWxsZXMgZGUgbGEgVG91cmV0dGUgc3luZHJvbWUuIFNldmVyaXR5IG9mIHByZW1vbml0b3J5IHVyZ2VzIGNhbiBiZSBhc3Nlc3NlZCB3aXRoIHRoZSBcIlByZW1vbml0b3J5IFVyZ2UgZm9yIFRpYyBEaXNvcmRlcnMgU2NhbGVcIiAoUFVUUykuIEhvd2V2ZXIsIGNvbnZlcmdlbnQgdmFsaWRpdHkgb2YgdGhlIG1lYXN1cmUgaGFzIGJlZW4gZGlmZmljdWx0IHRvIGFzc2VzcyBkdWUgdG8gdGhlIGxhY2sgb2Ygb3RoZXIgdXJnZSBtZWFzdXJlcy4gV2UgaW52ZXN0aWdhdGVkIHRoZSByZWxhdGlvbnNoaXAgYmV0d2VlbiBhdmVyYWdlIHJlYWwtdGltZSB1cmdlIGludGVuc2l0eSBhc3Nlc3NlZCBieSBhbiBpbi1ob3VzZSBkZXZlbG9wZWQgcmVhbC10aW1lIHVyZ2UgbW9uaXRvciAoUlVNKSwgbWVhc3VyaW5nIHVyZ2UgaW50ZW5zaXR5IGNvbnRpbnVvdXNseSBmb3IgNSBtaW4gb24gYSB2aXN1YWwgYW5hbG9nIHNjYWxlLCBhbmQgZ2VuZXJhbCB1cmdlIGludGVuc2l0eSBhc3Nlc3NlZCBieSB0aGUgUFVUUyBpbiAyMiBhZHVsdCBUb3VyZXR0ZSBwYXRpZW50cyAobWVhbiBhZ2UgMjkuOCDCsSAxMC4zIFNELCAxOSBtYWxlcykuIEFkZGl0aW9uYWxseSwgdW5kZXJseWluZyBmYWN0b3JzIG9mIHByZW1vbml0b3J5IHVyZ2VzIGFzc2Vzc2VkIGJ5IHRoZSBQVVRTIHdlcmUgaW52ZXN0aWdhdGVkIGluIHRoZSBhZHVsdCBzYW1wbGUgdXNpbmcgZmFjdG9yIGFuYWx5c2lzIGFuZCB3ZXJlIHJlcGxpY2F0ZWQgaW4gNDAgY2hpbGRyZW4gYW5kIGFkb2xlc2NlbnRzIGRpYWdub3NlZCB3aXRoIFRvdXJldHRlIHN5bmRyb21lIChtZWFuIGFnZSAxMi4wNSDCsSAyLjgzIFNELCAzMSBtYWxlcykuIENyb25iYWNoJ3MgYSBmb3IgdGhlIFBVVFMgMTAgd2FzIGFjY2VwdGFibGUgKM6xID0gMC43OSkgaW4gdGhlIGFkdWx0IHNhbXBsZS4gQ29udmVyZ2VudCB2YWxpZGl0eSBiZXR3ZWVuIGF2ZXJhZ2UgcmVhbC10aW1lIHVyZ2UgaW50ZW5zaXR5IHNjb3JlcyAoYXMgYXNzZXNzZWQgd2l0aCB0aGUgUlVNKSBhbmQgdGhlIDEwLWl0ZW0gdmVyc2lvbiBvZiB0aGUgUFVUUyAociA9IDAuNjQpIGFuZCB0aGUgOS1pdGVtIHZlcnNpb24gb2YgdGhlIFBVVFMgKHIgPSAwLjY2KSB3YXMgZ29vZC4gQSBmYWN0b3IgYW5hbHlzaXMgaW5jbHVkaW5nIHRoZSAxMCBpdGVtcyBvZiB0aGUgUFVUUyBhbmQgYXZlcmFnZSByZWFsLXRpbWUgdXJnZSBpbnRlbnNpdHkgc2NvcmVzIHJldmVhbGVkIHRocmVlIGZhY3RvcnMuIE9uZSBmYWN0b3IgaW5jbHVkZWQgdGhlIGF2ZXJhZ2UgcmVhbC10aW1lIHVyZ2UgaW50ZW5zaXR5IHNjb3JlIGFuZCBhcHBlYXJlZCB0byBtZWFzdXJlIHVyZ2UgaW50ZW5zaXR5LCB3aGVyZWFzIHRoZSBvdGhlciB0d28gZmFjdG9ycyBjYW4gYmUgYXNzdW1lZCB0byByZWZsZWN0IHRoZSAoc2Vuc29yeSkgcXVhbGl0eSBvZiB1cmdlcyBhbmQgc3ViamVjdGl2ZSBjb250cm9sLCByZXNwZWN0aXZlbHkuIFRoZSBmYWN0b3Igc3RydWN0dXJlIG9mIHRoZSAxMCBQVVRTIGl0ZW1zIGFsb25lIHdhcyByZXBsaWNhdGVkIGluIGEgc2FtcGxlIG9mIGNoaWxkcmVuIGFuZCBhZG9sZXNjZW50cy4gVGhlIHJlc3VsdHMgaW5kaWNhdGUgdGhhdCBjb252ZXJnZW50IHZhbGlkaXR5IGJldHdlZW4gdGhlIFBVVFMgYW5kIHRoZSByZWFsLXRpbWUgdXJnZSBhc3Nlc3NtZW50IG1vbml0b3IgaXMgZ29vZC4gRnVydGhlcm1vcmUsIHRoZSByZXN1bHRzIHN1Z2dlc3QgdGhhdCB0aGUgUFVUUyBtaWdodCBhc3Nlc3MgbW9yZSB0aGFuIG9uZSBkaW1lbnNpb24gb2YgdXJnZXMsIGFuZCBpdCBtYXkgYmUgd29ydGh3aGlsZSBkZXZlbG9waW5nIGRpZmZlcmVudCBzdWJzY2FsZXMgb2YgdGhlIFBVVFMgYXNzZXNzaW5nIHByZW1vbml0b3J5IHVyZ2VzIGluIHRlcm1zIG9mIGludGVuc2l0eSBhbmQgcXVhbGl0eSwgYXMgd2VsbCBhcyBzdWJqZWN0aXZlbHkgZXhwZXJpZW5jZWQgY29udHJvbCBvdmVyIHRpY3MgYW5kIHByZW1vbml0b3J5IHVyZ2VzLiIsInB1Ymxpc2hlciI6IkZyb250aWVycyBSZXNlYXJjaCBGb3VuZGF0aW9uIiwiaXNzdWUiOiJBUFIiLCJ2b2x1bWUiOiI3IiwiY29udGFpbmVyLXRpdGxlLXNob3J0IjoiRnJvbnQgUHN5Y2hpYXRyeSJ9LCJpc1RlbXBvcmFyeSI6ZmFsc2V9XX0="/>
                <w:id w:val="1027763127"/>
                <w:placeholder>
                  <w:docPart w:val="DefaultPlaceholder_-1854013440"/>
                </w:placeholder>
              </w:sdtPr>
              <w:sdtContent>
                <w:r w:rsidR="00F04E9F" w:rsidRPr="00F04E9F">
                  <w:rPr>
                    <w:rFonts w:cs="Times New Roman"/>
                    <w:color w:val="000000"/>
                    <w:sz w:val="16"/>
                    <w:szCs w:val="16"/>
                  </w:rPr>
                  <w:t>(11)</w:t>
                </w:r>
              </w:sdtContent>
            </w:sdt>
          </w:p>
        </w:tc>
        <w:tc>
          <w:tcPr>
            <w:tcW w:w="0" w:type="auto"/>
            <w:shd w:val="clear" w:color="auto" w:fill="FFFFFF"/>
            <w:hideMark/>
          </w:tcPr>
          <w:p w14:paraId="4637981B" w14:textId="77777777" w:rsidR="00986E35" w:rsidRPr="008A1F40" w:rsidRDefault="00986E35" w:rsidP="007F77D2">
            <w:pPr>
              <w:rPr>
                <w:rFonts w:cs="Times New Roman"/>
                <w:sz w:val="16"/>
                <w:szCs w:val="16"/>
              </w:rPr>
            </w:pPr>
            <w:r w:rsidRPr="008A1F40">
              <w:rPr>
                <w:rFonts w:cs="Times New Roman"/>
                <w:sz w:val="16"/>
                <w:szCs w:val="16"/>
              </w:rPr>
              <w:t>Internal consistency (Cronbach’s alpha) for 10-item PUTS (German)</w:t>
            </w:r>
          </w:p>
          <w:p w14:paraId="5DD32DAE" w14:textId="77777777" w:rsidR="00986E35" w:rsidRPr="008A1F40" w:rsidRDefault="00986E35" w:rsidP="007F77D2">
            <w:pPr>
              <w:rPr>
                <w:rFonts w:cs="Times New Roman"/>
                <w:sz w:val="16"/>
                <w:szCs w:val="16"/>
              </w:rPr>
            </w:pPr>
          </w:p>
          <w:p w14:paraId="098C5F4E" w14:textId="60B4D551" w:rsidR="00986E35" w:rsidRPr="008A1F40" w:rsidRDefault="0052335B" w:rsidP="007F77D2">
            <w:pPr>
              <w:rPr>
                <w:rFonts w:cs="Times New Roman"/>
                <w:color w:val="000000" w:themeColor="text1"/>
                <w:sz w:val="16"/>
                <w:szCs w:val="16"/>
                <w:shd w:val="clear" w:color="auto" w:fill="FFFFFF"/>
              </w:rPr>
            </w:pPr>
            <w:r>
              <w:rPr>
                <w:rFonts w:eastAsia="Times New Roman" w:cs="Times New Roman"/>
                <w:color w:val="000000" w:themeColor="text1"/>
                <w:sz w:val="16"/>
                <w:szCs w:val="16"/>
                <w:shd w:val="clear" w:color="auto" w:fill="FFFFFF"/>
              </w:rPr>
              <w:t>EFA</w:t>
            </w:r>
            <w:r w:rsidR="00986E35" w:rsidRPr="008A1F40">
              <w:rPr>
                <w:rFonts w:eastAsia="Times New Roman" w:cs="Times New Roman"/>
                <w:color w:val="000000" w:themeColor="text1"/>
                <w:sz w:val="16"/>
                <w:szCs w:val="16"/>
                <w:shd w:val="clear" w:color="auto" w:fill="FFFFFF"/>
              </w:rPr>
              <w:t xml:space="preserve"> of 10-item PUTS</w:t>
            </w:r>
          </w:p>
        </w:tc>
        <w:tc>
          <w:tcPr>
            <w:tcW w:w="0" w:type="auto"/>
            <w:shd w:val="clear" w:color="auto" w:fill="FFFFFF"/>
            <w:hideMark/>
          </w:tcPr>
          <w:p w14:paraId="6930E6CF"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sz w:val="16"/>
                <w:szCs w:val="16"/>
              </w:rPr>
              <w:t>22 adults with TS, 40 children/adolescents with TS</w:t>
            </w:r>
          </w:p>
        </w:tc>
        <w:tc>
          <w:tcPr>
            <w:tcW w:w="0" w:type="auto"/>
            <w:shd w:val="clear" w:color="auto" w:fill="FFFFFF"/>
            <w:hideMark/>
          </w:tcPr>
          <w:p w14:paraId="14138B3D" w14:textId="77777777" w:rsidR="00986E35" w:rsidRPr="008A1F40" w:rsidRDefault="00986E35" w:rsidP="007F77D2">
            <w:pPr>
              <w:rPr>
                <w:rFonts w:cs="Times New Roman"/>
                <w:color w:val="000000"/>
                <w:sz w:val="16"/>
                <w:szCs w:val="16"/>
              </w:rPr>
            </w:pPr>
            <w:r w:rsidRPr="008A1F40">
              <w:rPr>
                <w:rFonts w:cs="Times New Roman"/>
                <w:color w:val="000000"/>
                <w:sz w:val="16"/>
                <w:szCs w:val="16"/>
              </w:rPr>
              <w:t>α = 0.84 for minors</w:t>
            </w:r>
          </w:p>
          <w:p w14:paraId="4CD15630" w14:textId="77777777" w:rsidR="00986E35" w:rsidRPr="008A1F40" w:rsidRDefault="00986E35" w:rsidP="007F77D2">
            <w:pPr>
              <w:rPr>
                <w:rFonts w:cs="Times New Roman"/>
                <w:color w:val="000000"/>
                <w:sz w:val="16"/>
                <w:szCs w:val="16"/>
              </w:rPr>
            </w:pPr>
            <w:r w:rsidRPr="008A1F40">
              <w:rPr>
                <w:rFonts w:cs="Times New Roman"/>
                <w:color w:val="000000"/>
                <w:sz w:val="16"/>
                <w:szCs w:val="16"/>
              </w:rPr>
              <w:t>α = 0.79 for adults</w:t>
            </w:r>
          </w:p>
          <w:p w14:paraId="15E43DAA" w14:textId="77777777" w:rsidR="00986E35" w:rsidRPr="008A1F40" w:rsidRDefault="00986E35" w:rsidP="007F77D2">
            <w:pPr>
              <w:rPr>
                <w:rFonts w:cs="Times New Roman"/>
                <w:color w:val="000000"/>
                <w:sz w:val="16"/>
                <w:szCs w:val="16"/>
              </w:rPr>
            </w:pPr>
          </w:p>
          <w:p w14:paraId="701E6E82" w14:textId="77777777" w:rsidR="00986E35" w:rsidRPr="008A1F40" w:rsidRDefault="00986E35" w:rsidP="007F77D2">
            <w:pPr>
              <w:rPr>
                <w:rFonts w:cs="Times New Roman"/>
                <w:color w:val="000000"/>
                <w:sz w:val="16"/>
                <w:szCs w:val="16"/>
              </w:rPr>
            </w:pPr>
            <w:r w:rsidRPr="008A1F40">
              <w:rPr>
                <w:rFonts w:cs="Times New Roman"/>
                <w:color w:val="000000"/>
                <w:sz w:val="16"/>
                <w:szCs w:val="16"/>
              </w:rPr>
              <w:t xml:space="preserve">three factors: </w:t>
            </w:r>
          </w:p>
          <w:p w14:paraId="5A826391" w14:textId="77777777" w:rsidR="00986E35" w:rsidRPr="008A1F40" w:rsidRDefault="00986E35" w:rsidP="00986E35">
            <w:pPr>
              <w:pStyle w:val="ListParagraph"/>
              <w:numPr>
                <w:ilvl w:val="0"/>
                <w:numId w:val="21"/>
              </w:numPr>
              <w:spacing w:before="0" w:after="0"/>
              <w:rPr>
                <w:color w:val="000000"/>
                <w:sz w:val="16"/>
                <w:szCs w:val="16"/>
              </w:rPr>
            </w:pPr>
            <w:r w:rsidRPr="008A1F40">
              <w:rPr>
                <w:color w:val="000000"/>
                <w:sz w:val="16"/>
                <w:szCs w:val="16"/>
              </w:rPr>
              <w:t xml:space="preserve">“quality” (items </w:t>
            </w:r>
            <w:r w:rsidRPr="008A1F40">
              <w:rPr>
                <w:rFonts w:eastAsia="Times New Roman"/>
                <w:color w:val="000000" w:themeColor="text1"/>
                <w:sz w:val="16"/>
                <w:szCs w:val="16"/>
                <w:shd w:val="clear" w:color="auto" w:fill="FFFFFF"/>
              </w:rPr>
              <w:t>2, 3, 4, and 5 in adult sample, and 3, 4, and 5 in child sample)</w:t>
            </w:r>
          </w:p>
          <w:p w14:paraId="5732928F" w14:textId="77777777" w:rsidR="00986E35" w:rsidRPr="008A1F40" w:rsidRDefault="00986E35" w:rsidP="00986E35">
            <w:pPr>
              <w:pStyle w:val="ListParagraph"/>
              <w:numPr>
                <w:ilvl w:val="0"/>
                <w:numId w:val="21"/>
              </w:numPr>
              <w:spacing w:before="0" w:after="0"/>
              <w:rPr>
                <w:color w:val="000000"/>
                <w:sz w:val="16"/>
                <w:szCs w:val="16"/>
              </w:rPr>
            </w:pPr>
            <w:r w:rsidRPr="008A1F40">
              <w:rPr>
                <w:color w:val="000000"/>
                <w:sz w:val="16"/>
                <w:szCs w:val="16"/>
              </w:rPr>
              <w:t>“intensity” (items 7 and 8 in adult sample, items 2, 7, and 8 in child sample)</w:t>
            </w:r>
          </w:p>
          <w:p w14:paraId="4A2D4C78" w14:textId="77777777" w:rsidR="00986E35" w:rsidRPr="008A1F40" w:rsidRDefault="00986E35" w:rsidP="00986E35">
            <w:pPr>
              <w:pStyle w:val="ListParagraph"/>
              <w:numPr>
                <w:ilvl w:val="0"/>
                <w:numId w:val="21"/>
              </w:numPr>
              <w:spacing w:before="0" w:after="0"/>
              <w:rPr>
                <w:color w:val="000000" w:themeColor="text1"/>
                <w:sz w:val="16"/>
                <w:szCs w:val="16"/>
                <w:shd w:val="clear" w:color="auto" w:fill="FFFFFF"/>
              </w:rPr>
            </w:pPr>
            <w:r w:rsidRPr="008A1F40">
              <w:rPr>
                <w:rFonts w:eastAsia="Times New Roman"/>
                <w:color w:val="000000" w:themeColor="text1"/>
                <w:sz w:val="16"/>
                <w:szCs w:val="16"/>
                <w:shd w:val="clear" w:color="auto" w:fill="FFFFFF"/>
              </w:rPr>
              <w:t>“control over tics and urges.” (items 6, 9, and 10 in child and adult samples)</w:t>
            </w:r>
          </w:p>
        </w:tc>
      </w:tr>
      <w:tr w:rsidR="00F04E9F" w:rsidRPr="008A1F40" w14:paraId="5CD893A3" w14:textId="77777777" w:rsidTr="007F77D2">
        <w:trPr>
          <w:tblCellSpacing w:w="15" w:type="dxa"/>
        </w:trPr>
        <w:tc>
          <w:tcPr>
            <w:tcW w:w="0" w:type="auto"/>
            <w:shd w:val="clear" w:color="auto" w:fill="FFFFFF"/>
            <w:hideMark/>
          </w:tcPr>
          <w:p w14:paraId="6AFA883C" w14:textId="07C2BF41"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 xml:space="preserve">Edwards et al </w:t>
            </w:r>
            <w:r w:rsidR="0067010F">
              <w:rPr>
                <w:rFonts w:cs="Times New Roman"/>
                <w:sz w:val="16"/>
                <w:szCs w:val="16"/>
              </w:rPr>
              <w:t>(</w:t>
            </w:r>
            <w:r w:rsidRPr="008A1F40">
              <w:rPr>
                <w:rFonts w:cs="Times New Roman"/>
                <w:sz w:val="16"/>
                <w:szCs w:val="16"/>
              </w:rPr>
              <w:t>2020</w:t>
            </w:r>
            <w:r w:rsidR="0067010F">
              <w:rPr>
                <w:rFonts w:cs="Times New Roman"/>
                <w:sz w:val="16"/>
                <w:szCs w:val="16"/>
              </w:rPr>
              <w:t xml:space="preserve">) </w:t>
            </w:r>
            <w:sdt>
              <w:sdtPr>
                <w:rPr>
                  <w:rFonts w:cs="Times New Roman"/>
                  <w:color w:val="000000"/>
                  <w:sz w:val="16"/>
                  <w:szCs w:val="16"/>
                </w:rPr>
                <w:tag w:val="MENDELEY_CITATION_v3_eyJjaXRhdGlvbklEIjoiTUVOREVMRVlfQ0lUQVRJT05fZjIzMzJlZWEtMDljZC00ZmUzLThlMWEtNTA4MDk1MjJhZTIzIiwicHJvcGVydGllcyI6eyJub3RlSW5kZXgiOjB9LCJpc0VkaXRlZCI6ZmFsc2UsIm1hbnVhbE92ZXJyaWRlIjp7ImlzTWFudWFsbHlPdmVycmlkZGVuIjpmYWxzZSwiY2l0ZXByb2NUZXh0IjoiKDEyKSIsIm1hbnVhbE92ZXJyaWRlVGV4dCI6IiJ9LCJjaXRhdGlvbkl0ZW1zIjpbeyJpZCI6IjQ2Zjk3YzM4LTdjNWQtMzAzMS1iMjE1LThiMDY3MmVhNWNlNCIsIml0ZW1EYXRhIjp7InR5cGUiOiJhcnRpY2xlLWpvdXJuYWwiLCJpZCI6IjQ2Zjk3YzM4LTdjNWQtMzAzMS1iMjE1LThiMDY3MmVhNWNlNCIsInRpdGxlIjoiU2V4IGFuZCBwc3ljaGlhdHJpYyBjb21vcmJpZGl0eSBjb3JyZWxhdGVzIG9mIHRoZSBwcmVtb25pdG9yeSB1cmdlIGZvciB0aWMgc2NhbGUgaW4geW91dGggd2l0aCBwZXJzaXN0ZW50IHRpYyBkaXNvcmRlcnMiLCJncm91cElkIjoiMDdkNjJhYzEtNWFhOC0zOWFmLWI0OWUtNTJkMjA4OGFjNTcxIiwiYXV0aG9yIjpbeyJmYW1pbHkiOiJFZHdhcmRzIiwiZ2l2ZW4iOiJLIFIiLCJwYXJzZS1uYW1lcyI6ZmFsc2UsImRyb3BwaW5nLXBhcnRpY2xlIjoiIiwibm9uLWRyb3BwaW5nLXBhcnRpY2xlIjoiIn0seyJmYW1pbHkiOiJSYWluZXMiLCJnaXZlbiI6IkogTSIsInBhcnNlLW5hbWVzIjpmYWxzZSwiZHJvcHBpbmctcGFydGljbGUiOiIiLCJub24tZHJvcHBpbmctcGFydGljbGUiOiIifSx7ImZhbWlseSI6Ildpbm5pY2siLCJnaXZlbiI6IkogQiIsInBhcnNlLW5hbWVzIjpmYWxzZSwiZHJvcHBpbmctcGFydGljbGUiOiIiLCJub24tZHJvcHBpbmctcGFydGljbGUiOiIifSx7ImZhbWlseSI6IlNoZXJtYW4iLCJnaXZlbiI6Ik0gRiIsInBhcnNlLW5hbWVzIjpmYWxzZSwiZHJvcHBpbmctcGFydGljbGUiOiIiLCJub24tZHJvcHBpbmctcGFydGljbGUiOiIifSx7ImZhbWlseSI6IkhpZ2dpbnNvbiIsImdpdmVuIjoiQyBJIiwicGFyc2UtbmFtZXMiOmZhbHNlLCJkcm9wcGluZy1wYXJ0aWNsZSI6IiIsIm5vbi1kcm9wcGluZy1wYXJ0aWNsZSI6IiJ9LHsiZmFtaWx5IjoiTmF2aW4iLCJnaXZlbiI6IksiLCJwYXJzZS1uYW1lcyI6ZmFsc2UsImRyb3BwaW5nLXBhcnRpY2xlIjoiIiwibm9uLWRyb3BwaW5nLXBhcnRpY2xlIjoiIn0seyJmYW1pbHkiOiJDb250ZWgiLCJnaXZlbiI6IkYiLCJwYXJzZS1uYW1lcyI6ZmFsc2UsImRyb3BwaW5nLXBhcnRpY2xlIjoiIiwibm9uLWRyb3BwaW5nLXBhcnRpY2xlIjoiIn0seyJmYW1pbHkiOiJSaWNrZXR0cyIsImdpdmVuIjoiRSBKIiwicGFyc2UtbmFtZXMiOmZhbHNlLCJkcm9wcGluZy1wYXJ0aWNsZSI6IiIsIm5vbi1kcm9wcGluZy1wYXJ0aWNsZSI6IiJ9LHsiZmFtaWx5IjoiU3BlY2h0IiwiZ2l2ZW4iOiJNIFciLCJwYXJzZS1uYW1lcyI6ZmFsc2UsImRyb3BwaW5nLXBhcnRpY2xlIjoiIiwibm9uLWRyb3BwaW5nLXBhcnRpY2xlIjoiIn1dLCJjb250YWluZXItdGl0bGUiOiJKIE5ldXJhbCBUcmFuc20gKFZpZW5uYSkiLCJET0kiOiIxMC4xMDA3L3MwMDcwMi0wMjAtMDIxNTEtOSIsIlBNSUQiOiIzMjIxMjAxNiIsIlVSTCI6Imh0dHBzOi8vbGluay5zcHJpbmdlci5jb20vYXJ0aWNsZS8xMC4xMDA3L3MwMDcwMi0wMjAtMDIxNTEtOSIsImlzc3VlZCI6eyJkYXRlLXBhcnRzIjpbWzIwMjBdXX0sInBhZ2UiOiI5NzctOTg1IiwiYWJzdHJhY3QiOiJUaGUgcHJlbW9uaXRvcnkgdXJnZSBmb3IgdGljcyBzY2FsZSAoUFVUUykgaXMgYSBjb21tb24gc2VsZi1yZXBvcnQgbWVhc3VyZSBvZiBwcmVtb25pdG9yeSBzZW5zYXRpb25zIHByZWNlZGluZyB0aWNzLiBUaGUgcHJlc2VudCBzdHVkeSBhaW1lZCB0byBleGFtaW5lIHRoZSBpbnRlcm5hbCBjb25zaXN0ZW5jeSBhbmQgY29uY3VycmVudCB2YWxpZGl0eSBvZiB0aGUgUFVUUyBieSBzZXggYW5kIHBzeWNoaWF0cmljIGNvbW9yYmlkaXR5IHN0YXR1czsgYW5kIGV4cGxvcmVkIGludGVyYWN0aW9ucyBiZXR3ZWVuIHNleCBhbmQgcHN5Y2hpYXRyaWMgY29tb3JiaWRpdHkgaW4gcHJlZGljdGluZyBwcmVtb25pdG9yeSB1cmdlIGFuZCB0aWMgc3ltcHRvbSBzZXZlcml0eS4gU2V2ZW50eS1mb3VyIHlvdXRoIGFuZCB5b3VuZyBhZHVsdHMgd2l0aCBwZXJzaXN0ZW50IHRpYyBkaXNvcmRlcnMgY29tcGxldGVkIHRoZSBQVVRTLCB3aGlsZSB0aGVpciBwYXJlbnRzIGNvbXBsZXRlZCB0aGUgcGFyZW50IHRpYyBxdWVzdGlvbm5haXJlIChQVFEpIGFuZCBhIGRlbW9ncmFwaGljIG1lYXN1cmUuIEluZGVwZW5kZW50IHNhbXBsZXMgdC10ZXN0cyByZXZlYWxlZCBubyBzaWduaWZpY2FudCBzZXggZGlmZmVyZW5jZXMgaW4gUFVUUyBpdGVtcyBvciB0b3RhbCBzY29yZS4gVGhlIFBVVFMgdG90YWwgc2NvcmUgYWxzbyBkaWQgbm90IHNpZ25pZmljYW50bHkgZGlmZmVyIGJldHdlZW4gcGFydGljaXBhbnRzIHdpdGggYW5kIHdpdGhvdXQgYXR0ZW50aW9uLWRlZmljaXQgaHlwZXJhY3Rpdml0eSBkaXNvcmRlciAoQURIRCkgYW5kL29yIG9ic2Vzc2l2ZS1jb21wdWxzaXZlIGRpc29yZGVyIChPQ0QpIGNvbW9yYmlkaXR5LiBJbnRlcm5hbCBjb25zaXN0ZW5jeSBkaWQgbm90IHNpZ25pZmljYW50bHkgZGlmZmVyIGJldHdlZW4gZmVtYWxlcyAozrHigIk94oCJMC44NSkgYW5kIG1hbGVzICjOseKAiT3igIkwLjc1KSwgYW5kIHRob3NlIHdpdGggY29tb3JiaWQgQURIRCBhbmQvb3IgT0NEICjOseKAiT3igIkwLjgzKSByZWxhdGl2ZSB0byB0aG9zZSB3aXRob3V0ICjOseKAiT3igIkwLjY5KS4gV2l0aCByZXNwZWN0IHRvIGNvbmN1cnJlbnQgdmFsaWRpdHksIHRoZSBQVVRTIHRvdGFsIHdhcyBzaWduaWZpY2FudGx5IGNvcnJlbGF0ZWQgd2l0aCBQVFEgdGljIGZyZXF1ZW5jeSwgaW50ZW5zaXR5LCBudW1iZXIsIGFuZCBzZXZlcml0eSBmb3IgbWFsZXMgYnV0IG5vdCBmb3IgZmVtYWxlcy4gQW1vbmcgdGhvc2Ugd2l0aCBBREhEIGFuZC9vciBPQ0QsIHRoZSBQVVRTIHRvdGFsIHNjb3JlIHdhcyBjb3JyZWxhdGVkIHNpZ25pZmljYW50bHkgYW5kIHN0cm9uZ2x5IHdpdGggdGljIG51bWJlciBhbmQgbW9kZXJhdGVseSB3aXRoIHRpYyBpbnRlbnNpdHkuIEludGVyYWN0aW9ucyBiZXR3ZWVuIHNleCBhbmQgcHN5Y2hpYXRyaWMgY29tb3JiaWRpdHkgcGVyZm9ybWVkIHVzaW5nIDLigInDl+KAiTIgYW5hbHlzaXMgb2YgdmFyaWFuY2UgZGlkIG5vdCBzaWduaWZpY2FudGx5IHByZWRpY3QgdGhlIFBVVFMgdG90YWwgb3IgUFRRIHN1YnNjYWxlIHNjb3Jlcy4gRmluZGluZ3Mgc3VnZ2VzdCBzZXggYW5kIGNvbW9yYmlkaXR5IHN0YXR1cyBtYXkgaW5mbHVlbmNlIHByZW1vbml0b3J5IHVyZ2UgZXhwcmVzc2lvbi4gUmVzdWx0cyBoYXZlIGltcGxpY2F0aW9ucyBmb3IgdW5kZXJzdGFuZGluZyBhbmQgbWVhc3VyZW1lbnQgb2YgdGhlIHByZW1vbml0b3J5IHVyZ2UuIiwiaXNzdWUiOiI2Iiwidm9sdW1lIjoiMTI3IiwiY29udGFpbmVyLXRpdGxlLXNob3J0IjoiIn0sImlzVGVtcG9yYXJ5IjpmYWxzZX1dfQ=="/>
                <w:id w:val="701903783"/>
                <w:placeholder>
                  <w:docPart w:val="DefaultPlaceholder_-1854013440"/>
                </w:placeholder>
              </w:sdtPr>
              <w:sdtContent>
                <w:r w:rsidR="00F04E9F" w:rsidRPr="00F04E9F">
                  <w:rPr>
                    <w:rFonts w:cs="Times New Roman"/>
                    <w:color w:val="000000"/>
                    <w:sz w:val="16"/>
                    <w:szCs w:val="16"/>
                  </w:rPr>
                  <w:t>(12)</w:t>
                </w:r>
              </w:sdtContent>
            </w:sdt>
          </w:p>
        </w:tc>
        <w:tc>
          <w:tcPr>
            <w:tcW w:w="0" w:type="auto"/>
            <w:shd w:val="clear" w:color="auto" w:fill="FFFFFF"/>
            <w:hideMark/>
          </w:tcPr>
          <w:p w14:paraId="28496627"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Internal consistency (Cronbach’s alpha) for 9-item PUTS (English)</w:t>
            </w:r>
          </w:p>
        </w:tc>
        <w:tc>
          <w:tcPr>
            <w:tcW w:w="0" w:type="auto"/>
            <w:shd w:val="clear" w:color="auto" w:fill="FFFFFF"/>
            <w:hideMark/>
          </w:tcPr>
          <w:p w14:paraId="22E09F7D"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74 individuals aged 5-21 years with CTDs</w:t>
            </w:r>
          </w:p>
        </w:tc>
        <w:tc>
          <w:tcPr>
            <w:tcW w:w="0" w:type="auto"/>
            <w:shd w:val="clear" w:color="auto" w:fill="FFFFFF"/>
            <w:hideMark/>
          </w:tcPr>
          <w:p w14:paraId="1E535687" w14:textId="77777777" w:rsidR="00986E35" w:rsidRPr="008A1F40" w:rsidRDefault="00986E35" w:rsidP="007F77D2">
            <w:pPr>
              <w:rPr>
                <w:rFonts w:cs="Times New Roman"/>
                <w:color w:val="000000"/>
                <w:sz w:val="16"/>
                <w:szCs w:val="16"/>
              </w:rPr>
            </w:pPr>
            <w:r w:rsidRPr="008A1F40">
              <w:rPr>
                <w:rFonts w:cs="Times New Roman"/>
                <w:color w:val="000000"/>
                <w:sz w:val="16"/>
                <w:szCs w:val="16"/>
              </w:rPr>
              <w:t>α = 0.83 for participants with comorbid OCD and/or ADHD</w:t>
            </w:r>
          </w:p>
          <w:p w14:paraId="7E2B43E5"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sz w:val="16"/>
                <w:szCs w:val="16"/>
              </w:rPr>
              <w:t>α = 0.69 for adults participants without comorbid OCD or ADHD</w:t>
            </w:r>
          </w:p>
        </w:tc>
      </w:tr>
      <w:tr w:rsidR="00F04E9F" w:rsidRPr="008A1F40" w14:paraId="309C814C" w14:textId="77777777" w:rsidTr="007F77D2">
        <w:trPr>
          <w:tblCellSpacing w:w="15" w:type="dxa"/>
        </w:trPr>
        <w:tc>
          <w:tcPr>
            <w:tcW w:w="0" w:type="auto"/>
            <w:shd w:val="clear" w:color="auto" w:fill="FFFFFF"/>
            <w:hideMark/>
          </w:tcPr>
          <w:p w14:paraId="7BA4C02F" w14:textId="0B7AD8BD"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 xml:space="preserve">Zinner et al </w:t>
            </w:r>
            <w:r w:rsidR="0067010F">
              <w:rPr>
                <w:rFonts w:cs="Times New Roman"/>
                <w:sz w:val="16"/>
                <w:szCs w:val="16"/>
              </w:rPr>
              <w:t>(</w:t>
            </w:r>
            <w:r w:rsidRPr="008A1F40">
              <w:rPr>
                <w:rFonts w:cs="Times New Roman"/>
                <w:sz w:val="16"/>
                <w:szCs w:val="16"/>
              </w:rPr>
              <w:t>2012</w:t>
            </w:r>
            <w:r w:rsidR="0067010F">
              <w:rPr>
                <w:rFonts w:cs="Times New Roman"/>
                <w:sz w:val="16"/>
                <w:szCs w:val="16"/>
              </w:rPr>
              <w:t>)</w:t>
            </w:r>
            <w:r w:rsidRPr="008A1F40">
              <w:rPr>
                <w:rFonts w:cs="Times New Roman"/>
                <w:sz w:val="16"/>
                <w:szCs w:val="16"/>
              </w:rPr>
              <w:t xml:space="preserve">, Rozenman et al </w:t>
            </w:r>
            <w:r w:rsidR="0067010F">
              <w:rPr>
                <w:rFonts w:cs="Times New Roman"/>
                <w:sz w:val="16"/>
                <w:szCs w:val="16"/>
              </w:rPr>
              <w:t>(</w:t>
            </w:r>
            <w:r w:rsidRPr="008A1F40">
              <w:rPr>
                <w:rFonts w:cs="Times New Roman"/>
                <w:sz w:val="16"/>
                <w:szCs w:val="16"/>
              </w:rPr>
              <w:t>2015</w:t>
            </w:r>
            <w:r w:rsidR="0067010F">
              <w:rPr>
                <w:rFonts w:cs="Times New Roman"/>
                <w:sz w:val="16"/>
                <w:szCs w:val="16"/>
              </w:rPr>
              <w:t>)</w:t>
            </w:r>
            <w:r w:rsidRPr="008A1F40">
              <w:rPr>
                <w:rFonts w:cs="Times New Roman"/>
                <w:sz w:val="16"/>
                <w:szCs w:val="16"/>
              </w:rPr>
              <w:t xml:space="preserve">, Reese et al </w:t>
            </w:r>
            <w:r w:rsidR="0067010F">
              <w:rPr>
                <w:rFonts w:cs="Times New Roman"/>
                <w:sz w:val="16"/>
                <w:szCs w:val="16"/>
              </w:rPr>
              <w:t>(</w:t>
            </w:r>
            <w:r w:rsidRPr="008A1F40">
              <w:rPr>
                <w:rFonts w:cs="Times New Roman"/>
                <w:sz w:val="16"/>
                <w:szCs w:val="16"/>
              </w:rPr>
              <w:t>2014</w:t>
            </w:r>
            <w:r w:rsidR="0067010F">
              <w:rPr>
                <w:rFonts w:cs="Times New Roman"/>
                <w:sz w:val="16"/>
                <w:szCs w:val="16"/>
              </w:rPr>
              <w:t>)</w:t>
            </w:r>
            <w:r w:rsidRPr="008A1F40">
              <w:rPr>
                <w:rFonts w:cs="Times New Roman"/>
                <w:sz w:val="16"/>
                <w:szCs w:val="16"/>
              </w:rPr>
              <w:t xml:space="preserve">, Pile et al </w:t>
            </w:r>
            <w:r w:rsidR="0067010F">
              <w:rPr>
                <w:rFonts w:cs="Times New Roman"/>
                <w:sz w:val="16"/>
                <w:szCs w:val="16"/>
              </w:rPr>
              <w:t>(</w:t>
            </w:r>
            <w:r w:rsidRPr="008A1F40">
              <w:rPr>
                <w:rFonts w:cs="Times New Roman"/>
                <w:sz w:val="16"/>
                <w:szCs w:val="16"/>
              </w:rPr>
              <w:t>2018</w:t>
            </w:r>
            <w:r w:rsidR="0067010F">
              <w:rPr>
                <w:rFonts w:cs="Times New Roman"/>
                <w:sz w:val="16"/>
                <w:szCs w:val="16"/>
              </w:rPr>
              <w:t>)</w:t>
            </w:r>
            <w:r w:rsidRPr="008A1F40">
              <w:rPr>
                <w:rFonts w:cs="Times New Roman"/>
                <w:sz w:val="16"/>
                <w:szCs w:val="16"/>
              </w:rPr>
              <w:t xml:space="preserve">, Kyriazi et al </w:t>
            </w:r>
            <w:r w:rsidR="0067010F">
              <w:rPr>
                <w:rFonts w:cs="Times New Roman"/>
                <w:sz w:val="16"/>
                <w:szCs w:val="16"/>
              </w:rPr>
              <w:t>(</w:t>
            </w:r>
            <w:r w:rsidRPr="008A1F40">
              <w:rPr>
                <w:rFonts w:cs="Times New Roman"/>
                <w:sz w:val="16"/>
                <w:szCs w:val="16"/>
              </w:rPr>
              <w:t>2019</w:t>
            </w:r>
            <w:r w:rsidR="0067010F">
              <w:rPr>
                <w:rFonts w:cs="Times New Roman"/>
                <w:sz w:val="16"/>
                <w:szCs w:val="16"/>
              </w:rPr>
              <w:t>)</w:t>
            </w:r>
            <w:r w:rsidRPr="008A1F40">
              <w:rPr>
                <w:rFonts w:cs="Times New Roman"/>
                <w:sz w:val="16"/>
                <w:szCs w:val="16"/>
              </w:rPr>
              <w:t xml:space="preserve">, Kim et al </w:t>
            </w:r>
            <w:r w:rsidR="0067010F">
              <w:rPr>
                <w:rFonts w:cs="Times New Roman"/>
                <w:sz w:val="16"/>
                <w:szCs w:val="16"/>
              </w:rPr>
              <w:t>(</w:t>
            </w:r>
            <w:r w:rsidRPr="008A1F40">
              <w:rPr>
                <w:rFonts w:cs="Times New Roman"/>
                <w:sz w:val="16"/>
                <w:szCs w:val="16"/>
              </w:rPr>
              <w:t>2020</w:t>
            </w:r>
            <w:r w:rsidR="0067010F">
              <w:rPr>
                <w:rFonts w:cs="Times New Roman"/>
                <w:sz w:val="16"/>
                <w:szCs w:val="16"/>
              </w:rPr>
              <w:t>)</w:t>
            </w:r>
            <w:r w:rsidRPr="008A1F40">
              <w:rPr>
                <w:rFonts w:cs="Times New Roman"/>
                <w:sz w:val="16"/>
                <w:szCs w:val="16"/>
              </w:rPr>
              <w:t xml:space="preserve">, Crossley et al </w:t>
            </w:r>
            <w:r w:rsidR="0067010F">
              <w:rPr>
                <w:rFonts w:cs="Times New Roman"/>
                <w:sz w:val="16"/>
                <w:szCs w:val="16"/>
              </w:rPr>
              <w:t>(</w:t>
            </w:r>
            <w:r w:rsidRPr="008A1F40">
              <w:rPr>
                <w:rFonts w:cs="Times New Roman"/>
                <w:sz w:val="16"/>
                <w:szCs w:val="16"/>
              </w:rPr>
              <w:t>2014</w:t>
            </w:r>
            <w:r w:rsidR="0067010F">
              <w:rPr>
                <w:rFonts w:cs="Times New Roman"/>
                <w:sz w:val="16"/>
                <w:szCs w:val="16"/>
              </w:rPr>
              <w:t>)</w:t>
            </w:r>
            <w:r w:rsidRPr="008A1F40">
              <w:rPr>
                <w:rFonts w:cs="Times New Roman"/>
                <w:sz w:val="16"/>
                <w:szCs w:val="16"/>
              </w:rPr>
              <w:t xml:space="preserve">, Isaacs et al </w:t>
            </w:r>
            <w:r w:rsidR="0067010F">
              <w:rPr>
                <w:rFonts w:cs="Times New Roman"/>
                <w:sz w:val="16"/>
                <w:szCs w:val="16"/>
              </w:rPr>
              <w:t>(</w:t>
            </w:r>
            <w:r w:rsidRPr="008A1F40">
              <w:rPr>
                <w:rFonts w:cs="Times New Roman"/>
                <w:sz w:val="16"/>
                <w:szCs w:val="16"/>
              </w:rPr>
              <w:t>2020</w:t>
            </w:r>
            <w:r w:rsidR="0067010F">
              <w:rPr>
                <w:rFonts w:cs="Times New Roman"/>
                <w:sz w:val="16"/>
                <w:szCs w:val="16"/>
              </w:rPr>
              <w:t>)</w:t>
            </w:r>
            <w:r w:rsidRPr="008A1F40">
              <w:rPr>
                <w:rFonts w:cs="Times New Roman"/>
                <w:sz w:val="16"/>
                <w:szCs w:val="16"/>
              </w:rPr>
              <w:t xml:space="preserve">, </w:t>
            </w:r>
            <w:r w:rsidRPr="008A1F40">
              <w:rPr>
                <w:rFonts w:cs="Times New Roman"/>
                <w:color w:val="202122"/>
                <w:sz w:val="16"/>
                <w:szCs w:val="16"/>
                <w:shd w:val="clear" w:color="auto" w:fill="FFFFFF"/>
              </w:rPr>
              <w:t xml:space="preserve">Schütteler </w:t>
            </w:r>
            <w:r w:rsidRPr="008A1F40">
              <w:rPr>
                <w:rFonts w:cs="Times New Roman"/>
                <w:sz w:val="16"/>
                <w:szCs w:val="16"/>
              </w:rPr>
              <w:t xml:space="preserve">et al </w:t>
            </w:r>
            <w:r w:rsidR="0067010F">
              <w:rPr>
                <w:rFonts w:cs="Times New Roman"/>
                <w:sz w:val="16"/>
                <w:szCs w:val="16"/>
              </w:rPr>
              <w:t>(</w:t>
            </w:r>
            <w:r w:rsidRPr="008A1F40">
              <w:rPr>
                <w:rFonts w:cs="Times New Roman"/>
                <w:sz w:val="16"/>
                <w:szCs w:val="16"/>
              </w:rPr>
              <w:t>2023</w:t>
            </w:r>
            <w:r w:rsidR="0067010F">
              <w:rPr>
                <w:rFonts w:cs="Times New Roman"/>
                <w:sz w:val="16"/>
                <w:szCs w:val="16"/>
              </w:rPr>
              <w:t xml:space="preserve">) </w:t>
            </w:r>
            <w:sdt>
              <w:sdtPr>
                <w:rPr>
                  <w:rFonts w:cs="Times New Roman"/>
                  <w:color w:val="000000"/>
                  <w:sz w:val="16"/>
                  <w:szCs w:val="16"/>
                </w:rPr>
                <w:tag w:val="MENDELEY_CITATION_v3_eyJjaXRhdGlvbklEIjoiTUVOREVMRVlfQ0lUQVRJT05fNmFjM2UwZGYtYzhiNi00OWEzLThlZjYtY2NlNzc2YTRhYzhlIiwicHJvcGVydGllcyI6eyJub3RlSW5kZXgiOjB9LCJpc0VkaXRlZCI6ZmFsc2UsIm1hbnVhbE92ZXJyaWRlIjp7ImlzTWFudWFsbHlPdmVycmlkZGVuIjpmYWxzZSwiY2l0ZXByb2NUZXh0IjoiKDEz4oCTMjEpIiwibWFudWFsT3ZlcnJpZGVUZXh0IjoiIn0sImNpdGF0aW9uSXRlbXMiOlt7ImlkIjoiMWVlZTYwYTYtZGViMS0zNTVjLThhNmMtODI3NjZkODczMDc2IiwiaXRlbURhdGEiOnsidHlwZSI6ImFydGljbGUtam91cm5hbCIsImlkIjoiMWVlZTYwYTYtZGViMS0zNTVjLThhNmMtODI3NjZkODczMDc2IiwidGl0bGUiOiJQZWVyIHZpY3RpbWl6YXRpb24gaW4geW91dGggd2l0aCBUb3VyZXR0ZSBzeW5kcm9tZSBhbmQgb3RoZXIgY2hyb25pYyB0aWMgZGlzb3JkZXJzIiwiZ3JvdXBJZCI6IjA3ZDYyYWMxLTVhYTgtMzlhZi1iNDllLTUyZDIwODhhYzU3MSIsImF1dGhvciI6W3siZmFtaWx5IjoiWmlubmVyIiwiZ2l2ZW4iOiJTIEgiLCJwYXJzZS1uYW1lcyI6ZmFsc2UsImRyb3BwaW5nLXBhcnRpY2xlIjoiIiwibm9uLWRyb3BwaW5nLXBhcnRpY2xlIjoiIn0seyJmYW1pbHkiOiJDb25lbGVhIiwiZ2l2ZW4iOiJDIEEiLCJwYXJzZS1uYW1lcyI6ZmFsc2UsImRyb3BwaW5nLXBhcnRpY2xlIjoiIiwibm9uLWRyb3BwaW5nLXBhcnRpY2xlIjoiIn0seyJmYW1pbHkiOiJHbGV3IiwiZ2l2ZW4iOiJHIE0iLCJwYXJzZS1uYW1lcyI6ZmFsc2UsImRyb3BwaW5nLXBhcnRpY2xlIjoiIiwibm9uLWRyb3BwaW5nLXBhcnRpY2xlIjoiIn0seyJmYW1pbHkiOiJXb29kcyIsImdpdmVuIjoiRCBXIiwicGFyc2UtbmFtZXMiOmZhbHNlLCJkcm9wcGluZy1wYXJ0aWNsZSI6IiIsIm5vbi1kcm9wcGluZy1wYXJ0aWNsZSI6IiJ9LHsiZmFtaWx5IjoiQnVkbWFuIiwiZ2l2ZW4iOiJDIEwiLCJwYXJzZS1uYW1lcyI6ZmFsc2UsImRyb3BwaW5nLXBhcnRpY2xlIjoiIiwibm9uLWRyb3BwaW5nLXBhcnRpY2xlIjoiIn1dLCJjb250YWluZXItdGl0bGUiOiJDaGlsZCBwc3ljaGlhdHJ5IGFuZCBodW1hbiBkZXZlbG9wbWVudCIsIkRPSSI6Imh0dHBzOi8vZHguZG9pLm9yZy8xMC4xMDA3L3MxMDU3OC0wMTEtMDI0OS15IiwiVVJMIjoiaHR0cDovL292aWRzcC5vdmlkLmNvbS9vdmlkd2ViLmNnaT9UPUpTJlBBR0U9cmVmZXJlbmNlJkQ9ZW1lZDEzJk5FV1M9TiZBTj0zNjQ5MzgxNjIiLCJpc3N1ZWQiOnsiZGF0ZS1wYXJ0cyI6W1syMDEyXV19LCJwYWdlIjoiMTI0LTEzNiIsImFic3RyYWN0IjoiQ2hyb25pYyB0aWMgZGlzb3JkZXJzIGluY2x1ZGluZyBUb3VyZXR0ZSBzeW5kcm9tZSBoYXZlIG5lZ2F0aXZlIGltcGFjdCBhY3Jvc3MgbXVsdGlwbGUgZnVuY3Rpb25hbCBkb21haW5zLiBXZSBleHBsb3JlZCBhc3NvY2lhdGlvbnMgYmV0d2VlbiBwZWVyIHZpY3RpbWl6YXRpb24gc3RhdHVzIGFuZCB0aWMgc3VidHlwZXMsIHByZW1vbml0b3J5IHVyZ2VzLCBpbnRlcm5hbGl6aW5nIHN5bXB0b21zLCBleHBsb3NpdmUgb3V0YnVyc3RzLCBhbmQgcXVhbGl0eSBvZiBsaWZlIGFtb25nIHlvdXRoIHdpdGggY2hyb25pYyB0aWMgZGlzb3JkZXJzLCBhcyBwYXJ0IG9mIHRoZSBpbnRlcm5ldC1iYXNlZCBvbW5pYnVzIFRvdXJldHRlIFN5bmRyb21lIEltcGFjdCBTdXJ2ZXkuIEEgbWl4ZWQgbWV0aG9kcyBkZXNpZ24gY29tYmluZWQgY2hpbGQgc2VsZi1yZXBvcnQgYW5kIHBhcmVudGFsIHByb3h5LXJlcG9ydCAoaS5lLiwgcGFyZW50IHJlcG9ydGluZyBvbiB0aGUgY2hpbGQpIGRlbW9ncmFwaGljIGFuZCBxdWFudGl0YXRpdmUgZGF0YSBmb3IgYWZmZWN0ZWQgeW91dGggYWdlcyAxMC0xNyB5ZWFycyBhZGRyZXNzaW5nIGdlbmRlciwgbWVhbiBhZ2UsIGV0aG5pY2l0eSBhbmQgb3RoZXIgc29jaW9lY29ub21pYyBmZWF0dXJlcywgYW5kIHByZXNlbmNlIG9mIHRpYyBkaXNvcmRlcnMgYW5kIGNvLW9jY3VycmluZyBwc3ljaGlhdHJpYyBkaXNvcmRlcnMuIFBlZXIgXCJWaWN0aW1cIiB2ZXJzdXMgXCJOb24tdmljdGltXCIgc3RhdHVzIHdhcyBkZXRlcm1pbmVkIHVzaW5nIGEgc3Vic2V0IG9mIGZvdXIgcXVlc3Rpb25zIGFib3V0IGJlaW5nIGJ1bGxpZWQuIFwiVmljdGltXCIgc3RhdHVzIHdhcyBpZGVudGlmaWVkIGZvciB0aG9zZSB5b3V0aCB3aG8gZW5kb3JzZWQgdGhlIGZyZXF1ZW5jeSBvZiB0aGUgb2NjdXJyZW5jZSBvZiBiZWluZyBidWxsaWVkIGluIG9uZSBvciBtb3JlIG9mIHRoZSBmb3VyIHF1ZXN0aW9ucyBhcyBcIm1vc3Qgb2YgdGhlIHRpbWVcIiBvciBcImFsbCBvZiB0aGUgdGltZVwiLiBEYXRhIGZyb20gMjExIGVsaWdpYmxlIHlvdXRoIHJlc3BvbmRlbnRzIGFuZCB0aGVpciBwYXJlbnRzL2d1YXJkaWFucyBzaG93ZWQgMjYlIHJlcG9ydGluZyBwZWVyIHZpY3RpbWl6YXRpb24uIFZpY3RpbSBzdGF0dXMgd2FzIGFzc29jaWF0ZWQgd2l0aCBncmVhdGVyIHRpYyBmcmVxdWVuY3ksIGNvbXBsZXhpdHkgYW5kIHNldmVyaXR5OyBleHBsb3NpdmUgb3V0YnVyc3RzOyBpbnRlcm5hbGl6aW5nIHN5bXB0b21zOyBhbmQgbG93ZXIgcXVhbGl0eSBvZiBsaWZlLiBQZWVyIHZpY3RpbWl6YXRpb24gYW1vbmcgeW91dGggd2l0aCBjaHJvbmljIHRpYyBkaXNvcmRlcnMgaXMgY29tbW9uIGFuZCBhcHBlYXJzIGFzc29jaWF0ZWQgd2l0aCB0aWMgbW9yYmlkaXR5LCBhbnhpZXR5LCBkZXByZXNzaW9uLCBleHBsb3NpdmUgb3V0YnVyc3RzLCBhbmQgcG9vcmVyIHBzeWNob3NvY2lhbCBmdW5jdGlvbmluZy4gQW50aWNpcGF0b3J5IGd1aWRhbmNlLCBzcGVjaWZpYyBidWxseWluZyBzY3JlZW5pbmcgYW5kIHByZXZlbnRpb24sIGFuZCBmdXJ0aGVyIHN0dWRpZXMgYXJlIGluZGljYXRlZCBpbiB0aGlzIHBvcHVsYXRpb24uIiwiaXNzdWUiOiIxIiwidm9sdW1lIjoiNDMiLCJjb250YWluZXItdGl0bGUtc2hvcnQiOiJDaGlsZCBQc3ljaGlhdHJ5IEh1bSBEZXYifSwiaXNUZW1wb3JhcnkiOmZhbHNlfSx7ImlkIjoiNTM2MjcxZTEtMjFiMC0zZTcwLWI0N2UtZDMxY2M0ZmNjYTE1IiwiaXRlbURhdGEiOnsidHlwZSI6ImFydGljbGUtam91cm5hbCIsImlkIjoiNTM2MjcxZTEtMjFiMC0zZTcwLWI0N2UtZDMxY2M0ZmNjYTE1IiwidGl0bGUiOiJSZWxhdGlvbnNoaXBzIGJldHdlZW4gUHJlbW9uaXRvcnkgVXJnZSBhbmQgQW54aWV0eSBpbiBZb3V0aCB3aXRoIENocm9uaWMgVGljIERpc29yZGVycyIsImdyb3VwSWQiOiIwN2Q2MmFjMS01YWE4LTM5YWYtYjQ5ZS01MmQyMDg4YWM1NzEiLCJhdXRob3IiOlt7ImZhbWlseSI6IlJvemVubWFuIiwiZ2l2ZW4iOiJNIiwicGFyc2UtbmFtZXMiOmZhbHNlLCJkcm9wcGluZy1wYXJ0aWNsZSI6IiIsIm5vbi1kcm9wcGluZy1wYXJ0aWNsZSI6IiJ9LHsiZmFtaWx5IjoiSm9obnNvbiIsImdpdmVuIjoiTyBFIiwicGFyc2UtbmFtZXMiOmZhbHNlLCJkcm9wcGluZy1wYXJ0aWNsZSI6IiIsIm5vbi1kcm9wcGluZy1wYXJ0aWNsZSI6IiJ9LHsiZmFtaWx5IjoiQ2hhbmciLCJnaXZlbiI6IlMgVyIsInBhcnNlLW5hbWVzIjpmYWxzZSwiZHJvcHBpbmctcGFydGljbGUiOiIiLCJub24tZHJvcHBpbmctcGFydGljbGUiOiIifSx7ImZhbWlseSI6Ildvb2RzIiwiZ2l2ZW4iOiJEIFciLCJwYXJzZS1uYW1lcyI6ZmFsc2UsImRyb3BwaW5nLXBhcnRpY2xlIjoiIiwibm9uLWRyb3BwaW5nLXBhcnRpY2xlIjoiIn0seyJmYW1pbHkiOiJXYWxrdXAiLCJnaXZlbiI6IkogVCIsInBhcnNlLW5hbWVzIjpmYWxzZSwiZHJvcHBpbmctcGFydGljbGUiOiIiLCJub24tZHJvcHBpbmctcGFydGljbGUiOiIifSx7ImZhbWlseSI6IldpbGhlbG0iLCJnaXZlbiI6IlMiLCJwYXJzZS1uYW1lcyI6ZmFsc2UsImRyb3BwaW5nLXBhcnRpY2xlIjoiIiwibm9uLWRyb3BwaW5nLXBhcnRpY2xlIjoiIn0seyJmYW1pbHkiOiJQZXRlcnNvbiIsImdpdmVuIjoiQSIsInBhcnNlLW5hbWVzIjpmYWxzZSwiZHJvcHBpbmctcGFydGljbGUiOiIiLCJub24tZHJvcHBpbmctcGFydGljbGUiOiIifSx7ImZhbWlseSI6IlNjYWhpbGwiLCJnaXZlbiI6IkwiLCJwYXJzZS1uYW1lcyI6ZmFsc2UsImRyb3BwaW5nLXBhcnRpY2xlIjoiIiwibm9uLWRyb3BwaW5nLXBhcnRpY2xlIjoiIn0seyJmYW1pbHkiOiJQaWFjZW50aW5pIiwiZ2l2ZW4iOiJKIiwicGFyc2UtbmFtZXMiOmZhbHNlLCJkcm9wcGluZy1wYXJ0aWNsZSI6IiIsIm5vbi1kcm9wcGluZy1wYXJ0aWNsZSI6IiJ9XSwiY29udGFpbmVyLXRpdGxlIjoiQ2hpbGQgSGVhbHRoIENhcmUiLCJET0kiOiIxMC4xMDgwLzAyNzM5NjE1LjIwMTQuOTg2MzI4IiwiUE1JRCI6IjI3MTEwMDUwIiwiaXNzdWVkIjp7ImRhdGUtcGFydHMiOltbMjAxNV1dfSwicGFnZSI6IjIzNS0yNDgiLCJhYnN0cmFjdCI6IlRvdXJldHRlJ3MgRGlzb3JkZXIgYW5kIG90aGVyIGNocm9uaWMgdGljIGRpc29yZGVycyBhcmUgY29tbW9uIG5ldXJvZGV2ZWxvcG1lbnRhbCBjb25kaXRpb25zLiBPbmUgY2hhcmFjdGVyaXN0aWMgb2YgdGljIGRpc29yZGVycyBpcyB0aGUgcHJlbW9uaXRvcnkgdXJnZSwgYW4gYXZlcnNpdmUgb3IgdW5wbGVhc2FudCBzZW5zb3J5IHBoZW5vbWVub24gdGhhdCBtYXkgcHJlY2VkZSB0aWNzLiBJbml0aWFsIGV4YW1pbmF0aW9uIG9mIHByZW1vbml0b3J5IHVyZ2UgaW4gcGVkaWF0cmljIHRpYyBkaXNvcmRlcnMgc3VnZ2VzdHMgdGhhdCBhd2FyZW5lc3MgYW5kIGV4cGVyaWVuY2Ugb2Ygc2Vuc2F0aW9ucyBwcmVjZWRpbmcgdGljcyBtYXkgYmUgcmVsYXRlZCB0byBhbnhpZXR5IGFuZCBPQ0QuIEhvd2V2ZXIsIGl0IG1heSBiZSBwb3NzaWJsZSB0aGF0IHNwZWNpZmljIGFueGlldHktcmVsYXRlZCBzeW1wdG9tcywgc3VjaCBhcyBhbnhpb3VzIHBoeXNpb2xvZ2ljIGFyb3VzYWwsIGFyZSBwYXJ0aWN1bGFybHkgcmVsZXZhbnQgdG8gdGhlIGV4cGVyaWVuY2Ugb2YgcHJlbW9uaXRvcnkgdXJnZS4gVGhlIGN1cnJlbnQgc3R1ZHkgZXhhbWluZXMgcmVsYXRpb25zaGlwcyBiZXR3ZWVuIHRpYy1yZWxhdGVkIHByZW1vbml0b3J5IHVyZ2UgYW5kIGFueGlldHktcmVsYXRlZCBzeW1wdG9tIGNsdXN0ZXJzIGluIHRyZWF0bWVudC1zZWVraW5nIHlvdXRocyB3aXRoIGEgcHJpbWFyeSBkaWFnbm9zZXMgb2YgVG91cmV0dGUncyBvciBvdGhlciBjaHJvbmljIHRpYyBkaXNvcmRlci4gVGhlIHNhbXBsZSBjb25zaXN0ZWQgb2YgMTI0IHlvdXRoLCBhZ2VzIDkgdG8gMTcsIHdobyBwYXJ0aWNpcGF0ZWQgaW4gdGhlIG11bHRpLXNpdGUgQ29tcHJlaGVuc2l2ZSBCZWhhdmlvcmFsIEludGVydmVudGlvbiBmb3IgVGljcyByYW5kb21pemVkIGNvbnRyb2xsZWQgdHJpYWwgKENCSVQ7IFBpYWNlbnRpbmkgZXQgYWwuLCAyMDEwKS4gU3BlY2lmaWMgYW54aWV0eS1yZWxhdGVkIHN1YnR5cGVzLCBpbmNsdWRpbmcgZ2VuZXJhbGl6ZWQgd29ycnksIHNlcGFyYXRpb24sIHNvY2lhbCwgYW5kIHBhbmljL3NvbWF0aWMgc3ltcHRvbXMsIGFzIHdlbGwgYXMgc2V2ZXJpdHkgb2Ygb2JzZXNzaW9ucyBhbmQgY29tcHVsc2lvbnMsIHdlcmUgYXNzZXNzZWQgYXMgcG90ZW50aWFsIGNvcnJlbGF0ZXMgb2YgcHJlbW9uaXRvcnkgdXJnZS4gRmluZGluZ3MgaW5kaWNhdGVkIHRoYXQgYWdlLCBnbG9iYWwgdGljLXJlbGF0ZWQgaW1wYWlybWVudCwgYW5kIHNwZWNpZmljIHBhbmljL3NvbWF0aWMgc3ltcHRvbXMgYWNjb3VudGVkIGZvciBhIHN1YnN0YW50aWFsIHByb3BvcnRpb24gb2YgdmFyaWFuY2UgaW4geW91dGggcmVwb3J0IG9mIHByZW1vbml0b3J5IHVyZ2UuIFRoZXNlIGZpbmRpbmdzIHByb3ZpZGUgaW5mb3JtYXRpb24gYWJvdXQgdGhlIGNoYXJhY3RlcmlzdGljcyBvZiBwcmVtb25pdG9yeSB1cmdlIGluIHBlZGlhdHJpYyB0aWMgZGlzb3JkZXJzLCBhbmQgaGF2ZSBpbXBsaWNhdGlvbnMgZm9yIHRoZSB0cmVhdG1lbnQgb2YgcGVkaWF0cmljIHRpYyBzeW5kcm9tZXMuIiwiaXNzdWUiOiIzIiwidm9sdW1lIjoiNDQiLCJjb250YWluZXItdGl0bGUtc2hvcnQiOiIifSwiaXNUZW1wb3JhcnkiOmZhbHNlfSx7ImlkIjoiMzY5YzEwYzctMDE3Ni0zNDIxLTgyYmUtODhjMDAwZDMxYjJhIiwiaXRlbURhdGEiOnsidHlwZSI6ImFydGljbGUtam91cm5hbCIsImlkIjoiMzY5YzEwYzctMDE3Ni0zNDIxLTgyYmUtODhjMDAwZDMxYjJhIiwidGl0bGUiOiJUaGUgcHJlbW9uaXRvcnkgdXJnZSB0byB0aWM6IG1lYXN1cmVtZW50LCBjaGFyYWN0ZXJpc3RpY3MsIGFuZCBjb3JyZWxhdGVzIGluIG9sZGVyIGFkb2xlc2NlbnRzIGFuZCBhZHVsdHMiLCJncm91cElkIjoiMDdkNjJhYzEtNWFhOC0zOWFmLWI0OWUtNTJkMjA4OGFjNTcxIiwiYXV0aG9yIjpbeyJmYW1pbHkiOiJSZWVzZSIsImdpdmVuIjoiSCBFIiwicGFyc2UtbmFtZXMiOmZhbHNlLCJkcm9wcGluZy1wYXJ0aWNsZSI6IiIsIm5vbi1kcm9wcGluZy1wYXJ0aWNsZSI6IiJ9LHsiZmFtaWx5IjoiU2NhaGlsbCIsImdpdmVuIjoiTCIsInBhcnNlLW5hbWVzIjpmYWxzZSwiZHJvcHBpbmctcGFydGljbGUiOiIiLCJub24tZHJvcHBpbmctcGFydGljbGUiOiIifSx7ImZhbWlseSI6IlBldGVyc29uIiwiZ2l2ZW4iOiJBIEwiLCJwYXJzZS1uYW1lcyI6ZmFsc2UsImRyb3BwaW5nLXBhcnRpY2xlIjoiIiwibm9uLWRyb3BwaW5nLXBhcnRpY2xlIjoiIn0seyJmYW1pbHkiOiJDcm93ZSIsImdpdmVuIjoiSyIsInBhcnNlLW5hbWVzIjpmYWxzZSwiZHJvcHBpbmctcGFydGljbGUiOiIiLCJub24tZHJvcHBpbmctcGFydGljbGUiOiIifSx7ImZhbWlseSI6Ildvb2RzIiwiZ2l2ZW4iOiJEIFciLCJwYXJzZS1uYW1lcyI6ZmFsc2UsImRyb3BwaW5nLXBhcnRpY2xlIjoiIiwibm9uLWRyb3BwaW5nLXBhcnRpY2xlIjoiIn0seyJmYW1pbHkiOiJQaWFjZW50aW5pIiwiZ2l2ZW4iOiJKIiwicGFyc2UtbmFtZXMiOmZhbHNlLCJkcm9wcGluZy1wYXJ0aWNsZSI6IiIsIm5vbi1kcm9wcGluZy1wYXJ0aWNsZSI6IiJ9LHsiZmFtaWx5IjoiV2Fsa3VwIiwiZ2l2ZW4iOiJKIFQiLCJwYXJzZS1uYW1lcyI6ZmFsc2UsImRyb3BwaW5nLXBhcnRpY2xlIjoiIiwibm9uLWRyb3BwaW5nLXBhcnRpY2xlIjoiIn0seyJmYW1pbHkiOiJXaWxoZWxtIiwiZ2l2ZW4iOiJTIiwicGFyc2UtbmFtZXMiOmZhbHNlLCJkcm9wcGluZy1wYXJ0aWNsZSI6IiIsIm5vbi1kcm9wcGluZy1wYXJ0aWNsZSI6IiJ9XSwiY29udGFpbmVyLXRpdGxlIjoiQmVoYXYgVGhlciIsIkRPSSI6IjEwLjEwMTYvai5iZXRoLjIwMTMuMDkuMDAyIiwiUE1JRCI6IjI0NDkxMTkzIiwiaXNzdWVkIjp7ImRhdGUtcGFydHMiOltbMjAxNF1dfSwicGFnZSI6IjE3Ny0xODYiLCJhYnN0cmFjdCI6IkluIGFkZGl0aW9uIHRvIG1vdG9yIGFuZC9vciB2b2NhbCB0aWNzLCBtYW55IGluZGl2aWR1YWxzIHdpdGggVG91cmV0dGUgc3luZHJvbWUgKFRTKSBvciBjaHJvbmljIHRpYyBkaXNvcmRlciAoQ1REKSByZXBvcnQgZnJlcXVlbnQsIHVuY29tZm9ydGFibGUgc2Vuc29yeSBwaGVub21lbmEgdGhhdCBpbW1lZGlhdGVseSBwcmVjZWRlIHRoZSB0aWNzLiBUbyBkYXRlLCBleGFtaW5hdGlvbiBvZiB0aGVzZSBwcmVtb25pdG9yeSBzZW5zYXRpb25zIG9yIHVyZ2VzIGhhcyBiZWVuIGxpbWl0ZWQgYnkgaW5jb25zaXN0ZW50IGFzc2Vzc21lbnQgdG9vbHMuIEluIHRoaXMgcGFwZXIsIHdlIGV4YW1pbmUgdGhlIHBzeWNob21ldHJpYyBwcm9wZXJ0aWVzIG9mIGEgbmluZS1pdGVtIHNlbGYtcmVwb3J0IG1lYXN1cmUsIHRoZSBQcmVtb25pdG9yeSBVcmdlIHRvIFRpYyBTY2FsZSAoUFVUUykgYW5kIGV4YW1pbmUgdGhlIGNoYXJhY3RlcmlzdGljcyBhbmQgY29ycmVsYXRlcyBvZiB0aGUgcHJlbW9uaXRvcnkgdXJnZSB0byB0aWMgaW4gYSBjbGluaWNhbCBzYW1wbGUgb2YgMTIyIG9sZGVyIGFkb2xlc2NlbnRzIGFuZCBhZHVsdHMgd2l0aCBUUyBvciBDVEQuIFRoZSBQVVRTIGRlbW9uc3RyYXRlZCBhZGVxdWF0ZSBpbnRlcm5hbCBjb25zaXN0ZW5jeSwgdGVtcG9yYWwgc3RhYmlsaXR5LCBhbmQgY29uY3VycmVudCB2YWxpZGl0eS4gUHJlbW9uaXRvcnkgdXJnZXMgd2VyZSBlbmRvcnNlZCBieSB0aGUgbWFqb3JpdHkgb2YgaW5kaXZpZHVhbHMuIE1vc3QgaW5kaXZpZHVhbHMgcmVwb3J0ZWQgc29tZSByZWxpZWYgZnJvbSB0aGUgdXJnZXMgYWZ0ZXIgY29tcGxldGluZyBhIHRpYyBhbmQgYmVpbmcgYWJsZSB0byBzdG9wIHRoZWlyIHRpY3MgZXZlbiBpZiBvbmx5IHRlbXBvcmFyaWx5LiBEZWdyZWUgb2YgcHJlbW9uaXRvcnkgdXJnZXMgd2FzIG5vdCBzaWduaWZpY2FudGx5IGNvcnJlbGF0ZWQgd2l0aCBhZ2UsIGFuZCB3ZSBkaWQgbm90IG9ic2VydmUgYW55IGdlbmRlciBkaWZmZXJlbmNlcy4gRGVncmVlIG9mIHByZW1vbml0b3J5IHVyZ2VzIHdhcyBzaWduaWZpY2FudGx5IGNvcnJlbGF0ZWQgd2l0aCBlc3RpbWF0ZWQgSVEgYW5kIHRpYyBzZXZlcml0eSwgYnV0IG5vdCBzZXZlcml0eSBvZiBjb21vcmJpZCBvYnNlc3NpdmUtY29tcHVsc2l2ZSBkaXNvcmRlciBvciBhdHRlbnRpb24tZGVmaWNpdCBoeXBlcmFjdGl2aXR5IGRpc29yZGVyLiBBbHNvLCBpdCB3YXMgbm90IHJlbGF0ZWQgdG8gY29uY29taXRhbnQgbWVkaWNhdGlvbiBzdGF0dXMuIFRoZXNlIGZpbmRpbmdzIHJlcHJlc2VudCBhbm90aGVyIHN0ZXAgZm9yd2FyZCBpbiBvdXIgdW5kZXJzdGFuZGluZyBvZiB0aGUgcHJlbW9uaXRvcnkgc2Vuc2F0aW9ucyBhc3NvY2lhdGVkIHdpdGggVFMgYW5kIENURC4iLCJpc3N1ZSI6IjIiLCJ2b2x1bWUiOiI0NSIsImNvbnRhaW5lci10aXRsZS1zaG9ydCI6IiJ9LCJpc1RlbXBvcmFyeSI6ZmFsc2V9LHsiaWQiOiI3YjdkYzM1OC1mYjE0LTM5ZmEtOWQyNC03MmQ2OTJlODQ4NzUiLCJpdGVtRGF0YSI6eyJ0eXBlIjoiYXJ0aWNsZS1qb3VybmFsIiwiaWQiOiI3YjdkYzM1OC1mYjE0LTM5ZmEtOWQyNC03MmQ2OTJlODQ4NzUiLCJ0aXRsZSI6IkludGVyb2NlcHRpdmUgQWNjdXJhY3kgaW4gWW91dGggd2l0aCBUaWMgRGlzb3JkZXJzOiBFeHBsb3JpbmcgTGlua3Mgd2l0aCBQcmVtb25pdG9yeSBVcmdlLCBBbnhpZXR5IGFuZCBRdWFsaXR5IG9mIExpZmUiLCJncm91cElkIjoiMDdkNjJhYzEtNWFhOC0zOWFmLWI0OWUtNTJkMjA4OGFjNTcxIiwiYXV0aG9yIjpbeyJmYW1pbHkiOiJQaWxlIiwiZ2l2ZW4iOiJWIiwicGFyc2UtbmFtZXMiOmZhbHNlLCJkcm9wcGluZy1wYXJ0aWNsZSI6IiIsIm5vbi1kcm9wcGluZy1wYXJ0aWNsZSI6IiJ9LHsiZmFtaWx5IjoiTGF1IiwiZ2l2ZW4iOiJKIFkgRiIsInBhcnNlLW5hbWVzIjpmYWxzZSwiZHJvcHBpbmctcGFydGljbGUiOiIiLCJub24tZHJvcHBpbmctcGFydGljbGUiOiIifSx7ImZhbWlseSI6IlRvcG9yIiwiZ2l2ZW4iOiJNIiwicGFyc2UtbmFtZXMiOmZhbHNlLCJkcm9wcGluZy1wYXJ0aWNsZSI6IiIsIm5vbi1kcm9wcGluZy1wYXJ0aWNsZSI6IiJ9LHsiZmFtaWx5IjoiSGVkZGVybHkiLCJnaXZlbiI6IlQiLCJwYXJzZS1uYW1lcyI6ZmFsc2UsImRyb3BwaW5nLXBhcnRpY2xlIjoiIiwibm9uLWRyb3BwaW5nLXBhcnRpY2xlIjoiIn0seyJmYW1pbHkiOiJSb2JpbnNvbiIsImdpdmVuIjoiUyIsInBhcnNlLW5hbWVzIjpmYWxzZSwiZHJvcHBpbmctcGFydGljbGUiOiIiLCJub24tZHJvcHBpbmctcGFydGljbGUiOiIifV0sImNvbnRhaW5lci10aXRsZSI6IkogQXV0aXNtIERldiBEaXNvcmQiLCJET0kiOiIxMC4xMDA3L3MxMDgwMy0wMTgtMzYwOC04IiwiUE1JRCI6IjI5Nzc3NDczIiwiVVJMIjoiaHR0cHM6Ly9saW5rLnNwcmluZ2VyLmNvbS9jb250ZW50L3BkZi8xMC4xMDA3L3MxMDgwMy0wMTgtMzYwOC04LnBkZiIsImlzc3VlZCI6eyJkYXRlLXBhcnRzIjpbWzIwMThdXX0sInBhZ2UiOiIzNDc0LTM0ODIiLCJhYnN0cmFjdCI6IkFiZXJyYW50IGludGVyb2NlcHRpdmUgYWNjdXJhY3kgY291bGQgY29udHJpYnV0ZSB0byB0aGUgY28tb2NjdXJyZW5jZSBvZiBhbnhpZXR5IGFuZCBwcmVtb25pdG9yeSB1cmdlIGluIGNocm9uaWMgdGljIGRpc29yZGVycyAoQ1REKS4gSWYgaXQgY2FuIGJlIG1hbmlwdWxhdGVkIHRocm91Z2ggaW50ZXJ2ZW50aW9uLCBpdCB3b3VsZCBvZmZlciBhIHRyYW5zZGlhZ25vc3RpYyB0cmVhdG1lbnQgdGFyZ2V0IGZvciB0aWNzIGFuZCBhbnhpZXR5LiBJbnRlcm9jZXB0aXZlIGFjY3VyYWN5IHdhcyBmaXJzdCBhc3Nlc3NlZCBjb25zaXN0ZW50IHdpdGggcHJldmlvdXMgcHJvdG9jb2xzIGFuZCB0aGVuIHJlLWFzc2Vzc2VkIGZvbGxvd2luZyBhbiBpbnN0cnVjdGlvbiBhdHRlbXB0aW5nIHRvIGV4cGVyaW1lbnRhbGx5IGVuaGFuY2UgYXdhcmVuZXNzLiBUaGUgQ1REIGdyb3VwIGRlbW9uc3RyYXRlZCBsb3dlciBpbnRlcm9jZXB0aXZlIGFjY3VyYWN5IHRoYW4gY29udHJvbHMgYnV0LCBpbXBvcnRhbnRseSwgdGhpcyBncm91cCBkaWZmZXJlbmNlIHdhcyBubyBsb25nZXIgc2lnbmlmaWNhbnQgZm9sbG93aW5nIGluc3RydWN0aW9uLiBJbiB0aGUgQ1REIGdyb3VwLCBiZXR0ZXIgaW50ZXJvY2VwdGl2ZSBhY2N1cmFjeSB3YXMgYXNzb2NpYXRlZCB3aXRoIGhpZ2hlciBhbnhpZXR5IGFuZCBsb3dlciBxdWFsaXR5IG9mIGxpZmUsIGJ1dCBub3Qgd2l0aCBwcmVtb25pdG9yeSB1cmdlLiBBYmVycmFudCBpbnRlcm9jZXB0aXZlIGFjY3VyYWN5IG1heSByZXByZXNlbnQgYW4gdW5kZXJseWluZyB0cmFpdCBpbiBDVEQgdGhhdCBjYW4gYmUgbWFuaXB1bGF0ZWQsIGFuZCByZWxhdGVzIHRvIGFueGlldHkgYW5kIHF1YWxpdHkgb2YgbGlmZS4iLCJpc3N1ZSI6IjEwIiwidm9sdW1lIjoiNDgiLCJjb250YWluZXItdGl0bGUtc2hvcnQiOiIifSwiaXNUZW1wb3JhcnkiOmZhbHNlfSx7ImlkIjoiY2EyNGMzYTItOGY0MS0zN2NhLWIwMTQtYjEwZDI5YmJhZjAzIiwiaXRlbURhdGEiOnsidHlwZSI6ImFydGljbGUtam91cm5hbCIsImlkIjoiY2EyNGMzYTItOGY0MS0zN2NhLWIwMTQtYjEwZDI5YmJhZjAzIiwidGl0bGUiOiJQcmVtb25pdG9yeSBVcmdlcyBhbmQgVGhlaXIgTGluayBXaXRoIFRpYyBTZXZlcml0eSBpbiBDaGlsZHJlbiBhbmQgQWRvbGVzY2VudHMgV2l0aCBUaWMgRGlzb3JkZXJzIiwiZ3JvdXBJZCI6IjA3ZDYyYWMxLTVhYTgtMzlhZi1iNDllLTUyZDIwODhhYzU3MSIsImF1dGhvciI6W3siZmFtaWx5IjoiS3lyaWF6aSIsImdpdmVuIjoiTSIsInBhcnNlLW5hbWVzIjpmYWxzZSwiZHJvcHBpbmctcGFydGljbGUiOiIiLCJub24tZHJvcHBpbmctcGFydGljbGUiOiIifSx7ImZhbWlseSI6IkthbHl2YSIsImdpdmVuIjoiRSIsInBhcnNlLW5hbWVzIjpmYWxzZSwiZHJvcHBpbmctcGFydGljbGUiOiIiLCJub24tZHJvcHBpbmctcGFydGljbGUiOiIifSx7ImZhbWlseSI6IlZhcmdpYW1pIiwiZ2l2ZW4iOiJFIiwicGFyc2UtbmFtZXMiOmZhbHNlLCJkcm9wcGluZy1wYXJ0aWNsZSI6IiIsIm5vbi1kcm9wcGluZy1wYXJ0aWNsZSI6IiJ9LHsiZmFtaWx5IjoiS3Jpa29uaXMiLCJnaXZlbiI6IksiLCJwYXJzZS1uYW1lcyI6ZmFsc2UsImRyb3BwaW5nLXBhcnRpY2xlIjoiIiwibm9uLWRyb3BwaW5nLXBhcnRpY2xlIjoiIn0seyJmYW1pbHkiOiJaYWZlaXJpb3UiLCJnaXZlbiI6IkQiLCJwYXJzZS1uYW1lcyI6ZmFsc2UsImRyb3BwaW5nLXBhcnRpY2xlIjoiIiwibm9uLWRyb3BwaW5nLXBhcnRpY2xlIjoiIn1dLCJjb250YWluZXItdGl0bGUiOiJGcm9udCBQc3ljaGlhdHJ5IiwiRE9JIjoiMTAuMzM4OS9mcHN5dC4yMDE5LjAwNTY5IiwiUE1JRCI6IjMxNDc0ODg1IiwiaXNzdWVkIjp7ImRhdGUtcGFydHMiOltbMjAxOV1dfSwicGFnZSI6IjU2OSIsImFic3RyYWN0IjoiVGljcyB3YXggYW5kIHdhbmUgcmVnYXJkaW5nIHRoZWlyIHNldmVyaXR5LCB3aGlsZSB0aGVpciBleHByZXNzaW9uIGlzIGFmZmVjdGVkIGJ5IG5vbi1tb3RvciBzZW5zb3J5IG9yIGNvZ25pdGl2ZSBlbGVtZW50cyB0aGF0IGFyZSBtb3N0bHkga25vd24gYXMgXCJwcmVtb25pdG9yeSB1cmdlcy5cIiBTaW5jZSBwcmVtb25pdG9yeSB1cmdlcyBhcmUgb2Z0ZW4gdXNlZCBpbiBub24tcGhhcm1hY29sb2dpY2FsIGludGVydmVudGlvbnMgdG8gZGVjcmVhc2UgdGljIHNldmVyaXR5LCBpdCBpcyBvZiBpbnRlcmVzdCBpbiB0aGUgcHJlc2VudCBzdHVkeSB0byBleGFtaW5lIHdoZXRoZXIgcHJlbW9uaXRvcnkgdXJnZXMgY2FuIGFjdHVhbGx5IHByZWRpY3QgdGljIHNldmVyaXR5LiBGaWZ0eS10d28gY2hpbGRyZW4gYW5kIGFkb2xlc2NlbnRzIGRpYWdub3NlZCB3aXRoIHRpY3MgYW5kIFRvdXJldHRlIHN5bmRyb21lICgyOSBjaGlsZHJlbiB3aXRoIHByb3Zpc2lvbmFsIHRpYyBkaXNvcmRlciwgMTYgY2hpbGRyZW4gd2l0aCBjaHJvbmljIG1vdG9yIHRpYyBkaXNvcmRlciwgYW5kIDcgY2hpbGRyZW4gd2l0aCBUb3VyZXR0ZSBzeW5kcm9tZSkgd2VyZSBpbmNsdWRlZCBpbiB0aGUgc3R1ZHkuIFRoZWlyIGFnZSByYW5nZWQgYmV0d2VlbiA2IGFuZCAxNS43IHllYXJzIChtZWFuIGFnZSA5IHllYXJzIGFuZCAyIG1vbnRocykuIEFsbCBwYXJ0aWNpcGFudHMgY29tcGxldGVkIHRoZSBZR1RTUyAoWWFsZSBHbG9iYWwgVGljIFNldmVyaXR5IFNjYWxlKSBpbiBvcmRlciB0byBhc3Nlc3MgdGljIHNldmVyaXR5IGFuZCB0aGUgUHJlbW9uaXRvcnkgVXJnZSBmb3IgVGljcyBTY2FsZSAoUFVUUykgdG8gbWVhc3VyZSBwcmVtb25pdG9yeSB1cmdlcyAoUFUpLiBSZWdyZXNzaW9uIGFuYWx5c2lzIHJldmVhbGVkIHRoYXQgUFUgd2VyZSBwcmVzZW50IGF0IGEgaGlnaGVyIHJhdGUgaW4gb2xkZXIgc3ViamVjdHMgKD4xMiB5ZWFycyBvZiBhZ2UpIHRoYW4gaW4geW91bmdlciBjaGlsZHJlbiBhbmQgd2l0aCBhIGhpZ2hlciBsZXZlbCBvZiB0aWMgc2V2ZXJpdHkuIEFsdGhvdWdoIHRoZSBwcmVzZW5jZSBvZiBQVSB3YXMgYXNzb2NpYXRlZCB3aXRoIHRpYyBzZXZlcml0eSBhY3Jvc3MgdGhlIGVudGlyZSBhZ2UgcmFuZ2UsIHRoZXJlIHdhcyBhIHN0cm9uZ2VyIGFzc29jaWF0aW9uIGJldHdlZW4gUFUgYW5kIHRpYyBzZXZlcml0eSBpbiBvbGRlciBjaGlsZHJlbi4gQSBiZXR0ZXIgaW5zaWdodCBpbnRvIHRoZSBwYXRob3BoeXNpb2xvZ3kgb2YgcHJlbW9uaXRvcnkgdXJnZXMgY291bGQgcG9zc2libHkgbGVhZCB0byB0aGUgaWRlbnRpZmljYXRpb24gb2YgbmV3IHRoZXJhcGV1dGljIG1vZGFsaXRpZXMgdGFyZ2V0aW5nIHRoZSBzZW5zb3J5IGluaXRpYXRvcnMgb2YgdGljcyBpbiBmdXR1cmUgcmVzZWFyY2guIiwidm9sdW1lIjoiMTAiLCJjb250YWluZXItdGl0bGUtc2hvcnQiOiIifSwiaXNUZW1wb3JhcnkiOmZhbHNlfSx7ImlkIjoiYmRmOTJhNGYtZGZmMy0zM2JhLWFmM2YtZjYyYjFiMjE5ODFmIiwiaXRlbURhdGEiOnsidHlwZSI6ImFydGljbGUtam91cm5hbCIsImlkIjoiYmRmOTJhNGYtZGZmMy0zM2JhLWFmM2YtZjYyYjFiMjE5ODFmIiwidGl0bGUiOiJEZXZlbG9wbWVudCBvZiB0aGUgS29yZWFuIEZvcm0gb2YgdGhlIFByZW1vbml0b3J5IFVyZ2UgZm9yIFRpY3MgU2NhbGU6IEEgUmVsaWFiaWxpdHkgYW5kIFZhbGlkaXR5IFN0dWR5IiwiZ3JvdXBJZCI6IjA3ZDYyYWMxLTVhYTgtMzlhZi1iNDllLTUyZDIwODhhYzU3MSIsImF1dGhvciI6W3siZmFtaWx5IjoiS2ltIiwiZ2l2ZW4iOiJNIiwicGFyc2UtbmFtZXMiOmZhbHNlLCJkcm9wcGluZy1wYXJ0aWNsZSI6IiIsIm5vbi1kcm9wcGluZy1wYXJ0aWNsZSI6IiJ9LHsiZmFtaWx5IjoiQ2h1bmciLCJnaXZlbiI6IlMgSyIsInBhcnNlLW5hbWVzIjpmYWxzZSwiZHJvcHBpbmctcGFydGljbGUiOiIiLCJub24tZHJvcHBpbmctcGFydGljbGUiOiIifSx7ImZhbWlseSI6IllhbmciLCJnaXZlbiI6IkogQyIsInBhcnNlLW5hbWVzIjpmYWxzZSwiZHJvcHBpbmctcGFydGljbGUiOiIiLCJub24tZHJvcHBpbmctcGFydGljbGUiOiIifSx7ImZhbWlseSI6IlBhcmsiLCJnaXZlbiI6IkogSSIsInBhcnNlLW5hbWVzIjpmYWxzZSwiZHJvcHBpbmctcGFydGljbGUiOiIiLCJub24tZHJvcHBpbmctcGFydGljbGUiOiIifSx7ImZhbWlseSI6Ik5hbSIsImdpdmVuIjoiUyBIIiwicGFyc2UtbmFtZXMiOmZhbHNlLCJkcm9wcGluZy1wYXJ0aWNsZSI6IiIsIm5vbi1kcm9wcGluZy1wYXJ0aWNsZSI6IiJ9LHsiZmFtaWx5IjoiUGFyayIsImdpdmVuIjoiVCBXIiwicGFyc2UtbmFtZXMiOmZhbHNlLCJkcm9wcGluZy1wYXJ0aWNsZSI6IiIsIm5vbi1kcm9wcGluZy1wYXJ0aWNsZSI6IiJ9XSwiY29udGFpbmVyLXRpdGxlIjoiU29hIENob25nc29ueW9uIENob25nc2luIFVpaGFrIiwiRE9JIjoiMTAuNTc2NS9qa2FjYXAuMjAwMDEzIiwiUE1JRCI6IjMyNjY1NzU4IiwiVVJMIjoiaHR0cHM6Ly93d3cubmNiaS5ubG0ubmloLmdvdi9wbWMvYXJ0aWNsZXMvUE1DNzM1MDU0NS9wZGYvSktBQ0FQLTMxLTE0Ni5wZGYiLCJpc3N1ZWQiOnsiZGF0ZS1wYXJ0cyI6W1syMDIwXV19LCJwYWdlIjoiMTQ2LTE1MyIsImFic3RyYWN0IjoiT0JKRUNUSVZFUzogVGhpcyBzdHVkeSBhaW1lZCB0byBldmFsdWF0ZSB0aGUgcmVsaWFiaWxpdHkgYW5kIHZhbGlkaXR5IG9mIHRoZSBLb3JlYW4gRm9ybSBvZiB0aGUgUHJlbW9uaXRvcnkgVXJnZSBmb3IgVGljcyBTY2FsZSAoSy1QVVRTKS4gTUVUSE9EUzogVGhpcnR5LWVpZ2h0IHBhdGllbnRzIHdpdGggVG91cmV0dGUncyBkaXNvcmRlciB3aG8gdmlzaXRlZCBKZW9uYnVrIE5hdGlvbmFsIFVuaXZlcnNpdHkgSG9zcGl0YWwgd2VyZSBhc3Nlc3NlZCB3aXRoIHRoZSBLLVBVVFMuIFRvZ2V0aGVyIHdpdGggdGhlIFBVVFMsIHRoZSBZYWxlIEdsb2JhbCBUaWMgU2V2ZXJpdHkgU2NhbGUgKFlHVFNTKSwgdGhlIENoaWxkcmVuJ3MgWWFsZS1Ccm93biBPYnNlc3NpdmUgQ29tcHVsc2l2ZSBTY2FsZSAoQ1ktQk9DUyksIHRoZSBhdHRlbnRpb24tZGVmaWNpdC9oeXBlcmFjdGl2aXR5IGRpc29yZGVyIChBREhEKSByYXRpbmcgc2NhbGUgKEFSUyksIGFuZCB0aGUgQWR1bHQgQURIRCBTZWxmLVJlcG9ydCBTY2FsZSAoQVNSUykgd2VyZSBpbXBsZW1lbnRlZCB0byBldmFsdWF0ZSBjb25jdXJyZW50IGFuZCBkaXNjcmltaW5hbnQgdmFsaWRpdHkuIFJFU1VMVFM6IFRoZSBpbnRlcm5hbCBjb25zaXN0ZW5jeSBvZiBpdGVtcyBvbiB0aGUgUFVUUyB3YXMgaGlnaCwgd2l0aCBhIENyb25iYWNoJ3MgzrEgb2YgMC43OS4gVGhlIHRlc3QtcmV0ZXN0IHJlbGlhYmlsaXR5IG9mIHRoZSBQVVRTLCB3aGljaCB3YXMgYWRtaW5pc3RlcmVkIGF0IDIgd2Vla3MgdG8gMiBtb250aHMgaW50ZXJ2YWxzLCBzaG93ZWQgaGlnaCByZWxpYWJpbGl0eSB3aXRoIGEgUGVhcnNvbiBjb3JyZWxhdGlvbiBjb2VmZmljaWVudCBvZiAwLjYwLiBUaGVyZSB3YXMgYSBzaWduaWZpY2FudCBwb3NpdGl2ZSBjb3JyZWxhdGlvbiBiZXR3ZWVuIHRoZSBvdmVyYWxsIFBVVFMgc2NvcmUgYW5kIHRoZSBZR1RTUyBzY29yZSwgc2hvd2luZyBjb25jdXJyZW50IHZhbGlkaXR5LiBUaGVyZSB3YXMgbm8gY29ycmVsYXRpb24gYmV0d2VlbiB0aGUgUFVUUywgQ1ktQk9DUywgYW5kIEFTUlMgc2NvcmVzLCBkZW1vbnN0cmF0aW5nIHRoZSBkaXNjcmltaW5hbnQgdmFsaWRpdHkgb2YgdGhlIFBVVFMuIEZhY3RvciBhbmFseXNpcyBmb3IgY29uc3RydWN0IHZhbGlkaXR5IHJldmVhbGVkIHRocmVlIGZhY3RvcnM6IFwicHJlc3VtZWQgZnVuY3Rpb25hbCByZWxhdGlvbnNoaXAgYmV0d2VlbiB0aGUgdGljIGFuZCB0aGUgdXJnZSB0byB0aWMsXCIgXCJ0aGUgcXVhbGl0eSBvZiB0aGUgcHJlbW9uaXRvcnkgdXJnZSxcIiBhbmQgXCJqdXN0IHJpZ2h0IHBoZW5vbWVuYS5cIiBDT05DTFVTSU9OOiBUaGUgcmVzdWx0cyBvZiB0aGlzIHN0dWR5IGluZGljYXRlIHRoYXQgdGhlIEstUFVUUyBpcyBhIHJlbGlhYmxlIGFuZCB2YWxpZCBzY2FsZSBmb3IgcmF0aW5nIHByZW1vbml0b3J5IHVyZ2Ugb2YgdGljcy4iLCJpc3N1ZSI6IjMiLCJ2b2x1bWUiOiIzMSIsImNvbnRhaW5lci10aXRsZS1zaG9ydCI6IiJ9LCJpc1RlbXBvcmFyeSI6ZmFsc2V9LHsiaWQiOiJhMmNhOTVmMS1mYTVmLTNjNGQtOWUyZC1jN2MzODlhOWM0OTEiLCJpdGVtRGF0YSI6eyJ0eXBlIjoiYXJ0aWNsZS1qb3VybmFsIiwiaWQiOiJhMmNhOTVmMS1mYTVmLTNjNGQtOWUyZC1jN2MzODlhOWM0OTEiLCJ0aXRsZSI6IlByZW1vbml0b3J5IHVyZ2VzIGZvciB0aWNzIGluIGFkdWx0IHBhdGllbnRzIHdpdGggVG91cmV0dGUgc3luZHJvbWUiLCJncm91cElkIjoiMDdkNjJhYzEtNWFhOC0zOWFmLWI0OWUtNTJkMjA4OGFjNTcxIiwiYXV0aG9yIjpbeyJmYW1pbHkiOiJDcm9zc2xleSIsImdpdmVuIjoiRSIsInBhcnNlLW5hbWVzIjpmYWxzZSwiZHJvcHBpbmctcGFydGljbGUiOiIiLCJub24tZHJvcHBpbmctcGFydGljbGUiOiIifSx7ImZhbWlseSI6IlNlcmkiLCJnaXZlbiI6IlMiLCJwYXJzZS1uYW1lcyI6ZmFsc2UsImRyb3BwaW5nLXBhcnRpY2xlIjoiIiwibm9uLWRyb3BwaW5nLXBhcnRpY2xlIjoiIn0seyJmYW1pbHkiOiJTdGVybiIsImdpdmVuIjoiSiBTIiwicGFyc2UtbmFtZXMiOmZhbHNlLCJkcm9wcGluZy1wYXJ0aWNsZSI6IiIsIm5vbi1kcm9wcGluZy1wYXJ0aWNsZSI6IiJ9LHsiZmFtaWx5IjoiUm9iZXJ0c29uIiwiZ2l2ZW4iOiJNIE0iLCJwYXJzZS1uYW1lcyI6ZmFsc2UsImRyb3BwaW5nLXBhcnRpY2xlIjoiIiwibm9uLWRyb3BwaW5nLXBhcnRpY2xlIjoiIn0seyJmYW1pbHkiOiJDYXZhbm5hIiwiZ2l2ZW4iOiJBIEUiLCJwYXJzZS1uYW1lcyI6ZmFsc2UsImRyb3BwaW5nLXBhcnRpY2xlIjoiIiwibm9uLWRyb3BwaW5nLXBhcnRpY2xlIjoiIn1dLCJjb250YWluZXItdGl0bGUiOiJCcmFpbiBEZXYiLCJET0kiOiIxMC4xMDE2L2ouYnJhaW5kZXYuMjAxMi4xMi4wMTAiLCJQTUlEIjoiMjMzNjk4MzAiLCJVUkwiOiJodHRwczovL3d3dy5icmFpbmFuZGRldmVsb3BtZW50LmNvbS9hcnRpY2xlL1MwMzg3LTc2MDQoMTMpMDAwMDItOC9mdWxsdGV4dCIsImlzc3VlZCI6eyJkYXRlLXBhcnRzIjpbWzIwMTRdXX0sInBhZ2UiOiI0NS01MCIsImFic3RyYWN0IjoiT0JKRUNUSVZFOiBQYXRpZW50cyB3aXRoIFRvdXJldHRlIHN5bmRyb21lIChUUykgb2Z0ZW4gcmVwb3J0IGNoYXJhY3RlcmlzdGljIHNlbnNvcnkgZXhwZXJpZW5jZXMsIGFsc28gY2FsbGVkIHByZW1vbml0b3J5IHVyZ2VzIChQVXMpLCB3aGljaCBwcmVjZWRlIHRpYyBleHByZXNzaW9uIGFuZCBoYXZlIGhpZ2ggZGlhZ25vc3RpYyByZWxldmFuY2UuIFRoaXMgc3R1ZHkgaW52ZXN0aWdhdGVkIHRoZSB1c2VmdWxuZXNzIG9mIGEgc2NhbGUgZGV2ZWxvcGVkIGFuZCB2YWxpZGF0ZWQgaW4gY2hpbGRyZW4gYW5kIGFkb2xlc2NlbnRzLXRoZSBQcmVtb25pdG9yeSBVcmdlIGZvciBUaWNzIFNjYWxlIChQVVRTLCBXb29kcyBldCBhbC4sIDIwMDUgWzEzXSktZm9yIHRoZSBhc3Nlc3NtZW50IG9mIFBVcyBpbiBhZHVsdCBwYXRpZW50cyB3aXRoIFRTLiBNRVRIT0Q6IFN0YW5kYXJkIHN0YXRpc3RpY2FsIG1ldGhvZHMgd2VyZSBhcHBsaWVkIHRvIHRlc3QgdGhlIHBzeWNob21ldHJpYyBwcm9wZXJ0aWVzIG9mIHRoZSBQVVRTIGluIDEwMiBhZHVsdCBUUyBvdXRwYXRpZW50cyByZWNydWl0ZWQgZnJvbSB0d28gc3BlY2lhbGlzdCBjbGluaWNzIGluIHRoZSBVbml0ZWQgS2luZ2RvbS4gUkVTVUxUUzogVGhlIFBVVFMgc2hvd2VkIGdvb2QgYWNjZXB0YWJpbGl0eSBhbmQgZW5kb3JzZW1lbnQgcmF0ZXMsIHdpdGggZXZlbmx5IGRpc3RyaWJ1dGVkIHNjb3JlcyBhbmQgbG93IGZsb29yIGFuZCBjZWlsaW5nIGVmZmVjdHMuIEl0ZW0tdG90YWwgY29ycmVsYXRpb25zIHdlcmUgbW9kZXJhdGUgdG8gc3Ryb25nOyBQVVRTIHRvdGFsIHNjb3JlcyB3ZXJlIHNpZ25pZmljYW50bHkgY29ycmVsYXRlZCB3aXRoIHF1YW50aXRhdGl2ZSBtZWFzdXJlcyBvZiBUUyBzZXZlcml0eS4gVGhlIFBVVFMgc2hvd2VkIGV4Y2VsbGVudCBpbnRlcm5hbCBjb25zaXN0ZW5jeSByZWxpYWJpbGl0eSAoQ3JvbmJhY2gncyBhbHBoYT0wLjg1KSBhbmQgU3BlYXJtYW4ncyBjb3JyZWxhdGlvbnMgZGVtb25zdHJhdGVkIHNhdGlzZmFjdG9yeSBjb252ZXJnZW50IGFuZCBkaXNjcmltaW5hbnQgdmFsaWRpdHkuIENPTkNMVVNJT05TOiBBbHRob3VnaCBvcmlnaW5hbGx5IGRldmlzZWQgdG8gYXNzZXNzIHVyZ2VzIHRvIHRpYyBpbiB5b3VuZyBwYXRpZW50cyB3aXRoIFRTLCB0aGUgUFVUUyBkZW1vbnN0cmF0ZWQgZ29vZCBwc3ljaG9tZXRyaWMgcHJvcGVydGllcyBpbiBhIGxhcmdlIHNhbXBsZSBvZiBhZHVsdHMgcmVjcnVpdGVkIGF0IHNwZWNpYWxpc3QgVFMgY2xpbmljcy4gVGhpcyBpbnN0cnVtZW50IGlzIHRoZXJlZm9yZSByZWNvbW1lbmRlZCBmb3IgdXNlIGFjcm9zcyB0aGUgbGlmZSBzcGFuIGFzIGEgdmFsaWQgYW5kIHJlbGlhYmxlIHNlbGYtcmVwb3J0IG1lYXN1cmUgb2Ygc2Vuc29yeSBleHBlcmllbmNlcyBhY2NvbXBhbnlpbmcgdGljIGV4cHJlc3Npb24uIiwiaXNzdWUiOiIxIiwidm9sdW1lIjoiMzYiLCJjb250YWluZXItdGl0bGUtc2hvcnQiOiIifSwiaXNUZW1wb3JhcnkiOmZhbHNlfSx7ImlkIjoiZDJlZDZmNmEtNzQ0OS0zNTMxLTg2MTktMGMzMjFiZmY3ZjM4IiwiaXRlbURhdGEiOnsidHlwZSI6ImFydGljbGUtam91cm5hbCIsImlkIjoiZDJlZDZmNmEtNzQ0OS0zNTMxLTg2MTktMGMzMjFiZmY3ZjM4IiwidGl0bGUiOiJTZW5zb3J5IGh5cGVyc2Vuc2l0aXZpdHkgc2V2ZXJpdHkgYW5kIGFzc29jaWF0aW9uIHdpdGggb2JzZXNzaXZlLWNvbXB1bHNpdmUgc3ltcHRvbXMgaW4gYWR1bHRzIHdpdGggdGljIGRpc29yZGVyIiwiZ3JvdXBJZCI6IjA3ZDYyYWMxLTVhYTgtMzlhZi1iNDllLTUyZDIwODhhYzU3MSIsImF1dGhvciI6W3siZmFtaWx5IjoiSXNhYWNzIiwiZ2l2ZW4iOiJEYXZpZCIsInBhcnNlLW5hbWVzIjpmYWxzZSwiZHJvcHBpbmctcGFydGljbGUiOiIiLCJub24tZHJvcHBpbmctcGFydGljbGUiOiIifSx7ImZhbWlseSI6IktleSIsImdpdmVuIjoiQWxleGFuZHJhIFAuIiwicGFyc2UtbmFtZXMiOmZhbHNlLCJkcm9wcGluZy1wYXJ0aWNsZSI6IiIsIm5vbi1kcm9wcGluZy1wYXJ0aWNsZSI6IiJ9LHsiZmFtaWx5IjoiQ2FzY2lvIiwiZ2l2ZW4iOiJDYXJpc3NhIEouIiwicGFyc2UtbmFtZXMiOmZhbHNlLCJkcm9wcGluZy1wYXJ0aWNsZSI6IiIsIm5vbi1kcm9wcGluZy1wYXJ0aWNsZSI6IiJ9LHsiZmFtaWx5IjoiQ29ubGV5IiwiZ2l2ZW4iOiJBbGV4YW5kZXIgQy4iLCJwYXJzZS1uYW1lcyI6ZmFsc2UsImRyb3BwaW5nLXBhcnRpY2xlIjoiIiwibm9uLWRyb3BwaW5nLXBhcnRpY2xlIjoiIn0seyJmYW1pbHkiOiJXYWxrZXIiLCJnaXZlbiI6IkhhcnJpc29uIEMuIiwicGFyc2UtbmFtZXMiOmZhbHNlLCJkcm9wcGluZy1wYXJ0aWNsZSI6IiIsIm5vbi1kcm9wcGluZy1wYXJ0aWNsZSI6IiJ9LHsiZmFtaWx5IjoiV2FsbGFjZSIsImdpdmVuIjoiTWFyayBULiIsInBhcnNlLW5hbWVzIjpmYWxzZSwiZHJvcHBpbmctcGFydGljbGUiOiIiLCJub24tZHJvcHBpbmctcGFydGljbGUiOiIifSx7ImZhbWlseSI6IkNsYWFzc2VuIiwiZ2l2ZW4iOiJEYW5pZWwgTy4iLCJwYXJzZS1uYW1lcyI6ZmFsc2UsImRyb3BwaW5nLXBhcnRpY2xlIjoiIiwibm9uLWRyb3BwaW5nLXBhcnRpY2xlIjoiIn1dLCJjb250YWluZXItdGl0bGUiOiJOZXVyb3BzeWNoaWF0cmljIERpc2Vhc2UgYW5kIFRyZWF0bWVudCIsIkRPSSI6IjEwLjIxNDcvTkRULlMyNzQxNjUiLCJJU1NOIjoiMTE3ODIwMjEiLCJpc3N1ZWQiOnsiZGF0ZS1wYXJ0cyI6W1syMDIwXV19LCJwYWdlIjoiMjU5MS0yNjAxIiwiYWJzdHJhY3QiOiJCYWNrZ3JvdW5kOiBTZW5zb3J5IGh5cGVyc2Vuc2l0aXZpdHksIGRlZmluZWQgYXMgaGVpZ2h0ZW5lZCBhd2FyZW5lc3Mgb2YgYW5kIHJlYWN0aXZpdHkgdG8gZXh0ZXJuYWwgc3RpbXVsaSwgaXMgYSBib3RoZXJzb21lIHN5bXB0b20gdGhhdCBhZmZlY3RzIHVwIHRvIDgwJSBvZiBhZHVsdHMgd2l0aCBUb3VyZXR0ZSBzeW5kcm9tZSAoVFMpLiBTdWNoIHdpZGVzcHJlYWQgcHJldmFsZW5jZSBzdWdnZXN0cyBzZW5zb3J5IGh5cGVyc2Vuc2l0aXZpdHkgaXMgYSBjb3JlIGZlYXR1cmUgb2YgdGhlIGRpc29yZGVyLCBidXQgaXRzIHNldmVyaXR5IGFuZCBhc3NvY2lhdGlvbiB3aXRoIG90aGVyIGNsaW5pY2FsIGZlYXR1cmVzIG9mIFRTIHJlbWFpbiBsYXJnZWx5IHVuZXhwbG9yZWQuIENvbXBsaWNhdGluZyBtYXR0ZXJzLCBzZW5zb3J5IGh5cGVyc2Vuc2l0aXZpdHkgaGFzIGJlZW4gb2JzZXJ2ZWQgaW4gdHdvIG5ldXJvZGV2ZWxvcG1lbnRhbCBkaXNvcmRlcnMgY29tbW9ubHkgY29tb3JiaWQgd2l0aCBUUzogb2JzZXNzaXZlLWNvbXB1bHNpdmUgZGlzb3JkZXIgKE9DRCkgYW5kIGF0dGVudGlvbiBkZWZpY2l0IGh5cGVyYWN0aXZpdHkgZGlzb3JkZXIgKEFESEQpLiBPYmplY3RpdmU6IFdlIHNvdWdodCB0byBtZWFzdXJlIHNlbnNvcnkgaHlwZXJzZW5zaXRpdml0eSBpbiBUUyBwYXRpZW50cyByZWxhdGl2ZSB0byBoZWFsdGh5IGNvbnRyb2xzIGFuZCB0byBpbnZlc3RpZ2F0ZSB0aGUgcmVsYXRpb25zaGlwIG9mIHNlbnNvcnkgaHlwZXJzZW5zaXRpdml0eSB3aXRoIE9DRCBhbmQgQURIRCBzeW1wdG9tcyBpbiB0aGUgY29udGV4dCBvZiBUUy4gTWV0aG9kczogV2UgcmVjcnVpdGVkIDM0IGFkdWx0cyB3aXRoIFRTIG9yIGNocm9uaWMgdGljIGRpc29yZGVyIHRvIHVuZGVyZ28gZXZhbHVhdGlvbiB3aXRoIHRoZSBZYWxlIEdsb2JhbCBUaWMgU2V2ZXJpdHkgU2NhbGUgKFlHVFNTKSBhbmQgYSBiYXR0ZXJ5IG9mIHZhbGlkYXRlZCBzZWxmLXJlcG9ydCBpbnN0cnUtbWVudHMgYXNzZXNzaW5nIHNlbnNvcnkgaHlwZXJzZW5zaXRpdml0eSAoU2Vuc29yeSBHYXRpbmcgSW52ZW50b3J5LCBTR0k7IFNlbnNvcnkgUGVyY2VwdGlvbiBRdW90aWVudCwgU1BRKSwgcHJlbW9uaXRvcnkgdXJnZSAoUHJlbW9uaXRvcnkgVXJnZSB0byBUaWMgU2NhbGUsIFBVVFMpLCBPQ0QgKERpbWVuc2lvbmFsIE9ic2Vzc2l2ZS1Db21wdWxzaXZlIFNjYWxlLCBET0NTKSwgYW5kIEFESEQgKEFkdWx0IEFESEQgU2VsZi1SZXBvcnQgU2NyZWVuaW5nIFNjYWxlIGZvciBEU00tNSwgQVNSUy1WKS4gQWdlLWFuZCBzZXgtbWF0Y2hlZCBoZWFsdGh5IGNvbnRyb2xzIHdlcmUgcmVjcnVpdGVkIHRvIGNvbXBsZXRlIFNHSSBhbmQgcHN5Y2hpYXRyaWMgbWVhc3VyZXMuIFJlc3VsdHM6IFNHSSBhbmQgU1BRIHNjb3JlcyBzdHJvbmdseSBjb3JyZWxhdGVkIChycyA9IOKIkjAuNzMsIHAgPCAwLjAwMDEpIHdpdGhpbiBwYXRpZW50cy4gU0dJIHRvdGFsIHNjb3JlIHdhcyBzaWduaWZpY2FudGx5IGhpZ2hlciBpbiBwYXRpZW50cyB2ZXJzdXMgY29udHJvbHMgKDExOS4wIHZzIDY3LjYsIFUgPeKIkjUuMywgcCA8IDAuMDAwMSksIGluZGljYXRpbmcgZ3JlYXRlciBzZW5zb3J5IGh5cGVyc2Vuc2l0aXZpdHkgaW4gdGhlIHRpYyBkaXNvcmRlciBncm91cC4gU0dJIHNjb3JlIGNvcnJlbGF0ZWQgbW9kZXN0bHkgd2l0aCBQVVRTLCBET0NTLCBhbmQgQVNSUy1WIHNjb3JlcyBidXQgbm90IHdpdGggWUdUU1MgdG90YWwgdGljIHNjb3JlLiBIaWVyYXJjaGljYWwgbGluZWFyIHJlZ3Jlc3Npb24gYW5hbHlzaXMgcmV2ZWFsZWQgdGhhdCwgb2YgdGhlIHRlc3RlZCB2YXJpYWJsZXMsIG9ubHkgRE9DUyBzY29yZSBjb250cmlidXRlZCBzaWduaWZpY2FudGx5IHRvIG1lYW4gU0dJIHNjb3JlLCB3aXRoIM6yIHJhbmdpbmcgZnJvbSAxLjAzIChwID0gMC4wNDQpIHRvIDEuNDEgKHAgPSAwLjAwMSkuIEEgc2ltcGxlIGxpbmVhciByZWdyZXNzaW9uIG1vZGVsIHdpdGggRE9DUyBhcyB0aGUgaW5kZXBlbmRlbnQgdmFyaWFibGUgYWNjb3VudGVkIGZvciAzMS45JSBvZiBTR0kgc2NvcmUgdmFyaWFuY2UuIENvbmNsdXNpb246IFNlbnNvcnkgaHlwZXJzZW5zaXRpdml0eSBpcyBwcm9taW5lbnQgaW4gYWR1bHRzIHdpdGggdGljIGRpc29yZGVyIGFuZCBpcyBpbmRlcGVuZGVudGx5IGFzc29jaWF0ZWQgd2l0aCBvYnNlc3NpdmUtY29tcHVsc2l2ZSBzeW1wdG9tIHNldmVyaXR5LiIsInB1Ymxpc2hlciI6IkRvdmUgTWVkaWNhbCBQcmVzcyBMdGQiLCJ2b2x1bWUiOiIxNiIsImNvbnRhaW5lci10aXRsZS1zaG9ydCI6Ik5ldXJvcHN5Y2hpYXRyIERpcyBUcmVhdCJ9LCJpc1RlbXBvcmFyeSI6ZmFsc2V9LHsiaWQiOiJiYmY1NGMzOC03ZWY1LTM1ZjktYWZmNi0xYzhlMGYwMjFmYWEiLCJpdGVtRGF0YSI6eyJ0eXBlIjoiYXJ0aWNsZS1qb3VybmFsIiwiaWQiOiJiYmY1NGMzOC03ZWY1LTM1ZjktYWZmNi0xYzhlMGYwMjFmYWEiLCJ0aXRsZSI6IkludGVyb2NlcHRpb24gYW5kIFByZW1vbml0b3J5IFVyZ2VzIGluIENoaWxkcmVuIGFuZCBBZG9sZXNjZW50cyBXaXRoIFRpYyBEaXNvcmRlcnMiLCJncm91cElkIjoiMDdkNjJhYzEtNWFhOC0zOWFmLWI0OWUtNTJkMjA4OGFjNTcxIiwiYXV0aG9yIjpbeyJmYW1pbHkiOiJTY2jDvHR0ZWxlciIsImdpdmVuIjoiQyIsInBhcnNlLW5hbWVzIjpmYWxzZSwiZHJvcHBpbmctcGFydGljbGUiOiIiLCJub24tZHJvcHBpbmctcGFydGljbGUiOiIifSx7ImZhbWlseSI6IldvaXRlY2tpIiwiZ2l2ZW4iOiJLIiwicGFyc2UtbmFtZXMiOmZhbHNlLCJkcm9wcGluZy1wYXJ0aWNsZSI6IiIsIm5vbi1kcm9wcGluZy1wYXJ0aWNsZSI6IiJ9LHsiZmFtaWx5IjoiRMO2cGZuZXIiLCJnaXZlbiI6Ik0iLCJwYXJzZS1uYW1lcyI6ZmFsc2UsImRyb3BwaW5nLXBhcnRpY2xlIjoiIiwibm9uLWRyb3BwaW5nLXBhcnRpY2xlIjoiIn0seyJmYW1pbHkiOiJHZXJsYWNoIiwiZ2l2ZW4iOiJBIEwiLCJwYXJzZS1uYW1lcyI6ZmFsc2UsImRyb3BwaW5nLXBhcnRpY2xlIjoiIiwibm9uLWRyb3BwaW5nLXBhcnRpY2xlIjoiIn1dLCJjb250YWluZXItdGl0bGUiOiJDbGluIFBzeWNob2wgRXVyIiwiRE9JIjoiMTAuMzI4NzIvY3BlLjgxODUiLCJQTUlEIjoiMzcwNjUwMDAiLCJpc3N1ZWQiOnsiZGF0ZS1wYXJ0cyI6W1syMDIzXV19LCJwYWdlIjoiZTgxODUtIiwiYWJzdHJhY3QiOiJCQUNLR1JPVU5EOiBDb21wYXJlZCB0byBoZWFsdGh5IGNvbnRyb2xzIChIQ3MpLCBhZHVsdCBUaWMgRGlzb3JkZXIgKFREKSBwYXRpZW50cyBleGhpYml0IGEgbG93ZXIgaW50ZXJvY2VwdGl2ZSBhY2N1cmFjeSAoSUFjYykgaW4gaGVhcnRiZWF0IHBlcmNlcHRpb24uIFNpbmNlIHRoZSBsb3dlciBJQWNjIGlzIG5vdCBldmlkZW50IGluIGNoaWxkcmVuLCB0aGUgYWdlIGF0IHdoaWNoIHRpY3MgZGV2ZWxvcCwgYnV0IGluIGFkdWx0cyBvbmx5IChQaWxlIGV0IGFsLiwgMjAxOCwgaHR0cHM6Ly9kb2kub3JnLzEwLjEwMDcvczEwODAzLTAxOC0zNjA4LTgpLCBsb3dlciBJQWNjIG1heSByZWZsZWN0IGEgcGF0aG9sb2dpY2FsIG1lY2hhbmlzbSByZWxldmFudCB3aXRoIHJlZ2FyZCB0byB0aWNzLCBwcmVtb25pdG9yeSB1cmdlcyAoUFVzKSBvciB0aGUgcmVzdWx0aW5nIGltcGFpcm1lbnQuIEFsdGhvdWdoIHRpY3MgYXJlIGEgbW90b3IgcGhlbm9tZW5vbiwgdXAgdG8gZGF0ZSwgSUFjYyBoYXMgYmVlbiBhc3Nlc3NlZCBvbmx5IHdpdGggYSBoZWFydGJlYXQtY291bnRpbmcgdGFzay4gVGhpcyBzdHVkeSBhaW1zIGF0IGNvbXBhcmluZyBjYXJkaWFjIGFuZCBtdXNjdWxhciBJQWNjIHVzaW5nIHR3byBkaWZmZXJlbnQgcGFyYWRpZ21zIGFuZCBpbnZlc3RpZ2F0ZXMgaG93IElBY2MgaXMgcmVsYXRlZCB0byBwcmVtb25pdG9yeSB1cmdlcyBpbiB5b3V0aC4gTUVUSE9EOiBJbnRlcm9jZXB0aXZlIG1lYXN1cmVzIChoZWFydGJlYXQtY291bnRpbmcgdGFzaywgbXVzY2xlIHRlbnNpb24gcGFyYWRpZ20pIG9mIDI4IHlvdXRoIHdpdGggVEQgd2VyZSBjb21wYXJlZCB0byAyMyBjb250cm9sIHBhcnRpY2lwYW50cyBhbmQgcmVsYXRlZCB0byBzZWxmLXJhdGVkIHByZW1vbml0b3J5IHVyZ2VzIGFuZCB0aWMgc3ltcHRvbXMuIFJFU1VMVFM6IFREIHBhdGllbnRzIGRpZCBub3QgZGlmZmVyIGZyb20gSENzIGluIGFueSBJQWNjIG1lYXN1cmVzLiBIb3dldmVyLCB3aXRoaW4gVEQgcGF0aWVudHMsIElBY2MgZXhwbGFpbmVkIGFkZGl0aW9uYWwgdmFyaWFuY2UgaW4gUFVzIHdoZW4gY29udHJvbGxpbmcgZm9yIHRpYyBzZXZlcml0eS4gTXVzY3VsYXIgSUFjYyBpbiBURCBwYXRpZW50cyBpcyByZWxhdGVkIHRvIHVyZ2VzIGFuZCB0aWNzLCBidXQgdGhlIGRpcmVjdGlvbiBvZiB0aGlzIGFzc29jaWF0aW9uIGlzIHVuY2xlYXIuIElBY2MgaXMgbG93ZXIgaW4gVEQgcGF0aWVudHMgdGhhbiBpbiBIQ3MsIGluZGljYXRpbmcgaW1wcmVjaXNlIHNlbnNvcnkgaW5wdXQgd2hpY2ggaXMgbW9yZSBlYXNpbHkgb3ZlcmNvbWUgYnkgcHJpb3JzIHdpdGhpbiB0aGUgcHJlZGljdGl2ZSBjb2RpbmcgZnJhbWV3b3JrLiBDT05DTFVTSU9OUzogTXVzY2xlIHRlbnNpb24gZmVlZGJhY2sgdGFza3MgY291bGQgZXh0ZW5kIGludGVyb2NlcHRpdmUgdHJhaW5pbmdzIGFpbWVkIGF0IGltcHJvdmluZyBJQWNjIHRvIGltcHJvdmUgYWNjdXJhY3kgb2YgdXJnZSBwZXJjZXB0aW9uIChtb3JlIHByZWNpc2Ugc2Vuc29yeSBpbnB1dCkgdG8gZm9zdGVyIHRoZSBhYmlsaXR5IHRvIGNvbnRyb2wgdGljcyB2aWEgSFJULiBMb25naXR1ZGluYWwgc3R1ZGllcyBjb3VsZCBwcm92aWRlIGZ1cnRoZXIgaW5zaWdodHMgaW4gY2F1c2FsIHJlbGF0aW9uc2hpcHMgYmV0d2VlbiBJQWNjLCBwcmVtb25pdG9yeSB1cmdlcyBhbmQgdGljcy4iLCJpc3N1ZSI6IjEiLCJ2b2x1bWUiOiI1IiwiY29udGFpbmVyLXRpdGxlLXNob3J0IjoiIn0sImlzVGVtcG9yYXJ5IjpmYWxzZX1dfQ=="/>
                <w:id w:val="-1751416176"/>
                <w:placeholder>
                  <w:docPart w:val="DefaultPlaceholder_-1854013440"/>
                </w:placeholder>
              </w:sdtPr>
              <w:sdtContent>
                <w:r w:rsidR="00F04E9F" w:rsidRPr="00F04E9F">
                  <w:rPr>
                    <w:rFonts w:cs="Times New Roman"/>
                    <w:color w:val="000000"/>
                    <w:sz w:val="16"/>
                    <w:szCs w:val="16"/>
                  </w:rPr>
                  <w:t>(13–21)</w:t>
                </w:r>
              </w:sdtContent>
            </w:sdt>
          </w:p>
        </w:tc>
        <w:tc>
          <w:tcPr>
            <w:tcW w:w="0" w:type="auto"/>
            <w:shd w:val="clear" w:color="auto" w:fill="FFFFFF"/>
            <w:hideMark/>
          </w:tcPr>
          <w:p w14:paraId="7A6DC175" w14:textId="2D04B8AE" w:rsidR="00986E35" w:rsidRPr="008A1F40" w:rsidRDefault="00986E35" w:rsidP="007F77D2">
            <w:pPr>
              <w:rPr>
                <w:rFonts w:cs="Times New Roman"/>
                <w:color w:val="000000" w:themeColor="text1"/>
                <w:sz w:val="16"/>
                <w:szCs w:val="16"/>
                <w:shd w:val="clear" w:color="auto" w:fill="FFFFFF"/>
              </w:rPr>
            </w:pPr>
            <w:r w:rsidRPr="008A1F40">
              <w:rPr>
                <w:rFonts w:cs="Times New Roman"/>
                <w:sz w:val="16"/>
                <w:szCs w:val="16"/>
              </w:rPr>
              <w:t>Internal consistency (Cronbach’s alpha) for 9-item PUTS or 10-item PUTS –</w:t>
            </w:r>
            <w:r w:rsidR="00F04E9F">
              <w:rPr>
                <w:rFonts w:cs="Times New Roman"/>
                <w:sz w:val="16"/>
                <w:szCs w:val="16"/>
              </w:rPr>
              <w:t xml:space="preserve"> these studies did</w:t>
            </w:r>
            <w:r w:rsidRPr="008A1F40">
              <w:rPr>
                <w:rFonts w:cs="Times New Roman"/>
                <w:sz w:val="16"/>
                <w:szCs w:val="16"/>
              </w:rPr>
              <w:t xml:space="preserve"> no</w:t>
            </w:r>
            <w:r w:rsidR="00F04E9F">
              <w:rPr>
                <w:rFonts w:cs="Times New Roman"/>
                <w:sz w:val="16"/>
                <w:szCs w:val="16"/>
              </w:rPr>
              <w:t xml:space="preserve">t provide a </w:t>
            </w:r>
            <w:r w:rsidRPr="008A1F40">
              <w:rPr>
                <w:rFonts w:cs="Times New Roman"/>
                <w:sz w:val="16"/>
                <w:szCs w:val="16"/>
              </w:rPr>
              <w:t>breakdown of internal consistency by age or comorbidity status</w:t>
            </w:r>
            <w:r w:rsidR="00F04E9F">
              <w:rPr>
                <w:rFonts w:cs="Times New Roman"/>
                <w:sz w:val="16"/>
                <w:szCs w:val="16"/>
              </w:rPr>
              <w:t>, and thus are grouped in a single row</w:t>
            </w:r>
          </w:p>
        </w:tc>
        <w:tc>
          <w:tcPr>
            <w:tcW w:w="0" w:type="auto"/>
            <w:shd w:val="clear" w:color="auto" w:fill="FFFFFF"/>
            <w:hideMark/>
          </w:tcPr>
          <w:p w14:paraId="5FA3A568" w14:textId="5A3AC893"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 xml:space="preserve">Children, adults or both children and adults with TS or CTDs </w:t>
            </w:r>
            <w:r w:rsidR="00F04E9F">
              <w:rPr>
                <w:rFonts w:cs="Times New Roman"/>
                <w:color w:val="000000" w:themeColor="text1"/>
                <w:sz w:val="16"/>
                <w:szCs w:val="16"/>
                <w:shd w:val="clear" w:color="auto" w:fill="FFFFFF"/>
              </w:rPr>
              <w:t>(sample size ranged from 28 to 206)</w:t>
            </w:r>
          </w:p>
        </w:tc>
        <w:tc>
          <w:tcPr>
            <w:tcW w:w="0" w:type="auto"/>
            <w:shd w:val="clear" w:color="auto" w:fill="FFFFFF"/>
            <w:hideMark/>
          </w:tcPr>
          <w:p w14:paraId="240D6305" w14:textId="2A7706B6" w:rsidR="00986E35" w:rsidRPr="008A1F40" w:rsidRDefault="00986E35" w:rsidP="007F77D2">
            <w:pPr>
              <w:rPr>
                <w:rFonts w:eastAsia="Times New Roman" w:cs="Times New Roman"/>
                <w:color w:val="000000" w:themeColor="text1"/>
                <w:sz w:val="16"/>
                <w:szCs w:val="16"/>
              </w:rPr>
            </w:pPr>
            <w:r w:rsidRPr="008A1F40">
              <w:rPr>
                <w:rFonts w:cs="Times New Roman"/>
                <w:color w:val="000000"/>
                <w:sz w:val="16"/>
                <w:szCs w:val="16"/>
              </w:rPr>
              <w:t xml:space="preserve">α ranged from 0.71 </w:t>
            </w:r>
            <w:r w:rsidRPr="008A1F40">
              <w:rPr>
                <w:rFonts w:eastAsia="Times New Roman" w:cs="Times New Roman"/>
                <w:color w:val="000000" w:themeColor="text1"/>
                <w:sz w:val="16"/>
                <w:szCs w:val="16"/>
              </w:rPr>
              <w:t>(for the 10-item PUTS, 0.75 for the 9-item PUTS in this study</w:t>
            </w:r>
            <w:r w:rsidR="00F04E9F">
              <w:rPr>
                <w:rFonts w:cs="Times New Roman"/>
                <w:color w:val="202122"/>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MGJiZDRmMWMtYjNlNS00NjYzLTk3MzAtOGYyMTM0YjhkMmFhIiwicHJvcGVydGllcyI6eyJub3RlSW5kZXgiOjB9LCJpc0VkaXRlZCI6ZmFsc2UsIm1hbnVhbE92ZXJyaWRlIjp7ImlzTWFudWFsbHlPdmVycmlkZGVuIjpmYWxzZSwiY2l0ZXByb2NUZXh0IjoiKDIxKSIsIm1hbnVhbE92ZXJyaWRlVGV4dCI6IiJ9LCJjaXRhdGlvbkl0ZW1zIjpbeyJpZCI6ImJiZjU0YzM4LTdlZjUtMzVmOS1hZmY2LTFjOGUwZjAyMWZhYSIsIml0ZW1EYXRhIjp7InR5cGUiOiJhcnRpY2xlLWpvdXJuYWwiLCJpZCI6ImJiZjU0YzM4LTdlZjUtMzVmOS1hZmY2LTFjOGUwZjAyMWZhYSIsInRpdGxlIjoiSW50ZXJvY2VwdGlvbiBhbmQgUHJlbW9uaXRvcnkgVXJnZXMgaW4gQ2hpbGRyZW4gYW5kIEFkb2xlc2NlbnRzIFdpdGggVGljIERpc29yZGVycyIsImdyb3VwSWQiOiIwN2Q2MmFjMS01YWE4LTM5YWYtYjQ5ZS01MmQyMDg4YWM1NzEiLCJhdXRob3IiOlt7ImZhbWlseSI6IlNjaMO8dHRlbGVyIiwiZ2l2ZW4iOiJDIiwicGFyc2UtbmFtZXMiOmZhbHNlLCJkcm9wcGluZy1wYXJ0aWNsZSI6IiIsIm5vbi1kcm9wcGluZy1wYXJ0aWNsZSI6IiJ9LHsiZmFtaWx5IjoiV29pdGVja2kiLCJnaXZlbiI6IksiLCJwYXJzZS1uYW1lcyI6ZmFsc2UsImRyb3BwaW5nLXBhcnRpY2xlIjoiIiwibm9uLWRyb3BwaW5nLXBhcnRpY2xlIjoiIn0seyJmYW1pbHkiOiJEw7ZwZm5lciIsImdpdmVuIjoiTSIsInBhcnNlLW5hbWVzIjpmYWxzZSwiZHJvcHBpbmctcGFydGljbGUiOiIiLCJub24tZHJvcHBpbmctcGFydGljbGUiOiIifSx7ImZhbWlseSI6IkdlcmxhY2giLCJnaXZlbiI6IkEgTCIsInBhcnNlLW5hbWVzIjpmYWxzZSwiZHJvcHBpbmctcGFydGljbGUiOiIiLCJub24tZHJvcHBpbmctcGFydGljbGUiOiIifV0sImNvbnRhaW5lci10aXRsZSI6IkNsaW4gUHN5Y2hvbCBFdXIiLCJET0kiOiIxMC4zMjg3Mi9jcGUuODE4NSIsIlBNSUQiOiIzNzA2NTAwMCIsImlzc3VlZCI6eyJkYXRlLXBhcnRzIjpbWzIwMjNdXX0sInBhZ2UiOiJlODE4NS0iLCJhYnN0cmFjdCI6IkJBQ0tHUk9VTkQ6IENvbXBhcmVkIHRvIGhlYWx0aHkgY29udHJvbHMgKEhDcyksIGFkdWx0IFRpYyBEaXNvcmRlciAoVEQpIHBhdGllbnRzIGV4aGliaXQgYSBsb3dlciBpbnRlcm9jZXB0aXZlIGFjY3VyYWN5IChJQWNjKSBpbiBoZWFydGJlYXQgcGVyY2VwdGlvbi4gU2luY2UgdGhlIGxvd2VyIElBY2MgaXMgbm90IGV2aWRlbnQgaW4gY2hpbGRyZW4sIHRoZSBhZ2UgYXQgd2hpY2ggdGljcyBkZXZlbG9wLCBidXQgaW4gYWR1bHRzIG9ubHkgKFBpbGUgZXQgYWwuLCAyMDE4LCBodHRwczovL2RvaS5vcmcvMTAuMTAwNy9zMTA4MDMtMDE4LTM2MDgtOCksIGxvd2VyIElBY2MgbWF5IHJlZmxlY3QgYSBwYXRob2xvZ2ljYWwgbWVjaGFuaXNtIHJlbGV2YW50IHdpdGggcmVnYXJkIHRvIHRpY3MsIHByZW1vbml0b3J5IHVyZ2VzIChQVXMpIG9yIHRoZSByZXN1bHRpbmcgaW1wYWlybWVudC4gQWx0aG91Z2ggdGljcyBhcmUgYSBtb3RvciBwaGVub21lbm9uLCB1cCB0byBkYXRlLCBJQWNjIGhhcyBiZWVuIGFzc2Vzc2VkIG9ubHkgd2l0aCBhIGhlYXJ0YmVhdC1jb3VudGluZyB0YXNrLiBUaGlzIHN0dWR5IGFpbXMgYXQgY29tcGFyaW5nIGNhcmRpYWMgYW5kIG11c2N1bGFyIElBY2MgdXNpbmcgdHdvIGRpZmZlcmVudCBwYXJhZGlnbXMgYW5kIGludmVzdGlnYXRlcyBob3cgSUFjYyBpcyByZWxhdGVkIHRvIHByZW1vbml0b3J5IHVyZ2VzIGluIHlvdXRoLiBNRVRIT0Q6IEludGVyb2NlcHRpdmUgbWVhc3VyZXMgKGhlYXJ0YmVhdC1jb3VudGluZyB0YXNrLCBtdXNjbGUgdGVuc2lvbiBwYXJhZGlnbSkgb2YgMjggeW91dGggd2l0aCBURCB3ZXJlIGNvbXBhcmVkIHRvIDIzIGNvbnRyb2wgcGFydGljaXBhbnRzIGFuZCByZWxhdGVkIHRvIHNlbGYtcmF0ZWQgcHJlbW9uaXRvcnkgdXJnZXMgYW5kIHRpYyBzeW1wdG9tcy4gUkVTVUxUUzogVEQgcGF0aWVudHMgZGlkIG5vdCBkaWZmZXIgZnJvbSBIQ3MgaW4gYW55IElBY2MgbWVhc3VyZXMuIEhvd2V2ZXIsIHdpdGhpbiBURCBwYXRpZW50cywgSUFjYyBleHBsYWluZWQgYWRkaXRpb25hbCB2YXJpYW5jZSBpbiBQVXMgd2hlbiBjb250cm9sbGluZyBmb3IgdGljIHNldmVyaXR5LiBNdXNjdWxhciBJQWNjIGluIFREIHBhdGllbnRzIGlzIHJlbGF0ZWQgdG8gdXJnZXMgYW5kIHRpY3MsIGJ1dCB0aGUgZGlyZWN0aW9uIG9mIHRoaXMgYXNzb2NpYXRpb24gaXMgdW5jbGVhci4gSUFjYyBpcyBsb3dlciBpbiBURCBwYXRpZW50cyB0aGFuIGluIEhDcywgaW5kaWNhdGluZyBpbXByZWNpc2Ugc2Vuc29yeSBpbnB1dCB3aGljaCBpcyBtb3JlIGVhc2lseSBvdmVyY29tZSBieSBwcmlvcnMgd2l0aGluIHRoZSBwcmVkaWN0aXZlIGNvZGluZyBmcmFtZXdvcmsuIENPTkNMVVNJT05TOiBNdXNjbGUgdGVuc2lvbiBmZWVkYmFjayB0YXNrcyBjb3VsZCBleHRlbmQgaW50ZXJvY2VwdGl2ZSB0cmFpbmluZ3MgYWltZWQgYXQgaW1wcm92aW5nIElBY2MgdG8gaW1wcm92ZSBhY2N1cmFjeSBvZiB1cmdlIHBlcmNlcHRpb24gKG1vcmUgcHJlY2lzZSBzZW5zb3J5IGlucHV0KSB0byBmb3N0ZXIgdGhlIGFiaWxpdHkgdG8gY29udHJvbCB0aWNzIHZpYSBIUlQuIExvbmdpdHVkaW5hbCBzdHVkaWVzIGNvdWxkIHByb3ZpZGUgZnVydGhlciBpbnNpZ2h0cyBpbiBjYXVzYWwgcmVsYXRpb25zaGlwcyBiZXR3ZWVuIElBY2MsIHByZW1vbml0b3J5IHVyZ2VzIGFuZCB0aWNzLiIsImlzc3VlIjoiMSIsInZvbHVtZSI6IjUiLCJjb250YWluZXItdGl0bGUtc2hvcnQiOiIifSwiaXNUZW1wb3JhcnkiOmZhbHNlfV19"/>
                <w:id w:val="-1756350823"/>
                <w:placeholder>
                  <w:docPart w:val="DefaultPlaceholder_-1854013440"/>
                </w:placeholder>
              </w:sdtPr>
              <w:sdtContent>
                <w:r w:rsidR="00F04E9F" w:rsidRPr="00F04E9F">
                  <w:rPr>
                    <w:rFonts w:cs="Times New Roman"/>
                    <w:color w:val="000000"/>
                    <w:sz w:val="16"/>
                    <w:szCs w:val="16"/>
                    <w:shd w:val="clear" w:color="auto" w:fill="FFFFFF"/>
                  </w:rPr>
                  <w:t>(21)</w:t>
                </w:r>
              </w:sdtContent>
            </w:sdt>
            <w:r w:rsidRPr="008A1F40">
              <w:rPr>
                <w:rFonts w:cs="Times New Roman"/>
                <w:sz w:val="16"/>
                <w:szCs w:val="16"/>
              </w:rPr>
              <w:t>) to 0.85</w:t>
            </w:r>
            <w:r w:rsidR="00F04E9F">
              <w:rPr>
                <w:rFonts w:cs="Times New Roman"/>
                <w:sz w:val="16"/>
                <w:szCs w:val="16"/>
              </w:rPr>
              <w:t xml:space="preserve"> </w:t>
            </w:r>
            <w:sdt>
              <w:sdtPr>
                <w:rPr>
                  <w:rFonts w:cs="Times New Roman"/>
                  <w:color w:val="000000"/>
                  <w:sz w:val="16"/>
                  <w:szCs w:val="16"/>
                </w:rPr>
                <w:tag w:val="MENDELEY_CITATION_v3_eyJjaXRhdGlvbklEIjoiTUVOREVMRVlfQ0lUQVRJT05fZmFiODdmY2YtNDU0My00ZjJkLTkzMGUtNTlhNWQ3MTM1NDk4IiwicHJvcGVydGllcyI6eyJub3RlSW5kZXgiOjB9LCJpc0VkaXRlZCI6ZmFsc2UsIm1hbnVhbE92ZXJyaWRlIjp7ImlzTWFudWFsbHlPdmVycmlkZGVuIjpmYWxzZSwiY2l0ZXByb2NUZXh0IjoiKDEzLDE5KSIsIm1hbnVhbE92ZXJyaWRlVGV4dCI6IiJ9LCJjaXRhdGlvbkl0ZW1zIjpbeyJpZCI6ImEyY2E5NWYxLWZhNWYtM2M0ZC05ZTJkLWM3YzM4OWE5YzQ5MSIsIml0ZW1EYXRhIjp7InR5cGUiOiJhcnRpY2xlLWpvdXJuYWwiLCJpZCI6ImEyY2E5NWYxLWZhNWYtM2M0ZC05ZTJkLWM3YzM4OWE5YzQ5MSIsInRpdGxlIjoiUHJlbW9uaXRvcnkgdXJnZXMgZm9yIHRpY3MgaW4gYWR1bHQgcGF0aWVudHMgd2l0aCBUb3VyZXR0ZSBzeW5kcm9tZSIsImdyb3VwSWQiOiIwN2Q2MmFjMS01YWE4LTM5YWYtYjQ5ZS01MmQyMDg4YWM1NzEiLCJhdXRob3IiOlt7ImZhbWlseSI6IkNyb3NzbGV5IiwiZ2l2ZW4iOiJFIiwicGFyc2UtbmFtZXMiOmZhbHNlLCJkcm9wcGluZy1wYXJ0aWNsZSI6IiIsIm5vbi1kcm9wcGluZy1wYXJ0aWNsZSI6IiJ9LHsiZmFtaWx5IjoiU2VyaSIsImdpdmVuIjoiUyIsInBhcnNlLW5hbWVzIjpmYWxzZSwiZHJvcHBpbmctcGFydGljbGUiOiIiLCJub24tZHJvcHBpbmctcGFydGljbGUiOiIifSx7ImZhbWlseSI6IlN0ZXJuIiwiZ2l2ZW4iOiJKIFMiLCJwYXJzZS1uYW1lcyI6ZmFsc2UsImRyb3BwaW5nLXBhcnRpY2xlIjoiIiwibm9uLWRyb3BwaW5nLXBhcnRpY2xlIjoiIn0seyJmYW1pbHkiOiJSb2JlcnRzb24iLCJnaXZlbiI6Ik0gTSIsInBhcnNlLW5hbWVzIjpmYWxzZSwiZHJvcHBpbmctcGFydGljbGUiOiIiLCJub24tZHJvcHBpbmctcGFydGljbGUiOiIifSx7ImZhbWlseSI6IkNhdmFubmEiLCJnaXZlbiI6IkEgRSIsInBhcnNlLW5hbWVzIjpmYWxzZSwiZHJvcHBpbmctcGFydGljbGUiOiIiLCJub24tZHJvcHBpbmctcGFydGljbGUiOiIifV0sImNvbnRhaW5lci10aXRsZSI6IkJyYWluIERldiIsIkRPSSI6IjEwLjEwMTYvai5icmFpbmRldi4yMDEyLjEyLjAxMCIsIlBNSUQiOiIyMzM2OTgzMCIsIlVSTCI6Imh0dHBzOi8vd3d3LmJyYWluYW5kZGV2ZWxvcG1lbnQuY29tL2FydGljbGUvUzAzODctNzYwNCgxMykwMDAwMi04L2Z1bGx0ZXh0IiwiaXNzdWVkIjp7ImRhdGUtcGFydHMiOltbMjAxNF1dfSwicGFnZSI6IjQ1LTUwIiwiYWJzdHJhY3QiOiJPQkpFQ1RJVkU6IFBhdGllbnRzIHdpdGggVG91cmV0dGUgc3luZHJvbWUgKFRTKSBvZnRlbiByZXBvcnQgY2hhcmFjdGVyaXN0aWMgc2Vuc29yeSBleHBlcmllbmNlcywgYWxzbyBjYWxsZWQgcHJlbW9uaXRvcnkgdXJnZXMgKFBVcyksIHdoaWNoIHByZWNlZGUgdGljIGV4cHJlc3Npb24gYW5kIGhhdmUgaGlnaCBkaWFnbm9zdGljIHJlbGV2YW5jZS4gVGhpcyBzdHVkeSBpbnZlc3RpZ2F0ZWQgdGhlIHVzZWZ1bG5lc3Mgb2YgYSBzY2FsZSBkZXZlbG9wZWQgYW5kIHZhbGlkYXRlZCBpbiBjaGlsZHJlbiBhbmQgYWRvbGVzY2VudHMtdGhlIFByZW1vbml0b3J5IFVyZ2UgZm9yIFRpY3MgU2NhbGUgKFBVVFMsIFdvb2RzIGV0IGFsLiwgMjAwNSBbMTNdKS1mb3IgdGhlIGFzc2Vzc21lbnQgb2YgUFVzIGluIGFkdWx0IHBhdGllbnRzIHdpdGggVFMuIE1FVEhPRDogU3RhbmRhcmQgc3RhdGlzdGljYWwgbWV0aG9kcyB3ZXJlIGFwcGxpZWQgdG8gdGVzdCB0aGUgcHN5Y2hvbWV0cmljIHByb3BlcnRpZXMgb2YgdGhlIFBVVFMgaW4gMTAyIGFkdWx0IFRTIG91dHBhdGllbnRzIHJlY3J1aXRlZCBmcm9tIHR3byBzcGVjaWFsaXN0IGNsaW5pY3MgaW4gdGhlIFVuaXRlZCBLaW5nZG9tLiBSRVNVTFRTOiBUaGUgUFVUUyBzaG93ZWQgZ29vZCBhY2NlcHRhYmlsaXR5IGFuZCBlbmRvcnNlbWVudCByYXRlcywgd2l0aCBldmVubHkgZGlzdHJpYnV0ZWQgc2NvcmVzIGFuZCBsb3cgZmxvb3IgYW5kIGNlaWxpbmcgZWZmZWN0cy4gSXRlbS10b3RhbCBjb3JyZWxhdGlvbnMgd2VyZSBtb2RlcmF0ZSB0byBzdHJvbmc7IFBVVFMgdG90YWwgc2NvcmVzIHdlcmUgc2lnbmlmaWNhbnRseSBjb3JyZWxhdGVkIHdpdGggcXVhbnRpdGF0aXZlIG1lYXN1cmVzIG9mIFRTIHNldmVyaXR5LiBUaGUgUFVUUyBzaG93ZWQgZXhjZWxsZW50IGludGVybmFsIGNvbnNpc3RlbmN5IHJlbGlhYmlsaXR5IChDcm9uYmFjaCdzIGFscGhhPTAuODUpIGFuZCBTcGVhcm1hbidzIGNvcnJlbGF0aW9ucyBkZW1vbnN0cmF0ZWQgc2F0aXNmYWN0b3J5IGNvbnZlcmdlbnQgYW5kIGRpc2NyaW1pbmFudCB2YWxpZGl0eS4gQ09OQ0xVU0lPTlM6IEFsdGhvdWdoIG9yaWdpbmFsbHkgZGV2aXNlZCB0byBhc3Nlc3MgdXJnZXMgdG8gdGljIGluIHlvdW5nIHBhdGllbnRzIHdpdGggVFMsIHRoZSBQVVRTIGRlbW9uc3RyYXRlZCBnb29kIHBzeWNob21ldHJpYyBwcm9wZXJ0aWVzIGluIGEgbGFyZ2Ugc2FtcGxlIG9mIGFkdWx0cyByZWNydWl0ZWQgYXQgc3BlY2lhbGlzdCBUUyBjbGluaWNzLiBUaGlzIGluc3RydW1lbnQgaXMgdGhlcmVmb3JlIHJlY29tbWVuZGVkIGZvciB1c2UgYWNyb3NzIHRoZSBsaWZlIHNwYW4gYXMgYSB2YWxpZCBhbmQgcmVsaWFibGUgc2VsZi1yZXBvcnQgbWVhc3VyZSBvZiBzZW5zb3J5IGV4cGVyaWVuY2VzIGFjY29tcGFueWluZyB0aWMgZXhwcmVzc2lvbi4iLCJpc3N1ZSI6IjEiLCJ2b2x1bWUiOiIzNiIsImNvbnRhaW5lci10aXRsZS1zaG9ydCI6IiJ9LCJpc1RlbXBvcmFyeSI6ZmFsc2V9LHsiaWQiOiIxZWVlNjBhNi1kZWIxLTM1NWMtOGE2Yy04Mjc2NmQ4NzMwNzYiLCJpdGVtRGF0YSI6eyJ0eXBlIjoiYXJ0aWNsZS1qb3VybmFsIiwiaWQiOiIxZWVlNjBhNi1kZWIxLTM1NWMtOGE2Yy04Mjc2NmQ4NzMwNzYiLCJ0aXRsZSI6IlBlZXIgdmljdGltaXphdGlvbiBpbiB5b3V0aCB3aXRoIFRvdXJldHRlIHN5bmRyb21lIGFuZCBvdGhlciBjaHJvbmljIHRpYyBkaXNvcmRlcnMiLCJncm91cElkIjoiMDdkNjJhYzEtNWFhOC0zOWFmLWI0OWUtNTJkMjA4OGFjNTcxIiwiYXV0aG9yIjpbeyJmYW1pbHkiOiJaaW5uZXIiLCJnaXZlbiI6IlMgSCIsInBhcnNlLW5hbWVzIjpmYWxzZSwiZHJvcHBpbmctcGFydGljbGUiOiIiLCJub24tZHJvcHBpbmctcGFydGljbGUiOiIifSx7ImZhbWlseSI6IkNvbmVsZWEiLCJnaXZlbiI6IkMgQSIsInBhcnNlLW5hbWVzIjpmYWxzZSwiZHJvcHBpbmctcGFydGljbGUiOiIiLCJub24tZHJvcHBpbmctcGFydGljbGUiOiIifSx7ImZhbWlseSI6IkdsZXciLCJnaXZlbiI6IkcgTSIsInBhcnNlLW5hbWVzIjpmYWxzZSwiZHJvcHBpbmctcGFydGljbGUiOiIiLCJub24tZHJvcHBpbmctcGFydGljbGUiOiIifSx7ImZhbWlseSI6Ildvb2RzIiwiZ2l2ZW4iOiJEIFciLCJwYXJzZS1uYW1lcyI6ZmFsc2UsImRyb3BwaW5nLXBhcnRpY2xlIjoiIiwibm9uLWRyb3BwaW5nLXBhcnRpY2xlIjoiIn0seyJmYW1pbHkiOiJCdWRtYW4iLCJnaXZlbiI6IkMgTCIsInBhcnNlLW5hbWVzIjpmYWxzZSwiZHJvcHBpbmctcGFydGljbGUiOiIiLCJub24tZHJvcHBpbmctcGFydGljbGUiOiIifV0sImNvbnRhaW5lci10aXRsZSI6IkNoaWxkIHBzeWNoaWF0cnkgYW5kIGh1bWFuIGRldmVsb3BtZW50IiwiY29udGFpbmVyLXRpdGxlLXNob3J0IjoiQ2hpbGQgUHN5Y2hpYXRyeSBIdW0gRGV2IiwiRE9JIjoiaHR0cHM6Ly9keC5kb2kub3JnLzEwLjEwMDcvczEwNTc4LTAxMS0wMjQ5LXkiLCJVUkwiOiJodHRwOi8vb3ZpZHNwLm92aWQuY29tL292aWR3ZWIuY2dpP1Q9SlMmUEFHRT1yZWZlcmVuY2UmRD1lbWVkMTMmTkVXUz1OJkFOPTM2NDkzODE2MiIsImlzc3VlZCI6eyJkYXRlLXBhcnRzIjpbWzIwMTJdXX0sInBhZ2UiOiIxMjQtMTM2IiwiYWJzdHJhY3QiOiJDaHJvbmljIHRpYyBkaXNvcmRlcnMgaW5jbHVkaW5nIFRvdXJldHRlIHN5bmRyb21lIGhhdmUgbmVnYXRpdmUgaW1wYWN0IGFjcm9zcyBtdWx0aXBsZSBmdW5jdGlvbmFsIGRvbWFpbnMuIFdlIGV4cGxvcmVkIGFzc29jaWF0aW9ucyBiZXR3ZWVuIHBlZXIgdmljdGltaXphdGlvbiBzdGF0dXMgYW5kIHRpYyBzdWJ0eXBlcywgcHJlbW9uaXRvcnkgdXJnZXMsIGludGVybmFsaXppbmcgc3ltcHRvbXMsIGV4cGxvc2l2ZSBvdXRidXJzdHMsIGFuZCBxdWFsaXR5IG9mIGxpZmUgYW1vbmcgeW91dGggd2l0aCBjaHJvbmljIHRpYyBkaXNvcmRlcnMsIGFzIHBhcnQgb2YgdGhlIGludGVybmV0LWJhc2VkIG9tbmlidXMgVG91cmV0dGUgU3luZHJvbWUgSW1wYWN0IFN1cnZleS4gQSBtaXhlZCBtZXRob2RzIGRlc2lnbiBjb21iaW5lZCBjaGlsZCBzZWxmLXJlcG9ydCBhbmQgcGFyZW50YWwgcHJveHktcmVwb3J0IChpLmUuLCBwYXJlbnQgcmVwb3J0aW5nIG9uIHRoZSBjaGlsZCkgZGVtb2dyYXBoaWMgYW5kIHF1YW50aXRhdGl2ZSBkYXRhIGZvciBhZmZlY3RlZCB5b3V0aCBhZ2VzIDEwLTE3IHllYXJzIGFkZHJlc3NpbmcgZ2VuZGVyLCBtZWFuIGFnZSwgZXRobmljaXR5IGFuZCBvdGhlciBzb2Npb2Vjb25vbWljIGZlYXR1cmVzLCBhbmQgcHJlc2VuY2Ugb2YgdGljIGRpc29yZGVycyBhbmQgY28tb2NjdXJyaW5nIHBzeWNoaWF0cmljIGRpc29yZGVycy4gUGVlciBcIlZpY3RpbVwiIHZlcnN1cyBcIk5vbi12aWN0aW1cIiBzdGF0dXMgd2FzIGRldGVybWluZWQgdXNpbmcgYSBzdWJzZXQgb2YgZm91ciBxdWVzdGlvbnMgYWJvdXQgYmVpbmcgYnVsbGllZC4gXCJWaWN0aW1cIiBzdGF0dXMgd2FzIGlkZW50aWZpZWQgZm9yIHRob3NlIHlvdXRoIHdobyBlbmRvcnNlZCB0aGUgZnJlcXVlbmN5IG9mIHRoZSBvY2N1cnJlbmNlIG9mIGJlaW5nIGJ1bGxpZWQgaW4gb25lIG9yIG1vcmUgb2YgdGhlIGZvdXIgcXVlc3Rpb25zIGFzIFwibW9zdCBvZiB0aGUgdGltZVwiIG9yIFwiYWxsIG9mIHRoZSB0aW1lXCIuIERhdGEgZnJvbSAyMTEgZWxpZ2libGUgeW91dGggcmVzcG9uZGVudHMgYW5kIHRoZWlyIHBhcmVudHMvZ3VhcmRpYW5zIHNob3dlZCAyNiUgcmVwb3J0aW5nIHBlZXIgdmljdGltaXphdGlvbi4gVmljdGltIHN0YXR1cyB3YXMgYXNzb2NpYXRlZCB3aXRoIGdyZWF0ZXIgdGljIGZyZXF1ZW5jeSwgY29tcGxleGl0eSBhbmQgc2V2ZXJpdHk7IGV4cGxvc2l2ZSBvdXRidXJzdHM7IGludGVybmFsaXppbmcgc3ltcHRvbXM7IGFuZCBsb3dlciBxdWFsaXR5IG9mIGxpZmUuIFBlZXIgdmljdGltaXphdGlvbiBhbW9uZyB5b3V0aCB3aXRoIGNocm9uaWMgdGljIGRpc29yZGVycyBpcyBjb21tb24gYW5kIGFwcGVhcnMgYXNzb2NpYXRlZCB3aXRoIHRpYyBtb3JiaWRpdHksIGFueGlldHksIGRlcHJlc3Npb24sIGV4cGxvc2l2ZSBvdXRidXJzdHMsIGFuZCBwb29yZXIgcHN5Y2hvc29jaWFsIGZ1bmN0aW9uaW5nLiBBbnRpY2lwYXRvcnkgZ3VpZGFuY2UsIHNwZWNpZmljIGJ1bGx5aW5nIHNjcmVlbmluZyBhbmQgcHJldmVudGlvbiwgYW5kIGZ1cnRoZXIgc3R1ZGllcyBhcmUgaW5kaWNhdGVkIGluIHRoaXMgcG9wdWxhdGlvbi4iLCJpc3N1ZSI6IjEiLCJ2b2x1bWUiOiI0MyJ9LCJpc1RlbXBvcmFyeSI6ZmFsc2V9XX0="/>
                <w:id w:val="33559009"/>
                <w:placeholder>
                  <w:docPart w:val="DefaultPlaceholder_-1854013440"/>
                </w:placeholder>
              </w:sdtPr>
              <w:sdtContent>
                <w:r w:rsidR="00CF213F" w:rsidRPr="00CF213F">
                  <w:rPr>
                    <w:rFonts w:cs="Times New Roman"/>
                    <w:color w:val="000000"/>
                    <w:sz w:val="16"/>
                    <w:szCs w:val="16"/>
                  </w:rPr>
                  <w:t>(13,19)</w:t>
                </w:r>
              </w:sdtContent>
            </w:sdt>
            <w:r w:rsidR="00F04E9F">
              <w:rPr>
                <w:rFonts w:cs="Times New Roman"/>
                <w:color w:val="000000"/>
                <w:sz w:val="16"/>
                <w:szCs w:val="16"/>
              </w:rPr>
              <w:t>)</w:t>
            </w:r>
          </w:p>
        </w:tc>
      </w:tr>
      <w:tr w:rsidR="00F04E9F" w:rsidRPr="008A1F40" w14:paraId="08AD55CD" w14:textId="77777777" w:rsidTr="007F77D2">
        <w:trPr>
          <w:tblCellSpacing w:w="15" w:type="dxa"/>
        </w:trPr>
        <w:tc>
          <w:tcPr>
            <w:tcW w:w="0" w:type="auto"/>
            <w:shd w:val="clear" w:color="auto" w:fill="FFFFFF"/>
          </w:tcPr>
          <w:p w14:paraId="7F190936" w14:textId="1A885E89" w:rsidR="00986E35" w:rsidRPr="008A1F40" w:rsidRDefault="00986E35" w:rsidP="007F77D2">
            <w:pPr>
              <w:rPr>
                <w:rFonts w:cs="Times New Roman"/>
                <w:sz w:val="16"/>
                <w:szCs w:val="16"/>
              </w:rPr>
            </w:pPr>
            <w:r w:rsidRPr="008A1F40">
              <w:rPr>
                <w:rFonts w:cs="Times New Roman"/>
                <w:sz w:val="16"/>
                <w:szCs w:val="16"/>
              </w:rPr>
              <w:t xml:space="preserve">Kim et al </w:t>
            </w:r>
            <w:r w:rsidR="0091590F">
              <w:rPr>
                <w:rFonts w:cs="Times New Roman"/>
                <w:sz w:val="16"/>
                <w:szCs w:val="16"/>
              </w:rPr>
              <w:t>(</w:t>
            </w:r>
            <w:r w:rsidRPr="008A1F40">
              <w:rPr>
                <w:rFonts w:cs="Times New Roman"/>
                <w:sz w:val="16"/>
                <w:szCs w:val="16"/>
              </w:rPr>
              <w:t>2020</w:t>
            </w:r>
            <w:r w:rsidR="0091590F">
              <w:rPr>
                <w:rFonts w:cs="Times New Roman"/>
                <w:sz w:val="16"/>
                <w:szCs w:val="16"/>
              </w:rPr>
              <w:t>)</w:t>
            </w:r>
            <w:r w:rsidR="0067010F">
              <w:rPr>
                <w:rFonts w:cs="Times New Roman"/>
                <w:sz w:val="16"/>
                <w:szCs w:val="16"/>
              </w:rPr>
              <w:t xml:space="preserve"> </w:t>
            </w:r>
            <w:sdt>
              <w:sdtPr>
                <w:rPr>
                  <w:rFonts w:cs="Times New Roman"/>
                  <w:color w:val="000000"/>
                  <w:sz w:val="16"/>
                  <w:szCs w:val="16"/>
                </w:rPr>
                <w:tag w:val="MENDELEY_CITATION_v3_eyJjaXRhdGlvbklEIjoiTUVOREVMRVlfQ0lUQVRJT05fN2NlYmRhNGYtOTBjYS00ZjRhLTk1ODAtN2NlM2U2YzFhMzU5IiwicHJvcGVydGllcyI6eyJub3RlSW5kZXgiOjB9LCJpc0VkaXRlZCI6ZmFsc2UsIm1hbnVhbE92ZXJyaWRlIjp7ImlzTWFudWFsbHlPdmVycmlkZGVuIjpmYWxzZSwiY2l0ZXByb2NUZXh0IjoiKDE4KSIsIm1hbnVhbE92ZXJyaWRlVGV4dCI6IiJ9LCJjaXRhdGlvbkl0ZW1zIjpbeyJpZCI6ImJkZjkyYTRmLWRmZjMtMzNiYS1hZjNmLWY2MmIxYjIxOTgxZiIsIml0ZW1EYXRhIjp7InR5cGUiOiJhcnRpY2xlLWpvdXJuYWwiLCJpZCI6ImJkZjkyYTRmLWRmZjMtMzNiYS1hZjNmLWY2MmIxYjIxOTgxZiIsInRpdGxlIjoiRGV2ZWxvcG1lbnQgb2YgdGhlIEtvcmVhbiBGb3JtIG9mIHRoZSBQcmVtb25pdG9yeSBVcmdlIGZvciBUaWNzIFNjYWxlOiBBIFJlbGlhYmlsaXR5IGFuZCBWYWxpZGl0eSBTdHVkeSIsImdyb3VwSWQiOiIwN2Q2MmFjMS01YWE4LTM5YWYtYjQ5ZS01MmQyMDg4YWM1NzEiLCJhdXRob3IiOlt7ImZhbWlseSI6IktpbSIsImdpdmVuIjoiTSIsInBhcnNlLW5hbWVzIjpmYWxzZSwiZHJvcHBpbmctcGFydGljbGUiOiIiLCJub24tZHJvcHBpbmctcGFydGljbGUiOiIifSx7ImZhbWlseSI6IkNodW5nIiwiZ2l2ZW4iOiJTIEsiLCJwYXJzZS1uYW1lcyI6ZmFsc2UsImRyb3BwaW5nLXBhcnRpY2xlIjoiIiwibm9uLWRyb3BwaW5nLXBhcnRpY2xlIjoiIn0seyJmYW1pbHkiOiJZYW5nIiwiZ2l2ZW4iOiJKIEMiLCJwYXJzZS1uYW1lcyI6ZmFsc2UsImRyb3BwaW5nLXBhcnRpY2xlIjoiIiwibm9uLWRyb3BwaW5nLXBhcnRpY2xlIjoiIn0seyJmYW1pbHkiOiJQYXJrIiwiZ2l2ZW4iOiJKIEkiLCJwYXJzZS1uYW1lcyI6ZmFsc2UsImRyb3BwaW5nLXBhcnRpY2xlIjoiIiwibm9uLWRyb3BwaW5nLXBhcnRpY2xlIjoiIn0seyJmYW1pbHkiOiJOYW0iLCJnaXZlbiI6IlMgSCIsInBhcnNlLW5hbWVzIjpmYWxzZSwiZHJvcHBpbmctcGFydGljbGUiOiIiLCJub24tZHJvcHBpbmctcGFydGljbGUiOiIifSx7ImZhbWlseSI6IlBhcmsiLCJnaXZlbiI6IlQgVyIsInBhcnNlLW5hbWVzIjpmYWxzZSwiZHJvcHBpbmctcGFydGljbGUiOiIiLCJub24tZHJvcHBpbmctcGFydGljbGUiOiIifV0sImNvbnRhaW5lci10aXRsZSI6IlNvYSBDaG9uZ3NvbnlvbiBDaG9uZ3NpbiBVaWhhayIsIkRPSSI6IjEwLjU3NjUvamthY2FwLjIwMDAxMyIsIlBNSUQiOiIzMjY2NTc1OCIsIlVSTCI6Imh0dHBzOi8vd3d3Lm5jYmkubmxtLm5paC5nb3YvcG1jL2FydGljbGVzL1BNQzczNTA1NDUvcGRmL0pLQUNBUC0zMS0xNDYucGRmIiwiaXNzdWVkIjp7ImRhdGUtcGFydHMiOltbMjAyMF1dfSwicGFnZSI6IjE0Ni0xNTMiLCJhYnN0cmFjdCI6Ik9CSkVDVElWRVM6IFRoaXMgc3R1ZHkgYWltZWQgdG8gZXZhbHVhdGUgdGhlIHJlbGlhYmlsaXR5IGFuZCB2YWxpZGl0eSBvZiB0aGUgS29yZWFuIEZvcm0gb2YgdGhlIFByZW1vbml0b3J5IFVyZ2UgZm9yIFRpY3MgU2NhbGUgKEstUFVUUykuIE1FVEhPRFM6IFRoaXJ0eS1laWdodCBwYXRpZW50cyB3aXRoIFRvdXJldHRlJ3MgZGlzb3JkZXIgd2hvIHZpc2l0ZWQgSmVvbmJ1ayBOYXRpb25hbCBVbml2ZXJzaXR5IEhvc3BpdGFsIHdlcmUgYXNzZXNzZWQgd2l0aCB0aGUgSy1QVVRTLiBUb2dldGhlciB3aXRoIHRoZSBQVVRTLCB0aGUgWWFsZSBHbG9iYWwgVGljIFNldmVyaXR5IFNjYWxlIChZR1RTUyksIHRoZSBDaGlsZHJlbidzIFlhbGUtQnJvd24gT2JzZXNzaXZlIENvbXB1bHNpdmUgU2NhbGUgKENZLUJPQ1MpLCB0aGUgYXR0ZW50aW9uLWRlZmljaXQvaHlwZXJhY3Rpdml0eSBkaXNvcmRlciAoQURIRCkgcmF0aW5nIHNjYWxlIChBUlMpLCBhbmQgdGhlIEFkdWx0IEFESEQgU2VsZi1SZXBvcnQgU2NhbGUgKEFTUlMpIHdlcmUgaW1wbGVtZW50ZWQgdG8gZXZhbHVhdGUgY29uY3VycmVudCBhbmQgZGlzY3JpbWluYW50IHZhbGlkaXR5LiBSRVNVTFRTOiBUaGUgaW50ZXJuYWwgY29uc2lzdGVuY3kgb2YgaXRlbXMgb24gdGhlIFBVVFMgd2FzIGhpZ2gsIHdpdGggYSBDcm9uYmFjaCdzIM6xIG9mIDAuNzkuIFRoZSB0ZXN0LXJldGVzdCByZWxpYWJpbGl0eSBvZiB0aGUgUFVUUywgd2hpY2ggd2FzIGFkbWluaXN0ZXJlZCBhdCAyIHdlZWtzIHRvIDIgbW9udGhzIGludGVydmFscywgc2hvd2VkIGhpZ2ggcmVsaWFiaWxpdHkgd2l0aCBhIFBlYXJzb24gY29ycmVsYXRpb24gY29lZmZpY2llbnQgb2YgMC42MC4gVGhlcmUgd2FzIGEgc2lnbmlmaWNhbnQgcG9zaXRpdmUgY29ycmVsYXRpb24gYmV0d2VlbiB0aGUgb3ZlcmFsbCBQVVRTIHNjb3JlIGFuZCB0aGUgWUdUU1Mgc2NvcmUsIHNob3dpbmcgY29uY3VycmVudCB2YWxpZGl0eS4gVGhlcmUgd2FzIG5vIGNvcnJlbGF0aW9uIGJldHdlZW4gdGhlIFBVVFMsIENZLUJPQ1MsIGFuZCBBU1JTIHNjb3JlcywgZGVtb25zdHJhdGluZyB0aGUgZGlzY3JpbWluYW50IHZhbGlkaXR5IG9mIHRoZSBQVVRTLiBGYWN0b3IgYW5hbHlzaXMgZm9yIGNvbnN0cnVjdCB2YWxpZGl0eSByZXZlYWxlZCB0aHJlZSBmYWN0b3JzOiBcInByZXN1bWVkIGZ1bmN0aW9uYWwgcmVsYXRpb25zaGlwIGJldHdlZW4gdGhlIHRpYyBhbmQgdGhlIHVyZ2UgdG8gdGljLFwiIFwidGhlIHF1YWxpdHkgb2YgdGhlIHByZW1vbml0b3J5IHVyZ2UsXCIgYW5kIFwianVzdCByaWdodCBwaGVub21lbmEuXCIgQ09OQ0xVU0lPTjogVGhlIHJlc3VsdHMgb2YgdGhpcyBzdHVkeSBpbmRpY2F0ZSB0aGF0IHRoZSBLLVBVVFMgaXMgYSByZWxpYWJsZSBhbmQgdmFsaWQgc2NhbGUgZm9yIHJhdGluZyBwcmVtb25pdG9yeSB1cmdlIG9mIHRpY3MuIiwiaXNzdWUiOiIzIiwidm9sdW1lIjoiMzEiLCJjb250YWluZXItdGl0bGUtc2hvcnQiOiIifSwiaXNUZW1wb3JhcnkiOmZhbHNlfV19"/>
                <w:id w:val="1552731736"/>
                <w:placeholder>
                  <w:docPart w:val="DefaultPlaceholder_-1854013440"/>
                </w:placeholder>
              </w:sdtPr>
              <w:sdtContent>
                <w:r w:rsidR="00F04E9F" w:rsidRPr="00F04E9F">
                  <w:rPr>
                    <w:rFonts w:cs="Times New Roman"/>
                    <w:color w:val="000000"/>
                    <w:sz w:val="16"/>
                    <w:szCs w:val="16"/>
                  </w:rPr>
                  <w:t>(18)</w:t>
                </w:r>
              </w:sdtContent>
            </w:sdt>
          </w:p>
        </w:tc>
        <w:tc>
          <w:tcPr>
            <w:tcW w:w="0" w:type="auto"/>
            <w:shd w:val="clear" w:color="auto" w:fill="FFFFFF"/>
          </w:tcPr>
          <w:p w14:paraId="7E835D31" w14:textId="77777777" w:rsidR="00986E35" w:rsidRPr="008A1F40" w:rsidRDefault="00986E35" w:rsidP="007F77D2">
            <w:pPr>
              <w:rPr>
                <w:rFonts w:cs="Times New Roman"/>
                <w:sz w:val="16"/>
                <w:szCs w:val="16"/>
              </w:rPr>
            </w:pPr>
            <w:r w:rsidRPr="008A1F40">
              <w:rPr>
                <w:rFonts w:cs="Times New Roman"/>
                <w:sz w:val="16"/>
                <w:szCs w:val="16"/>
              </w:rPr>
              <w:t>Test-retest reliability for 9-item PUTS (Korean): interval ranged from two weeks to two months</w:t>
            </w:r>
          </w:p>
          <w:p w14:paraId="109B1551" w14:textId="77777777" w:rsidR="00986E35" w:rsidRPr="008A1F40" w:rsidRDefault="00986E35" w:rsidP="007F77D2">
            <w:pPr>
              <w:rPr>
                <w:rFonts w:cs="Times New Roman"/>
                <w:sz w:val="16"/>
                <w:szCs w:val="16"/>
              </w:rPr>
            </w:pPr>
          </w:p>
          <w:p w14:paraId="2E1BC78F" w14:textId="2F403436" w:rsidR="00986E35" w:rsidRDefault="001C08DF" w:rsidP="007F77D2">
            <w:pPr>
              <w:rPr>
                <w:rFonts w:cs="Times New Roman"/>
                <w:sz w:val="16"/>
                <w:szCs w:val="16"/>
              </w:rPr>
            </w:pPr>
            <w:r>
              <w:rPr>
                <w:rFonts w:cs="Times New Roman"/>
                <w:sz w:val="16"/>
                <w:szCs w:val="16"/>
              </w:rPr>
              <w:t>EFA</w:t>
            </w:r>
            <w:r w:rsidR="00986E35" w:rsidRPr="008A1F40">
              <w:rPr>
                <w:rFonts w:cs="Times New Roman"/>
                <w:sz w:val="16"/>
                <w:szCs w:val="16"/>
              </w:rPr>
              <w:t xml:space="preserve"> of 9-item PUTS</w:t>
            </w:r>
          </w:p>
          <w:p w14:paraId="288D8949" w14:textId="0F00DBE7" w:rsidR="00691703" w:rsidRPr="008A1F40" w:rsidRDefault="00691703" w:rsidP="007F77D2">
            <w:pPr>
              <w:rPr>
                <w:rFonts w:cs="Times New Roman"/>
                <w:sz w:val="16"/>
                <w:szCs w:val="16"/>
              </w:rPr>
            </w:pPr>
          </w:p>
        </w:tc>
        <w:tc>
          <w:tcPr>
            <w:tcW w:w="0" w:type="auto"/>
            <w:shd w:val="clear" w:color="auto" w:fill="FFFFFF"/>
          </w:tcPr>
          <w:p w14:paraId="58D88C96"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38 children and adults with CTD (n = 20 for test-retest reliability)</w:t>
            </w:r>
          </w:p>
        </w:tc>
        <w:tc>
          <w:tcPr>
            <w:tcW w:w="0" w:type="auto"/>
            <w:shd w:val="clear" w:color="auto" w:fill="FFFFFF"/>
          </w:tcPr>
          <w:p w14:paraId="069632E2" w14:textId="771479DE" w:rsidR="00986E35" w:rsidRPr="008A1F40" w:rsidRDefault="0003601B" w:rsidP="007F77D2">
            <w:pPr>
              <w:rPr>
                <w:rFonts w:cs="Times New Roman"/>
                <w:color w:val="000000"/>
                <w:sz w:val="16"/>
                <w:szCs w:val="16"/>
              </w:rPr>
            </w:pPr>
            <w:r>
              <w:rPr>
                <w:rFonts w:cs="Times New Roman"/>
                <w:color w:val="000000"/>
                <w:sz w:val="16"/>
                <w:szCs w:val="16"/>
              </w:rPr>
              <w:t xml:space="preserve">Pearson’s </w:t>
            </w:r>
            <w:r w:rsidR="00986E35" w:rsidRPr="008A1F40">
              <w:rPr>
                <w:rFonts w:cs="Times New Roman"/>
                <w:color w:val="000000"/>
                <w:sz w:val="16"/>
                <w:szCs w:val="16"/>
              </w:rPr>
              <w:t>r = 0.60</w:t>
            </w:r>
          </w:p>
          <w:p w14:paraId="4B2ABA27" w14:textId="77777777" w:rsidR="00986E35" w:rsidRPr="008A1F40" w:rsidRDefault="00986E35" w:rsidP="007F77D2">
            <w:pPr>
              <w:rPr>
                <w:rFonts w:cs="Times New Roman"/>
                <w:color w:val="000000"/>
                <w:sz w:val="16"/>
                <w:szCs w:val="16"/>
              </w:rPr>
            </w:pPr>
          </w:p>
          <w:p w14:paraId="413450E5" w14:textId="77777777" w:rsidR="00986E35" w:rsidRPr="008A1F40" w:rsidRDefault="00986E35" w:rsidP="007F77D2">
            <w:pPr>
              <w:rPr>
                <w:rFonts w:cs="Times New Roman"/>
                <w:color w:val="000000"/>
                <w:sz w:val="16"/>
                <w:szCs w:val="16"/>
              </w:rPr>
            </w:pPr>
            <w:r w:rsidRPr="008A1F40">
              <w:rPr>
                <w:rFonts w:cs="Times New Roman"/>
                <w:color w:val="000000"/>
                <w:sz w:val="16"/>
                <w:szCs w:val="16"/>
              </w:rPr>
              <w:t>three factors:</w:t>
            </w:r>
          </w:p>
          <w:p w14:paraId="0F103C28" w14:textId="77777777" w:rsidR="00986E35" w:rsidRPr="008A1F40" w:rsidRDefault="00986E35" w:rsidP="00986E35">
            <w:pPr>
              <w:pStyle w:val="ListParagraph"/>
              <w:numPr>
                <w:ilvl w:val="0"/>
                <w:numId w:val="23"/>
              </w:numPr>
              <w:spacing w:before="0" w:after="0"/>
              <w:rPr>
                <w:color w:val="000000"/>
                <w:sz w:val="16"/>
                <w:szCs w:val="16"/>
              </w:rPr>
            </w:pPr>
            <w:r w:rsidRPr="008A1F40">
              <w:rPr>
                <w:color w:val="000000"/>
                <w:sz w:val="16"/>
                <w:szCs w:val="16"/>
              </w:rPr>
              <w:t>“presumed functional relationship between the tic and the urge to tic” (items 1, 7, 8, and 9)</w:t>
            </w:r>
          </w:p>
          <w:p w14:paraId="7CE091A3" w14:textId="77777777" w:rsidR="00986E35" w:rsidRPr="008A1F40" w:rsidRDefault="00986E35" w:rsidP="00986E35">
            <w:pPr>
              <w:pStyle w:val="ListParagraph"/>
              <w:numPr>
                <w:ilvl w:val="0"/>
                <w:numId w:val="23"/>
              </w:numPr>
              <w:spacing w:before="0" w:after="0"/>
              <w:rPr>
                <w:color w:val="000000"/>
                <w:sz w:val="16"/>
                <w:szCs w:val="16"/>
              </w:rPr>
            </w:pPr>
            <w:r w:rsidRPr="008A1F40">
              <w:rPr>
                <w:color w:val="000000"/>
                <w:sz w:val="16"/>
                <w:szCs w:val="16"/>
              </w:rPr>
              <w:t>“the quality of the premonitory urge” (items 2, 3, and 6)</w:t>
            </w:r>
          </w:p>
          <w:p w14:paraId="4E400284" w14:textId="77777777" w:rsidR="00986E35" w:rsidRPr="008A1F40" w:rsidRDefault="00986E35" w:rsidP="00986E35">
            <w:pPr>
              <w:pStyle w:val="ListParagraph"/>
              <w:numPr>
                <w:ilvl w:val="0"/>
                <w:numId w:val="23"/>
              </w:numPr>
              <w:spacing w:before="0" w:after="0"/>
              <w:rPr>
                <w:color w:val="000000"/>
                <w:sz w:val="16"/>
                <w:szCs w:val="16"/>
              </w:rPr>
            </w:pPr>
            <w:r w:rsidRPr="008A1F40">
              <w:rPr>
                <w:color w:val="000000"/>
                <w:sz w:val="16"/>
                <w:szCs w:val="16"/>
              </w:rPr>
              <w:lastRenderedPageBreak/>
              <w:t>“just right phenomena” (items 4 and 5)</w:t>
            </w:r>
          </w:p>
        </w:tc>
      </w:tr>
      <w:tr w:rsidR="00F04E9F" w:rsidRPr="008A1F40" w14:paraId="728E8550" w14:textId="77777777" w:rsidTr="007F77D2">
        <w:trPr>
          <w:tblCellSpacing w:w="15" w:type="dxa"/>
        </w:trPr>
        <w:tc>
          <w:tcPr>
            <w:tcW w:w="0" w:type="auto"/>
            <w:shd w:val="clear" w:color="auto" w:fill="FFFFFF"/>
          </w:tcPr>
          <w:p w14:paraId="7CC156C3" w14:textId="166449F6" w:rsidR="00986E35" w:rsidRPr="008A1F40" w:rsidRDefault="00986E35" w:rsidP="007F77D2">
            <w:pPr>
              <w:rPr>
                <w:rFonts w:cs="Times New Roman"/>
                <w:sz w:val="16"/>
                <w:szCs w:val="16"/>
              </w:rPr>
            </w:pPr>
            <w:r w:rsidRPr="008A1F40">
              <w:rPr>
                <w:rFonts w:cs="Times New Roman"/>
                <w:sz w:val="16"/>
                <w:szCs w:val="16"/>
              </w:rPr>
              <w:lastRenderedPageBreak/>
              <w:t xml:space="preserve">Reese et al </w:t>
            </w:r>
            <w:r w:rsidR="0091590F">
              <w:rPr>
                <w:rFonts w:cs="Times New Roman"/>
                <w:sz w:val="16"/>
                <w:szCs w:val="16"/>
              </w:rPr>
              <w:t>(</w:t>
            </w:r>
            <w:r w:rsidRPr="008A1F40">
              <w:rPr>
                <w:rFonts w:cs="Times New Roman"/>
                <w:sz w:val="16"/>
                <w:szCs w:val="16"/>
              </w:rPr>
              <w:t>2014</w:t>
            </w:r>
            <w:r w:rsidR="0091590F">
              <w:rPr>
                <w:rFonts w:cs="Times New Roman"/>
                <w:sz w:val="16"/>
                <w:szCs w:val="16"/>
              </w:rPr>
              <w:t>)</w:t>
            </w:r>
            <w:r w:rsidR="0067010F">
              <w:rPr>
                <w:rFonts w:cs="Times New Roman"/>
                <w:sz w:val="16"/>
                <w:szCs w:val="16"/>
              </w:rPr>
              <w:t xml:space="preserve"> </w:t>
            </w:r>
            <w:sdt>
              <w:sdtPr>
                <w:rPr>
                  <w:rFonts w:cs="Times New Roman"/>
                  <w:color w:val="000000"/>
                  <w:sz w:val="16"/>
                  <w:szCs w:val="16"/>
                </w:rPr>
                <w:tag w:val="MENDELEY_CITATION_v3_eyJjaXRhdGlvbklEIjoiTUVOREVMRVlfQ0lUQVRJT05fMWY0MWFmYzktODBkNC00YzU5LTk2ODUtMGQ4MDc4MjA3MTBlIiwicHJvcGVydGllcyI6eyJub3RlSW5kZXgiOjB9LCJpc0VkaXRlZCI6ZmFsc2UsIm1hbnVhbE92ZXJyaWRlIjp7ImlzTWFudWFsbHlPdmVycmlkZGVuIjpmYWxzZSwiY2l0ZXByb2NUZXh0IjoiKDE1KSIsIm1hbnVhbE92ZXJyaWRlVGV4dCI6IiJ9LCJjaXRhdGlvbkl0ZW1zIjpbeyJpZCI6IjM2OWMxMGM3LTAxNzYtMzQyMS04MmJlLTg4YzAwMGQzMWIyYSIsIml0ZW1EYXRhIjp7InR5cGUiOiJhcnRpY2xlLWpvdXJuYWwiLCJpZCI6IjM2OWMxMGM3LTAxNzYtMzQyMS04MmJlLTg4YzAwMGQzMWIyYSIsInRpdGxlIjoiVGhlIHByZW1vbml0b3J5IHVyZ2UgdG8gdGljOiBtZWFzdXJlbWVudCwgY2hhcmFjdGVyaXN0aWNzLCBhbmQgY29ycmVsYXRlcyBpbiBvbGRlciBhZG9sZXNjZW50cyBhbmQgYWR1bHRzIiwiZ3JvdXBJZCI6IjA3ZDYyYWMxLTVhYTgtMzlhZi1iNDllLTUyZDIwODhhYzU3MSIsImF1dGhvciI6W3siZmFtaWx5IjoiUmVlc2UiLCJnaXZlbiI6IkggRSIsInBhcnNlLW5hbWVzIjpmYWxzZSwiZHJvcHBpbmctcGFydGljbGUiOiIiLCJub24tZHJvcHBpbmctcGFydGljbGUiOiIifSx7ImZhbWlseSI6IlNjYWhpbGwiLCJnaXZlbiI6IkwiLCJwYXJzZS1uYW1lcyI6ZmFsc2UsImRyb3BwaW5nLXBhcnRpY2xlIjoiIiwibm9uLWRyb3BwaW5nLXBhcnRpY2xlIjoiIn0seyJmYW1pbHkiOiJQZXRlcnNvbiIsImdpdmVuIjoiQSBMIiwicGFyc2UtbmFtZXMiOmZhbHNlLCJkcm9wcGluZy1wYXJ0aWNsZSI6IiIsIm5vbi1kcm9wcGluZy1wYXJ0aWNsZSI6IiJ9LHsiZmFtaWx5IjoiQ3Jvd2UiLCJnaXZlbiI6IksiLCJwYXJzZS1uYW1lcyI6ZmFsc2UsImRyb3BwaW5nLXBhcnRpY2xlIjoiIiwibm9uLWRyb3BwaW5nLXBhcnRpY2xlIjoiIn0seyJmYW1pbHkiOiJXb29kcyIsImdpdmVuIjoiRCBXIiwicGFyc2UtbmFtZXMiOmZhbHNlLCJkcm9wcGluZy1wYXJ0aWNsZSI6IiIsIm5vbi1kcm9wcGluZy1wYXJ0aWNsZSI6IiJ9LHsiZmFtaWx5IjoiUGlhY2VudGluaSIsImdpdmVuIjoiSiIsInBhcnNlLW5hbWVzIjpmYWxzZSwiZHJvcHBpbmctcGFydGljbGUiOiIiLCJub24tZHJvcHBpbmctcGFydGljbGUiOiIifSx7ImZhbWlseSI6IldhbGt1cCIsImdpdmVuIjoiSiBUIiwicGFyc2UtbmFtZXMiOmZhbHNlLCJkcm9wcGluZy1wYXJ0aWNsZSI6IiIsIm5vbi1kcm9wcGluZy1wYXJ0aWNsZSI6IiJ9LHsiZmFtaWx5IjoiV2lsaGVsbSIsImdpdmVuIjoiUyIsInBhcnNlLW5hbWVzIjpmYWxzZSwiZHJvcHBpbmctcGFydGljbGUiOiIiLCJub24tZHJvcHBpbmctcGFydGljbGUiOiIifV0sImNvbnRhaW5lci10aXRsZSI6IkJlaGF2IFRoZXIiLCJET0kiOiIxMC4xMDE2L2ouYmV0aC4yMDEzLjA5LjAwMiIsIlBNSUQiOiIyNDQ5MTE5MyIsImlzc3VlZCI6eyJkYXRlLXBhcnRzIjpbWzIwMTRdXX0sInBhZ2UiOiIxNzctMTg2IiwiYWJzdHJhY3QiOiJJbiBhZGRpdGlvbiB0byBtb3RvciBhbmQvb3Igdm9jYWwgdGljcywgbWFueSBpbmRpdmlkdWFscyB3aXRoIFRvdXJldHRlIHN5bmRyb21lIChUUykgb3IgY2hyb25pYyB0aWMgZGlzb3JkZXIgKENURCkgcmVwb3J0IGZyZXF1ZW50LCB1bmNvbWZvcnRhYmxlIHNlbnNvcnkgcGhlbm9tZW5hIHRoYXQgaW1tZWRpYXRlbHkgcHJlY2VkZSB0aGUgdGljcy4gVG8gZGF0ZSwgZXhhbWluYXRpb24gb2YgdGhlc2UgcHJlbW9uaXRvcnkgc2Vuc2F0aW9ucyBvciB1cmdlcyBoYXMgYmVlbiBsaW1pdGVkIGJ5IGluY29uc2lzdGVudCBhc3Nlc3NtZW50IHRvb2xzLiBJbiB0aGlzIHBhcGVyLCB3ZSBleGFtaW5lIHRoZSBwc3ljaG9tZXRyaWMgcHJvcGVydGllcyBvZiBhIG5pbmUtaXRlbSBzZWxmLXJlcG9ydCBtZWFzdXJlLCB0aGUgUHJlbW9uaXRvcnkgVXJnZSB0byBUaWMgU2NhbGUgKFBVVFMpIGFuZCBleGFtaW5lIHRoZSBjaGFyYWN0ZXJpc3RpY3MgYW5kIGNvcnJlbGF0ZXMgb2YgdGhlIHByZW1vbml0b3J5IHVyZ2UgdG8gdGljIGluIGEgY2xpbmljYWwgc2FtcGxlIG9mIDEyMiBvbGRlciBhZG9sZXNjZW50cyBhbmQgYWR1bHRzIHdpdGggVFMgb3IgQ1RELiBUaGUgUFVUUyBkZW1vbnN0cmF0ZWQgYWRlcXVhdGUgaW50ZXJuYWwgY29uc2lzdGVuY3ksIHRlbXBvcmFsIHN0YWJpbGl0eSwgYW5kIGNvbmN1cnJlbnQgdmFsaWRpdHkuIFByZW1vbml0b3J5IHVyZ2VzIHdlcmUgZW5kb3JzZWQgYnkgdGhlIG1ham9yaXR5IG9mIGluZGl2aWR1YWxzLiBNb3N0IGluZGl2aWR1YWxzIHJlcG9ydGVkIHNvbWUgcmVsaWVmIGZyb20gdGhlIHVyZ2VzIGFmdGVyIGNvbXBsZXRpbmcgYSB0aWMgYW5kIGJlaW5nIGFibGUgdG8gc3RvcCB0aGVpciB0aWNzIGV2ZW4gaWYgb25seSB0ZW1wb3JhcmlseS4gRGVncmVlIG9mIHByZW1vbml0b3J5IHVyZ2VzIHdhcyBub3Qgc2lnbmlmaWNhbnRseSBjb3JyZWxhdGVkIHdpdGggYWdlLCBhbmQgd2UgZGlkIG5vdCBvYnNlcnZlIGFueSBnZW5kZXIgZGlmZmVyZW5jZXMuIERlZ3JlZSBvZiBwcmVtb25pdG9yeSB1cmdlcyB3YXMgc2lnbmlmaWNhbnRseSBjb3JyZWxhdGVkIHdpdGggZXN0aW1hdGVkIElRIGFuZCB0aWMgc2V2ZXJpdHksIGJ1dCBub3Qgc2V2ZXJpdHkgb2YgY29tb3JiaWQgb2JzZXNzaXZlLWNvbXB1bHNpdmUgZGlzb3JkZXIgb3IgYXR0ZW50aW9uLWRlZmljaXQgaHlwZXJhY3Rpdml0eSBkaXNvcmRlci4gQWxzbywgaXQgd2FzIG5vdCByZWxhdGVkIHRvIGNvbmNvbWl0YW50IG1lZGljYXRpb24gc3RhdHVzLiBUaGVzZSBmaW5kaW5ncyByZXByZXNlbnQgYW5vdGhlciBzdGVwIGZvcndhcmQgaW4gb3VyIHVuZGVyc3RhbmRpbmcgb2YgdGhlIHByZW1vbml0b3J5IHNlbnNhdGlvbnMgYXNzb2NpYXRlZCB3aXRoIFRTIGFuZCBDVEQuIiwiaXNzdWUiOiIyIiwidm9sdW1lIjoiNDUiLCJjb250YWluZXItdGl0bGUtc2hvcnQiOiIifSwiaXNUZW1wb3JhcnkiOmZhbHNlfV19"/>
                <w:id w:val="-852569738"/>
                <w:placeholder>
                  <w:docPart w:val="DefaultPlaceholder_-1854013440"/>
                </w:placeholder>
              </w:sdtPr>
              <w:sdtContent>
                <w:r w:rsidR="00F04E9F" w:rsidRPr="00F04E9F">
                  <w:rPr>
                    <w:rFonts w:cs="Times New Roman"/>
                    <w:color w:val="000000"/>
                    <w:sz w:val="16"/>
                    <w:szCs w:val="16"/>
                  </w:rPr>
                  <w:t>(15)</w:t>
                </w:r>
              </w:sdtContent>
            </w:sdt>
          </w:p>
        </w:tc>
        <w:tc>
          <w:tcPr>
            <w:tcW w:w="0" w:type="auto"/>
            <w:shd w:val="clear" w:color="auto" w:fill="FFFFFF"/>
          </w:tcPr>
          <w:p w14:paraId="202A6703" w14:textId="77777777" w:rsidR="00986E35" w:rsidRPr="008A1F40" w:rsidRDefault="00986E35" w:rsidP="007F77D2">
            <w:pPr>
              <w:rPr>
                <w:rFonts w:cs="Times New Roman"/>
                <w:sz w:val="16"/>
                <w:szCs w:val="16"/>
              </w:rPr>
            </w:pPr>
            <w:r w:rsidRPr="008A1F40">
              <w:rPr>
                <w:rFonts w:cs="Times New Roman"/>
                <w:sz w:val="16"/>
                <w:szCs w:val="16"/>
              </w:rPr>
              <w:t>Test-retest reliability for 9-item PUTS (English): interval was within 2 weeks</w:t>
            </w:r>
          </w:p>
        </w:tc>
        <w:tc>
          <w:tcPr>
            <w:tcW w:w="0" w:type="auto"/>
            <w:shd w:val="clear" w:color="auto" w:fill="FFFFFF"/>
          </w:tcPr>
          <w:p w14:paraId="15BE8E6C"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122 adolescents and adults with CTDs</w:t>
            </w:r>
          </w:p>
        </w:tc>
        <w:tc>
          <w:tcPr>
            <w:tcW w:w="0" w:type="auto"/>
            <w:shd w:val="clear" w:color="auto" w:fill="FFFFFF"/>
          </w:tcPr>
          <w:p w14:paraId="4A6A7EC7" w14:textId="54E22B56" w:rsidR="00986E35" w:rsidRPr="008A1F40" w:rsidRDefault="00F14980" w:rsidP="007F77D2">
            <w:pPr>
              <w:rPr>
                <w:rFonts w:cs="Times New Roman"/>
                <w:color w:val="000000"/>
                <w:sz w:val="16"/>
                <w:szCs w:val="16"/>
              </w:rPr>
            </w:pPr>
            <w:r>
              <w:rPr>
                <w:rFonts w:cs="Times New Roman"/>
                <w:color w:val="000000"/>
                <w:sz w:val="16"/>
                <w:szCs w:val="16"/>
              </w:rPr>
              <w:t>r</w:t>
            </w:r>
            <w:r w:rsidR="00986E35" w:rsidRPr="008A1F40">
              <w:rPr>
                <w:rFonts w:cs="Times New Roman"/>
                <w:color w:val="000000"/>
                <w:sz w:val="16"/>
                <w:szCs w:val="16"/>
              </w:rPr>
              <w:t xml:space="preserve"> = 0.79, p &lt; .001</w:t>
            </w:r>
            <w:r w:rsidR="004B3012">
              <w:rPr>
                <w:rFonts w:cs="Times New Roman"/>
                <w:color w:val="000000"/>
                <w:sz w:val="16"/>
                <w:szCs w:val="16"/>
              </w:rPr>
              <w:t xml:space="preserve"> (correlation</w:t>
            </w:r>
            <w:r w:rsidR="007A550C">
              <w:rPr>
                <w:rFonts w:cs="Times New Roman"/>
                <w:color w:val="000000"/>
                <w:sz w:val="16"/>
                <w:szCs w:val="16"/>
              </w:rPr>
              <w:t xml:space="preserve"> type</w:t>
            </w:r>
            <w:r w:rsidR="004B3012">
              <w:rPr>
                <w:rFonts w:cs="Times New Roman"/>
                <w:color w:val="000000"/>
                <w:sz w:val="16"/>
                <w:szCs w:val="16"/>
              </w:rPr>
              <w:t xml:space="preserve"> unclear)</w:t>
            </w:r>
          </w:p>
        </w:tc>
      </w:tr>
    </w:tbl>
    <w:p w14:paraId="09B72795" w14:textId="0F923522" w:rsidR="00986E35" w:rsidRPr="00986E35" w:rsidRDefault="00986E35" w:rsidP="00986E35">
      <w:pPr>
        <w:rPr>
          <w:rFonts w:cs="Times New Roman"/>
          <w:sz w:val="16"/>
          <w:szCs w:val="16"/>
        </w:rPr>
      </w:pPr>
      <w:r w:rsidRPr="008A1F40">
        <w:rPr>
          <w:rFonts w:cs="Times New Roman"/>
          <w:sz w:val="16"/>
          <w:szCs w:val="16"/>
        </w:rPr>
        <w:t>PUTS = Premonitory Urge for Tics Scale, TS = Tourette Syndrome, CTDs = chronic tic diso</w:t>
      </w:r>
      <w:r w:rsidRPr="008A1F40">
        <w:rPr>
          <w:rFonts w:cs="Times New Roman"/>
          <w:color w:val="000000" w:themeColor="text1"/>
          <w:sz w:val="16"/>
          <w:szCs w:val="16"/>
        </w:rPr>
        <w:t xml:space="preserve">rders, OCD = </w:t>
      </w:r>
      <w:r w:rsidRPr="008A1F40">
        <w:rPr>
          <w:rFonts w:cs="Times New Roman"/>
          <w:color w:val="000000" w:themeColor="text1"/>
          <w:sz w:val="16"/>
          <w:szCs w:val="16"/>
          <w:shd w:val="clear" w:color="auto" w:fill="FFFFFF"/>
        </w:rPr>
        <w:t>obsessive-compulsive disorder, ADHD = attention-deficit/hyperactivity disorder, EFA = exploratory factor analysis</w:t>
      </w:r>
    </w:p>
    <w:p w14:paraId="52763A2C" w14:textId="77777777" w:rsidR="00986E35" w:rsidRPr="008A1F40" w:rsidRDefault="00986E35" w:rsidP="00986E35">
      <w:pPr>
        <w:rPr>
          <w:rFonts w:cs="Times New Roman"/>
          <w:color w:val="000000" w:themeColor="text1"/>
          <w:sz w:val="16"/>
          <w:szCs w:val="16"/>
          <w:shd w:val="clear" w:color="auto" w:fill="FFFFFF"/>
        </w:rPr>
      </w:pPr>
    </w:p>
    <w:p w14:paraId="10E1F51C" w14:textId="66AEBF73" w:rsidR="00986E35" w:rsidRPr="008A1F40" w:rsidRDefault="00986E35" w:rsidP="00986E35">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 xml:space="preserve">Table 2: </w:t>
      </w:r>
      <w:r w:rsidRPr="008A1F40">
        <w:rPr>
          <w:rFonts w:cs="Times New Roman"/>
          <w:color w:val="000000"/>
          <w:sz w:val="16"/>
          <w:szCs w:val="16"/>
        </w:rPr>
        <w:t>Associations Between PUTS and Measures of Tics/Tic Disorder Severity</w:t>
      </w:r>
    </w:p>
    <w:tbl>
      <w:tblPr>
        <w:tblW w:w="9210" w:type="dxa"/>
        <w:tblCellSpacing w:w="15" w:type="dxa"/>
        <w:tblBorders>
          <w:top w:val="thinThickSmallGap" w:sz="24" w:space="0" w:color="C4BC96" w:themeColor="background2" w:themeShade="BF"/>
          <w:left w:val="thinThickSmallGap" w:sz="24" w:space="0" w:color="C4BC96" w:themeColor="background2" w:themeShade="BF"/>
          <w:bottom w:val="thickThinSmallGap" w:sz="24" w:space="0" w:color="C4BC96" w:themeColor="background2" w:themeShade="BF"/>
          <w:right w:val="thickThinSmallGap" w:sz="24" w:space="0" w:color="C4BC96" w:themeColor="background2" w:themeShade="BF"/>
          <w:insideH w:val="single" w:sz="6" w:space="0" w:color="C4BC96" w:themeColor="background2" w:themeShade="BF"/>
          <w:insideV w:val="single" w:sz="6" w:space="0" w:color="C4BC96" w:themeColor="background2"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1148"/>
        <w:gridCol w:w="1830"/>
        <w:gridCol w:w="1879"/>
        <w:gridCol w:w="4353"/>
      </w:tblGrid>
      <w:tr w:rsidR="005845AF" w:rsidRPr="008A1F40" w14:paraId="7E9D097B" w14:textId="77777777" w:rsidTr="007F77D2">
        <w:trPr>
          <w:tblHeader/>
          <w:tblCellSpacing w:w="15" w:type="dxa"/>
        </w:trPr>
        <w:tc>
          <w:tcPr>
            <w:tcW w:w="0" w:type="auto"/>
            <w:shd w:val="clear" w:color="auto" w:fill="FFFFFF"/>
            <w:hideMark/>
          </w:tcPr>
          <w:p w14:paraId="4784F482" w14:textId="77777777" w:rsidR="00986E35" w:rsidRPr="008A1F40" w:rsidRDefault="00986E35" w:rsidP="007F77D2">
            <w:pPr>
              <w:rPr>
                <w:rFonts w:cs="Times New Roman"/>
                <w:b/>
                <w:bCs/>
                <w:color w:val="000000" w:themeColor="text1"/>
                <w:sz w:val="16"/>
                <w:szCs w:val="16"/>
                <w:shd w:val="clear" w:color="auto" w:fill="FFFFFF"/>
              </w:rPr>
            </w:pPr>
            <w:r w:rsidRPr="008A1F40">
              <w:rPr>
                <w:rFonts w:cs="Times New Roman"/>
                <w:b/>
                <w:bCs/>
                <w:color w:val="000000" w:themeColor="text1"/>
                <w:sz w:val="16"/>
                <w:szCs w:val="16"/>
                <w:shd w:val="clear" w:color="auto" w:fill="FFFFFF"/>
              </w:rPr>
              <w:t>Study</w:t>
            </w:r>
          </w:p>
        </w:tc>
        <w:tc>
          <w:tcPr>
            <w:tcW w:w="0" w:type="auto"/>
            <w:shd w:val="clear" w:color="auto" w:fill="FFFFFF"/>
            <w:hideMark/>
          </w:tcPr>
          <w:p w14:paraId="52A5080D" w14:textId="77777777" w:rsidR="00986E35" w:rsidRPr="008A1F40" w:rsidRDefault="00986E35" w:rsidP="007F77D2">
            <w:pPr>
              <w:rPr>
                <w:rFonts w:cs="Times New Roman"/>
                <w:b/>
                <w:bCs/>
                <w:color w:val="000000" w:themeColor="text1"/>
                <w:sz w:val="16"/>
                <w:szCs w:val="16"/>
                <w:shd w:val="clear" w:color="auto" w:fill="FFFFFF"/>
              </w:rPr>
            </w:pPr>
            <w:r w:rsidRPr="008A1F40">
              <w:rPr>
                <w:rFonts w:cs="Times New Roman"/>
                <w:b/>
                <w:bCs/>
                <w:color w:val="000000" w:themeColor="text1"/>
                <w:sz w:val="16"/>
                <w:szCs w:val="16"/>
                <w:shd w:val="clear" w:color="auto" w:fill="FFFFFF"/>
              </w:rPr>
              <w:t>Associations Investigated</w:t>
            </w:r>
          </w:p>
        </w:tc>
        <w:tc>
          <w:tcPr>
            <w:tcW w:w="0" w:type="auto"/>
            <w:shd w:val="clear" w:color="auto" w:fill="FFFFFF"/>
            <w:hideMark/>
          </w:tcPr>
          <w:p w14:paraId="2032B8FC" w14:textId="77777777" w:rsidR="00986E35" w:rsidRPr="008A1F40" w:rsidRDefault="00986E35" w:rsidP="007F77D2">
            <w:pPr>
              <w:rPr>
                <w:rFonts w:cs="Times New Roman"/>
                <w:b/>
                <w:bCs/>
                <w:color w:val="000000" w:themeColor="text1"/>
                <w:sz w:val="16"/>
                <w:szCs w:val="16"/>
                <w:shd w:val="clear" w:color="auto" w:fill="FFFFFF"/>
              </w:rPr>
            </w:pPr>
            <w:r w:rsidRPr="008A1F40">
              <w:rPr>
                <w:rFonts w:cs="Times New Roman"/>
                <w:b/>
                <w:bCs/>
                <w:color w:val="000000" w:themeColor="text1"/>
                <w:sz w:val="16"/>
                <w:szCs w:val="16"/>
                <w:shd w:val="clear" w:color="auto" w:fill="FFFFFF"/>
              </w:rPr>
              <w:t>Sample Size/Demographics</w:t>
            </w:r>
          </w:p>
        </w:tc>
        <w:tc>
          <w:tcPr>
            <w:tcW w:w="0" w:type="auto"/>
            <w:shd w:val="clear" w:color="auto" w:fill="FFFFFF"/>
            <w:hideMark/>
          </w:tcPr>
          <w:p w14:paraId="54EF625A" w14:textId="77777777" w:rsidR="00986E35" w:rsidRPr="008A1F40" w:rsidRDefault="00986E35" w:rsidP="007F77D2">
            <w:pPr>
              <w:rPr>
                <w:rFonts w:cs="Times New Roman"/>
                <w:b/>
                <w:bCs/>
                <w:color w:val="000000" w:themeColor="text1"/>
                <w:sz w:val="16"/>
                <w:szCs w:val="16"/>
                <w:shd w:val="clear" w:color="auto" w:fill="FFFFFF"/>
              </w:rPr>
            </w:pPr>
            <w:r w:rsidRPr="008A1F40">
              <w:rPr>
                <w:rFonts w:cs="Times New Roman"/>
                <w:b/>
                <w:bCs/>
                <w:color w:val="000000" w:themeColor="text1"/>
                <w:sz w:val="16"/>
                <w:szCs w:val="16"/>
                <w:shd w:val="clear" w:color="auto" w:fill="FFFFFF"/>
              </w:rPr>
              <w:t>Findings</w:t>
            </w:r>
          </w:p>
        </w:tc>
      </w:tr>
      <w:tr w:rsidR="005845AF" w:rsidRPr="008A1F40" w14:paraId="4BBA97E2" w14:textId="77777777" w:rsidTr="007F77D2">
        <w:trPr>
          <w:tblCellSpacing w:w="15" w:type="dxa"/>
        </w:trPr>
        <w:tc>
          <w:tcPr>
            <w:tcW w:w="0" w:type="auto"/>
            <w:shd w:val="clear" w:color="auto" w:fill="FFFFFF"/>
            <w:hideMark/>
          </w:tcPr>
          <w:p w14:paraId="6981BE60" w14:textId="763371D9"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Sutherland-Owens et al (2011)</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MWQyYmZjNDctOWRkYi00M2Y2LWE0YzYtNTY5Mjg5ZWMxYTZmIiwicHJvcGVydGllcyI6eyJub3RlSW5kZXgiOjB9LCJpc0VkaXRlZCI6ZmFsc2UsIm1hbnVhbE92ZXJyaWRlIjp7ImlzTWFudWFsbHlPdmVycmlkZGVuIjpmYWxzZSwiY2l0ZXByb2NUZXh0IjoiKDIyKSIsIm1hbnVhbE92ZXJyaWRlVGV4dCI6IiJ9LCJjaXRhdGlvbkl0ZW1zIjpbeyJpZCI6IjliMzFkMGQzLTg1YjItMzM0Yi05ZmMxLWJkMDA5ZjhkYzUwMiIsIml0ZW1EYXRhIjp7InR5cGUiOiJhcnRpY2xlLWpvdXJuYWwiLCJpZCI6IjliMzFkMGQzLTg1YjItMzM0Yi05ZmMxLWJkMDA5ZjhkYzUwMiIsInRpdGxlIjoiU2Vuc29yeSBnYXRpbmcgc2NhbGVzIGFuZCBwcmVtb25pdG9yeSB1cmdlcyBpbiBUb3VyZXR0ZSBzeW5kcm9tZSIsImdyb3VwSWQiOiIwN2Q2MmFjMS01YWE4LTM5YWYtYjQ5ZS01MmQyMDg4YWM1NzEiLCJhdXRob3IiOlt7ImZhbWlseSI6IlN1dGhlcmxhbmQgT3dlbnMiLCJnaXZlbiI6IkEgTiIsInBhcnNlLW5hbWVzIjpmYWxzZSwiZHJvcHBpbmctcGFydGljbGUiOiIiLCJub24tZHJvcHBpbmctcGFydGljbGUiOiIifSx7ImZhbWlseSI6Ik1pZ3VlbCIsImdpdmVuIjoiRSBDIiwicGFyc2UtbmFtZXMiOmZhbHNlLCJkcm9wcGluZy1wYXJ0aWNsZSI6IiIsIm5vbi1kcm9wcGluZy1wYXJ0aWNsZSI6IiJ9LHsiZmFtaWx5IjoiU3dlcmRsb3ciLCJnaXZlbiI6Ik4gUiIsInBhcnNlLW5hbWVzIjpmYWxzZSwiZHJvcHBpbmctcGFydGljbGUiOiIiLCJub24tZHJvcHBpbmctcGFydGljbGUiOiIifV0sImNvbnRhaW5lci10aXRsZSI6IlNjaWVudGlmaWNXb3JsZEpvdXJuYWwiLCJET0kiOiIxMC4xMTAwL3Rzdy4yMDExLjU3IiwiUE1JRCI6IjIxNDQyMTUxIiwiaXNzdWVkIjp7ImRhdGUtcGFydHMiOltbMjAxMV1dfSwicGFnZSI6IjczNi03NDEiLCJhYnN0cmFjdCI6IlNlbnNvcnkgYW5kIHNlbnNvcmltb3RvciBnYXRpbmcgZGVmaWNpdHMgY2hhcmFjdGVyaXplIGJvdGggVG91cmV0dGUgc3luZHJvbWUgKFRTKSBhbmQgc2NoaXpvcGhyZW5pYS4gUHJlbW9uaXRvcnkgdXJnZXMgKFBVKSBpbiBUUyBjYW4gYmUgYXNzZXNzZWQgd2l0aCB0aGUgVW5pdmVyc2l0eSBvZiBTYW8gUGF1bG8gU2Vuc29yeSBQaGVub21lbmEgU2NhbGUgKFVTUC1TUFMpIGFuZCB0aGUgUHJlbW9uaXRvcnkgVXJnZSBmb3IgVGljcyBTY2FsZSAoUFVUUykuIEluIDQwIHN1YmplY3RzIChUUzogbiA9IDE4OyBoZWFsdGh5IGNvbXBhcmlzb24gc3ViamVjdHMgW0hDU106IG4gPSAyMiksIHdlIGV4YW1pbmVkIHRoZSByZWxhdGlvbnNoaXAgYmV0d2VlbiBQVSBzY29yZXMgYW5kIG1lYXN1cmVzIG9mIHNlbnNvcnkgZ2F0aW5nIHVzaW5nIHRoZSBVU1AtU1BTLCBQVVRTLCBTZW5zb3J5IEdhdGluZyBJbnZlbnRvcnkgKFNHSSksIGFuZCBTdHJ1Y3R1cmVkIEludGVydmlldyBmb3IgQXNzZXNzaW5nIFBlcmNlcHR1YWwgQW5vbWFsaWVzIChTSUFQQSksIGFzIHdlbGwgc3ltcHRvbSBzZXZlcml0eSBzY2FsZXMuIFNHSSwgYnV0IG5vdCBTSUFQQSwgc2NvcmVzIHdlcmUgZWxldmF0ZWQgaW4gVFMgc3ViamVjdHMgKHAgPCAwLjAwMDMpLiBJbiBUUyBzdWJqZWN0cywgVVNQLVNQUyBhbmQgUFVUUyBzY29yZXMgY29ycmVsYXRlZCBzaWduaWZpY2FudGx5IHdpdGggZWFjaCBvdGhlciwgYnV0IG5vdCB3aXRoIHRoZSBTR0kgb3IgU0lBUEE7IG5laXRoZXIgUFUgbm9yIHNlbnNvcnkgZ2F0aW5nIHNjYWxlcyBjb3JyZWxhdGVkIHNpZ25pZmljYW50bHkgd2l0aCBzeW1wdG9tIHNldmVyaXR5LiBUUyBzdWJqZWN0cyBlbmRvcnNlIGRpZmZpY3VsdGllcyBpbiBzZW5zb3J5IGdhdGluZyBhbmQgdGhlIFNHSSBtYXkgYmUgdmFsdWFibGUgZm9yIHN0dWR5aW5nIHRoZXNlIGNsaW5pY2FsIHBoZW5vbWVuYS4iLCJ2b2x1bWUiOiIxMSIsImNvbnRhaW5lci10aXRsZS1zaG9ydCI6IiJ9LCJpc1RlbXBvcmFyeSI6ZmFsc2V9XX0="/>
                <w:id w:val="-1731221378"/>
                <w:placeholder>
                  <w:docPart w:val="DefaultPlaceholder_-1854013440"/>
                </w:placeholder>
              </w:sdtPr>
              <w:sdtContent>
                <w:r w:rsidR="00F04E9F" w:rsidRPr="00F04E9F">
                  <w:rPr>
                    <w:rFonts w:cs="Times New Roman"/>
                    <w:color w:val="000000"/>
                    <w:sz w:val="16"/>
                    <w:szCs w:val="16"/>
                    <w:shd w:val="clear" w:color="auto" w:fill="FFFFFF"/>
                  </w:rPr>
                  <w:t>(22)</w:t>
                </w:r>
              </w:sdtContent>
            </w:sdt>
          </w:p>
        </w:tc>
        <w:tc>
          <w:tcPr>
            <w:tcW w:w="0" w:type="auto"/>
            <w:shd w:val="clear" w:color="auto" w:fill="FFFFFF"/>
            <w:hideMark/>
          </w:tcPr>
          <w:p w14:paraId="31714B1B"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and YGTSS “global” scores</w:t>
            </w:r>
          </w:p>
        </w:tc>
        <w:tc>
          <w:tcPr>
            <w:tcW w:w="0" w:type="auto"/>
            <w:shd w:val="clear" w:color="auto" w:fill="FFFFFF"/>
            <w:hideMark/>
          </w:tcPr>
          <w:p w14:paraId="625B29AB" w14:textId="797C376B"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18 children and adults with TS</w:t>
            </w:r>
            <w:r w:rsidR="0073565F">
              <w:rPr>
                <w:rFonts w:cs="Times New Roman"/>
                <w:color w:val="000000" w:themeColor="text1"/>
                <w:sz w:val="16"/>
                <w:szCs w:val="16"/>
                <w:shd w:val="clear" w:color="auto" w:fill="FFFFFF"/>
              </w:rPr>
              <w:t>,</w:t>
            </w:r>
            <w:r w:rsidRPr="008A1F40">
              <w:rPr>
                <w:rFonts w:cs="Times New Roman"/>
                <w:color w:val="000000" w:themeColor="text1"/>
                <w:sz w:val="16"/>
                <w:szCs w:val="16"/>
                <w:shd w:val="clear" w:color="auto" w:fill="FFFFFF"/>
              </w:rPr>
              <w:t xml:space="preserve"> </w:t>
            </w:r>
            <w:r w:rsidR="0073565F">
              <w:rPr>
                <w:rFonts w:cs="Times New Roman"/>
                <w:color w:val="000000" w:themeColor="text1"/>
                <w:sz w:val="16"/>
                <w:szCs w:val="16"/>
                <w:shd w:val="clear" w:color="auto" w:fill="FFFFFF"/>
              </w:rPr>
              <w:t xml:space="preserve">sample </w:t>
            </w:r>
            <w:r w:rsidRPr="008A1F40">
              <w:rPr>
                <w:rFonts w:cs="Times New Roman"/>
                <w:color w:val="000000" w:themeColor="text1"/>
                <w:sz w:val="16"/>
                <w:szCs w:val="16"/>
                <w:shd w:val="clear" w:color="auto" w:fill="FFFFFF"/>
              </w:rPr>
              <w:t>age</w:t>
            </w:r>
            <w:r w:rsidR="0073565F">
              <w:rPr>
                <w:rFonts w:cs="Times New Roman"/>
                <w:color w:val="000000" w:themeColor="text1"/>
                <w:sz w:val="16"/>
                <w:szCs w:val="16"/>
                <w:shd w:val="clear" w:color="auto" w:fill="FFFFFF"/>
              </w:rPr>
              <w:t xml:space="preserve"> range </w:t>
            </w:r>
            <w:r w:rsidRPr="008A1F40">
              <w:rPr>
                <w:rFonts w:cs="Times New Roman"/>
                <w:color w:val="000000" w:themeColor="text1"/>
                <w:sz w:val="16"/>
                <w:szCs w:val="16"/>
                <w:shd w:val="clear" w:color="auto" w:fill="FFFFFF"/>
              </w:rPr>
              <w:t>10-41</w:t>
            </w:r>
          </w:p>
        </w:tc>
        <w:tc>
          <w:tcPr>
            <w:tcW w:w="0" w:type="auto"/>
            <w:shd w:val="clear" w:color="auto" w:fill="FFFFFF"/>
            <w:hideMark/>
          </w:tcPr>
          <w:p w14:paraId="5E5A5D4F"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No significant association found between PUTS scores and YGTSS scores (Simple Regression: r = 0.21, p &gt; 0.05)</w:t>
            </w:r>
          </w:p>
        </w:tc>
      </w:tr>
      <w:tr w:rsidR="005845AF" w:rsidRPr="008A1F40" w14:paraId="19D3AAE0" w14:textId="77777777" w:rsidTr="007F77D2">
        <w:trPr>
          <w:tblCellSpacing w:w="15" w:type="dxa"/>
        </w:trPr>
        <w:tc>
          <w:tcPr>
            <w:tcW w:w="0" w:type="auto"/>
            <w:shd w:val="clear" w:color="auto" w:fill="FFFFFF"/>
            <w:hideMark/>
          </w:tcPr>
          <w:p w14:paraId="5061A06D" w14:textId="77E101DA"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Gerasch et al (2016)</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NmQ2MmNiMzctNTFlOS00NmUxLThlZDctNTU0MTlkZTI0ZjVjIiwicHJvcGVydGllcyI6eyJub3RlSW5kZXgiOjB9LCJpc0VkaXRlZCI6ZmFsc2UsIm1hbnVhbE92ZXJyaWRlIjp7ImlzTWFudWFsbHlPdmVycmlkZGVuIjpmYWxzZSwiY2l0ZXByb2NUZXh0IjoiKDIzKSIsIm1hbnVhbE92ZXJyaWRlVGV4dCI6IiJ9LCJjaXRhdGlvbkl0ZW1zIjpbeyJpZCI6IjMzMmE2MmZjLTBiYzAtMzJmNi1hODFjLTUyN2RiMTcyZDZjNCIsIml0ZW1EYXRhIjp7InR5cGUiOiJhcnRpY2xlLWpvdXJuYWwiLCJpZCI6IjMzMmE2MmZjLTBiYzAtMzJmNi1hODFjLTUyN2RiMTcyZDZjNCIsInRpdGxlIjoiQXJpcGlwcmF6b2xlIGltcHJvdmVzIGFzc29jaWF0ZWQgY29tb3JiaWQgY29uZGl0aW9ucyBpbiBhZGRpdGlvbiB0byB0aWNzIGluIGFkdWx0IHBhdGllbnRzIHdpdGggR2lsbGVzIGRlIGxhIFRvdXJldHRlIFN5bmRyb21lIiwiZ3JvdXBJZCI6IjA3ZDYyYWMxLTVhYTgtMzlhZi1iNDllLTUyZDIwODhhYzU3MSIsImF1dGhvciI6W3siZmFtaWx5IjoiR2VyYXNjaCIsImdpdmVuIjoiUyIsInBhcnNlLW5hbWVzIjpmYWxzZSwiZHJvcHBpbmctcGFydGljbGUiOiIiLCJub24tZHJvcHBpbmctcGFydGljbGUiOiIifSx7ImZhbWlseSI6IkthbmFhbiIsImdpdmVuIjoiQSBTIiwicGFyc2UtbmFtZXMiOmZhbHNlLCJkcm9wcGluZy1wYXJ0aWNsZSI6IiIsIm5vbi1kcm9wcGluZy1wYXJ0aWNsZSI6IiJ9LHsiZmFtaWx5IjoiSmFrdWJvdnNraSIsImdpdmVuIjoiRSIsInBhcnNlLW5hbWVzIjpmYWxzZSwiZHJvcHBpbmctcGFydGljbGUiOiIiLCJub24tZHJvcHBpbmctcGFydGljbGUiOiIifSx7ImZhbWlseSI6Ik11bGxlci1WYWhsIiwiZ2l2ZW4iOiJLIFIiLCJwYXJzZS1uYW1lcyI6ZmFsc2UsImRyb3BwaW5nLXBhcnRpY2xlIjoiIiwibm9uLWRyb3BwaW5nLXBhcnRpY2xlIjoiIn1dLCJjb250YWluZXItdGl0bGUiOiJGcm9udGllcnMgaW4gTmV1cm9zY2llbmNlIiwiRE9JIjoiaHR0cHM6Ly9keC5kb2kub3JnLzEwLjMzODkvZm5pbnMuMjAxNi4wMDQxNiIsIlVSTCI6Imh0dHA6Ly9qb3VybmFsLmZyb250aWVyc2luLm9yZy9hcnRpY2xlLzEwLjMzODkvZm5pbnMuMjAxNi4wMDQxNi9mdWxsaHR0cDovL292aWRzcC5vdmlkLmNvbS9vdmlkd2ViLmNnaT9UPUpTJlBBR0U9cmVmZXJlbmNlJkQ9ZW1lZDE3Jk5FV1M9TiZBTj02MTI3OTM2NDgiLCJpc3N1ZWQiOnsiZGF0ZS1wYXJ0cyI6W1syMDE2XV19LCJwYWdlIjoiNDE2IiwiYWJzdHJhY3QiOiJHaWxsZXMgZGUgbGEgVG91cmV0dGUgU3luZHJvbWUgKEdUUykgaXMgY2hhcmFjdGVyaXplZCBieSBtb3RvciBhbmQgdm9jYWwgdGljcywgYXMgd2VsbCBhcyBhc3NvY2lhdGVkIGNvbW9yYmlkIGNvbmRpdGlvbnMgaW5jbHVkaW5nIG9ic2Vzc2l2ZS1jb21wdWxzaXZlIGRpc29yZGVyIChPQ0QpLCBhdHRlbnRpb24gZGVmaWNpdC9oeXBlcmFjdGl2aXR5IGRpc29yZGVyIChBREhEKSwgZGVwcmVzc2lvbiwgYW5kIGFueGlldHkgd2hpY2ggYXJlIHByZXNlbnQgaW4gYSBzdWJzdGFudGlhbCBudW1iZXIgb2YgcGF0aWVudHMuIEFsdGhvdWdoIHJhbmRvbWl6ZWQgY29udHJvbGxlZCB0cmlhbHMgaW5jbHVkaW5nIGEgbGFyZ2UgbnVtYmVyIG9mIHBhdGllbnRzIGFyZSBzdGlsbCBtaXNzaW5nLCBhcmlwaXByYXpvbGUgaXMgY3VycmVudGx5IGNvbnNpZGVyZWQgYXMgYSBmaXJzdCBjaG9pY2UgZHJ1ZyBmb3IgdGhlIHRyZWF0bWVudCBvZiB0aWNzLiBUaGUgYWltIG9mIHRoaXMgc3R1ZHkgd2FzIHRvIGZ1cnRoZXIgaW52ZXN0aWdhdGUgZWZmaWNhY3kgYW5kIHNhZmV0eSBvZiBhcmlwaXByYXpvbGUgaW4gYSBncm91cCBvZiBkcnVnLWZyZWUsIGFkdWx0IHBhdGllbnRzLiBTcGVjaWZpY2FsbHksIHdlIGludmVzdGlnYXRlZCB0aGUgaW5mbHVlbmNlIG9mIGFyaXBpcHJhem9sZSBvbiB0aWMgc2V2ZXJpdHksIGNvbW9yYmlkaXRpZXMsIHByZW1vbml0b3J5IHVyZ2UgKFBVKSwgYW5kIHF1YWxpdHkgb2YgbGlmZSAoUW9MKS4gTW9yZW92ZXIsIHdlIHdlcmUgaW50ZXJlc3RlZCBpbiB0aGUgZmFjdG9ycyB0aGF0IGluZmx1ZW5jZSBhIHBhdGllbnQncyBkZWNpc2lvbiBpbiBlbGVjdGluZyBmb3Itb3IgYWdhaW5zdC0gcGhhcm1hY29sb2dpY2FsIHRyZWF0bWVudC4gSW4gdGhpcyBwcm9zcGVjdGl2ZSB1bmNvbnRyb2xsZWQgb3Blbi1sYWJlbCBzdHVkeSwgd2UgaW5jbHVkZWQgNDQgcGF0aWVudHMgYW5kIHVzZWQgYSBudW1iZXIgb2YgcmF0aW5nIHNjYWxlcyB0byBhc3Nlc3MgdGljIHNldmVyaXR5LCBQVSwgY29tb3JiaWRpdGllcywgYW5kIFFvTCBhdCBiYXNlbGluZSBhbmQgZHVyaW5nIHRyZWF0bWVudCB3aXRoIGFyaXBpcHJhem9sZS4gRWlnaHRlZW4gb3V0IG9mIGZvcnR5Zm91ciBwYXRpZW50cyBkZWNpZGVkIGZvciB1bmRlcmdvaW5nIHRyZWF0bWVudCBmb3IgdGhlaXIgdGljcyB3aXRoIGFyaXBpcHJhem9sZSBhbmQgY29tcGxldGVkIGZvbGxvdy11cCBhc3Nlc3NtZW50cyBhZnRlciA0LTYgd2Vla3MuIE91ciBtYWpvciBmaW5kaW5ncyB3ZXJlICgxKSBhcmlwaXByYXpvbGUgcmVzdWx0ZWQgaW4gc2lnbmlmaWNhbnQgcmVkdWN0aW9uIG9mIHRpY3MsIGJ1dCBkaWQgbm90IGFmZmVjdCBQVTsgKDIpIGFyaXBpcHJhem9sZSBzaWduaWZpY2FudGx5IGltcHJvdmVkIE9DRCBhbmQgc2hvd2VkIGEgdHJlbmQgdG93YXJkIGltcHJvdmVtZW50IG9mIG90aGVyIGNvbW9yYmlkaXRpZXMgaW5jbHVkaW5nIGRlcHJlc3Npb24sIGFueGlldHksIGFuZCBBREhEOyAoMykgbmVpdGhlciBzZXZlcml0eSBvZiB0aWNzLCBub3IgUFUgb3IgUW9MIGluZmx1ZW5jZWQgcGF0aWVudHMnIGRlY2lzaW9ucyBmb3Igb3IgYWdhaW5zdCB0cmVhdG1lbnQgb2YgdGljcyB3aXRoIGFyaXBpcHJhem9sZTsgaW5zdGVhZCBwYXRpZW50cyB3aXRoIGNvbW9yYmlkIE9DRCB0ZW5kZWQgdG8gZGVjaWRlIGluIGZhdm9yIG9mLCB3aGlsZSBwYXRpZW50cyB3aXRoIGNvbW9yYmlkIEFESEQgdGVuZGVkIHRvIGRlY2lkZSBhZ2FpbnN0IHRpYyB0cmVhdG1lbnQ7ICg0KSBtb3N0IGZyZXF1ZW50bHkgcmVwb3J0ZWQgYWR2ZXJzZSBlZmZlY3RzIHdlcmUgc2xlZXBpbmcgcHJvYmxlbXM7ICg1KSBwYXRpZW50cycgUW9MIHdhcyBtb3N0bHkgaW1wYWlyZWQgYnkgY29tb3JiaWQgZGVwcmVzc2lvbi4gT3VyIHJlc3VsdHMgc3VnZ2VzdCB0aGF0IGFyaXBpcHJhem9sZSBtYXkgaW1wcm92ZSBhc3NvY2lhdGVkIGNvbW9yYmlkIGNvbmRpdGlvbnMgaW4gYWRkaXRpb24gdG8gdGljcyBpbiBwYXRpZW50cyB3aXRoIEdUUy4gSXQgY2FuIGJlIGh5cG90aGVzaXplZCB0aGF0IHRoZXNlIGJlbmVmaWNpYWwgZWZmZWN0cyBhcmUgcmVsYXRlZCB0byBhcmlwaXByYXpvbGUncyBhZGFwdGl2ZSBwaGFybWFjb2xvZ2ljYWwgcHJvZmlsZSwgd2hpY2ggZXhoaWJpdHMgYW4gaW5mbHVlbmNlIG9uIHRoZSBkb3BhbWluZXJnaWMgYXMgd2VsbCBhcyBhIG51bWJlciBvZiBvdGhlciBuZXVyb3RyYW5zbWl0dGVyIHN5c3RlbXMuIEZvciB0aGUgZmlyc3QgdGltZSwgb3VyIGRhdGEgcHJvdmlkZSBldmlkZW5jZSB0aGF0IHBhdGllbnRzJyBkZWNpc2lvbiBtYWtpbmcgcHJvY2VzcyBmb3Igb3IgYWdhaW5zdCBtZWRpY2FsIHRyZWF0bWVudCBpcyBpbmZsdWVuY2VkIGJ5IG90aGVyIGZhY3RvcnMgdGhhbiB0aWMgc2V2ZXJpdHkgYW5kIFFvTC5Db3B5cmlnaHQgwqkgMjAxNiBHZXJhc2NoLCBLYW5hYW4sIEpha3Vib3Zza2kgYW5kIE11bGxlci1WYWhsLiIsImlzc3VlIjoiU0VQIiwidm9sdW1lIjoiMTAiLCJjb250YWluZXItdGl0bGUtc2hvcnQiOiJGcm9udCBOZXVyb3NjaSJ9LCJpc1RlbXBvcmFyeSI6ZmFsc2V9XX0="/>
                <w:id w:val="1915505387"/>
                <w:placeholder>
                  <w:docPart w:val="DefaultPlaceholder_-1854013440"/>
                </w:placeholder>
              </w:sdtPr>
              <w:sdtContent>
                <w:r w:rsidR="00F04E9F" w:rsidRPr="00F04E9F">
                  <w:rPr>
                    <w:rFonts w:cs="Times New Roman"/>
                    <w:color w:val="000000"/>
                    <w:sz w:val="16"/>
                    <w:szCs w:val="16"/>
                    <w:shd w:val="clear" w:color="auto" w:fill="FFFFFF"/>
                  </w:rPr>
                  <w:t>(23)</w:t>
                </w:r>
              </w:sdtContent>
            </w:sdt>
          </w:p>
        </w:tc>
        <w:tc>
          <w:tcPr>
            <w:tcW w:w="0" w:type="auto"/>
            <w:shd w:val="clear" w:color="auto" w:fill="FFFFFF"/>
            <w:hideMark/>
          </w:tcPr>
          <w:p w14:paraId="4C5461F2"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and YGTSS-TTS / MRVS total scores</w:t>
            </w:r>
          </w:p>
        </w:tc>
        <w:tc>
          <w:tcPr>
            <w:tcW w:w="0" w:type="auto"/>
            <w:shd w:val="clear" w:color="auto" w:fill="FFFFFF"/>
            <w:hideMark/>
          </w:tcPr>
          <w:p w14:paraId="5C3E4D6A"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44 adults with TS</w:t>
            </w:r>
          </w:p>
        </w:tc>
        <w:tc>
          <w:tcPr>
            <w:tcW w:w="0" w:type="auto"/>
            <w:shd w:val="clear" w:color="auto" w:fill="FFFFFF"/>
            <w:hideMark/>
          </w:tcPr>
          <w:p w14:paraId="5D2CC6CE"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No significant association found between PUTS scores and YGTSS-TTS or MRVS total scores (Spearman's r = 0.281, p = 0.065 for YGTSS-TTS, r = 0.042, p = 0.79 for MRVS total scores)</w:t>
            </w:r>
          </w:p>
        </w:tc>
      </w:tr>
      <w:tr w:rsidR="005845AF" w:rsidRPr="008A1F40" w14:paraId="41A8F1ED" w14:textId="77777777" w:rsidTr="007F77D2">
        <w:trPr>
          <w:tblCellSpacing w:w="15" w:type="dxa"/>
        </w:trPr>
        <w:tc>
          <w:tcPr>
            <w:tcW w:w="0" w:type="auto"/>
            <w:shd w:val="clear" w:color="auto" w:fill="FFFFFF"/>
            <w:hideMark/>
          </w:tcPr>
          <w:p w14:paraId="684F0546" w14:textId="02BA7BC0"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Rajagopal and Cavanna (2014)</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ZDIxOTlhZmUtYTdkZC00NzNmLTlkOGMtZTU1NWUwYThhZmI0IiwicHJvcGVydGllcyI6eyJub3RlSW5kZXgiOjB9LCJpc0VkaXRlZCI6ZmFsc2UsIm1hbnVhbE92ZXJyaWRlIjp7ImlzTWFudWFsbHlPdmVycmlkZGVuIjpmYWxzZSwiY2l0ZXByb2NUZXh0IjoiKDI0KSIsIm1hbnVhbE92ZXJyaWRlVGV4dCI6IiJ9LCJjaXRhdGlvbkl0ZW1zIjpbeyJpZCI6ImQ1YzVlMjUxLWNmNjAtMzBkMS1hYTZjLWY1M2RlYzlhOTdmOCIsIml0ZW1EYXRhIjp7InR5cGUiOiJhcnRpY2xlLWpvdXJuYWwiLCJpZCI6ImQ1YzVlMjUxLWNmNjAtMzBkMS1hYTZjLWY1M2RlYzlhOTdmOCIsInRpdGxlIjoiUHJlbW9uaXRvcnkgdXJnZXMgYW5kIHJlcGV0aXRpdmUgYmVoYXZpb3VycyBpbiBhZHVsdCBwYXRpZW50cyB3aXRoIFRvdXJldHRlIHN5bmRyb21lIiwiZ3JvdXBJZCI6IjA3ZDYyYWMxLTVhYTgtMzlhZi1iNDllLTUyZDIwODhhYzU3MSIsImF1dGhvciI6W3siZmFtaWx5IjoiUmFqYWdvcGFsIiwiZ2l2ZW4iOiJTIiwicGFyc2UtbmFtZXMiOmZhbHNlLCJkcm9wcGluZy1wYXJ0aWNsZSI6IiIsIm5vbi1kcm9wcGluZy1wYXJ0aWNsZSI6IiJ9LHsiZmFtaWx5IjoiQ2F2YW5uYSIsImdpdmVuIjoiQSBFIiwicGFyc2UtbmFtZXMiOmZhbHNlLCJkcm9wcGluZy1wYXJ0aWNsZSI6IiIsIm5vbi1kcm9wcGluZy1wYXJ0aWNsZSI6IiJ9XSwiY29udGFpbmVyLXRpdGxlIjoiTmV1cm9sIFNjaSIsIkRPSSI6IjEwLjEwMDcvczEwMDcyLTAxNC0xNzA2LTgiLCJQTUlEIjoiMjQ2MDQ0MTIiLCJVUkwiOiJodHRwczovL2xpbmsuc3ByaW5nZXIuY29tL2FydGljbGUvMTAuMTAwNy9zMTAwNzItMDE0LTE3MDYtOCIsImlzc3VlZCI6eyJkYXRlLXBhcnRzIjpbWzIwMTRdXX0sInBhZ2UiOiI5NjktOTcxIiwiYWJzdHJhY3QiOiJUb3VyZXR0ZSBzeW5kcm9tZSAoVFMpIGlzIGEgbmV1cm9kZXZlbG9wbWVudGFsIGRpc29yZGVyIGNoYXJhY3RlcmlzZWQgYnkgbXVsdGlwbGUgbW90b3IgYW5kIHBob25pYyB0aWNzLCB3aGljaCBhcmUgYXNzb2NpYXRlZCB3aXRoIHNlbnNvcnkgc3ltcHRvbXMgKHByZW1vbml0b3J5IHVyZ2VzKS4gTGl0dGxlIGlzIGtub3duIGFib3V0IHRoZSBuYXR1cmUgb2YgdGhlIHN1YmplY3RpdmUgdXJnZXMgYW5kIHJlcGV0aXRpdmUgYmVoYXZpb3VycyB3aGljaCBhcmUgaW50cmluc2ljIHRvIFRTLiBUaGlzIHN0dWR5IGFzc2Vzc2VkIHRoZSByZWxhdGlvbnNoaXAgYmV0d2VlbiBzcGVjaWZpYyB1cmdlcyBhbmQgcmVwZXRpdGl2ZSBiZWhhdmlvdXJzIGluIDEwOCBjb25zZWN1dGl2ZSBhZHVsdCBwYXRpZW50cyByZWNydWl0ZWQgYXQgYSBzcGVjaWFsaXN0IFRTIENsaW5pYy4gQW5hbHlzaXMgb2Ygc2VsZi1yZXBvcnQgbWVhc3VyZXMgb2Ygc2Vuc29yeSBzeW1wdG9tcyAoUHJlbW9uaXRvcnkgVXJnZSBmb3IgVGljcyBTY2FsZSkgYW5kIHJlcGV0aXRpdmUgYmVoYXZpb3VycyAoTW90b3IgdGljLCBPYnNlc3Npb25zIGFuZCBjb21wdWxzaW9ucywgVm9jYWwgdGljIEV2YWx1YXRpb24gU3VydmV5KSBzaG93ZWQgdGhhdCBkaWZmZXJlbnQgdHlwZXMgb2YgdXJnZXMgYXJlIGFzc29jaWF0ZWQgd2l0aCBzaW1wbGUvY29tcGxleCB0aWNzIGFuZCBvYnNlc3NpdmUtY29tcHVsc2l2ZSBzeW1wdG9tcy4iLCJpc3N1ZSI6IjYiLCJ2b2x1bWUiOiIzNSIsImNvbnRhaW5lci10aXRsZS1zaG9ydCI6IiJ9LCJpc1RlbXBvcmFyeSI6ZmFsc2V9XX0="/>
                <w:id w:val="1415966397"/>
                <w:placeholder>
                  <w:docPart w:val="DefaultPlaceholder_-1854013440"/>
                </w:placeholder>
              </w:sdtPr>
              <w:sdtContent>
                <w:r w:rsidR="00F04E9F" w:rsidRPr="00F04E9F">
                  <w:rPr>
                    <w:rFonts w:cs="Times New Roman"/>
                    <w:color w:val="000000"/>
                    <w:sz w:val="16"/>
                    <w:szCs w:val="16"/>
                    <w:shd w:val="clear" w:color="auto" w:fill="FFFFFF"/>
                  </w:rPr>
                  <w:t>(24)</w:t>
                </w:r>
              </w:sdtContent>
            </w:sdt>
          </w:p>
        </w:tc>
        <w:tc>
          <w:tcPr>
            <w:tcW w:w="0" w:type="auto"/>
            <w:shd w:val="clear" w:color="auto" w:fill="FFFFFF"/>
            <w:hideMark/>
          </w:tcPr>
          <w:p w14:paraId="3A8A4D95"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item scores and YGTSS scores</w:t>
            </w:r>
          </w:p>
        </w:tc>
        <w:tc>
          <w:tcPr>
            <w:tcW w:w="0" w:type="auto"/>
            <w:shd w:val="clear" w:color="auto" w:fill="FFFFFF"/>
            <w:hideMark/>
          </w:tcPr>
          <w:p w14:paraId="66CF3055"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108 adults with TS</w:t>
            </w:r>
          </w:p>
        </w:tc>
        <w:tc>
          <w:tcPr>
            <w:tcW w:w="0" w:type="auto"/>
            <w:shd w:val="clear" w:color="auto" w:fill="FFFFFF"/>
            <w:hideMark/>
          </w:tcPr>
          <w:p w14:paraId="357E199A"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No significant Spearman’s correlation between any PUTS item score and YGTSS (based on reported values, authors used global YGTSS score (i.e., sum of total tic score and impairment), though this is not explicitly stated in the paper) scores after correction for multiple comparisons</w:t>
            </w:r>
          </w:p>
        </w:tc>
      </w:tr>
      <w:tr w:rsidR="005845AF" w:rsidRPr="008A1F40" w14:paraId="01655312" w14:textId="77777777" w:rsidTr="007F77D2">
        <w:trPr>
          <w:tblCellSpacing w:w="15" w:type="dxa"/>
        </w:trPr>
        <w:tc>
          <w:tcPr>
            <w:tcW w:w="0" w:type="auto"/>
            <w:shd w:val="clear" w:color="auto" w:fill="FFFFFF"/>
            <w:hideMark/>
          </w:tcPr>
          <w:p w14:paraId="0955E7CB" w14:textId="4BB39FD1"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Steinberg et al (2013)</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MWY3MzVlZDQtMDUyNC00NWIzLTkzMjctNDk1Zjc2ZDhlZTAyIiwicHJvcGVydGllcyI6eyJub3RlSW5kZXgiOjB9LCJpc0VkaXRlZCI6ZmFsc2UsIm1hbnVhbE92ZXJyaWRlIjp7ImlzTWFudWFsbHlPdmVycmlkZGVuIjpmYWxzZSwiY2l0ZXByb2NUZXh0IjoiKDI1KSIsIm1hbnVhbE92ZXJyaWRlVGV4dCI6IiJ9LCJjaXRhdGlvbkl0ZW1zIjpbeyJpZCI6IjlmYjk1MTU2LTIxODMtMzQ4Yy1hMTExLTlhOGY5OTY1YmZmYyIsIml0ZW1EYXRhIjp7InR5cGUiOiJhcnRpY2xlLWpvdXJuYWwiLCJpZCI6IjlmYjk1MTU2LTIxODMtMzQ4Yy1hMTExLTlhOGY5OTY1YmZmYyIsInRpdGxlIjoiVGljLXJlbGF0ZWQgY29nbml0aW9uLCBzZW5zb3J5IHBoZW5vbWVuYSwgYW5kIGFueGlldHkgaW4gY2hpbGRyZW4gYW5kIGFkb2xlc2NlbnRzIHdpdGggVG91cmV0dGUgc3luZHJvbWUiLCJncm91cElkIjoiMDdkNjJhYzEtNWFhOC0zOWFmLWI0OWUtNTJkMjA4OGFjNTcxIiwiYXV0aG9yIjpbeyJmYW1pbHkiOiJTdGVpbmJlcmciLCJnaXZlbiI6IlQiLCJwYXJzZS1uYW1lcyI6ZmFsc2UsImRyb3BwaW5nLXBhcnRpY2xlIjoiIiwibm9uLWRyb3BwaW5nLXBhcnRpY2xlIjoiIn0seyJmYW1pbHkiOiJIYXJ1c2giLCJnaXZlbiI6IkEiLCJwYXJzZS1uYW1lcyI6ZmFsc2UsImRyb3BwaW5nLXBhcnRpY2xlIjoiIiwibm9uLWRyb3BwaW5nLXBhcnRpY2xlIjoiIn0seyJmYW1pbHkiOiJCYXJuZWEiLCJnaXZlbiI6Ik0iLCJwYXJzZS1uYW1lcyI6ZmFsc2UsImRyb3BwaW5nLXBhcnRpY2xlIjoiIiwibm9uLWRyb3BwaW5nLXBhcnRpY2xlIjoiIn0seyJmYW1pbHkiOiJEYXIiLCJnaXZlbiI6IlIiLCJwYXJzZS1uYW1lcyI6ZmFsc2UsImRyb3BwaW5nLXBhcnRpY2xlIjoiIiwibm9uLWRyb3BwaW5nLXBhcnRpY2xlIjoiIn0seyJmYW1pbHkiOiJQaWFjZW50aW5pIiwiZ2l2ZW4iOiJKIiwicGFyc2UtbmFtZXMiOmZhbHNlLCJkcm9wcGluZy1wYXJ0aWNsZSI6IiIsIm5vbi1kcm9wcGluZy1wYXJ0aWNsZSI6IiJ9LHsiZmFtaWx5IjoiV29vZHMiLCJnaXZlbiI6IkQiLCJwYXJzZS1uYW1lcyI6ZmFsc2UsImRyb3BwaW5nLXBhcnRpY2xlIjoiIiwibm9uLWRyb3BwaW5nLXBhcnRpY2xlIjoiIn0seyJmYW1pbHkiOiJTaG11ZWwtQmFydWNoIiwiZ2l2ZW4iOiJTIiwicGFyc2UtbmFtZXMiOmZhbHNlLCJkcm9wcGluZy1wYXJ0aWNsZSI6IiIsIm5vbi1kcm9wcGluZy1wYXJ0aWNsZSI6IiJ9LHsiZmFtaWx5IjoiQXB0ZXIiLCJnaXZlbiI6IkEiLCJwYXJzZS1uYW1lcyI6ZmFsc2UsImRyb3BwaW5nLXBhcnRpY2xlIjoiIiwibm9uLWRyb3BwaW5nLXBhcnRpY2xlIjoiIn1dLCJjb250YWluZXItdGl0bGUiOiJDb21wciBQc3ljaGlhdHJ5IiwiRE9JIjoiMTAuMTAxNi9qLmNvbXBwc3ljaC4yMDEyLjEyLjAxMiIsIlBNSUQiOiIyMzMzMjU1NSIsIlVSTCI6Imh0dHBzOi8vbWVkaWEucHJvcXVlc3QuY29tL21lZGlhL3BxL2NsYXNzaWMvZG9jLzI5OTU4Mzg1ODEvZm10L3BpL3JlcC9OT05FP2NpdCUzQWF1dGg9U3RlaW5iZXJnJTJDK1RhbWFyJTNCSGFydXNoJTJDK0FkdmElM0JCYXJuZWElMkMrTWVpcmF2JTNCRGFyJTJDK1J1ZXZlbiUzQlBpYWNlbnRpbmklMkMrSm9obiUzQldvb2RzJTJDK0RvdWclM0JTaG11ZWwtQmFydWNoJTJDK1NoYXJvbmElM0JBcHRlciUyQytBbGFuJmNpdCUzQXRpdGxlPVRpYy1yZSIsImlzc3VlZCI6eyJkYXRlLXBhcnRzIjpbWzIwMTNdXX0sInBhZ2UiOiI0NjItNDY2IiwiYWJzdHJhY3QiOiJCQUNLR1JPVU5EOiBUb3VyZXR0ZSBzeW5kcm9tZSBpcyBhIHByb3RveXBpY2FsIGV4YW1wbGUgb2YgZGV2ZWxvcG1lbnRhbCBwc3ljaG9wYXRob2xvZ3ksIHdpdGggdGhlIHZhcnlpbmcgZXhwcmVzc2lvbnMgb2YgdGhlIGRpc29yZGVyIGFuZCBpdHMgY29uc2VxdWVuY2VzIGFwcGVhcmluZyBvdmVyIHRpbWUuIFNlbnNvcnkgdXJnZXMgdHlwaWNhbGx5IGFwcGVhciBhZnRlciBhZ2UgMTAgYW5kIGFyZSBvZnRlbiBmb2xsb3dlZCBieSBhbnhpZXR5IGFuZCBkZXByZXNzaW9uLiBPQkpFQ1RJVkU6IFRvIHN0dWR5IHRoZSBhc3NvY2lhdGlvbnMgYW1vbmcgdGljLXJlbGF0ZWQgY29nbml0aW9ucywgcHJlbW9uaXRvcnkgdXJnZXMsIGFuZCB0aWMgc2V2ZXJpdHkgaW4gY2hpbGRyZW4gd2l0aCBUb3VyZXR0ZSBzeW5kcm9tZSBhdCBkaWZmZXJlbnQgc3RhZ2VzIG9mIHRoZSBpbGxuZXNzLiBTVUJKRUNUUzogRmlmdHktc2V2ZW4gY29uc2VjdXRpdmUgcGF0aWVudHMgcmVmZXJyZWQgdG8gYSB0aWMgZGlzb3JkZXJzIGNsaW5pYy4gSU5TVFJVTUVOVFM6IEEgYmF0dGVyeSBvZiBpbnN0cnVtZW50cyB3YXMgY29tcGxldGVkOiBZYWxlIEdsb2JhbCBUaWMgU2V2ZXJpdHkgU2NhbGUsIFByZW1vbml0b3J5IFVyZ2UgZm9yIFRpY3MgU2NhbGUsIFNjcmVlbiBmb3IgQ2hpbGQgQW54aWV0eSBSZWxhdGVkIEVtb3Rpb25hbCBEaXNvcmRlcnMsIGFuZCBDaGlsZCBEZXByZXNzaW9uIEludmVudG9yeS4gVG8gZXhhbWluZSBjb2duaXRpb25zLCBhIG5ldyBtZWFzdXJlIHdhcyBkZXZlbG9wZWQ6IHRoZSBCZWxpZWZzIEFib3V0IFRpY3MgU2NhbGUuIFJFU1VMVFM6IFN0cm9uZyBjb3JyZWxhdGlvbnMgd2VyZSBmb3VuZCBiZXR3ZWVuIHRpYy1yZWxhdGVkIGJlbGllZnMgYW5kIGJvdGggcHJlbW9uaXRvcnkgdXJnZXMgYW5kIHRpYy1yZWxhdGVkIGltcGFpcm1lbnRzIChhcyBtZWFzdXJlZCBieSB0aGUgWWFsZSBHbG9iYWwgU2NhbGUpLiBUaWMtcmVsYXRlZCBiZWxpZWZzIHdlcmUgYWxzbyBzdHJvbmdseSBjb3JyZWxhdGVkIHdpdGggZGVwcmVzc2lvbiBpbiBjaGlsZHJlbiBvbGRlciB0aGFuIDEzIHllYXJzIGJ1dCBub3QgaW4geW91bmdlciBjaGlsZHJlbi4gQ09OQ0xVU0lPTlM6IFRoZSBzaWduaWZpY2FudCBjb3JyZWxhdGlvbnMgYmV0d2VlbiB0aWMtcmVsYXRlZCBjb2duaXRpb25zLCBwcmVtb25pdG9yeSB1cmdlcywgYW5kIHRpYy1yZWxhdGVkIGltcGFpcm1lbnRzIGluIGNoaWxkcmVuIGVtcGhhc2l6ZSB0aGUgaW1wb3J0YW50IHJvbGUgb2YgcHN5Y2hvbG9naWNhbCBhbmQgc2Vuc29yeSBmYWN0b3JzIGluIHRoZSB1bmRlcnN0YW5kaW5nIG9mIFRvdXJldHRlIHN5bmRyb21lIGFuZCBpbiBpdHMgdHJlYXRtZW50LiIsImlzc3VlIjoiNSIsInZvbHVtZSI6IjU0IiwiY29udGFpbmVyLXRpdGxlLXNob3J0IjoiIn0sImlzVGVtcG9yYXJ5IjpmYWxzZX1dfQ=="/>
                <w:id w:val="-975135778"/>
                <w:placeholder>
                  <w:docPart w:val="DefaultPlaceholder_-1854013440"/>
                </w:placeholder>
              </w:sdtPr>
              <w:sdtContent>
                <w:r w:rsidR="00F04E9F" w:rsidRPr="00F04E9F">
                  <w:rPr>
                    <w:rFonts w:cs="Times New Roman"/>
                    <w:color w:val="000000"/>
                    <w:sz w:val="16"/>
                    <w:szCs w:val="16"/>
                    <w:shd w:val="clear" w:color="auto" w:fill="FFFFFF"/>
                  </w:rPr>
                  <w:t>(25)</w:t>
                </w:r>
              </w:sdtContent>
            </w:sdt>
          </w:p>
        </w:tc>
        <w:tc>
          <w:tcPr>
            <w:tcW w:w="0" w:type="auto"/>
            <w:shd w:val="clear" w:color="auto" w:fill="FFFFFF"/>
            <w:hideMark/>
          </w:tcPr>
          <w:p w14:paraId="3FAA104B"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and YGTSS-TTS / YGTSS impairment scores</w:t>
            </w:r>
          </w:p>
        </w:tc>
        <w:tc>
          <w:tcPr>
            <w:tcW w:w="0" w:type="auto"/>
            <w:shd w:val="clear" w:color="auto" w:fill="FFFFFF"/>
            <w:hideMark/>
          </w:tcPr>
          <w:p w14:paraId="7A3FD3E6"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56 children and adolescents with CTDs</w:t>
            </w:r>
          </w:p>
        </w:tc>
        <w:tc>
          <w:tcPr>
            <w:tcW w:w="0" w:type="auto"/>
            <w:shd w:val="clear" w:color="auto" w:fill="FFFFFF"/>
            <w:hideMark/>
          </w:tcPr>
          <w:p w14:paraId="109C5724" w14:textId="21B3B1A8"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No significant correlation found between PUTS scores and YGTSS-TTS (Pearson’s r = 0.21) or YGTSS impairment scores (Pearson’s r = 0.27)</w:t>
            </w:r>
          </w:p>
          <w:p w14:paraId="58C7BB32"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 xml:space="preserve">In a multiple regression predicting YGTSS impairment from PUTS scores and BATS scores, PUTS was not a significant predictor </w:t>
            </w:r>
            <w:r w:rsidRPr="008A1F40">
              <w:rPr>
                <w:rFonts w:cs="Times New Roman"/>
                <w:color w:val="000000" w:themeColor="text1"/>
                <w:sz w:val="16"/>
                <w:szCs w:val="16"/>
              </w:rPr>
              <w:t>(</w:t>
            </w:r>
            <w:r w:rsidRPr="008A1F40">
              <w:rPr>
                <w:rFonts w:cs="Times New Roman"/>
                <w:color w:val="000000" w:themeColor="text1"/>
                <w:sz w:val="16"/>
                <w:szCs w:val="16"/>
                <w:shd w:val="clear" w:color="auto" w:fill="FFFFFF"/>
              </w:rPr>
              <w:t>β = -0.02)</w:t>
            </w:r>
          </w:p>
        </w:tc>
      </w:tr>
      <w:tr w:rsidR="005845AF" w:rsidRPr="008A1F40" w14:paraId="3379FF16" w14:textId="77777777" w:rsidTr="007F77D2">
        <w:trPr>
          <w:tblCellSpacing w:w="15" w:type="dxa"/>
        </w:trPr>
        <w:tc>
          <w:tcPr>
            <w:tcW w:w="0" w:type="auto"/>
            <w:shd w:val="clear" w:color="auto" w:fill="FFFFFF"/>
            <w:hideMark/>
          </w:tcPr>
          <w:p w14:paraId="27308E37" w14:textId="7144775E"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Eddy and Cavanna (2014)</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MjVhODExOWMtNmJmOC00NzljLWEzOWUtYzk5ZGQyYmIwNjgxIiwicHJvcGVydGllcyI6eyJub3RlSW5kZXgiOjB9LCJpc0VkaXRlZCI6ZmFsc2UsIm1hbnVhbE92ZXJyaWRlIjp7ImlzTWFudWFsbHlPdmVycmlkZGVuIjpmYWxzZSwiY2l0ZXByb2NUZXh0IjoiKDI2KSIsIm1hbnVhbE92ZXJyaWRlVGV4dCI6IiJ9LCJjaXRhdGlvbkl0ZW1zIjpbeyJpZCI6ImJiM2Q3NWY1LTU0MTctMzhmZC04NDIxLTZlYmEzZjE5MzVmYSIsIml0ZW1EYXRhIjp7InR5cGUiOiJhcnRpY2xlLWpvdXJuYWwiLCJpZCI6ImJiM2Q3NWY1LTU0MTctMzhmZC04NDIxLTZlYmEzZjE5MzVmYSIsInRpdGxlIjoiUHJlbW9uaXRvcnkgVXJnZXMgaW4gQWR1bHRzIFdpdGggQ29tcGxpY2F0ZWQgYW5kIFVuY29tcGxpY2F0ZWQgVG91cmV0dGUgU3luZHJvbWUiLCJncm91cElkIjoiMDdkNjJhYzEtNWFhOC0zOWFmLWI0OWUtNTJkMjA4OGFjNTcxIiwiYXV0aG9yIjpbeyJmYW1pbHkiOiJFZGR5IiwiZ2l2ZW4iOiJDIE0iLCJwYXJzZS1uYW1lcyI6ZmFsc2UsImRyb3BwaW5nLXBhcnRpY2xlIjoiIiwibm9uLWRyb3BwaW5nLXBhcnRpY2xlIjoiIn0seyJmYW1pbHkiOiJDYXZhbm5hIiwiZ2l2ZW4iOiJBIEUiLCJwYXJzZS1uYW1lcyI6ZmFsc2UsImRyb3BwaW5nLXBhcnRpY2xlIjoiIiwibm9uLWRyb3BwaW5nLXBhcnRpY2xlIjoiIn1dLCJjb250YWluZXItdGl0bGUiOiJCZWhhdmlvciBtb2RpZmljYXRpb24iLCJET0kiOiJodHRwczovL2R4LmRvaS5vcmcvMTAuMTE3Ny8wMTQ1NDQ1NTEzNTA0NDMyIiwiVVJMIjoiaHR0cDovL292aWRzcC5vdmlkLmNvbS9vdmlkd2ViLmNnaT9UPUpTJlBBR0U9cmVmZXJlbmNlJkQ9ZW1lZDE1Jk5FV1M9TiZBTj02MTE0MjU3MjIiLCJpc3N1ZWQiOnsiZGF0ZS1wYXJ0cyI6W1syMDE0XV19LCJwYWdlIjoiMjY0LTI3NSIsImFic3RyYWN0IjoiTW9zdCBwYXRpZW50cyB3aXRoIFRvdXJldHRlIHN5bmRyb21lIChUUykgcmVwb3J0IGV4cGVyaWVuY2luZyBzdWJqZWN0aXZlIGJvZGlseSBzZW5zYXRpb25zIHRlcm1lZCBwcmVtb25pdG9yeSB1cmdlcywgYmVmb3JlIHRoZXkgaGF2ZSBhIHRpYy4gVGhpcyBzdHVkeSBpbnZlc3RpZ2F0ZWQgcmVsYXRpb25zaGlwcyBiZXR3ZWVuIHByZW1vbml0b3J5IHVyZ2VzIGFuZCB0aWMgc2V2ZXJpdHksIGRlcHJlc3Npb24sIGFueGlldHksIG9ic2Vzc2lvbnMsIGNvbXB1bHNpb25zLCBhbmQgYXR0ZW50aW9uIHByb2JsZW1zLiBXZSBhbHNvIGV4cGxvcmVkIHBvc3NpYmxlIGRpZmZlcmVuY2VzIGJldHdlZW4gcGF0aWVudHMgd2l0aCBhbmQgd2l0aG91dCBjb21vcmJpZCBjb25kaXRpb25zLiBGaW5hbGx5LCB3ZSBleHBsb3JlZCB3aGV0aGVyIHByZW1vbml0b3J5IHVyZ2VzIGltcGFjdGVkIG9uIHBlcmNlaXZlZCBxdWFsaXR5IG9mIGxpZmUgKFFvTCkuIE9uZSBodW5kcmVkIGFkdWx0IG91dHBhdGllbnRzICg3MCBtYWxlczsgbWVhbiBhZ2UgMzIgeWVhcnMpIHdlcmUgcmVjcnVpdGVkIGZyb20gYSBzcGVjaWFsaXN0IFRTIGNsaW5pYy4gRmlmdHkgcGVyY2VudCBleGhpYml0ZWQgY29tb3JiaWQgZGlhZ25vc2VzLCB0aGUgbW9zdCBjb21tb24gb2Ygd2hpY2ggd2VyZSBvYnNlc3NpdmUtY29tcHVsc2l2ZSBkaXNvcmRlciAoMjMlKSwgYXR0ZW50aW9uLWRlZmljaXQgaHlwZXJhY3Rpdml0eSBkaXNvcmRlciAoMTUlKSwgYW54aWV0eSAoNiUpLCBhbmQgZGVwcmVzc2lvbiAoNSUpLiBGb3IgdGhlIGVudGlyZSBzYW1wbGUsIHByZW1vbml0b3J5IHVyZ2VzIHdlcmUgc2lnbmlmaWNhbnRseSByZWxhdGVkIHRvIGNsaW5pY2FsIHN5bXB0b21zLCBlc3BlY2lhbGx5IG9ic2Vzc2l2ZS1jb21wdWxzaXZlIHN5bXB0b21zIGFuZCBhbnhpZXR5LCBhbmQgd2VyZSBzaWduaWZpY2FudGx5IG5lZ2F0aXZlbHkgcmVsYXRlZCB0byBRb0wgc2NvcmVzLiBQcmVtb25pdG9yeSB1cmdlcyBoYWQgYSBzdHJvbmcgbmVnYXRpdmUgY29ycmVsYXRpb24gd2l0aCBRb0wgaW4gcGF0aWVudHMgd2l0aCBcInB1cmVcIiBUUyAobm8gY29tb3JiaWRpdGllcyksIHdoaWxlIHRoaXMgcmVsYXRpb25zaGlwIHdhcyB3ZWFrZXIgZm9yIHBhdGllbnRzIHdpdGggY29tb3JiaWQgY29uZGl0aW9ucywgd2hvIHJlcG9ydGVkIHN0cm9uZ2VyIG9yIG1vcmUgZnJlcXVlbnQgcHJlbW9uaXRvcnkgdXJnZXMgaW4gYXNzb2NpYXRpb24gd2l0aCBncmVhdGVyIGFueGlldHkuIFRoZXNlIGZpbmRpbmdzIG1heSBpbXBseSB0aGF0IHNsaWdodGx5IGRpZmZlcmVudCBwc3ljaG9sb2dpY2FsIGZhY3RvcnMgZHJpdmUgc2VsZi1yZXBvcnRlZCBwcmVtb25pdG9yeSB1cmdlIHJhdGluZ3MgaW4gcGF0aWVudHMgd2l0aCBhbmQgd2l0aG91dCBjb21vcmJpZGl0aWVzIGFuZCB0aGF0IHRoZSBwZXJjZWl2ZWQgaW5mbHVlbmNlIG9mIGRpc3RyZXNzaW5nIHByZW1vbml0b3J5IHVyZ2VzIG9uIHdlbGxiZWluZyBpcyBsZXNzIGltcG9ydGFudCBpbiB0aGUgY29udGV4dCBvZiBjb21vcmJpZCBzeW1wdG9tYXRvbG9neS4gQXMgcHJlbW9uaXRvcnkgdXJnZXMgYXJlIHJlbGF0ZWQgdG8gUW9MLCB0aGV5IHNob3VsZCBiZSB0YWtlbiBpbnRvIGFjY291bnQgZHVyaW5nIGV2YWx1YXRpb24gb2YgdHJlYXRtZW50IGVmZmljYWN5LCBlc3BlY2lhbGx5IGluIGNhc2VzIHdpdGggXCJwdXJlXCIgVFMuIENvcHlyaWdodCDCqSBUaGUgQXV0aG9yKHMpIDIwMTMuIiwiaXNzdWUiOiIyIiwidm9sdW1lIjoiMzgiLCJjb250YWluZXItdGl0bGUtc2hvcnQiOiJCZWhhdiBNb2RpZiJ9LCJpc1RlbXBvcmFyeSI6ZmFsc2V9XX0="/>
                <w:id w:val="-333611547"/>
                <w:placeholder>
                  <w:docPart w:val="DefaultPlaceholder_-1854013440"/>
                </w:placeholder>
              </w:sdtPr>
              <w:sdtContent>
                <w:r w:rsidR="00F04E9F" w:rsidRPr="00F04E9F">
                  <w:rPr>
                    <w:rFonts w:cs="Times New Roman"/>
                    <w:color w:val="000000"/>
                    <w:sz w:val="16"/>
                    <w:szCs w:val="16"/>
                    <w:shd w:val="clear" w:color="auto" w:fill="FFFFFF"/>
                  </w:rPr>
                  <w:t>(26)</w:t>
                </w:r>
              </w:sdtContent>
            </w:sdt>
          </w:p>
        </w:tc>
        <w:tc>
          <w:tcPr>
            <w:tcW w:w="0" w:type="auto"/>
            <w:shd w:val="clear" w:color="auto" w:fill="FFFFFF"/>
            <w:hideMark/>
          </w:tcPr>
          <w:p w14:paraId="0CCCA20F"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and YGTSS-TTS</w:t>
            </w:r>
          </w:p>
        </w:tc>
        <w:tc>
          <w:tcPr>
            <w:tcW w:w="0" w:type="auto"/>
            <w:shd w:val="clear" w:color="auto" w:fill="FFFFFF"/>
            <w:hideMark/>
          </w:tcPr>
          <w:p w14:paraId="2171E2C5"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100 adolescents and adults aged 17-67 with TS</w:t>
            </w:r>
          </w:p>
        </w:tc>
        <w:tc>
          <w:tcPr>
            <w:tcW w:w="0" w:type="auto"/>
            <w:shd w:val="clear" w:color="auto" w:fill="FFFFFF"/>
            <w:hideMark/>
          </w:tcPr>
          <w:p w14:paraId="29155C13"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Significant correlation found between PUTS scores and YGTSS-TTS, but did not survive correction for multiple comparisons (Pearson's r = 0.273, p = 0.042)</w:t>
            </w:r>
          </w:p>
        </w:tc>
      </w:tr>
      <w:tr w:rsidR="005845AF" w:rsidRPr="008A1F40" w14:paraId="7162DCAA" w14:textId="77777777" w:rsidTr="007F77D2">
        <w:trPr>
          <w:tblCellSpacing w:w="15" w:type="dxa"/>
        </w:trPr>
        <w:tc>
          <w:tcPr>
            <w:tcW w:w="0" w:type="auto"/>
            <w:shd w:val="clear" w:color="auto" w:fill="FFFFFF"/>
            <w:hideMark/>
          </w:tcPr>
          <w:p w14:paraId="6A3BB755" w14:textId="24889EC0"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Ramsey et al (2021)</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NGUxZmE3NGQtNDllNC00NDI1LWI3NDktOTAyN2FhMjIwMjFiIiwicHJvcGVydGllcyI6eyJub3RlSW5kZXgiOjB9LCJpc0VkaXRlZCI6ZmFsc2UsIm1hbnVhbE92ZXJyaWRlIjp7ImlzTWFudWFsbHlPdmVycmlkZGVuIjpmYWxzZSwiY2l0ZXByb2NUZXh0IjoiKDI3KSIsIm1hbnVhbE92ZXJyaWRlVGV4dCI6IiJ9LCJjaXRhdGlvbkl0ZW1zIjpbeyJpZCI6IjEzNTI2YjJhLWYxZDQtMzE5MS1hYjExLTE4MDAyZThhZTUxYSIsIml0ZW1EYXRhIjp7InR5cGUiOiJhcnRpY2xlLWpvdXJuYWwiLCJpZCI6IjEzNTI2YjJhLWYxZDQtMzE5MS1hYjExLTE4MDAyZThhZTUxYSIsInRpdGxlIjoiVXJnZSBJbnRvbGVyYW5jZSBhbmQgSW1wYWlybWVudCBBbW9uZyBZb3V0aCB3aXRoIFRvdXJldHRlJ3MgYW5kIENocm9uaWMgVGljIERpc29yZGVycyIsImdyb3VwSWQiOiIwN2Q2MmFjMS01YWE4LTM5YWYtYjQ5ZS01MmQyMDg4YWM1NzEiLCJhdXRob3IiOlt7ImZhbWlseSI6IlJhbXNleSIsImdpdmVuIjoiSyBBIiwicGFyc2UtbmFtZXMiOmZhbHNlLCJkcm9wcGluZy1wYXJ0aWNsZSI6IiIsIm5vbi1kcm9wcGluZy1wYXJ0aWNsZSI6IiJ9LHsiZmFtaWx5IjoiRXNzb2UiLCJnaXZlbiI6IkogSyIsInBhcnNlLW5hbWVzIjpmYWxzZSwiZHJvcHBpbmctcGFydGljbGUiOiIiLCJub24tZHJvcHBpbmctcGFydGljbGUiOiIifSx7ImZhbWlseSI6IlN0b3JjaCIsImdpdmVuIjoiRSBBIiwicGFyc2UtbmFtZXMiOmZhbHNlLCJkcm9wcGluZy1wYXJ0aWNsZSI6IiIsIm5vbi1kcm9wcGluZy1wYXJ0aWNsZSI6IiJ9LHsiZmFtaWx5IjoiTGV3aW4iLCJnaXZlbiI6IkEgQiIsInBhcnNlLW5hbWVzIjpmYWxzZSwiZHJvcHBpbmctcGFydGljbGUiOiIiLCJub24tZHJvcHBpbmctcGFydGljbGUiOiIifSx7ImZhbWlseSI6Ik11cnBoeSIsImdpdmVuIjoiVCBLIiwicGFyc2UtbmFtZXMiOmZhbHNlLCJkcm9wcGluZy1wYXJ0aWNsZSI6IiIsIm5vbi1kcm9wcGluZy1wYXJ0aWNsZSI6IiJ9LHsiZmFtaWx5IjoiTWNHdWlyZSIsImdpdmVuIjoiSiBGIiwicGFyc2UtbmFtZXMiOmZhbHNlLCJkcm9wcGluZy1wYXJ0aWNsZSI6IiIsIm5vbi1kcm9wcGluZy1wYXJ0aWNsZSI6IiJ9XSwiY29udGFpbmVyLXRpdGxlIjoiQ2hpbGQgUHN5Y2hpYXRyeSBIdW0gRGV2IiwiRE9JIjoiMTAuMTAwNy9zMTA1NzgtMDIwLTAxMDg1LTMiLCJQTUlEIjoiMzMwOTU0MDYiLCJVUkwiOiJodHRwczovL2xpbmsuc3ByaW5nZXIuY29tL2FydGljbGUvMTAuMTAwNy9zMTA1NzgtMDIwLTAxMDg1LTMiLCJpc3N1ZWQiOnsiZGF0ZS1wYXJ0cyI6W1syMDIxXV19LCJwYWdlIjoiNzYxLTc3MSIsImFic3RyYWN0IjoiSW5kaXZpZHVhbHMgd2l0aCBUb3VyZXR0ZSdzIERpc29yZGVyIGFuZCBQZXJzaXN0ZW50IFRpYyBEaXNvcmRlcnMgKFREKSBvZnRlbiBleHBlcmllbmNlIHByZW1vbml0b3J5IHVyZ2VzLWF2ZXJzaXZlIHNlbnNhdGlvbnMgdGhhdCBwcmVjZWRlIHRpY3MgYW5kIGFyZSByZWxpZXZlZCBieSB0aWMgZXhwcmVzc2lvbi4gR2l2ZW4gaXRzIHJvbGUgaW4gdGhlIG5ldXJvYmVoYXZpb3JhbCBtb2RlbCBvZiBURCwgdW5kZXJzdGFuZGluZyBmYWN0b3JzIHRoYXQgaW5mbHVlbmNlIHByZW1vbml0b3J5IHVyZ2VzIGFuZCBhc3NvY2lhdGVkIHJlbGllZiBjYW4gYWR2YW5jZSB1bmRlcnN0YW5kaW5nIG9mIHVyZ2UgcGhlbm9tZW5vbG9neSBhbmQgb3B0aW1pemUgdHJlYXRtZW50cyBmb3IgaW5kaXZpZHVhbHMgd2l0aCBURC4gVGhpcyBzdHVkeSBleGFtaW5lZCB3aGV0aGVyIHRoZSBub3ZlbCBjb25zdHJ1Y3Qgb2YgdXJnZSBpbnRvbGVyYW5jZS1kaWZmaWN1bHR5IHRvbGVyYXRpbmcgcHJlbW9uaXRvcnkgdXJnZXMtcHJlZGljdGVkIHRpYyBzZXZlcml0eSBhbmQgdGljLXJlbGF0ZWQgZGlzYWJpbGl0eS4gUGFydGljaXBhbnRzIGluY2x1ZGVkIDc1IHlvdXRoIHdpdGggVEQgYW5kIHRoZWlyIGNhcmVnaXZlcnMuIEFzc2Vzc21lbnRzIGNoYXJhY3Rlcml6ZWQgdGljIHNldmVyaXR5LCBwcmVtb25pdG9yeSB1cmdlLCBkaXN0cmVzcyB0b2xlcmFuY2UsIGludGVybmFsaXppbmcgc3ltcHRvbXMsIGFuZCB0aWMtcmVsYXRlZCBkaXNhYmlsaXR5LiBTdHJ1Y3R1cmFsIGVxdWF0aW9uIG1vZGVsaW5nIHJldmVhbGVkIHRoYXQgaGlnaGVyIGxldmVscyBvZiB1cmdlIGludG9sZXJhbmNlIHByZWRpY3RlZCBncmVhdGVyIGxldmVscyBvZiB0aWMtcmVsYXRlZCBkaXNhYmlsaXR5LiBGdXJ0aGVybW9yZSwgdGhlIHJlbGF0aW9uc2hpcCBiZXR3ZWVuIHVyZ2UgaW50b2xlcmFuY2UgYW5kIHRpYy1yZWxhdGVkIGRpc2FiaWxpdHkgd2FzIG1vcmUgcm9idXN0IGZvciB5b3V0aCB3aXRoIGNsaW5pY2FsbHktZWxldmF0ZWQgbGV2ZWxzIG9mIGludGVybmFsaXppbmcgc3ltcHRvbXMuIFdoaWxlIGZ1cnRoZXIgaW52ZXN0aWdhdGlvbiBpcyBuZWVkZWQsIHVyZ2UgaW50b2xlcmFuY2UgcmVwcmVzZW50cyBhIHByb21pc2luZyB0cmVhdG1lbnQgdGFyZ2V0IHRvIGltcHJvdmUgdGljLXJlbGF0ZWQgZGlzYWJpbGl0eSBpbiB5b3V0aCB3aXRoIFRELiIsImlzc3VlIjoiNSIsInZvbHVtZSI6IjUyIiwiY29udGFpbmVyLXRpdGxlLXNob3J0IjoiIn0sImlzVGVtcG9yYXJ5IjpmYWxzZX1dfQ=="/>
                <w:id w:val="-1529415129"/>
                <w:placeholder>
                  <w:docPart w:val="DefaultPlaceholder_-1854013440"/>
                </w:placeholder>
              </w:sdtPr>
              <w:sdtContent>
                <w:r w:rsidR="00F04E9F" w:rsidRPr="00F04E9F">
                  <w:rPr>
                    <w:rFonts w:cs="Times New Roman"/>
                    <w:color w:val="000000"/>
                    <w:sz w:val="16"/>
                    <w:szCs w:val="16"/>
                    <w:shd w:val="clear" w:color="auto" w:fill="FFFFFF"/>
                  </w:rPr>
                  <w:t>(27)</w:t>
                </w:r>
              </w:sdtContent>
            </w:sdt>
          </w:p>
        </w:tc>
        <w:tc>
          <w:tcPr>
            <w:tcW w:w="0" w:type="auto"/>
            <w:shd w:val="clear" w:color="auto" w:fill="FFFFFF"/>
            <w:hideMark/>
          </w:tcPr>
          <w:p w14:paraId="0FF53340"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and YGTSS-TTS / YGTSS impairment scores</w:t>
            </w:r>
          </w:p>
        </w:tc>
        <w:tc>
          <w:tcPr>
            <w:tcW w:w="0" w:type="auto"/>
            <w:shd w:val="clear" w:color="auto" w:fill="FFFFFF"/>
            <w:hideMark/>
          </w:tcPr>
          <w:p w14:paraId="4CBBE7AE"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75 children and adolescents with any tic disorder</w:t>
            </w:r>
          </w:p>
        </w:tc>
        <w:tc>
          <w:tcPr>
            <w:tcW w:w="0" w:type="auto"/>
            <w:shd w:val="clear" w:color="auto" w:fill="FFFFFF"/>
            <w:hideMark/>
          </w:tcPr>
          <w:p w14:paraId="5FB3D859"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No significant correlation found between PUTS scores and YGTSS-TTS or YGTSS impairment scores (Pearson's r = 0.10 for YGTSS-TTS, r = 0.02 for YGTSS impairment scores)</w:t>
            </w:r>
          </w:p>
          <w:p w14:paraId="117FBBE1" w14:textId="77777777" w:rsidR="00986E35" w:rsidRPr="008A1F40" w:rsidRDefault="00986E35" w:rsidP="007F77D2">
            <w:pPr>
              <w:rPr>
                <w:rFonts w:cs="Times New Roman"/>
                <w:color w:val="000000" w:themeColor="text1"/>
                <w:sz w:val="16"/>
                <w:szCs w:val="16"/>
                <w:shd w:val="clear" w:color="auto" w:fill="FFFFFF"/>
              </w:rPr>
            </w:pPr>
          </w:p>
          <w:p w14:paraId="6C576FA4" w14:textId="72D2AB60" w:rsidR="00986E35" w:rsidRPr="008A1F40" w:rsidRDefault="00733C0F" w:rsidP="007F77D2">
            <w:pPr>
              <w:rPr>
                <w:rFonts w:cs="Times New Roman"/>
                <w:color w:val="000000" w:themeColor="text1"/>
                <w:sz w:val="16"/>
                <w:szCs w:val="16"/>
                <w:shd w:val="clear" w:color="auto" w:fill="FFFFFF"/>
              </w:rPr>
            </w:pPr>
            <w:r>
              <w:rPr>
                <w:rFonts w:cs="Times New Roman"/>
                <w:color w:val="000000" w:themeColor="text1"/>
                <w:sz w:val="16"/>
                <w:szCs w:val="16"/>
                <w:shd w:val="clear" w:color="auto" w:fill="FFFFFF"/>
              </w:rPr>
              <w:t xml:space="preserve">Based on </w:t>
            </w:r>
            <w:r w:rsidR="00986E35" w:rsidRPr="008A1F40">
              <w:rPr>
                <w:rFonts w:cs="Times New Roman"/>
                <w:color w:val="000000" w:themeColor="text1"/>
                <w:sz w:val="16"/>
                <w:szCs w:val="16"/>
                <w:shd w:val="clear" w:color="auto" w:fill="FFFFFF"/>
              </w:rPr>
              <w:t>structural equation modeling, urge intolerance (a theoretical construct combing items from the PUTS and DTS) did not predict YGTSS-TTS scores (β = −0.34, p = 0.729)</w:t>
            </w:r>
          </w:p>
        </w:tc>
      </w:tr>
      <w:tr w:rsidR="005845AF" w:rsidRPr="008A1F40" w14:paraId="5EFBEDE2" w14:textId="77777777" w:rsidTr="007F77D2">
        <w:trPr>
          <w:tblCellSpacing w:w="15" w:type="dxa"/>
        </w:trPr>
        <w:tc>
          <w:tcPr>
            <w:tcW w:w="0" w:type="auto"/>
            <w:shd w:val="clear" w:color="auto" w:fill="FFFFFF"/>
            <w:hideMark/>
          </w:tcPr>
          <w:p w14:paraId="78B849C9" w14:textId="27EEDA95"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lastRenderedPageBreak/>
              <w:t>Barnea et al (2016)</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NThhMTZlZDMtNzg4MS00ZjgwLWIwYjctNGRlODk3NTIwZjk1IiwicHJvcGVydGllcyI6eyJub3RlSW5kZXgiOjB9LCJpc0VkaXRlZCI6ZmFsc2UsIm1hbnVhbE92ZXJyaWRlIjp7ImlzTWFudWFsbHlPdmVycmlkZGVuIjpmYWxzZSwiY2l0ZXByb2NUZXh0IjoiKDI4KSIsIm1hbnVhbE92ZXJyaWRlVGV4dCI6IiJ9LCJjaXRhdGlvbkl0ZW1zIjpbeyJpZCI6IjE4MmJlMDE1LThhZTUtMzQ1YS04M2E0LTUwNmQyMjA5YTdkYiIsIml0ZW1EYXRhIjp7InR5cGUiOiJhcnRpY2xlLWpvdXJuYWwiLCJpZCI6IjE4MmJlMDE1LThhZTUtMzQ1YS04M2E0LTUwNmQyMjA5YTdkYiIsInRpdGxlIjoiU3ViamVjdGl2ZSB2ZXJzdXMgb2JqZWN0aXZlIG1lYXN1cmVzIG9mIHRpYyBzZXZlcml0eSBpbiBUb3VyZXR0ZSBzeW5kcm9tZSAtIFRoZSBpbmZsdWVuY2Ugb2YgZW52aXJvbm1lbnQiLCJncm91cElkIjoiMDdkNjJhYzEtNWFhOC0zOWFmLWI0OWUtNTJkMjA4OGFjNTcxIiwiYXV0aG9yIjpbeyJmYW1pbHkiOiJCYXJuZWEiLCJnaXZlbiI6Ik0iLCJwYXJzZS1uYW1lcyI6ZmFsc2UsImRyb3BwaW5nLXBhcnRpY2xlIjoiIiwibm9uLWRyb3BwaW5nLXBhcnRpY2xlIjoiIn0seyJmYW1pbHkiOiJCZW5hcm95YS1NaWxzaHRlaW4iLCJnaXZlbiI6Ik4iLCJwYXJzZS1uYW1lcyI6ZmFsc2UsImRyb3BwaW5nLXBhcnRpY2xlIjoiIiwibm9uLWRyb3BwaW5nLXBhcnRpY2xlIjoiIn0seyJmYW1pbHkiOiJHaWxib2EtU2VjaHRtYW4iLCJnaXZlbiI6IkUiLCJwYXJzZS1uYW1lcyI6ZmFsc2UsImRyb3BwaW5nLXBhcnRpY2xlIjoiIiwibm9uLWRyb3BwaW5nLXBhcnRpY2xlIjoiIn0seyJmYW1pbHkiOiJXb29kcyIsImdpdmVuIjoiRCBXIiwicGFyc2UtbmFtZXMiOmZhbHNlLCJkcm9wcGluZy1wYXJ0aWNsZSI6IiIsIm5vbi1kcm9wcGluZy1wYXJ0aWNsZSI6IiJ9LHsiZmFtaWx5IjoiUGlhY2VudGluaSIsImdpdmVuIjoiSiIsInBhcnNlLW5hbWVzIjpmYWxzZSwiZHJvcHBpbmctcGFydGljbGUiOiIiLCJub24tZHJvcHBpbmctcGFydGljbGUiOiIifSx7ImZhbWlseSI6IkZlbm5pZyIsImdpdmVuIjoiUyIsInBhcnNlLW5hbWVzIjpmYWxzZSwiZHJvcHBpbmctcGFydGljbGUiOiIiLCJub24tZHJvcHBpbmctcGFydGljbGUiOiIifSx7ImZhbWlseSI6IkFwdGVyIiwiZ2l2ZW4iOiJBIiwicGFyc2UtbmFtZXMiOmZhbHNlLCJkcm9wcGluZy1wYXJ0aWNsZSI6IiIsIm5vbi1kcm9wcGluZy1wYXJ0aWNsZSI6IiJ9LHsiZmFtaWx5IjoiU3RlaW5iZXJnIiwiZ2l2ZW4iOiJUIiwicGFyc2UtbmFtZXMiOmZhbHNlLCJkcm9wcGluZy1wYXJ0aWNsZSI6IiIsIm5vbi1kcm9wcGluZy1wYXJ0aWNsZSI6IiJ9XSwiY29udGFpbmVyLXRpdGxlIjoiUHN5Y2hpYXRyeSBSZXMiLCJET0kiOiIxMC4xMDE2L2oucHN5Y2hyZXMuMjAxNi4wNS4wNDciLCJQTUlEIjoiMjcyODkzMjYiLCJpc3N1ZWQiOnsiZGF0ZS1wYXJ0cyI6W1syMDE2XV19LCJwYWdlIjoiMjA0LTIwOSIsImFic3RyYWN0IjoiVGhlIG9iamVjdGl2ZSBvZiB0aGlzIHN0dWR5IHdhcyB0byBleGFtaW5lIHRoZSBpbmZsdWVuY2Ugb2YgZW52aXJvbm1lbnRhbCBjaGFsbGVuZ2VzIG9uIHRpYyBleHByZXNzaW9uIGJ5IHN1YmplY3RpdmUgYW5kIG9iamVjdGl2ZSBtZWFzdXJlcy4gVGhlIHN0dWR5IGdyb3VwIGNvbnNpc3RlZCBvZiA0MSBjaGlsZHJlbiBhZ2VkIDYtMTggeWVhcnMgKE09MTAuMTUsIFNEPTIuNzMpIHdpdGggYSBwcmltYXJ5IGRpYWdub3NpcyBvZiBUb3VyZXR0ZSBzeW5kcm9tZS4gU3ViamVjdGl2ZSBtZWFzdXJlcyBpbmNsdWRlZCB0aGUgRnVuY3Rpb25hbCBBc3Nlc3NtZW50IEludGVydmlldyBkZXZlbG9wZWQgZm9yIHRoaXMgc3R1ZHkgYW5kIHRocmVlIHN0YW5kYXJkIHZhbGlkYXRlZCBpbnN0cnVtZW50cy4gVGhlIG9iamVjdGl2ZSBtZWFzdXJlIHdhcyBhIHZpZGVvLXJlY29yZGluZyBvZiB0aGUgcGF0aWVudHMgaW4gZml2ZSBkYWlseS1saWZlIHNpdHVhdGlvbnM6IHdhdGNoaW5nIHRlbGV2aXNpb24sIGRvaW5nIGhvbWV3b3JrLCBiZWluZyBhbG9uZSwgcmVjZWl2aW5nIGF0dGVudGlvbiB3aGVuIHRpY2NpbmcsIGFuZCB0YWxraW5nIHRvIGEgc3RyYW5nZXIuIEluIGFkZGl0aW9uLCB0aGUgZWZmZWN0IG9mIHByZW1vbml0b3J5IHVyZ2VzIG9uIGFzc2Vzc21lbnQgb2YgdGljIGV4cHJlc3Npb24gd2FzIGV2YWx1YXRlZC4gVGhlIGFzc29jaWF0aW9ucyBiZXR3ZWVuIHRoZSBzdWJqZWN0aXZlIGFuZCBvYmplY3RpdmUgbWVhc3VyZXMgb2YgdGljIGV4cHJlc3Npb24gd2VyZSBtb2RlcmF0ZSB0byBsb3cuIEEgc2lnbmlmaWNhbnRseSBoaWdoZXIgbnVtYmVyIG9mIHRpY3Mgd2VyZSBvYnNlcnZlZCBpbiB0aGUgdGVsZXZpc2lvbiBzaXR1YXRpb24sIGFuZCBhIHNpZ25pZmljYW50bHkgbG93ZXIgbnVtYmVyIGluIHRoZSBhbG9uZSBzaXR1YXRpb24sIGNvbXBhcmVkIHRvIHRoZSBvdGhlciBzaXR1YXRpb25zLiBIaWdoZXIgbGV2ZWxzIG9mIHByZW1vbml0b3J5IHVyZ2Ugd2VyZSBhc3NvY2lhdGVkIHdpdGggZ3JlYXRlciBhd2FyZW5lc3Mgb2Ygb2JqZWN0aXZlbHkgbWVhc3VyZWQgdGljIGV4cHJlc3Npb24uIEluIGNvbmNsdXNpb24sIHRpYyBleHByZXNzaW9uIGlzIHNpZ25pZmljYW50bHkgaW5mbHVlbmNlZCBieSB0aGUgZW52aXJvbm1lbnQuIFN1YmplY3RpdmUgbWVhc3VyZXMgb2YgdGljIGV4cHJlc3Npb24gbWF5IGJlIG1pc2xlYWRpbmcuIFRoZXNlIHJlc3VsdHMgaGF2ZSBpbXBsaWNhdGlvbnMgZm9yIHJlZmluaW5nIHRoZSBjbGluaWNhbCBhc3Nlc3NtZW50IG9mIHRpY3MsIGltcHJvdmluZyByZXNlYXJjaCBtZXRob2RvbG9neSwgYW5kIGRldmVsb3BpbmcgbmV3IHRoZXJhcGV1dGljIHN0cmF0ZWdpZXMuIiwidm9sdW1lIjoiMjQyIiwiY29udGFpbmVyLXRpdGxlLXNob3J0IjoiIn0sImlzVGVtcG9yYXJ5IjpmYWxzZX1dfQ=="/>
                <w:id w:val="1071931593"/>
                <w:placeholder>
                  <w:docPart w:val="DefaultPlaceholder_-1854013440"/>
                </w:placeholder>
              </w:sdtPr>
              <w:sdtContent>
                <w:r w:rsidR="00F04E9F" w:rsidRPr="00F04E9F">
                  <w:rPr>
                    <w:rFonts w:cs="Times New Roman"/>
                    <w:color w:val="000000"/>
                    <w:sz w:val="16"/>
                    <w:szCs w:val="16"/>
                    <w:shd w:val="clear" w:color="auto" w:fill="FFFFFF"/>
                  </w:rPr>
                  <w:t>(28)</w:t>
                </w:r>
              </w:sdtContent>
            </w:sdt>
          </w:p>
        </w:tc>
        <w:tc>
          <w:tcPr>
            <w:tcW w:w="0" w:type="auto"/>
            <w:shd w:val="clear" w:color="auto" w:fill="FFFFFF"/>
            <w:hideMark/>
          </w:tcPr>
          <w:p w14:paraId="50F390BD"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and number of tics in five different environmental situations</w:t>
            </w:r>
          </w:p>
        </w:tc>
        <w:tc>
          <w:tcPr>
            <w:tcW w:w="0" w:type="auto"/>
            <w:shd w:val="clear" w:color="auto" w:fill="FFFFFF"/>
            <w:hideMark/>
          </w:tcPr>
          <w:p w14:paraId="2B049215"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41 children and adolescents with TS</w:t>
            </w:r>
          </w:p>
        </w:tc>
        <w:tc>
          <w:tcPr>
            <w:tcW w:w="0" w:type="auto"/>
            <w:shd w:val="clear" w:color="auto" w:fill="FFFFFF"/>
            <w:hideMark/>
          </w:tcPr>
          <w:p w14:paraId="6964E6EC"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not a significant predictor of number of tics in any environmental situation in multiple regressions that included FAI as a covariate</w:t>
            </w:r>
          </w:p>
        </w:tc>
      </w:tr>
      <w:tr w:rsidR="005845AF" w:rsidRPr="008A1F40" w14:paraId="78CEE60E" w14:textId="77777777" w:rsidTr="007F77D2">
        <w:trPr>
          <w:tblCellSpacing w:w="15" w:type="dxa"/>
        </w:trPr>
        <w:tc>
          <w:tcPr>
            <w:tcW w:w="0" w:type="auto"/>
            <w:shd w:val="clear" w:color="auto" w:fill="FFFFFF"/>
            <w:hideMark/>
          </w:tcPr>
          <w:p w14:paraId="01E1E480" w14:textId="03269D69"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Jackson et al (2020)</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N2VjMzUzMWMtOGU3My00OWQyLTk5MGMtNjljNWE1YTc0OGI4IiwicHJvcGVydGllcyI6eyJub3RlSW5kZXgiOjB9LCJpc0VkaXRlZCI6ZmFsc2UsIm1hbnVhbE92ZXJyaWRlIjp7ImlzTWFudWFsbHlPdmVycmlkZGVuIjpmYWxzZSwiY2l0ZXByb2NUZXh0IjoiKDI5KSIsIm1hbnVhbE92ZXJyaWRlVGV4dCI6IiJ9LCJjaXRhdGlvbkl0ZW1zIjpbeyJpZCI6IjI3ZmFhYjg2LTNjMjctM2Q0My1hMDg1LWJiYWU0MjA2OGE0OSIsIml0ZW1EYXRhIjp7InR5cGUiOiJhcnRpY2xlLWpvdXJuYWwiLCJpZCI6IjI3ZmFhYjg2LTNjMjctM2Q0My1hMDg1LWJiYWU0MjA2OGE0OSIsInRpdGxlIjoiVGhlIHJvbGUgb2YgdGhlIGluc3VsYSBpbiB0aGUgZ2VuZXJhdGlvbiBvZiBtb3RvciB0aWNzIGFuZCB0aGUgZXhwZXJpZW5jZSBvZiB0aGUgcHJlbW9uaXRvcnkgdXJnZS10by10aWMgaW4gVG91cmV0dGUgc3luZHJvbWUiLCJncm91cElkIjoiMDdkNjJhYzEtNWFhOC0zOWFmLWI0OWUtNTJkMjA4OGFjNTcxIiwiYXV0aG9yIjpbeyJmYW1pbHkiOiJKYWNrc29uIiwiZ2l2ZW4iOiJTIFIiLCJwYXJzZS1uYW1lcyI6ZmFsc2UsImRyb3BwaW5nLXBhcnRpY2xlIjoiIiwibm9uLWRyb3BwaW5nLXBhcnRpY2xlIjoiIn0seyJmYW1pbHkiOiJMb2F5emEiLCJnaXZlbiI6IkoiLCJwYXJzZS1uYW1lcyI6ZmFsc2UsImRyb3BwaW5nLXBhcnRpY2xlIjoiIiwibm9uLWRyb3BwaW5nLXBhcnRpY2xlIjoiIn0seyJmYW1pbHkiOiJDcmlnaHRvbiIsImdpdmVuIjoiTSIsInBhcnNlLW5hbWVzIjpmYWxzZSwiZHJvcHBpbmctcGFydGljbGUiOiIiLCJub24tZHJvcHBpbmctcGFydGljbGUiOiIifSx7ImZhbWlseSI6IlNpZ3VyZHNzb24iLCJnaXZlbiI6IkggUCIsInBhcnNlLW5hbWVzIjpmYWxzZSwiZHJvcHBpbmctcGFydGljbGUiOiIiLCJub24tZHJvcHBpbmctcGFydGljbGUiOiIifSx7ImZhbWlseSI6IkR5a2UiLCJnaXZlbiI6IksiLCJwYXJzZS1uYW1lcyI6ZmFsc2UsImRyb3BwaW5nLXBhcnRpY2xlIjoiIiwibm9uLWRyb3BwaW5nLXBhcnRpY2xlIjoiIn0seyJmYW1pbHkiOiJKYWNrc29uIiwiZ2l2ZW4iOiJHIE0iLCJwYXJzZS1uYW1lcyI6ZmFsc2UsImRyb3BwaW5nLXBhcnRpY2xlIjoiIiwibm9uLWRyb3BwaW5nLXBhcnRpY2xlIjoiIn1dLCJjb250YWluZXItdGl0bGUiOiJDb3J0ZXgiLCJET0kiOiIxMC4xMDE2L2ouY29ydGV4LjIwMTkuMTIuMDIxIiwiUE1JRCI6IjMyMDcwODA5IiwiaXNzdWVkIjp7ImRhdGUtcGFydHMiOltbMjAyMF1dfSwicGFnZSI6IjExOS0xMzMiLCJhYnN0cmFjdCI6IlRvdXJldHRlIHN5bmRyb21lIChUUykgaXMgYSBuZXVyb2xvZ2ljYWwgZGlzb3JkZXIgb2YgY2hpbGRob29kIG9uc2V0IHRoYXQgaXMgY2hhcmFjdGVyaXNlZCBieSB0aGUgb2NjdXJyZW5jZSBvZiBtb3RvciBhbmQgdm9jYWwgdGljcy4gVFMgaXMgYXNzb2NpYXRlZCB3aXRoIGNvcnRpY2FsLXN0cmlhdGFsLXRoYWxhbWljLWNvcnRpY2FsIGNpcmN1aXQgW0NTVENdIGR5c2Z1bmN0aW9uIGFuZCBoeXBlci1leGNpdGFiaWxpdHkgb2YgY29ydGljYWwgbGltYmljIGFuZCBtb3RvciByZWdpb25zIHRoYXQgYXJlIHRob3VnaHQgdG8gbGVhZCB0byB0aGUgb2NjdXJyZW5jZSBvZiB0aWNzLiBJbXBvcnRhbnRseSwgaW5kaXZpZHVhbHMgd2l0aCBUUyBvZnRlbiByZXBvcnQgdGhhdCB0aGVpciB0aWNzIGFyZSBwcmVjZWRlZCBieSAncHJlbW9uaXRvcnkgc2Vuc29yeS91cmdlIHBoZW5vbWVuYScgKFBVKSB0aGF0IGFyZSBkZXNjcmliZWQgYXMgdW5jb21mb3J0YWJsZSBib2RpbHkgc2Vuc2F0aW9ucyB0aGF0IHByZWNlZGUgdGhlIGV4ZWN1dGlvbiBvZiBhIHRpYyBhbmQgYXJlIGV4cGVyaWVuY2VkIGFzIGEgc3Ryb25nIHVyZ2UgZm9yIG1vdG9yIGRpc2NoYXJnZS4gV2hpbGUgdGhlIHByZWNpc2Ugcm9sZSBwbGF5ZWQgYnkgUFUgaW4gdGhlIG9jY3VycmVuY2Ugb2YgdGljcyBpcyBsYXJnZWx5IHVua25vd24sIHRoZXkgYXJlIG5vbmV0aGVsZXNzIG9mIGNvbnNpZGVyYWJsZSB0aGVvcmV0aWNhbCBhbmQgY2xpbmljYWwgaW1wb3J0YW5jZSwgbm90IGxlYXN0IGJlY2F1c2UgdGhleSBmb3JtIHRoZSBjb3JlIGNvbXBvbmVudCBpbiBtYW55IGJlaGF2aW91cmFsIHRoZXJhcGllcyB1c2VkIGluIHRoZSB0cmVhdG1lbnQgb2YgdGljIGRpc29yZGVycy4gU2V2ZXJhbCBsaW5lcyBvZiBldmlkZW5jZSBpbmRpY2F0ZSB0aGF0IHRoZSBpbnN1bGFyIGNvcnRleCBtYXkgcGxheSBhIHBhcnRpY3VsYXJseSBpbXBvcnRhbnQgcm9sZSBpbiB0aGUgZ2VuZXJhdGlvbiBvZiBQVSBpbiBUUyBhbmQgJ3VyZ2VzLWZvci1hY3Rpb24nIG1vcmUgZ2VuZXJhbGx5LiBJbiB0aGUgY3VycmVudCBzdHVkeSB3ZSB1dGlsaXNlZCB2b3hlbC1iYXNlZCBtb3JwaG9tZXRyeSB0ZWNobmlxdWVzIHRvZ2V0aGVyIHdpdGggJ3NlZWQtdG8tdm94ZWwnIHN0cnVjdHVyYWwgY292YXJpYW5jZSBuZXR3b3JrIChTQ04pIG1hcHBpbmcgdG8gaW52ZXN0aWdhdGUgdGhlIHB1dGF0aXZlIHJvbGUgcGxheWVkIGJ5IHRoZSByaWdodCBpbnN1bGFyIGNvcnRleCBpbiB0aGUgZ2VuZXJhdGlvbiBvZiBtb3RvciB0aWNzIGFuZCB0aGUgZXhwZXJpZW5jZSBvZiBQVSBpbiBhIHJlbGF0aXZlbHkgbGFyZ2UgZ3JvdXAgb2YgeW91bmcgcGVvcGxlIFRTLiBXZSBkZW1vbnN0cmF0ZSB0aGF0IGNsaW5pY2FsIG1lYXN1cmVzIG9mIG1vdG9yIHRpYyBzZXZlcml0eSBhbmQgUFUgYXJlIHVuY29ycmVsYXRlZCB3aXRoIG9uZSBhbm90aGVyLCB0aGF0IG1vdG9yIHRpYyBzZXZlcml0eSBhbmQgUFUgc2NvcmVzIGFyZSBhc3NvY2lhdGVkIHdpdGggc2VwYXJhdGUgcmVnaW9ucyBvZiB0aGUgaW5zdWxhciBjb3J0ZXgsIGFuZCB0aGF0IHRoZSBpbnN1bGEgaXMgYXNzb2NpYXRlZCB3aXRoIGRpZmZlcmVudCBzdHJ1Y3R1cmFsIGNvdmFyaWFuY2UgbmV0d29ya3MgaW4gaW5kaXZpZHVhbHMgd2l0aCBUUyBjb21wYXJlZCB0byBhIG1hdGNoZWQgZ3JvdXAgb2YgdHlwaWNhbGx5IGRldmVsb3BpbmcgaW5kaXZpZHVhbHMuIiwidm9sdW1lIjoiMTI2IiwiY29udGFpbmVyLXRpdGxlLXNob3J0IjoiIn0sImlzVGVtcG9yYXJ5IjpmYWxzZX1dfQ=="/>
                <w:id w:val="-979461832"/>
                <w:placeholder>
                  <w:docPart w:val="DefaultPlaceholder_-1854013440"/>
                </w:placeholder>
              </w:sdtPr>
              <w:sdtContent>
                <w:r w:rsidR="00F04E9F" w:rsidRPr="00F04E9F">
                  <w:rPr>
                    <w:rFonts w:cs="Times New Roman"/>
                    <w:color w:val="000000"/>
                    <w:sz w:val="16"/>
                    <w:szCs w:val="16"/>
                    <w:shd w:val="clear" w:color="auto" w:fill="FFFFFF"/>
                  </w:rPr>
                  <w:t>(29)</w:t>
                </w:r>
              </w:sdtContent>
            </w:sdt>
          </w:p>
        </w:tc>
        <w:tc>
          <w:tcPr>
            <w:tcW w:w="0" w:type="auto"/>
            <w:shd w:val="clear" w:color="auto" w:fill="FFFFFF"/>
            <w:hideMark/>
          </w:tcPr>
          <w:p w14:paraId="5207BD78"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and YGTSS-TTS / YGTSS impairment scores</w:t>
            </w:r>
          </w:p>
        </w:tc>
        <w:tc>
          <w:tcPr>
            <w:tcW w:w="0" w:type="auto"/>
            <w:shd w:val="clear" w:color="auto" w:fill="FFFFFF"/>
            <w:hideMark/>
          </w:tcPr>
          <w:p w14:paraId="0DFC7C91"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28 participants aged 9-22 with TS</w:t>
            </w:r>
          </w:p>
        </w:tc>
        <w:tc>
          <w:tcPr>
            <w:tcW w:w="0" w:type="auto"/>
            <w:shd w:val="clear" w:color="auto" w:fill="FFFFFF"/>
            <w:hideMark/>
          </w:tcPr>
          <w:p w14:paraId="2A43743C" w14:textId="5C3C0955"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No significant Pearson</w:t>
            </w:r>
            <w:r w:rsidR="00A30F55">
              <w:rPr>
                <w:rFonts w:cs="Times New Roman"/>
                <w:color w:val="000000" w:themeColor="text1"/>
                <w:sz w:val="16"/>
                <w:szCs w:val="16"/>
                <w:shd w:val="clear" w:color="auto" w:fill="FFFFFF"/>
              </w:rPr>
              <w:t>’s</w:t>
            </w:r>
            <w:r w:rsidRPr="008A1F40">
              <w:rPr>
                <w:rFonts w:cs="Times New Roman"/>
                <w:color w:val="000000" w:themeColor="text1"/>
                <w:sz w:val="16"/>
                <w:szCs w:val="16"/>
                <w:shd w:val="clear" w:color="auto" w:fill="FFFFFF"/>
              </w:rPr>
              <w:t xml:space="preserve"> correlations</w:t>
            </w:r>
            <w:r w:rsidR="00F47F23">
              <w:rPr>
                <w:rFonts w:cs="Times New Roman"/>
                <w:color w:val="000000" w:themeColor="text1"/>
                <w:sz w:val="16"/>
                <w:szCs w:val="16"/>
                <w:shd w:val="clear" w:color="auto" w:fill="FFFFFF"/>
              </w:rPr>
              <w:t xml:space="preserve"> or simple linear regression associations</w:t>
            </w:r>
            <w:r w:rsidRPr="008A1F40">
              <w:rPr>
                <w:rFonts w:cs="Times New Roman"/>
                <w:color w:val="000000" w:themeColor="text1"/>
                <w:sz w:val="16"/>
                <w:szCs w:val="16"/>
                <w:shd w:val="clear" w:color="auto" w:fill="FFFFFF"/>
              </w:rPr>
              <w:t xml:space="preserve"> found between PUTS scores and YGTSS-TTS (</w:t>
            </w:r>
            <w:r w:rsidR="003B5FF3">
              <w:rPr>
                <w:rFonts w:cs="Times New Roman"/>
                <w:color w:val="000000" w:themeColor="text1"/>
                <w:sz w:val="16"/>
                <w:szCs w:val="16"/>
                <w:shd w:val="clear" w:color="auto" w:fill="FFFFFF"/>
              </w:rPr>
              <w:t xml:space="preserve">simple linear regression </w:t>
            </w:r>
            <w:r w:rsidR="002F3F88">
              <w:rPr>
                <w:rFonts w:cs="Times New Roman"/>
                <w:color w:val="000000" w:themeColor="text1"/>
                <w:sz w:val="16"/>
                <w:szCs w:val="16"/>
                <w:shd w:val="clear" w:color="auto" w:fill="FFFFFF"/>
              </w:rPr>
              <w:t>R</w:t>
            </w:r>
            <w:r w:rsidR="002F3F88" w:rsidRPr="008A1F40">
              <w:rPr>
                <w:rFonts w:cs="Times New Roman"/>
                <w:color w:val="000000" w:themeColor="text1"/>
                <w:sz w:val="16"/>
                <w:szCs w:val="16"/>
                <w:shd w:val="clear" w:color="auto" w:fill="FFFFFF"/>
                <w:vertAlign w:val="superscript"/>
              </w:rPr>
              <w:t>2</w:t>
            </w:r>
            <w:r w:rsidR="002F3F88" w:rsidRPr="008A1F40">
              <w:rPr>
                <w:rFonts w:cs="Times New Roman"/>
                <w:color w:val="000000" w:themeColor="text1"/>
                <w:sz w:val="16"/>
                <w:szCs w:val="16"/>
                <w:shd w:val="clear" w:color="auto" w:fill="FFFFFF"/>
              </w:rPr>
              <w:t xml:space="preserve"> </w:t>
            </w:r>
            <w:r w:rsidR="002F3F88" w:rsidRPr="008A1F40">
              <w:rPr>
                <w:rFonts w:cs="Times New Roman"/>
                <w:color w:val="000000" w:themeColor="text1"/>
                <w:sz w:val="16"/>
                <w:szCs w:val="16"/>
                <w:shd w:val="clear" w:color="auto" w:fill="FFFFFF"/>
                <w:vertAlign w:val="superscript"/>
              </w:rPr>
              <w:t xml:space="preserve"> </w:t>
            </w:r>
            <w:r w:rsidRPr="008A1F40">
              <w:rPr>
                <w:rFonts w:cs="Times New Roman"/>
                <w:color w:val="000000" w:themeColor="text1"/>
                <w:sz w:val="16"/>
                <w:szCs w:val="16"/>
                <w:shd w:val="clear" w:color="auto" w:fill="FFFFFF"/>
              </w:rPr>
              <w:t>= 0.035, p = 0.34) or YGTSS impairment scores (</w:t>
            </w:r>
            <w:r w:rsidR="00453729">
              <w:rPr>
                <w:rFonts w:cs="Times New Roman"/>
                <w:color w:val="000000" w:themeColor="text1"/>
                <w:sz w:val="16"/>
                <w:szCs w:val="16"/>
                <w:shd w:val="clear" w:color="auto" w:fill="FFFFFF"/>
              </w:rPr>
              <w:t>R</w:t>
            </w:r>
            <w:r w:rsidRPr="008A1F40">
              <w:rPr>
                <w:rFonts w:cs="Times New Roman"/>
                <w:color w:val="000000" w:themeColor="text1"/>
                <w:sz w:val="16"/>
                <w:szCs w:val="16"/>
                <w:shd w:val="clear" w:color="auto" w:fill="FFFFFF"/>
                <w:vertAlign w:val="superscript"/>
              </w:rPr>
              <w:t>2</w:t>
            </w:r>
            <w:r w:rsidRPr="008A1F40">
              <w:rPr>
                <w:rFonts w:cs="Times New Roman"/>
                <w:color w:val="000000" w:themeColor="text1"/>
                <w:sz w:val="16"/>
                <w:szCs w:val="16"/>
                <w:shd w:val="clear" w:color="auto" w:fill="FFFFFF"/>
              </w:rPr>
              <w:t xml:space="preserve"> </w:t>
            </w:r>
            <w:r w:rsidRPr="008A1F40">
              <w:rPr>
                <w:rFonts w:cs="Times New Roman"/>
                <w:color w:val="000000" w:themeColor="text1"/>
                <w:sz w:val="16"/>
                <w:szCs w:val="16"/>
                <w:shd w:val="clear" w:color="auto" w:fill="FFFFFF"/>
                <w:vertAlign w:val="superscript"/>
              </w:rPr>
              <w:t xml:space="preserve"> </w:t>
            </w:r>
            <w:r w:rsidRPr="008A1F40">
              <w:rPr>
                <w:rFonts w:cs="Times New Roman"/>
                <w:color w:val="000000" w:themeColor="text1"/>
                <w:sz w:val="16"/>
                <w:szCs w:val="16"/>
                <w:shd w:val="clear" w:color="auto" w:fill="FFFFFF"/>
              </w:rPr>
              <w:t xml:space="preserve">= 0.09, p = 0.13) </w:t>
            </w:r>
          </w:p>
        </w:tc>
      </w:tr>
      <w:tr w:rsidR="005845AF" w:rsidRPr="008A1F40" w14:paraId="2E8559DA" w14:textId="77777777" w:rsidTr="007F77D2">
        <w:trPr>
          <w:tblCellSpacing w:w="15" w:type="dxa"/>
        </w:trPr>
        <w:tc>
          <w:tcPr>
            <w:tcW w:w="0" w:type="auto"/>
            <w:shd w:val="clear" w:color="auto" w:fill="FFFFFF"/>
            <w:hideMark/>
          </w:tcPr>
          <w:p w14:paraId="345C9322" w14:textId="3C6D399A"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Müller-Vahl et al (2014)</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ODY5MjJlMzMtOTYwYi00MzVhLTkxYzQtYzM2MjFhZjk4MGY5IiwicHJvcGVydGllcyI6eyJub3RlSW5kZXgiOjB9LCJpc0VkaXRlZCI6ZmFsc2UsIm1hbnVhbE92ZXJyaWRlIjp7ImlzTWFudWFsbHlPdmVycmlkZGVuIjpmYWxzZSwiY2l0ZXByb2NUZXh0IjoiKDMwKSIsIm1hbnVhbE92ZXJyaWRlVGV4dCI6IiJ9LCJjaXRhdGlvbkl0ZW1zIjpbeyJpZCI6IjNhNThmYTE1LTc4MDQtMzM4ZS1iZWJjLThlZDliYWI1YTM0OSIsIml0ZW1EYXRhIjp7InR5cGUiOiJhcnRpY2xlLWpvdXJuYWwiLCJpZCI6IjNhNThmYTE1LTc4MDQtMzM4ZS1iZWJjLThlZDliYWI1YTM0OSIsInRpdGxlIjoiVG91cmV0dGUgcGF0aWVudHMnIG1pc2JlbGllZiBvZiBhIHRpYyByZWJvdW5kIGlzIGR1ZSB0byBvdmVyYWxsIGRpZmZpY3VsdGllcyBpbiByZWxpYWJsZSB0aWMgcmF0aW5nIiwiZ3JvdXBJZCI6IjA3ZDYyYWMxLTVhYTgtMzlhZi1iNDllLTUyZDIwODhhYzU3MSIsImF1dGhvciI6W3siZmFtaWx5IjoiTXVsbGVyLVZhaGwiLCJnaXZlbiI6IksgUiIsInBhcnNlLW5hbWVzIjpmYWxzZSwiZHJvcHBpbmctcGFydGljbGUiOiIiLCJub24tZHJvcHBpbmctcGFydGljbGUiOiIifSx7ImZhbWlseSI6IlJpZW1hbm4iLCJnaXZlbiI6IkwiLCJwYXJzZS1uYW1lcyI6ZmFsc2UsImRyb3BwaW5nLXBhcnRpY2xlIjoiIiwibm9uLWRyb3BwaW5nLXBhcnRpY2xlIjoiIn0seyJmYW1pbHkiOiJCb2tlbWV5ZXIiLCJnaXZlbiI6IlMiLCJwYXJzZS1uYW1lcyI6ZmFsc2UsImRyb3BwaW5nLXBhcnRpY2xlIjoiIiwibm9uLWRyb3BwaW5nLXBhcnRpY2xlIjoiIn1dLCJjb250YWluZXItdGl0bGUiOiJKb3VybmFsIG9mIFBzeWNob3NvbWF0aWMgUmVzZWFyY2giLCJET0kiOiJodHRwczovL2R4LmRvaS5vcmcvMTAuMTAxNi9qLmpwc3ljaG9yZXMuMjAxNC4wMy4wMDMiLCJVUkwiOiJodHRwczovL3d3dy5lbHNldmllci5jb20vbG9jYXRlL2pwc3ljaG9yZXNodHRwOi8vb3ZpZHNwLm92aWQuY29tL292aWR3ZWIuY2dpP1Q9SlMmUEFHRT1yZWZlcmVuY2UmRD1lbWVkMTUmTkVXUz1OJkFOPTUzMTA4ODY3IiwiaXNzdWVkIjp7ImRhdGUtcGFydHMiOltbMjAxNF1dfSwicGFnZSI6IjQ3Mi00NzYiLCJhYnN0cmFjdCI6Ik9iamVjdGl2ZTogV2hpbGUgaW4gY2xpbmljYWwgaW50ZXJ2aWV3cyB0aGUgdmFzdCBtYWpvcml0eSBvZiBwYXRpZW50cyB3aXRoIFRvdXJldHRlIHN5bmRyb21lIChUUykgcmVwb3J0IGFib3V0IGEgdGljIHJlYm91bmQgYWZ0ZXIgdm9sdW50YXJ5IHRpYyBzdXBwcmVzc2lvbiwgaW4gcmVjZW50IHN0dWRpZXMgaW4gY2hpbGRyZW4gbm8gcGFyYWRveGljYWwgdGljIGluY3JlYXNlIGNvdWxkIGJlIGZvdW5kLiBXZSBoeXBvdGhlc2l6ZWQgdGhhdCBpbiBhZHVsdCBwYXRpZW50cyB0aGVyZSBpcyBhIHRpYyByZWJvdW5kIGFmdGVyIHRpYyBzdXBwcmVzc2lvbi4gTWV0aG9kKHMpOiBXZSBpbnZlc3RpZ2F0ZWQgdGhlIHRpYyBzZXZlcml0eSwgcHJlbW9uaXRvcnkgdXJnZXMgYW5kIGluZmx1ZW5jZSBvZiBhdHRlbnRpb24gZGVmaWNpdCBoeXBlcmFjdGl2aXR5IGRpc29yZGVyIChBREhEKSBiZWZvcmUsIGR1cmluZyBhbmQgYWZ0ZXIgdGljIHN1cHByZXNzaW9uIGluIDIyIGFkdWx0IHBhdGllbnRzIHdpdGggVFMgdXNpbmcgYm90aCBhbiBvYmplY3RpdmUgdmlkZW8gdGljIHJhdGluZyBhbmQgc3ViamVjdGl2ZSBwYXRpZW50IHJhdGluZ3MgZm9yIHRpY3MgYW5kIHByZW1vbml0b3J5IHVyZ2VzLiBSZXN1bHQocyk6IEFjY29yZGluZyB0byB0aGUgdmlkZW8gcmF0aW5nLCB0aWMgc3VwcHJlc3Npb24gcmVzdWx0ZWQgaW4gYSBzaWduaWZpY2FudCB0aWMgcmVkdWN0aW9uLCBidXQgbm8gcmVib3VuZC4gUGF0aWVudHMgYWxzbyByZXBvcnRlZCBubyB0aWMgcmVib3VuZC4gVGhleSBlcnJvbmVvdXNseSBiZWxpZXZlZCBpbiBhbiBhYnNvbHV0ZSB0aWMgcmVkdWN0aW9uIDIwIGFuZCAzMC4gbWluIGFmdGVyIHN1cHByZXNzaW9uLCBidXQgcGFyYWRveGljYWxseSBmZWx0IG5vIHJlbGF0aXZlIHRpYyBjaGFuZ2UuIFByZW1vbml0b3J5IHVyZ2VzIHJlbWFpbmVkIHVuY2hhbmdlZC4gVGhlcmUgd2FzIG5vIGNvcnJlbGF0aW9uIGJldHdlZW4gcHJlbW9uaXRvcnkgdXJnZXMgYW5kIHRpYyBzZXZlcml0eS4gVGhlIHBvdGVuY3kgZm9yIHRpYyBpbmhpYml0aW9uIGRpZCBub3QgY29ycmVsYXRlIHdpdGggcHJlbW9uaXRvcnkgdXJnZXMgYW5kIHRpYyBzZXZlcml0eS4gQURIRCBkaWQgbm90IGluZmx1ZW5jZSB0aWMgaW5oaWJpdGlvbi4gQ29uY2x1c2lvbihzKTogSW4gYWR1bHRzIHdpdGggVFMsIHRoZXJlIGlzIG5vIHRpYyByZWJvdW5kIGFmdGVyIHZvbHVudGFyeSB0aWMgc3VwcHJlc3Npb24uIFBhdGllbnRzIGFsc28gcmVwb3J0ZWQgbm8gcmVib3VuZCwgYnV0IGVycm9uZW91c2x5IGZlbHQgYSB0aWMgcmVkdWN0aW9uIGluIHRoZSBsYXRlciBjb3Vyc2Ugb2YgdGhlIHN0dWR5LiBUaGlzIG1pc2p1ZGdlbWVudCBhcyB3ZWxsIGFzIHBhdGllbnRzJyBvZnRlbiByZXBvcnRlZCAobWlzLSliZWxpZWYgb2YgYSB0aWMgcmVib3VuZCBtYXkgYmUgY2F1c2VkIGJ5IG92ZXJhbGwgZGlmZmljdWx0aWVzIGluIHJlbGlhYmxlIHRpYyByYXRpbmcuIFByZW1vbml0b3J5IHVyZ2VzIHJlbWFpbmVkIHVuY2hhbmdlZCBkdXJpbmcgdGljIHN1cHByZXNzaW9uLiBUaWMgc3VwcHJlc3Npb24gd2FzIG5vdCBpbmZsdWVuY2VkIGJ5IGF0dGVudGlvbiBkZWZpY2l0cy4gUHJlbW9uaXRvcnkgdXJnZXMgYXJlIG5vIHByZXJlcXVpc2l0ZSBvZiB0aWMgc3VwcHJlc3Npb24uIMKpIDIwMTQgRWxzZXZpZXIgSW5jLiIsImlzc3VlIjoiNiIsInZvbHVtZSI6Ijc2IiwiY29udGFpbmVyLXRpdGxlLXNob3J0IjoiSiBQc3ljaG9zb20gUmVzIn0sImlzVGVtcG9yYXJ5IjpmYWxzZX1dfQ=="/>
                <w:id w:val="1036323495"/>
                <w:placeholder>
                  <w:docPart w:val="DefaultPlaceholder_-1854013440"/>
                </w:placeholder>
              </w:sdtPr>
              <w:sdtContent>
                <w:r w:rsidR="00F04E9F" w:rsidRPr="00F04E9F">
                  <w:rPr>
                    <w:rFonts w:cs="Times New Roman"/>
                    <w:color w:val="000000"/>
                    <w:sz w:val="16"/>
                    <w:szCs w:val="16"/>
                    <w:shd w:val="clear" w:color="auto" w:fill="FFFFFF"/>
                  </w:rPr>
                  <w:t>(30)</w:t>
                </w:r>
              </w:sdtContent>
            </w:sdt>
          </w:p>
        </w:tc>
        <w:tc>
          <w:tcPr>
            <w:tcW w:w="0" w:type="auto"/>
            <w:shd w:val="clear" w:color="auto" w:fill="FFFFFF"/>
            <w:hideMark/>
          </w:tcPr>
          <w:p w14:paraId="5E855657"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and MRVS Total Tic Score (TTS) / YGTSS scores</w:t>
            </w:r>
          </w:p>
        </w:tc>
        <w:tc>
          <w:tcPr>
            <w:tcW w:w="0" w:type="auto"/>
            <w:shd w:val="clear" w:color="auto" w:fill="FFFFFF"/>
            <w:hideMark/>
          </w:tcPr>
          <w:p w14:paraId="3C4E4363"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22 adults with TS</w:t>
            </w:r>
          </w:p>
        </w:tc>
        <w:tc>
          <w:tcPr>
            <w:tcW w:w="0" w:type="auto"/>
            <w:shd w:val="clear" w:color="auto" w:fill="FFFFFF"/>
            <w:hideMark/>
          </w:tcPr>
          <w:p w14:paraId="217C0981"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No significant correlations found between PUTS scores and MRVS Total Tic Score or any YGTSS score (Pearson's r value not reported, p &gt; 0.05)</w:t>
            </w:r>
          </w:p>
        </w:tc>
      </w:tr>
      <w:tr w:rsidR="005845AF" w:rsidRPr="008A1F40" w14:paraId="366817ED" w14:textId="77777777" w:rsidTr="007F77D2">
        <w:trPr>
          <w:tblCellSpacing w:w="15" w:type="dxa"/>
        </w:trPr>
        <w:tc>
          <w:tcPr>
            <w:tcW w:w="0" w:type="auto"/>
            <w:shd w:val="clear" w:color="auto" w:fill="FFFFFF"/>
          </w:tcPr>
          <w:p w14:paraId="4CD4DEAE" w14:textId="0575ED2F"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Isaacs et al (2021)</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ODcyZmU2MDgtMTgzOS00MTk4LTlmZDItODU0NWRhZjAwMTNhIiwicHJvcGVydGllcyI6eyJub3RlSW5kZXgiOjB9LCJpc0VkaXRlZCI6ZmFsc2UsIm1hbnVhbE92ZXJyaWRlIjp7ImlzTWFudWFsbHlPdmVycmlkZGVuIjpmYWxzZSwiY2l0ZXByb2NUZXh0IjoiKDMxKSIsIm1hbnVhbE92ZXJyaWRlVGV4dCI6IiJ9LCJjaXRhdGlvbkl0ZW1zIjpbeyJpZCI6ImIwMGNmYjcwLWQ4ZTItM2U4Yi1hZmQxLWRmZjAyYjRkMDEwMCIsIml0ZW1EYXRhIjp7InR5cGUiOiJhcnRpY2xlLWpvdXJuYWwiLCJpZCI6ImIwMGNmYjcwLWQ4ZTItM2U4Yi1hZmQxLWRmZjAyYjRkMDEwMCIsInRpdGxlIjoiQ2xpbmljYWwgQ29ycmVsYXRlcyBvZiBIZWFsdGgtUmVsYXRlZCBRdWFsaXR5IG9mIExpZmUgaW4gQWR1bHRzIFdpdGggQ2hyb25pYyBUaWMgRGlzb3JkZXIiLCJncm91cElkIjoiMDdkNjJhYzEtNWFhOC0zOWFmLWI0OWUtNTJkMjA4OGFjNTcxIiwiYXV0aG9yIjpbeyJmYW1pbHkiOiJJc2FhY3MiLCJnaXZlbiI6IkQgQSIsInBhcnNlLW5hbWVzIjpmYWxzZSwiZHJvcHBpbmctcGFydGljbGUiOiIiLCJub24tZHJvcHBpbmctcGFydGljbGUiOiIifSx7ImZhbWlseSI6IlJpb3JkYW4iLCJnaXZlbiI6IkggUiIsInBhcnNlLW5hbWVzIjpmYWxzZSwiZHJvcHBpbmctcGFydGljbGUiOiIiLCJub24tZHJvcHBpbmctcGFydGljbGUiOiIifSx7ImZhbWlseSI6IkNsYWFzc2VuIiwiZ2l2ZW4iOiJEIE8iLCJwYXJzZS1uYW1lcyI6ZmFsc2UsImRyb3BwaW5nLXBhcnRpY2xlIjoiIiwibm9uLWRyb3BwaW5nLXBhcnRpY2xlIjoiIn1dLCJjb250YWluZXItdGl0bGUiOiJGcm9udGllcnMgaW4gUHN5Y2hpYXRyeSIsIkRPSSI6Imh0dHBzOi8vZHguZG9pLm9yZy8xMC4zMzg5L2Zwc3l0LjIwMjEuNjE5ODU0IiwiVVJMIjoiaHR0cDovL3d3dy5mcm9udGllcnNpbi5vcmcvUHN5Y2hpYXRyeWh0dHA6Ly9vdmlkc3Aub3ZpZC5jb20vb3ZpZHdlYi5jZ2k/VD1KUyZQQUdFPXJlZmVyZW5jZSZEPWVtZWQyMiZORVdTPU4mQU49NjM0NTY3MTM2IiwiaXNzdWVkIjp7ImRhdGUtcGFydHMiOltbMjAyMV1dfSwicGFnZSI6IjYxOTg1NCIsImFic3RyYWN0IjoiVGljcyBhcmUgdGhlIGhhbGxtYXJrIGZlYXR1cmUgb2YgVG91cmV0dGUgc3luZHJvbWUgKFRTKSwgYnV0IHBzeWNoaWF0cmljIGFuZCBzZW5zb3J5IHN5bXB0b21zIGFyZSB3aWRlbHkgcHJldmFsZW50IGFuZCBpbmNyZWFzaW5nbHkgcmVjb2duaXplZCBhcyBjb3JlIG1hbmlmZXN0YXRpb25zIG9mIHRoZSBkaXNvcmRlci4gQWNjdW11bGF0aW5nIGV2aWRlbmNlIHN1Z2dlc3RzIHRoYXQgdGhlc2UgcHN5Y2hpYXRyaWMgYW5kIHNlbnNvcnkgc3ltcHRvbXMgZXhlcnQgZ3JlYXRlciBpbmZsdWVuY2Ugb24gcXVhbGl0eSBvZiBsaWZlIChRT0wpIHRoYW4gdGljcyB0aGVtc2VsdmVzLiBIb3dldmVyLCBtdWNoIHJlbWFpbnMgdW5jZXJ0YWluIGFib3V0IGRldGVybWluYW50cyBvZiBRT0wgaW4gVFMgZHVlIHRvIHRoZSBjb21wbGV4aXR5IG9mIHRoZSBjbGluaWNhbCBwcmVzZW50YXRpb24uIEhlcmUsIHdlIHNvdWdodCB0byBjbGFyaWZ5IHRoZSBhc3NvY2lhdGlvbiBiZXR3ZWVuIGhlYWx0aC1yZWxhdGVkIFFPTCAoSFJRT0wpIGFuZCBjb21tb24gcHN5Y2hpYXRyaWMgYW5kIHNlbnNvcnkgc3ltcHRvbXMgaW4gYWR1bHRzIHdpdGggVFMgYW5kIG90aGVyIGNocm9uaWMgdGljIGRpc29yZGVycy4gVG8gZG8gc28sIHdlIHByb3NwZWN0aXZlbHkgcmVjcnVpdGVkIDUyIHBhdGllbnRzIGZyb20gYSB0ZXJ0aWFyeSBjYXJlIGNsaW5pYyB0byBjb21wbGV0ZSBzZWxmLXJlcG9ydCBtZWFzdXJlcyBhc3Nlc3NpbmcgSFJRT0wgKEdpbGxlcyBkZSBsYSBUb3VyZXR0ZS1RdWFsaXR5IG9mIExpZmUgU2NhbGUsIEdUUy1RT0wpLCBkZXByZXNzaW9uIChQYXRpZW50IEhlYWx0aCBRdWVzdGlvbm5haXJlLTksIFBIUS05KSwgYW54aWV0eSAoR2VuZXJhbGl6ZWQgQW54aWV0eSBEaXNvcmRlciBTY2FsZS03LCBHQUQtNyksIG9ic2Vzc2l2ZS1jb21wdWxzaXZlIHN5bXB0b21zIChEaW1lbnNpb25hbCBPYnNlc3NpdmUtQ29tcHVsc2l2ZSBTY2FsZSwgRE9DUyksIGF0dGVudGlvbiBkZWZpY2l0IGh5cGVyYWN0aXZpdHkgZGlzb3JkZXIgc3ltcHRvbXMgKEFkdWx0IEFESEQgU2VsZi1SZXBvcnQgU2NyZWVuaW5nIFNjYWxlIGZvciBEU00tNSwgQVNSUy1WKSwgYW5kIHByZW1vbml0b3J5IHVyZ2UgKFByZW1vbml0b3J5IFVyZ2UgdG8gVGljIFNjYWxlLCBQVVRTKS4gQWxsIHBhcnRpY2lwYW50cyB3ZXJlIGFsc28gYWRtaW5pc3RlcmVkIHRoZSBZYWxlIEdsb2JhbCBUaWMgU2V2ZXJpdHkgU2NhbGUgKFlHVFNTKSB0byBxdWFudGlmeSB0aWMgc2V2ZXJpdHkuIFVzaW5nIGNvcnJlbGF0aW9uYWwgYW5hbHlzaXMgYW5kIG11bHRpdmFyaWFibGUgbGluZWFyIHJlZ3Jlc3Npb24gbW9kZWxpbmcsIHdlIGZvdW5kIHRoYXQgR1RTLVFPTCBzY29yZSB3YXMgc2lnbmlmaWNhbnRseSBhc3NvY2lhdGVkIHdpdGggc2NvcmVzIGZyb20gYWxsIG90aGVyIHJhdGluZyBzY2FsZXMsIHdpdGggdGhlIGV4Y2VwdGlvbiBvZiB0aGUgUFVUUy4gR1RTLVFPTCB3YXMgbW9zdCBzdHJvbmdseSBhc3NvY2lhdGVkIHdpdGggUEhRLTksIGZvbGxvd2VkIGJ5IEFTUlMtViwgR0FELTcsIERPQ1MsIGFuZCBZR1RTUyB0b3RhbCB0aWMgc2NvcmUuIFRoZSByZWdyZXNzaW9uIG1vZGVsIGluY2x1ZGluZyB0aGVzZSBmaXZlIGluZGVwZW5kZW50IHZhcmlhYmxlcywgYXMgd2VsbCBhcyBzZXgsIGV4cGxhaW5lZCA3OSUgb2YgR1RTLVFPTCBzY29yZSB2YXJpYW5jZSBbRig2LDQwKSA9IDI5LjYsIHAgPCAwLjAwMV0uIFNwZWNpZmljIHBzeWNoaWF0cmljIHN5bXB0b21zIGRpZmZlcmVudGlhbGx5IGltcGFjdGVkIHBoeXNpY2FsLCBwc3ljaG9sb2dpY2FsLCBhbmQgY29nbml0aXZlIEhSUU9MLiBTeXN0ZW1hdGljIGFzc2Vzc21lbnQgb2YgcHN5Y2hpYXRyaWMgY29tb3JiaWRpdGllcyBpcyBpbXBlcmF0aXZlIGZvciBjbGluaWNhbCBjYXJlIGFuZCBjbGluaWNhbCByZXNlYXJjaCBlZmZvcnRzIGRpcmVjdGVkIGF0IGltcHJvdmluZyBRT0wgaW4gYWR1bHRzIHdpdGggY2hyb25pYyB0aWMgZGlzb3JkZXJzLsKpIENvcHlyaWdodCDCqSAyMDIxIElzYWFjcywgUmlvcmRhbiBhbmQgQ2xhYXNzZW4uIiwidm9sdW1lIjoiMTIiLCJjb250YWluZXItdGl0bGUtc2hvcnQiOiJGcm9udCBQc3ljaGlhdHJ5In0sImlzVGVtcG9yYXJ5IjpmYWxzZX1dfQ=="/>
                <w:id w:val="-1778323590"/>
                <w:placeholder>
                  <w:docPart w:val="DefaultPlaceholder_-1854013440"/>
                </w:placeholder>
              </w:sdtPr>
              <w:sdtContent>
                <w:r w:rsidR="00F04E9F" w:rsidRPr="00F04E9F">
                  <w:rPr>
                    <w:rFonts w:cs="Times New Roman"/>
                    <w:color w:val="000000"/>
                    <w:sz w:val="16"/>
                    <w:szCs w:val="16"/>
                    <w:shd w:val="clear" w:color="auto" w:fill="FFFFFF"/>
                  </w:rPr>
                  <w:t>(31)</w:t>
                </w:r>
              </w:sdtContent>
            </w:sdt>
          </w:p>
        </w:tc>
        <w:tc>
          <w:tcPr>
            <w:tcW w:w="0" w:type="auto"/>
            <w:shd w:val="clear" w:color="auto" w:fill="FFFFFF"/>
          </w:tcPr>
          <w:p w14:paraId="1D6F94ED"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and YGTSS-TTS</w:t>
            </w:r>
          </w:p>
        </w:tc>
        <w:tc>
          <w:tcPr>
            <w:tcW w:w="0" w:type="auto"/>
            <w:shd w:val="clear" w:color="auto" w:fill="FFFFFF"/>
          </w:tcPr>
          <w:p w14:paraId="5CB10829"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52 adults with CTDs</w:t>
            </w:r>
          </w:p>
        </w:tc>
        <w:tc>
          <w:tcPr>
            <w:tcW w:w="0" w:type="auto"/>
            <w:shd w:val="clear" w:color="auto" w:fill="FFFFFF"/>
          </w:tcPr>
          <w:p w14:paraId="0E92F25A"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No significant correlation between PUTS scores and YGTSS-TTS after correcting for multiple comparisons (Spearman’s r = 0.34)</w:t>
            </w:r>
          </w:p>
        </w:tc>
      </w:tr>
      <w:tr w:rsidR="005845AF" w:rsidRPr="008A1F40" w14:paraId="34FE0D37" w14:textId="77777777" w:rsidTr="007F77D2">
        <w:trPr>
          <w:tblCellSpacing w:w="15" w:type="dxa"/>
        </w:trPr>
        <w:tc>
          <w:tcPr>
            <w:tcW w:w="0" w:type="auto"/>
            <w:shd w:val="clear" w:color="auto" w:fill="FFFFFF"/>
            <w:hideMark/>
          </w:tcPr>
          <w:p w14:paraId="526A9F89" w14:textId="3880444D"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Narapareddy et al (2022)</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YWYyYWZmYTgtYTJlZi00ZWU5LWE0NTEtMzM5ZDJiMDQzNjQwIiwicHJvcGVydGllcyI6eyJub3RlSW5kZXgiOjB9LCJpc0VkaXRlZCI6ZmFsc2UsIm1hbnVhbE92ZXJyaWRlIjp7ImlzTWFudWFsbHlPdmVycmlkZGVuIjpmYWxzZSwiY2l0ZXByb2NUZXh0IjoiKDMyKSIsIm1hbnVhbE92ZXJyaWRlVGV4dCI6IiJ9LCJjaXRhdGlvbkl0ZW1zIjpbeyJpZCI6IjYxMWRmMGE3LTJlN2QtM2JiYy05ZjRhLWNlYzA2MTBlMDQ2NSIsIml0ZW1EYXRhIjp7InR5cGUiOiJhcnRpY2xlLWpvdXJuYWwiLCJpZCI6IjYxMWRmMGE3LTJlN2QtM2JiYy05ZjRhLWNlYzA2MTBlMDQ2NSIsInRpdGxlIjoiQWx0ZXJlZCBJbnRlcm9jZXB0aXZlIFNlbnNpYmlsaXR5IGluIEFkdWx0cyBXaXRoIENocm9uaWMgVGljIERpc29yZGVyIiwiZ3JvdXBJZCI6IjA3ZDYyYWMxLTVhYTgtMzlhZi1iNDllLTUyZDIwODhhYzU3MSIsImF1dGhvciI6W3siZmFtaWx5IjoiTmFyYXBhcmVkZHkiLCJnaXZlbiI6IkEiLCJwYXJzZS1uYW1lcyI6ZmFsc2UsImRyb3BwaW5nLXBhcnRpY2xlIjoiIiwibm9uLWRyb3BwaW5nLXBhcnRpY2xlIjoiIn0seyJmYW1pbHkiOiJFY2tsYW5kIiwiZ2l2ZW4iOiJNIFIiLCJwYXJzZS1uYW1lcyI6ZmFsc2UsImRyb3BwaW5nLXBhcnRpY2xlIjoiIiwibm9uLWRyb3BwaW5nLXBhcnRpY2xlIjoiIn0seyJmYW1pbHkiOiJSaW9yZGFuIiwiZ2l2ZW4iOiJIIFIiLCJwYXJzZS1uYW1lcyI6ZmFsc2UsImRyb3BwaW5nLXBhcnRpY2xlIjoiIiwibm9uLWRyb3BwaW5nLXBhcnRpY2xlIjoiIn0seyJmYW1pbHkiOiJDYXNjaW8iLCJnaXZlbiI6IkMgSiIsInBhcnNlLW5hbWVzIjpmYWxzZSwiZHJvcHBpbmctcGFydGljbGUiOiIiLCJub24tZHJvcHBpbmctcGFydGljbGUiOiIifSx7ImZhbWlseSI6IklzYWFjcyIsImdpdmVuIjoiRCBBIiwicGFyc2UtbmFtZXMiOmZhbHNlLCJkcm9wcGluZy1wYXJ0aWNsZSI6IiIsIm5vbi1kcm9wcGluZy1wYXJ0aWNsZSI6IiJ9XSwiY29udGFpbmVyLXRpdGxlIjoiRnJvbnRpZXJzIGluIFBzeWNoaWF0cnkiLCJET0kiOiIxMC4zMzg5L2Zwc3l0LjIwMjIuOTE0ODk3IiwiVVJMIjoiaHR0cHM6Ly93d3cuc2NvcHVzLmNvbS9pbndhcmQvcmVjb3JkLnVyaT9laWQ9Mi1zMi4wLTg1MTMzNjY0NzU5JmRvaT0xMC4zMzg5JTJmZnBzeXQuMjAyMi45MTQ4OTcmcGFydG5lcklEPTQwJm1kNT1jZThmNDc3MjFjMGE2MDNiNWMzMTg0ZmIyNzdjNDBiNCIsImlzc3VlZCI6eyJkYXRlLXBhcnRzIjpbWzIwMjJdXX0sInBhZ2UiOiItIiwidm9sdW1lIjoiMTMiLCJjb250YWluZXItdGl0bGUtc2hvcnQiOiJGcm9udCBQc3ljaGlhdHJ5In0sImlzVGVtcG9yYXJ5IjpmYWxzZX1dfQ=="/>
                <w:id w:val="2080641023"/>
                <w:placeholder>
                  <w:docPart w:val="DefaultPlaceholder_-1854013440"/>
                </w:placeholder>
              </w:sdtPr>
              <w:sdtContent>
                <w:r w:rsidR="00F04E9F" w:rsidRPr="00F04E9F">
                  <w:rPr>
                    <w:rFonts w:cs="Times New Roman"/>
                    <w:color w:val="000000"/>
                    <w:sz w:val="16"/>
                    <w:szCs w:val="16"/>
                    <w:shd w:val="clear" w:color="auto" w:fill="FFFFFF"/>
                  </w:rPr>
                  <w:t>(32)</w:t>
                </w:r>
              </w:sdtContent>
            </w:sdt>
          </w:p>
        </w:tc>
        <w:tc>
          <w:tcPr>
            <w:tcW w:w="0" w:type="auto"/>
            <w:shd w:val="clear" w:color="auto" w:fill="FFFFFF"/>
            <w:hideMark/>
          </w:tcPr>
          <w:p w14:paraId="5F772CB3"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and MAIA-2 Not-Worrying scores, MAIA-2 Not-Distracting scores, MAIA-2 composite variable scores, DOCS scores, YGTSS-TTS</w:t>
            </w:r>
          </w:p>
        </w:tc>
        <w:tc>
          <w:tcPr>
            <w:tcW w:w="0" w:type="auto"/>
            <w:shd w:val="clear" w:color="auto" w:fill="FFFFFF"/>
            <w:hideMark/>
          </w:tcPr>
          <w:p w14:paraId="79FAB860"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48 adults with CTDs</w:t>
            </w:r>
          </w:p>
        </w:tc>
        <w:tc>
          <w:tcPr>
            <w:tcW w:w="0" w:type="auto"/>
            <w:shd w:val="clear" w:color="auto" w:fill="FFFFFF"/>
            <w:hideMark/>
          </w:tcPr>
          <w:p w14:paraId="2280238D"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No significant correlation between PUTS scores and YGTSS-TTS after correcting for multiple comparisons (Spearman’s r = 0.28)</w:t>
            </w:r>
          </w:p>
          <w:p w14:paraId="28E0A89F" w14:textId="77777777" w:rsidR="00986E35" w:rsidRPr="008A1F40" w:rsidRDefault="00986E35" w:rsidP="007F77D2">
            <w:pPr>
              <w:rPr>
                <w:rFonts w:cs="Times New Roman"/>
                <w:color w:val="000000" w:themeColor="text1"/>
                <w:sz w:val="16"/>
                <w:szCs w:val="16"/>
                <w:shd w:val="clear" w:color="auto" w:fill="FFFFFF"/>
              </w:rPr>
            </w:pPr>
          </w:p>
          <w:p w14:paraId="4DB1B1C7" w14:textId="256665D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 xml:space="preserve">In a multivariable linear regression predicting PUTS scores from </w:t>
            </w:r>
            <w:r w:rsidRPr="008A1F40">
              <w:rPr>
                <w:rFonts w:cs="Times New Roman"/>
                <w:color w:val="000000" w:themeColor="text1"/>
                <w:sz w:val="16"/>
                <w:szCs w:val="16"/>
              </w:rPr>
              <w:t xml:space="preserve">MAIA-2 Not-Worrying scores, MAIA-2 Not-Distracting scores, </w:t>
            </w:r>
            <w:r w:rsidRPr="008A1F40">
              <w:rPr>
                <w:rFonts w:cs="Times New Roman"/>
                <w:color w:val="000000" w:themeColor="text1"/>
                <w:sz w:val="16"/>
                <w:szCs w:val="16"/>
                <w:shd w:val="clear" w:color="auto" w:fill="FFFFFF"/>
              </w:rPr>
              <w:t>MAIA-2 composite variable scores (i.e., mean score from the six MAIA-2 subscales besides Not-Worrying and Not-Distracting), DOCS scores, and YGTSS-TTS, YGTSS-TTS was a significant predictor of PUTS scores (</w:t>
            </w:r>
            <w:r w:rsidRPr="008A1F40">
              <w:rPr>
                <w:rFonts w:cs="Times New Roman"/>
                <w:color w:val="000000" w:themeColor="text1"/>
                <w:sz w:val="16"/>
                <w:szCs w:val="16"/>
              </w:rPr>
              <w:t>β = 0.08, p &lt; 0.05).</w:t>
            </w:r>
          </w:p>
        </w:tc>
      </w:tr>
      <w:tr w:rsidR="005845AF" w:rsidRPr="008A1F40" w14:paraId="319A9C69" w14:textId="77777777" w:rsidTr="007F77D2">
        <w:trPr>
          <w:tblCellSpacing w:w="15" w:type="dxa"/>
        </w:trPr>
        <w:tc>
          <w:tcPr>
            <w:tcW w:w="0" w:type="auto"/>
            <w:shd w:val="clear" w:color="auto" w:fill="FFFFFF"/>
          </w:tcPr>
          <w:p w14:paraId="114DBC5E" w14:textId="213EABF4"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Ganos et al (2012)</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MTU5NWUzYmEtYTJhMS00Zjg4LWE3Y2UtNzc3OGNiZjJmZmRjIiwicHJvcGVydGllcyI6eyJub3RlSW5kZXgiOjB9LCJpc0VkaXRlZCI6ZmFsc2UsIm1hbnVhbE92ZXJyaWRlIjp7ImlzTWFudWFsbHlPdmVycmlkZGVuIjpmYWxzZSwiY2l0ZXByb2NUZXh0IjoiKDMzKSIsIm1hbnVhbE92ZXJyaWRlVGV4dCI6IiJ9LCJjaXRhdGlvbkl0ZW1zIjpbeyJpZCI6IjI2ZTllODZhLTRmNTMtM2Q5Ny04NWQxLTVkZTdhMDcyODI2NSIsIml0ZW1EYXRhIjp7InR5cGUiOiJhcnRpY2xlLWpvdXJuYWwiLCJpZCI6IjI2ZTllODZhLTRmNTMtM2Q5Ny04NWQxLTVkZTdhMDcyODI2NSIsInRpdGxlIjoiQXJlIHByZW1vbml0b3J5IHVyZ2VzIGEgcHJlcmVxdWlzaXRlIG9mIHRpYyBpbmhpYml0aW9uIGluIEdpbGxlcyBkZSBsYSBUb3VyZXR0ZSBzeW5kcm9tZT8iLCJncm91cElkIjoiMDdkNjJhYzEtNWFhOC0zOWFmLWI0OWUtNTJkMjA4OGFjNTcxIiwiYXV0aG9yIjpbeyJmYW1pbHkiOiJHYW5vcyIsImdpdmVuIjoiQyIsInBhcnNlLW5hbWVzIjpmYWxzZSwiZHJvcHBpbmctcGFydGljbGUiOiIiLCJub24tZHJvcHBpbmctcGFydGljbGUiOiIifSx7ImZhbWlseSI6IkthaGwiLCJnaXZlbiI6IlUiLCJwYXJzZS1uYW1lcyI6ZmFsc2UsImRyb3BwaW5nLXBhcnRpY2xlIjoiIiwibm9uLWRyb3BwaW5nLXBhcnRpY2xlIjoiIn0seyJmYW1pbHkiOiJTY2h1bmtlIiwiZ2l2ZW4iOiJPIiwicGFyc2UtbmFtZXMiOmZhbHNlLCJkcm9wcGluZy1wYXJ0aWNsZSI6IiIsIm5vbi1kcm9wcGluZy1wYXJ0aWNsZSI6IiJ9LHsiZmFtaWx5IjoiS8O8aG4iLCJnaXZlbiI6IlMiLCJwYXJzZS1uYW1lcyI6ZmFsc2UsImRyb3BwaW5nLXBhcnRpY2xlIjoiIiwibm9uLWRyb3BwaW5nLXBhcnRpY2xlIjoiIn0seyJmYW1pbHkiOiJIYWdnYXJkIiwiZ2l2ZW4iOiJQIiwicGFyc2UtbmFtZXMiOmZhbHNlLCJkcm9wcGluZy1wYXJ0aWNsZSI6IiIsIm5vbi1kcm9wcGluZy1wYXJ0aWNsZSI6IiJ9LHsiZmFtaWx5IjoiR2VybG9mZiIsImdpdmVuIjoiQyIsInBhcnNlLW5hbWVzIjpmYWxzZSwiZHJvcHBpbmctcGFydGljbGUiOiIiLCJub24tZHJvcHBpbmctcGFydGljbGUiOiIifSx7ImZhbWlseSI6IlJvZXNzbmVyIiwiZ2l2ZW4iOiJWIiwicGFyc2UtbmFtZXMiOmZhbHNlLCJkcm9wcGluZy1wYXJ0aWNsZSI6IiIsIm5vbi1kcm9wcGluZy1wYXJ0aWNsZSI6IiJ9LHsiZmFtaWx5IjoiVGhvbWFsbGEiLCJnaXZlbiI6IkciLCJwYXJzZS1uYW1lcyI6ZmFsc2UsImRyb3BwaW5nLXBhcnRpY2xlIjoiIiwibm9uLWRyb3BwaW5nLXBhcnRpY2xlIjoiIn0seyJmYW1pbHkiOiJNw7xuY2hhdSIsImdpdmVuIjoiQSIsInBhcnNlLW5hbWVzIjpmYWxzZSwiZHJvcHBpbmctcGFydGljbGUiOiIiLCJub24tZHJvcHBpbmctcGFydGljbGUiOiIifV0sImNvbnRhaW5lci10aXRsZSI6IkogTmV1cm9sIE5ldXJvc3VyZyBQc3ljaGlhdHJ5IiwiRE9JIjoiMTAuMTEzNi9qbm5wLTIwMTItMzAzMDMzIiwiUE1JRCI6IjIyODQyNzEzIiwiVVJMIjoiaHR0cHM6Ly9qbm5wLmJtai5jb20vY29udGVudC84My8xMC85NzUiLCJpc3N1ZWQiOnsiZGF0ZS1wYXJ0cyI6W1syMDEyXV19LCJwYWdlIjoiOTc1LTk3OCIsImFic3RyYWN0IjoiQkFDS0dST1VORDogRGVzcGl0ZSB0aGUgY29tbW9uIG5vdGlvbiB0aGF0IHByZW1vbml0b3J5IHVyZ2VzIGZhY2lsaXRhdGUgdGljIGluaGliaXRpb24sIG5vIHN0dWRpZXMgaGF2ZSBpbnZlc3RpZ2F0ZWQgdGhpcyBxdWVzdGlvbiBzeXN0ZW1hdGljYWxseS4gV2UgZXhhbWluZWQgdGhlIHJlbGF0aW9uIG9mIHRoZSB0cmFpdCBvZiBwcmVtb25pdG9yeSB1cmdlcyB3aXRoIHRpY3MgYW5kIHRpYyBzdXBwcmVzc2lvbi4gV2UgaHlwb3RoZXNpc2VkIHRoYXQgcGF0aWVudHMgd2l0aCBtb3JlIHVyZ2VzIHdvdWxkIGJlIG1vcmUgZWZmaWNpZW50IGF0IGluaGliaXRpbmcgdGljcy4gTUVUSE9EUzogMTUgYWR1bHQgKDE0IG1lbiwgbWVhbiBhZ2UgMzIuMsKxNy45IHllYXJzKSBwdXJlIEdpbGxlcyBkZSBsYSBUb3VyZXR0ZSBzeW5kcm9tZSBwYXRpZW50cyBwYXJ0aWNpcGF0ZWQuIFRpYyBzZXZlcml0eSB3YXMgZXZhbHVhdGVkIHVzaW5nIHRoZSBtb2RpZmllZCBSdXNoIFZpZGVvIFNjYWxlIGFuZCBieSBlbXBsb3lpbmcgdGhlIFlhbGUgR2xvYmFsIFRpYyBTZXZlcml0eSBTY2FsZS4gVGljIHN1cHByZXNzaWJpbGl0eSB3YXMgYXNzZXNzZWQgZnJvbSB2aWRlb3Mgb2YgYWRkaXRpb25hbCBwZXJpb2RzIHdoZXJlIHBhdGllbnRzIHdlcmUgaW5zdHJ1Y3RlZCB0byBtYXhpbWFsbHkgc3VwcHJlc3MgdGhlaXIgdGljcy4gUnVzaCBzY29yZSBiYXNlZCBpbmhpYml0aW9uIHBvdGVuY3kgd2FzIHN5bnRoZXNpc2VkIGJ5IGNvbWJpbmluZyB0aGUgc2NvcmVzIGluIHRoZSB0d28gY29uZGl0aW9ucy4gQSBtZWFzdXJlIG9mIHB1cmUgbW90b3IgdGljIGluaGliaXRpb24gcG90ZW5jeSB3YXMgYWxzbyBnZW5lcmF0ZWQgYmFzZWQgb24gdGhlIG51bWJlciBvZiBtb3RvciB0aWNzIGFsb25lLiBQcmVtb25pdG9yeSB1cmdlcyB3ZXJlIGFzc2Vzc2VkIGJ5IHRoZSBQcmVtb25pdG9yeSBVcmdlIGZvciBUaWNzIFNjYWxlLiBSRVNVTFRTOiBBbGwgcGFydGljaXBhbnRzIHJlcG9ydGVkIHVyZ2VzIHByZWNlZGluZyB0aGVpciB0aWNzIGFuZCB3ZXJlIGFibGUgdG8gdm9sdW50YXJpbHkgc3VwcHJlc3MgdGhlaXIgdGljcy4gSG93ZXZlciwgdGhlcmUgd2FzIG5vIGNvcnJlbGF0aW9uIGJldHdlZW4gdXJnZSBzY29yZXMgYW5kIHRoZSBSdXNoIHNjb3JlIGJhc2VkIGluaGliaXRpb24gcG90ZW5jeSBvciB0aGUgcHVyZSBtb3RvciB0aWMgaW5oaWJpdGlvbiBwb3RlbmN5LiBTY29yZXMgb2YgdGhlIFByZW1vbml0b3J5IFVyZ2UgZm9yIFRpY3MgU2NhbGUgY29ycmVsYXRlZCB3aXRoIHRoZSBpbnRlcmZlcmVuY2Ugc3Vic2NhbGUgaXRlbSBvZiB0aGUgWWFsZSBHbG9iYWwgVGljIFNldmVyaXR5IFNjYWxlLiBDT05DTFVTSU9OUzogVXJnZXMgYW5kIHRpYyBpbmhpYml0aW9uIGFyZSBub3QgZGlyZWN0bHkgcmVsYXRlZC4gVGhlcmUgc2VlbSB0byBleGlzdCBhdCBsZWFzdCB0d28gZGlzdGluY3QgbmV1cm9waHlzaW9sb2dpY2FsIHN5c3RlbXMgb2YgdXJnZS90aWMgZ2VuZXJhdGlvbiBhbmQgdGljIGNvbnRyb2wgaW4gYWR1bHQgR2lsbGVzIGRlIGxhIFRvdXJldHRlIHN5bmRyb21lIHBhdGllbnRzLiIsImlzc3VlIjoiMTAiLCJ2b2x1bWUiOiI4MyIsImNvbnRhaW5lci10aXRsZS1zaG9ydCI6IiJ9LCJpc1RlbXBvcmFyeSI6ZmFsc2V9XX0="/>
                <w:id w:val="2009166790"/>
                <w:placeholder>
                  <w:docPart w:val="DefaultPlaceholder_-1854013440"/>
                </w:placeholder>
              </w:sdtPr>
              <w:sdtContent>
                <w:r w:rsidR="00F04E9F" w:rsidRPr="00F04E9F">
                  <w:rPr>
                    <w:rFonts w:cs="Times New Roman"/>
                    <w:color w:val="000000"/>
                    <w:sz w:val="16"/>
                    <w:szCs w:val="16"/>
                    <w:shd w:val="clear" w:color="auto" w:fill="FFFFFF"/>
                  </w:rPr>
                  <w:t>(33)</w:t>
                </w:r>
              </w:sdtContent>
            </w:sdt>
          </w:p>
        </w:tc>
        <w:tc>
          <w:tcPr>
            <w:tcW w:w="0" w:type="auto"/>
            <w:shd w:val="clear" w:color="auto" w:fill="FFFFFF"/>
          </w:tcPr>
          <w:p w14:paraId="6E401D44"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and YGTSS scores</w:t>
            </w:r>
          </w:p>
        </w:tc>
        <w:tc>
          <w:tcPr>
            <w:tcW w:w="0" w:type="auto"/>
            <w:shd w:val="clear" w:color="auto" w:fill="FFFFFF"/>
          </w:tcPr>
          <w:p w14:paraId="2CAF9F9B"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15 adults with TS</w:t>
            </w:r>
          </w:p>
        </w:tc>
        <w:tc>
          <w:tcPr>
            <w:tcW w:w="0" w:type="auto"/>
            <w:shd w:val="clear" w:color="auto" w:fill="FFFFFF"/>
          </w:tcPr>
          <w:p w14:paraId="688AD858"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No significant correlation between PUTS scores and YGTSS global score (sum of total tic score and impairment) (Pearson’s r = 0.386, p = 0.155), or any of the YGTSS subscale scores except for the interference subscale (Pearson’s r = 0.546, p = 0.035)</w:t>
            </w:r>
          </w:p>
        </w:tc>
      </w:tr>
      <w:tr w:rsidR="005845AF" w:rsidRPr="008A1F40" w14:paraId="3EE88017" w14:textId="77777777" w:rsidTr="007F77D2">
        <w:trPr>
          <w:tblCellSpacing w:w="15" w:type="dxa"/>
        </w:trPr>
        <w:tc>
          <w:tcPr>
            <w:tcW w:w="0" w:type="auto"/>
            <w:shd w:val="clear" w:color="auto" w:fill="FFFFFF"/>
            <w:hideMark/>
          </w:tcPr>
          <w:p w14:paraId="136F25F7" w14:textId="3266AEDD"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Rozenman et al (2015)</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OWMwNTkxNjAtYTUzMi00MjU4LTkyNzgtZDM1YzcxZTNlOTVjIiwicHJvcGVydGllcyI6eyJub3RlSW5kZXgiOjB9LCJpc0VkaXRlZCI6ZmFsc2UsIm1hbnVhbE92ZXJyaWRlIjp7ImlzTWFudWFsbHlPdmVycmlkZGVuIjpmYWxzZSwiY2l0ZXByb2NUZXh0IjoiKDE0KSIsIm1hbnVhbE92ZXJyaWRlVGV4dCI6IiJ9LCJjaXRhdGlvbkl0ZW1zIjpbeyJpZCI6IjUzNjI3MWUxLTIxYjAtM2U3MC1iNDdlLWQzMWNjNGZjY2ExNSIsIml0ZW1EYXRhIjp7InR5cGUiOiJhcnRpY2xlLWpvdXJuYWwiLCJpZCI6IjUzNjI3MWUxLTIxYjAtM2U3MC1iNDdlLWQzMWNjNGZjY2ExNSIsInRpdGxlIjoiUmVsYXRpb25zaGlwcyBiZXR3ZWVuIFByZW1vbml0b3J5IFVyZ2UgYW5kIEFueGlldHkgaW4gWW91dGggd2l0aCBDaHJvbmljIFRpYyBEaXNvcmRlcnMiLCJncm91cElkIjoiMDdkNjJhYzEtNWFhOC0zOWFmLWI0OWUtNTJkMjA4OGFjNTcxIiwiYXV0aG9yIjpbeyJmYW1pbHkiOiJSb3plbm1hbiIsImdpdmVuIjoiTSIsInBhcnNlLW5hbWVzIjpmYWxzZSwiZHJvcHBpbmctcGFydGljbGUiOiIiLCJub24tZHJvcHBpbmctcGFydGljbGUiOiIifSx7ImZhbWlseSI6IkpvaG5zb24iLCJnaXZlbiI6Ik8gRSIsInBhcnNlLW5hbWVzIjpmYWxzZSwiZHJvcHBpbmctcGFydGljbGUiOiIiLCJub24tZHJvcHBpbmctcGFydGljbGUiOiIifSx7ImZhbWlseSI6IkNoYW5nIiwiZ2l2ZW4iOiJTIFciLCJwYXJzZS1uYW1lcyI6ZmFsc2UsImRyb3BwaW5nLXBhcnRpY2xlIjoiIiwibm9uLWRyb3BwaW5nLXBhcnRpY2xlIjoiIn0seyJmYW1pbHkiOiJXb29kcyIsImdpdmVuIjoiRCBXIiwicGFyc2UtbmFtZXMiOmZhbHNlLCJkcm9wcGluZy1wYXJ0aWNsZSI6IiIsIm5vbi1kcm9wcGluZy1wYXJ0aWNsZSI6IiJ9LHsiZmFtaWx5IjoiV2Fsa3VwIiwiZ2l2ZW4iOiJKIFQiLCJwYXJzZS1uYW1lcyI6ZmFsc2UsImRyb3BwaW5nLXBhcnRpY2xlIjoiIiwibm9uLWRyb3BwaW5nLXBhcnRpY2xlIjoiIn0seyJmYW1pbHkiOiJXaWxoZWxtIiwiZ2l2ZW4iOiJTIiwicGFyc2UtbmFtZXMiOmZhbHNlLCJkcm9wcGluZy1wYXJ0aWNsZSI6IiIsIm5vbi1kcm9wcGluZy1wYXJ0aWNsZSI6IiJ9LHsiZmFtaWx5IjoiUGV0ZXJzb24iLCJnaXZlbiI6IkEiLCJwYXJzZS1uYW1lcyI6ZmFsc2UsImRyb3BwaW5nLXBhcnRpY2xlIjoiIiwibm9uLWRyb3BwaW5nLXBhcnRpY2xlIjoiIn0seyJmYW1pbHkiOiJTY2FoaWxsIiwiZ2l2ZW4iOiJMIiwicGFyc2UtbmFtZXMiOmZhbHNlLCJkcm9wcGluZy1wYXJ0aWNsZSI6IiIsIm5vbi1kcm9wcGluZy1wYXJ0aWNsZSI6IiJ9LHsiZmFtaWx5IjoiUGlhY2VudGluaSIsImdpdmVuIjoiSiIsInBhcnNlLW5hbWVzIjpmYWxzZSwiZHJvcHBpbmctcGFydGljbGUiOiIiLCJub24tZHJvcHBpbmctcGFydGljbGUiOiIifV0sImNvbnRhaW5lci10aXRsZSI6IkNoaWxkIEhlYWx0aCBDYXJlIiwiRE9JIjoiMTAuMTA4MC8wMjczOTYxNS4yMDE0Ljk4NjMyOCIsIlBNSUQiOiIyNzExMDA1MCIsImlzc3VlZCI6eyJkYXRlLXBhcnRzIjpbWzIwMTVdXX0sInBhZ2UiOiIyMzUtMjQ4IiwiYWJzdHJhY3QiOiJUb3VyZXR0ZSdzIERpc29yZGVyIGFuZCBvdGhlciBjaHJvbmljIHRpYyBkaXNvcmRlcnMgYXJlIGNvbW1vbiBuZXVyb2RldmVsb3BtZW50YWwgY29uZGl0aW9ucy4gT25lIGNoYXJhY3RlcmlzdGljIG9mIHRpYyBkaXNvcmRlcnMgaXMgdGhlIHByZW1vbml0b3J5IHVyZ2UsIGFuIGF2ZXJzaXZlIG9yIHVucGxlYXNhbnQgc2Vuc29yeSBwaGVub21lbm9uIHRoYXQgbWF5IHByZWNlZGUgdGljcy4gSW5pdGlhbCBleGFtaW5hdGlvbiBvZiBwcmVtb25pdG9yeSB1cmdlIGluIHBlZGlhdHJpYyB0aWMgZGlzb3JkZXJzIHN1Z2dlc3RzIHRoYXQgYXdhcmVuZXNzIGFuZCBleHBlcmllbmNlIG9mIHNlbnNhdGlvbnMgcHJlY2VkaW5nIHRpY3MgbWF5IGJlIHJlbGF0ZWQgdG8gYW54aWV0eSBhbmQgT0NELiBIb3dldmVyLCBpdCBtYXkgYmUgcG9zc2libGUgdGhhdCBzcGVjaWZpYyBhbnhpZXR5LXJlbGF0ZWQgc3ltcHRvbXMsIHN1Y2ggYXMgYW54aW91cyBwaHlzaW9sb2dpYyBhcm91c2FsLCBhcmUgcGFydGljdWxhcmx5IHJlbGV2YW50IHRvIHRoZSBleHBlcmllbmNlIG9mIHByZW1vbml0b3J5IHVyZ2UuIFRoZSBjdXJyZW50IHN0dWR5IGV4YW1pbmVzIHJlbGF0aW9uc2hpcHMgYmV0d2VlbiB0aWMtcmVsYXRlZCBwcmVtb25pdG9yeSB1cmdlIGFuZCBhbnhpZXR5LXJlbGF0ZWQgc3ltcHRvbSBjbHVzdGVycyBpbiB0cmVhdG1lbnQtc2Vla2luZyB5b3V0aHMgd2l0aCBhIHByaW1hcnkgZGlhZ25vc2VzIG9mIFRvdXJldHRlJ3Mgb3Igb3RoZXIgY2hyb25pYyB0aWMgZGlzb3JkZXIuIFRoZSBzYW1wbGUgY29uc2lzdGVkIG9mIDEyNCB5b3V0aCwgYWdlcyA5IHRvIDE3LCB3aG8gcGFydGljaXBhdGVkIGluIHRoZSBtdWx0aS1zaXRlIENvbXByZWhlbnNpdmUgQmVoYXZpb3JhbCBJbnRlcnZlbnRpb24gZm9yIFRpY3MgcmFuZG9taXplZCBjb250cm9sbGVkIHRyaWFsIChDQklUOyBQaWFjZW50aW5pIGV0IGFsLiwgMjAxMCkuIFNwZWNpZmljIGFueGlldHktcmVsYXRlZCBzdWJ0eXBlcywgaW5jbHVkaW5nIGdlbmVyYWxpemVkIHdvcnJ5LCBzZXBhcmF0aW9uLCBzb2NpYWwsIGFuZCBwYW5pYy9zb21hdGljIHN5bXB0b21zLCBhcyB3ZWxsIGFzIHNldmVyaXR5IG9mIG9ic2Vzc2lvbnMgYW5kIGNvbXB1bHNpb25zLCB3ZXJlIGFzc2Vzc2VkIGFzIHBvdGVudGlhbCBjb3JyZWxhdGVzIG9mIHByZW1vbml0b3J5IHVyZ2UuIEZpbmRpbmdzIGluZGljYXRlZCB0aGF0IGFnZSwgZ2xvYmFsIHRpYy1yZWxhdGVkIGltcGFpcm1lbnQsIGFuZCBzcGVjaWZpYyBwYW5pYy9zb21hdGljIHN5bXB0b21zIGFjY291bnRlZCBmb3IgYSBzdWJzdGFudGlhbCBwcm9wb3J0aW9uIG9mIHZhcmlhbmNlIGluIHlvdXRoIHJlcG9ydCBvZiBwcmVtb25pdG9yeSB1cmdlLiBUaGVzZSBmaW5kaW5ncyBwcm92aWRlIGluZm9ybWF0aW9uIGFib3V0IHRoZSBjaGFyYWN0ZXJpc3RpY3Mgb2YgcHJlbW9uaXRvcnkgdXJnZSBpbiBwZWRpYXRyaWMgdGljIGRpc29yZGVycywgYW5kIGhhdmUgaW1wbGljYXRpb25zIGZvciB0aGUgdHJlYXRtZW50IG9mIHBlZGlhdHJpYyB0aWMgc3luZHJvbWVzLiIsImlzc3VlIjoiMyIsInZvbHVtZSI6IjQ0IiwiY29udGFpbmVyLXRpdGxlLXNob3J0IjoiIn0sImlzVGVtcG9yYXJ5IjpmYWxzZX1dfQ=="/>
                <w:id w:val="99070989"/>
                <w:placeholder>
                  <w:docPart w:val="DefaultPlaceholder_-1854013440"/>
                </w:placeholder>
              </w:sdtPr>
              <w:sdtContent>
                <w:r w:rsidR="00F04E9F" w:rsidRPr="00F04E9F">
                  <w:rPr>
                    <w:rFonts w:cs="Times New Roman"/>
                    <w:color w:val="000000"/>
                    <w:sz w:val="16"/>
                    <w:szCs w:val="16"/>
                    <w:shd w:val="clear" w:color="auto" w:fill="FFFFFF"/>
                  </w:rPr>
                  <w:t>(14)</w:t>
                </w:r>
              </w:sdtContent>
            </w:sdt>
          </w:p>
        </w:tc>
        <w:tc>
          <w:tcPr>
            <w:tcW w:w="0" w:type="auto"/>
            <w:shd w:val="clear" w:color="auto" w:fill="FFFFFF"/>
            <w:hideMark/>
          </w:tcPr>
          <w:p w14:paraId="2A102297"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and YGTSS-TTS / YGTSS impairment scores</w:t>
            </w:r>
          </w:p>
        </w:tc>
        <w:tc>
          <w:tcPr>
            <w:tcW w:w="0" w:type="auto"/>
            <w:shd w:val="clear" w:color="auto" w:fill="FFFFFF"/>
            <w:hideMark/>
          </w:tcPr>
          <w:p w14:paraId="480BB4A0"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124 children and adolescents with CTDs</w:t>
            </w:r>
          </w:p>
        </w:tc>
        <w:tc>
          <w:tcPr>
            <w:tcW w:w="0" w:type="auto"/>
            <w:shd w:val="clear" w:color="auto" w:fill="FFFFFF"/>
            <w:hideMark/>
          </w:tcPr>
          <w:p w14:paraId="041D39B1"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 xml:space="preserve">Significant correlation found between PUTS scores and YGTSS-TTS (r = 0.27, p = 0.003), and between PUTS scores and YGTSS impairment scores (r = 0.27, p = 0.002) </w:t>
            </w:r>
          </w:p>
          <w:p w14:paraId="703AED6D" w14:textId="77777777" w:rsidR="00986E35" w:rsidRPr="008A1F40" w:rsidRDefault="00986E35" w:rsidP="007F77D2">
            <w:pPr>
              <w:rPr>
                <w:rFonts w:cs="Times New Roman"/>
                <w:color w:val="000000" w:themeColor="text1"/>
                <w:sz w:val="16"/>
                <w:szCs w:val="16"/>
                <w:shd w:val="clear" w:color="auto" w:fill="FFFFFF"/>
              </w:rPr>
            </w:pPr>
          </w:p>
          <w:p w14:paraId="1FB35C4C"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 xml:space="preserve">YGTSS impairment scores were a significant predictor of PUTS scores in a multiple regression that included </w:t>
            </w:r>
            <w:r w:rsidRPr="008A1F40">
              <w:rPr>
                <w:rFonts w:cs="Times New Roman"/>
                <w:color w:val="000000" w:themeColor="text1"/>
                <w:sz w:val="16"/>
                <w:szCs w:val="16"/>
              </w:rPr>
              <w:t xml:space="preserve">SCARED-C </w:t>
            </w:r>
            <w:r w:rsidRPr="008A1F40">
              <w:rPr>
                <w:rFonts w:cs="Times New Roman"/>
                <w:color w:val="000000" w:themeColor="text1"/>
                <w:sz w:val="16"/>
                <w:szCs w:val="16"/>
                <w:shd w:val="clear" w:color="auto" w:fill="FFFFFF"/>
              </w:rPr>
              <w:t xml:space="preserve">Panic/Somatic subscale scores and age as independent variables </w:t>
            </w:r>
            <w:r w:rsidRPr="008A1F40">
              <w:rPr>
                <w:rFonts w:cs="Times New Roman"/>
                <w:color w:val="000000" w:themeColor="text1"/>
                <w:sz w:val="16"/>
                <w:szCs w:val="16"/>
              </w:rPr>
              <w:t>(</w:t>
            </w:r>
            <w:r w:rsidRPr="008A1F40">
              <w:rPr>
                <w:rFonts w:cs="Times New Roman"/>
                <w:color w:val="000000" w:themeColor="text1"/>
                <w:sz w:val="16"/>
                <w:szCs w:val="16"/>
                <w:shd w:val="clear" w:color="auto" w:fill="FFFFFF"/>
              </w:rPr>
              <w:t>β = 0.21, p &lt; 0.01)</w:t>
            </w:r>
          </w:p>
        </w:tc>
      </w:tr>
      <w:tr w:rsidR="005845AF" w:rsidRPr="008A1F40" w14:paraId="28216E02" w14:textId="77777777" w:rsidTr="007F77D2">
        <w:trPr>
          <w:tblCellSpacing w:w="15" w:type="dxa"/>
        </w:trPr>
        <w:tc>
          <w:tcPr>
            <w:tcW w:w="0" w:type="auto"/>
            <w:shd w:val="clear" w:color="auto" w:fill="FFFFFF"/>
          </w:tcPr>
          <w:p w14:paraId="7886B9D5" w14:textId="14E9B921"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lastRenderedPageBreak/>
              <w:t>Kano et al (2015)</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YTVlYTE5YWYtNTRkMC00NTU5LThmZWEtZjdkYzg5ODlhZTM4IiwicHJvcGVydGllcyI6eyJub3RlSW5kZXgiOjB9LCJpc0VkaXRlZCI6ZmFsc2UsIm1hbnVhbE92ZXJyaWRlIjp7ImlzTWFudWFsbHlPdmVycmlkZGVuIjpmYWxzZSwiY2l0ZXByb2NUZXh0IjoiKDM0KSIsIm1hbnVhbE92ZXJyaWRlVGV4dCI6IiJ9LCJjaXRhdGlvbkl0ZW1zIjpbeyJpZCI6ImRjODk3YzhiLTQ1YjQtMzk4My04NTliLTEzMTE1MmFjYWU3MyIsIml0ZW1EYXRhIjp7InR5cGUiOiJhcnRpY2xlLWpvdXJuYWwiLCJpZCI6ImRjODk3YzhiLTQ1YjQtMzk4My04NTliLTEzMTE1MmFjYWU3MyIsInRpdGxlIjoiU2Vuc29yeSBwaGVub21lbmEgcmVsYXRlZCB0byB0aWNzLCBvYnNlc3NpdmUtY29tcHVsc2l2ZSBzeW1wdG9tcywgYW5kIGdsb2JhbCBmdW5jdGlvbmluZyBpbiBUb3VyZXR0ZSBzeW5kcm9tZSIsImdyb3VwSWQiOiIwN2Q2MmFjMS01YWE4LTM5YWYtYjQ5ZS01MmQyMDg4YWM1NzEiLCJhdXRob3IiOlt7ImZhbWlseSI6Ikthbm8iLCJnaXZlbiI6IlkiLCJwYXJzZS1uYW1lcyI6ZmFsc2UsImRyb3BwaW5nLXBhcnRpY2xlIjoiIiwibm9uLWRyb3BwaW5nLXBhcnRpY2xlIjoiIn0seyJmYW1pbHkiOiJNYXRzdWRhIiwiZ2l2ZW4iOiJOIiwicGFyc2UtbmFtZXMiOmZhbHNlLCJkcm9wcGluZy1wYXJ0aWNsZSI6IiIsIm5vbi1kcm9wcGluZy1wYXJ0aWNsZSI6IiJ9LHsiZmFtaWx5IjoiTm9uYWthIiwiZ2l2ZW4iOiJNIiwicGFyc2UtbmFtZXMiOmZhbHNlLCJkcm9wcGluZy1wYXJ0aWNsZSI6IiIsIm5vbi1kcm9wcGluZy1wYXJ0aWNsZSI6IiJ9LHsiZmFtaWx5IjoiRnVqaW8iLCJnaXZlbiI6Ik0iLCJwYXJzZS1uYW1lcyI6ZmFsc2UsImRyb3BwaW5nLXBhcnRpY2xlIjoiIiwibm9uLWRyb3BwaW5nLXBhcnRpY2xlIjoiIn0seyJmYW1pbHkiOiJLdXdhYmFyYSIsImdpdmVuIjoiSCIsInBhcnNlLW5hbWVzIjpmYWxzZSwiZHJvcHBpbmctcGFydGljbGUiOiIiLCJub24tZHJvcHBpbmctcGFydGljbGUiOiIifSx7ImZhbWlseSI6Iktvbm8iLCJnaXZlbiI6IlQiLCJwYXJzZS1uYW1lcyI6ZmFsc2UsImRyb3BwaW5nLXBhcnRpY2xlIjoiIiwibm9uLWRyb3BwaW5nLXBhcnRpY2xlIjoiIn1dLCJjb250YWluZXItdGl0bGUiOiJDb21wciBQc3ljaGlhdHJ5IiwiRE9JIjoiMTAuMTAxNi9qLmNvbXBwc3ljaC4yMDE1LjA3LjAwNiIsIlBNSUQiOiIyNjM0MzQ3OCIsImlzc3VlZCI6eyJkYXRlLXBhcnRzIjpbWzIwMTVdXX0sInBhZ2UiOiIxNDEtMTQ2IiwiYWJzdHJhY3QiOiJPQkpFQ1RJVkVTOiBTZW5zb3J5IHBoZW5vbWVuYSwgaW5jbHVkaW5nIHByZW1vbml0b3J5IHVyZ2VzLCBhcmUgZXhwZXJpZW5jZWQgYnkgcGF0aWVudHMgd2l0aCBUb3VyZXR0ZSBzeW5kcm9tZSAoVFMpIGFuZCBvYnNlc3NpdmUtY29tcHVsc2l2ZSBkaXNvcmRlciAoT0NEKS4gVGhlIGdvYWwgb2YgdGhlIHByZXNlbnQgc3R1ZHkgd2FzIHRvIGludmVzdGlnYXRlIHN1Y2ggcGhlbm9tZW5hIHJlbGF0ZWQgdG8gdGljcywgb2JzZXNzaXZlLWNvbXB1bHNpdmUgc3ltcHRvbXMgKE9DUyksIGFuZCBnbG9iYWwgZnVuY3Rpb25pbmcgaW4gSmFwYW5lc2UgcGF0aWVudHMgd2l0aCBUUy4gTUVUSE9EUzogRm9ydHktb25lIHBhdGllbnRzIHdpdGggVFMgd2VyZSBhc3Nlc3NlZCB1c2luZyB0aGUgVW5pdmVyc2l0eSBvZiBTw6NvIFBhdWxvIFNlbnNvcnkgUGhlbm9tZW5hIFNjYWxlIChVU1AtU1BTKSwgdGhlIFByZW1vbml0b3J5IFVyZ2UgZm9yIFRpY3MgU2NhbGUgKFBVVFMpLCB0aGUgWWFsZSBHbG9iYWwgVGljIFNldmVyaXR5IFNjYWxlIChZR1RTUyksIHRoZSBEaW1lbnNpb25hbCBZYWxlLUJyb3duIE9ic2Vzc2l2ZS1Db21wdWxzaXZlIFNjYWxlIChEWS1CT0NTKSwgYW5kIHRoZSBHbG9iYWwgQXNzZXNzbWVudCBvZiBGdW5jdGlvbmluZyAoR0FGKSBTY2FsZS4gUkVTVUxUUzogVVNQLVNQUyBhbmQgUFVUUyB0b3RhbCBzY29yZXMgd2VyZSBzaWduaWZpY2FudGx5IGNvcnJlbGF0ZWQgd2l0aCBZR1RTUyB0b3RhbCBhbmQgdm9jYWwgdGljcyBzY29yZXMuIEFkZGl0aW9uYWxseSwgYm90aCBzZW5zb3J5IHBoZW5vbWVuYSBzZXZlcml0eSBzY29yZXMgd2VyZSBzaWduaWZpY2FudGx5IGNvcnJlbGF0ZWQgd2l0aCBEWS1CT0NTIHRvdGFsIE9DUyBzY29yZXMuIE9mIHRoZSBzaXggZGltZW5zaW9uYWwgT0NTIHNjb3JlcywgdGhlIFVTUC1TUFMgc2NvcmVzIHdlcmUgc2lnbmlmaWNhbnRseSBjb3JyZWxhdGVkIHdpdGggbWVhc3VyZXMgb2YgYWdncmVzc2lvbiBhbmQgc2V4dWFsL3JlbGlnaW91cyBkaW1lbnNpb25zLiBGaW5hbGx5LCB0aGUgUFVUUyB0b3RhbCBzY29yZXMgd2VyZSBzaWduaWZpY2FudGx5IGFuZCBuZWdhdGl2ZWx5IGNvcnJlbGF0ZWQgd2l0aCBHQUYgc2NvcmVzLiBDT05DTFVTSU9OUzogQnkgYXNzZXNzaW5nIHByZW1vbml0b3J5IHVyZ2VzIGFuZCBicm9hZGVyIHNlbnNvcnkgcGhlbm9tZW5hLCBhbmQgYnkgdmlld2luZyBPQ1MgZnJvbSBhIGRpbWVuc2lvbmFsIGFwcHJvYWNoLCB0aGlzIHN0dWR5IHByb3ZpZGVzIHNpZ25pZmljYW50IGluc2lnaHQgaW50byBzZW5zb3J5IHBoZW5vbWVuYSByZWxhdGVkIHRvIHRpY3MsIE9DUywgYW5kIGdsb2JhbCBmdW5jdGlvbmluZyBpbiBwYXRpZW50cyB3aXRoIFRTLiIsInZvbHVtZSI6IjYyIiwiY29udGFpbmVyLXRpdGxlLXNob3J0IjoiIn0sImlzVGVtcG9yYXJ5IjpmYWxzZX1dfQ=="/>
                <w:id w:val="-700700174"/>
                <w:placeholder>
                  <w:docPart w:val="DefaultPlaceholder_-1854013440"/>
                </w:placeholder>
              </w:sdtPr>
              <w:sdtContent>
                <w:r w:rsidR="00F04E9F" w:rsidRPr="00F04E9F">
                  <w:rPr>
                    <w:rFonts w:cs="Times New Roman"/>
                    <w:color w:val="000000"/>
                    <w:sz w:val="16"/>
                    <w:szCs w:val="16"/>
                    <w:shd w:val="clear" w:color="auto" w:fill="FFFFFF"/>
                  </w:rPr>
                  <w:t>(34)</w:t>
                </w:r>
              </w:sdtContent>
            </w:sdt>
          </w:p>
        </w:tc>
        <w:tc>
          <w:tcPr>
            <w:tcW w:w="0" w:type="auto"/>
            <w:shd w:val="clear" w:color="auto" w:fill="FFFFFF"/>
          </w:tcPr>
          <w:p w14:paraId="63942B85"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and YGTSS-TTS / YGTSS impairment scores</w:t>
            </w:r>
          </w:p>
        </w:tc>
        <w:tc>
          <w:tcPr>
            <w:tcW w:w="0" w:type="auto"/>
            <w:shd w:val="clear" w:color="auto" w:fill="FFFFFF"/>
          </w:tcPr>
          <w:p w14:paraId="465672FE"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41 children and adults with TS aged 12-50</w:t>
            </w:r>
          </w:p>
        </w:tc>
        <w:tc>
          <w:tcPr>
            <w:tcW w:w="0" w:type="auto"/>
            <w:shd w:val="clear" w:color="auto" w:fill="FFFFFF"/>
          </w:tcPr>
          <w:p w14:paraId="7D8666C4"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rPr>
              <w:t>Significant correlations found between PUTS scores and YGTSS-TTS score (Pearson’s r = 0.51, p &lt; 0.001) and YGTSS impairment scores (Pearson’s r = 0.60, p &lt; 0.001)</w:t>
            </w:r>
          </w:p>
        </w:tc>
      </w:tr>
      <w:tr w:rsidR="005845AF" w:rsidRPr="008A1F40" w14:paraId="180F7B8C" w14:textId="77777777" w:rsidTr="007F77D2">
        <w:trPr>
          <w:tblCellSpacing w:w="15" w:type="dxa"/>
        </w:trPr>
        <w:tc>
          <w:tcPr>
            <w:tcW w:w="0" w:type="auto"/>
            <w:shd w:val="clear" w:color="auto" w:fill="FFFFFF"/>
          </w:tcPr>
          <w:p w14:paraId="2585FF7F" w14:textId="30DD2FAD"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Li et al (2021)</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OTNmNjI4NTUtOGZhMC00ZjQ3LThhZTgtZGY0Mjc0MjU4OGE1IiwicHJvcGVydGllcyI6eyJub3RlSW5kZXgiOjB9LCJpc0VkaXRlZCI6ZmFsc2UsIm1hbnVhbE92ZXJyaWRlIjp7ImlzTWFudWFsbHlPdmVycmlkZGVuIjpmYWxzZSwiY2l0ZXByb2NUZXh0IjoiKDgpIiwibWFudWFsT3ZlcnJpZGVUZXh0IjoiIn0sImNpdGF0aW9uSXRlbXMiOlt7ImlkIjoiYmNhMzA2ZjQtMmViZC0zNjQ1LTkwNWQtYzAwZmYyZjExMGI0IiwiaXRlbURhdGEiOnsidHlwZSI6ImFydGljbGUtam91cm5hbCIsImlkIjoiYmNhMzA2ZjQtMmViZC0zNjQ1LTkwNWQtYzAwZmYyZjExMGI0IiwidGl0bGUiOiJQc3ljaG9tZXRyaWMgUHJvcGVydGllcyBvZiB0aGUgQ2hpbmVzZSBWZXJzaW9uIG9mIHRoZSBQcmVtb25pdG9yeSBVcmdlIGZvciBUaWNzIFNjYWxlOiBBIFByZWxpbWluYXJ5IFJlcG9ydCIsImdyb3VwSWQiOiIwN2Q2MmFjMS01YWE4LTM5YWYtYjQ5ZS01MmQyMDg4YWM1NzEiLCJhdXRob3IiOlt7ImZhbWlseSI6IkxpIiwiZ2l2ZW4iOiJZIiwicGFyc2UtbmFtZXMiOmZhbHNlLCJkcm9wcGluZy1wYXJ0aWNsZSI6IiIsIm5vbi1kcm9wcGluZy1wYXJ0aWNsZSI6IiJ9LHsiZmFtaWx5IjoiV29vZHMiLCJnaXZlbiI6IkQgVyIsInBhcnNlLW5hbWVzIjpmYWxzZSwiZHJvcHBpbmctcGFydGljbGUiOiIiLCJub24tZHJvcHBpbmctcGFydGljbGUiOiIifSx7ImZhbWlseSI6Ikd1IiwiZ2l2ZW4iOiJZIiwicGFyc2UtbmFtZXMiOmZhbHNlLCJkcm9wcGluZy1wYXJ0aWNsZSI6IiIsIm5vbi1kcm9wcGluZy1wYXJ0aWNsZSI6IiJ9LHsiZmFtaWx5IjoiWXUiLCJnaXZlbiI6IkwiLCJwYXJzZS1uYW1lcyI6ZmFsc2UsImRyb3BwaW5nLXBhcnRpY2xlIjoiIiwibm9uLWRyb3BwaW5nLXBhcnRpY2xlIjoiIn0seyJmYW1pbHkiOiJZYW4iLCJnaXZlbiI6IkoiLCJwYXJzZS1uYW1lcyI6ZmFsc2UsImRyb3BwaW5nLXBhcnRpY2xlIjoiIiwibm9uLWRyb3BwaW5nLXBhcnRpY2xlIjoiIn0seyJmYW1pbHkiOiJXZW4iLCJnaXZlbiI6IkYiLCJwYXJzZS1uYW1lcyI6ZmFsc2UsImRyb3BwaW5nLXBhcnRpY2xlIjoiIiwibm9uLWRyb3BwaW5nLXBhcnRpY2xlIjoiIn0seyJmYW1pbHkiOiJXYW5nIiwiZ2l2ZW4iOiJGIiwicGFyc2UtbmFtZXMiOmZhbHNlLCJkcm9wcGluZy1wYXJ0aWNsZSI6IiIsIm5vbi1kcm9wcGluZy1wYXJ0aWNsZSI6IiJ9LHsiZmFtaWx5IjoiTGl1IiwiZ2l2ZW4iOiJKIiwicGFyc2UtbmFtZXMiOmZhbHNlLCJkcm9wcGluZy1wYXJ0aWNsZSI6IiIsIm5vbi1kcm9wcGluZy1wYXJ0aWNsZSI6IiJ9LHsiZmFtaWx5IjoiQ3VpIiwiZ2l2ZW4iOiJZIiwicGFyc2UtbmFtZXMiOmZhbHNlLCJkcm9wcGluZy1wYXJ0aWNsZSI6IiIsIm5vbi1kcm9wcGluZy1wYXJ0aWNsZSI6IiJ9XSwiY29udGFpbmVyLXRpdGxlIjoiRnJvbnQgUHN5Y2hvbCIsIkRPSSI6IjEwLjMzODkvZnBzeWcuMjAyMS41NzM4MDMiLCJQTUlEIjoiMzQ2NDYxODEiLCJpc3N1ZWQiOnsiZGF0ZS1wYXJ0cyI6W1syMDIxXV19LCJwYWdlIjoiNTczODAzIiwiYWJzdHJhY3QiOiJQcmVtb25pdG9yeSB1cmdlcyAoUFVzKSBhcmUgc2Vuc29yeSBwaGVub21lbmEgdGhhdCBpbW1lZGlhdGVseSBwcmVjZWRlIHRpY3MuIFRoZSBQcmVtb25pdG9yeSBVcmdlIGZvciBUaWNzIFNjYWxlIChQVVRTKSBpcyB3aWRlbHkgdXNlZCB0byBhc3Nlc3MgdGhlIHNldmVyaXR5IG9mIFBVcywgYnV0IHRoZSBwc3ljaG9tZXRyaWMgcHJvcGVydGllcyBvZiBQVVRTIGFuZCBjbGluaWNhbCBmZWF0dXJlcyBvZiBQVSBpbiBDaGluZXNlIHBhdGllbnRzIHdpdGggdGljIGRpc29yZGVycyBhcmUgc3RpbGwgdW5jbGVhci4gSW4gdGhpcyBzdHVkeSwgd2UgZXhhbWluZWQgdGhlIHBzeWNob21ldHJpYyBwcm9wZXJ0aWVzIG9mIHRoZSBDaGluZXNlIHZlcnNpb24gb2YgdGhlIFBVVFMgaW4gYSBsYXJnZSBzYW1wbGUgKGluY2x1ZGluZyAzNjcgQ2hpbmVzZSBwZWRpYXRyaWMgcGF0aWVudHMgd2l0aCB0aWMgZGlzb3JkZXJzKS4gV2UgZm91bmQgbm8gZGlmZmVyZW5jZSBpbiBQVSBpbiBkaWZmZXJlbnQgYWdlIGdyb3Vwcy4gVGhlIGV4cGxvcmF0b3J5IGZhY3RvciBhbmFseXNpcyAoRUZBKSBvZiBQVVRTIHNob3dlZCB0aGUgZW1lcmdlbmNlIG9mIGZvdXIgcHJpbWFyeSBmYWN0b3JzLiBUaGUgcmVzdWx0cyBvZiByZWxpYWJpbGl0eSBhbmQgdmFsaWRpdHkgYW5hbHlzZXMgaW5kaWNhdGVkIHRoYXQgdGhlIENoaW5lc2UgdmVyc2lvbiBzaG93ZWQgZ29vZCBwc3ljaG9tZXRyaWMgcHJvcGVydGllcy4gSXQgc2VlbWVkIHRoYXQgUFUgd2FzIGFzc29jaWF0ZWQgd2l0aCB0aGUgc2V2ZXJpdHkgb2Ygb2JzZXNzaW9uIHN5bXB0b21zIGluIHBhdGllbnRzIHdpdGggdGljIGRpc29yZGVycy4gTmV0d29yayBhbmFseXNpcyBzaG93ZWQgdGhhdCBJdGVtIDcgaXMgYSBjcml0aWNhbCBub2RlIGZvciB0aGUgUFUsIGluIGFkZGl0aW9uIHRvIEl0ZW1zIDEgYW5kIDQuIE92ZXJhbGwsIHRoZSBDaGluZXNlIHZlcnNpb24gb2YgUFVUUyBjYW4gYmUgdXNlZCBpbiBDaGluZXNlIGNoaWxkIGFuZCBhZG9sZXNjZW50IHBhdGllbnRzIHdpdGggdGljIGRpc29yZGVycywgcGFydGljdWxhcmx5IGZvciBwYXRpZW50cyB3aXRoIFRvdXJldHRlIHN5bmRyb21lLiIsInZvbHVtZSI6IjEyIiwiY29udGFpbmVyLXRpdGxlLXNob3J0IjoiIn0sImlzVGVtcG9yYXJ5IjpmYWxzZX1dfQ=="/>
                <w:id w:val="-1141264146"/>
                <w:placeholder>
                  <w:docPart w:val="DefaultPlaceholder_-1854013440"/>
                </w:placeholder>
              </w:sdtPr>
              <w:sdtContent>
                <w:r w:rsidR="00F04E9F" w:rsidRPr="00F04E9F">
                  <w:rPr>
                    <w:rFonts w:cs="Times New Roman"/>
                    <w:color w:val="000000"/>
                    <w:sz w:val="16"/>
                    <w:szCs w:val="16"/>
                    <w:shd w:val="clear" w:color="auto" w:fill="FFFFFF"/>
                  </w:rPr>
                  <w:t>(8)</w:t>
                </w:r>
              </w:sdtContent>
            </w:sdt>
          </w:p>
        </w:tc>
        <w:tc>
          <w:tcPr>
            <w:tcW w:w="0" w:type="auto"/>
            <w:shd w:val="clear" w:color="auto" w:fill="FFFFFF"/>
          </w:tcPr>
          <w:p w14:paraId="20A76A87"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and YGTSS</w:t>
            </w:r>
          </w:p>
        </w:tc>
        <w:tc>
          <w:tcPr>
            <w:tcW w:w="0" w:type="auto"/>
            <w:shd w:val="clear" w:color="auto" w:fill="FFFFFF"/>
          </w:tcPr>
          <w:p w14:paraId="51AE8A25"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367 children with any tic disorder</w:t>
            </w:r>
          </w:p>
        </w:tc>
        <w:tc>
          <w:tcPr>
            <w:tcW w:w="0" w:type="auto"/>
            <w:shd w:val="clear" w:color="auto" w:fill="FFFFFF"/>
          </w:tcPr>
          <w:p w14:paraId="2FF683C3" w14:textId="77777777"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Significant correlation found between PUTS scores and YGTSS scores (Pearson’s r = 0.180, p &lt; 0.05) (The specific YGTSS score used is unclear based on the publication)</w:t>
            </w:r>
          </w:p>
          <w:p w14:paraId="1F298CE9"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rPr>
              <w:t>In the subgroup with TS (n = 252), this correlation became slightly stronger (Pearson’s r = 0.269, p &lt; 0.05)</w:t>
            </w:r>
          </w:p>
        </w:tc>
      </w:tr>
      <w:tr w:rsidR="005845AF" w:rsidRPr="008A1F40" w14:paraId="4107BEED" w14:textId="77777777" w:rsidTr="007F77D2">
        <w:trPr>
          <w:tblCellSpacing w:w="15" w:type="dxa"/>
        </w:trPr>
        <w:tc>
          <w:tcPr>
            <w:tcW w:w="0" w:type="auto"/>
            <w:shd w:val="clear" w:color="auto" w:fill="FFFFFF"/>
          </w:tcPr>
          <w:p w14:paraId="2503667A" w14:textId="431C0E95"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Matsuda et al (2020)</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NDViOTE5YWYtNDI2Zi00NWFhLWFlY2QtYTU0MmFkY2VkNjI2IiwicHJvcGVydGllcyI6eyJub3RlSW5kZXgiOjB9LCJpc0VkaXRlZCI6ZmFsc2UsIm1hbnVhbE92ZXJyaWRlIjp7ImlzTWFudWFsbHlPdmVycmlkZGVuIjpmYWxzZSwiY2l0ZXByb2NUZXh0IjoiKDEwKSIsIm1hbnVhbE92ZXJyaWRlVGV4dCI6IiJ9LCJjaXRhdGlvbkl0ZW1zIjpbeyJpZCI6IjQxYzU3YjA4LTQ3MmMtMzNiMy1iZDY2LWMxN2YyOWE0ODE2NCIsIml0ZW1EYXRhIjp7InR5cGUiOiJhcnRpY2xlLWpvdXJuYWwiLCJpZCI6IjQxYzU3YjA4LTQ3MmMtMzNiMy1iZDY2LWMxN2YyOWE0ODE2NCIsInRpdGxlIjoiUHJlbW9uaXRvcnkgQXdhcmVuZXNzIEZhY2lsaXRhdGVzIFRpYyBTdXBwcmVzc2lvbjogU3Vic2NhbGVzIG9mIHRoZSBQcmVtb25pdG9yeSBVcmdlIGZvciBUaWNzIFNjYWxlIGFuZCBhIE5ldyBTZWxmLVJlcG9ydCBRdWVzdGlvbm5haXJlIGZvciBUaWMtQXNzb2NpYXRlZCBTZW5zYXRpb25zIiwiZ3JvdXBJZCI6IjA3ZDYyYWMxLTVhYTgtMzlhZi1iNDllLTUyZDIwODhhYzU3MSIsImF1dGhvciI6W3siZmFtaWx5IjoiTWF0c3VkYSIsImdpdmVuIjoiTiIsInBhcnNlLW5hbWVzIjpmYWxzZSwiZHJvcHBpbmctcGFydGljbGUiOiIiLCJub24tZHJvcHBpbmctcGFydGljbGUiOiIifSx7ImZhbWlseSI6Ik5vbmFrYSIsImdpdmVuIjoiTSIsInBhcnNlLW5hbWVzIjpmYWxzZSwiZHJvcHBpbmctcGFydGljbGUiOiIiLCJub24tZHJvcHBpbmctcGFydGljbGUiOiIifSx7ImZhbWlseSI6Iktvbm8iLCJnaXZlbiI6IlQiLCJwYXJzZS1uYW1lcyI6ZmFsc2UsImRyb3BwaW5nLXBhcnRpY2xlIjoiIiwibm9uLWRyb3BwaW5nLXBhcnRpY2xlIjoiIn0seyJmYW1pbHkiOiJGdWppbyIsImdpdmVuIjoiTSIsInBhcnNlLW5hbWVzIjpmYWxzZSwiZHJvcHBpbmctcGFydGljbGUiOiIiLCJub24tZHJvcHBpbmctcGFydGljbGUiOiIifSx7ImZhbWlseSI6Ik5vYnV5b3NoaSIsImdpdmVuIjoiTSIsInBhcnNlLW5hbWVzIjpmYWxzZSwiZHJvcHBpbmctcGFydGljbGUiOiIiLCJub24tZHJvcHBpbmctcGFydGljbGUiOiIifSx7ImZhbWlseSI6Ikthbm8iLCJnaXZlbiI6IlkiLCJwYXJzZS1uYW1lcyI6ZmFsc2UsImRyb3BwaW5nLXBhcnRpY2xlIjoiIiwibm9uLWRyb3BwaW5nLXBhcnRpY2xlIjoiIn1dLCJjb250YWluZXItdGl0bGUiOiJGcm9udCBQc3ljaGlhdHJ5IiwiRE9JIjoiMTAuMzM4OS9mcHN5dC4yMDIwLjAwNTkyIiwiUE1JRCI6IjMyNzE5NjIxIiwiaXNzdWVkIjp7ImRhdGUtcGFydHMiOltbMjAyMF1dfSwicGFnZSI6IjU5MiIsImFic3RyYWN0IjoiQXdhcmVuZXNzIG9mIHByZW1vbml0b3J5IHVyZ2UgaW4gVG91cmV0dGUgc3luZHJvbWUgKFRTKSBtYXkgZmFjaWxpdGF0ZSB0aWMgc3VwcHJlc3Npb247IGhvd2V2ZXIsIHByZXZpb3VzIHN0dWRpZXMgaGF2ZSBub3Qgc3VwcG9ydGVkIHRoaXMgb2JzZXJ2YXRpb24uIFdlIGFpbWVkIHRvIGNsYXJpZnkgdGhlIHJlbGF0aW9uc2hpcCBiZXR3ZWVuIHRpYy1hc3NvY2lhdGVkIHNlbnNhdGlvbiBhbmQgdGljIHN1cHByZXNzaW9uIGJ5IGlkZW50aWZ5aW5nIHRoZSBzdWJ0eXBlcyBvZiB0aWMtYXNzb2NpYXRlZCBzZW5zYXRpb25zLCBpbmNsdWRpbmcgdGhlIFByZW1vbml0b3J5IFVyZ2UgZm9yIFRpY3MgU2NhbGUgKFBVVFMpLiBXZSBkZXZlbG9wZWQgYSBuZXcgcXVlc3Rpb25uYWlyZSBjYWxsZWQgXCJSdW1pbmF0aW9uIGFuZCBBd2FyZW5lc3MgU2NhbGUgZm9yIHRpYy1hc3NvY2lhdGVkIHNlbnNhdGlvbnNcIiAoUkFTVFMpIHRvIGFzc2VzcyB0aGUgdHdvIGFkZGl0aW9uYWwgYXNwZWN0cyBvZiB0aWMtYXNzb2NpYXRlZCBzZW5zYXRpb25zOiB0aGUgaW50ZW5zaXR5IG9mIHNvbWF0b3NlbnNvcnkgaHlwZXJhd2FyZW5lc3MgYW5kIHRoZSBhYmlsaXR5IHRvIGlkZW50aWZ5IHNpZ25hbHMgb2YgZW1lcmdpbmcgdGljcy4gU2l4dHktdHdvIGluZGl2aWR1YWxzIHdpdGggVFMgcGFydGljaXBhdGVkIGluIHRoZSBzdHVkeSAobWVhbiBhZ2UgPSAxOS4yIMKxIDEwLjMgeWVhcnMpLiBBbGwgcGFydGljaXBhbnRzIGNvbXBsZXRlZCB0aGUgUkFTVFMsIFBVVFMsIGFuZCBUaWMgU3VwcHJlc3Npb24gU2NhbGUuIE9mIGFsbCBwYXJ0aWNpcGFudHMsIDQxIHdlcmUgZXZhbHVhdGVkIGJ5IHRoZSBZYWxlIEdsb2JhbCBUaWMgU2V2ZXJpdHkgU2NhbGUgKFlHVFNTKSwgd2hpbGUgYW5vdGhlciBncm91cCBvZiA0MSBjb21wbGV0ZWQgYm90aCB0aGUgTGV5dG9uIE9ic2Vzc2lvbmFsIEludmVudG9yeS1DaGlsZCBWZXJzaW9uIChMT0ktQ1YpIGFuZCB0aGUgVGljcyBTeW1wdG9tIFNlbGYtUmVwb3J0IChUU1NSKS4gRmFjdG9yIGFuYWx5c2VzIGluY2x1ZGluZyBuaW5lIGl0ZW1zIG9mIHRoZSBQVVRTIGFuZCB0aGUgUkFTVFMgd2VyZSBjb25kdWN0ZWQsIGFuZCB0aGVpciByZWxhdGlvbnNoaXBzIHdpdGggcGF0aWVudHMnIHRpYyBzdXBwcmVzc2lvbiBhYmlsaXR5IHdlcmUgZXhhbWluZWQuIFRoZSByZXN1bHRzIHN1cHBvcnQgdXNpbmcgUkFTVFMgZm9yIHRoZSB0d28gc3VwcG9zZWQgZGltZW5zaW9ucyAocnVtaW5hdGlvbiBhYm91dCBzZW5zYXRpb24gYW5kIHByZW1vbml0b3J5IGF3YXJlbmVzcykgZm9yIGFzc2Vzc2luZyB0aGUgdHdvIGRpZmZlcmVudCB0aWMtYXNzb2NpYXRlZCBzZW5zYXRpb25zLCBhbmQgUFVUUyBmb3IgdGhyZWUgZGltZW5zaW9ucyBmb3IgYXNzZXNzaW5nIHRoZSB0d28gdHlwZXMgb2YgcXVhbGl0eSBvZiBwcmVtb25pdG9yeSB1cmdlcyBhbmQgaW50ZW5zaXR5IG9mIHByZW1vbml0b3J5IHVyZ2VzLiBQcmVtb25pdG9yeSBhd2FyZW5lc3MgY29ycmVsYXRlZCB3aXRoIHRpYyBzdXBwcmVzc2lvbiBhYmlsaXR5LiBDb252ZXJzZWx5LCBydW1pbmF0aW9uIGFib3V0IHNlbnNhdGlvbiwgUFVUUyB0b3RhbCBzY29yZSwgYW5kIHRoZSB0aHJlZSBzdWJzY2FsZXMgb2YgUFVUUyBjb3JyZWxhdGVkIHdpdGggb2JzZXNzaXZlLWNvbXB1bHNpdmUgc3ltcHRvbXMuIEluIHN1bW1hcnksIGJlaW5nIGF3YXJlIG9mIHNpZ25hbHMgZm9yIGVtZXJnaW5nIHRpY3MgZmFjaWxpdGF0ZWQgc2VsZi1pbml0aWF0ZWQgdGljIHN1cHByZXNzaW9uLCB3aGlsZSBydW1pbmF0aXZlIHRpYy1hc3NvY2lhdGVkIHNlbnNhdGlvbnMgZGlkIG5vdC4gVGhpcyBzdHVkeSBwcm92aWRlcyBuZXcgaW5zaWdodHMgaW50byBiZWhhdmlvcmFsIHRoZXJhcHkgZm9yIHRpY3MgYnkgaWRlbnRpZnlpbmcgdHdvIGRpc3RpbmN0IGFzcGVjdHMgb2YgdGljLWFzc29jaWF0ZWQgc2Vuc2F0aW9ucyB0aGF0IGluY2x1ZGUgcHJlbW9uaXRvcnkgdXJnZXMuIiwidm9sdW1lIjoiMTEiLCJjb250YWluZXItdGl0bGUtc2hvcnQiOiIifSwiaXNUZW1wb3JhcnkiOmZhbHNlfV19"/>
                <w:id w:val="-1327515213"/>
                <w:placeholder>
                  <w:docPart w:val="DefaultPlaceholder_-1854013440"/>
                </w:placeholder>
              </w:sdtPr>
              <w:sdtContent>
                <w:r w:rsidR="00F04E9F" w:rsidRPr="00F04E9F">
                  <w:rPr>
                    <w:rFonts w:cs="Times New Roman"/>
                    <w:color w:val="000000"/>
                    <w:sz w:val="16"/>
                    <w:szCs w:val="16"/>
                    <w:shd w:val="clear" w:color="auto" w:fill="FFFFFF"/>
                  </w:rPr>
                  <w:t>(10)</w:t>
                </w:r>
              </w:sdtContent>
            </w:sdt>
          </w:p>
        </w:tc>
        <w:tc>
          <w:tcPr>
            <w:tcW w:w="0" w:type="auto"/>
            <w:shd w:val="clear" w:color="auto" w:fill="FFFFFF"/>
          </w:tcPr>
          <w:p w14:paraId="0E7F2E24"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and YGTSS-TTS</w:t>
            </w:r>
          </w:p>
        </w:tc>
        <w:tc>
          <w:tcPr>
            <w:tcW w:w="0" w:type="auto"/>
            <w:shd w:val="clear" w:color="auto" w:fill="FFFFFF"/>
          </w:tcPr>
          <w:p w14:paraId="4019CA0F"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62 children and adults with TS aged 10-53</w:t>
            </w:r>
          </w:p>
        </w:tc>
        <w:tc>
          <w:tcPr>
            <w:tcW w:w="0" w:type="auto"/>
            <w:shd w:val="clear" w:color="auto" w:fill="FFFFFF"/>
          </w:tcPr>
          <w:p w14:paraId="38697705"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rPr>
              <w:t>Significant correlation between PUTS scores and YGTSS-TTS scores (Spearman’s r = 0.32, p = 0.04)</w:t>
            </w:r>
          </w:p>
        </w:tc>
      </w:tr>
      <w:tr w:rsidR="005845AF" w:rsidRPr="008A1F40" w14:paraId="001F69AC" w14:textId="77777777" w:rsidTr="007F77D2">
        <w:trPr>
          <w:tblCellSpacing w:w="15" w:type="dxa"/>
        </w:trPr>
        <w:tc>
          <w:tcPr>
            <w:tcW w:w="0" w:type="auto"/>
            <w:shd w:val="clear" w:color="auto" w:fill="FFFFFF"/>
          </w:tcPr>
          <w:p w14:paraId="61346835" w14:textId="74E85DFB"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Ganos et al (2015)</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ODMxZmQ1NzgtOGIxZi00Yjk0LTg2YjgtYjVkMWM0MjNkNjcxIiwicHJvcGVydGllcyI6eyJub3RlSW5kZXgiOjB9LCJpc0VkaXRlZCI6ZmFsc2UsIm1hbnVhbE92ZXJyaWRlIjp7ImlzTWFudWFsbHlPdmVycmlkZGVuIjpmYWxzZSwiY2l0ZXByb2NUZXh0IjoiKDM1KSIsIm1hbnVhbE92ZXJyaWRlVGV4dCI6IiJ9LCJjaXRhdGlvbkl0ZW1zIjpbeyJpZCI6ImQyNzdlNjY2LTA3NzYtM2JhNS1hOTYyLThhMDdiN2JiYTAxOSIsIml0ZW1EYXRhIjp7InR5cGUiOiJhcnRpY2xlLWpvdXJuYWwiLCJpZCI6ImQyNzdlNjY2LTA3NzYtM2JhNS1hOTYyLThhMDdiN2JiYTAxOSIsInRpdGxlIjoiUHJlbW9uaXRvcnkgdXJnZSB0byB0aWMgaW4gVG91cmV0dGUncyBpcyBhc3NvY2lhdGVkIHdpdGggaW50ZXJvY2VwdGl2ZSBhd2FyZW5lc3MiLCJncm91cElkIjoiMDdkNjJhYzEtNWFhOC0zOWFmLWI0OWUtNTJkMjA4OGFjNTcxIiwiYXV0aG9yIjpbeyJmYW1pbHkiOiJHYW5vcyIsImdpdmVuIjoiQyIsInBhcnNlLW5hbWVzIjpmYWxzZSwiZHJvcHBpbmctcGFydGljbGUiOiIiLCJub24tZHJvcHBpbmctcGFydGljbGUiOiIifSx7ImZhbWlseSI6IkdhcnJpZG8iLCJnaXZlbiI6IkEiLCJwYXJzZS1uYW1lcyI6ZmFsc2UsImRyb3BwaW5nLXBhcnRpY2xlIjoiIiwibm9uLWRyb3BwaW5nLXBhcnRpY2xlIjoiIn0seyJmYW1pbHkiOiJOYXZhbHBvdHJvLUfDs21leiIsImdpdmVuIjoiSSIsInBhcnNlLW5hbWVzIjpmYWxzZSwiZHJvcHBpbmctcGFydGljbGUiOiIiLCJub24tZHJvcHBpbmctcGFydGljbGUiOiIifSx7ImZhbWlseSI6IlJpY2NpYXJkaSIsImdpdmVuIjoiTCIsInBhcnNlLW5hbWVzIjpmYWxzZSwiZHJvcHBpbmctcGFydGljbGUiOiIiLCJub24tZHJvcHBpbmctcGFydGljbGUiOiIifSx7ImZhbWlseSI6Ik1hcnRpbm8iLCJnaXZlbiI6IkQiLCJwYXJzZS1uYW1lcyI6ZmFsc2UsImRyb3BwaW5nLXBhcnRpY2xlIjoiIiwibm9uLWRyb3BwaW5nLXBhcnRpY2xlIjoiIn0seyJmYW1pbHkiOiJFZHdhcmRzIiwiZ2l2ZW4iOiJNIEoiLCJwYXJzZS1uYW1lcyI6ZmFsc2UsImRyb3BwaW5nLXBhcnRpY2xlIjoiIiwibm9uLWRyb3BwaW5nLXBhcnRpY2xlIjoiIn0seyJmYW1pbHkiOiJUc2FraXJpcyIsImdpdmVuIjoiTSIsInBhcnNlLW5hbWVzIjpmYWxzZSwiZHJvcHBpbmctcGFydGljbGUiOiIiLCJub24tZHJvcHBpbmctcGFydGljbGUiOiIifSx7ImZhbWlseSI6IkhhZ2dhcmQiLCJnaXZlbiI6IlAiLCJwYXJzZS1uYW1lcyI6ZmFsc2UsImRyb3BwaW5nLXBhcnRpY2xlIjoiIiwibm9uLWRyb3BwaW5nLXBhcnRpY2xlIjoiIn0seyJmYW1pbHkiOiJCaGF0aWEiLCJnaXZlbiI6IksgUCIsInBhcnNlLW5hbWVzIjpmYWxzZSwiZHJvcHBpbmctcGFydGljbGUiOiIiLCJub24tZHJvcHBpbmctcGFydGljbGUiOiIifV0sImNvbnRhaW5lci10aXRsZSI6Ik1vdiBEaXNvcmQiLCJET0kiOiIxMC4xMDAyL21kcy4yNjIyOCIsIlBNSUQiOiIyNTg3OTgxOSIsIlVSTCI6Imh0dHBzOi8vbW92ZW1lbnRkaXNvcmRlcnMtb25saW5lbGlicmFyeS13aWxleS1jb20ucHJveHkubGlicmFyeS52YW5kZXJiaWx0LmVkdS9kb2kvZnVsbC8xMC4xMDAyL21kcy4yNjIyOCIsImlzc3VlZCI6eyJkYXRlLXBhcnRzIjpbWzIwMTVdXX0sInBhZ2UiOiIxMTk4LTEyMDIiLCJhYnN0cmFjdCI6IkJBQ0tHUk9VTkQ6IEEgY29udHJpYnV0aW9uIG9mIGFiZXJyYW50IGludGVyb2NlcHRpdmUgYXdhcmVuZXNzIHRvIHRoZSBwZXJjZXB0aW9uIG9mIHByZW1vbml0b3J5IHVyZ2VzIGluIEdpbGxlcyBkZSBsYSBUb3VyZXR0ZSBzeW5kcm9tZSAoR1RTKSBoYXMgYmVlbiBoeXBvdGhlc2l6ZWQuIE1FVEhPRFM6IFdlIGFzc2Vzc2VkIGludGVyb2NlcHRpdmUgYXdhcmVuZXNzIGluIDE5IGFkdWx0cyB3aXRoIEdUUyBhbmQgMjUgYWdlLW1hdGNoZWQgaGVhbHRoeSBjb250cm9scyB1c2luZyB0aGUgaGVhcnRiZWF0IGNvdW50aW5nIHRhc2suIFdlIGFsc28gdXNlZCBtdWx0aXBsZSByZWdyZXNzaW9uIHRvIGV4cGxvcmUgd2hldGhlciB0aGUgc2V2ZXJpdHkgb2YgcHJlbW9uaXRvcnkgdXJnZXMgd2FzIHByZWRpY3RlZCBieSBpbnRlcm9jZXB0aXZlIGF3YXJlbmVzcyBvciBzZXZlcml0eSBvZiB0aWNzIGFuZCBvYnNlc3NpdmUtY29tcHVsc2l2ZSBzeW1wdG9tcy4gUkVTVUxUUzogV2Ugb2JzZXJ2ZWQgbG93ZXIgaW50ZXJvY2VwdGl2ZSBhd2FyZW5lc3MgaW4gR1RTIGNvbXBhcmVkIHdpdGggY29udHJvbHMuIEludGVyb2NlcHRpdmUgYXdhcmVuZXNzIHdhcyB0aGUgc3Ryb25nZXN0IHByZWRpY3RvciBvZiBwcmVtb25pdG9yeSB1cmdlcyBpbiBHVFMsIHdpdGggZ3JlYXRlciBpbnRlcm9jZXB0aXZlIGF3YXJlbmVzcyBiZWluZyBhc3NvY2lhdGVkIHdpdGggbW9yZSB1cmdlcy4gR3JlYXRlciB0aWMgc2V2ZXJpdHkgd2FzIGFsc28gYXNzb2NpYXRlZCB3aXRoIGhpZ2hlciByYXRlcyBvZiBwcmVtb25pdG9yeSB1cmdlcy4gQ09OQ0xVU0lPTjogVGhlIG9ic2VydmVkIHJlbGF0aW9uc2hpcCBiZXR3ZWVuIHNldmVyaXR5IG9mIHByZW1vbml0b3J5IHVyZ2VzIGFuZCBpbnRlcm9jZXB0aXZlIGF3YXJlbmVzcyBzdWdnZXN0cyB0aGF0IGludGVyb2NlcHRpb24gbWlnaHQgYmUgaW52b2x2ZWQgaW4gc2VsZi1yZXBvcnRlZCBwcmVtb25pdG9yeSB1cmdlcyBpbiBHVFMuIEhpZ2ggbGV2ZWxzIG9mIGludGVyb2NlcHRpdmUgYXdhcmVuZXNzIG1pZ2h0IHJlZmxlY3QgYSBzZWxmLWF0dGVudGl2ZSBjYXBhY2l0eSB0byBwZXJjZWl2ZSB1cmdlcy4iLCJpc3N1ZSI6IjkiLCJ2b2x1bWUiOiIzMCIsImNvbnRhaW5lci10aXRsZS1zaG9ydCI6IiJ9LCJpc1RlbXBvcmFyeSI6ZmFsc2V9XX0="/>
                <w:id w:val="-172117548"/>
                <w:placeholder>
                  <w:docPart w:val="DefaultPlaceholder_-1854013440"/>
                </w:placeholder>
              </w:sdtPr>
              <w:sdtContent>
                <w:r w:rsidR="00F04E9F" w:rsidRPr="00F04E9F">
                  <w:rPr>
                    <w:rFonts w:cs="Times New Roman"/>
                    <w:color w:val="000000"/>
                    <w:sz w:val="16"/>
                    <w:szCs w:val="16"/>
                    <w:shd w:val="clear" w:color="auto" w:fill="FFFFFF"/>
                  </w:rPr>
                  <w:t>(35)</w:t>
                </w:r>
              </w:sdtContent>
            </w:sdt>
          </w:p>
        </w:tc>
        <w:tc>
          <w:tcPr>
            <w:tcW w:w="0" w:type="auto"/>
            <w:shd w:val="clear" w:color="auto" w:fill="FFFFFF"/>
          </w:tcPr>
          <w:p w14:paraId="328E987D"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and YGTSS</w:t>
            </w:r>
          </w:p>
        </w:tc>
        <w:tc>
          <w:tcPr>
            <w:tcW w:w="0" w:type="auto"/>
            <w:shd w:val="clear" w:color="auto" w:fill="FFFFFF"/>
          </w:tcPr>
          <w:p w14:paraId="237CC815"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sz w:val="16"/>
                <w:szCs w:val="16"/>
                <w:shd w:val="clear" w:color="auto" w:fill="FFFFFF"/>
              </w:rPr>
              <w:t>19 adults with TS</w:t>
            </w:r>
          </w:p>
        </w:tc>
        <w:tc>
          <w:tcPr>
            <w:tcW w:w="0" w:type="auto"/>
            <w:shd w:val="clear" w:color="auto" w:fill="FFFFFF"/>
          </w:tcPr>
          <w:p w14:paraId="05148AD9"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 xml:space="preserve">In </w:t>
            </w:r>
            <w:r w:rsidRPr="008A1F40">
              <w:rPr>
                <w:rFonts w:cs="Times New Roman"/>
                <w:color w:val="000000" w:themeColor="text1"/>
                <w:sz w:val="16"/>
                <w:szCs w:val="16"/>
              </w:rPr>
              <w:t>a multiple regression to predict PUTS scores from YGTSS (</w:t>
            </w:r>
            <w:r w:rsidRPr="008A1F40">
              <w:rPr>
                <w:rFonts w:cs="Times New Roman"/>
                <w:color w:val="000000" w:themeColor="text1"/>
                <w:sz w:val="16"/>
                <w:szCs w:val="16"/>
                <w:shd w:val="clear" w:color="auto" w:fill="FFFFFF"/>
              </w:rPr>
              <w:t>based on reported values, authors used global YGTSS score (i.e., sum of total tic score and impairment), though this is not explicitly stated in the paper</w:t>
            </w:r>
            <w:r w:rsidRPr="008A1F40">
              <w:rPr>
                <w:rFonts w:cs="Times New Roman"/>
                <w:color w:val="000000" w:themeColor="text1"/>
                <w:sz w:val="16"/>
                <w:szCs w:val="16"/>
              </w:rPr>
              <w:t>) scores, Y-BOCS scores and interoceptive accuracy performance on a behavioral task, YGTSS scores were a significant predictor (</w:t>
            </w:r>
            <w:r w:rsidRPr="008A1F40">
              <w:rPr>
                <w:rFonts w:cs="Times New Roman"/>
                <w:color w:val="000000" w:themeColor="text1"/>
                <w:sz w:val="16"/>
                <w:szCs w:val="16"/>
                <w:shd w:val="clear" w:color="auto" w:fill="FFFFFF"/>
              </w:rPr>
              <w:t>β = 0.6519, p = 0.049)</w:t>
            </w:r>
          </w:p>
        </w:tc>
      </w:tr>
      <w:tr w:rsidR="005845AF" w:rsidRPr="008A1F40" w14:paraId="201992F9" w14:textId="77777777" w:rsidTr="007F77D2">
        <w:trPr>
          <w:tblCellSpacing w:w="15" w:type="dxa"/>
        </w:trPr>
        <w:tc>
          <w:tcPr>
            <w:tcW w:w="0" w:type="auto"/>
            <w:shd w:val="clear" w:color="auto" w:fill="FFFFFF"/>
          </w:tcPr>
          <w:p w14:paraId="50259FDC" w14:textId="0C562C3A"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Draper et al (2016)</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NjU3NmQ1ZGMtZjY3ZC00NmU5LWI5NTItMmQ0ZTIwMDM1MTE4IiwicHJvcGVydGllcyI6eyJub3RlSW5kZXgiOjB9LCJpc0VkaXRlZCI6ZmFsc2UsIm1hbnVhbE92ZXJyaWRlIjp7ImlzTWFudWFsbHlPdmVycmlkZGVuIjpmYWxzZSwiY2l0ZXByb2NUZXh0IjoiKDM2KSIsIm1hbnVhbE92ZXJyaWRlVGV4dCI6IiJ9LCJjaXRhdGlvbkl0ZW1zIjpbeyJpZCI6Ijg3NDcyNDBiLWY2MDItMzRiYi1hODQyLTI1MDFjNDY2M2VkZiIsIml0ZW1EYXRhIjp7InR5cGUiOiJhcnRpY2xlLWpvdXJuYWwiLCJpZCI6Ijg3NDcyNDBiLWY2MDItMzRiYi1hODQyLTI1MDFjNDY2M2VkZiIsInRpdGxlIjoiUHJlbW9uaXRvcnkgdXJnZXMgYXJlIGFzc29jaWF0ZWQgd2l0aCBkZWNyZWFzZWQgZ3JleSBtYXR0ZXIgdGhpY2tuZXNzIHdpdGhpbiB0aGUgaW5zdWxhIGFuZCBzZW5zb3JpbW90b3IgY29ydGV4IGluIHlvdW5nIHBlb3BsZSB3aXRoIFRvdXJldHRlIHN5bmRyb21lIiwiZ3JvdXBJZCI6IjA3ZDYyYWMxLTVhYTgtMzlhZi1iNDllLTUyZDIwODhhYzU3MSIsImF1dGhvciI6W3siZmFtaWx5IjoiRHJhcGVyIiwiZ2l2ZW4iOiJBIiwicGFyc2UtbmFtZXMiOmZhbHNlLCJkcm9wcGluZy1wYXJ0aWNsZSI6IiIsIm5vbi1kcm9wcGluZy1wYXJ0aWNsZSI6IiJ9LHsiZmFtaWx5IjoiSmFja3NvbiIsImdpdmVuIjoiRyBNIiwicGFyc2UtbmFtZXMiOmZhbHNlLCJkcm9wcGluZy1wYXJ0aWNsZSI6IiIsIm5vbi1kcm9wcGluZy1wYXJ0aWNsZSI6IiJ9LHsiZmFtaWx5IjoiTW9yZ2FuIiwiZ2l2ZW4iOiJQIFMiLCJwYXJzZS1uYW1lcyI6ZmFsc2UsImRyb3BwaW5nLXBhcnRpY2xlIjoiIiwibm9uLWRyb3BwaW5nLXBhcnRpY2xlIjoiIn0seyJmYW1pbHkiOiJKYWNrc29uIiwiZ2l2ZW4iOiJTIFIiLCJwYXJzZS1uYW1lcyI6ZmFsc2UsImRyb3BwaW5nLXBhcnRpY2xlIjoiIiwibm9uLWRyb3BwaW5nLXBhcnRpY2xlIjoiIn1dLCJjb250YWluZXItdGl0bGUiOiJKIE5ldXJvcHN5Y2hvbCIsIkRPSSI6IjEwLjExMTEvam5wLjEyMDg5IiwiUE1JRCI6IjI2NTM4Mjg5IiwiVVJMIjoiaHR0cHM6Ly9icHNwc3ljaHViLW9ubGluZWxpYnJhcnktd2lsZXktY29tLnByb3h5LmxpYnJhcnkudmFuZGVyYmlsdC5lZHUvZG9pL2Z1bGwvMTAuMTExMS9qbnAuMTIwODkiLCJpc3N1ZWQiOnsiZGF0ZS1wYXJ0cyI6W1syMDE2XV19LCJwYWdlIjoiMTQzLTE1MyIsImFic3RyYWN0IjoiVG91cmV0dGUgc3luZHJvbWUgKFRTKSBpcyBhIG5ldXJvbG9naWNhbCBkaXNvcmRlciBjaGFyYWN0ZXJpemVkIGJ5IHZvY2FsIGFuZCBtb3RvciB0aWNzIGFuZCBpcyBhc3NvY2lhdGVkIHdpdGggY29ydGljYWwtc3RyaWF0YWwtdGhhbGFtaWMtY29ydGljYWwgY2lyY3VpdCAoQ1NUQykgZHlzZnVuY3Rpb24gYW5kIGh5cGVyZXhjaXRhYmlsaXR5IG9mIGNvcnRpY2FsIGxpbWJpYyBhbmQgbW90b3IgcmVnaW9ucywgd2hpY2ggYXJlIHRob3VnaHQgdG8gbGVhZCB0byB0aGUgb2NjdXJyZW5jZSBvZiB0aWNzLiBJbXBvcnRhbnRseSwgaW5kaXZpZHVhbHMgd2l0aCBUUyBvZnRlbiByZXBvcnQgdGhhdCB0aGVpciB0aWNzIGFyZSBwcmVjZWRlZCBieSAncHJlbW9uaXRvcnkgc2Vuc29yeSBwaGVub21lbmEnIChQU1ApIHRoYXQgYXJlIGRlc2NyaWJlZCBhcyB1bmNvbWZvcnRhYmxlIGNvZ25pdGl2ZSBvciBib2RpbHkgc2Vuc2F0aW9ucyB0aGF0IHByZWNlZGUgdGhlIGV4ZWN1dGlvbiBvZiBhIHRpYywgYW5kIGFyZSBleHBlcmllbmNlZCBhcyBhIHN0cm9uZyB1cmdlIGZvciBtb3RvciBkaXNjaGFyZ2UuIFdoaWxlIHRoZSBwcmVjaXNlIHJvbGUgcGxheWVkIGJ5IFBTUCBpbiB0aGUgb2NjdXJyZW5jZSBvZiB0aWNzIGlzIGNvbnRyb3ZlcnNpYWwsIFBTUCBhcmUgbm9uZXRoZWxlc3Mgb2YgY29uc2lkZXJhYmxlIHRoZW9yZXRpY2FsIGFuZCBjbGluaWNhbCBpbXBvcnRhbmNlIGluIFRTLCBub3QgbGVhc3QgYmVjYXVzZSB0aGV5IGZvcm0gdGhlIGNvcmUgY29tcG9uZW50IGluIG1hbnkgb2YgdGhlIGJlaGF2aW91cmFsIHRoZXJhcGllcyB0aGF0IGFyZSBjdXJyZW50bHkgdXNlZCBpbiB0aGUgdHJlYXRtZW50IG9mIHRpYyBkaXNvcmRlcnMuIEluIHRoaXMgc3R1ZHksIHdlIGludmVzdGlnYXRlZCB0aGUgYnJhaW4gc3RydWN0dXJlIGNvcnJlbGF0ZXMgb2YgUFNQLiBTcGVjaWZpY2FsbHksIHdlIGNvbmR1Y3RlZCBhIHdob2xlLWJyYWluIGFuYWx5c2lzIG9mIGNvcnRpY2FsIChncmV5IG1hdHRlcikgdGhpY2tuZXNzIGluIDI5IGNoaWxkcmVuIGFuZCB5b3VuZyBhZHVsdHMgd2l0aCBUUyBhbmQgaW52ZXN0aWdhdGVkIHRoZSBhc3NvY2lhdGlvbiBiZXR3ZWVuIGdyZXkgbWF0dGVyIHRoaWNrbmVzcyBhbmQgUFNQLiBXZSBkZW1vbnN0cmF0ZSBmb3IgdGhlIGZpcnN0IHRpbWUgdGhhdCBQU1AgYXJlIGludmVyc2VseSBhc3NvY2lhdGVkIHdpdGggZ3JleSBtYXR0ZXIgdGhpY2tuZXNzIG1lYXN1cmVtZW50cyB3aXRoaW4gdGhlIGluc3VsYSBhbmQgc2Vuc29yaW1vdG9yIGNvcnRleC4gV2UgYWxzbyBkZW1vbnN0cmF0ZSB0aGF0IGdyZXkgbWF0dGVyIHRoaWNrbmVzcyBpcyBzaWduaWZpY2FudGx5IHJlZHVjZWQgaW4gdGhlc2UgYXJlYXMgaW4gaW5kaXZpZHVhbHMgd2l0aCBUUyByZWxhdGl2ZSB0byBhIGNsb3NlbHkgYWdlLSBhbmQgZ2VuZGVyLW1hdGNoZWQgZ3JvdXAgb2YgdHlwaWNhbGx5IGRldmVsb3BpbmcgaW5kaXZpZHVhbHMgYW5kIHRoYXQgUFNQIHJhdGluZ3MgYXJlIHNpZ25pZmljYW50bHkgY29ycmVsYXRlZCB3aXRoIHRpYyBzZXZlcml0eS4iLCJpc3N1ZSI6IjEiLCJ2b2x1bWUiOiIxMCIsImNvbnRhaW5lci10aXRsZS1zaG9ydCI6IiJ9LCJpc1RlbXBvcmFyeSI6ZmFsc2V9XX0="/>
                <w:id w:val="938415574"/>
                <w:placeholder>
                  <w:docPart w:val="DefaultPlaceholder_-1854013440"/>
                </w:placeholder>
              </w:sdtPr>
              <w:sdtContent>
                <w:r w:rsidR="00F04E9F" w:rsidRPr="00F04E9F">
                  <w:rPr>
                    <w:rFonts w:cs="Times New Roman"/>
                    <w:color w:val="000000"/>
                    <w:sz w:val="16"/>
                    <w:szCs w:val="16"/>
                    <w:shd w:val="clear" w:color="auto" w:fill="FFFFFF"/>
                  </w:rPr>
                  <w:t>(36)</w:t>
                </w:r>
              </w:sdtContent>
            </w:sdt>
          </w:p>
        </w:tc>
        <w:tc>
          <w:tcPr>
            <w:tcW w:w="0" w:type="auto"/>
            <w:shd w:val="clear" w:color="auto" w:fill="FFFFFF"/>
          </w:tcPr>
          <w:p w14:paraId="4E72937D"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and YGTSS motor/vocal tic severity</w:t>
            </w:r>
          </w:p>
        </w:tc>
        <w:tc>
          <w:tcPr>
            <w:tcW w:w="0" w:type="auto"/>
            <w:shd w:val="clear" w:color="auto" w:fill="FFFFFF"/>
          </w:tcPr>
          <w:p w14:paraId="1C90FF19" w14:textId="77777777" w:rsidR="00986E35" w:rsidRPr="008A1F40" w:rsidRDefault="00986E35" w:rsidP="007F77D2">
            <w:pPr>
              <w:rPr>
                <w:rFonts w:cs="Times New Roman"/>
                <w:color w:val="000000"/>
                <w:sz w:val="16"/>
                <w:szCs w:val="16"/>
                <w:shd w:val="clear" w:color="auto" w:fill="FFFFFF"/>
              </w:rPr>
            </w:pPr>
            <w:r w:rsidRPr="008A1F40">
              <w:rPr>
                <w:rFonts w:cs="Times New Roman"/>
                <w:color w:val="000000" w:themeColor="text1"/>
                <w:sz w:val="16"/>
                <w:szCs w:val="16"/>
                <w:shd w:val="clear" w:color="auto" w:fill="FFFFFF"/>
              </w:rPr>
              <w:t>29 participants aged 8-21 with TS</w:t>
            </w:r>
          </w:p>
        </w:tc>
        <w:tc>
          <w:tcPr>
            <w:tcW w:w="0" w:type="auto"/>
            <w:shd w:val="clear" w:color="auto" w:fill="FFFFFF"/>
          </w:tcPr>
          <w:p w14:paraId="01973003"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Significant correlation between PUTS scores and both YGTSS motor tic severity (Pearson’s r = 0.53, p &lt; 0.002) and YGTSS vocal tic severity scores (Pearson’s r = 0.32, p &lt; 0.05)</w:t>
            </w:r>
          </w:p>
        </w:tc>
      </w:tr>
      <w:tr w:rsidR="005845AF" w:rsidRPr="008A1F40" w14:paraId="7B07203A" w14:textId="77777777" w:rsidTr="007F77D2">
        <w:trPr>
          <w:tblCellSpacing w:w="15" w:type="dxa"/>
        </w:trPr>
        <w:tc>
          <w:tcPr>
            <w:tcW w:w="0" w:type="auto"/>
            <w:shd w:val="clear" w:color="auto" w:fill="FFFFFF"/>
          </w:tcPr>
          <w:p w14:paraId="1028108F" w14:textId="757C594D"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Gu et al (2020)</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MjVkZDFiYzYtZGIyZS00OWVhLTg4NDYtNWFhNDViNmRiMmI3IiwicHJvcGVydGllcyI6eyJub3RlSW5kZXgiOjB9LCJpc0VkaXRlZCI6ZmFsc2UsIm1hbnVhbE92ZXJyaWRlIjp7ImlzTWFudWFsbHlPdmVycmlkZGVuIjpmYWxzZSwiY2l0ZXByb2NUZXh0IjoiKDM3KSIsIm1hbnVhbE92ZXJyaWRlVGV4dCI6IiJ9LCJjaXRhdGlvbkl0ZW1zIjpbeyJpZCI6IjYwOWE1MzA0LWUwOTYtMzkxYS1iODg0LTE5NTcxN2Q4MzdkNiIsIml0ZW1EYXRhIjp7InR5cGUiOiJhcnRpY2xlLWpvdXJuYWwiLCJpZCI6IjYwOWE1MzA0LWUwOTYtMzkxYS1iODg0LTE5NTcxN2Q4MzdkNiIsInRpdGxlIjoiQ29ycmVsYXRpb24gYmV0d2VlbiBwcmVtb25pdG9yeSB1cmdlcyBhbmQgdGljIHN5bXB0b21zIGluIGEgQ2hpbmVzZSBwb3B1bGF0aW9uIHdpdGggdGljIGRpc29yZGVycyIsImdyb3VwSWQiOiIwN2Q2MmFjMS01YWE4LTM5YWYtYjQ5ZS01MmQyMDg4YWM1NzEiLCJhdXRob3IiOlt7ImZhbWlseSI6Ikd1IiwiZ2l2ZW4iOiJZIiwicGFyc2UtbmFtZXMiOmZhbHNlLCJkcm9wcGluZy1wYXJ0aWNsZSI6IiIsIm5vbi1kcm9wcGluZy1wYXJ0aWNsZSI6IiJ9LHsiZmFtaWx5IjoiTGkiLCJnaXZlbiI6IlkiLCJwYXJzZS1uYW1lcyI6ZmFsc2UsImRyb3BwaW5nLXBhcnRpY2xlIjoiIiwibm9uLWRyb3BwaW5nLXBhcnRpY2xlIjoiIn0seyJmYW1pbHkiOiJDdWkiLCJnaXZlbiI6IlkiLCJwYXJzZS1uYW1lcyI6ZmFsc2UsImRyb3BwaW5nLXBhcnRpY2xlIjoiIiwibm9uLWRyb3BwaW5nLXBhcnRpY2xlIjoiIn1dLCJjb250YWluZXItdGl0bGUiOiJQZWRpYXRyIEludmVzdGlnIiwiRE9JIjoiMTAuMTAwMi9wZWQ0LjEyMTg5IiwiUE1JRCI6IjMyODUxMzUwIiwiVVJMIjoiaHR0cHM6Ly93d3cubmNiaS5ubG0ubmloLmdvdi9wbWMvYXJ0aWNsZXMvUE1DNzMzMTQyOC9wZGYvUEVENC00LTg2LnBkZiIsImlzc3VlZCI6eyJkYXRlLXBhcnRzIjpbWzIwMjBdXX0sInBhZ2UiOiI4Ni05MCIsImFic3RyYWN0IjoiSU1QT1JUQU5DRTogVGljcyB1c3VhbGx5IHN0YXJ0IGFyb3VuZCA0LTYgeWVhcnMgb2xkIGFuZCBhZmZlY3QgYWJvdXQgMSUgb2Ygc2Nob29sLWFnZSBjaGlsZHJlbi4gUHJlbW9uaXRvcnkgdXJnZXMgKFBVcykgYXJlIHNlbnNvcnkgcGhlbm9tZW5hIHRoYXQgcHJlY2VkZSB0aWNzIGFuZCBhcmUgb2Z0ZW4gZGVzY3JpYmVkIGFzIHVucGxlYXNhbnQgZmVlbGluZ3MuIFJlY2VudCBldmlkZW5jZSBzdXBwb3J0cyBhIHJlbGF0aW9uc2hpcCBiZXR3ZWVuIFBVcyBhbmQgdGljIHNldmVyaXR5LCBidXQgcmVwb3J0cyBhcmUgY29uZmxpY3RpbmcuIEluIGFkZGl0aW9uLCB0aGVyZSBpcyBubyByZXBvcnQgb2YgUFVzIGluIHRoZSBDaGluZXNlIHBvcHVsYXRpb24uIE9CSkVDVElWRTogVG8gaW52ZXN0aWdhdGUgdGhlIGNvcnJlbGF0aW9uIGJldHdlZW4gUFVzIGFuZCB0aWMgc3ltcHRvbXMgaW4gdGhlIENoaW5lc2UgcG9wdWxhdGlvbiB3aXRoIHRpYyBkaXNvcmRlcnMuIE1FVEhPRFM6IFdlIHJlY3J1aXRlZCAyNTIgQ2hpbmVzZSBpbmRpdmlkdWFscyB3aXRoIGNocm9uaWMgdGljIGRpc29yZGVycyAoYWdlIDUtMTYgeWVhcnMpLiBUaGUgWWFsZSBHbG9iYWwgVGljIFNldmVyaXR5IFNjYWxlIChZR1RTUykgd2FzIHVzZWQgdG8gYXNzZXNzIHRpYyBzeW1wdG9tcywgYW5kIHRoZSBQcmVtb25pdG9yeSBVcmdlIGZvciBUaWNzIFNjYWxlIChQVVRTKSB3YXMgdXNlZCB0byBhc3Nlc3MgUFVzLiBXZSBjYWxjdWxhdGVkIFNwZWFybWFuIGNvcnJlbGF0aW9ucyBiZXR3ZWVuIFBVVFMgYW5kIFlHVFNTIHNjb3JlcywgYW5kIGNvbnN0cnVjdGVkIGEgbGluZWFyIHJlZ3Jlc3Npb24gbW9kZWwgdG8gcHJlZGljdCB0aGUgdGljIHN5bXB0b20gc2V2ZXJpdHkgYnkgUFVzLiBSRVNVTFRTOiBUaGVyZSB3YXMgYSBzaWduaWZpY2FudCBwb3NpdGl2ZSBjb3JyZWxhdGlvbiBiZXR3ZWVuIFBVIHNldmVyaXR5IChQVVRTIHNjb3JlcykgYW5kIG1vdG9yIHRpYyBzZXZlcml0eSwgdG90YWwgdGljIHNldmVyaXR5LCB0aWMtY2F1c2VkIGltcGFpcm1lbnQgKFlHVFNTIHNjb3JlcykgKFAgPCAwLjA1KS4gUFUgc2V2ZXJpdHkgd2FzIGEgc2lnbmlmaWNhbnQgcG9zaXRpdmUgcHJlZGljdG9yIG9mIHRpYyBzeW1wdG9tIHNldmVyaXR5IChzdGFuZGFyZGl6ZWQgYmV0YSBjb2VmZmljaWVudCA9IDAuMTc0LCB0ID0gMi43ODYsIFAgPSAwLjAwNikuIElOVEVSUFJFVEFUSU9OOiBXZSBwcm92aWRlIGV2aWRlbmNlIGZvciBhIGNvcnJlbGF0aW9uIGJldHdlZW4gUFVzIGFuZCB0aWMgc3ltcHRvbXMuIFBVIHNldmVyaXR5IHByZWRpY3RzIHRpYyBzeW1wdG9tIHNldmVyaXR5LiBGdXJ0aGVyIHJlc2VhcmNoIG9uIFBVcyBpcyBuZWVkZWQgdG8gY2xhcmlmeSB0aGUgc2hhcmVkIGJyYWluIG1lY2hhbmlzbSB3aXRoIHRpY3MsIGFuZCB0aGVpciByb2xlIGluIHRpYyBleHByZXNzaW9uLiBBIHN1aXRhYmxlIHRvb2wgdG8gYXNzZXNzIFBVcyBpbiB5b3VuZ2VyIGNoaWxkcmVuIGlzIGFsc28gbmVlZGVkLiIsImlzc3VlIjoiMiIsInZvbHVtZSI6IjQiLCJjb250YWluZXItdGl0bGUtc2hvcnQiOiIifSwiaXNUZW1wb3JhcnkiOmZhbHNlfV19"/>
                <w:id w:val="361108008"/>
                <w:placeholder>
                  <w:docPart w:val="DefaultPlaceholder_-1854013440"/>
                </w:placeholder>
              </w:sdtPr>
              <w:sdtContent>
                <w:r w:rsidR="00F04E9F" w:rsidRPr="00F04E9F">
                  <w:rPr>
                    <w:rFonts w:cs="Times New Roman"/>
                    <w:color w:val="000000"/>
                    <w:sz w:val="16"/>
                    <w:szCs w:val="16"/>
                    <w:shd w:val="clear" w:color="auto" w:fill="FFFFFF"/>
                  </w:rPr>
                  <w:t>(37)</w:t>
                </w:r>
              </w:sdtContent>
            </w:sdt>
          </w:p>
        </w:tc>
        <w:tc>
          <w:tcPr>
            <w:tcW w:w="0" w:type="auto"/>
            <w:shd w:val="clear" w:color="auto" w:fill="FFFFFF"/>
          </w:tcPr>
          <w:p w14:paraId="6C100278"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and YGTSS-TTS / YGTSS impairment / YGTSS motor/vocal tic severity</w:t>
            </w:r>
          </w:p>
        </w:tc>
        <w:tc>
          <w:tcPr>
            <w:tcW w:w="0" w:type="auto"/>
            <w:shd w:val="clear" w:color="auto" w:fill="FFFFFF"/>
          </w:tcPr>
          <w:p w14:paraId="3D3BA6D9" w14:textId="77777777" w:rsidR="00986E35" w:rsidRPr="008A1F40" w:rsidRDefault="00986E35" w:rsidP="007F77D2">
            <w:pPr>
              <w:rPr>
                <w:rFonts w:cs="Times New Roman"/>
                <w:color w:val="000000"/>
                <w:sz w:val="16"/>
                <w:szCs w:val="16"/>
                <w:shd w:val="clear" w:color="auto" w:fill="FFFFFF"/>
              </w:rPr>
            </w:pPr>
            <w:r w:rsidRPr="008A1F40">
              <w:rPr>
                <w:rFonts w:cs="Times New Roman"/>
                <w:color w:val="000000" w:themeColor="text1"/>
                <w:sz w:val="16"/>
                <w:szCs w:val="16"/>
                <w:shd w:val="clear" w:color="auto" w:fill="FFFFFF"/>
              </w:rPr>
              <w:t>252 children and adolescents with CTDs</w:t>
            </w:r>
          </w:p>
        </w:tc>
        <w:tc>
          <w:tcPr>
            <w:tcW w:w="0" w:type="auto"/>
            <w:shd w:val="clear" w:color="auto" w:fill="FFFFFF"/>
          </w:tcPr>
          <w:p w14:paraId="347CAE9F"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correlated with YGTSS-TTS (Spearman’s r = 0.128, p = 0.043), YGTSS impairment (Spearman’s r = 0.163, p = 0.009), YGTSS motor tic score (Spearman’s r = 0.144, p = 0.022) but not YGTSS vocal tic score (Spearman’s r = 0.081, p = 0.202)</w:t>
            </w:r>
          </w:p>
          <w:p w14:paraId="2E43D0CC" w14:textId="77777777" w:rsidR="00986E35" w:rsidRPr="008A1F40" w:rsidRDefault="00986E35" w:rsidP="007F77D2">
            <w:pPr>
              <w:rPr>
                <w:rFonts w:cs="Times New Roman"/>
                <w:color w:val="000000" w:themeColor="text1"/>
                <w:sz w:val="16"/>
                <w:szCs w:val="16"/>
                <w:shd w:val="clear" w:color="auto" w:fill="FFFFFF"/>
              </w:rPr>
            </w:pPr>
          </w:p>
          <w:p w14:paraId="7AADDD13"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were significantly associated with YGTSS-TTS scores in a simple linear regression (β = 0.174, p = 0.006)</w:t>
            </w:r>
          </w:p>
        </w:tc>
      </w:tr>
      <w:tr w:rsidR="005845AF" w:rsidRPr="008A1F40" w14:paraId="7AAC238A" w14:textId="77777777" w:rsidTr="007F77D2">
        <w:trPr>
          <w:tblCellSpacing w:w="15" w:type="dxa"/>
        </w:trPr>
        <w:tc>
          <w:tcPr>
            <w:tcW w:w="0" w:type="auto"/>
            <w:shd w:val="clear" w:color="auto" w:fill="FFFFFF"/>
          </w:tcPr>
          <w:p w14:paraId="5B6C5AB6" w14:textId="1119A96F"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Kim et al (2020)</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ZjdkZWRlZTctZTgzNS00MzVkLTgwNDAtNWZlZWYwNGJkNTg2IiwicHJvcGVydGllcyI6eyJub3RlSW5kZXgiOjB9LCJpc0VkaXRlZCI6ZmFsc2UsIm1hbnVhbE92ZXJyaWRlIjp7ImlzTWFudWFsbHlPdmVycmlkZGVuIjpmYWxzZSwiY2l0ZXByb2NUZXh0IjoiKDE4KSIsIm1hbnVhbE92ZXJyaWRlVGV4dCI6IiJ9LCJjaXRhdGlvbkl0ZW1zIjpbeyJpZCI6ImJkZjkyYTRmLWRmZjMtMzNiYS1hZjNmLWY2MmIxYjIxOTgxZiIsIml0ZW1EYXRhIjp7InR5cGUiOiJhcnRpY2xlLWpvdXJuYWwiLCJpZCI6ImJkZjkyYTRmLWRmZjMtMzNiYS1hZjNmLWY2MmIxYjIxOTgxZiIsInRpdGxlIjoiRGV2ZWxvcG1lbnQgb2YgdGhlIEtvcmVhbiBGb3JtIG9mIHRoZSBQcmVtb25pdG9yeSBVcmdlIGZvciBUaWNzIFNjYWxlOiBBIFJlbGlhYmlsaXR5IGFuZCBWYWxpZGl0eSBTdHVkeSIsImdyb3VwSWQiOiIwN2Q2MmFjMS01YWE4LTM5YWYtYjQ5ZS01MmQyMDg4YWM1NzEiLCJhdXRob3IiOlt7ImZhbWlseSI6IktpbSIsImdpdmVuIjoiTSIsInBhcnNlLW5hbWVzIjpmYWxzZSwiZHJvcHBpbmctcGFydGljbGUiOiIiLCJub24tZHJvcHBpbmctcGFydGljbGUiOiIifSx7ImZhbWlseSI6IkNodW5nIiwiZ2l2ZW4iOiJTIEsiLCJwYXJzZS1uYW1lcyI6ZmFsc2UsImRyb3BwaW5nLXBhcnRpY2xlIjoiIiwibm9uLWRyb3BwaW5nLXBhcnRpY2xlIjoiIn0seyJmYW1pbHkiOiJZYW5nIiwiZ2l2ZW4iOiJKIEMiLCJwYXJzZS1uYW1lcyI6ZmFsc2UsImRyb3BwaW5nLXBhcnRpY2xlIjoiIiwibm9uLWRyb3BwaW5nLXBhcnRpY2xlIjoiIn0seyJmYW1pbHkiOiJQYXJrIiwiZ2l2ZW4iOiJKIEkiLCJwYXJzZS1uYW1lcyI6ZmFsc2UsImRyb3BwaW5nLXBhcnRpY2xlIjoiIiwibm9uLWRyb3BwaW5nLXBhcnRpY2xlIjoiIn0seyJmYW1pbHkiOiJOYW0iLCJnaXZlbiI6IlMgSCIsInBhcnNlLW5hbWVzIjpmYWxzZSwiZHJvcHBpbmctcGFydGljbGUiOiIiLCJub24tZHJvcHBpbmctcGFydGljbGUiOiIifSx7ImZhbWlseSI6IlBhcmsiLCJnaXZlbiI6IlQgVyIsInBhcnNlLW5hbWVzIjpmYWxzZSwiZHJvcHBpbmctcGFydGljbGUiOiIiLCJub24tZHJvcHBpbmctcGFydGljbGUiOiIifV0sImNvbnRhaW5lci10aXRsZSI6IlNvYSBDaG9uZ3NvbnlvbiBDaG9uZ3NpbiBVaWhhayIsIkRPSSI6IjEwLjU3NjUvamthY2FwLjIwMDAxMyIsIlBNSUQiOiIzMjY2NTc1OCIsIlVSTCI6Imh0dHBzOi8vd3d3Lm5jYmkubmxtLm5paC5nb3YvcG1jL2FydGljbGVzL1BNQzczNTA1NDUvcGRmL0pLQUNBUC0zMS0xNDYucGRmIiwiaXNzdWVkIjp7ImRhdGUtcGFydHMiOltbMjAyMF1dfSwicGFnZSI6IjE0Ni0xNTMiLCJhYnN0cmFjdCI6Ik9CSkVDVElWRVM6IFRoaXMgc3R1ZHkgYWltZWQgdG8gZXZhbHVhdGUgdGhlIHJlbGlhYmlsaXR5IGFuZCB2YWxpZGl0eSBvZiB0aGUgS29yZWFuIEZvcm0gb2YgdGhlIFByZW1vbml0b3J5IFVyZ2UgZm9yIFRpY3MgU2NhbGUgKEstUFVUUykuIE1FVEhPRFM6IFRoaXJ0eS1laWdodCBwYXRpZW50cyB3aXRoIFRvdXJldHRlJ3MgZGlzb3JkZXIgd2hvIHZpc2l0ZWQgSmVvbmJ1ayBOYXRpb25hbCBVbml2ZXJzaXR5IEhvc3BpdGFsIHdlcmUgYXNzZXNzZWQgd2l0aCB0aGUgSy1QVVRTLiBUb2dldGhlciB3aXRoIHRoZSBQVVRTLCB0aGUgWWFsZSBHbG9iYWwgVGljIFNldmVyaXR5IFNjYWxlIChZR1RTUyksIHRoZSBDaGlsZHJlbidzIFlhbGUtQnJvd24gT2JzZXNzaXZlIENvbXB1bHNpdmUgU2NhbGUgKENZLUJPQ1MpLCB0aGUgYXR0ZW50aW9uLWRlZmljaXQvaHlwZXJhY3Rpdml0eSBkaXNvcmRlciAoQURIRCkgcmF0aW5nIHNjYWxlIChBUlMpLCBhbmQgdGhlIEFkdWx0IEFESEQgU2VsZi1SZXBvcnQgU2NhbGUgKEFTUlMpIHdlcmUgaW1wbGVtZW50ZWQgdG8gZXZhbHVhdGUgY29uY3VycmVudCBhbmQgZGlzY3JpbWluYW50IHZhbGlkaXR5LiBSRVNVTFRTOiBUaGUgaW50ZXJuYWwgY29uc2lzdGVuY3kgb2YgaXRlbXMgb24gdGhlIFBVVFMgd2FzIGhpZ2gsIHdpdGggYSBDcm9uYmFjaCdzIM6xIG9mIDAuNzkuIFRoZSB0ZXN0LXJldGVzdCByZWxpYWJpbGl0eSBvZiB0aGUgUFVUUywgd2hpY2ggd2FzIGFkbWluaXN0ZXJlZCBhdCAyIHdlZWtzIHRvIDIgbW9udGhzIGludGVydmFscywgc2hvd2VkIGhpZ2ggcmVsaWFiaWxpdHkgd2l0aCBhIFBlYXJzb24gY29ycmVsYXRpb24gY29lZmZpY2llbnQgb2YgMC42MC4gVGhlcmUgd2FzIGEgc2lnbmlmaWNhbnQgcG9zaXRpdmUgY29ycmVsYXRpb24gYmV0d2VlbiB0aGUgb3ZlcmFsbCBQVVRTIHNjb3JlIGFuZCB0aGUgWUdUU1Mgc2NvcmUsIHNob3dpbmcgY29uY3VycmVudCB2YWxpZGl0eS4gVGhlcmUgd2FzIG5vIGNvcnJlbGF0aW9uIGJldHdlZW4gdGhlIFBVVFMsIENZLUJPQ1MsIGFuZCBBU1JTIHNjb3JlcywgZGVtb25zdHJhdGluZyB0aGUgZGlzY3JpbWluYW50IHZhbGlkaXR5IG9mIHRoZSBQVVRTLiBGYWN0b3IgYW5hbHlzaXMgZm9yIGNvbnN0cnVjdCB2YWxpZGl0eSByZXZlYWxlZCB0aHJlZSBmYWN0b3JzOiBcInByZXN1bWVkIGZ1bmN0aW9uYWwgcmVsYXRpb25zaGlwIGJldHdlZW4gdGhlIHRpYyBhbmQgdGhlIHVyZ2UgdG8gdGljLFwiIFwidGhlIHF1YWxpdHkgb2YgdGhlIHByZW1vbml0b3J5IHVyZ2UsXCIgYW5kIFwianVzdCByaWdodCBwaGVub21lbmEuXCIgQ09OQ0xVU0lPTjogVGhlIHJlc3VsdHMgb2YgdGhpcyBzdHVkeSBpbmRpY2F0ZSB0aGF0IHRoZSBLLVBVVFMgaXMgYSByZWxpYWJsZSBhbmQgdmFsaWQgc2NhbGUgZm9yIHJhdGluZyBwcmVtb25pdG9yeSB1cmdlIG9mIHRpY3MuIiwiaXNzdWUiOiIzIiwidm9sdW1lIjoiMzEiLCJjb250YWluZXItdGl0bGUtc2hvcnQiOiIifSwiaXNUZW1wb3JhcnkiOmZhbHNlfV19"/>
                <w:id w:val="2115009939"/>
                <w:placeholder>
                  <w:docPart w:val="DefaultPlaceholder_-1854013440"/>
                </w:placeholder>
              </w:sdtPr>
              <w:sdtContent>
                <w:r w:rsidR="00F04E9F" w:rsidRPr="00F04E9F">
                  <w:rPr>
                    <w:rFonts w:cs="Times New Roman"/>
                    <w:color w:val="000000"/>
                    <w:sz w:val="16"/>
                    <w:szCs w:val="16"/>
                    <w:shd w:val="clear" w:color="auto" w:fill="FFFFFF"/>
                  </w:rPr>
                  <w:t>(18)</w:t>
                </w:r>
              </w:sdtContent>
            </w:sdt>
          </w:p>
        </w:tc>
        <w:tc>
          <w:tcPr>
            <w:tcW w:w="0" w:type="auto"/>
            <w:shd w:val="clear" w:color="auto" w:fill="FFFFFF"/>
          </w:tcPr>
          <w:p w14:paraId="66E0EBE1"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and YGTSS-TTS / YGTSS impairment</w:t>
            </w:r>
          </w:p>
        </w:tc>
        <w:tc>
          <w:tcPr>
            <w:tcW w:w="0" w:type="auto"/>
            <w:shd w:val="clear" w:color="auto" w:fill="FFFFFF"/>
          </w:tcPr>
          <w:p w14:paraId="5DC608ED"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38 children and adults aged 10-44 with CTDs</w:t>
            </w:r>
          </w:p>
        </w:tc>
        <w:tc>
          <w:tcPr>
            <w:tcW w:w="0" w:type="auto"/>
            <w:shd w:val="clear" w:color="auto" w:fill="FFFFFF"/>
          </w:tcPr>
          <w:p w14:paraId="11516569"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significantly correlated with YGTSS-TTS scores (Pearson’s r = 0.55, p &lt; 0.001) and YGTSS impairment scores (Pearson’s r = 0.43, p &lt; 0.01)</w:t>
            </w:r>
          </w:p>
        </w:tc>
      </w:tr>
      <w:tr w:rsidR="005845AF" w:rsidRPr="008A1F40" w14:paraId="0669866F" w14:textId="77777777" w:rsidTr="007F77D2">
        <w:trPr>
          <w:tblCellSpacing w:w="15" w:type="dxa"/>
        </w:trPr>
        <w:tc>
          <w:tcPr>
            <w:tcW w:w="0" w:type="auto"/>
            <w:shd w:val="clear" w:color="auto" w:fill="FFFFFF"/>
          </w:tcPr>
          <w:p w14:paraId="38DC6064" w14:textId="1A5A4DBA"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Reese et al (2014)</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YTJjYWU0YmYtY2JiOS00NDU5LWFjMTEtNjhkOTVkNDQyNTA1IiwicHJvcGVydGllcyI6eyJub3RlSW5kZXgiOjB9LCJpc0VkaXRlZCI6ZmFsc2UsIm1hbnVhbE92ZXJyaWRlIjp7ImlzTWFudWFsbHlPdmVycmlkZGVuIjpmYWxzZSwiY2l0ZXByb2NUZXh0IjoiKDE1KSIsIm1hbnVhbE92ZXJyaWRlVGV4dCI6IiJ9LCJjaXRhdGlvbkl0ZW1zIjpbeyJpZCI6IjM2OWMxMGM3LTAxNzYtMzQyMS04MmJlLTg4YzAwMGQzMWIyYSIsIml0ZW1EYXRhIjp7InR5cGUiOiJhcnRpY2xlLWpvdXJuYWwiLCJpZCI6IjM2OWMxMGM3LTAxNzYtMzQyMS04MmJlLTg4YzAwMGQzMWIyYSIsInRpdGxlIjoiVGhlIHByZW1vbml0b3J5IHVyZ2UgdG8gdGljOiBtZWFzdXJlbWVudCwgY2hhcmFjdGVyaXN0aWNzLCBhbmQgY29ycmVsYXRlcyBpbiBvbGRlciBhZG9sZXNjZW50cyBhbmQgYWR1bHRzIiwiZ3JvdXBJZCI6IjA3ZDYyYWMxLTVhYTgtMzlhZi1iNDllLTUyZDIwODhhYzU3MSIsImF1dGhvciI6W3siZmFtaWx5IjoiUmVlc2UiLCJnaXZlbiI6IkggRSIsInBhcnNlLW5hbWVzIjpmYWxzZSwiZHJvcHBpbmctcGFydGljbGUiOiIiLCJub24tZHJvcHBpbmctcGFydGljbGUiOiIifSx7ImZhbWlseSI6IlNjYWhpbGwiLCJnaXZlbiI6IkwiLCJwYXJzZS1uYW1lcyI6ZmFsc2UsImRyb3BwaW5nLXBhcnRpY2xlIjoiIiwibm9uLWRyb3BwaW5nLXBhcnRpY2xlIjoiIn0seyJmYW1pbHkiOiJQZXRlcnNvbiIsImdpdmVuIjoiQSBMIiwicGFyc2UtbmFtZXMiOmZhbHNlLCJkcm9wcGluZy1wYXJ0aWNsZSI6IiIsIm5vbi1kcm9wcGluZy1wYXJ0aWNsZSI6IiJ9LHsiZmFtaWx5IjoiQ3Jvd2UiLCJnaXZlbiI6IksiLCJwYXJzZS1uYW1lcyI6ZmFsc2UsImRyb3BwaW5nLXBhcnRpY2xlIjoiIiwibm9uLWRyb3BwaW5nLXBhcnRpY2xlIjoiIn0seyJmYW1pbHkiOiJXb29kcyIsImdpdmVuIjoiRCBXIiwicGFyc2UtbmFtZXMiOmZhbHNlLCJkcm9wcGluZy1wYXJ0aWNsZSI6IiIsIm5vbi1kcm9wcGluZy1wYXJ0aWNsZSI6IiJ9LHsiZmFtaWx5IjoiUGlhY2VudGluaSIsImdpdmVuIjoiSiIsInBhcnNlLW5hbWVzIjpmYWxzZSwiZHJvcHBpbmctcGFydGljbGUiOiIiLCJub24tZHJvcHBpbmctcGFydGljbGUiOiIifSx7ImZhbWlseSI6IldhbGt1cCIsImdpdmVuIjoiSiBUIiwicGFyc2UtbmFtZXMiOmZhbHNlLCJkcm9wcGluZy1wYXJ0aWNsZSI6IiIsIm5vbi1kcm9wcGluZy1wYXJ0aWNsZSI6IiJ9LHsiZmFtaWx5IjoiV2lsaGVsbSIsImdpdmVuIjoiUyIsInBhcnNlLW5hbWVzIjpmYWxzZSwiZHJvcHBpbmctcGFydGljbGUiOiIiLCJub24tZHJvcHBpbmctcGFydGljbGUiOiIifV0sImNvbnRhaW5lci10aXRsZSI6IkJlaGF2IFRoZXIiLCJET0kiOiIxMC4xMDE2L2ouYmV0aC4yMDEzLjA5LjAwMiIsIlBNSUQiOiIyNDQ5MTE5MyIsImlzc3VlZCI6eyJkYXRlLXBhcnRzIjpbWzIwMTRdXX0sInBhZ2UiOiIxNzctMTg2IiwiYWJzdHJhY3QiOiJJbiBhZGRpdGlvbiB0byBtb3RvciBhbmQvb3Igdm9jYWwgdGljcywgbWFueSBpbmRpdmlkdWFscyB3aXRoIFRvdXJldHRlIHN5bmRyb21lIChUUykgb3IgY2hyb25pYyB0aWMgZGlzb3JkZXIgKENURCkgcmVwb3J0IGZyZXF1ZW50LCB1bmNvbWZvcnRhYmxlIHNlbnNvcnkgcGhlbm9tZW5hIHRoYXQgaW1tZWRpYXRlbHkgcHJlY2VkZSB0aGUgdGljcy4gVG8gZGF0ZSwgZXhhbWluYXRpb24gb2YgdGhlc2UgcHJlbW9uaXRvcnkgc2Vuc2F0aW9ucyBvciB1cmdlcyBoYXMgYmVlbiBsaW1pdGVkIGJ5IGluY29uc2lzdGVudCBhc3Nlc3NtZW50IHRvb2xzLiBJbiB0aGlzIHBhcGVyLCB3ZSBleGFtaW5lIHRoZSBwc3ljaG9tZXRyaWMgcHJvcGVydGllcyBvZiBhIG5pbmUtaXRlbSBzZWxmLXJlcG9ydCBtZWFzdXJlLCB0aGUgUHJlbW9uaXRvcnkgVXJnZSB0byBUaWMgU2NhbGUgKFBVVFMpIGFuZCBleGFtaW5lIHRoZSBjaGFyYWN0ZXJpc3RpY3MgYW5kIGNvcnJlbGF0ZXMgb2YgdGhlIHByZW1vbml0b3J5IHVyZ2UgdG8gdGljIGluIGEgY2xpbmljYWwgc2FtcGxlIG9mIDEyMiBvbGRlciBhZG9sZXNjZW50cyBhbmQgYWR1bHRzIHdpdGggVFMgb3IgQ1RELiBUaGUgUFVUUyBkZW1vbnN0cmF0ZWQgYWRlcXVhdGUgaW50ZXJuYWwgY29uc2lzdGVuY3ksIHRlbXBvcmFsIHN0YWJpbGl0eSwgYW5kIGNvbmN1cnJlbnQgdmFsaWRpdHkuIFByZW1vbml0b3J5IHVyZ2VzIHdlcmUgZW5kb3JzZWQgYnkgdGhlIG1ham9yaXR5IG9mIGluZGl2aWR1YWxzLiBNb3N0IGluZGl2aWR1YWxzIHJlcG9ydGVkIHNvbWUgcmVsaWVmIGZyb20gdGhlIHVyZ2VzIGFmdGVyIGNvbXBsZXRpbmcgYSB0aWMgYW5kIGJlaW5nIGFibGUgdG8gc3RvcCB0aGVpciB0aWNzIGV2ZW4gaWYgb25seSB0ZW1wb3JhcmlseS4gRGVncmVlIG9mIHByZW1vbml0b3J5IHVyZ2VzIHdhcyBub3Qgc2lnbmlmaWNhbnRseSBjb3JyZWxhdGVkIHdpdGggYWdlLCBhbmQgd2UgZGlkIG5vdCBvYnNlcnZlIGFueSBnZW5kZXIgZGlmZmVyZW5jZXMuIERlZ3JlZSBvZiBwcmVtb25pdG9yeSB1cmdlcyB3YXMgc2lnbmlmaWNhbnRseSBjb3JyZWxhdGVkIHdpdGggZXN0aW1hdGVkIElRIGFuZCB0aWMgc2V2ZXJpdHksIGJ1dCBub3Qgc2V2ZXJpdHkgb2YgY29tb3JiaWQgb2JzZXNzaXZlLWNvbXB1bHNpdmUgZGlzb3JkZXIgb3IgYXR0ZW50aW9uLWRlZmljaXQgaHlwZXJhY3Rpdml0eSBkaXNvcmRlci4gQWxzbywgaXQgd2FzIG5vdCByZWxhdGVkIHRvIGNvbmNvbWl0YW50IG1lZGljYXRpb24gc3RhdHVzLiBUaGVzZSBmaW5kaW5ncyByZXByZXNlbnQgYW5vdGhlciBzdGVwIGZvcndhcmQgaW4gb3VyIHVuZGVyc3RhbmRpbmcgb2YgdGhlIHByZW1vbml0b3J5IHNlbnNhdGlvbnMgYXNzb2NpYXRlZCB3aXRoIFRTIGFuZCBDVEQuIiwiaXNzdWUiOiIyIiwidm9sdW1lIjoiNDUiLCJjb250YWluZXItdGl0bGUtc2hvcnQiOiIifSwiaXNUZW1wb3JhcnkiOmZhbHNlfV19"/>
                <w:id w:val="1419908335"/>
                <w:placeholder>
                  <w:docPart w:val="DefaultPlaceholder_-1854013440"/>
                </w:placeholder>
              </w:sdtPr>
              <w:sdtContent>
                <w:r w:rsidR="00F04E9F" w:rsidRPr="00F04E9F">
                  <w:rPr>
                    <w:rFonts w:cs="Times New Roman"/>
                    <w:color w:val="000000"/>
                    <w:sz w:val="16"/>
                    <w:szCs w:val="16"/>
                    <w:shd w:val="clear" w:color="auto" w:fill="FFFFFF"/>
                  </w:rPr>
                  <w:t>(15)</w:t>
                </w:r>
              </w:sdtContent>
            </w:sdt>
          </w:p>
        </w:tc>
        <w:tc>
          <w:tcPr>
            <w:tcW w:w="0" w:type="auto"/>
            <w:shd w:val="clear" w:color="auto" w:fill="FFFFFF"/>
          </w:tcPr>
          <w:p w14:paraId="796AAE85"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and YGTSS-TTS / YGTSS motor/vocal tic severity</w:t>
            </w:r>
          </w:p>
        </w:tc>
        <w:tc>
          <w:tcPr>
            <w:tcW w:w="0" w:type="auto"/>
            <w:shd w:val="clear" w:color="auto" w:fill="FFFFFF"/>
          </w:tcPr>
          <w:p w14:paraId="0CB62E7D"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122 adolescents and adults with CTDs</w:t>
            </w:r>
          </w:p>
        </w:tc>
        <w:tc>
          <w:tcPr>
            <w:tcW w:w="0" w:type="auto"/>
            <w:shd w:val="clear" w:color="auto" w:fill="FFFFFF"/>
          </w:tcPr>
          <w:p w14:paraId="442222CA" w14:textId="77777777"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shd w:val="clear" w:color="auto" w:fill="FFFFFF"/>
              </w:rPr>
              <w:t>PUTS scores significantly correlated with YGTSS-TTS scores (r =</w:t>
            </w:r>
            <w:r w:rsidRPr="008A1F40">
              <w:rPr>
                <w:rFonts w:cs="Times New Roman"/>
                <w:color w:val="000000" w:themeColor="text1"/>
                <w:sz w:val="16"/>
                <w:szCs w:val="16"/>
              </w:rPr>
              <w:t xml:space="preserve"> 0.32, p &lt; 0.001)</w:t>
            </w:r>
            <w:r w:rsidRPr="008A1F40">
              <w:rPr>
                <w:rFonts w:cs="Times New Roman"/>
                <w:color w:val="000000" w:themeColor="text1"/>
                <w:sz w:val="16"/>
                <w:szCs w:val="16"/>
                <w:shd w:val="clear" w:color="auto" w:fill="FFFFFF"/>
              </w:rPr>
              <w:t xml:space="preserve"> (</w:t>
            </w:r>
            <w:r w:rsidRPr="008A1F40">
              <w:rPr>
                <w:rFonts w:cs="Times New Roman"/>
                <w:color w:val="000000" w:themeColor="text1"/>
                <w:sz w:val="16"/>
                <w:szCs w:val="16"/>
              </w:rPr>
              <w:t>correlation type unclear from publication)</w:t>
            </w:r>
          </w:p>
          <w:p w14:paraId="6C9D6DC1" w14:textId="77777777" w:rsidR="00986E35" w:rsidRPr="008A1F40" w:rsidRDefault="00986E35" w:rsidP="007F77D2">
            <w:pPr>
              <w:rPr>
                <w:rFonts w:cs="Times New Roman"/>
                <w:color w:val="000000" w:themeColor="text1"/>
                <w:sz w:val="16"/>
                <w:szCs w:val="16"/>
              </w:rPr>
            </w:pPr>
          </w:p>
          <w:p w14:paraId="6E88852A"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significantly correlated with YGTSS vocal tic severity</w:t>
            </w:r>
            <w:r w:rsidRPr="008A1F40">
              <w:rPr>
                <w:rFonts w:cs="Times New Roman"/>
                <w:color w:val="000000" w:themeColor="text1"/>
                <w:sz w:val="16"/>
                <w:szCs w:val="16"/>
              </w:rPr>
              <w:t xml:space="preserve"> (r = 0.30, p = 0.001)</w:t>
            </w:r>
            <w:r w:rsidRPr="008A1F40">
              <w:rPr>
                <w:rFonts w:cs="Times New Roman"/>
                <w:color w:val="000000" w:themeColor="text1"/>
                <w:sz w:val="16"/>
                <w:szCs w:val="16"/>
                <w:shd w:val="clear" w:color="auto" w:fill="FFFFFF"/>
              </w:rPr>
              <w:t xml:space="preserve"> but not motor tic severity (p &gt; 0.05) (</w:t>
            </w:r>
            <w:r w:rsidRPr="008A1F40">
              <w:rPr>
                <w:rFonts w:cs="Times New Roman"/>
                <w:color w:val="000000" w:themeColor="text1"/>
                <w:sz w:val="16"/>
                <w:szCs w:val="16"/>
              </w:rPr>
              <w:t xml:space="preserve">correlation type unclear from publication) </w:t>
            </w:r>
          </w:p>
        </w:tc>
      </w:tr>
      <w:tr w:rsidR="005845AF" w:rsidRPr="008A1F40" w14:paraId="5FF695D9" w14:textId="77777777" w:rsidTr="007F77D2">
        <w:trPr>
          <w:tblCellSpacing w:w="15" w:type="dxa"/>
        </w:trPr>
        <w:tc>
          <w:tcPr>
            <w:tcW w:w="0" w:type="auto"/>
            <w:shd w:val="clear" w:color="auto" w:fill="FFFFFF"/>
          </w:tcPr>
          <w:p w14:paraId="195712A3" w14:textId="257D3F15"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lastRenderedPageBreak/>
              <w:t>Ramsey et al (2022)</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ODU1MmJmMzAtZTU1NS00OGE0LWIxMjYtZWEzOWY0ZjkwMzVkIiwicHJvcGVydGllcyI6eyJub3RlSW5kZXgiOjB9LCJpc0VkaXRlZCI6ZmFsc2UsIm1hbnVhbE92ZXJyaWRlIjp7ImlzTWFudWFsbHlPdmVycmlkZGVuIjpmYWxzZSwiY2l0ZXByb2NUZXh0IjoiKDM4KSIsIm1hbnVhbE92ZXJyaWRlVGV4dCI6IiJ9LCJjaXRhdGlvbkl0ZW1zIjpbeyJpZCI6IjczYzgwM2RkLWIzMDAtM2Q5Zi1hNzk4LWExNWVhZjc0NjBjNSIsIml0ZW1EYXRhIjp7InR5cGUiOiJhcnRpY2xlLWpvdXJuYWwiLCJpZCI6IjczYzgwM2RkLWIzMDAtM2Q5Zi1hNzk4LWExNWVhZjc0NjBjNSIsInRpdGxlIjoiVXJnZSBpbnRvbGVyYW5jZSBwcmVkaWN0cyB0aWMgc2V2ZXJpdHkgYW5kIGltcGFpcm1lbnQgYW1vbmcgYWR1bHRzIHdpdGggVG91cmV0dGUgc3luZHJvbWUgYW5kIGNocm9uaWMgdGljIGRpc29yZGVycyIsImdyb3VwSWQiOiIwN2Q2MmFjMS01YWE4LTM5YWYtYjQ5ZS01MmQyMDg4YWM1NzEiLCJhdXRob3IiOlt7ImZhbWlseSI6IlJhbXNleSIsImdpdmVuIjoiSyBBIiwicGFyc2UtbmFtZXMiOmZhbHNlLCJkcm9wcGluZy1wYXJ0aWNsZSI6IiIsIm5vbi1kcm9wcGluZy1wYXJ0aWNsZSI6IiJ9LHsiZmFtaWx5IjoiTmFkYWkiLCJnaXZlbiI6IkEgUyIsInBhcnNlLW5hbWVzIjpmYWxzZSwiZHJvcHBpbmctcGFydGljbGUiOiIiLCJub24tZHJvcHBpbmctcGFydGljbGUiOiJEZSJ9LHsiZmFtaWx5IjoiRXNwaWwiLCJnaXZlbiI6IkYgTSIsInBhcnNlLW5hbWVzIjpmYWxzZSwiZHJvcHBpbmctcGFydGljbGUiOiIiLCJub24tZHJvcHBpbmctcGFydGljbGUiOiIifSx7ImZhbWlseSI6IlJpY2tldHRzIiwiZ2l2ZW4iOiJFIiwicGFyc2UtbmFtZXMiOmZhbHNlLCJkcm9wcGluZy1wYXJ0aWNsZSI6IiIsIm5vbi1kcm9wcGluZy1wYXJ0aWNsZSI6IiJ9LHsiZmFtaWx5IjoiU3RpZWRlIiwiZ2l2ZW4iOiJKIFQiLCJwYXJzZS1uYW1lcyI6ZmFsc2UsImRyb3BwaW5nLXBhcnRpY2xlIjoiIiwibm9uLWRyb3BwaW5nLXBhcnRpY2xlIjoiIn0seyJmYW1pbHkiOiJTY2hpbGQiLCJnaXZlbiI6IkoiLCJwYXJzZS1uYW1lcyI6ZmFsc2UsImRyb3BwaW5nLXBhcnRpY2xlIjoiIiwibm9uLWRyb3BwaW5nLXBhcnRpY2xlIjoiIn0seyJmYW1pbHkiOiJTcGVjaHQiLCJnaXZlbiI6Ik0gVyIsInBhcnNlLW5hbWVzIjpmYWxzZSwiZHJvcHBpbmctcGFydGljbGUiOiIiLCJub24tZHJvcHBpbmctcGFydGljbGUiOiIifSx7ImZhbWlseSI6Ildvb2RzIiwiZ2l2ZW4iOiJEIFciLCJwYXJzZS1uYW1lcyI6ZmFsc2UsImRyb3BwaW5nLXBhcnRpY2xlIjoiIiwibm9uLWRyb3BwaW5nLXBhcnRpY2xlIjoiIn0seyJmYW1pbHkiOiJCZW5uZXQiLCJnaXZlbiI6IlMiLCJwYXJzZS1uYW1lcyI6ZmFsc2UsImRyb3BwaW5nLXBhcnRpY2xlIjoiIiwibm9uLWRyb3BwaW5nLXBhcnRpY2xlIjoiIn0seyJmYW1pbHkiOiJXYWxrdXAiLCJnaXZlbiI6IkogVCIsInBhcnNlLW5hbWVzIjpmYWxzZSwiZHJvcHBpbmctcGFydGljbGUiOiIiLCJub24tZHJvcHBpbmctcGFydGljbGUiOiIifSx7ImZhbWlseSI6IkNoYW5nIiwiZ2l2ZW4iOiJTIiwicGFyc2UtbmFtZXMiOmZhbHNlLCJkcm9wcGluZy1wYXJ0aWNsZSI6IiIsIm5vbi1kcm9wcGluZy1wYXJ0aWNsZSI6IiJ9LHsiZmFtaWx5IjoiUGlhY2VudGluaSIsImdpdmVuIjoiSiIsInBhcnNlLW5hbWVzIjpmYWxzZSwiZHJvcHBpbmctcGFydGljbGUiOiIiLCJub24tZHJvcHBpbmctcGFydGljbGUiOiIifSx7ImZhbWlseSI6Ik1jR3VpcmUiLCJnaXZlbiI6IkogRiIsInBhcnNlLW5hbWVzIjpmYWxzZSwiZHJvcHBpbmctcGFydGljbGUiOiIiLCJub24tZHJvcHBpbmctcGFydGljbGUiOiIifV0sImNvbnRhaW5lci10aXRsZSI6IkZyb250aWVycyBpbiBQc3ljaGlhdHJ5IiwiRE9JIjoiaHR0cHM6Ly9keC5kb2kub3JnLzEwLjMzODkvZnBzeXQuMjAyMi45Mjk0MTMiLCJVUkwiOiJodHRwOi8vd3d3LmZyb250aWVyc2luLm9yZy9Qc3ljaGlhdHJ5aHR0cDovL292aWRzcC5vdmlkLmNvbS9vdmlkd2ViLmNnaT9UPUpTJlBBR0U9cmVmZXJlbmNlJkQ9ZW1leGImTkVXUz1OJkFOPTIwMTg3NDk4MDMiLCJpc3N1ZWQiOnsiZGF0ZS1wYXJ0cyI6W1syMDIyXV19LCJwYWdlIjoiOTI5NDEzIiwiYWJzdHJhY3QiOiJCYWNrZ3JvdW5kOiBJbmRpdmlkdWFscyB3aXRoIFRvdXJldHRlIFN5bmRyb21lIGFuZCBQZXJzaXN0ZW50IFRpYyBEaXNvcmRlcnMgKGNvbGxlY3RpdmVseSBUUykgb2Z0ZW4gZXhwZXJpZW5jZSBwcmVtb25pdG9yeSB1cmdlcy1hdmVyc2l2ZSBwaHlzaWNhbCBzZW5zYXRpb25zIHRoYXQgcHJlY2VkZSB0aWNzIGFuZCBhcmUgdGVtcG9yYXJpbHkgcmVsaWV2ZWQgYnkgdGljIGV4cHJlc3Npb24uIFRoZSByZWxhdGlvbnNoaXAgYmV0d2VlbiB0aWNzIGFuZCBwcmVtb25pdG9yeSB1cmdlcyBwbGF5cyBhIGtleSByb2xlIGluIHRoZSBuZXVyb2JlaGF2aW9yYWwgdHJlYXRtZW50IG1vZGVsIG9mIFRTLCB3aGljaCB1bmRlcmxpZXMgZmlyc3QtbGluZSB0cmVhdG1lbnRzIHN1Y2ggYXMgdGhlIENvbXByZWhlbnNpdmUgQmVoYXZpb3JhbCBJbnRlcnZlbnRpb24gZm9yIFRpY3MgKENCSVQpLiBEZXNwaXRlIHRoZSBlZmZpY2FjeSBvZiBDQklUIGFuZCByZWxhdGVkIGJlaGF2aW9yYWwgdGhlcmFwaWVzLCBsZXNzIHRoYW4gNDAlIG9mIGFkdWx0cyB3aXRoIFRTIHJlc3BvbmQgdG8gdGhlc2UgdHJlYXRtZW50cy4gRnVydGhlciBleGFtaW5hdGlvbiBvZiB0aGUgcmVsYXRpb25zaGlwIGJldHdlZW4gcHJlbW9uaXRvcnkgdXJnZXMsIHRpYyBzZXZlcml0eSwgYW5kIHRpYyBpbXBhaXJtZW50IGNhbiBwcm92aWRlIG5ldyBpbnNpZ2h0cyBpbnRvIHRoZXJhcGV1dGljIHRhcmdldHMgdG8gb3B0aW1pemUgYmVoYXZpb3JhbCB0cmVhdG1lbnQgb3V0Y29tZXMuIFRoaXMgc3R1ZHkgZXhhbWluZWQgd2hldGhlciB1cmdlIGludG9sZXJhbmNlLWRpZmZpY3VsdHkgdG9sZXJhdGluZyBwcmVtb25pdG9yeSB1cmdlcy1wcmVkaWN0ZWQgdGljIHNldmVyaXR5IGFuZCB0aWMtcmVsYXRlZCBpbXBhaXJtZW50IGFtb25nIGFkdWx0cyB3aXRoIFRTLiBNZXRob2Qocyk6IFBhcnRpY2lwYW50cyB3ZXJlIDgwIGFkdWx0cyB3aXRoIFRTLiBBc3Nlc3NtZW50cyBjaGFyYWN0ZXJpemVkIHByZW1vbml0b3J5IHVyZ2UsIGRpc3RyZXNzIHRvbGVyYW5jZSwgdGljIHNldmVyaXR5LCBhbmQgdGljIGltcGFpcm1lbnQuIFdlIHVzZWQgc3RydWN0dXJhbCBlcXVhdGlvbiBtb2RlbGluZyAoU0VNKSB0byBleGFtaW5lIHRoZSBjb25zdHJ1Y3Qgb2YgdXJnZSBpbnRvbGVyYW5jZS1jb21wcmlzZWQgb2YgcHJlbW9uaXRvcnkgdXJnZSByYXRpbmdzIGFuZCBkaXN0cmVzcyB0b2xlcmFuY2UgcmF0aW5ncy4gV2UgZmlyc3QgZXZhbHVhdGVkIGEgbWVhc3VyZW1lbnQgbW9kZWwgb2YgdXJnZSBpbnRvbGVyYW5jZSB0aHJvdWdoIGJpZmFjdG9yIG1vZGVsaW5nLCBpbmNsdWRpbmcgdGVzdHMgb2YgdGhlIGluY3JlbWVudGFsIHZhbHVlIG9mIHN1YmZhY3RvcnMgdGhhdCByZWZsZWN0IHByZW1vbml0b3J5IHVyZ2Ugc2V2ZXJpdHkgYW5kIGRpc3RyZXNzIHRvbGVyYW5jZSB3aXRoaW4gdGhlIG1vZGVsLiBXZSB0aGVuIGV2YWx1YXRlZCBhIHN0cnVjdHVyYWwgbW9kZWwgd2hlcmUgd2UgcHJlZGljdGVkIGNsaW5pY2lhbi1yYXRlZCB0aWMgc2V2ZXJpdHkgYW5kIHRpYyBpbXBhaXJtZW50IGJ5IHRoZSBsYXRlbnQgdmFyaWFibGUgb2YgdXJnZSBpbnRvbGVyYW5jZSBlc3RhYmxpc2hlZCBpbiBvdXIgbWVhc3VyZW1lbnQgbW9kZWwuIFJlc3VsdChzKTogQW5hbHlzZXMgc3VwcG9ydGVkIGEgYmlmYWN0b3IgbWVhc3VyZW1lbnQgbW9kZWwgb2YgdXJnZSBpbnRvbGVyYW5jZSBhbW9uZyBhZHVsdHMgd2l0aCBUUy4gQ29uc2lzdGVudCB3aXRoIHRoZW9yZXRpY2FsIG1vZGVscywgaGlnaGVyIGxldmVscyBvZiB1cmdlIGludG9sZXJhbmNlIHByZWRpY3RlZCBncmVhdGVyIGxldmVscyBvZiBjbGluaWNpYW4tcmF0ZWQgdGljIHNldmVyaXR5IGFuZCB0aWMgaW1wYWlybWVudC4gQ29uY2x1c2lvbihzKTogVGhpcyBpbnZlc3RpZ2F0aW9uIHN1cHBvcnRzIHRoZSBjb25zdHJ1Y3Qgb2YgdXJnZSBpbnRvbGVyYW5jZSBhbW9uZyBhZHVsdHMgd2l0aCBUUyBhbmQgZGlzdGluZ3Vpc2hlcyBpdCBmcm9tIHN1YmNvbXBvbmVudHMgb2YgdXJnZSBzZXZlcml0eSBhbmQgZGlzdHJlc3MgdG9sZXJhbmNlLiBHaXZlbiBpdHMgcHJlZGljdGl2ZSByZWxhdGlvbnNoaXAgd2l0aCB0aWMgc2V2ZXJpdHkgYW5kIHRpYyBpbXBhaXJtZW50LCB1cmdlIGludG9sZXJhbmNlIHJlcHJlc2VudHMgYSBwcm9taXNpbmcgdHJlYXRtZW50IHRhcmdldCB0byBpbXByb3ZlIHRoZXJhcGV1dGljIG91dGNvbWVzIGluIGFkdWx0cyB3aXRoIFRTLkNvcHlyaWdodCDCqSAyMDIyIFJhbXNleSwgRGUgTmFkYWksIEVzcGlsLCBSaWNrZXR0cywgU3RpZWRlLCBTY2hpbGQsIFNwZWNodCwgV29vZHMsIEJlbm5ldCwgV2Fsa3VwLCBDaGFuZywgUGlhY2VudGluaSBhbmQgTWNHdWlyZS4iLCJ2b2x1bWUiOiIxMyIsImNvbnRhaW5lci10aXRsZS1zaG9ydCI6IkZyb250IFBzeWNoaWF0cnkifSwiaXNUZW1wb3JhcnkiOmZhbHNlfV19"/>
                <w:id w:val="-122467242"/>
                <w:placeholder>
                  <w:docPart w:val="DefaultPlaceholder_-1854013440"/>
                </w:placeholder>
              </w:sdtPr>
              <w:sdtContent>
                <w:r w:rsidR="00F04E9F" w:rsidRPr="00F04E9F">
                  <w:rPr>
                    <w:rFonts w:cs="Times New Roman"/>
                    <w:color w:val="000000"/>
                    <w:sz w:val="16"/>
                    <w:szCs w:val="16"/>
                    <w:shd w:val="clear" w:color="auto" w:fill="FFFFFF"/>
                  </w:rPr>
                  <w:t>(38)</w:t>
                </w:r>
              </w:sdtContent>
            </w:sdt>
          </w:p>
        </w:tc>
        <w:tc>
          <w:tcPr>
            <w:tcW w:w="0" w:type="auto"/>
            <w:shd w:val="clear" w:color="auto" w:fill="FFFFFF"/>
          </w:tcPr>
          <w:p w14:paraId="3C72C78A"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PUTS/urge intolerance and YGTSS-TTS / YGTSS impairment</w:t>
            </w:r>
          </w:p>
        </w:tc>
        <w:tc>
          <w:tcPr>
            <w:tcW w:w="0" w:type="auto"/>
            <w:shd w:val="clear" w:color="auto" w:fill="FFFFFF"/>
          </w:tcPr>
          <w:p w14:paraId="1A5DC82F"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80 adults with TS or chronic motor tic disorder</w:t>
            </w:r>
          </w:p>
        </w:tc>
        <w:tc>
          <w:tcPr>
            <w:tcW w:w="0" w:type="auto"/>
            <w:shd w:val="clear" w:color="auto" w:fill="FFFFFF"/>
          </w:tcPr>
          <w:p w14:paraId="1AD57EC1" w14:textId="77777777"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shd w:val="clear" w:color="auto" w:fill="FFFFFF"/>
              </w:rPr>
              <w:t xml:space="preserve">Significant correlations between </w:t>
            </w:r>
            <w:r w:rsidRPr="008A1F40">
              <w:rPr>
                <w:rFonts w:cs="Times New Roman"/>
                <w:color w:val="000000" w:themeColor="text1"/>
                <w:sz w:val="16"/>
                <w:szCs w:val="16"/>
              </w:rPr>
              <w:t>PUTS scores and both YGTSS severity (r = 0.37, p = 0.002) and YGTSS impairment (r = 0.43, p &lt; 0.001) (correlation type unclear from publication)</w:t>
            </w:r>
          </w:p>
          <w:p w14:paraId="0B6C7720" w14:textId="77777777" w:rsidR="00986E35" w:rsidRPr="008A1F40" w:rsidRDefault="00986E35" w:rsidP="007F77D2">
            <w:pPr>
              <w:rPr>
                <w:rFonts w:cs="Times New Roman"/>
                <w:color w:val="000000" w:themeColor="text1"/>
                <w:sz w:val="16"/>
                <w:szCs w:val="16"/>
                <w:shd w:val="clear" w:color="auto" w:fill="FFFFFF"/>
              </w:rPr>
            </w:pPr>
          </w:p>
          <w:p w14:paraId="5B22C544"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rPr>
              <w:t xml:space="preserve">Created a bifactor structural model of urge intolerance (a theoretical construct composed of items within the PUTS and DTS, higher values indicate greater urge intolerance) with premonitory urge and distress tolerance as subfactors to predict YGTSS-TTS and YGTSS impairment - Urge intolerance and both subfactors were significant predictors of both YGTSS severity (Urge intolerance: </w:t>
            </w:r>
            <w:r w:rsidRPr="008A1F40">
              <w:rPr>
                <w:rFonts w:cs="Times New Roman"/>
                <w:color w:val="000000" w:themeColor="text1"/>
                <w:sz w:val="16"/>
                <w:szCs w:val="16"/>
                <w:shd w:val="clear" w:color="auto" w:fill="FFFFFF"/>
              </w:rPr>
              <w:t xml:space="preserve">β = 0.35, p = 0.001, </w:t>
            </w:r>
            <w:r w:rsidRPr="008A1F40">
              <w:rPr>
                <w:rFonts w:cs="Times New Roman"/>
                <w:color w:val="000000" w:themeColor="text1"/>
                <w:sz w:val="16"/>
                <w:szCs w:val="16"/>
              </w:rPr>
              <w:t>Premonitory urges:</w:t>
            </w:r>
            <w:r w:rsidRPr="008A1F40">
              <w:rPr>
                <w:rFonts w:cs="Times New Roman"/>
                <w:color w:val="000000" w:themeColor="text1"/>
                <w:sz w:val="16"/>
                <w:szCs w:val="16"/>
                <w:shd w:val="clear" w:color="auto" w:fill="FFFFFF"/>
              </w:rPr>
              <w:t xml:space="preserve"> β = 0.23, p &lt; 0.05</w:t>
            </w:r>
            <w:r w:rsidRPr="008A1F40">
              <w:rPr>
                <w:rFonts w:cs="Times New Roman"/>
                <w:color w:val="000000" w:themeColor="text1"/>
                <w:sz w:val="16"/>
                <w:szCs w:val="16"/>
              </w:rPr>
              <w:t xml:space="preserve">) and impairment (Urge intolerance: </w:t>
            </w:r>
            <w:r w:rsidRPr="008A1F40">
              <w:rPr>
                <w:rFonts w:cs="Times New Roman"/>
                <w:color w:val="000000" w:themeColor="text1"/>
                <w:sz w:val="16"/>
                <w:szCs w:val="16"/>
                <w:shd w:val="clear" w:color="auto" w:fill="FFFFFF"/>
              </w:rPr>
              <w:t xml:space="preserve">β = 0.32, p = 0.005, </w:t>
            </w:r>
            <w:r w:rsidRPr="008A1F40">
              <w:rPr>
                <w:rFonts w:cs="Times New Roman"/>
                <w:color w:val="000000" w:themeColor="text1"/>
                <w:sz w:val="16"/>
                <w:szCs w:val="16"/>
              </w:rPr>
              <w:t>Premonitory urges:</w:t>
            </w:r>
            <w:r w:rsidRPr="008A1F40">
              <w:rPr>
                <w:rFonts w:cs="Times New Roman"/>
                <w:color w:val="000000" w:themeColor="text1"/>
                <w:sz w:val="16"/>
                <w:szCs w:val="16"/>
                <w:shd w:val="clear" w:color="auto" w:fill="FFFFFF"/>
              </w:rPr>
              <w:t xml:space="preserve"> β = 0.34, p &lt; 0.05</w:t>
            </w:r>
            <w:r w:rsidRPr="008A1F40">
              <w:rPr>
                <w:rFonts w:cs="Times New Roman"/>
                <w:color w:val="000000" w:themeColor="text1"/>
                <w:sz w:val="16"/>
                <w:szCs w:val="16"/>
              </w:rPr>
              <w:t>)</w:t>
            </w:r>
          </w:p>
        </w:tc>
      </w:tr>
      <w:tr w:rsidR="005845AF" w:rsidRPr="008A1F40" w14:paraId="54022BCC" w14:textId="77777777" w:rsidTr="007F77D2">
        <w:trPr>
          <w:tblCellSpacing w:w="15" w:type="dxa"/>
        </w:trPr>
        <w:tc>
          <w:tcPr>
            <w:tcW w:w="0" w:type="auto"/>
            <w:shd w:val="clear" w:color="auto" w:fill="FFFFFF"/>
          </w:tcPr>
          <w:p w14:paraId="11DF7F00" w14:textId="1ECB9C8E"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 xml:space="preserve">Capriotti et al </w:t>
            </w:r>
            <w:r w:rsidR="005845AF">
              <w:rPr>
                <w:rFonts w:cs="Times New Roman"/>
                <w:color w:val="000000" w:themeColor="text1"/>
                <w:sz w:val="16"/>
                <w:szCs w:val="16"/>
                <w:shd w:val="clear" w:color="auto" w:fill="FFFFFF"/>
              </w:rPr>
              <w:t>(</w:t>
            </w:r>
            <w:r w:rsidRPr="008A1F40">
              <w:rPr>
                <w:rFonts w:cs="Times New Roman"/>
                <w:color w:val="000000" w:themeColor="text1"/>
                <w:sz w:val="16"/>
                <w:szCs w:val="16"/>
                <w:shd w:val="clear" w:color="auto" w:fill="FFFFFF"/>
              </w:rPr>
              <w:t>2013</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OWMyNmY0ZDUtNmM4NC00OWJmLTlkYzgtYWI4MGU2NjRhODAyIiwicHJvcGVydGllcyI6eyJub3RlSW5kZXgiOjB9LCJpc0VkaXRlZCI6ZmFsc2UsIm1hbnVhbE92ZXJyaWRlIjp7ImlzTWFudWFsbHlPdmVycmlkZGVuIjpmYWxzZSwiY2l0ZXByb2NUZXh0IjoiKDM5KSIsIm1hbnVhbE92ZXJyaWRlVGV4dCI6IiJ9LCJjaXRhdGlvbkl0ZW1zIjpbeyJpZCI6IjkwNGI1ZjVjLTJkYTMtMzUyOS04M2Y2LTUwODg4ZjRhNWM1YiIsIml0ZW1EYXRhIjp7InR5cGUiOiJhcnRpY2xlLWpvdXJuYWwiLCJpZCI6IjkwNGI1ZjVjLTJkYTMtMzUyOS04M2Y2LTUwODg4ZjRhNWM1YiIsInRpdGxlIjoiRW52aXJvbm1lbnRhbCBmYWN0b3JzIGFzIHBvdGVudGlhbCBkZXRlcm1pbmFudHMgb2YgcHJlbW9uaXRvcnkgdXJnZSBzZXZlcml0eSBpbiB5b3V0aCB3aXRoIFRvdXJldHRlIHN5bmRyb21lIiwiZ3JvdXBJZCI6IjA3ZDYyYWMxLTVhYTgtMzlhZi1iNDllLTUyZDIwODhhYzU3MSIsImF1dGhvciI6W3siZmFtaWx5IjoiQ2FwcmlvdHRpIiwiZ2l2ZW4iOiJNIFIiLCJwYXJzZS1uYW1lcyI6ZmFsc2UsImRyb3BwaW5nLXBhcnRpY2xlIjoiIiwibm9uLWRyb3BwaW5nLXBhcnRpY2xlIjoiIn0seyJmYW1pbHkiOiJFc3BpbCIsImdpdmVuIjoiRiBNIiwicGFyc2UtbmFtZXMiOmZhbHNlLCJkcm9wcGluZy1wYXJ0aWNsZSI6IiIsIm5vbi1kcm9wcGluZy1wYXJ0aWNsZSI6IiJ9LHsiZmFtaWx5IjoiQ29uZWxlYSIsImdpdmVuIjoiQyBBIiwicGFyc2UtbmFtZXMiOmZhbHNlLCJkcm9wcGluZy1wYXJ0aWNsZSI6IiIsIm5vbi1kcm9wcGluZy1wYXJ0aWNsZSI6IiJ9LHsiZmFtaWx5IjoiV29vZHMiLCJnaXZlbiI6IkQgVyIsInBhcnNlLW5hbWVzIjpmYWxzZSwiZHJvcHBpbmctcGFydGljbGUiOiIiLCJub24tZHJvcHBpbmctcGFydGljbGUiOiIifV0sImNvbnRhaW5lci10aXRsZSI6IkpvdXJuYWwgb2YgT2JzZXNzaXZlLUNvbXB1bHNpdmUgYW5kIFJlbGF0ZWQgRGlzb3JkZXJzIiwiRE9JIjoiaHR0cHM6Ly9keC5kb2kub3JnLzEwLjEwMTYvai5qb2NyZC4yMDEyLjEwLjAwNCIsIlVSTCI6Imh0dHA6Ly93d3cuam91cm5hbHMuZWxzZXZpZXIuY29tL2pvdXJuYWwtb2Ytb2JzZXNzaXZlLWNvbXB1bHNpdmUtYW5kLXJlbGF0ZWQtZGlzb3JkZXJzaHR0cDovL292aWRzcC5vdmlkLmNvbS9vdmlkd2ViLmNnaT9UPUpTJlBBR0U9cmVmZXJlbmNlJkQ9ZW1lZDE0Jk5FV1M9TiZBTj0zNjgxMjQ5MDciLCJpc3N1ZWQiOnsiZGF0ZS1wYXJ0cyI6W1syMDEzXV19LCJwYWdlIjoiMzctNDIiLCJhYnN0cmFjdCI6IlRpY3MgYXNzb2NpYXRlZCB3aXRoIFRvdXJldHRlIHN5bmRyb21lIChUUykgYXJlIG9mdGVuIHByZWNlZGVkIGJ5IGF2ZXJzaXZlIHNvbWF0b3NlbnNvcnkgZXhwZXJpZW5jZXMga25vd24gYXMgcHJlbW9uaXRvcnkgdXJnZXMuIFRoZXNlIHVyZ2VzIGFyZSBoaWdobHkgcHJldmFsZW50IGFtb25nIGluZGl2aWR1YWxzIHdpdGggVFMgYW5kIGFwcGVhciB0byBwbGF5IGEga2V5IHJvbGUgaW4gdGljIGV4cHJlc3Npb24uIERlc3BpdGUgdGhlIGltcG9ydGFuY2Ugb2YgcHJlbW9uaXRvcnkgdXJnZXMsIHJlbGF0aXZlbHkgbGl0dGxlIGlzIGtub3duIGFib3V0IGVudmlyb25tZW50YWwgZmFjdG9ycyB0aGF0IG1heSBpbmZsdWVuY2UgdGhlaXIgc2V2ZXJpdHkuIFNvbWUgZGF0YSBzdWdnZXN0IHRoYXQgZXhwZXJpZW5jaW5nIGVudmlyb25tZW50YWwgY29uc2VxdWVuY2VzIGZvciB0aWNjaW5nIG1heSBpbmNyZWFzZSB0aGUgc2V2ZXJpdHkgb2YgcHJlbW9uaXRvcnkgdXJnZXMsIGFsdGhvdWdoIGV2aWRlbmNlIGZvciB0aGlzIGNsYWltIGlzIGxpbWl0ZWQuIFRoZSBwcmVzZW50IHN0dWR5IHRlc3RlZCB0aGlzIHBvc3NpYmlsaXR5IHVzaW5nIGRhdGEgZnJvbSBhbiBJbnRlcm5ldC1iYXNlZCBzdXJ2ZXkgb2YgMTE4IHlvdXRoIHdpdGggVFMgYW5kIHRoZWlyIHBhcmVudHMuIFJlc3VsdHMgaW5kaWNhdGVkIHRoYXQgdGljIHNldmVyaXR5IGFuZCB1cmdlIHNldmVyaXR5IHdlcmUgcG9zaXRpdmVseSBjb3JyZWxhdGVkIHdpdGggZWFjaCBvdGhlciBhbmQgd2l0aCBpdGVtcyBtZWFzdXJpbmcgdGljLXJlbGF0ZWQgaW1wYWN0LiBIaWVyYXJjaGljYWwgbGluZWFyIHJlZ3Jlc3Npb24gYW5hbHlzZXMgc2hvd2VkIHRoYXQgdGhlIHJlbGF0aW9uc2hpcCBiZXR3ZWVuIHVyZ2Ugc2V2ZXJpdHkgYW5kIHRpYy1yZWxhdGVkIGltcGFjdCBwZXJzaXN0ZWQgd2hlbiBhY2NvdW50aW5nIGZvciBjb21vcmJpZCBwc3ljaGlhdHJpYyBkaWFnbm9zZXMgYW5kIHRpYyBzZXZlcml0eS4gVGhlc2UgcmVzdWx0cyBhcmUgY29uc2lzdGVudCB3aXRoIGEgYmVoYXZpb3JhbCBtb2RlbCBvZiBUUyBhbmQgc3VnZ2VzdCB0aGF0IGV4cGVyaWVuY2luZyBhdmVyc2l2ZSBjb25zZXF1ZW5jZXMgZm9yIHRpY2NpbmcgbWF5IGluY3JlYXNlIHRoZSBzZXZlcml0eSBvZiBwcmVtb25pdG9yeSB1cmdlcy4gRnV0dXJlIHJlc2VhcmNoIHNob3VsZCBmdXJ0aGVyIGV4YW1pbmUgZmFjdG9ycyB0aGF0IGluZmx1ZW5jZSBwcmVtb25pdG9yeSB1cmdlcyBhbmQgbW9yZSBjb21wbGV0ZWx5IHRlc3QgdGhlIGJlaGF2aW9yYWwgbW9kZWwgb2YgVFMuIMKpIDIwMTIgRWxzZXZpZXIgTHRkLiIsImlzc3VlIjoiMSIsInZvbHVtZSI6IjIiLCJjb250YWluZXItdGl0bGUtc2hvcnQiOiJKIE9ic2Vzc2l2ZSBDb21wdWxzIFJlbGF0IERpc29yZCJ9LCJpc1RlbXBvcmFyeSI6ZmFsc2V9XX0="/>
                <w:id w:val="-881332596"/>
                <w:placeholder>
                  <w:docPart w:val="DefaultPlaceholder_-1854013440"/>
                </w:placeholder>
              </w:sdtPr>
              <w:sdtContent>
                <w:r w:rsidR="00F04E9F" w:rsidRPr="00F04E9F">
                  <w:rPr>
                    <w:rFonts w:cs="Times New Roman"/>
                    <w:color w:val="000000"/>
                    <w:sz w:val="16"/>
                    <w:szCs w:val="16"/>
                    <w:shd w:val="clear" w:color="auto" w:fill="FFFFFF"/>
                  </w:rPr>
                  <w:t>(39)</w:t>
                </w:r>
              </w:sdtContent>
            </w:sdt>
          </w:p>
        </w:tc>
        <w:tc>
          <w:tcPr>
            <w:tcW w:w="0" w:type="auto"/>
            <w:shd w:val="clear" w:color="auto" w:fill="FFFFFF"/>
          </w:tcPr>
          <w:p w14:paraId="4617DC52"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and PTQ</w:t>
            </w:r>
          </w:p>
        </w:tc>
        <w:tc>
          <w:tcPr>
            <w:tcW w:w="0" w:type="auto"/>
            <w:shd w:val="clear" w:color="auto" w:fill="FFFFFF"/>
          </w:tcPr>
          <w:p w14:paraId="1C6C0DE8"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118 children and adolescents with CTDs</w:t>
            </w:r>
          </w:p>
        </w:tc>
        <w:tc>
          <w:tcPr>
            <w:tcW w:w="0" w:type="auto"/>
            <w:shd w:val="clear" w:color="auto" w:fill="FFFFFF"/>
          </w:tcPr>
          <w:p w14:paraId="785E4822"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Significant correlation between PUTS and PTQ (Pearson’s r = 0.21, p = 0.03)</w:t>
            </w:r>
          </w:p>
        </w:tc>
      </w:tr>
      <w:tr w:rsidR="005845AF" w:rsidRPr="008A1F40" w14:paraId="3D152F5B" w14:textId="77777777" w:rsidTr="007F77D2">
        <w:trPr>
          <w:tblCellSpacing w:w="15" w:type="dxa"/>
        </w:trPr>
        <w:tc>
          <w:tcPr>
            <w:tcW w:w="0" w:type="auto"/>
            <w:shd w:val="clear" w:color="auto" w:fill="FFFFFF"/>
            <w:hideMark/>
          </w:tcPr>
          <w:p w14:paraId="72571D14" w14:textId="46B6ADAB"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Brandt et al (2023)</w:t>
            </w:r>
            <w:r w:rsidR="005845AF">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YzdiOWM5NDUtYjM3Zi00ZWViLTg4MzAtMjVjZThkZTE3MzYyIiwicHJvcGVydGllcyI6eyJub3RlSW5kZXgiOjB9LCJpc0VkaXRlZCI6ZmFsc2UsIm1hbnVhbE92ZXJyaWRlIjp7ImlzTWFudWFsbHlPdmVycmlkZGVuIjpmYWxzZSwiY2l0ZXByb2NUZXh0IjoiKDQwKSIsIm1hbnVhbE92ZXJyaWRlVGV4dCI6IiJ9LCJjaXRhdGlvbkl0ZW1zIjpbeyJpZCI6IjliMzhmZmQ3LTc1NjAtMzcwNS1hOWY0LTUyOWNiYWI2NTQ2ZiIsIml0ZW1EYXRhIjp7InR5cGUiOiJhcnRpY2xlLWpvdXJuYWwiLCJpZCI6IjliMzhmZmQ3LTc1NjAtMzcwNS1hOWY0LTUyOWNiYWI2NTQ2ZiIsInRpdGxlIjoiTm9uLWp1c3QtcmlnaHQgZXhwZXJpZW5jZXMgYXJlIG1vcmUgY2xvc2VseSByZWxhdGVkIHRvIE9DRCB0aGFuIHRpY3MgaW4gVG91cmV0dGUgcGF0aWVudHMiLCJncm91cElkIjoiMDdkNjJhYzEtNWFhOC0zOWFmLWI0OWUtNTJkMjA4OGFjNTcxIiwiYXV0aG9yIjpbeyJmYW1pbHkiOiJCcmFuZHQiLCJnaXZlbiI6IlYiLCJwYXJzZS1uYW1lcyI6ZmFsc2UsImRyb3BwaW5nLXBhcnRpY2xlIjoiIiwibm9uLWRyb3BwaW5nLXBhcnRpY2xlIjoiIn0seyJmYW1pbHkiOiJPdHRlIiwiZ2l2ZW4iOiJKIEgiLCJwYXJzZS1uYW1lcyI6ZmFsc2UsImRyb3BwaW5nLXBhcnRpY2xlIjoiIiwibm9uLWRyb3BwaW5nLXBhcnRpY2xlIjoiIn0seyJmYW1pbHkiOiJGcmVtZXIiLCJnaXZlbiI6IkMiLCJwYXJzZS1uYW1lcyI6ZmFsc2UsImRyb3BwaW5nLXBhcnRpY2xlIjoiIiwibm9uLWRyb3BwaW5nLXBhcnRpY2xlIjoiIn0seyJmYW1pbHkiOiJKYWt1Ym92c2tpIiwiZ2l2ZW4iOiJFIiwicGFyc2UtbmFtZXMiOmZhbHNlLCJkcm9wcGluZy1wYXJ0aWNsZSI6IiIsIm5vbi1kcm9wcGluZy1wYXJ0aWNsZSI6IiJ9LHsiZmFtaWx5IjoiTcO8bGxlci1WYWhsIiwiZ2l2ZW4iOiJLIiwicGFyc2UtbmFtZXMiOmZhbHNlLCJkcm9wcGluZy1wYXJ0aWNsZSI6IiIsIm5vbi1kcm9wcGluZy1wYXJ0aWNsZSI6IiJ9XSwiY29udGFpbmVyLXRpdGxlIjoiU2NpIFJlcCIsIkRPSSI6IjEwLjEwMzgvczQxNTk4LTAyMy0zNzY1OC0wIiwiUE1JRCI6IjM3OTQ5OTMzIiwiaXNzdWVkIjp7ImRhdGUtcGFydHMiOltbMjAyM11dfSwicGFnZSI6IjE5NjI3IiwiYWJzdHJhY3QiOiJDb21wbGV4IHRpY3MgYW5kIG9ic2Vzc2l2ZSBvciBjb21wdWxzaXZlIGJlaGF2aW91ciBjYW4gYmUgZGlmZmljdWx0IHRvIGRpZmZlcmVudGlhdGUgZGlhZ25vc3RpY2FsbHkuIFRoZSBtYWpvcml0eSBvZiBhZHVsdCBwYXRpZW50cyB3aXRoIFRvdXJldHRlIHN5bmRyb21lIHJlcG9ydCBleHBlcmllbmNpbmcgcHJlbW9uaXRvcnkgdXJnZXMgYmVmb3JlIHRpY3MuIFNvbWUgb2YgdGhlc2UgZXhwZXJpZW5jZXMgaGF2ZSBiZWVuIGxpbmtlZCB0byBub24tanVzdC1yaWdodCBleHBlcmllbmNlcyAoTkpSRSksIHdoaWNoIGFyZSBmcmVxdWVudGx5IHJlcG9ydGVkIGJ5IHBhdGllbnRzIHdpdGggb2JzZXNzaXZlLWNvbXB1bHNpdmUgZGlzb3JkZXIgb3IgYmVoYXZpb3VycyAoT0NEL09DQikuIFdlIGFpbWVkIHRvIGFzc2VzcyB3aGV0aGVyIE5KUkUgYXJlIG1vcmUgY2xvc2VseSByZWxhdGVkIHRvIHRpY3MgYW5kIHRpYy1hc3NvY2lhdGVkIHByZW1vbml0b3J5IHVyZ2VzIG9yIHdoZXRoZXIgdGhleSBhcmUgbW9yZSBjbG9zZWx5IGFzc29jaWF0ZWQgd2l0aCBPQ0QuIEEgdG90YWwgb2YgTuKAiT3igIkxMTEgcGF0aWVudHMgKG1lYW4gYWdl4oCJPeKAiTM0Ljc34oCJK+KAiS8tMTIuOTM7IE7igIk94oCJMzcgZmVtYWxlKSB3aXRoIGEgY29uZmlybWVkIGRpYWdub3NpcyBvZiBUb3VyZXR0ZSBzeW5kcm9tZSBjb21wbGV0ZWQgdGhlIHByZW1vbml0b3J5IHVyZ2VzIGZvciB0aWMgZGlzb3JkZXJzIHNjYWxlIChQVVRTKSwgdGhlIHJldmlzZWQgbm9uLWp1c3QtcmlnaHQgZXhwZXJpZW5jZXMgc2NhbGUgKE5KUkUtUVIpLCBhbmQgcXVlc3Rpb25uYWlyZXMgcmVnYXJkaW5nIHRoZWlyIHRpYyBzZXZlcml0eSwgYW5kIGNvbW9yYmlkIE9DRC9PQ0IuIEEgbXVsdGktdHJhaXQtbXVsdGktbWV0aG9kcyBtYXRyaXggd2FzIGNhbGN1bGF0ZWQgdG8gZXhhbWluZSBhc3NvY2lhdGlvbnMgYW1vbmdzdCBzY2FsZXMgbWVhc3VyaW5nIHRpYy1yZWxhdGVkIGFuZCBPQ0ItcmVsYXRlZCBwaGVub21lbmEuIFRoZSBQVVRTIGNvcnJlbGF0ZWQgb3ZlcmFsbCBoaWdoZXIgd2l0aCB0aWMgcXVlc3Rpb25uYWlyZXMgdGhhbiB3aXRoIE9DRC9PQ0IgcXVlc3Rpb25uYWlyZXMuIFRoZSBOSlJFIGNvcnJlbGF0ZWQgaGlnaGVyIHdpdGggT0NEIHN5bXB0b21zIHRoYW4gd2l0aCB0aWMgc2V2ZXJpdHkuIFRoZSByZXN1bHRzIGluZGljYXRlIHRoYXQgbm9uLWp1c3QtcmlnaHQgZXhwZXJpZW5jZXMgYXJlIG1vcmUgY2xvc2VseSBhc3NvY2lhdGVkIHdpdGggY29tb3JiaWQgT0NCIHRoYW4gd2l0aCB0aWNzIGluIHBhdGllbnRzIHdpdGggVG91cmV0dGUgc3luZHJvbWUuIiwiaXNzdWUiOiIxIiwidm9sdW1lIjoiMTMiLCJjb250YWluZXItdGl0bGUtc2hvcnQiOiIifSwiaXNUZW1wb3JhcnkiOmZhbHNlfV19"/>
                <w:id w:val="-1140718972"/>
                <w:placeholder>
                  <w:docPart w:val="DefaultPlaceholder_-1854013440"/>
                </w:placeholder>
              </w:sdtPr>
              <w:sdtContent>
                <w:r w:rsidR="00F04E9F" w:rsidRPr="00F04E9F">
                  <w:rPr>
                    <w:rFonts w:cs="Times New Roman"/>
                    <w:color w:val="000000"/>
                    <w:sz w:val="16"/>
                    <w:szCs w:val="16"/>
                    <w:shd w:val="clear" w:color="auto" w:fill="FFFFFF"/>
                  </w:rPr>
                  <w:t>(40)</w:t>
                </w:r>
              </w:sdtContent>
            </w:sdt>
          </w:p>
        </w:tc>
        <w:tc>
          <w:tcPr>
            <w:tcW w:w="0" w:type="auto"/>
            <w:shd w:val="clear" w:color="auto" w:fill="FFFFFF"/>
            <w:hideMark/>
          </w:tcPr>
          <w:p w14:paraId="13037EA8"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and YGTSS-TTS / ATQ scores</w:t>
            </w:r>
          </w:p>
        </w:tc>
        <w:tc>
          <w:tcPr>
            <w:tcW w:w="0" w:type="auto"/>
            <w:shd w:val="clear" w:color="auto" w:fill="FFFFFF"/>
            <w:hideMark/>
          </w:tcPr>
          <w:p w14:paraId="081EA636"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111 adults with TS</w:t>
            </w:r>
          </w:p>
        </w:tc>
        <w:tc>
          <w:tcPr>
            <w:tcW w:w="0" w:type="auto"/>
            <w:shd w:val="clear" w:color="auto" w:fill="FFFFFF"/>
            <w:hideMark/>
          </w:tcPr>
          <w:p w14:paraId="1ADB1B6B"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Significant correlations found between PUTS scores and both YGTSS-TTS (Spearman’s r = 0.20, p &lt; 0.001) and ATQ scores (r = 0.34, p &lt; 0.001)</w:t>
            </w:r>
          </w:p>
          <w:p w14:paraId="62B79B61" w14:textId="77777777" w:rsidR="00986E35" w:rsidRPr="008A1F40" w:rsidRDefault="00986E35" w:rsidP="007F77D2">
            <w:pPr>
              <w:rPr>
                <w:rFonts w:cs="Times New Roman"/>
                <w:color w:val="000000" w:themeColor="text1"/>
                <w:sz w:val="16"/>
                <w:szCs w:val="16"/>
                <w:shd w:val="clear" w:color="auto" w:fill="FFFFFF"/>
              </w:rPr>
            </w:pPr>
          </w:p>
          <w:p w14:paraId="38D0CB54" w14:textId="77777777" w:rsidR="00986E35" w:rsidRPr="008A1F40" w:rsidRDefault="00986E35" w:rsidP="007F77D2">
            <w:pPr>
              <w:rPr>
                <w:rFonts w:cs="Times New Roman"/>
                <w:color w:val="000000" w:themeColor="text1"/>
                <w:sz w:val="16"/>
                <w:szCs w:val="16"/>
                <w:shd w:val="clear" w:color="auto" w:fill="FFFFFF"/>
              </w:rPr>
            </w:pPr>
          </w:p>
        </w:tc>
      </w:tr>
      <w:tr w:rsidR="005845AF" w:rsidRPr="008A1F40" w14:paraId="31E00A24" w14:textId="77777777" w:rsidTr="007F77D2">
        <w:trPr>
          <w:tblCellSpacing w:w="15" w:type="dxa"/>
        </w:trPr>
        <w:tc>
          <w:tcPr>
            <w:tcW w:w="0" w:type="auto"/>
            <w:shd w:val="clear" w:color="auto" w:fill="FFFFFF"/>
          </w:tcPr>
          <w:p w14:paraId="70C687BA" w14:textId="04422A24" w:rsidR="00986E35" w:rsidRPr="008A1F40" w:rsidRDefault="00986E35" w:rsidP="007F77D2">
            <w:pPr>
              <w:rPr>
                <w:rFonts w:cs="Times New Roman"/>
                <w:color w:val="000000" w:themeColor="text1"/>
                <w:sz w:val="16"/>
                <w:szCs w:val="16"/>
                <w:shd w:val="clear" w:color="auto" w:fill="FFFFFF"/>
              </w:rPr>
            </w:pPr>
            <w:r w:rsidRPr="008A1F40">
              <w:rPr>
                <w:rFonts w:eastAsia="Times New Roman" w:cs="Times New Roman"/>
                <w:color w:val="000000" w:themeColor="text1"/>
                <w:sz w:val="16"/>
                <w:szCs w:val="16"/>
              </w:rPr>
              <w:t>Woods et al (2005)</w:t>
            </w:r>
            <w:r w:rsidR="005845AF">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OGQ1OGJiYzYtNzMzMC00YmY0LTkyMGMtOTg1MzRkOTU0MjBkIiwicHJvcGVydGllcyI6eyJub3RlSW5kZXgiOjB9LCJpc0VkaXRlZCI6ZmFsc2UsIm1hbnVhbE92ZXJyaWRlIjp7ImlzTWFudWFsbHlPdmVycmlkZGVuIjpmYWxzZSwiY2l0ZXByb2NUZXh0IjoiKDIpIiwibWFudWFsT3ZlcnJpZGVUZXh0IjoiIn0sImNpdGF0aW9uSXRlbXMiOlt7ImlkIjoiNjcyM2VkNzQtMGQ1Ny0zYTZhLWIwMzEtODVkN2Y4N2Q5NTVmIiwiaXRlbURhdGEiOnsidHlwZSI6ImFydGljbGUtam91cm5hbCIsImlkIjoiNjcyM2VkNzQtMGQ1Ny0zYTZhLWIwMzEtODVkN2Y4N2Q5NTVmIiwidGl0bGUiOiJQcmVtb25pdG9yeSBVcmdlIGZvciBUaWNzIFNjYWxlIChQVVRTKTogaW5pdGlhbCBwc3ljaG9tZXRyaWMgcmVzdWx0cyBhbmQgZXhhbWluYXRpb24gb2YgdGhlIHByZW1vbml0b3J5IHVyZ2UgcGhlbm9tZW5vbiBpbiB5b3V0aHMgd2l0aCBUaWMgZGlzb3JkZXJzIiwiZ3JvdXBJZCI6IjA3ZDYyYWMxLTVhYTgtMzlhZi1iNDllLTUyZDIwODhhYzU3MSIsImF1dGhvciI6W3siZmFtaWx5IjoiV29vZHMiLCJnaXZlbiI6IkQgVyIsInBhcnNlLW5hbWVzIjpmYWxzZSwiZHJvcHBpbmctcGFydGljbGUiOiIiLCJub24tZHJvcHBpbmctcGFydGljbGUiOiIifSx7ImZhbWlseSI6IlBpYWNlbnRpbmkiLCJnaXZlbiI6IkoiLCJwYXJzZS1uYW1lcyI6ZmFsc2UsImRyb3BwaW5nLXBhcnRpY2xlIjoiIiwibm9uLWRyb3BwaW5nLXBhcnRpY2xlIjoiIn0seyJmYW1pbHkiOiJIaW1sZSIsImdpdmVuIjoiTSBCIiwicGFyc2UtbmFtZXMiOmZhbHNlLCJkcm9wcGluZy1wYXJ0aWNsZSI6IiIsIm5vbi1kcm9wcGluZy1wYXJ0aWNsZSI6IiJ9LHsiZmFtaWx5IjoiQ2hhbmciLCJnaXZlbiI6IlMiLCJwYXJzZS1uYW1lcyI6ZmFsc2UsImRyb3BwaW5nLXBhcnRpY2xlIjoiIiwibm9uLWRyb3BwaW5nLXBhcnRpY2xlIjoiIn1dLCJjb250YWluZXItdGl0bGUiOiJKIERldiBCZWhhdiBQZWRpYXRyIiwiRE9JIjoiMTAuMTA5Ny8wMDAwNDcwMy0yMDA1MTIwMDAtMDAwMDEiLCJQTUlEIjoiMTYzNDQ2NTQiLCJpc3N1ZWQiOnsiZGF0ZS1wYXJ0cyI6W1syMDA1XV19LCJwYWdlIjoiMzk3LTQwMyIsImFic3RyYWN0IjoiQWx0aG91Z2ggbW90b3IgdGljcyBhbmQvb3Igdm9jYWwgdGljcyBhcmUgdGhlIGRlZmluaW5nIGZlYXR1cmVzIG9mIGNocm9uaWMgdGljIGRpc29yZGVyIChDVEQpIGFuZCBUb3VyZXR0ZSBzeW5kcm9tZSAoVFMpLCBvbGRlciB5b3V0aHMgYW5kIGFkdWx0cyBvZnRlbiByZXBvcnQgdGhlaXIgdGljcyB0byBiZSBwcmVjZWRlZCBieSBhbiB1bnBsZWFzYW50IHNlbnNhdGlvbiBvciBcInByZW1vbml0b3J5IHVyZ2UuXCIgV2hpbGUgcHJlbW9uaXRvcnkgdXJnZSBwaGVub21lbmEgbWF5IHBsYXkgYW4gaW1wb3J0YW50IHJvbGUgaW4gYmVoYXZpb3JhbCBpbnRlcnZlbnRpb25zIGZvciBDVEQvVFMsIHN0YW5kYXJkaXplZCBhc3Nlc3NtZW50cyBmb3IgcHJlbW9uaXRvcnkgdXJnZXMgZG8gbm90IGV4aXN0LiBUaGUgY3VycmVudCBzdHVkeSBvZiA0MiB5b3V0aHMgd2l0aCBUUyBvciBDVEQgcHJlc2VudHMgaW5pdGlhbCBwc3ljaG9tZXRyaWMgZGF0YSBmb3IgYSBuZXcsIGJyaWVmIHNlbGYtcmVwb3J0IHNjYWxlIGRlc2lnbmVkIHRvIG1lYXN1cmUgdGljLXJlbGF0ZWQgcHJlbW9uaXRvcnkgdXJnZXMuIFJlc3VsdHMgc2hvd2VkIHRoYXQgdGhlIFByZW1vbml0b3J5IFVyZ2UgZm9yIFRpY3MgU2NhbGUgKFBVVFMpIHdhcyBpbnRlcm5hbGx5IGNvbnNpc3RlbnQgKGFscGhhID0gLjgxKSBhbmQgdGVtcG9yYWxseSBzdGFibGUgYXQgMSAociA9IDAuNzksIHAgPCAuMDEpIGFuZCAyIChyID0gMC44NiwgcCA8IC4wMSkgd2Vla3MuIFBVVFMgc2NvcmVzIHdlcmUgYWxzbyBjb3JyZWxhdGVkIHdpdGggb3ZlcmFsbCB0aWMgc2V2ZXJpdHkgYXMgbWVhc3VyZWQgYnkgdGhlIFlhbGUgR2xvYmFsIFRpYyBTZXZlcml0eSBTY2FsZSAoWUdUU1M7IHIgPSAwLjMxLCBwIDwgLjA1KSBhbmQgdGhlIFlHVFNTIG51bWJlciAociA9IDAuMzUsIHAgPCAuMDUpLCBjb21wbGV4aXR5IChyID0gMC40OSwgcCA8IC4wMSksIGFuZCBpbnRlcmZlcmVuY2UgKHIgPSAwLjM2LCBwIDwgLjA1KSBzdWJzY2FsZXMuIEZpbmFsbHksIGFuIGV4YW1pbmF0aW9uIG9mIHRoZSBwc3ljaGlhdHJpYyBjb3JyZWxhdGVzIG9mIHRoZSBwcmVtb25pdG9yeSB1cmdlIHBoZW5vbWVub24geWllbGRlZCBzaWduaWZpY2FudCBjb3JyZWxhdGlvbnMgYmV0d2VlbiB0aGUgUFVUUyBhbmQgdGhlIENoaWxkIEJlaGF2aW9yIENoZWNrbGlzdCAoQ0JDTCkgYW54aWV0eS9kZXByZXNzaW9uIChyID0gMC4zMywgcCA8IC4wNSksIGFuZCB3aXRoZHJhd2FsIChyID0gMC4zOCwgcCA8IC4wNSkgc3Vic2NhbGVzIGFzIHdlbGwgYXMgdGhlIENoaWxkcmVuJ3MgWWFsZS1Ccm93biBPYnNlc3NpdmUgQ29tcHVsc2l2ZSBTY2FsZSAoQ1lCT0NTOyByID0gMC4zMSwgcCA8IC4wNSkuIEhvd2V2ZXIsIGEgY3Jvc3Mtc2VjdGlvbmFsIGV4YW1pbmF0aW9uIG9mIHRoZSBkYXRhIHNob3dlZCB0aGF0IHRoZSBwc3ljaG9tZXRyaWMgcHJvcGVydGllcyBvZiB0aGUgUFVUUyB3ZXJlIG5vdCBhY2NlcHRhYmxlIGZvciB5b3V0aHMgMTAgeWVhcnMgb2YgYWdlIGFuZCB5b3VuZ2VyLiBMaWtld2lzZSwgc2lnbmlmaWNhbnQgY29ycmVsYXRpb25zIGZvdW5kIGJldHdlZW4gdGhlIFlHVFNTIHN1YnNjYWxlcywgQ0JDTCBzdWJzY2FsZXMsIENZQk9DUywgYW5kIHRoZSBQVVRTIGRpZCBub3QgZW1lcmdlIGluIHRoaXMgeW91bmdlciBhZ2UgZ3JvdXAuIFRoZSBjbGluaWNhbCBhbmQgdGhlb3JldGljYWwgaW1wbGljYXRpb25zIG9mIHRoZXNlIGZpbmRpbmdzIGFyZSBkaXNjdXNzZWQuIiwiaXNzdWUiOiI2Iiwidm9sdW1lIjoiMjYiLCJjb250YWluZXItdGl0bGUtc2hvcnQiOiIifSwiaXNUZW1wb3JhcnkiOmZhbHNlfV19"/>
                <w:id w:val="1436864555"/>
                <w:placeholder>
                  <w:docPart w:val="DefaultPlaceholder_-1854013440"/>
                </w:placeholder>
              </w:sdtPr>
              <w:sdtContent>
                <w:r w:rsidR="00F04E9F" w:rsidRPr="00F04E9F">
                  <w:rPr>
                    <w:rFonts w:eastAsia="Times New Roman" w:cs="Times New Roman"/>
                    <w:color w:val="000000"/>
                    <w:sz w:val="16"/>
                    <w:szCs w:val="16"/>
                  </w:rPr>
                  <w:t>(2)</w:t>
                </w:r>
              </w:sdtContent>
            </w:sdt>
          </w:p>
        </w:tc>
        <w:tc>
          <w:tcPr>
            <w:tcW w:w="0" w:type="auto"/>
            <w:shd w:val="clear" w:color="auto" w:fill="FFFFFF"/>
          </w:tcPr>
          <w:p w14:paraId="0B51EA54" w14:textId="77777777" w:rsidR="00986E35" w:rsidRPr="008A1F40" w:rsidRDefault="00986E35" w:rsidP="007F77D2">
            <w:pPr>
              <w:rPr>
                <w:rFonts w:cs="Times New Roman"/>
                <w:color w:val="000000" w:themeColor="text1"/>
                <w:sz w:val="16"/>
                <w:szCs w:val="16"/>
                <w:shd w:val="clear" w:color="auto" w:fill="FFFFFF"/>
              </w:rPr>
            </w:pPr>
            <w:r w:rsidRPr="008A1F40">
              <w:rPr>
                <w:rFonts w:eastAsia="Times New Roman" w:cs="Times New Roman"/>
                <w:color w:val="000000" w:themeColor="text1"/>
                <w:sz w:val="16"/>
                <w:szCs w:val="16"/>
              </w:rPr>
              <w:t>PUTS scores vs. YGTSS-TTS scores</w:t>
            </w:r>
          </w:p>
        </w:tc>
        <w:tc>
          <w:tcPr>
            <w:tcW w:w="0" w:type="auto"/>
            <w:shd w:val="clear" w:color="auto" w:fill="FFFFFF"/>
          </w:tcPr>
          <w:p w14:paraId="60974073" w14:textId="77777777" w:rsidR="00986E35" w:rsidRPr="008A1F40" w:rsidRDefault="00986E35" w:rsidP="007F77D2">
            <w:pPr>
              <w:rPr>
                <w:rFonts w:cs="Times New Roman"/>
                <w:color w:val="000000" w:themeColor="text1"/>
                <w:sz w:val="16"/>
                <w:szCs w:val="16"/>
                <w:shd w:val="clear" w:color="auto" w:fill="FFFFFF"/>
              </w:rPr>
            </w:pPr>
            <w:r w:rsidRPr="008A1F40">
              <w:rPr>
                <w:rFonts w:eastAsia="Times New Roman" w:cs="Times New Roman"/>
                <w:color w:val="000000" w:themeColor="text1"/>
                <w:sz w:val="16"/>
                <w:szCs w:val="16"/>
              </w:rPr>
              <w:t>Children older than 10 years old (n = 23), and ≤10 years (n = 19) with CTDs</w:t>
            </w:r>
          </w:p>
        </w:tc>
        <w:tc>
          <w:tcPr>
            <w:tcW w:w="0" w:type="auto"/>
            <w:shd w:val="clear" w:color="auto" w:fill="FFFFFF"/>
          </w:tcPr>
          <w:p w14:paraId="259074DD" w14:textId="77777777" w:rsidR="00986E35" w:rsidRPr="008A1F40" w:rsidRDefault="00986E35" w:rsidP="007F77D2">
            <w:pPr>
              <w:rPr>
                <w:rFonts w:cs="Times New Roman"/>
                <w:color w:val="000000" w:themeColor="text1"/>
                <w:sz w:val="16"/>
                <w:szCs w:val="16"/>
                <w:shd w:val="clear" w:color="auto" w:fill="FFFFFF"/>
              </w:rPr>
            </w:pPr>
            <w:r w:rsidRPr="008A1F40">
              <w:rPr>
                <w:rFonts w:eastAsia="Times New Roman" w:cs="Times New Roman"/>
                <w:color w:val="000000" w:themeColor="text1"/>
                <w:sz w:val="16"/>
                <w:szCs w:val="16"/>
              </w:rPr>
              <w:t>Significant correlation between PUTS and YGTSS-TTS scores in participants older than 10 (Pearson’s r = 0.52, p &lt; 0.05), but not significant in participants 10 years and younger (Pearson’s r = -0.25, p &gt; 0.05).</w:t>
            </w:r>
          </w:p>
        </w:tc>
      </w:tr>
      <w:tr w:rsidR="005845AF" w:rsidRPr="008A1F40" w14:paraId="6AA52EF9" w14:textId="77777777" w:rsidTr="007F77D2">
        <w:trPr>
          <w:tblCellSpacing w:w="15" w:type="dxa"/>
        </w:trPr>
        <w:tc>
          <w:tcPr>
            <w:tcW w:w="0" w:type="auto"/>
            <w:shd w:val="clear" w:color="auto" w:fill="FFFFFF"/>
          </w:tcPr>
          <w:p w14:paraId="7AF1E855" w14:textId="6568DA9E"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Raines et al (2018)</w:t>
            </w:r>
            <w:r w:rsidR="005845AF">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MzNhMjA5N2QtYmJlMC00NGFjLTg5MDUtZjQ3Y2IzN2UwYmNmIiwicHJvcGVydGllcyI6eyJub3RlSW5kZXgiOjB9LCJpc0VkaXRlZCI6ZmFsc2UsIm1hbnVhbE92ZXJyaWRlIjp7ImlzTWFudWFsbHlPdmVycmlkZGVuIjpmYWxzZSwiY2l0ZXByb2NUZXh0IjoiKDUpIiwibWFudWFsT3ZlcnJpZGVUZXh0IjoiIn0sImNpdGF0aW9uSXRlbXMiOlt7ImlkIjoiZDE3NDM1MmUtNmJkMS0zMzVlLTg2ZDUtMjE2Yjg2NDNjZTdmIiwiaXRlbURhdGEiOnsidHlwZSI6ImFydGljbGUtam91cm5hbCIsImlkIjoiZDE3NDM1MmUtNmJkMS0zMzVlLTg2ZDUtMjE2Yjg2NDNjZTdmIiwidGl0bGUiOiJQcmVtb25pdG9yeSBVcmdlIGZvciBUaWNzIFNjYWxlIChQVVRTKTogcmVwbGljYXRpb24gYW5kIGV4dGVuc2lvbiBvZiBwc3ljaG9tZXRyaWMgcHJvcGVydGllcyBpbiB5b3V0aCB3aXRoIGNocm9uaWMgdGljIGRpc29yZGVycyAoQ1REcykiLCJncm91cElkIjoiMDdkNjJhYzEtNWFhOC0zOWFmLWI0OWUtNTJkMjA4OGFjNTcxIiwiYXV0aG9yIjpbeyJmYW1pbHkiOiJSYWluZXMiLCJnaXZlbiI6IkogTSIsInBhcnNlLW5hbWVzIjpmYWxzZSwiZHJvcHBpbmctcGFydGljbGUiOiIiLCJub24tZHJvcHBpbmctcGFydGljbGUiOiIifSx7ImZhbWlseSI6IkVkd2FyZHMiLCJnaXZlbiI6IksgUiIsInBhcnNlLW5hbWVzIjpmYWxzZSwiZHJvcHBpbmctcGFydGljbGUiOiIiLCJub24tZHJvcHBpbmctcGFydGljbGUiOiIifSx7ImZhbWlseSI6IlNoZXJtYW4iLCJnaXZlbiI6Ik0gRiIsInBhcnNlLW5hbWVzIjpmYWxzZSwiZHJvcHBpbmctcGFydGljbGUiOiIiLCJub24tZHJvcHBpbmctcGFydGljbGUiOiIifSx7ImZhbWlseSI6IkhpZ2dpbnNvbiIsImdpdmVuIjoiQyBJIiwicGFyc2UtbmFtZXMiOmZhbHNlLCJkcm9wcGluZy1wYXJ0aWNsZSI6IiIsIm5vbi1kcm9wcGluZy1wYXJ0aWNsZSI6IiJ9LHsiZmFtaWx5IjoiV2lubmljayIsImdpdmVuIjoiSiBCIiwicGFyc2UtbmFtZXMiOmZhbHNlLCJkcm9wcGluZy1wYXJ0aWNsZSI6IiIsIm5vbi1kcm9wcGluZy1wYXJ0aWNsZSI6IiJ9LHsiZmFtaWx5IjoiTmF2aW4iLCJnaXZlbiI6IksiLCJwYXJzZS1uYW1lcyI6ZmFsc2UsImRyb3BwaW5nLXBhcnRpY2xlIjoiIiwibm9uLWRyb3BwaW5nLXBhcnRpY2xlIjoiIn0seyJmYW1pbHkiOiJHZXR0aW5ncyIsImdpdmVuIjoiSiBNIiwicGFyc2UtbmFtZXMiOmZhbHNlLCJkcm9wcGluZy1wYXJ0aWNsZSI6IiIsIm5vbi1kcm9wcGluZy1wYXJ0aWNsZSI6IiJ9LHsiZmFtaWx5IjoiQ29udGVoIiwiZ2l2ZW4iOiJGIiwicGFyc2UtbmFtZXMiOmZhbHNlLCJkcm9wcGluZy1wYXJ0aWNsZSI6IiIsIm5vbi1kcm9wcGluZy1wYXJ0aWNsZSI6IiJ9LHsiZmFtaWx5IjoiQmVubmV0dCIsImdpdmVuIjoiUyBNIiwicGFyc2UtbmFtZXMiOmZhbHNlLCJkcm9wcGluZy1wYXJ0aWNsZSI6IiIsIm5vbi1kcm9wcGluZy1wYXJ0aWNsZSI6IiJ9LHsiZmFtaWx5IjoiU3BlY2h0IiwiZ2l2ZW4iOiJNIFciLCJwYXJzZS1uYW1lcyI6ZmFsc2UsImRyb3BwaW5nLXBhcnRpY2xlIjoiIiwibm9uLWRyb3BwaW5nLXBhcnRpY2xlIjoiIn1dLCJjb250YWluZXItdGl0bGUiOiJKIE5ldXJhbCBUcmFuc20gKFZpZW5uYSkiLCJET0kiOiIxMC4xMDA3L3MwMDcwMi0wMTctMTgxOC00IiwiUE1JRCI6IjI5MTg1MDc3IiwiVVJMIjoiaHR0cHM6Ly9saW5rLnNwcmluZ2VyLmNvbS9hcnRpY2xlLzEwLjEwMDcvczAwNzAyLTAxNy0xODE4LTQiLCJpc3N1ZWQiOnsiZGF0ZS1wYXJ0cyI6W1syMDE4XV19LCJwYWdlIjoiNzI3LTczNCIsImFic3RyYWN0IjoiSW5kaXZpZHVhbHMgd2l0aCBjaHJvbmljIHRpYyBkaXNvcmRlcnMgKENURHMpIGZyZXF1ZW50bHkgZGVzY3JpYmUgYXZlcnNpdmUgc3ViamVjdGl2ZSBzZW5zb3J5IHNlbnNhdGlvbnMgdGhhdCBwcmVjZWRlIHRoZWlyIHRpY3MuIFRoZSBmaXJzdCBhaW0gb2YgdGhlIHByZXNlbnQgc3R1ZHkgd2FzIHRvIGV4cGxvcmUgdGhlIHBzeWNob21ldHJpYyBwcm9wZXJ0aWVzIG9mIGEgc3RhbmRhcmRpemVkIHNlbGYtcmVwb3J0IG1lYXN1cmUgdG8gYXNzZXNzIHByZW1vbml0b3J5IHVyZ2VzIGluIENURHMsIFRoZSBQcmVtb25pdG9yeSBVcmdlIGZvciBUaWNzIFNjYWxlIChQVVRTKSwgYnkgcmVwbGljYXRpbmcgdGhlIGFuYWx5c2VzIG9mIFdvb2RzIGV0IGFsLiAoSiBEZXYgQmVoYXYgUGVkaWF0ciAyNjozOTctNDAzLCAyMDA1KSB1c2luZyBhIHNhbXBsZSB0d2ljZSB0aGUgc2l6ZSBvZiB0aGVpcnMuIFRoZSBzZWNvbmQgYWltIHdhcyB0byBjb25kdWN0IGFuIGV4cGxvcmF0b3J5IGZhY3RvciBhbmFseXNpcyBvZiB0aGUgUFVUUy4gRWlnaHR5LWZvdXIgeW91dGggd2l0aCBDVERzLCByZWNydWl0ZWQgZnJvbSBhIHBlZGlhdHJpYyBPQ0QgYW5kIHRpYyBzcGVjaWFsdHkgY2xpbmljLCBjb21wbGV0ZWQgdGhlIFBVVFMgd2hpbGUgdGhlaXIgY2FyZWdpdmVycyBjb21wbGV0ZWQgVGhlIFBhcmVudCBUaWMgUXVlc3Rpb25uYWlyZSAoUFRRKSBhbmQgYSBkZW1vZ3JhcGhpYyBtZWFzdXJlLiBDb25zaXN0ZW50IHdpdGggKFdvb2RzIGV0IGFsLiBKIERldiBCZWhhdiBQZWRpYXRyIDI2OjM5Ny00MDMsIDIwMDUpLCB0aGUgUFVUUyB3YXMgZm91bmQgdG8gYmUgaW50ZXJuYWxseSBjb25zaXN0ZW50ICjOscKgPcKgMC44MikgYW5kIHNpZ25pZmljYW50bHkgY29ycmVsYXRlZCB3aXRoIG92ZXJhbGwgdGljIHNldmVyaXR5IGFzIG1lYXN1cmVkIGJ5IHRoZSBQVFEgKHLCoD3CoDAuMjQsIHDCoDzCoDAuMDUpIGFzIHdlbGwgYXMgdGhlIFBUUSBudW1iZXIgKHLCoD3CoDAuMzQsIHDCoDzCoDAuMDEpIGFuZCBpbnRlbnNpdHkgKHLCoD3CoDAuMjQsIHDCoDzCoDAuMDUpIHN1YnNjYWxlcy4gQSBmYWN0b3ItYW5hbHlzaXMgb2YgdGhlIFBVVFMgcmV2ZWFsZWQgYSB0d28tZmFjdG9yIHNvbHV0aW9uIHdpdGggb25lIGZhY3RvciBjYXB0dXJpbmcgdGhlIHF1YWxpdHkgb2YgcHJlbW9uaXRvcnkgc2Vuc2F0aW9ucyB3aGlsZSB0aGUgb3RoZXIgZmFjdG9yIGFzc2Vzc2VkIHRoZSBvdmVyYWxsIGludGVuc2l0eSBvZiB0aGUgdXJnZXMuIFRoZXNlIHJlc3VsdHMgc3VwcG9ydCB0aGUgdXNlIG9mIHRoZSBQVVRTIGluIHJlbGlhYmx5IG1lYXN1cmluZyBwcmVtb25pdG9yeSB1cmdlcywgcGFydGljdWxhcmx5IGluIGNoaWxkcmVuIG92ZXIgdGhlIGFnZSBvZiAxMMKgeWVhcnMuIEFkZGl0aW9uYWxseSwgdGhlc2UgZmluZGluZ3MgaGlnaGxpZ2h0IHRoYXQgdXJnZXMgYXJlIHVuaWZvcm1seSByZXBvcnRlZCBhY3Jvc3MgZ2VuZGVyIGFuZCBhZ2UgYW5kIGFyZSBtb3JlIGNsb3NlbHkgYXNzb2NpYXRlZCB3aXRoIG51bWJlciBvZiB0aWNzIHRoYW4gdGhlIGZyZXF1ZW5jeSBvciBpbnRlbnNpdHkgb2YgdGljcy4iLCJpc3N1ZSI6IjQiLCJ2b2x1bWUiOiIxMjUiLCJjb250YWluZXItdGl0bGUtc2hvcnQiOiIifSwiaXNUZW1wb3JhcnkiOmZhbHNlfV19"/>
                <w:id w:val="-846558431"/>
                <w:placeholder>
                  <w:docPart w:val="DefaultPlaceholder_-1854013440"/>
                </w:placeholder>
              </w:sdtPr>
              <w:sdtContent>
                <w:r w:rsidR="00F04E9F" w:rsidRPr="00F04E9F">
                  <w:rPr>
                    <w:rFonts w:eastAsia="Times New Roman" w:cs="Times New Roman"/>
                    <w:color w:val="000000"/>
                    <w:sz w:val="16"/>
                    <w:szCs w:val="16"/>
                  </w:rPr>
                  <w:t>(5)</w:t>
                </w:r>
              </w:sdtContent>
            </w:sdt>
          </w:p>
        </w:tc>
        <w:tc>
          <w:tcPr>
            <w:tcW w:w="0" w:type="auto"/>
            <w:shd w:val="clear" w:color="auto" w:fill="FFFFFF"/>
          </w:tcPr>
          <w:p w14:paraId="2D6AFC3E"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PUTS scores vs. PTQ</w:t>
            </w:r>
          </w:p>
        </w:tc>
        <w:tc>
          <w:tcPr>
            <w:tcW w:w="0" w:type="auto"/>
            <w:shd w:val="clear" w:color="auto" w:fill="FFFFFF"/>
          </w:tcPr>
          <w:p w14:paraId="7C5B97A2"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Children/young adults older than 10 years old (n = 50), and children ≤10 years (n = 34) with CTDs</w:t>
            </w:r>
          </w:p>
        </w:tc>
        <w:tc>
          <w:tcPr>
            <w:tcW w:w="0" w:type="auto"/>
            <w:shd w:val="clear" w:color="auto" w:fill="FFFFFF"/>
          </w:tcPr>
          <w:p w14:paraId="60D51C22"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PUTS scores correlated with PTQ number of tics subscale in both age groups (≤10 years: Pearson’s r = 0.38, p &lt; 0.05; &gt;10 years: Pearson’s r = 0.31, p &lt; 0.05). No other PTQ subscale significantly correlated with PUTS scores in either subgroup.</w:t>
            </w:r>
          </w:p>
        </w:tc>
      </w:tr>
      <w:tr w:rsidR="005845AF" w:rsidRPr="008A1F40" w14:paraId="2C1ACD80" w14:textId="77777777" w:rsidTr="007F77D2">
        <w:trPr>
          <w:tblCellSpacing w:w="15" w:type="dxa"/>
        </w:trPr>
        <w:tc>
          <w:tcPr>
            <w:tcW w:w="0" w:type="auto"/>
            <w:shd w:val="clear" w:color="auto" w:fill="FFFFFF"/>
          </w:tcPr>
          <w:p w14:paraId="5E07F281" w14:textId="16AD8443"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Steinberg et al (2010)</w:t>
            </w:r>
            <w:r w:rsidR="005845A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DRhMWUwZDktYmU3Ny00NTg5LTkzZmItZjZmMDgyNmZmN2IzIiwicHJvcGVydGllcyI6eyJub3RlSW5kZXgiOjB9LCJpc0VkaXRlZCI6ZmFsc2UsIm1hbnVhbE92ZXJyaWRlIjp7ImlzTWFudWFsbHlPdmVycmlkZGVuIjpmYWxzZSwiY2l0ZXByb2NUZXh0IjoiKDMpIiwibWFudWFsT3ZlcnJpZGVUZXh0IjoiIn0sImNpdGF0aW9uSXRlbXMiOlt7ImlkIjoiODE4ODlmYmUtY2I0Zi0zMTQ2LWJlNWMtY2ViYWRjZjFiZmFhIiwiaXRlbURhdGEiOnsidHlwZSI6ImFydGljbGUtam91cm5hbCIsImlkIjoiODE4ODlmYmUtY2I0Zi0zMTQ2LWJlNWMtY2ViYWRjZjFiZmFhIiwidGl0bGUiOiJUaWMgZGlzb3JkZXJzIGFuZCB0aGUgcHJlbW9uaXRvcnkgdXJnZSIsImdyb3VwSWQiOiIwN2Q2MmFjMS01YWE4LTM5YWYtYjQ5ZS01MmQyMDg4YWM1NzEiLCJhdXRob3IiOlt7ImZhbWlseSI6IlN0ZWluYmVyZyIsImdpdmVuIjoiVCIsInBhcnNlLW5hbWVzIjpmYWxzZSwiZHJvcHBpbmctcGFydGljbGUiOiIiLCJub24tZHJvcHBpbmctcGFydGljbGUiOiIifSx7ImZhbWlseSI6IlNobXVlbCBCYXJ1Y2giLCJnaXZlbiI6IlMiLCJwYXJzZS1uYW1lcyI6ZmFsc2UsImRyb3BwaW5nLXBhcnRpY2xlIjoiIiwibm9uLWRyb3BwaW5nLXBhcnRpY2xlIjoiIn0seyJmYW1pbHkiOiJIYXJ1c2giLCJnaXZlbiI6IkEiLCJwYXJzZS1uYW1lcyI6ZmFsc2UsImRyb3BwaW5nLXBhcnRpY2xlIjoiIiwibm9uLWRyb3BwaW5nLXBhcnRpY2xlIjoiIn0seyJmYW1pbHkiOiJEYXIiLCJnaXZlbiI6IlIiLCJwYXJzZS1uYW1lcyI6ZmFsc2UsImRyb3BwaW5nLXBhcnRpY2xlIjoiIiwibm9uLWRyb3BwaW5nLXBhcnRpY2xlIjoiIn0seyJmYW1pbHkiOiJXb29kcyIsImdpdmVuIjoiRCIsInBhcnNlLW5hbWVzIjpmYWxzZSwiZHJvcHBpbmctcGFydGljbGUiOiIiLCJub24tZHJvcHBpbmctcGFydGljbGUiOiIifSx7ImZhbWlseSI6IlBpYWNlbnRpbmkiLCJnaXZlbiI6IkoiLCJwYXJzZS1uYW1lcyI6ZmFsc2UsImRyb3BwaW5nLXBhcnRpY2xlIjoiIiwibm9uLWRyb3BwaW5nLXBhcnRpY2xlIjoiIn0seyJmYW1pbHkiOiJBcHRlciIsImdpdmVuIjoiQSIsInBhcnNlLW5hbWVzIjpmYWxzZSwiZHJvcHBpbmctcGFydGljbGUiOiIiLCJub24tZHJvcHBpbmctcGFydGljbGUiOiIifV0sImNvbnRhaW5lci10aXRsZSI6IkogTmV1cmFsIFRyYW5zbSAoVmllbm5hKSIsIkRPSSI6IjEwLjEwMDcvczAwNzAyLTAwOS0wMzUzLTMiLCJQTUlEIjoiMjAwMzMyMzYiLCJVUkwiOiJodHRwczovL2xpbmsuc3ByaW5nZXIuY29tL2NvbnRlbnQvcGRmLzEwLjEwMDcvczAwNzAyLTAwOS0wMzUzLTMucGRmIiwiaXNzdWVkIjp7ImRhdGUtcGFydHMiOltbMjAxMF1dfSwicGFnZSI6IjI3Ny0yODQiLCJhYnN0cmFjdCI6IlRoZSBhaW1zIG9mIHRoaXMgc3R1ZHkgd2VyZSB0byBleGFtaW5lIGEgbm9uLUVuZ2xpc2ggKEhlYnJldykgdmVyc2lvbiBvZiBhIHNjYWxlIHRoYXQgbWVhc3VyZXMgdGhlIHByZW1vbml0b3J5IHVyZ2UgaW4gY2hpbGRyZW4gc3VmZmVyaW5nIGZyb20gdGljIGRpc29yZGVyLCBhcyB3ZWxsIGFzIGV4YW1pbmUgdGhlIGNvcnJlbGF0aW9ucyBvZiB0aGUgdXJnZSB3aXRoIGRlbW9ncmFwaGljIGFuZCBjbGluaWNhbCBhc3BlY3RzIG9mIFRvdXJldHRlIFN5bmRyb21lLiBGb3J0eSBjaGlsZHJlbiBhbmQgYWRvbGVzY2VudHMsIHN1ZmZlcmluZyBmcm9tIHRpY3MgcGFydGljaXBhdGVkIGluIHRoaXMgc3R1ZHkuIFRoZXkgd2VyZSBhc3Nlc3NlZCB3aXRoIHRoZSBQcmVtb25pdG9yeSBVcmdlIGZvciBUaWNzIFNjYWxlIChQVVRTKTsgdGhlIFlhbGUgR2xvYmFsIFRpYyBTZXZlcml0eSBTY2FsZSAoWUdUU1MpOyB0aGUgQ2hpbGRob29kIFZlcnNpb24gb2YgdGhlIFlhbGUgQnJvd24gT2JzZXNzaXZlIENvbXB1bHNpdmUgU2NhbGUgKENZQk9DUyk7IHRoZSBBREhEIFJhdGluZyBTY2FsZSBJViAoQ29ubmVycykgU2NhbGU7IHRoZSBTY3JlZW4gZm9yIENoaWxkIEFueGlldHkgUmVsYXRlZCBFbW90aW9uYWwgRGlzb3JkZXJzIChTQ0FSRUQpOyBhbmQgdGhlIENoaWxkIERlcHJlc3Npb24gSW52ZW50b3J5IChDREkpLiBUaGUgbWVhbiBQVVRTIHNjb3JlIHdhcyAyMC4xNSAoU0QgPSA1Ljg5KS4gRm9yIHRoZSBlbnRpcmUgc2FtcGxlIHRoZSBQVVRTIHdhcyBmb3VuZCB0byBiZSBpbnRlcm5hbGx5IGNvbnNpc3RlbnQgYXQgYSA9IDAuNzkuIFlvdXRocyBvbGRlciB0aGFuIDEwIHllYXJzIGhhZCBoaWdoZXIgY29uc2lzdGVuY3kgKGEgPSAwLjgzKSB0aGFuIHlvdXRocyB5b3VuZ2VyIHRoYW4gMTAgKGEgPSAwLjY5KS4gUHJlbW9uaXRvcnkgdXJnZSB3YXMgbm90IGNvcnJlbGF0ZWQgd2l0aCB0aWMgc2V2ZXJpdHkgaW4gdGhlIGVudGlyZSBzYW1wbGUuIEluIHlvdXRocyBvbGRlciB0aGFuIDEwLCBhcyBvcHBvc2VkIHRvIHlvdXRocyB5b3VuZ2VyIHRoYW4gMTAsIHByZW1vbml0b3J5IHVyZ2UgZGlkIGNvcnJlbGF0ZSB3aXRoIG9ic2Vzc2lvbnMsIGNvbXB1bHNpb25zIGFuZCBkZXByZXNzaW9uLCBidXQgbm90IHdpdGggYW54aWV0eSBvciB3aXRoIEFESEQuIFRoZSBwcmVtb25pdG9yeSB1cmdlIGNhbiBiZSBtZWFzdXJlZCByZWxpYWJseSBhbmQgdGhlIFBVVFMgaXMgYSB1c2VmdWwgaW5zdHJ1bWVudCBmb3IgbWVhc3VyaW5nIHRoaXMgaW1wb3J0YW50IHBoZW5vbWVuYS4gUHJlbW9uaXRvcnkgdXJnZXMgc2VlbXMgdG8gYmUgcmVsYXRlZCB0byBvYnNlc3Npb25zLCBjb21wdWxzaW9ucywgYW5kIGRlcHJlc3Npb24gaW4gb2xkZXIgY2hpbGRyZW4gYW5kIHRoaXMgbWF5IGhhdmUgaW1wbGljYXRpb25zIGZvciB0aGUgZGV2ZWxvcG1lbnRhbCBwc3ljaG9wYXRob2xneSBvZiB0aGVzZSBzeW1wdG9tcy4iLCJpc3N1ZSI6IjIiLCJ2b2x1bWUiOiIxMTciLCJjb250YWluZXItdGl0bGUtc2hvcnQiOiIifSwiaXNUZW1wb3JhcnkiOmZhbHNlfV19"/>
                <w:id w:val="806361157"/>
                <w:placeholder>
                  <w:docPart w:val="DefaultPlaceholder_-1854013440"/>
                </w:placeholder>
              </w:sdtPr>
              <w:sdtContent>
                <w:r w:rsidR="00F04E9F" w:rsidRPr="00F04E9F">
                  <w:rPr>
                    <w:rFonts w:eastAsia="Times New Roman" w:cs="Times New Roman"/>
                    <w:color w:val="000000"/>
                    <w:sz w:val="16"/>
                    <w:szCs w:val="16"/>
                  </w:rPr>
                  <w:t>(3)</w:t>
                </w:r>
              </w:sdtContent>
            </w:sdt>
          </w:p>
        </w:tc>
        <w:tc>
          <w:tcPr>
            <w:tcW w:w="0" w:type="auto"/>
            <w:shd w:val="clear" w:color="auto" w:fill="FFFFFF"/>
          </w:tcPr>
          <w:p w14:paraId="71EF15DA"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PUTS scores vs. YGTSS-TTS scores</w:t>
            </w:r>
          </w:p>
        </w:tc>
        <w:tc>
          <w:tcPr>
            <w:tcW w:w="0" w:type="auto"/>
            <w:shd w:val="clear" w:color="auto" w:fill="FFFFFF"/>
          </w:tcPr>
          <w:p w14:paraId="7C2647F9"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Children older than 10 years old (n = 22), and</w:t>
            </w:r>
          </w:p>
          <w:p w14:paraId="63A41E5B"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≤10 years (n = 18) with CTDs</w:t>
            </w:r>
          </w:p>
        </w:tc>
        <w:tc>
          <w:tcPr>
            <w:tcW w:w="0" w:type="auto"/>
            <w:shd w:val="clear" w:color="auto" w:fill="FFFFFF"/>
          </w:tcPr>
          <w:p w14:paraId="2A2D6F7D"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PUTS scores did not correlate with YGTSS-TTS scores in participants ≤10 years (r = -0.09) or &gt;10 years (r = 0.04) (correlation type unclear from publication)</w:t>
            </w:r>
          </w:p>
        </w:tc>
      </w:tr>
      <w:tr w:rsidR="005845AF" w:rsidRPr="008A1F40" w14:paraId="19B8AAA8" w14:textId="77777777" w:rsidTr="007F77D2">
        <w:trPr>
          <w:tblCellSpacing w:w="15" w:type="dxa"/>
        </w:trPr>
        <w:tc>
          <w:tcPr>
            <w:tcW w:w="0" w:type="auto"/>
            <w:shd w:val="clear" w:color="auto" w:fill="FFFFFF"/>
          </w:tcPr>
          <w:p w14:paraId="1B4A7F18" w14:textId="4F319C4B"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Kyriazi et al (2019)</w:t>
            </w:r>
            <w:r w:rsidR="005845AF">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MzdhYTdkMzUtNDg0Yy00NTUxLWJkMmMtMjcxN2QyMWVkMzQ5IiwicHJvcGVydGllcyI6eyJub3RlSW5kZXgiOjB9LCJpc0VkaXRlZCI6ZmFsc2UsIm1hbnVhbE92ZXJyaWRlIjp7ImlzTWFudWFsbHlPdmVycmlkZGVuIjpmYWxzZSwiY2l0ZXByb2NUZXh0IjoiKDE3KSIsIm1hbnVhbE92ZXJyaWRlVGV4dCI6IiJ9LCJjaXRhdGlvbkl0ZW1zIjpbeyJpZCI6ImNhMjRjM2EyLThmNDEtMzdjYS1iMDE0LWIxMGQyOWJiYWYwMyIsIml0ZW1EYXRhIjp7InR5cGUiOiJhcnRpY2xlLWpvdXJuYWwiLCJpZCI6ImNhMjRjM2EyLThmNDEtMzdjYS1iMDE0LWIxMGQyOWJiYWYwMyIsInRpdGxlIjoiUHJlbW9uaXRvcnkgVXJnZXMgYW5kIFRoZWlyIExpbmsgV2l0aCBUaWMgU2V2ZXJpdHkgaW4gQ2hpbGRyZW4gYW5kIEFkb2xlc2NlbnRzIFdpdGggVGljIERpc29yZGVycyIsImdyb3VwSWQiOiIwN2Q2MmFjMS01YWE4LTM5YWYtYjQ5ZS01MmQyMDg4YWM1NzEiLCJhdXRob3IiOlt7ImZhbWlseSI6Ikt5cmlhemkiLCJnaXZlbiI6Ik0iLCJwYXJzZS1uYW1lcyI6ZmFsc2UsImRyb3BwaW5nLXBhcnRpY2xlIjoiIiwibm9uLWRyb3BwaW5nLXBhcnRpY2xlIjoiIn0seyJmYW1pbHkiOiJLYWx5dmEiLCJnaXZlbiI6IkUiLCJwYXJzZS1uYW1lcyI6ZmFsc2UsImRyb3BwaW5nLXBhcnRpY2xlIjoiIiwibm9uLWRyb3BwaW5nLXBhcnRpY2xlIjoiIn0seyJmYW1pbHkiOiJWYXJnaWFtaSIsImdpdmVuIjoiRSIsInBhcnNlLW5hbWVzIjpmYWxzZSwiZHJvcHBpbmctcGFydGljbGUiOiIiLCJub24tZHJvcHBpbmctcGFydGljbGUiOiIifSx7ImZhbWlseSI6IktyaWtvbmlzIiwiZ2l2ZW4iOiJLIiwicGFyc2UtbmFtZXMiOmZhbHNlLCJkcm9wcGluZy1wYXJ0aWNsZSI6IiIsIm5vbi1kcm9wcGluZy1wYXJ0aWNsZSI6IiJ9LHsiZmFtaWx5IjoiWmFmZWlyaW91IiwiZ2l2ZW4iOiJEIiwicGFyc2UtbmFtZXMiOmZhbHNlLCJkcm9wcGluZy1wYXJ0aWNsZSI6IiIsIm5vbi1kcm9wcGluZy1wYXJ0aWNsZSI6IiJ9XSwiY29udGFpbmVyLXRpdGxlIjoiRnJvbnQgUHN5Y2hpYXRyeSIsIkRPSSI6IjEwLjMzODkvZnBzeXQuMjAxOS4wMDU2OSIsIlBNSUQiOiIzMTQ3NDg4NSIsImlzc3VlZCI6eyJkYXRlLXBhcnRzIjpbWzIwMTldXX0sInBhZ2UiOiI1NjkiLCJhYnN0cmFjdCI6IlRpY3Mgd2F4IGFuZCB3YW5lIHJlZ2FyZGluZyB0aGVpciBzZXZlcml0eSwgd2hpbGUgdGhlaXIgZXhwcmVzc2lvbiBpcyBhZmZlY3RlZCBieSBub24tbW90b3Igc2Vuc29yeSBvciBjb2duaXRpdmUgZWxlbWVudHMgdGhhdCBhcmUgbW9zdGx5IGtub3duIGFzIFwicHJlbW9uaXRvcnkgdXJnZXMuXCIgU2luY2UgcHJlbW9uaXRvcnkgdXJnZXMgYXJlIG9mdGVuIHVzZWQgaW4gbm9uLXBoYXJtYWNvbG9naWNhbCBpbnRlcnZlbnRpb25zIHRvIGRlY3JlYXNlIHRpYyBzZXZlcml0eSwgaXQgaXMgb2YgaW50ZXJlc3QgaW4gdGhlIHByZXNlbnQgc3R1ZHkgdG8gZXhhbWluZSB3aGV0aGVyIHByZW1vbml0b3J5IHVyZ2VzIGNhbiBhY3R1YWxseSBwcmVkaWN0IHRpYyBzZXZlcml0eS4gRmlmdHktdHdvIGNoaWxkcmVuIGFuZCBhZG9sZXNjZW50cyBkaWFnbm9zZWQgd2l0aCB0aWNzIGFuZCBUb3VyZXR0ZSBzeW5kcm9tZSAoMjkgY2hpbGRyZW4gd2l0aCBwcm92aXNpb25hbCB0aWMgZGlzb3JkZXIsIDE2IGNoaWxkcmVuIHdpdGggY2hyb25pYyBtb3RvciB0aWMgZGlzb3JkZXIsIGFuZCA3IGNoaWxkcmVuIHdpdGggVG91cmV0dGUgc3luZHJvbWUpIHdlcmUgaW5jbHVkZWQgaW4gdGhlIHN0dWR5LiBUaGVpciBhZ2UgcmFuZ2VkIGJldHdlZW4gNiBhbmQgMTUuNyB5ZWFycyAobWVhbiBhZ2UgOSB5ZWFycyBhbmQgMiBtb250aHMpLiBBbGwgcGFydGljaXBhbnRzIGNvbXBsZXRlZCB0aGUgWUdUU1MgKFlhbGUgR2xvYmFsIFRpYyBTZXZlcml0eSBTY2FsZSkgaW4gb3JkZXIgdG8gYXNzZXNzIHRpYyBzZXZlcml0eSBhbmQgdGhlIFByZW1vbml0b3J5IFVyZ2UgZm9yIFRpY3MgU2NhbGUgKFBVVFMpIHRvIG1lYXN1cmUgcHJlbW9uaXRvcnkgdXJnZXMgKFBVKS4gUmVncmVzc2lvbiBhbmFseXNpcyByZXZlYWxlZCB0aGF0IFBVIHdlcmUgcHJlc2VudCBhdCBhIGhpZ2hlciByYXRlIGluIG9sZGVyIHN1YmplY3RzICg+MTIgeWVhcnMgb2YgYWdlKSB0aGFuIGluIHlvdW5nZXIgY2hpbGRyZW4gYW5kIHdpdGggYSBoaWdoZXIgbGV2ZWwgb2YgdGljIHNldmVyaXR5LiBBbHRob3VnaCB0aGUgcHJlc2VuY2Ugb2YgUFUgd2FzIGFzc29jaWF0ZWQgd2l0aCB0aWMgc2V2ZXJpdHkgYWNyb3NzIHRoZSBlbnRpcmUgYWdlIHJhbmdlLCB0aGVyZSB3YXMgYSBzdHJvbmdlciBhc3NvY2lhdGlvbiBiZXR3ZWVuIFBVIGFuZCB0aWMgc2V2ZXJpdHkgaW4gb2xkZXIgY2hpbGRyZW4uIEEgYmV0dGVyIGluc2lnaHQgaW50byB0aGUgcGF0aG9waHlzaW9sb2d5IG9mIHByZW1vbml0b3J5IHVyZ2VzIGNvdWxkIHBvc3NpYmx5IGxlYWQgdG8gdGhlIGlkZW50aWZpY2F0aW9uIG9mIG5ldyB0aGVyYXBldXRpYyBtb2RhbGl0aWVzIHRhcmdldGluZyB0aGUgc2Vuc29yeSBpbml0aWF0b3JzIG9mIHRpY3MgaW4gZnV0dXJlIHJlc2VhcmNoLiIsInZvbHVtZSI6IjEwIiwiY29udGFpbmVyLXRpdGxlLXNob3J0IjoiIn0sImlzVGVtcG9yYXJ5IjpmYWxzZX1dfQ=="/>
                <w:id w:val="480352156"/>
                <w:placeholder>
                  <w:docPart w:val="DefaultPlaceholder_-1854013440"/>
                </w:placeholder>
              </w:sdtPr>
              <w:sdtContent>
                <w:r w:rsidR="00F04E9F" w:rsidRPr="00F04E9F">
                  <w:rPr>
                    <w:rFonts w:eastAsia="Times New Roman" w:cs="Times New Roman"/>
                    <w:color w:val="000000"/>
                    <w:sz w:val="16"/>
                    <w:szCs w:val="16"/>
                  </w:rPr>
                  <w:t>(17)</w:t>
                </w:r>
              </w:sdtContent>
            </w:sdt>
          </w:p>
        </w:tc>
        <w:tc>
          <w:tcPr>
            <w:tcW w:w="0" w:type="auto"/>
            <w:shd w:val="clear" w:color="auto" w:fill="FFFFFF"/>
          </w:tcPr>
          <w:p w14:paraId="13FA7C29"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PUTS scores vs. YGTSS-TTS scores</w:t>
            </w:r>
          </w:p>
        </w:tc>
        <w:tc>
          <w:tcPr>
            <w:tcW w:w="0" w:type="auto"/>
            <w:shd w:val="clear" w:color="auto" w:fill="FFFFFF"/>
          </w:tcPr>
          <w:p w14:paraId="0B79EC77"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Children aged 6-11 (n = 39), and 12 years and older (n = 13) with any tic disorder</w:t>
            </w:r>
          </w:p>
        </w:tc>
        <w:tc>
          <w:tcPr>
            <w:tcW w:w="0" w:type="auto"/>
            <w:shd w:val="clear" w:color="auto" w:fill="FFFFFF"/>
          </w:tcPr>
          <w:p w14:paraId="5F715437" w14:textId="3E3099F5"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Multiple regression showed PUTS scores predicted YGTSS-TTS scores in the entire sample (β = 0.466, p </w:t>
            </w:r>
            <w:r w:rsidR="00965550">
              <w:rPr>
                <w:rFonts w:eastAsia="Times New Roman" w:cs="Times New Roman"/>
                <w:color w:val="000000" w:themeColor="text1"/>
                <w:sz w:val="16"/>
                <w:szCs w:val="16"/>
              </w:rPr>
              <w:t>&lt;</w:t>
            </w:r>
            <w:r w:rsidRPr="008A1F40">
              <w:rPr>
                <w:rFonts w:eastAsia="Times New Roman" w:cs="Times New Roman"/>
                <w:color w:val="000000" w:themeColor="text1"/>
                <w:sz w:val="16"/>
                <w:szCs w:val="16"/>
              </w:rPr>
              <w:t xml:space="preserve"> 0.00</w:t>
            </w:r>
            <w:r w:rsidR="00965550">
              <w:rPr>
                <w:rFonts w:eastAsia="Times New Roman" w:cs="Times New Roman"/>
                <w:color w:val="000000" w:themeColor="text1"/>
                <w:sz w:val="16"/>
                <w:szCs w:val="16"/>
              </w:rPr>
              <w:t>1</w:t>
            </w:r>
            <w:r w:rsidRPr="008A1F40">
              <w:rPr>
                <w:rFonts w:eastAsia="Times New Roman" w:cs="Times New Roman"/>
                <w:color w:val="000000" w:themeColor="text1"/>
                <w:sz w:val="16"/>
                <w:szCs w:val="16"/>
              </w:rPr>
              <w:t>). Significant correlation between YGTSS-TTS and PUTS scores in children aged 6-11</w:t>
            </w:r>
            <w:r w:rsidR="000E2CD8">
              <w:rPr>
                <w:rFonts w:eastAsia="Times New Roman" w:cs="Times New Roman"/>
                <w:color w:val="000000" w:themeColor="text1"/>
                <w:sz w:val="16"/>
                <w:szCs w:val="16"/>
              </w:rPr>
              <w:t xml:space="preserve">-years-old </w:t>
            </w:r>
            <w:r w:rsidRPr="008A1F40">
              <w:rPr>
                <w:rFonts w:eastAsia="Times New Roman" w:cs="Times New Roman"/>
                <w:color w:val="000000" w:themeColor="text1"/>
                <w:sz w:val="16"/>
                <w:szCs w:val="16"/>
              </w:rPr>
              <w:t>(r = 0.37, p = 0.022) and 12 years and older (r = 0.65, p = 0.016) (</w:t>
            </w:r>
            <w:r w:rsidRPr="008A1F40">
              <w:rPr>
                <w:rFonts w:eastAsia="Times New Roman" w:cs="Times New Roman"/>
                <w:color w:val="0D0D0D"/>
                <w:sz w:val="16"/>
                <w:szCs w:val="16"/>
              </w:rPr>
              <w:t>correlation type unclear from publication)</w:t>
            </w:r>
          </w:p>
        </w:tc>
      </w:tr>
      <w:tr w:rsidR="005845AF" w:rsidRPr="008A1F40" w14:paraId="79862DE4" w14:textId="77777777" w:rsidTr="007F77D2">
        <w:trPr>
          <w:tblCellSpacing w:w="15" w:type="dxa"/>
        </w:trPr>
        <w:tc>
          <w:tcPr>
            <w:tcW w:w="0" w:type="auto"/>
            <w:shd w:val="clear" w:color="auto" w:fill="FFFFFF"/>
          </w:tcPr>
          <w:p w14:paraId="5C77BF5A" w14:textId="1053B7B2"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Openneer et al (2020)</w:t>
            </w:r>
            <w:r w:rsidR="005845AF">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M2QyNmI4NTktZGQ3OS00ZGZmLWE4NTUtY2RiMGFiNzIxMjQwIiwicHJvcGVydGllcyI6eyJub3RlSW5kZXgiOjB9LCJpc0VkaXRlZCI6ZmFsc2UsIm1hbnVhbE92ZXJyaWRlIjp7ImlzTWFudWFsbHlPdmVycmlkZGVuIjpmYWxzZSwiY2l0ZXByb2NUZXh0IjoiKDcpIiwibWFudWFsT3ZlcnJpZGVUZXh0IjoiIn0sImNpdGF0aW9uSXRlbXMiOlt7ImlkIjoiMjMxMzg1NzUtZDFlNC0zZWFmLWJiM2UtNGRlMTJiNWNmMTBhIiwiaXRlbURhdGEiOnsidHlwZSI6ImFydGljbGUtam91cm5hbCIsImlkIjoiMjMxMzg1NzUtZDFlNC0zZWFmLWJiM2UtNGRlMTJiNWNmMTBhIiwidGl0bGUiOiJUaGUgUHJlbW9uaXRvcnkgVXJnZSBmb3IgVGljcyBTY2FsZSBpbiBhIGxhcmdlIHNhbXBsZSBvZiBjaGlsZHJlbiBhbmQgYWRvbGVzY2VudHM6IHBzeWNob21ldHJpYyBwcm9wZXJ0aWVzIGluIGEgZGV2ZWxvcG1lbnRhbCBjb250ZXh0LiBBbiBFTVRJQ1Mgc3R1ZHkiLCJncm91cElkIjoiMDdkNjJhYzEtNWFhOC0zOWFmLWI0OWUtNTJkMjA4OGFjNTcxIiwiYXV0aG9yIjpbeyJmYW1pbHkiOiJPcGVubmVlciIsImdpdmVuIjoiVCBKIEMiLCJwYXJzZS1uYW1lcyI6ZmFsc2UsImRyb3BwaW5nLXBhcnRpY2xlIjoiIiwibm9uLWRyb3BwaW5nLXBhcnRpY2xlIjoiIn0seyJmYW1pbHkiOiJUw6Fybm9rIiwiZ2l2ZW4iOiJaIiwicGFyc2UtbmFtZXMiOmZhbHNlLCJkcm9wcGluZy1wYXJ0aWNsZSI6IiIsIm5vbi1kcm9wcGluZy1wYXJ0aWNsZSI6IiJ9LHsiZmFtaWx5IjoiQm9nbmFyIiwiZ2l2ZW4iOiJFIiwicGFyc2UtbmFtZXMiOmZhbHNlLCJkcm9wcGluZy1wYXJ0aWNsZSI6IiIsIm5vbi1kcm9wcGluZy1wYXJ0aWNsZSI6IiJ9LHsiZmFtaWx5IjoiQmVuYXJveWEtTWlsc2h0ZWluIiwiZ2l2ZW4iOiJOIiwicGFyc2UtbmFtZXMiOmZhbHNlLCJkcm9wcGluZy1wYXJ0aWNsZSI6IiIsIm5vbi1kcm9wcGluZy1wYXJ0aWNsZSI6IiJ9LHsiZmFtaWx5IjoiR2FyY2lhLURlbGdhciIsImdpdmVuIjoiQiIsInBhcnNlLW5hbWVzIjpmYWxzZSwiZHJvcHBpbmctcGFydGljbGUiOiIiLCJub24tZHJvcHBpbmctcGFydGljbGUiOiIifSx7ImZhbWlseSI6Ik1vcmVyIiwiZ2l2ZW4iOiJBIiwicGFyc2UtbmFtZXMiOmZhbHNlLCJkcm9wcGluZy1wYXJ0aWNsZSI6IiIsIm5vbi1kcm9wcGluZy1wYXJ0aWNsZSI6IiJ9LHsiZmFtaWx5IjoiU3RlaW5iZXJnIiwiZ2l2ZW4iOiJUIiwicGFyc2UtbmFtZXMiOmZhbHNlLCJkcm9wcGluZy1wYXJ0aWNsZSI6IiIsIm5vbi1kcm9wcGluZy1wYXJ0aWNsZSI6IiJ9LHsiZmFtaWx5IjoiSG9la3N0cmEiLCJnaXZlbiI6IlAgSiIsInBhcnNlLW5hbWVzIjpmYWxzZSwiZHJvcHBpbmctcGFydGljbGUiOiIiLCJub24tZHJvcHBpbmctcGFydGljbGUiOiIifSx7ImZhbWlseSI6IkRpZXRyaWNoIiwiZ2l2ZW4iOiJBIiwicGFyc2UtbmFtZXMiOmZhbHNlLCJkcm9wcGluZy1wYXJ0aWNsZSI6IiIsIm5vbi1kcm9wcGluZy1wYXJ0aWNsZSI6IiJ9XSwiY29udGFpbmVyLXRpdGxlIjoiRXVyIENoaWxkIEFkb2xlc2MgUHN5Y2hpYXRyeSIsIkRPSSI6IjEwLjEwMDcvczAwNzg3LTAxOS0wMTQ1MC0xIiwiUE1JRCI6IjMxODAyMjcxIiwiVVJMIjoiaHR0cHM6Ly9saW5rLnNwcmluZ2VyLmNvbS9jb250ZW50L3BkZi8xMC4xMDA3L3MwMDc4Ny0wMTktMDE0NTAtMS5wZGYiLCJpc3N1ZWQiOnsiZGF0ZS1wYXJ0cyI6W1syMDIwXV19LCJwYWdlIjoiMTQxMS0xNDI0IiwiYWJzdHJhY3QiOiJQcmVtb25pdG9yeSB1cmdlcyBhcmUgdW5jb21mb3J0YWJsZSBwaHlzaWNhbCBzZW5zYXRpb25zIHByZWNlZGluZyB0aWNzIHRoYXQgb2NjdXIgaW4gbW9zdCBpbmRpdmlkdWFscyB3aXRoIGEgY2hyb25pYyB0aWMgZGlzb3JkZXIuIFRoZSBQcmVtb25pdG9yeSBVcmdlIGZvciBUaWNzIFNjYWxlIChQVVRTKSBpcyB0aGUgbW9zdCBmcmVxdWVudGx5IHVzZWQgc2VsZi1yZXBvcnQgbWVhc3VyZSB0byBhc3Nlc3MgdGhlIHNldmVyaXR5IG9mIHByZW1vbml0b3J5IHVyZ2VzLiBXZSBhaW1lZCB0byBldmFsdWF0ZSB0aGUgcHN5Y2hvbWV0cmljIHByb3BlcnRpZXMgb2YgdGhlIFBVVFMgaW4gdGhlIGxhcmdlc3Qgc2FtcGxlIHNpemUgdG8gZGF0ZSAobuKAiT3igIk2NTYpLCBpbiBjaGlsZHJlbiBhZ2VkIDMtMTbCoHllYXJzLCBmcm9tIHRoZSBiYXNlbGluZSBtZWFzdXJlbWVudCBvZiB0aGUgbG9uZ2l0dWRpbmFsIEV1cm9wZWFuIE11bHRpY2VudGVyIFRpY3MgaW4gQ2hpbGRyZW4gU3R1ZHkgKEVNVElDUykuIE91ciBwc3ljaG9tZXRyaWMgZXZhbHVhdGlvbiB3YXMgZG9uZSBpbiB0aHJlZSBhZ2UtZ3JvdXBzOiBjaGlsZHJlbiBhZ2VkIDMtN8KgeWVhcnMgKG7igIk94oCJMTAzKSwgY2hpbGRyZW4gYmV0d2VlbiA4IGFuZCAxMMKgeWVhcnMgKG7igIk94oCJMjUzKSwgYW5kIGNoaWxkcmVuIGFnZWQgMTEtMTbCoHllYXJzIChu4oCJPeKAiTMwMCkuIFRoZSBQVVRTIGV4aGliaXRlZCBnb29kIGludGVybmFsIHJlbGlhYmlsaXR5IGluIGNoaWxkcmVuIGFuZCBhZG9sZXNjZW50cywgYWxzbyB1bmRlciB0aGUgYWdlIG9mIDEwLCB3aGljaCBpcyB5b3VuZ2VyIHRoYW4gcHJldmlvdXNseSB0aG91Z2h0LiBXZSBvYnNlcnZlZCBzaWduaWZpY2FudCBidXQgc21hbGwgY29ycmVsYXRpb25zIGJldHdlZW4gdGhlIHNldmVyaXR5IG9mIHVyZ2VzIGFuZCBzZXZlcml0eSBvZiB0aWNzIGFuZCBvYnNlc3NpdmUtY29tcHVsc2l2ZSBzeW1wdG9tcywgYW5kIGJldHdlZW4gc2V2ZXJpdHkgb2YgdXJnZXMgYW5kIHJhdGluZ3Mgb2YgYXR0ZW50aW9uLWRlZmljaXQvaHlwZXJhY3Rpdml0eSBkaXNvcmRlciBhbmQgaW50ZXJuYWxpemluZyBhbmQgZXh0ZXJuYWxpemluZyBiZWhhdmlvcnMsIGhvd2V2ZXIsIG9ubHkgaW4gY2hpbGRyZW4gb2YgOC0xMMKgeWVhcnMuIENvbnNpc3RlbnQgd2l0aCBwcmV2aW91cyByZXN1bHRzLCB0aGUgMTB0aCBpdGVtIG9mIHRoZSBQVVRTIGNvcnJlbGF0ZWQgbGVzcyB3aXRoIHRoZSByZXN0IG9mIHRoZSBzY2FsZSBjb21wYXJlZCB0byB0aGUgb3RoZXIgaXRlbXMgYW5kLCB0aGVyZWZvcmUsIHNob3VsZCBub3QgYmUgdXNlZCBhcyBwYXJ0IG9mIHRoZSBxdWVzdGlvbm5haXJlLiBXZSBmb3VuZCBhIHR3by1mYWN0b3Igc3RydWN0dXJlIG9mIHRoZSBQVVRTIGluIGNoaWxkcmVuIG9mIDExwqB5ZWFycyBhbmQgb2xkZXIsIGRpc3Rpbmd1aXNoaW5nIGJldHdlZW4gc2Vuc29yeSBwaGVub21lbmEgcmVsYXRlZCB0byB0aWNzLCBhbmQgbWVudGFsIHBoZW5vbWVuYSBhcyBvZnRlbiBmb3VuZCBpbiBvYnNlc3NpdmUtY29tcHVsc2l2ZSBkaXNvcmRlci4gVGhlIGFnZS1yZWxhdGVkIGRpZmZlcmVuY2VzIG9ic2VydmVkIGluIHRoaXMgc3R1ZHkgbWF5IGluZGljYXRlIHRoZSBuZWVkIGZvciB0aGUgZGV2ZWxvcG1lbnQgb2YgYW4gYWdlLXNwZWNpZmljIHF1ZXN0aW9ubmFpcmUgdG8gYXNzZXNzIHByZW1vbml0b3J5IHVyZ2VzLiIsImlzc3VlIjoiMTAiLCJ2b2x1bWUiOiIyOSIsImNvbnRhaW5lci10aXRsZS1zaG9ydCI6IiJ9LCJpc1RlbXBvcmFyeSI6ZmFsc2V9XX0="/>
                <w:id w:val="75403165"/>
                <w:placeholder>
                  <w:docPart w:val="DefaultPlaceholder_-1854013440"/>
                </w:placeholder>
              </w:sdtPr>
              <w:sdtContent>
                <w:r w:rsidR="00F04E9F" w:rsidRPr="00F04E9F">
                  <w:rPr>
                    <w:rFonts w:eastAsia="Times New Roman" w:cs="Times New Roman"/>
                    <w:color w:val="000000"/>
                    <w:sz w:val="16"/>
                    <w:szCs w:val="16"/>
                  </w:rPr>
                  <w:t>(7)</w:t>
                </w:r>
              </w:sdtContent>
            </w:sdt>
          </w:p>
        </w:tc>
        <w:tc>
          <w:tcPr>
            <w:tcW w:w="0" w:type="auto"/>
            <w:shd w:val="clear" w:color="auto" w:fill="FFFFFF"/>
          </w:tcPr>
          <w:p w14:paraId="78F4D51B"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PUTS scores vs. YGTSS-TTS scores</w:t>
            </w:r>
          </w:p>
        </w:tc>
        <w:tc>
          <w:tcPr>
            <w:tcW w:w="0" w:type="auto"/>
            <w:shd w:val="clear" w:color="auto" w:fill="FFFFFF"/>
          </w:tcPr>
          <w:p w14:paraId="63A05ED9"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Children ≤7 years (n = 103), 8-10 years (n = 253), </w:t>
            </w:r>
            <w:r w:rsidRPr="008A1F40">
              <w:rPr>
                <w:rFonts w:eastAsia="Times New Roman" w:cs="Times New Roman"/>
                <w:color w:val="000000" w:themeColor="text1"/>
                <w:sz w:val="16"/>
                <w:szCs w:val="16"/>
              </w:rPr>
              <w:lastRenderedPageBreak/>
              <w:t>&gt;10 years (n = 300) with CTDs</w:t>
            </w:r>
          </w:p>
        </w:tc>
        <w:tc>
          <w:tcPr>
            <w:tcW w:w="0" w:type="auto"/>
            <w:shd w:val="clear" w:color="auto" w:fill="FFFFFF"/>
          </w:tcPr>
          <w:p w14:paraId="1A639635"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lastRenderedPageBreak/>
              <w:t xml:space="preserve">Significant correlation between PUTS and YGTSS-TTS scores in children aged 8-10 years (Pearson’s r = 0.260, p &lt; 0.001), but </w:t>
            </w:r>
            <w:r w:rsidRPr="008A1F40">
              <w:rPr>
                <w:rFonts w:eastAsia="Times New Roman" w:cs="Times New Roman"/>
                <w:color w:val="000000" w:themeColor="text1"/>
                <w:sz w:val="16"/>
                <w:szCs w:val="16"/>
              </w:rPr>
              <w:lastRenderedPageBreak/>
              <w:t>not in the youngest (Pearson’s r = 0.027) or oldest groups (Pearson’s r = 0.086).</w:t>
            </w:r>
          </w:p>
        </w:tc>
      </w:tr>
      <w:tr w:rsidR="005845AF" w:rsidRPr="008A1F40" w14:paraId="1CF6B164" w14:textId="77777777" w:rsidTr="007F77D2">
        <w:trPr>
          <w:tblCellSpacing w:w="15" w:type="dxa"/>
        </w:trPr>
        <w:tc>
          <w:tcPr>
            <w:tcW w:w="0" w:type="auto"/>
            <w:shd w:val="clear" w:color="auto" w:fill="FFFFFF"/>
          </w:tcPr>
          <w:p w14:paraId="2B9B7E56" w14:textId="524C15B9"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lastRenderedPageBreak/>
              <w:t>Gulisano et al (2015)</w:t>
            </w:r>
            <w:r w:rsidR="005845AF">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Mzc4Mzg5ZmUtMmVhYS00NmM4LThlYTAtNGZhYmM3ZTA2M2E4IiwicHJvcGVydGllcyI6eyJub3RlSW5kZXgiOjB9LCJpc0VkaXRlZCI6ZmFsc2UsIm1hbnVhbE92ZXJyaWRlIjp7ImlzTWFudWFsbHlPdmVycmlkZGVuIjpmYWxzZSwiY2l0ZXByb2NUZXh0IjoiKDQpIiwibWFudWFsT3ZlcnJpZGVUZXh0IjoiIn0sImNpdGF0aW9uSXRlbXMiOlt7ImlkIjoiYjVhNWI5YWYtNTk2OC0zZmZkLTlmOTAtMzZhNTI0NGE1MDU4IiwiaXRlbURhdGEiOnsidHlwZSI6ImFydGljbGUtam91cm5hbCIsImlkIjoiYjVhNWI5YWYtNTk2OC0zZmZkLTlmOTAtMzZhNTI0NGE1MDU4IiwidGl0bGUiOiJQcmVtb25pdG9yeSBVcmdlcyBpbiBQYXRpZW50cyB3aXRoIEdpbGxlcyBkZSBsYSBUb3VyZXR0ZSBTeW5kcm9tZTogQW4gSXRhbGlhbiBUcmFuc2xhdGlvbiBhbmQgYSA3LVllYXIgRm9sbG93LXVwIiwiZ3JvdXBJZCI6IjA3ZDYyYWMxLTVhYTgtMzlhZi1iNDllLTUyZDIwODhhYzU3MSIsImF1dGhvciI6W3siZmFtaWx5IjoiR3VsaXNhbm8iLCJnaXZlbiI6Ik0iLCJwYXJzZS1uYW1lcyI6ZmFsc2UsImRyb3BwaW5nLXBhcnRpY2xlIjoiIiwibm9uLWRyb3BwaW5nLXBhcnRpY2xlIjoiIn0seyJmYW1pbHkiOiJDYWzDrCIsImdpdmVuIjoiUCIsInBhcnNlLW5hbWVzIjpmYWxzZSwiZHJvcHBpbmctcGFydGljbGUiOiIiLCJub24tZHJvcHBpbmctcGFydGljbGUiOiIifSx7ImZhbWlseSI6IlBhbGVybW8iLCJnaXZlbiI6IkYiLCJwYXJzZS1uYW1lcyI6ZmFsc2UsImRyb3BwaW5nLXBhcnRpY2xlIjoiIiwibm9uLWRyb3BwaW5nLXBhcnRpY2xlIjoiIn0seyJmYW1pbHkiOiJSb2JlcnRzb24iLCJnaXZlbiI6Ik0iLCJwYXJzZS1uYW1lcyI6ZmFsc2UsImRyb3BwaW5nLXBhcnRpY2xlIjoiIiwibm9uLWRyb3BwaW5nLXBhcnRpY2xlIjoiIn0seyJmYW1pbHkiOiJSaXp6byIsImdpdmVuIjoiUiIsInBhcnNlLW5hbWVzIjpmYWxzZSwiZHJvcHBpbmctcGFydGljbGUiOiIiLCJub24tZHJvcHBpbmctcGFydGljbGUiOiIifV0sImNvbnRhaW5lci10aXRsZSI6IkogQ2hpbGQgQWRvbGVzYyBQc3ljaG9waGFybWFjb2wiLCJET0kiOiIxMC4xMDg5L2NhcC4yMDE0LjAxNTQiLCJQTUlEIjoiMjYyODgzNDUiLCJVUkwiOiJodHRwczovL3d3dy5saWViZXJ0cHViLmNvbS9kb2kvMTAuMTA4OS9jYXAuMjAxNC4wMTU0IiwiaXNzdWVkIjp7ImRhdGUtcGFydHMiOltbMjAxNV1dfSwicGFnZSI6IjgxMC04MTYiLCJhYnN0cmFjdCI6Ik9CSkVDVElWRTogUHJlbW9uaXRvcnkgc2Vuc2F0aW9ucyBvciB1cmdlcyAoUFVzKSBhcmUgZGVzY3JpYmVkIGFzIGNoYXJhY3RlcmlzdGljIHNlbnNvcnkgcGhlbm9tZW5hIHByZWNlZGluZyB0aWNzLCB3aGljaCBhcmUgb2Z0ZW4gZGVzY3JpYmVkIGFzIHVucGxlYXNhbnQuIFRoZXkgb2NjdXIgaW4gOTAlIG9mIHBhdGllbnRzIGFmZmVjdGVkIGJ5IEdpbGxlcyBkZSBsYSBUb3VyZXR0ZSBTeW5kcm9tZSAoR1RTKS4gVGhleSBtYXkgYmUgbG9jYWxpemVkIChhcm91bmQgdGhlIGFyZWEgb2YgdGljKSBvciBnZW5lcmFsaXplZCAoY292ZXJpbmcgYSB3aWRlIGFyZWEgb2YgdGhlIGJvZHkpLiBUaGUgUFVzIGNhbiBiZSBtZWFzdXJlZCBieSB0aGUgUHJlbW9uaXRvcnkgVXJnZSBmb3IgVGljcyBTY2FsZSAoUFVUUykuIEluIHRoaXMgc3R1ZHkgd2UgdHJhbnNsYXRlZCB0aGUgUFVUUyBzY2FsZSBpbnRvIEl0YWxpYW4gYW5kIHRoZW4gYXNzZXNzZWQgY2hpbGRyZW4gYW5kIGFkb2xlc2NlbnRzL3lvdW5nIHBlb3BsZSAoQ1lQKSB3aXRoIEdUUyB1c2luZyB0aGUgc2NhbGUuIE1FVEhPRFM6IEdUUyBwYXRpZW50cyB3ZXJlIGFzc2Vzc2VkIGF0IHRoZSBpbml0aWFsIGludGVydmlldyBhbmQgYWZ0ZXIgNyB5ZWFycyB0byBldmFsdWF0ZSB0aGUgUFVzLCBhbmQgdGhlIGNvcnJlbGF0aW9ucyBvZiB0aGUgUFVUUyBzY29yZXMgd2l0aCB0aWMgc2V2ZXJpdHksIHNldmVyaXR5IG9mIGNvbW9yYmlkIGRpc29yZGVycyAob2JzZXNzaXZlLWNvbXB1bHNpdmUgZGlzb3JkZXIgW09DRF0sIGF0dGVudGlvbi1kZWZpY2l0L2h5cGVyYWN0aXZpdHkgZGlzb3JkZXIgW0FESERdKSwgYW5kIGEgdmFyaWV0eSBvZiBjb2V4aXN0aW5nIHBzeWNob3BhdGhvbG9naWVzLiBSRVNVTFRTOiBBIHRvdGFsIG9mIDk1IHBhdGllbnRzIHdlcmUgc3R1ZGllZC4gV2Ugc3VjY2Vzc2Z1bGx5IHRyYW5zbGF0ZWQgdGhlIFBVVFMgaW50byBJdGFsaWFuLCBhbmQgb3VyIHJlc3VsdHMgaW5kaWNhdGVkIHRoYXQgb3VyIHRyYW5zbGF0ZWQgdmVyc2lvbiBoYWQgZ29vZCBwc3ljaG9tZXRyaWMgcHJvcGVydGllcy4gUmVzdWx0cyBkZW1vbnN0cmF0ZWQgdGhhdCB0aGUgQ1lQIGhhZCBQVXMgYXQgYm90aCBpbnRlcnZpZXdzLCBidXQgdGhhdCBvbGRlciBDWVAgd2VyZSBtb3JlIGNvbnNpc3RlbnQgaW4gcmVwb3J0aW5nIFBVcyB0aGFuIHlvdW5nZXIgQ1lQIChpLmUuLCBQVVRTIHNjb3JlcyBpbmNyZWFzZWQgd2l0aCBhZ2UpLiBXZSBmb3VuZCBubyBjb3JyZWxhdGlvbnMgYmV0d2VlbiBQVVRTIHNjb3JlIGFuZCB0aWMgc2V2ZXJpdHkgYXQgZWl0aGVyIGludGVydmlldy4gV2UgZm91bmQgYSBzdGF0aXN0aWNhbCBzaWduaWZpY2FudCBjb3JyZWxhdGlvbiBiZXR3ZWVuIFBVVFMgc2NvcmUgYW5kIG9ic2Vzc2l2ZS1jb21wdWxzaXZlIHN5bXB0b21zIChPQ1MpIGF0IGJvdGggaW50ZXJ2aWV3czsgTW9yZW92ZXIgYm90aCB0aGUgUFVUUyBhbmQgQ2hpbGRyZW4ncyBZYWxlLUJyb3duIE9ic2Vzc2l2ZSBDb21wdWxzaXZlIFNjYWxlIChDWS1CT0NTKSBzY29yZXMgaW5jcmVhc2VkIHNpZ25pZmljYW50bHksIHdoZXJlYXMgdGhlIFlhbGUgR2xvYmFsIFRpYyBTZXZlcml0eSBSYXRpbmcgU2NhbGUgKFlHVFNTKSBzY29yZSBkZWNyZWFzZWQgc2lnbmlmaWNhbnRseS4gV2UgZm91bmQgbm8gcmVsYXRpb25zaGlwcyBiZXR3ZWVuIFBVVFMgc2NvcmVzIGFuZCBhbnhpZXR5LCBkZXByZXNzaW9uLCBBREhELCBhbmQgZXh0ZXJuYWxpemluZy9pbnRlcm5hbGl6aW5nIGJlaGF2aW9yYWwgc2NvcmVzLiBDT05DTFVTSU9OUzogT3VyIHJlc3VsdHMgc3VnZ2VzdCB0aGUgdGhlIEl0YWxpYW4gdHJhbnNsYXRpb24gb2YgdGhlIFBVVFMgaGFzIGdvb2QgcHN5Y2hvbWV0cmljIHByb3BlcnRpZXMuIEFsdGhvdWdoIGJvdGggeW91bmdlciAoPDEwIHllYXJzIG9mIGFnZSkgYW5kIG9sZGVyIENZUCAo4omkIDEwIHllYXJzIG9mIGFnZSkgcmVwb3J0ZWQgUFVzLCB0aGUgc2NvcmVzIGF0IHRoZSBpbml0aWFsIGludGVydmlldyB3ZXJlIHN0YXRpc3RpY2FsbHkgc2lnbmlmaWNhbnRseSBsb3dlciB0aGFuIGF0IGZvbGxvdy11cC4gTW9yZW92ZXIsIGluIENZUCA+MTAgeWVhcnMgb2YgYWdlLCB0aGUgUFVzIGNvcnJlbGF0ZWQgd2l0aCBvYnNlc3Npb25zIGFuZCBjb21wdWxzaW9ucyAoQ1ktQk9DUyBzY29yZXMpLiIsImlzc3VlIjoiMTAiLCJ2b2x1bWUiOiIyNSIsImNvbnRhaW5lci10aXRsZS1zaG9ydCI6IiJ9LCJpc1RlbXBvcmFyeSI6ZmFsc2V9XX0="/>
                <w:id w:val="-1720889834"/>
                <w:placeholder>
                  <w:docPart w:val="DefaultPlaceholder_-1854013440"/>
                </w:placeholder>
              </w:sdtPr>
              <w:sdtContent>
                <w:r w:rsidR="00F04E9F" w:rsidRPr="00F04E9F">
                  <w:rPr>
                    <w:rFonts w:eastAsia="Times New Roman" w:cs="Times New Roman"/>
                    <w:color w:val="000000"/>
                    <w:sz w:val="16"/>
                    <w:szCs w:val="16"/>
                  </w:rPr>
                  <w:t>(4)</w:t>
                </w:r>
              </w:sdtContent>
            </w:sdt>
          </w:p>
        </w:tc>
        <w:tc>
          <w:tcPr>
            <w:tcW w:w="0" w:type="auto"/>
            <w:shd w:val="clear" w:color="auto" w:fill="FFFFFF"/>
          </w:tcPr>
          <w:p w14:paraId="074A827C"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PUTS scores vs. YGTSS scores</w:t>
            </w:r>
          </w:p>
        </w:tc>
        <w:tc>
          <w:tcPr>
            <w:tcW w:w="0" w:type="auto"/>
            <w:shd w:val="clear" w:color="auto" w:fill="FFFFFF"/>
          </w:tcPr>
          <w:p w14:paraId="507C8F56"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95 children with TS at baseline (aged 4-10) and again follow-up (aged 10-16)</w:t>
            </w:r>
          </w:p>
        </w:tc>
        <w:tc>
          <w:tcPr>
            <w:tcW w:w="0" w:type="auto"/>
            <w:shd w:val="clear" w:color="auto" w:fill="FFFFFF"/>
          </w:tcPr>
          <w:p w14:paraId="5593AA3C"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No significant correlation between YGTSS scores (unclear which YGTSS score based on publication) and PUTS scores at baseline (Spearman’s r = -0.156, p = 0.131) or follow-up (Spearman’s r = 0.158, p = 0.127).</w:t>
            </w:r>
          </w:p>
        </w:tc>
      </w:tr>
      <w:tr w:rsidR="005845AF" w:rsidRPr="008A1F40" w14:paraId="3CE99E1F" w14:textId="77777777" w:rsidTr="007F77D2">
        <w:trPr>
          <w:tblCellSpacing w:w="15" w:type="dxa"/>
        </w:trPr>
        <w:tc>
          <w:tcPr>
            <w:tcW w:w="0" w:type="auto"/>
            <w:shd w:val="clear" w:color="auto" w:fill="FFFFFF"/>
          </w:tcPr>
          <w:p w14:paraId="3F000AE4" w14:textId="1870FB28"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Kano et al (2020)</w:t>
            </w:r>
            <w:r w:rsidR="005845AF">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ZGIyNDdkZTAtMDZkOS00YTU2LWIxMTAtOGIzYzczYzhkMTEwIiwicHJvcGVydGllcyI6eyJub3RlSW5kZXgiOjB9LCJpc0VkaXRlZCI6ZmFsc2UsIm1hbnVhbE92ZXJyaWRlIjp7ImlzTWFudWFsbHlPdmVycmlkZGVuIjpmYWxzZSwiY2l0ZXByb2NUZXh0IjoiKDQxKSIsIm1hbnVhbE92ZXJyaWRlVGV4dCI6IiJ9LCJjaXRhdGlvbkl0ZW1zIjpbeyJpZCI6ImJmZDU3MzgxLTZlOWEtMzNhZS04N2MxLTRiNTdiMGM2YzNhOSIsIml0ZW1EYXRhIjp7InR5cGUiOiJhcnRpY2xlLWpvdXJuYWwiLCJpZCI6ImJmZDU3MzgxLTZlOWEtMzNhZS04N2MxLTRiNTdiMGM2YzNhOSIsInRpdGxlIjoiQ2hhbmdlcyBpbiBTZW5zb3J5IFBoZW5vbWVuYSwgVGljcywgT2JzZXNzaXZlLUNvbXB1bHNpdmUgU3ltcHRvbXMsIGFuZCBHbG9iYWwgRnVuY3Rpb25pbmcgb2YgVG91cmV0dGUgU3luZHJvbWU6IEEgRm9sbG93LVVwIEFmdGVyIEZvdXIgWWVhcnMiLCJncm91cElkIjoiMDdkNjJhYzEtNWFhOC0zOWFmLWI0OWUtNTJkMjA4OGFjNTcxIiwiYXV0aG9yIjpbeyJmYW1pbHkiOiJLYW5vIiwiZ2l2ZW4iOiJZIiwicGFyc2UtbmFtZXMiOmZhbHNlLCJkcm9wcGluZy1wYXJ0aWNsZSI6IiIsIm5vbi1kcm9wcGluZy1wYXJ0aWNsZSI6IiJ9LHsiZmFtaWx5IjoiRnVqaW8iLCJnaXZlbiI6Ik0iLCJwYXJzZS1uYW1lcyI6ZmFsc2UsImRyb3BwaW5nLXBhcnRpY2xlIjoiIiwibm9uLWRyb3BwaW5nLXBhcnRpY2xlIjoiIn0seyJmYW1pbHkiOiJLYWppIiwiZ2l2ZW4iOiJOIiwicGFyc2UtbmFtZXMiOmZhbHNlLCJkcm9wcGluZy1wYXJ0aWNsZSI6IiIsIm5vbi1kcm9wcGluZy1wYXJ0aWNsZSI6IiJ9LHsiZmFtaWx5IjoiTWF0c3VkYSIsImdpdmVuIjoiTiIsInBhcnNlLW5hbWVzIjpmYWxzZSwiZHJvcHBpbmctcGFydGljbGUiOiIiLCJub24tZHJvcHBpbmctcGFydGljbGUiOiIifSx7ImZhbWlseSI6Ik5vbmFrYSIsImdpdmVuIjoiTSIsInBhcnNlLW5hbWVzIjpmYWxzZSwiZHJvcHBpbmctcGFydGljbGUiOiIiLCJub24tZHJvcHBpbmctcGFydGljbGUiOiIifSx7ImZhbWlseSI6Iktvbm8iLCJnaXZlbiI6IlQiLCJwYXJzZS1uYW1lcyI6ZmFsc2UsImRyb3BwaW5nLXBhcnRpY2xlIjoiIiwibm9uLWRyb3BwaW5nLXBhcnRpY2xlIjoiIn1dLCJjb250YWluZXItdGl0bGUiOiJGcm9udCBQc3ljaGlhdHJ5IiwiRE9JIjoiMTAuMzM4OS9mcHN5dC4yMDIwLjAwNjE5IiwiUE1JRCI6IjMyNjk1MDMzIiwiaXNzdWVkIjp7ImRhdGUtcGFydHMiOltbMjAyMF1dfSwicGFnZSI6IjYxOSIsImFic3RyYWN0IjoiU2Vuc29yeSBwaGVub21lbmEgYW5kIHJlbGF0ZWQgZmVhdHVyZXMgb2YgVG91cmV0dGUgc3luZHJvbWUgYXJlIHJlbGF0ZWQgdG8gcG9vcmVyIHF1YWxpdHkgb2YgbGlmZS4gVGhlcmVmb3JlLCBzZW5zb3J5IHBoZW5vbWVuYSBtaWdodCBhbHNvIGhhdmUgYSBuZWdhdGl2ZSBpbXBhY3Qgb24gZ2xvYmFsIGZ1bmN0aW9uaW5nLiBIb3dldmVyLCB0aGUgaW5mbHVlbmNlIG9mIHNlbnNvcnkgcGhlbm9tZW5hLCB0aWNzLCBhbmQgb2JzZXNzaXZlLWNvbXB1bHNpdmUgc3ltcHRvbXMgKE9DUykgb24gZ2xvYmFsIGZ1bmN0aW9uaW5nIGFmdGVyIHNldmVyYWwgeWVhcnMgb2YgdXN1YWwgdHJlYXRtZW50IGhhcyBub3QgYmVlbiBpbnZlc3RpZ2F0ZWQuIFR3ZW50eSBvdXQgb2YgNDUgSmFwYW5lc2UgcGF0aWVudHMgd2l0aCBUb3VyZXR0ZSBzeW5kcm9tZSB3aG8gaGFkIHByZXZpb3VzbHkgdW5kZXJnb25lIGFuIGV2YWx1YXRpb24gb2YgdGhlc2UgY2xpbmljYWwgZmVhdHVyZXMgd2VyZSBhc3Nlc3NlZCBhZ2FpbiBhZnRlciBhbiBhdmVyYWdlIG9mIGZvdXIgeWVhcnMuIFdlIGNvbmR1Y3RlZCBhIHBhbmVsIG9mIGFzc2Vzc21lbnRzIGZvciBwcmVtb25pdG9yeSB1cmdlcywgYnJvYWRlciBzZW5zb3J5IHBoZW5vbWVuYSwgdGljIHNldmVyaXR5LCBPQ1MsIGFuZCBnbG9iYWwgZnVuY3Rpb25pbmcuIEJhc2VkIG9uIFBlYXJzb24ncyBjb3JyZWxhdGlvbiBjb2VmZmljaWVudCwgY3VycmVudCBnbG9iYWwgZnVuY3Rpb25pbmcgd2FzIHNpZ25pZmljYW50bHkgbmVnYXRpdmVseSBjb3JyZWxhdGVkIHdpdGggcHJldmlvdXMgdGljcyBhbmQgbWFyZ2luYWxseSBuZWdhdGl2ZWx5IGNvcnJlbGF0ZWQgd2l0aCBwcmV2aW91cyBicm9hZGVyIHNlbnNvcnkgcGhlbm9tZW5hLiBDdXJyZW50IGdsb2JhbCBmdW5jdGlvbmluZyB3YXMgbWFyZ2luYWxseSBjb3JyZWxhdGVkIHdpdGggY2hhbmdlIGluIHRpY3MuIENoYW5nZSBpbiBnbG9iYWwgZnVuY3Rpb25pbmcgd2FzIHNpZ25pZmljYW50bHkgY29ycmVsYXRlZCB3aXRoIGNoYW5nZSBpbiBPQ1MgYW5kIG1hcmdpbmFsbHkgY29ycmVsYXRlZCB3aXRoIGNoYW5nZSBpbiBwcmVtb25pdG9yeSB1cmdlcy4gRHVlIHRvIHRoZSBzbWFsbCBzYW1wbGUgc2l6ZSwgaXQgd2FzIG5vdCBwb3NzaWJsZSB0byB1c2UgYSBtdWx0aXBsZSByZWdyZXNzaW9uIGFuYWx5c2lzIHRvIGNvbmNsdWRlIHRoYXQgc2Vuc29yeSBwaGVub21lbmEsIHRpY3MsIGFuZCBPQ1MgcHJlZGljdCBnbG9iYWwgZnVuY3Rpb25pbmcgaW4gYWRvbGVzY2VudHMgYW5kIGFkdWx0cyB3aXRoIFRTLiBIb3dldmVyLCBpdCB3YXMgc3VnZ2VzdGVkIHRoYXQgZnVydGhlciBpbnZlc3RpZ2F0aW9uIG9mIHRoaXMgcmVsYXRpb25zaGlwIHdvdWxkIGJlIG1lYW5pbmdmdWwuIiwidm9sdW1lIjoiMTEiLCJjb250YWluZXItdGl0bGUtc2hvcnQiOiIifSwiaXNUZW1wb3JhcnkiOmZhbHNlfV19"/>
                <w:id w:val="923078237"/>
                <w:placeholder>
                  <w:docPart w:val="DefaultPlaceholder_-1854013440"/>
                </w:placeholder>
              </w:sdtPr>
              <w:sdtContent>
                <w:r w:rsidR="00F04E9F" w:rsidRPr="00F04E9F">
                  <w:rPr>
                    <w:rFonts w:eastAsia="Times New Roman" w:cs="Times New Roman"/>
                    <w:color w:val="000000"/>
                    <w:sz w:val="16"/>
                    <w:szCs w:val="16"/>
                  </w:rPr>
                  <w:t>(41)</w:t>
                </w:r>
              </w:sdtContent>
            </w:sdt>
          </w:p>
        </w:tc>
        <w:tc>
          <w:tcPr>
            <w:tcW w:w="0" w:type="auto"/>
            <w:shd w:val="clear" w:color="auto" w:fill="FFFFFF"/>
          </w:tcPr>
          <w:p w14:paraId="7FAEA431"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PUTS scores vs. YGTSS scores</w:t>
            </w:r>
          </w:p>
        </w:tc>
        <w:tc>
          <w:tcPr>
            <w:tcW w:w="0" w:type="auto"/>
            <w:shd w:val="clear" w:color="auto" w:fill="FFFFFF"/>
          </w:tcPr>
          <w:p w14:paraId="69DDE40F"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20 individuals aged 17-53 with TS (participants had been assessed 4.0 years prior on average)</w:t>
            </w:r>
          </w:p>
        </w:tc>
        <w:tc>
          <w:tcPr>
            <w:tcW w:w="0" w:type="auto"/>
            <w:shd w:val="clear" w:color="auto" w:fill="FFFFFF"/>
          </w:tcPr>
          <w:p w14:paraId="008301D3"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Significant correlations between PUTS and YGTSS scores at baseline (p &lt; 0.001) and follow-up (p = 0.024). (correlation magnitudes not reported in the publication)</w:t>
            </w:r>
          </w:p>
        </w:tc>
      </w:tr>
      <w:tr w:rsidR="005845AF" w:rsidRPr="008A1F40" w14:paraId="0DABEDD2" w14:textId="77777777" w:rsidTr="007F77D2">
        <w:trPr>
          <w:trHeight w:val="495"/>
          <w:tblCellSpacing w:w="15" w:type="dxa"/>
        </w:trPr>
        <w:tc>
          <w:tcPr>
            <w:tcW w:w="0" w:type="auto"/>
            <w:shd w:val="clear" w:color="auto" w:fill="FFFFFF"/>
          </w:tcPr>
          <w:p w14:paraId="6963D404" w14:textId="7754A13C"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Brandt et al (2016)</w:t>
            </w:r>
            <w:r w:rsidR="005845AF">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NTljYTZjN2ItNDFjMy00MTg2LWFhNTItZjIwZTgyYTNkZWM0IiwicHJvcGVydGllcyI6eyJub3RlSW5kZXgiOjB9LCJpc0VkaXRlZCI6ZmFsc2UsIm1hbnVhbE92ZXJyaWRlIjp7ImlzTWFudWFsbHlPdmVycmlkZGVuIjpmYWxzZSwiY2l0ZXByb2NUZXh0IjoiKDExKSIsIm1hbnVhbE92ZXJyaWRlVGV4dCI6IiJ9LCJjaXRhdGlvbkl0ZW1zIjpbeyJpZCI6ImFkZTRmY2VmLTdmOTYtMzkwZC04MDY3LTIwMWQzNGI1ODJhYiIsIml0ZW1EYXRhIjp7InR5cGUiOiJhcnRpY2xlLWpvdXJuYWwiLCJpZCI6ImFkZTRmY2VmLTdmOTYtMzkwZC04MDY3LTIwMWQzNGI1ODJhYiIsInRpdGxlIjoiQ29udmVyZ2VudCB2YWxpZGl0eSBvZiB0aGUgUFVUUyIsImdyb3VwSWQiOiIwN2Q2MmFjMS01YWE4LTM5YWYtYjQ5ZS01MmQyMDg4YWM1NzEiLCJhdXRob3IiOlt7ImZhbWlseSI6IkJyYW5kdCIsImdpdmVuIjoiVmFsZXJpZSBDYXRow6lyaW5lIiwicGFyc2UtbmFtZXMiOmZhbHNlLCJkcm9wcGluZy1wYXJ0aWNsZSI6IiIsIm5vbi1kcm9wcGluZy1wYXJ0aWNsZSI6IiJ9LHsiZmFtaWx5IjoiQmVjayIsImdpdmVuIjoiQ2hyaXN0aWFuIiwicGFyc2UtbmFtZXMiOmZhbHNlLCJkcm9wcGluZy1wYXJ0aWNsZSI6IiIsIm5vbi1kcm9wcGluZy1wYXJ0aWNsZSI6IiJ9LHsiZmFtaWx5IjoiU2FqaW4iLCJnaXZlbiI6IlZhbGVyaWEiLCJwYXJzZS1uYW1lcyI6ZmFsc2UsImRyb3BwaW5nLXBhcnRpY2xlIjoiIiwibm9uLWRyb3BwaW5nLXBhcnRpY2xlIjoiIn0seyJmYW1pbHkiOiJBbmRlcnMiLCJnaXZlbiI6IlNpbGtlIiwicGFyc2UtbmFtZXMiOmZhbHNlLCJkcm9wcGluZy1wYXJ0aWNsZSI6IiIsIm5vbi1kcm9wcGluZy1wYXJ0aWNsZSI6IiJ9LHsiZmFtaWx5IjoiTcO8bmNoYXUiLCJnaXZlbiI6IkFsZXhhbmRlciIsInBhcnNlLW5hbWVzIjpmYWxzZSwiZHJvcHBpbmctcGFydGljbGUiOiIiLCJub24tZHJvcHBpbmctcGFydGljbGUiOiIifV0sImNvbnRhaW5lci10aXRsZSI6IkZyb250aWVycyBpbiBQc3ljaGlhdHJ5IiwiRE9JIjoiMTAuMzM4OS9mcHN5dC4yMDE2LjAwMDUxIiwiSVNTTiI6IjE2NjQwNjQwIiwiaXNzdWVkIjp7ImRhdGUtcGFydHMiOltbMjAxNiw0LDddXX0sImFic3RyYWN0IjoiUHJlbW9uaXRvcnkgdXJnZXMgYXJlIGEgY2FyZGluYWwgZmVhdHVyZSBpbiBHaWxsZXMgZGUgbGEgVG91cmV0dGUgc3luZHJvbWUuIFNldmVyaXR5IG9mIHByZW1vbml0b3J5IHVyZ2VzIGNhbiBiZSBhc3Nlc3NlZCB3aXRoIHRoZSBcIlByZW1vbml0b3J5IFVyZ2UgZm9yIFRpYyBEaXNvcmRlcnMgU2NhbGVcIiAoUFVUUykuIEhvd2V2ZXIsIGNvbnZlcmdlbnQgdmFsaWRpdHkgb2YgdGhlIG1lYXN1cmUgaGFzIGJlZW4gZGlmZmljdWx0IHRvIGFzc2VzcyBkdWUgdG8gdGhlIGxhY2sgb2Ygb3RoZXIgdXJnZSBtZWFzdXJlcy4gV2UgaW52ZXN0aWdhdGVkIHRoZSByZWxhdGlvbnNoaXAgYmV0d2VlbiBhdmVyYWdlIHJlYWwtdGltZSB1cmdlIGludGVuc2l0eSBhc3Nlc3NlZCBieSBhbiBpbi1ob3VzZSBkZXZlbG9wZWQgcmVhbC10aW1lIHVyZ2UgbW9uaXRvciAoUlVNKSwgbWVhc3VyaW5nIHVyZ2UgaW50ZW5zaXR5IGNvbnRpbnVvdXNseSBmb3IgNSBtaW4gb24gYSB2aXN1YWwgYW5hbG9nIHNjYWxlLCBhbmQgZ2VuZXJhbCB1cmdlIGludGVuc2l0eSBhc3Nlc3NlZCBieSB0aGUgUFVUUyBpbiAyMiBhZHVsdCBUb3VyZXR0ZSBwYXRpZW50cyAobWVhbiBhZ2UgMjkuOCDCsSAxMC4zIFNELCAxOSBtYWxlcykuIEFkZGl0aW9uYWxseSwgdW5kZXJseWluZyBmYWN0b3JzIG9mIHByZW1vbml0b3J5IHVyZ2VzIGFzc2Vzc2VkIGJ5IHRoZSBQVVRTIHdlcmUgaW52ZXN0aWdhdGVkIGluIHRoZSBhZHVsdCBzYW1wbGUgdXNpbmcgZmFjdG9yIGFuYWx5c2lzIGFuZCB3ZXJlIHJlcGxpY2F0ZWQgaW4gNDAgY2hpbGRyZW4gYW5kIGFkb2xlc2NlbnRzIGRpYWdub3NlZCB3aXRoIFRvdXJldHRlIHN5bmRyb21lIChtZWFuIGFnZSAxMi4wNSDCsSAyLjgzIFNELCAzMSBtYWxlcykuIENyb25iYWNoJ3MgYSBmb3IgdGhlIFBVVFMgMTAgd2FzIGFjY2VwdGFibGUgKM6xID0gMC43OSkgaW4gdGhlIGFkdWx0IHNhbXBsZS4gQ29udmVyZ2VudCB2YWxpZGl0eSBiZXR3ZWVuIGF2ZXJhZ2UgcmVhbC10aW1lIHVyZ2UgaW50ZW5zaXR5IHNjb3JlcyAoYXMgYXNzZXNzZWQgd2l0aCB0aGUgUlVNKSBhbmQgdGhlIDEwLWl0ZW0gdmVyc2lvbiBvZiB0aGUgUFVUUyAociA9IDAuNjQpIGFuZCB0aGUgOS1pdGVtIHZlcnNpb24gb2YgdGhlIFBVVFMgKHIgPSAwLjY2KSB3YXMgZ29vZC4gQSBmYWN0b3IgYW5hbHlzaXMgaW5jbHVkaW5nIHRoZSAxMCBpdGVtcyBvZiB0aGUgUFVUUyBhbmQgYXZlcmFnZSByZWFsLXRpbWUgdXJnZSBpbnRlbnNpdHkgc2NvcmVzIHJldmVhbGVkIHRocmVlIGZhY3RvcnMuIE9uZSBmYWN0b3IgaW5jbHVkZWQgdGhlIGF2ZXJhZ2UgcmVhbC10aW1lIHVyZ2UgaW50ZW5zaXR5IHNjb3JlIGFuZCBhcHBlYXJlZCB0byBtZWFzdXJlIHVyZ2UgaW50ZW5zaXR5LCB3aGVyZWFzIHRoZSBvdGhlciB0d28gZmFjdG9ycyBjYW4gYmUgYXNzdW1lZCB0byByZWZsZWN0IHRoZSAoc2Vuc29yeSkgcXVhbGl0eSBvZiB1cmdlcyBhbmQgc3ViamVjdGl2ZSBjb250cm9sLCByZXNwZWN0aXZlbHkuIFRoZSBmYWN0b3Igc3RydWN0dXJlIG9mIHRoZSAxMCBQVVRTIGl0ZW1zIGFsb25lIHdhcyByZXBsaWNhdGVkIGluIGEgc2FtcGxlIG9mIGNoaWxkcmVuIGFuZCBhZG9sZXNjZW50cy4gVGhlIHJlc3VsdHMgaW5kaWNhdGUgdGhhdCBjb252ZXJnZW50IHZhbGlkaXR5IGJldHdlZW4gdGhlIFBVVFMgYW5kIHRoZSByZWFsLXRpbWUgdXJnZSBhc3Nlc3NtZW50IG1vbml0b3IgaXMgZ29vZC4gRnVydGhlcm1vcmUsIHRoZSByZXN1bHRzIHN1Z2dlc3QgdGhhdCB0aGUgUFVUUyBtaWdodCBhc3Nlc3MgbW9yZSB0aGFuIG9uZSBkaW1lbnNpb24gb2YgdXJnZXMsIGFuZCBpdCBtYXkgYmUgd29ydGh3aGlsZSBkZXZlbG9waW5nIGRpZmZlcmVudCBzdWJzY2FsZXMgb2YgdGhlIFBVVFMgYXNzZXNzaW5nIHByZW1vbml0b3J5IHVyZ2VzIGluIHRlcm1zIG9mIGludGVuc2l0eSBhbmQgcXVhbGl0eSwgYXMgd2VsbCBhcyBzdWJqZWN0aXZlbHkgZXhwZXJpZW5jZWQgY29udHJvbCBvdmVyIHRpY3MgYW5kIHByZW1vbml0b3J5IHVyZ2VzLiIsInB1Ymxpc2hlciI6IkZyb250aWVycyBSZXNlYXJjaCBGb3VuZGF0aW9uIiwiaXNzdWUiOiJBUFIiLCJ2b2x1bWUiOiI3IiwiY29udGFpbmVyLXRpdGxlLXNob3J0IjoiRnJvbnQgUHN5Y2hpYXRyeSJ9LCJpc1RlbXBvcmFyeSI6ZmFsc2V9XX0="/>
                <w:id w:val="-1474060726"/>
                <w:placeholder>
                  <w:docPart w:val="DefaultPlaceholder_-1854013440"/>
                </w:placeholder>
              </w:sdtPr>
              <w:sdtContent>
                <w:r w:rsidR="00F04E9F" w:rsidRPr="00F04E9F">
                  <w:rPr>
                    <w:rFonts w:eastAsia="Times New Roman" w:cs="Times New Roman"/>
                    <w:color w:val="000000"/>
                    <w:sz w:val="16"/>
                    <w:szCs w:val="16"/>
                  </w:rPr>
                  <w:t>(11)</w:t>
                </w:r>
              </w:sdtContent>
            </w:sdt>
          </w:p>
        </w:tc>
        <w:tc>
          <w:tcPr>
            <w:tcW w:w="0" w:type="auto"/>
            <w:shd w:val="clear" w:color="auto" w:fill="FFFFFF"/>
          </w:tcPr>
          <w:p w14:paraId="35C99112"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PUTS 9 and PUTS 10 scores vs. YGTSS motor tic scores</w:t>
            </w:r>
          </w:p>
        </w:tc>
        <w:tc>
          <w:tcPr>
            <w:tcW w:w="0" w:type="auto"/>
            <w:shd w:val="clear" w:color="auto" w:fill="FFFFFF"/>
          </w:tcPr>
          <w:p w14:paraId="10CF1D6F"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22 individuals aged 17-55 with TS</w:t>
            </w:r>
          </w:p>
        </w:tc>
        <w:tc>
          <w:tcPr>
            <w:tcW w:w="0" w:type="auto"/>
            <w:shd w:val="clear" w:color="auto" w:fill="FFFFFF"/>
          </w:tcPr>
          <w:p w14:paraId="74A8E025" w14:textId="77777777"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shd w:val="clear" w:color="auto" w:fill="FFFFFF"/>
              </w:rPr>
              <w:t>Significant Pearson’s correlations between YGTSS motor tic severity and both PUTS 10 (r = 0.43, p = 0.048) and PUTS 9 (r = 0.48, p = 0.025)</w:t>
            </w:r>
          </w:p>
        </w:tc>
      </w:tr>
      <w:tr w:rsidR="005845AF" w:rsidRPr="008A1F40" w14:paraId="094DDD0D" w14:textId="77777777" w:rsidTr="007F77D2">
        <w:trPr>
          <w:trHeight w:val="495"/>
          <w:tblCellSpacing w:w="15" w:type="dxa"/>
        </w:trPr>
        <w:tc>
          <w:tcPr>
            <w:tcW w:w="0" w:type="auto"/>
            <w:shd w:val="clear" w:color="auto" w:fill="FFFFFF"/>
          </w:tcPr>
          <w:p w14:paraId="17CF46DE" w14:textId="78C64562"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Brandt et al (2014)</w:t>
            </w:r>
            <w:r w:rsidR="005845AF">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ZDQ0NTY5NzMtN2IyOC00MTYwLTk5ODItNGU1NTc0OTNjMmUyIiwicHJvcGVydGllcyI6eyJub3RlSW5kZXgiOjB9LCJpc0VkaXRlZCI6ZmFsc2UsIm1hbnVhbE92ZXJyaWRlIjp7ImlzTWFudWFsbHlPdmVycmlkZGVuIjpmYWxzZSwiY2l0ZXByb2NUZXh0IjoiKDQyKSIsIm1hbnVhbE92ZXJyaWRlVGV4dCI6IiJ9LCJjaXRhdGlvbkl0ZW1zIjpbeyJpZCI6IjZlZGZkMjczLWQ4NGQtMzQwYS05MzhhLTQ0M2MyZmI3NzIxYyIsIml0ZW1EYXRhIjp7InR5cGUiOiJhcnRpY2xlLWpvdXJuYWwiLCJpZCI6IjZlZGZkMjczLWQ4NGQtMzQwYS05MzhhLTQ0M2MyZmI3NzIxYyIsInRpdGxlIjoiQWx0ZXJlZCBzeW5hcHRpYyBwbGFzdGljaXR5IGluIFRvdXJldHRlJ3Mgc3luZHJvbWUgYW5kIGl0cyByZWxhdGlvbnNoaXAgdG8gbW90b3Igc2tpbGwgbGVhcm5pbmciLCJncm91cElkIjoiMDdkNjJhYzEtNWFhOC0zOWFmLWI0OWUtNTJkMjA4OGFjNTcxIiwiYXV0aG9yIjpbeyJmYW1pbHkiOiJCcmFuZHQiLCJnaXZlbiI6IlYgQyIsInBhcnNlLW5hbWVzIjpmYWxzZSwiZHJvcHBpbmctcGFydGljbGUiOiIiLCJub24tZHJvcHBpbmctcGFydGljbGUiOiIifSx7ImZhbWlseSI6Ik5pZXNzZW4iLCJnaXZlbiI6IkUiLCJwYXJzZS1uYW1lcyI6ZmFsc2UsImRyb3BwaW5nLXBhcnRpY2xlIjoiIiwibm9uLWRyb3BwaW5nLXBhcnRpY2xlIjoiIn0seyJmYW1pbHkiOiJHYW5vcyIsImdpdmVuIjoiQyIsInBhcnNlLW5hbWVzIjpmYWxzZSwiZHJvcHBpbmctcGFydGljbGUiOiIiLCJub24tZHJvcHBpbmctcGFydGljbGUiOiIifSx7ImZhbWlseSI6IkthaGwiLCJnaXZlbiI6IlUiLCJwYXJzZS1uYW1lcyI6ZmFsc2UsImRyb3BwaW5nLXBhcnRpY2xlIjoiIiwibm9uLWRyb3BwaW5nLXBhcnRpY2xlIjoiIn0seyJmYW1pbHkiOiJCw6R1bWVyIiwiZ2l2ZW4iOiJUIiwicGFyc2UtbmFtZXMiOmZhbHNlLCJkcm9wcGluZy1wYXJ0aWNsZSI6IiIsIm5vbi1kcm9wcGluZy1wYXJ0aWNsZSI6IiJ9LHsiZmFtaWx5IjoiTcO8bmNoYXUiLCJnaXZlbiI6IkEiLCJwYXJzZS1uYW1lcyI6ZmFsc2UsImRyb3BwaW5nLXBhcnRpY2xlIjoiIiwibm9uLWRyb3BwaW5nLXBhcnRpY2xlIjoiIn1dLCJjb250YWluZXItdGl0bGUiOiJQTG9TIE9uZSIsIkRPSSI6IjEwLjEzNzEvam91cm5hbC5wb25lLjAwOTg0MTciLCJQTUlEIjoiMjQ4Nzg2NjUiLCJpc3N1ZWQiOnsiZGF0ZS1wYXJ0cyI6W1syMDE0XV19LCJwYWdlIjoiZTk4NDE3LSIsImFic3RyYWN0IjoiR2lsbGVzIGRlIGxhIFRvdXJldHRlIHN5bmRyb21lIGlzIGEgbmV1cm9wc3ljaGlhdHJpYyBkaXNvcmRlciBjaGFyYWN0ZXJpemVkIGJ5IG1vdG9yIGFuZCBwaG9uaWMgdGljcyB0aGF0IGNhbiBiZSBjb25zaWRlcmVkIG1vdG9yIHJlc3BvbnNlcyB0byBwcmVjZWRpbmcgaW5uZXIgdXJnZXMuIEl0IGhhcyBiZWVuIHNob3duIHRoYXQgVG91cmV0dGUgcGF0aWVudHMgaGF2ZSBpbmZlcmlvciBwZXJmb3JtYW5jZSBpbiBzb21lIG1vdG9yIGxlYXJuaW5nIHRhc2tzIGFuZCByZWR1Y2VkIHN5bmFwdGljIHBsYXN0aWNpdHkgaW5kdWNlZCBieSB0cmFuc2NyYW5pYWwgbWFnbmV0aWMgc3RpbXVsYXRpb24uIEhvd2V2ZXIsIGl0IGhhcyBub3QgYmVlbiBpbnZlc3RpZ2F0ZWQgd2hldGhlciBhbHRlcmVkIHN5bmFwdGljIHBsYXN0aWNpdHkgaXMgZGlyZWN0bHkgbGlua2VkIHRvIGltcGFpcmVkIG1vdG9yIHNraWxsIGFjcXVpc2l0aW9uIGluIFRvdXJldHRlIHBhdGllbnRzLiBJbiB0aGlzIHN0dWR5LCBjb3J0aWNhbCBwbGFzdGljaXR5IHdhcyBhc3Nlc3NlZCBieSBtZWFzdXJpbmcgbW90b3ItZXZva2VkIHBvdGVudGlhbHMgYmVmb3JlIGFuZCBhZnRlciBwYWlyZWQgYXNzb2NpYXRpdmUgc3RpbXVsYXRpb24gaW4gMTQgVG91cmV0dGUgcGF0aWVudHMgKDEzIG1hbGU7IGFnZSAxOC0zOSkgYW5kIDE1IGhlYWx0aHkgY29udHJvbHMgKDEyIG1hbGU7IGFnZSAxOC0zMykuIFRpYyBhbmQgdXJnZSBzZXZlcml0eSB3ZXJlIGFzc2Vzc2VkIHVzaW5nIHRoZSBZYWxlIEdsb2JhbCBUaWMgU2V2ZXJpdHkgU2NhbGUgYW5kIHRoZSBQcmVtb25pdG9yeSBVcmdlcyBmb3IgVGljcyBTY2FsZS4gTW90b3IgbGVhcm5pbmcgd2FzIGFzc2Vzc2VkIDQ1IG1pbnV0ZXMgYWZ0ZXIgaW5kdWNpbmcgc3luYXB0aWMgcGxhc3RpY2l0eSBhbmQgOSBtb250aHMgbGF0ZXIsIHVzaW5nIHRoZSByb3RhcnkgcHVyc3VpdCB0YXNrLiBPbiBhdmVyYWdlLCBsb25nLXRlcm0gcG90ZW50aWF0aW9uLWxpa2UgZWZmZWN0cyBpbiByZXNwb25zZSB0byB0aGUgcGFpcmVkIGFzc29jaWF0aXZlIHN0aW11bGF0aW9uIHdlcmUgcHJlc2VudCBpbiBoZWFsdGh5IGNvbnRyb2xzIGJ1dCBub3QgaW4gcGF0aWVudHMuIEluIFRvdXJldHRlIHBhdGllbnRzLCBsb25nLXRlcm0gcG90ZW50aWF0aW9uLWxpa2UgZWZmZWN0cyB3ZXJlIGFzc29jaWF0ZWQgd2l0aCBtb3JlIGFuZCBsb25nLXRlcm0gZGVwcmVzc2lvbi1saWtlIGVmZmVjdHMgd2l0aCBsZXNzIHNldmVyZSB1cmdlcyBhbmQgdGljcy4gV2hpbGUgbW90b3IgbGVhcm5pbmcgZGlkIG5vdCBkaWZmZXIgYmV0d2VlbiBwYXRpZW50cyBhbmQgaGVhbHRoeSBjb250cm9scyA0NSBtaW51dGVzIGFmdGVyIGluZHVjaW5nIHN5bmFwdGljIHBsYXN0aWNpdHksIHRoZSBsZWFybmluZyBjdXJ2ZSBvZiB0aGUgaGVhbHRoeSBjb250cm9scyBzdGFydGVkIGF0IGEgc2lnbmlmaWNhbnRseSBoaWdoZXIgbGV2ZWwgdGhhbiB0aGUgVG91cmV0dGUgcGF0aWVudHMnIDkgbW9udGhzIGxhdGVyLiBJbmR1Y2VkIHN5bmFwdGljIHBsYXN0aWNpdHkgY29ycmVsYXRlZCBwb3NpdGl2ZWx5IHdpdGggbW90b3Igc2tpbGxzIGluIGhlYWx0aHkgY29udHJvbHMgOSBtb250aHMgbGF0ZXIuIFRoZSBwcmVzZW50IHN0dWR5IGNvbmZpcm1zIHByZXZpb3VzbHkgZm91bmQgbG9uZy10ZXJtIGltcHJvdmVtZW50IGluIG1vdG9yIHBlcmZvcm1hbmNlIGFmdGVyIHBhaXJlZCBhc3NvY2lhdGl2ZSBzdGltdWxhdGlvbiBpbiBoZWFsdGh5IGNvbnRyb2xzIGJ1dCBub3QgaW4gVG91cmV0dGUgcGF0aWVudHMuIFRvdXJldHRlIHBhdGllbnRzIGRpZCBub3Qgc2hvdyBsb25nLXRlcm0gcG90ZW50aWF0aW9uIGluIHJlc3BvbnNlIHRvIFBBUyBhbmQgYWxzbyBzaG93ZWQgcmVkdWNlZCBsZXZlbHMgb2YgbW90b3Igc2tpbGwgY29uc29saWRhdGlvbiBhZnRlciA5IG1vbnRocyBjb21wYXJlZCB0byBoZWFsdGh5IGNvbnRyb2xzLiBNb3Jlb3Zlciwgc3luYXB0aWMgcGxhc3RpY2l0eSBhcHBlYXJzIHRvIGJlIHJlbGF0ZWQgdG8gc3ltcHRvbSBzZXZlcml0eS4iLCJpc3N1ZSI6IjUiLCJ2b2x1bWUiOiI5IiwiY29udGFpbmVyLXRpdGxlLXNob3J0IjoiUExvUyBPbmUifSwiaXNUZW1wb3JhcnkiOmZhbHNlfV19"/>
                <w:id w:val="1073086763"/>
                <w:placeholder>
                  <w:docPart w:val="DefaultPlaceholder_-1854013440"/>
                </w:placeholder>
              </w:sdtPr>
              <w:sdtContent>
                <w:r w:rsidR="00F04E9F" w:rsidRPr="00F04E9F">
                  <w:rPr>
                    <w:rFonts w:eastAsia="Times New Roman" w:cs="Times New Roman"/>
                    <w:color w:val="000000"/>
                    <w:sz w:val="16"/>
                    <w:szCs w:val="16"/>
                  </w:rPr>
                  <w:t>(42)</w:t>
                </w:r>
              </w:sdtContent>
            </w:sdt>
          </w:p>
        </w:tc>
        <w:tc>
          <w:tcPr>
            <w:tcW w:w="0" w:type="auto"/>
            <w:shd w:val="clear" w:color="auto" w:fill="FFFFFF"/>
          </w:tcPr>
          <w:p w14:paraId="05DE6142"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PUTS and YGTSS-TTS</w:t>
            </w:r>
          </w:p>
        </w:tc>
        <w:tc>
          <w:tcPr>
            <w:tcW w:w="0" w:type="auto"/>
            <w:shd w:val="clear" w:color="auto" w:fill="FFFFFF"/>
          </w:tcPr>
          <w:p w14:paraId="3F45D3B4"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12 adults with TS</w:t>
            </w:r>
          </w:p>
        </w:tc>
        <w:tc>
          <w:tcPr>
            <w:tcW w:w="0" w:type="auto"/>
            <w:shd w:val="clear" w:color="auto" w:fill="FFFFFF"/>
          </w:tcPr>
          <w:p w14:paraId="74D7791A" w14:textId="77777777" w:rsidR="00986E35" w:rsidRPr="005845AF" w:rsidRDefault="00986E35" w:rsidP="007F77D2">
            <w:pPr>
              <w:rPr>
                <w:rFonts w:cs="Times New Roman"/>
                <w:color w:val="000000" w:themeColor="text1"/>
                <w:sz w:val="16"/>
                <w:szCs w:val="16"/>
                <w:shd w:val="clear" w:color="auto" w:fill="FFFFFF"/>
              </w:rPr>
            </w:pPr>
            <w:r w:rsidRPr="005845AF">
              <w:rPr>
                <w:rStyle w:val="Emphasis"/>
                <w:rFonts w:cs="Times New Roman"/>
                <w:i w:val="0"/>
                <w:iCs w:val="0"/>
                <w:color w:val="000000" w:themeColor="text1"/>
                <w:sz w:val="16"/>
                <w:szCs w:val="16"/>
                <w:shd w:val="clear" w:color="auto" w:fill="FFFFFF"/>
              </w:rPr>
              <w:t>Significant correlation between PUTS and YGTSS-TTS (r</w:t>
            </w:r>
            <w:r w:rsidRPr="005845AF">
              <w:rPr>
                <w:rFonts w:cs="Times New Roman"/>
                <w:color w:val="000000" w:themeColor="text1"/>
                <w:sz w:val="16"/>
                <w:szCs w:val="16"/>
                <w:shd w:val="clear" w:color="auto" w:fill="FFFFFF"/>
              </w:rPr>
              <w:t>   = 0.63, </w:t>
            </w:r>
            <w:r w:rsidRPr="005845AF">
              <w:rPr>
                <w:rStyle w:val="Emphasis"/>
                <w:rFonts w:cs="Times New Roman"/>
                <w:i w:val="0"/>
                <w:iCs w:val="0"/>
                <w:color w:val="000000" w:themeColor="text1"/>
                <w:sz w:val="16"/>
                <w:szCs w:val="16"/>
                <w:shd w:val="clear" w:color="auto" w:fill="FFFFFF"/>
              </w:rPr>
              <w:t>p</w:t>
            </w:r>
            <w:r w:rsidRPr="005845AF">
              <w:rPr>
                <w:rFonts w:cs="Times New Roman"/>
                <w:color w:val="000000" w:themeColor="text1"/>
                <w:sz w:val="16"/>
                <w:szCs w:val="16"/>
                <w:shd w:val="clear" w:color="auto" w:fill="FFFFFF"/>
              </w:rPr>
              <w:t xml:space="preserve"> = 0.038) </w:t>
            </w:r>
            <w:r w:rsidRPr="005845AF">
              <w:rPr>
                <w:rFonts w:eastAsia="Times New Roman" w:cs="Times New Roman"/>
                <w:color w:val="000000" w:themeColor="text1"/>
                <w:sz w:val="16"/>
                <w:szCs w:val="16"/>
              </w:rPr>
              <w:t>(</w:t>
            </w:r>
            <w:r w:rsidRPr="005845AF">
              <w:rPr>
                <w:rFonts w:eastAsia="Times New Roman" w:cs="Times New Roman"/>
                <w:color w:val="0D0D0D"/>
                <w:sz w:val="16"/>
                <w:szCs w:val="16"/>
              </w:rPr>
              <w:t>correlation type unclear from publication)</w:t>
            </w:r>
          </w:p>
        </w:tc>
      </w:tr>
    </w:tbl>
    <w:p w14:paraId="470BE395" w14:textId="77777777" w:rsidR="00986E35" w:rsidRPr="008A1F40" w:rsidRDefault="00986E35" w:rsidP="00986E35">
      <w:pPr>
        <w:rPr>
          <w:rFonts w:cs="Times New Roman"/>
          <w:sz w:val="16"/>
          <w:szCs w:val="16"/>
        </w:rPr>
      </w:pPr>
      <w:r w:rsidRPr="008A1F40">
        <w:rPr>
          <w:rFonts w:cs="Times New Roman"/>
          <w:sz w:val="16"/>
          <w:szCs w:val="16"/>
        </w:rPr>
        <w:t>TS = Tourette Syndrome, CTDs = chronic tic diso</w:t>
      </w:r>
      <w:r w:rsidRPr="008A1F40">
        <w:rPr>
          <w:rFonts w:cs="Times New Roman"/>
          <w:color w:val="000000" w:themeColor="text1"/>
          <w:sz w:val="16"/>
          <w:szCs w:val="16"/>
        </w:rPr>
        <w:t>rders</w:t>
      </w:r>
      <w:r w:rsidRPr="008A1F40">
        <w:rPr>
          <w:rFonts w:cs="Times New Roman"/>
          <w:sz w:val="16"/>
          <w:szCs w:val="16"/>
        </w:rPr>
        <w:t xml:space="preserve">, YGTSS = Yale Global Tic Severity Scale, TTS = Total Tic Score, MRVS = </w:t>
      </w:r>
      <w:r w:rsidRPr="008A1F40">
        <w:rPr>
          <w:rFonts w:cs="Times New Roman"/>
          <w:color w:val="000000"/>
          <w:sz w:val="16"/>
          <w:szCs w:val="16"/>
          <w:shd w:val="clear" w:color="auto" w:fill="FFFFFF"/>
        </w:rPr>
        <w:t>Modified Rush Video-Based Tic Rating Scale</w:t>
      </w:r>
      <w:r w:rsidRPr="008A1F40">
        <w:rPr>
          <w:rFonts w:cs="Times New Roman"/>
          <w:sz w:val="16"/>
          <w:szCs w:val="16"/>
        </w:rPr>
        <w:t xml:space="preserve">, BATS = Beliefs About Tics Scale, DTS = Distress Tolerance Scale, FAI = Functional Assessment Interview, DOCS = Dimensional Obsessive-Compulsive scale, MAIA-2 = </w:t>
      </w:r>
      <w:r w:rsidRPr="008A1F40">
        <w:rPr>
          <w:rFonts w:cs="Times New Roman"/>
          <w:color w:val="000000" w:themeColor="text1"/>
          <w:sz w:val="16"/>
          <w:szCs w:val="16"/>
        </w:rPr>
        <w:t>Multidimensional Assessment of Interoceptive Awareness, Version 2</w:t>
      </w:r>
      <w:r w:rsidRPr="008A1F40">
        <w:rPr>
          <w:rFonts w:cs="Times New Roman"/>
          <w:sz w:val="16"/>
          <w:szCs w:val="16"/>
        </w:rPr>
        <w:t xml:space="preserve">, SCARED-C = </w:t>
      </w:r>
      <w:r w:rsidRPr="008A1F40">
        <w:rPr>
          <w:rFonts w:cs="Times New Roman"/>
          <w:color w:val="000000" w:themeColor="text1"/>
          <w:sz w:val="16"/>
          <w:szCs w:val="16"/>
        </w:rPr>
        <w:t xml:space="preserve">Screen for Child Anxiety Related Emotional Disorders - Child Version, PTQ = Parent Tic Questionnaire, PUTS = Premonitory Urge for Tics Scale, ATQ = Adult Tics Questionnaire, Y-BOCS = </w:t>
      </w:r>
      <w:r w:rsidRPr="008A1F40">
        <w:rPr>
          <w:rFonts w:cs="Times New Roman"/>
          <w:sz w:val="16"/>
          <w:szCs w:val="16"/>
        </w:rPr>
        <w:t>Yale Brown Obsessive Compulsive Scale</w:t>
      </w:r>
    </w:p>
    <w:p w14:paraId="2E26A139" w14:textId="77777777" w:rsidR="00986E35" w:rsidRPr="008A1F40" w:rsidRDefault="00986E35" w:rsidP="00986E35">
      <w:pPr>
        <w:rPr>
          <w:rFonts w:cs="Times New Roman"/>
          <w:sz w:val="16"/>
          <w:szCs w:val="16"/>
        </w:rPr>
      </w:pPr>
    </w:p>
    <w:p w14:paraId="61508A4E" w14:textId="0F951E0E" w:rsidR="00986E35" w:rsidRPr="00986E35" w:rsidRDefault="00986E35" w:rsidP="00986E35">
      <w:pPr>
        <w:rPr>
          <w:rFonts w:cs="Times New Roman"/>
          <w:color w:val="000000"/>
          <w:sz w:val="16"/>
          <w:szCs w:val="16"/>
        </w:rPr>
      </w:pPr>
      <w:r w:rsidRPr="008A1F40">
        <w:rPr>
          <w:rFonts w:cs="Times New Roman"/>
          <w:color w:val="000000"/>
          <w:sz w:val="16"/>
          <w:szCs w:val="16"/>
        </w:rPr>
        <w:t>Table 3: Associations Between I-PUTS and Measures of Tics/Tic Disorder Severity</w:t>
      </w:r>
    </w:p>
    <w:tbl>
      <w:tblPr>
        <w:tblW w:w="9210" w:type="dxa"/>
        <w:tblCellSpacing w:w="15" w:type="dxa"/>
        <w:tblBorders>
          <w:top w:val="thinThickSmallGap" w:sz="24" w:space="0" w:color="C4BC96" w:themeColor="background2" w:themeShade="BF"/>
          <w:left w:val="thinThickSmallGap" w:sz="24" w:space="0" w:color="C4BC96" w:themeColor="background2" w:themeShade="BF"/>
          <w:bottom w:val="thickThinSmallGap" w:sz="24" w:space="0" w:color="C4BC96" w:themeColor="background2" w:themeShade="BF"/>
          <w:right w:val="thickThinSmallGap" w:sz="24" w:space="0" w:color="C4BC96" w:themeColor="background2" w:themeShade="BF"/>
          <w:insideH w:val="single" w:sz="6" w:space="0" w:color="C4BC96" w:themeColor="background2" w:themeShade="BF"/>
          <w:insideV w:val="single" w:sz="6" w:space="0" w:color="C4BC96" w:themeColor="background2"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1117"/>
        <w:gridCol w:w="1810"/>
        <w:gridCol w:w="1702"/>
        <w:gridCol w:w="4581"/>
      </w:tblGrid>
      <w:tr w:rsidR="00986E35" w:rsidRPr="008A1F40" w14:paraId="2F9FC260" w14:textId="77777777" w:rsidTr="007F77D2">
        <w:trPr>
          <w:tblHeader/>
          <w:tblCellSpacing w:w="15" w:type="dxa"/>
        </w:trPr>
        <w:tc>
          <w:tcPr>
            <w:tcW w:w="0" w:type="auto"/>
            <w:shd w:val="clear" w:color="auto" w:fill="FFFFFF"/>
            <w:hideMark/>
          </w:tcPr>
          <w:p w14:paraId="69D6B4B7"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Study</w:t>
            </w:r>
          </w:p>
        </w:tc>
        <w:tc>
          <w:tcPr>
            <w:tcW w:w="0" w:type="auto"/>
            <w:shd w:val="clear" w:color="auto" w:fill="FFFFFF"/>
            <w:hideMark/>
          </w:tcPr>
          <w:p w14:paraId="6CDFBD46"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Associations Investigated</w:t>
            </w:r>
          </w:p>
        </w:tc>
        <w:tc>
          <w:tcPr>
            <w:tcW w:w="0" w:type="auto"/>
            <w:shd w:val="clear" w:color="auto" w:fill="FFFFFF"/>
            <w:hideMark/>
          </w:tcPr>
          <w:p w14:paraId="5E6D1CBD"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Sample Size/Demographics</w:t>
            </w:r>
          </w:p>
        </w:tc>
        <w:tc>
          <w:tcPr>
            <w:tcW w:w="0" w:type="auto"/>
            <w:shd w:val="clear" w:color="auto" w:fill="FFFFFF"/>
            <w:hideMark/>
          </w:tcPr>
          <w:p w14:paraId="1AF477AC"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Statistical Methods and Findings</w:t>
            </w:r>
          </w:p>
        </w:tc>
      </w:tr>
      <w:tr w:rsidR="00986E35" w:rsidRPr="008A1F40" w14:paraId="30C3EFEB" w14:textId="77777777" w:rsidTr="007F77D2">
        <w:trPr>
          <w:tblCellSpacing w:w="15" w:type="dxa"/>
        </w:trPr>
        <w:tc>
          <w:tcPr>
            <w:tcW w:w="0" w:type="auto"/>
            <w:shd w:val="clear" w:color="auto" w:fill="FFFFFF"/>
            <w:hideMark/>
          </w:tcPr>
          <w:p w14:paraId="1EF09BE4" w14:textId="53F97AA3"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McGuire et al (2016)</w:t>
            </w:r>
            <w:r w:rsidR="0064487C">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WViYjkwNzYtNjc0YS00YTI1LWIyMmYtYWZmNTI4ZmM4NzdhIiwicHJvcGVydGllcyI6eyJub3RlSW5kZXgiOjB9LCJpc0VkaXRlZCI6ZmFsc2UsIm1hbnVhbE92ZXJyaWRlIjp7ImlzTWFudWFsbHlPdmVycmlkZGVuIjpmYWxzZSwiY2l0ZXByb2NUZXh0IjoiKDQzKSIsIm1hbnVhbE92ZXJyaWRlVGV4dCI6IiJ9LCJjaXRhdGlvbkl0ZW1zIjpbeyJpZCI6ImIxOGVhNzQxLWVlZjYtMzg5ZC05MDIwLTExMzNhOTlhMzgyNCIsIml0ZW1EYXRhIjp7InR5cGUiOiJhcnRpY2xlLWpvdXJuYWwiLCJpZCI6ImIxOGVhNzQxLWVlZjYtMzg5ZC05MDIwLTExMzNhOTlhMzgyNCIsInRpdGxlIjoiVGhlIHByZW1vbml0b3J5IHVyZ2UgcmV2aXNpdGVkOiBBbiBpbmRpdmlkdWFsaXplZCBwcmVtb25pdG9yeSB1cmdlIGZvciB0aWNzIHNjYWxlIiwiZ3JvdXBJZCI6IjA3ZDYyYWMxLTVhYTgtMzlhZi1iNDllLTUyZDIwODhhYzU3MSIsImF1dGhvciI6W3siZmFtaWx5IjoiTWNHdWlyZSIsImdpdmVuIjoiSiBGIiwicGFyc2UtbmFtZXMiOmZhbHNlLCJkcm9wcGluZy1wYXJ0aWNsZSI6IiIsIm5vbi1kcm9wcGluZy1wYXJ0aWNsZSI6IiJ9LHsiZmFtaWx5IjoiTWNCcmlkZSIsImdpdmVuIjoiTiIsInBhcnNlLW5hbWVzIjpmYWxzZSwiZHJvcHBpbmctcGFydGljbGUiOiIiLCJub24tZHJvcHBpbmctcGFydGljbGUiOiIifSx7ImZhbWlseSI6IlBpYWNlbnRpbmkiLCJnaXZlbiI6IkoiLCJwYXJzZS1uYW1lcyI6ZmFsc2UsImRyb3BwaW5nLXBhcnRpY2xlIjoiIiwibm9uLWRyb3BwaW5nLXBhcnRpY2xlIjoiIn0seyJmYW1pbHkiOiJKb2huY28iLCJnaXZlbiI6IkMiLCJwYXJzZS1uYW1lcyI6ZmFsc2UsImRyb3BwaW5nLXBhcnRpY2xlIjoiIiwibm9uLWRyb3BwaW5nLXBhcnRpY2xlIjoiIn0seyJmYW1pbHkiOiJMZXdpbiIsImdpdmVuIjoiQSBCIiwicGFyc2UtbmFtZXMiOmZhbHNlLCJkcm9wcGluZy1wYXJ0aWNsZSI6IiIsIm5vbi1kcm9wcGluZy1wYXJ0aWNsZSI6IiJ9LHsiZmFtaWx5IjoiTXVycGh5IiwiZ2l2ZW4iOiJUIEsiLCJwYXJzZS1uYW1lcyI6ZmFsc2UsImRyb3BwaW5nLXBhcnRpY2xlIjoiIiwibm9uLWRyb3BwaW5nLXBhcnRpY2xlIjoiIn0seyJmYW1pbHkiOiJTdG9yY2giLCJnaXZlbiI6IkUgQSIsInBhcnNlLW5hbWVzIjpmYWxzZSwiZHJvcHBpbmctcGFydGljbGUiOiIiLCJub24tZHJvcHBpbmctcGFydGljbGUiOiIifV0sImNvbnRhaW5lci10aXRsZSI6IkogUHN5Y2hpYXRyIFJlcyIsIkRPSSI6IjEwLjEwMTYvai5qcHN5Y2hpcmVzLjIwMTYuMDkuMDA3IiwiUE1JRCI6IjI3NjQzNDc2IiwiaXNzdWVkIjp7ImRhdGUtcGFydHMiOltbMjAxNl1dfSwicGFnZSI6IjE3Ni0xODMiLCJhYnN0cmFjdCI6IkJBQ0tHUk9VTkQ6IFByZW1vbml0b3J5IHVyZ2UgcmF0aW5ncyBoYXZlIGFkdmFuY2VkIG91ciB1bmRlcnN0YW5kaW5nIG9mIHVyZ2UgcGhlbm9tZW5vbG9neSBhbW9uZyBpbmRpdmlkdWFscyB3aXRoIHRpYyBkaXNvcmRlcnMgKFREKS4gSG93ZXZlciwgdGhlc2UgcmF0aW5ncyBoYXZlIGJlZW4gbGltaXRlZCBieSB0aGVpciByZWxpYW5jZSBvbiBhIHNpbmdsZSBnbG9iYWwgZGltZW5zaW9uIG9mIHVyZ2Ugc2V2ZXJpdHkuIFRoaXMgc3R1ZHkgZXhhbWluZWQgdGhlIHBzeWNob21ldHJpYyBwcm9wZXJ0aWVzIG9mIGEgbm92ZWwgc2NhbGUgY2FsbGVkIHRoZSBJbmRpdmlkdWFsaXplZCBQcmVtb25pdG9yeSBVcmdlIGZvciBUaWNzIFNjYWxlIChJLVBVVFMpIHRoYXQgYXNzZXNzZXMgdXJnZSBzZXZlcml0eSBhY3Jvc3MgbXVsdGlwbGUgZGltZW5zaW9ucyAobnVtYmVyLCBmcmVxdWVuY3ksIGFuZCBpbnRlbnNpdHkpLiBNRVRIT0Q6IFNldmVudHktZml2ZSB5b3V0aCB3aXRoIGEgVEQgYW5kIHRoZWlyIHBhcmVudHMgcGFydGljaXBhdGVkLiBDbGluaWNpYW5zIGFzc2Vzc2VkIHlvdXRoJ3MgdGljIHNldmVyaXR5LCBkZXByZXNzaW9uIHNldmVyaXR5LCByYWdlcywgYW5kIHByZW1vbml0b3J5IHVyZ2VzLiBQYXJlbnRzIGNvbXBsZXRlZCByYXRpbmdzIG9mIHlvdXRoJ3MgYW54aWV0eSwgYWZmZWN0IGxhYmlsaXR5LCBhbmQgZ2VuZXJhbCBwc3ljaG9wYXRob2xvZ3kuIFlvdXRoIGNvbXBsZXRlZCBzZWxmLXJlcG9ydCByYXRpbmdzIG9mIGFueGlldHksIHVyZ2Ugc2V2ZXJpdHksIGFuZCBkaXN0cmVzcyB0b2xlcmFuY2UuIFJFU1VMVFM6IFRoZSBJLVBVVFMgaWRlbnRpZmllZCB0aGF0IHlvdXRoIGV4cGVyaWVuY2VkIGFuIGF2ZXJhZ2Ugb2YgdGhyZWUgZGlzdGluY3QgdXJnZXMsIGJ1dCBoYWQgYW4gYXZlcmFnZSBvZiBzZXZlbiB0aWNzIG92ZXIgdGhlIHBhc3Qgd2Vlay4gVXJnZXMgd2VyZSBwcmltYXJpbHkgbG9jYWxpemVkIGluIHRoZSBoZWFkL2ZhY2UsIG5lY2svdGhyb2F0LCBhbmQgYXJtIHJlZ2lvbnMuIEFsbCBJLVBVVFMgZGltZW5zaW9ucyBleGhpYml0ZWQgZXhjZWxsZW50IGludGVyLXJhdGVyIHJlbGlhYmlsaXR5LiBUaGUgSS1QVVRTIGRpbWVuc2lvbnMgZXhoaWJpdGVkIGdvb2QgY29udmVyZ2VudCB2YWxpZGl0eSB3aXRoIGdsb2JhbCB1cmdlIHJhdGluZ3MgYW5kIHRpYyBzZXZlcml0eSwgYW5kIGFwcHJvcHJpYXRlIGRpdmVyZ2VudCB2YWxpZGl0eSBmcm9tIG90aGVyIGNsaW5pY2FsIGNvbnN0cnVjdHMuIFlvdXRoIHdobyBleGhpYml0ZWQgZGlzY3JlcGFudCByZXBvcnRzIGJldHdlZW4gY2xpbmljaWFuLWFkbWluaXN0ZXJlZCBhbmQgc2VsZi1yZXBvcnQgdXJnZSByYXRpbmdzIGhhZCBsZXNzIGFueGlldHkgYW5kIHRpYyBzZXZlcml0eSwgYW5kIGdyZWF0ZXIgaW5hdHRlbnRpb24gYW5kIGV4dGVybmFsaXppbmcgcHJvYmxlbXMgY29tcGFyZWQgdG8geW91dGggd2hvIGV4aGliaXRlZCBnb29kIGFncmVlbWVudC4gQ09OQ0xVU0lPTlM6IFRoZSBJLVBVVFMgaXMgYSByZWxpYWJsZSBhbmQgdmFsaWQgYXNzZXNzbWVudCBvZiB1cmdlIHBoZW5vbWVuYSwgd2hpY2ggcHJvdmlkZXMgYWRkaXRpb25hbCBhbmQgY29tcGxlbWVudGFyeSBpbmZvcm1hdGlvbiB0byBleGlzdGluZyB1cmdlIHNjYWxlcy4gSXQgaGlnaGxpZ2h0cyB0aGUgZXhpc3RlbmNlIG9mIG11bHRpcGxlIGRpbWVuc2lvbnMgb2YgdXJnZSBzZXZlcml0eSwgYW5kIHByZXNlbnRzIHBhcnRpY3VsYXIgdXRpbGl0eSB3aGVuIGFzc2Vzc2luZyB1cmdlcyBpbiB5b3V0aCB3aXRoIFREIHdobyBoYXZlIGluYXR0ZW50aW9uIGFuZCBleHRlcm5hbGl6aW5nIHByb2JsZW1zLiIsInZvbHVtZSI6IjgzIiwiY29udGFpbmVyLXRpdGxlLXNob3J0IjoiIn0sImlzVGVtcG9yYXJ5IjpmYWxzZX1dfQ=="/>
                <w:id w:val="-313873593"/>
                <w:placeholder>
                  <w:docPart w:val="DefaultPlaceholder_-1854013440"/>
                </w:placeholder>
              </w:sdtPr>
              <w:sdtContent>
                <w:r w:rsidR="00F04E9F" w:rsidRPr="00F04E9F">
                  <w:rPr>
                    <w:rFonts w:eastAsia="Times New Roman" w:cs="Times New Roman"/>
                    <w:color w:val="000000"/>
                    <w:sz w:val="16"/>
                    <w:szCs w:val="16"/>
                  </w:rPr>
                  <w:t>(43)</w:t>
                </w:r>
              </w:sdtContent>
            </w:sdt>
          </w:p>
        </w:tc>
        <w:tc>
          <w:tcPr>
            <w:tcW w:w="0" w:type="auto"/>
            <w:shd w:val="clear" w:color="auto" w:fill="FFFFFF"/>
            <w:hideMark/>
          </w:tcPr>
          <w:p w14:paraId="0F994A74"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I-PUTS (intensity, number, frequency) and YGTSS-TTS / YGTSS Impairment</w:t>
            </w:r>
          </w:p>
        </w:tc>
        <w:tc>
          <w:tcPr>
            <w:tcW w:w="0" w:type="auto"/>
            <w:shd w:val="clear" w:color="auto" w:fill="FFFFFF"/>
            <w:hideMark/>
          </w:tcPr>
          <w:p w14:paraId="06CA08B4"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Data from 73 children with any tic disorder</w:t>
            </w:r>
          </w:p>
        </w:tc>
        <w:tc>
          <w:tcPr>
            <w:tcW w:w="0" w:type="auto"/>
            <w:shd w:val="clear" w:color="auto" w:fill="FFFFFF"/>
            <w:hideMark/>
          </w:tcPr>
          <w:p w14:paraId="0FBC9C96"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YGTSS-TTS significantly correlated with I-PUTS intensity (Spearman’s r = 0.23, p &lt; 0.05) but not with number (</w:t>
            </w:r>
            <w:r w:rsidRPr="008A1F40">
              <w:rPr>
                <w:rFonts w:cs="Times New Roman"/>
                <w:color w:val="000000" w:themeColor="text1"/>
                <w:sz w:val="16"/>
                <w:szCs w:val="16"/>
                <w:shd w:val="clear" w:color="auto" w:fill="FFFFFF"/>
              </w:rPr>
              <w:t xml:space="preserve">Spearman’s r = 0.18) </w:t>
            </w:r>
            <w:r w:rsidRPr="008A1F40">
              <w:rPr>
                <w:rFonts w:eastAsia="Times New Roman" w:cs="Times New Roman"/>
                <w:color w:val="0D0D0D"/>
                <w:sz w:val="16"/>
                <w:szCs w:val="16"/>
              </w:rPr>
              <w:t>or frequency (</w:t>
            </w:r>
            <w:r w:rsidRPr="008A1F40">
              <w:rPr>
                <w:rFonts w:cs="Times New Roman"/>
                <w:color w:val="000000" w:themeColor="text1"/>
                <w:sz w:val="16"/>
                <w:szCs w:val="16"/>
                <w:shd w:val="clear" w:color="auto" w:fill="FFFFFF"/>
              </w:rPr>
              <w:t>Spearman’s r = 0.21)</w:t>
            </w:r>
            <w:r w:rsidRPr="008A1F40">
              <w:rPr>
                <w:rFonts w:eastAsia="Times New Roman" w:cs="Times New Roman"/>
                <w:color w:val="0D0D0D"/>
                <w:sz w:val="16"/>
                <w:szCs w:val="16"/>
              </w:rPr>
              <w:t>. No correlation found between any I-PUTS subscale and YGTSS impairment (all absolute values for r &lt; 0.05).</w:t>
            </w:r>
          </w:p>
          <w:p w14:paraId="51CFED00" w14:textId="77777777" w:rsidR="00986E35" w:rsidRPr="008A1F40" w:rsidRDefault="00986E35" w:rsidP="007F77D2">
            <w:pPr>
              <w:rPr>
                <w:rFonts w:eastAsia="Times New Roman" w:cs="Times New Roman"/>
                <w:color w:val="0D0D0D"/>
                <w:sz w:val="16"/>
                <w:szCs w:val="16"/>
              </w:rPr>
            </w:pPr>
            <w:r w:rsidRPr="008A1F40">
              <w:rPr>
                <w:rFonts w:cs="Times New Roman"/>
                <w:color w:val="000000"/>
                <w:sz w:val="16"/>
                <w:szCs w:val="16"/>
                <w:shd w:val="clear" w:color="auto" w:fill="FFFFFF"/>
              </w:rPr>
              <w:t>*In this study, PUTS scores did not significantly correlate with YGTSS-TTS or YGTSS impairment</w:t>
            </w:r>
          </w:p>
        </w:tc>
      </w:tr>
      <w:tr w:rsidR="00986E35" w:rsidRPr="008A1F40" w14:paraId="06A778B3" w14:textId="77777777" w:rsidTr="007F77D2">
        <w:trPr>
          <w:tblCellSpacing w:w="15" w:type="dxa"/>
        </w:trPr>
        <w:tc>
          <w:tcPr>
            <w:tcW w:w="0" w:type="auto"/>
            <w:shd w:val="clear" w:color="auto" w:fill="FFFFFF"/>
            <w:hideMark/>
          </w:tcPr>
          <w:p w14:paraId="67D7D8D2" w14:textId="22C59A6D"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Larsh et al (2022)</w:t>
            </w:r>
            <w:r w:rsidR="0064487C">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GRkNDMzMzctNjFhYS00Njc5LTkzMjMtYzJjMzk5YjVjYmY4IiwicHJvcGVydGllcyI6eyJub3RlSW5kZXgiOjB9LCJpc0VkaXRlZCI6ZmFsc2UsIm1hbnVhbE92ZXJyaWRlIjp7ImlzTWFudWFsbHlPdmVycmlkZGVuIjpmYWxzZSwiY2l0ZXByb2NUZXh0IjoiKDQ0KSIsIm1hbnVhbE92ZXJyaWRlVGV4dCI6IiJ9LCJjaXRhdGlvbkl0ZW1zIjpbeyJpZCI6ImExMjE0Nzc2LWNhNjktMzZmMi1hZjkyLTdiNWI3NmVhODQ5YiIsIml0ZW1EYXRhIjp7InR5cGUiOiJhcnRpY2xlLWpvdXJuYWwiLCJpZCI6ImExMjE0Nzc2LWNhNjktMzZmMi1hZjkyLTdiNWI3NmVhODQ5YiIsInRpdGxlIjoiRnJvbSB1cmdlcyB0byB0aWNzIGluIGNoaWxkcmVuIHdpdGggVG91cmV0dGUgc3luZHJvbWU6IGFzc29jaWF0aW9ucyB3aXRoIHN1cHBsZW1lbnRhcnkgbW90b3IgYXJlYSBHQUJBIGFuZCByaWdodCBtb3RvciBjb3J0ZXggcGh5c2lvbG9neSIsImdyb3VwSWQiOiIwN2Q2MmFjMS01YWE4LTM5YWYtYjQ5ZS01MmQyMDg4YWM1NzEiLCJhdXRob3IiOlt7ImZhbWlseSI6IkxhcnNoIiwiZ2l2ZW4iOiJUIFIiLCJwYXJzZS1uYW1lcyI6ZmFsc2UsImRyb3BwaW5nLXBhcnRpY2xlIjoiIiwibm9uLWRyb3BwaW5nLXBhcnRpY2xlIjoiIn0seyJmYW1pbHkiOiJIdWRkbGVzdG9uIiwiZ2l2ZW4iOiJEIEEiLCJwYXJzZS1uYW1lcyI6ZmFsc2UsImRyb3BwaW5nLXBhcnRpY2xlIjoiIiwibm9uLWRyb3BwaW5nLXBhcnRpY2xlIjoiIn0seyJmYW1pbHkiOiJIb3JuIiwiZ2l2ZW4iOiJQIFMiLCJwYXJzZS1uYW1lcyI6ZmFsc2UsImRyb3BwaW5nLXBhcnRpY2xlIjoiIiwibm9uLWRyb3BwaW5nLXBhcnRpY2xlIjoiIn0seyJmYW1pbHkiOiJXdSIsImdpdmVuIjoiUyBXIiwicGFyc2UtbmFtZXMiOmZhbHNlLCJkcm9wcGluZy1wYXJ0aWNsZSI6IiIsIm5vbi1kcm9wcGluZy1wYXJ0aWNsZSI6IiJ9LHsiZmFtaWx5IjoiQ2VjaWwiLCJnaXZlbiI6IksgTSIsInBhcnNlLW5hbWVzIjpmYWxzZSwiZHJvcHBpbmctcGFydGljbGUiOiIiLCJub24tZHJvcHBpbmctcGFydGljbGUiOiIifSx7ImZhbWlseSI6IkphY2tzb24iLCJnaXZlbiI6IkggUyIsInBhcnNlLW5hbWVzIjpmYWxzZSwiZHJvcHBpbmctcGFydGljbGUiOiIiLCJub24tZHJvcHBpbmctcGFydGljbGUiOiIifSx7ImZhbWlseSI6IkVkZGVuIiwiZ2l2ZW4iOiJSIEEgRSIsInBhcnNlLW5hbWVzIjpmYWxzZSwiZHJvcHBpbmctcGFydGljbGUiOiIiLCJub24tZHJvcHBpbmctcGFydGljbGUiOiIifSx7ImZhbWlseSI6Ik1vc3RvZnNreSIsImdpdmVuIjoiUyBIIiwicGFyc2UtbmFtZXMiOmZhbHNlLCJkcm9wcGluZy1wYXJ0aWNsZSI6IiIsIm5vbi1kcm9wcGluZy1wYXJ0aWNsZSI6IiJ9LHsiZmFtaWx5IjoiR2lsYmVydCIsImdpdmVuIjoiRCBMIiwicGFyc2UtbmFtZXMiOmZhbHNlLCJkcm9wcGluZy1wYXJ0aWNsZSI6IiIsIm5vbi1kcm9wcGluZy1wYXJ0aWNsZSI6IiJ9XSwiY29udGFpbmVyLXRpdGxlIjoiQ2VyZWJyYWwgY29ydGV4IChOZXcgWW9yaywgTi5ZLiA6IDE5OTEpIiwiRE9JIjoiaHR0cHM6Ly9keC5kb2kub3JnLzEwLjEwOTMvY2VyY29yL2JoYWMzMTYiLCJVUkwiOiJodHRwOi8vb3ZpZHNwLm92aWQuY29tL292aWR3ZWIuY2dpP1Q9SlMmUEFHRT1yZWZlcmVuY2UmRD1lbWV4YiZORVdTPU4mQU49NjM4NzYzNzcwIiwiaXNzdWVkIjp7ImRhdGUtcGFydHMiOltbMjAyMl1dfSwicGFnZSI6Ii0iLCJhYnN0cmFjdCI6IlRvdXJldHRlIHN5bmRyb21lIChUUykgaXMgYSBjaGlsZGhvb2Qtb25zZXQgZGlzb3JkZXIgaW4gd2hpY2ggdGljcyBhcmUgb2Z0ZW4gcHJlY2VkZWQgYnkgcHJlbW9uaXRvcnkgc2Vuc29yeSB1cmdlcy4gTW9yZSBzZXZlcmUgdXJnZXMgY29ycmVsYXRlIHdpdGggd29yc2UgdGljcyBhbmQgY2FuIHJlbmRlciBiZWhhdmlvcmFsIHRoZXJhcGllcyBsZXNzIGVmZmVjdGl2ZS4gVGhlIHN1cHBsZW1lbnRhcnkgbW90b3IgYXJlYSAoU01BKSBpcyBhIHByZWZyb250YWwgcmVnaW9uIGJlbGlldmVkIHRvIGluZmx1ZW5jZSB0aWMgcGVyZm9ybWFuY2UuIFRvIGRldGVybWluZSB3aGV0aGVyIGNvcnRpY2FsIHBoeXNpb2xvZ2ljYWwgcHJvcGVydGllcyBjb3JyZWxhdGUgd2l0aCB1cmdlcyBhbmQgdGljcywgd2UgZXZhbHVhdGVkLCBpbiA4LTEyLXllYXItb2xkIHJpZ2h0LWhhbmRlZCBUUyBjaGlsZHJlbiAobj0xNyksIGNvcnJlbGF0aW9ucyBvZiB1cmdlIGFuZCB0aWMgc2V2ZXJpdHkgc2NvcmVzIGFuZCBjb21wYXJlZCBib3RoIHRvIGNvcnRpY2FsIGV4Y2l0YWJpbGl0eSAoQ0UpIGFuZCBzaG9ydC0gYW5kIGxvbmctaW50ZXJ2YWwgY29ydGljYWwgaW5oaWJpdGlvbiAoU0lDSSBhbmQgTElDSSkgaW4gYm90aCBsZWZ0IGFuZCByaWdodCBNMS4gV2UgYWxzbyBtb2RlbGVkIHRoZXNlIE0xIHRyYW5zY3JhbmlhbCBtYWduZXRpYyBzdGltdWxhdGlvbiBtZWFzdXJlcyB3aXRoIFNNQSBnYW1tYS1hbWlubyBidXR5cmljIGFjaWQgKEdBQkEpIGxldmVscyBpbiBUUyBhbmQgdHlwaWNhbGx5IGRldmVsb3BpbmcgY29udHJvbCBjaGlsZHJlbiAobj0xNikuIFVyZ2UgaW50ZW5zaXR5IGNvcnJlbGF0ZWQgc3Ryb25nbHkgd2l0aCB0aWMgc2NvcmVzLiBNb3JlIHNldmVyZSB1cmdlcyBjb3JyZWxhdGVkIHdpdGggbG93ZXIgQ0UgYW5kIGxlc3MgTElDSSBpbiBib3RoIHJpZ2h0IGFuZCBsZWZ0IE0xLiBVbmV4cGVjdGVkbHksIGluIHJpZ2h0IE0xLCBsb3dlciBDRSBhbmQgbGVzcyBMSUNJIGNvcnJlbGF0ZWQgd2l0aCBsZXNzIHNldmVyZSB0aWNzLiBXZSBmb3VuZCB0aGF0IFNNQSBHQUJBIG1vZHVsYXRpb24gb2YgcmlnaHQsIGJ1dCBub3QgbGVmdCwgTTEgQ0UgYW5kIExJQ0kgZGlmZmVyZWQgaW4gVFMuIFdlIGNvbmNsdWRlIHRoYXQgaW4geW91bmcgY2hpbGRyZW4gd2l0aCBUUywgbG93ZXIgcmlnaHQgTTEgQ0UgYW5kIExJQ0ksIG1vZHVsYXRlZCBieSBTTUEgR0FCQSwgbWF5IHJlZmxlY3QgY29tcGVuc2F0b3J5IG1lY2hhbmlzbXMgdG8gZGltaW5pc2ggdGljcyBpbiByZXNwb25zZSB0byBwcmVtb25pdG9yeSB1cmdlcy5Db3B5cmlnaHQgwqkgVGhlIEF1dGhvcihzKSAyMDIyLiBQdWJsaXNoZWQgYnkgT3hmb3JkIFVuaXZlcnNpdHkgUHJlc3MuIEFsbCByaWdodHMgcmVzZXJ2ZWQuIEZvciBwZXJtaXNzaW9ucywgcGxlYXNlIGUtbWFpbDogam91cm5hbHMucGVybWlzc2lvbkBvdXAuY29tLiIsImNvbnRhaW5lci10aXRsZS1zaG9ydCI6IkNlcmViIENvcnRleCJ9LCJpc1RlbXBvcmFyeSI6ZmFsc2V9XX0="/>
                <w:id w:val="1887454158"/>
                <w:placeholder>
                  <w:docPart w:val="DefaultPlaceholder_-1854013440"/>
                </w:placeholder>
              </w:sdtPr>
              <w:sdtContent>
                <w:r w:rsidR="00F04E9F" w:rsidRPr="00F04E9F">
                  <w:rPr>
                    <w:rFonts w:eastAsia="Times New Roman" w:cs="Times New Roman"/>
                    <w:color w:val="000000"/>
                    <w:sz w:val="16"/>
                    <w:szCs w:val="16"/>
                  </w:rPr>
                  <w:t>(44)</w:t>
                </w:r>
              </w:sdtContent>
            </w:sdt>
          </w:p>
        </w:tc>
        <w:tc>
          <w:tcPr>
            <w:tcW w:w="0" w:type="auto"/>
            <w:shd w:val="clear" w:color="auto" w:fill="FFFFFF"/>
            <w:hideMark/>
          </w:tcPr>
          <w:p w14:paraId="5EA5D0F2"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I-PUTS intensity and YGTSS-TTS</w:t>
            </w:r>
          </w:p>
        </w:tc>
        <w:tc>
          <w:tcPr>
            <w:tcW w:w="0" w:type="auto"/>
            <w:shd w:val="clear" w:color="auto" w:fill="FFFFFF"/>
            <w:hideMark/>
          </w:tcPr>
          <w:p w14:paraId="1A4DB9E5"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17 children with TS</w:t>
            </w:r>
          </w:p>
        </w:tc>
        <w:tc>
          <w:tcPr>
            <w:tcW w:w="0" w:type="auto"/>
            <w:shd w:val="clear" w:color="auto" w:fill="FFFFFF"/>
            <w:hideMark/>
          </w:tcPr>
          <w:p w14:paraId="32E141D6"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Partial Spearman correlation adjusting for age: Strong correlation found between I-PUTS intensity and YGTSS-TTS scores (r = 0.74, p &lt; 0.01).</w:t>
            </w:r>
          </w:p>
        </w:tc>
      </w:tr>
      <w:tr w:rsidR="00986E35" w:rsidRPr="008A1F40" w14:paraId="44596AC8" w14:textId="77777777" w:rsidTr="007F77D2">
        <w:trPr>
          <w:tblCellSpacing w:w="15" w:type="dxa"/>
        </w:trPr>
        <w:tc>
          <w:tcPr>
            <w:tcW w:w="0" w:type="auto"/>
            <w:shd w:val="clear" w:color="auto" w:fill="FFFFFF"/>
            <w:hideMark/>
          </w:tcPr>
          <w:p w14:paraId="61CE2937" w14:textId="7CF0FCD0"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lastRenderedPageBreak/>
              <w:t>Batschelett et al (2023)</w:t>
            </w:r>
            <w:r w:rsidR="0064487C">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WY0NDU2MTUtNjc1Yi00ZjI1LWFmMDgtNzZjNmQ2ZTI3MzJmIiwicHJvcGVydGllcyI6eyJub3RlSW5kZXgiOjB9LCJpc0VkaXRlZCI6ZmFsc2UsIm1hbnVhbE92ZXJyaWRlIjp7ImlzTWFudWFsbHlPdmVycmlkZGVuIjpmYWxzZSwiY2l0ZXByb2NUZXh0IjoiKDQ1KSIsIm1hbnVhbE92ZXJyaWRlVGV4dCI6IiJ9LCJjaXRhdGlvbkl0ZW1zIjpbeyJpZCI6ImE3ODBkMzEyLWJkMmItMzFmNi1iMzBlLTE4MmU1ZGQzNzAxZiIsIml0ZW1EYXRhIjp7InR5cGUiOiJhcnRpY2xlLWpvdXJuYWwiLCJpZCI6ImE3ODBkMzEyLWJkMmItMzFmNi1iMzBlLTE4MmU1ZGQzNzAxZiIsInRpdGxlIjoiQmlvbWFya2VycyBvZiB0aWMgc2V2ZXJpdHkgaW4gY2hpbGRyZW4gd2l0aCBUb3VyZXR0ZSBzeW5kcm9tZTogTW90b3IgY29ydGV4IGluaGliaXRpb24gbWVhc3VyZWQgd2l0aCB0cmFuc2NyYW5pYWwgbWFnbmV0aWMgc3RpbXVsYXRpb24iLCJncm91cElkIjoiMDdkNjJhYzEtNWFhOC0zOWFmLWI0OWUtNTJkMjA4OGFjNTcxIiwiYXV0aG9yIjpbeyJmYW1pbHkiOiJCYXRzY2hlbGV0dCIsImdpdmVuIjoiTSBBIiwicGFyc2UtbmFtZXMiOmZhbHNlLCJkcm9wcGluZy1wYXJ0aWNsZSI6IiIsIm5vbi1kcm9wcGluZy1wYXJ0aWNsZSI6IiJ9LHsiZmFtaWx5IjoiSHVkZGxlc3RvbiIsImdpdmVuIjoiRCBBIiwicGFyc2UtbmFtZXMiOmZhbHNlLCJkcm9wcGluZy1wYXJ0aWNsZSI6IiIsIm5vbi1kcm9wcGluZy1wYXJ0aWNsZSI6IiJ9LHsiZmFtaWx5IjoiQ3JvY2V0dGkiLCJnaXZlbiI6IkQiLCJwYXJzZS1uYW1lcyI6ZmFsc2UsImRyb3BwaW5nLXBhcnRpY2xlIjoiIiwibm9uLWRyb3BwaW5nLXBhcnRpY2xlIjoiIn0seyJmYW1pbHkiOiJIb3JuIiwiZ2l2ZW4iOiJQIFMiLCJwYXJzZS1uYW1lcyI6ZmFsc2UsImRyb3BwaW5nLXBhcnRpY2xlIjoiIiwibm9uLWRyb3BwaW5nLXBhcnRpY2xlIjoiIn0seyJmYW1pbHkiOiJNb3N0b2Zza3kiLCJnaXZlbiI6IlMgSCIsInBhcnNlLW5hbWVzIjpmYWxzZSwiZHJvcHBpbmctcGFydGljbGUiOiIiLCJub24tZHJvcHBpbmctcGFydGljbGUiOiIifSx7ImZhbWlseSI6IkdpbGJlcnQiLCJnaXZlbiI6IkQgTCIsInBhcnNlLW5hbWVzIjpmYWxzZSwiZHJvcHBpbmctcGFydGljbGUiOiIiLCJub24tZHJvcHBpbmctcGFydGljbGUiOiIifV0sImNvbnRhaW5lci10aXRsZSI6IkRldiBNZWQgQ2hpbGQgTmV1cm9sIiwiRE9JIjoiMTAuMTExMS9kbWNuLjE1NTc4IiwiUE1JRCI6IjM2OTM4Njk4IiwiaXNzdWVkIjp7ImRhdGUtcGFydHMiOltbMjAyM11dfSwicGFnZSI6IjEzMjEtMTMzMSIsImFic3RyYWN0IjoiQUlNOiBUbyBjb21wYXJlIHRyYW5zY3JhbmlhbCBtYWduZXRpYyBzdGltdWxhdGlvbiAoVE1TKS1kZXJpdmVkIG1lYXN1cmVzIG9mIHByaW1hcnkgbW90b3IgY29ydGV4IChNMSkgcGh5c2lvbG9neSBiZXR3ZWVuIGNoaWxkcmVuIHdpdGggYW5kIHdpdGhvdXQgVG91cmV0dGUgc3luZHJvbWUsIGFuZCB0byBkaW1lbnNpb25hbGx5IGFuYWx5emUgVE1TIG1lYXN1cmVzIHdpdGggVG91cmV0dGUgc3luZHJvbWUtcmVsYXRlZCBzeW1wdG9tIHNldmVyaXR5LiBNRVRIT0Q6IFdlIHVzZWQgYSBjcm9zcy1zZWN0aW9uYWwgZXhwZXJpbWVudGFsIGRlc2lnbi4gU2l4dHkgOC0gdG8gMTIteWVhci1vbGQgY2hpbGRyZW4gcGFydGljaXBhdGVkICgzMCB3aXRoIFRvdXJldHRlIHN5bmRyb21lOiB0aHJlZSBmZW1hbGVzLCBtZWFuIGFnZSAxMOKAiXllYXJzIDEw4oCJbW9udGhzLCBzdGFuZGFyZCBkZXZpYXRpb24gW1NEXSAxIHllYXIgMyBtb250aHM7IDMwIHR5cGljYWxseSBkZXZlbG9waW5nIGNoaWxkcmVuOiBzZXZlbiBmZW1hbGVzLCBtZWFuIGFnZSAxMOKAiXllYXJzIDfigIltb250aHMsIFNEIDEgeWVhciAzIG1vbnRocykuIEluIHRoZSBncm91cCB3aXRoIFRvdXJldHRlIHN5bmRyb21lLCAxNSAob25lIGZlbWFsZSwgbWVhbiBhZ2UgMTDigIl5ZWFycyAxMeKAiW1vbnRocywgU0QgMSB5ZWFyIDMgbW9udGhzKSBoYWQgY29tb3JiaWQgYXR0ZW50aW9uLWRlZmljaXQvaHlwZXJhY3Rpdml0eSBkaXNvcmRlciAoQURIRCksIHJhdGVkIHdpdGggdGhlIENvbm5lcnMsIFRoaXJkIEVkaXRpb24gYW5kIHRoZSBwYXJlbnQtcmVwb3J0ZWQgQURIRCByYXRpbmcgc2NhbGVzLiBUaWMgc2V2ZXJpdHkgd2FzIHJhdGVkIHdpdGggdGhlIFlhbGUgR2xvYmFsIFRpYyBTZXZlcml0eSBTY2FsZSBhbmQgdXJnZSBzZXZlcml0eSB3aXRoIHRoZSBJbmRpdmlkdWFsaXplZCBQcmVtb25pdG9yeSBVcmdlIGZvciBUaWNzIFNjYWxlLiBNMSBzaG9ydC1pbnRlcnZhbCBjb3J0aWNhbCBpbmhpYml0aW9uIChTSUNJKSBhbmQgaW50cmFjb3J0aWNhbCBmYWNpbGl0YXRpb24gd2VyZSBjb21wYXJlZCBiZXR3ZWVuIGRpYWdub3N0aWMgZ3JvdXBzIGFuZCwgd2l0aGluIHRoZSBncm91cCB3aXRoIFRvdXJldHRlIHN5bmRyb21lLCBjb3JyZWxhdGVkIHdpdGggc3ltcHRvbSBzZXZlcml0eSB1c2luZyBsaW5lYXIgbWl4ZWQtZWZmZWN0cyBtb2RlbHMgZm9yIHJlcGVhdGVkIG1lYXN1cmVzLiBSRVNVTFRTOiBBY2NvdW50aW5nIGZvciBBREhELCB3ZSBmb3VuZCBubyBkaWZmZXJlbmNlIGluIFNJQ0kgb3IgaW50cmFjb3J0aWNhbCBmYWNpbGl0YXRpb24gaW4gdGhvc2Ugd2l0aCBUb3VyZXR0ZSBzeW5kcm9tZSB2ZXJzdXMgdHlwaWNhbGx5IGRldmVsb3BpbmcgY2hpbGRyZW4gKHDigIk+4oCJMC4xKS4gSW4gdGhlIGdyb3VwIHdpdGggVG91cmV0dGUgc3luZHJvbWUsIHJlZHVjZWQgTTEgU0lDSSBwcmVkaWN0ZWQgZ3JlYXRlciB0b3RhbCAocMKgPcKgMC4wMTIpIGFuZCBnbG9iYWwgKHDCoD3CoDAuMDAyKSB0aWMgc2V2ZXJpdHkuIFRoZXJlIHdlcmUgbm8gYXNzb2NpYXRpb25zIHdpdGggdXJnZSBzZXZlcml0eSAocOKAiT7igIkwLjUpLiBJTlRFUlBSRVRBVElPTjogUmVkdWNlZCBNMSBTSUNJIGlzIHJvYnVzdGx5IGFzc29jaWF0ZWQgd2l0aCBpbmNyZWFzZWQgdGljLCBidXQgbm90IHVyZ2UsIHNldmVyaXR5LiBXSEFUIFRISVMgUEFQRVIgQUREUzogSW5jcmVhc2VkIHRpYyBzZXZlcml0eSBpcyBhc3NvY2lhdGVkIHdpdGggcmVkdWNlZCBtb3RvciBjb3J0ZXggc2hvcnQtaW50ZXJ2YWwgY29ydGljYWwgaW5oaWJpdGlvbiAoU0lDSSkuIENoaWxkcmVuIHdpdGggVG91cmV0dGUgc3luZHJvbWUgd2l0aCBpbmNyZWFzZWQgdXJnZSBzZXZlcml0eSBhbHNvIHNob3cgaW5jcmVhc2VkIHRpYyBzZXZlcml0eS4gSG93ZXZlciwgcmVkdWNlZCBtb3RvciBjb3J0ZXggU0lDSSBpcyBhc3NvY2lhdGVkIHdpdGggdGljLCBidXQgbm90IHVyZ2UsIHNldmVyaXR5LiIsImlzc3VlIjoiMTAiLCJ2b2x1bWUiOiI2NSIsImNvbnRhaW5lci10aXRsZS1zaG9ydCI6IiJ9LCJpc1RlbXBvcmFyeSI6ZmFsc2V9XX0="/>
                <w:id w:val="-364908912"/>
                <w:placeholder>
                  <w:docPart w:val="DefaultPlaceholder_-1854013440"/>
                </w:placeholder>
              </w:sdtPr>
              <w:sdtContent>
                <w:r w:rsidR="00F04E9F" w:rsidRPr="00F04E9F">
                  <w:rPr>
                    <w:rFonts w:eastAsia="Times New Roman" w:cs="Times New Roman"/>
                    <w:color w:val="000000"/>
                    <w:sz w:val="16"/>
                    <w:szCs w:val="16"/>
                  </w:rPr>
                  <w:t>(45)</w:t>
                </w:r>
              </w:sdtContent>
            </w:sdt>
          </w:p>
        </w:tc>
        <w:tc>
          <w:tcPr>
            <w:tcW w:w="0" w:type="auto"/>
            <w:shd w:val="clear" w:color="auto" w:fill="FFFFFF"/>
            <w:hideMark/>
          </w:tcPr>
          <w:p w14:paraId="3D101A0B"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I-PUTS urge frequency / intensity and YGTSS-TTS</w:t>
            </w:r>
          </w:p>
        </w:tc>
        <w:tc>
          <w:tcPr>
            <w:tcW w:w="0" w:type="auto"/>
            <w:shd w:val="clear" w:color="auto" w:fill="FFFFFF"/>
            <w:hideMark/>
          </w:tcPr>
          <w:p w14:paraId="2DC3E386"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30 children with TS</w:t>
            </w:r>
          </w:p>
        </w:tc>
        <w:tc>
          <w:tcPr>
            <w:tcW w:w="0" w:type="auto"/>
            <w:shd w:val="clear" w:color="auto" w:fill="FFFFFF"/>
            <w:hideMark/>
          </w:tcPr>
          <w:p w14:paraId="4EFC691D"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YGTSS-TTS significantly correlated with I-PUTS urge frequency (</w:t>
            </w:r>
            <w:r w:rsidRPr="008A1F40">
              <w:rPr>
                <w:rFonts w:cs="Times New Roman"/>
                <w:color w:val="000000" w:themeColor="text1"/>
                <w:sz w:val="16"/>
                <w:szCs w:val="16"/>
                <w:shd w:val="clear" w:color="auto" w:fill="FFFFFF"/>
              </w:rPr>
              <w:t>Spearman’s r = 0.721, p = 0.001)</w:t>
            </w:r>
            <w:r w:rsidRPr="008A1F40">
              <w:rPr>
                <w:rFonts w:eastAsia="Times New Roman" w:cs="Times New Roman"/>
                <w:color w:val="0D0D0D"/>
                <w:sz w:val="16"/>
                <w:szCs w:val="16"/>
              </w:rPr>
              <w:t xml:space="preserve"> and intensity </w:t>
            </w:r>
            <w:r w:rsidRPr="008A1F40">
              <w:rPr>
                <w:rFonts w:cs="Times New Roman"/>
                <w:color w:val="000000" w:themeColor="text1"/>
                <w:sz w:val="16"/>
                <w:szCs w:val="16"/>
                <w:shd w:val="clear" w:color="auto" w:fill="FFFFFF"/>
              </w:rPr>
              <w:t>(Spearman’s r = 0.593, p = 0.009)</w:t>
            </w:r>
            <w:r w:rsidRPr="008A1F40">
              <w:rPr>
                <w:rFonts w:eastAsia="Times New Roman" w:cs="Times New Roman"/>
                <w:color w:val="0D0D0D"/>
                <w:sz w:val="16"/>
                <w:szCs w:val="16"/>
              </w:rPr>
              <w:t>.</w:t>
            </w:r>
          </w:p>
        </w:tc>
      </w:tr>
      <w:tr w:rsidR="00986E35" w:rsidRPr="008A1F40" w14:paraId="42F209A6" w14:textId="77777777" w:rsidTr="007F77D2">
        <w:trPr>
          <w:tblCellSpacing w:w="15" w:type="dxa"/>
        </w:trPr>
        <w:tc>
          <w:tcPr>
            <w:tcW w:w="0" w:type="auto"/>
            <w:shd w:val="clear" w:color="auto" w:fill="FFFFFF"/>
            <w:hideMark/>
          </w:tcPr>
          <w:p w14:paraId="35624E0D" w14:textId="3DDEB59C"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Che et al (2023)</w:t>
            </w:r>
            <w:r w:rsidR="0064487C">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zQ5NTZhMGQtYzVkZi00ZDg3LWI2YTItNmFhYzQxNWQyZmU3IiwicHJvcGVydGllcyI6eyJub3RlSW5kZXgiOjB9LCJpc0VkaXRlZCI6ZmFsc2UsIm1hbnVhbE92ZXJyaWRlIjp7ImlzTWFudWFsbHlPdmVycmlkZGVuIjpmYWxzZSwiY2l0ZXByb2NUZXh0IjoiKDQ2KSIsIm1hbnVhbE92ZXJyaWRlVGV4dCI6IiJ9LCJjaXRhdGlvbkl0ZW1zIjpbeyJpZCI6ImJhMjNjNmYwLTMzMzYtMzljYS1iMTkwLTJkNDlkZDFiZmY0ZSIsIml0ZW1EYXRhIjp7InR5cGUiOiJhcnRpY2xlLWpvdXJuYWwiLCJpZCI6ImJhMjNjNmYwLTMzMzYtMzljYS1iMTkwLTJkNDlkZDFiZmY0ZSIsInRpdGxlIjoiQ2xpbmljYWwgZXZhbHVhdGlvbiBvZiBwcmVtb25pdG9yeSB1cmdlcyBpbiBjaGlsZHJlbiBhbmQgYWRvbGVzY2VudHMgdXNpbmcgdGhlIENoaW5lc2UgdmVyc2lvbiBvZiBJbmRpdmlkdWFsaXplZCBQcmVtb25pdG9yeSBVcmdlIGZvciBUaWNzIFNjYWxlIiwiZ3JvdXBJZCI6IjA3ZDYyYWMxLTVhYTgtMzlhZi1iNDllLTUyZDIwODhhYzU3MSIsImF1dGhvciI6W3siZmFtaWx5IjoiQ2hlIiwiZ2l2ZW4iOiJHIiwicGFyc2UtbmFtZXMiOmZhbHNlLCJkcm9wcGluZy1wYXJ0aWNsZSI6IiIsIm5vbi1kcm9wcGluZy1wYXJ0aWNsZSI6IiJ9LHsiZmFtaWx5IjoiUmVuIiwiZ2l2ZW4iOiJXIiwicGFyc2UtbmFtZXMiOmZhbHNlLCJkcm9wcGluZy1wYXJ0aWNsZSI6IiIsIm5vbi1kcm9wcGluZy1wYXJ0aWNsZSI6IiJ9LHsiZmFtaWx5IjoiTWNHdWlyZSIsImdpdmVuIjoiSiBGIiwicGFyc2UtbmFtZXMiOmZhbHNlLCJkcm9wcGluZy1wYXJ0aWNsZSI6IiIsIm5vbi1kcm9wcGluZy1wYXJ0aWNsZSI6IiJ9LHsiZmFtaWx5IjoiTGkiLCJnaXZlbiI6IlAiLCJwYXJzZS1uYW1lcyI6ZmFsc2UsImRyb3BwaW5nLXBhcnRpY2xlIjoiIiwibm9uLWRyb3BwaW5nLXBhcnRpY2xlIjoiIn0seyJmYW1pbHkiOiJaaGFvIiwiZ2l2ZW4iOiJaIiwicGFyc2UtbmFtZXMiOmZhbHNlLCJkcm9wcGluZy1wYXJ0aWNsZSI6IiIsIm5vbi1kcm9wcGluZy1wYXJ0aWNsZSI6IiJ9LHsiZmFtaWx5IjoiVGlhbiIsImdpdmVuIjoiSiIsInBhcnNlLW5hbWVzIjpmYWxzZSwiZHJvcHBpbmctcGFydGljbGUiOiIiLCJub24tZHJvcHBpbmctcGFydGljbGUiOiIifSx7ImZhbWlseSI6IlpoYW5nIiwiZ2l2ZW4iOiJKIiwicGFyc2UtbmFtZXMiOmZhbHNlLCJkcm9wcGluZy1wYXJ0aWNsZSI6IiIsIm5vbi1kcm9wcGluZy1wYXJ0aWNsZSI6IiJ9LHsiZmFtaWx5IjoiWmhhbmciLCJnaXZlbiI6IlkiLCJwYXJzZS1uYW1lcyI6ZmFsc2UsImRyb3BwaW5nLXBhcnRpY2xlIjoiIiwibm9uLWRyb3BwaW5nLXBhcnRpY2xlIjoiIn1dLCJjb250YWluZXItdGl0bGUiOiJGcm9udCBQc3ljaGlhdHJ5IiwiRE9JIjoiMTAuMzM4OS9mcHN5dC4yMDIzLjEyMjQ4MjUiLCJQTUlEIjoiMzgwMzQ5MjUiLCJpc3N1ZWQiOnsiZGF0ZS1wYXJ0cyI6W1syMDIzXV19LCJwYWdlIjoiMTIyNDgyNSIsImFic3RyYWN0IjoiQkFDS0dST1VORDogUHJlbW9uaXRvcnkgdXJnZXMgKFBVcykgaGF2ZSBiZWVuIHRoZSBmb2N1cyBvZiByZWNlbnQgZWZmb3J0cyB0byBhc3Nlc3MgdGhlIHNldmVyaXR5IGFuZCBkZXZlbG9wIGludGVydmVudGlvbnMgZm9yIHRpYyBkaXNvcmRlcnMgKFREKS4gV2UgYWltZWQgdG8gaW52ZXN0aWdhdGUgdGhlIFBVcyBpbiBURCBhbmQgaXRzIGNvbW9yYmlkaXRpZXMgZnJvbSBtdWx0aXBsZSBkaW1lbnNpb25zLCB1c2luZyB0aGUgQ2hpbmVzZSB2ZXJzaW9uIG9mIHRoZSBQcmVtb25pdG9yeSBVcmdlIGZvciBUaWNzIFNjYWxlIChDLVBVVFMpIGFuZCB0aGUgQ2hpbmVzZSB2ZXJzaW9uIG9mIHRoZSBJbmRpdmlkdWFsaXplZCBQcmVtb25pdG9yeSBVcmdlIGZvciBUaWNzIFNjYWxlIChDLUlQVVRTKSwgaW4gb3JkZXIgdG8gcHJvdmlkZSBwZXJzcGVjdGl2ZXMgZm9yIHRoZSBkaWFnbm9zaXMgYW5kIG1hbmFnZW1lbnQgb2YgVEQgaW4gY2hpbGRyZW4gYW5kIGFkb2xlc2NlbnRzLiBNRVRIT0RTOiBBIHRvdGFsIG9mIDEyMyBjYXNlcyB3ZXJlIGluY2x1ZGVkIGluIHRoZSBzdHVkeS4gVGhlIElQVVRTIHdhcyB0cmFuc2xhdGVkLCBiYWNrLXRyYW5zbGF0ZWQsIGN1bHR1cmFsbHkgYWRqdXN0ZWQsIGFuZCBwcmUtaW52ZXN0aWdhdGVkIHRvIGRldGVybWluZSB0aGUgaXRlbXMgb2YgdGhlIEMtSVBVVFMuIFRoZSByZWxpYWJpbGl0eSBhbmQgdmFsaWRpdHkgb2YgdGhlIEMtSVBVVFMgc2NhbGUgd2VyZSBldmFsdWF0ZWQgYnkgYSBxdWVzdGlvbm5haXJlIHN1cnZleSBvbiBjaGlsZHJlbiBhbmQgYWRvbGVzY2VudHMgd2l0aCBURCBhdCB0aGUgRGV2ZWxvcG1lbnRhbCBQZWRpYXRyaWNzIERlcGFydG1lbnQgb2YgdGhlIFNlY29uZCBIb3NwaXRhbCBvZiBKaWxpbiBVbml2ZXJzaXR5LiBNZWFud2hpbGUsIHRoZSBDLVBVVFMsIHdoaWNoIGhhZCBiZWVuIGV2YWx1YXRlZCBhbmQgdXNlZCBpbiBDaGluYSwgWWFsZSBHbG9iYWwgVGljIFNldmVyaXR5IFNjYWxlIChZR1RTUyksIFlhbGUtQnJvd24gT2JzZXNzaXZlLUNvbXB1bHNpdmUgU2NhbGUgKFktQk9DUyksIERlcHJlc3Npb24gU2VsZi1SYXRpbmcgU2NhbGUgKERTUlMpLCBTY3JlZW4gZm9yIENoaWxkaG9vZCBBbnhpZXR5LVJlbGF0ZWQgRGlzb3JkZXJzIChTQ0FSRUQpLCBBY2hlbmJhY2ggQ2hpbGQgQmVoYXZpb3IgQ2hlY2tsaXN0IChDQkNMKSwgYW5kIFN3YW5zb24sIE5vbGFuIGFuZCBQZWxoYW0sIFZlcnNpb24gSVYgKFNOQVAtSVYpLCB3ZXJlIHVzZWQgdG8gYXNzZXNzIHRoZSBhc3NvY2lhdGlvbiBvZiBQVXMgd2l0aCB0aWNzIGFuZCBjb21vcmJpZGl0aWVzIG9mIFRELiBSRVNVTFRTOiBBbGwgZGltZW5zaW9ucyBvZiB0aGUgQy1JUFVUUyBkZW1vbnN0cmF0ZWQgZ29vZCByZWxpYWJpbGl0eSBhbmQgdmFsaWRpdHkuIE91ciBmaW5kaW5ncyBzdWdnZXN0ZWQgdGhhdCBQVXMgaW4gY2hpbGRyZW4gYW5kIGFkb2xlc2NlbnRzIGluIENoaW5hIG9jY3VycmVkIHByaW1hcmlseSBhdCB0aGUgaGVhZC9mYWNlIGFuZCBuZWNrL3Rocm9hdC4gVGhlIGRpZmZlcmVudCBkaW1lbnNpb25zIG9mIHRoZSBDLUlQVVRTIChudW1iZXIsIGZyZXF1ZW5jeSwgYW5kIGludGVuc2l0eSkgYW5kIEMtUFVUUyB3ZXJlIHBvc2l0aXZlbHkgY29ycmVsYXRlZCB3aXRoIHRoZSBZR1RTUyB0b3RhbCBzY29yZSwgd2hpbGUgdGhlIEMtUFVUUyB3YXMgcG9zaXRpdmVseSBjb3JyZWxhdGVkIHdpdGggdGhlIFktQk9DUywgU0NBUkVELCBEU1JTLCBhbmQgU05BUC1JViBzY2FsZSB0b3RhbCBzY29yZXMuIFRoZSB0aHJlZSBkaW1lbnNpb25zIG9mIHRoZSBDLUlQVVRTIGRlbW9uc3RyYXRlZCBjb3JyZWxhdGlvbnMgd2l0aCBhbnhpZXR5IHNldmVyaXR5IGFuZCBvYnNlc3NpdmUtY29tcHVsc2l2ZSBzeW1wdG9tcy4gQ09OQ0xVU0lPTjogVGhlIEMtSVBVVFMgY2FuIGJlIHVzZWQgdG8gYXNzZXNzIFBVcyByZWxpYWJseSBhbmQgZWZmZWN0aXZlbHkgYW5kIHByb3ZpZGUgZnVydGhlciBpbmZvcm1hdGlvbiBmb3IgdGhlIEMtUFVUUyBmcm9tIHZhcmlvdXMgZGltZW5zaW9ucyBpbiBhIENoaW5lc2Ugc2V0dGluZy4gUFVzIHJlbGF0ZSB0byBvYnNlc3NpdmUtY29tcHVsc2l2ZSBzeW1wdG9tcywgYW54aWV0eSwgYXR0ZW50aW9uIGRlZmljaXQgaHlwZXJhY3Rpdml0eSwgYW5kIGJlaGF2aW9yYWwgcHJvYmxlbXMgaW4gY2hpbGRyZW4gYW5kIGFkb2xlc2NlbnRzIHdpdGggVERzLiBBY2NvcmRpbmdseSwgUFVzIGV2YWx1YXRpb24gdXNpbmcgdGhlIEMtSVBVVFMgY29tYmluZWQgd2l0aCB0aGUgUFVUUyBtaWdodCBwcm92aWRlIHVzZWZ1bCBpbmZvcm1hdGlvbiBmb3IgZnV0dXJlIHRoZXJhcGllcyBmb3IgVERzIHRvIGFjaGlldmUgZ3JlYXRlciB0aWMgcmVkdWN0aW9uLiIsInZvbHVtZSI6IjE0IiwiY29udGFpbmVyLXRpdGxlLXNob3J0IjoiIn0sImlzVGVtcG9yYXJ5IjpmYWxzZX1dfQ=="/>
                <w:id w:val="1265728807"/>
                <w:placeholder>
                  <w:docPart w:val="DefaultPlaceholder_-1854013440"/>
                </w:placeholder>
              </w:sdtPr>
              <w:sdtContent>
                <w:r w:rsidR="00F04E9F" w:rsidRPr="00F04E9F">
                  <w:rPr>
                    <w:rFonts w:eastAsia="Times New Roman" w:cs="Times New Roman"/>
                    <w:color w:val="000000"/>
                    <w:sz w:val="16"/>
                    <w:szCs w:val="16"/>
                  </w:rPr>
                  <w:t>(46)</w:t>
                </w:r>
              </w:sdtContent>
            </w:sdt>
          </w:p>
        </w:tc>
        <w:tc>
          <w:tcPr>
            <w:tcW w:w="0" w:type="auto"/>
            <w:shd w:val="clear" w:color="auto" w:fill="FFFFFF"/>
            <w:hideMark/>
          </w:tcPr>
          <w:p w14:paraId="175928EF"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I-PUTS / PUTS and YGTSS-TTS</w:t>
            </w:r>
          </w:p>
        </w:tc>
        <w:tc>
          <w:tcPr>
            <w:tcW w:w="0" w:type="auto"/>
            <w:shd w:val="clear" w:color="auto" w:fill="FFFFFF"/>
            <w:hideMark/>
          </w:tcPr>
          <w:p w14:paraId="528414FE"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123 children with tic disorders</w:t>
            </w:r>
          </w:p>
        </w:tc>
        <w:tc>
          <w:tcPr>
            <w:tcW w:w="0" w:type="auto"/>
            <w:shd w:val="clear" w:color="auto" w:fill="FFFFFF"/>
            <w:hideMark/>
          </w:tcPr>
          <w:p w14:paraId="302628A5"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Significant correlations between YGTSS-TSS and all 3 I-PUTS dimensions (Spearman’s r = 0.301, 0.370, 0.339 for number, frequency and intensity respectively, all p &lt; 0.01) as well as between the PUTS and YGTSS-TSS (Spearman’s r = 0.427, p &lt; 0.01).</w:t>
            </w:r>
          </w:p>
        </w:tc>
      </w:tr>
    </w:tbl>
    <w:p w14:paraId="6BA1A076" w14:textId="77777777" w:rsidR="00986E35" w:rsidRDefault="00986E35" w:rsidP="00986E35">
      <w:pPr>
        <w:rPr>
          <w:rFonts w:cs="Times New Roman"/>
          <w:sz w:val="16"/>
          <w:szCs w:val="16"/>
        </w:rPr>
      </w:pPr>
      <w:r w:rsidRPr="008A1F40">
        <w:rPr>
          <w:rFonts w:cs="Times New Roman"/>
          <w:sz w:val="16"/>
          <w:szCs w:val="16"/>
        </w:rPr>
        <w:t>I-PUTS = Individualized Premonitory Urge for Tics Scale, PUTS = Premonitory Urge for Tics Scale, TS = Tourette Syndrome, YGTSS = Yale Global Tic Severity Scale, TTS = Total Tic Score</w:t>
      </w:r>
    </w:p>
    <w:p w14:paraId="37CB5BFF" w14:textId="77777777" w:rsidR="00986E35" w:rsidRDefault="00986E35" w:rsidP="00986E35">
      <w:pPr>
        <w:rPr>
          <w:rFonts w:cs="Times New Roman"/>
          <w:color w:val="000000" w:themeColor="text1"/>
          <w:sz w:val="16"/>
          <w:szCs w:val="16"/>
        </w:rPr>
      </w:pPr>
    </w:p>
    <w:p w14:paraId="61577944" w14:textId="3295CC4C" w:rsidR="00986E35" w:rsidRPr="00986E35" w:rsidRDefault="00986E35" w:rsidP="00986E35">
      <w:pPr>
        <w:rPr>
          <w:rFonts w:cs="Times New Roman"/>
          <w:sz w:val="16"/>
          <w:szCs w:val="16"/>
        </w:rPr>
      </w:pPr>
      <w:r w:rsidRPr="008A1F40">
        <w:rPr>
          <w:rFonts w:cs="Times New Roman"/>
          <w:color w:val="000000" w:themeColor="text1"/>
          <w:sz w:val="16"/>
          <w:szCs w:val="16"/>
        </w:rPr>
        <w:t xml:space="preserve">Table 4: </w:t>
      </w:r>
      <w:r w:rsidRPr="008A1F40">
        <w:rPr>
          <w:rFonts w:cs="Times New Roman"/>
          <w:color w:val="000000" w:themeColor="text1"/>
          <w:sz w:val="16"/>
          <w:szCs w:val="16"/>
          <w:shd w:val="clear" w:color="auto" w:fill="FFFFFF"/>
        </w:rPr>
        <w:t>Tic Disorder Severity/Characteristics and Premonitory Urges</w:t>
      </w:r>
    </w:p>
    <w:tbl>
      <w:tblPr>
        <w:tblW w:w="9210" w:type="dxa"/>
        <w:tblCellSpacing w:w="15" w:type="dxa"/>
        <w:tblBorders>
          <w:top w:val="thinThickSmallGap" w:sz="24" w:space="0" w:color="C4BC96" w:themeColor="background2" w:themeShade="BF"/>
          <w:left w:val="thinThickSmallGap" w:sz="24" w:space="0" w:color="C4BC96" w:themeColor="background2" w:themeShade="BF"/>
          <w:bottom w:val="thickThinSmallGap" w:sz="24" w:space="0" w:color="C4BC96" w:themeColor="background2" w:themeShade="BF"/>
          <w:right w:val="thickThinSmallGap" w:sz="24" w:space="0" w:color="C4BC96" w:themeColor="background2" w:themeShade="BF"/>
          <w:insideH w:val="single" w:sz="6" w:space="0" w:color="C4BC96" w:themeColor="background2" w:themeShade="BF"/>
          <w:insideV w:val="single" w:sz="6" w:space="0" w:color="C4BC96" w:themeColor="background2"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1102"/>
        <w:gridCol w:w="1396"/>
        <w:gridCol w:w="2939"/>
        <w:gridCol w:w="3773"/>
      </w:tblGrid>
      <w:tr w:rsidR="00986E35" w:rsidRPr="008A1F40" w14:paraId="357D90A2" w14:textId="77777777" w:rsidTr="007F77D2">
        <w:trPr>
          <w:tblHeader/>
          <w:tblCellSpacing w:w="15" w:type="dxa"/>
        </w:trPr>
        <w:tc>
          <w:tcPr>
            <w:tcW w:w="0" w:type="auto"/>
            <w:shd w:val="clear" w:color="auto" w:fill="FFFFFF"/>
            <w:hideMark/>
          </w:tcPr>
          <w:p w14:paraId="73D41F4F"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Study</w:t>
            </w:r>
          </w:p>
        </w:tc>
        <w:tc>
          <w:tcPr>
            <w:tcW w:w="0" w:type="auto"/>
            <w:shd w:val="clear" w:color="auto" w:fill="FFFFFF"/>
            <w:hideMark/>
          </w:tcPr>
          <w:p w14:paraId="2BC21256"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Associations Investigated</w:t>
            </w:r>
          </w:p>
        </w:tc>
        <w:tc>
          <w:tcPr>
            <w:tcW w:w="0" w:type="auto"/>
            <w:shd w:val="clear" w:color="auto" w:fill="FFFFFF"/>
            <w:hideMark/>
          </w:tcPr>
          <w:p w14:paraId="4F4631A7"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Sample Size/Demographics</w:t>
            </w:r>
          </w:p>
        </w:tc>
        <w:tc>
          <w:tcPr>
            <w:tcW w:w="0" w:type="auto"/>
            <w:shd w:val="clear" w:color="auto" w:fill="FFFFFF"/>
            <w:hideMark/>
          </w:tcPr>
          <w:p w14:paraId="52EBA74A"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Statistical Methods and Findings</w:t>
            </w:r>
          </w:p>
        </w:tc>
      </w:tr>
      <w:tr w:rsidR="00986E35" w:rsidRPr="008A1F40" w14:paraId="16A04D20" w14:textId="77777777" w:rsidTr="007F77D2">
        <w:trPr>
          <w:tblCellSpacing w:w="15" w:type="dxa"/>
        </w:trPr>
        <w:tc>
          <w:tcPr>
            <w:tcW w:w="0" w:type="auto"/>
            <w:shd w:val="clear" w:color="auto" w:fill="FFFFFF"/>
            <w:hideMark/>
          </w:tcPr>
          <w:p w14:paraId="2D226D05" w14:textId="5E0E546B"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Li et al (2022)</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mFkOTI5NjEtOGM1Yy00NWQ1LThhMjItZTE0Y2M1MmIyN2Y3IiwicHJvcGVydGllcyI6eyJub3RlSW5kZXgiOjB9LCJpc0VkaXRlZCI6ZmFsc2UsIm1hbnVhbE92ZXJyaWRlIjp7ImlzTWFudWFsbHlPdmVycmlkZGVuIjpmYWxzZSwiY2l0ZXByb2NUZXh0IjoiKDQ3KSIsIm1hbnVhbE92ZXJyaWRlVGV4dCI6IiJ9LCJjaXRhdGlvbkl0ZW1zIjpbeyJpZCI6IjZhNmNjMDZiLTRiMWMtM2Q5My04YWU2LTU3MDFhNDYwMDVlNyIsIml0ZW1EYXRhIjp7InR5cGUiOiJhcnRpY2xlLWpvdXJuYWwiLCJpZCI6IjZhNmNjMDZiLTRiMWMtM2Q5My04YWU2LTU3MDFhNDYwMDVlNyIsInRpdGxlIjoiQ2xpbmljYWwgY2hhcmFjdGVyaXN0aWNzIG9mIHBlZGlhdHJpYyBwYXRpZW50cyB3aXRoIHRyZWF0bWVudC1yZWZyYWN0b3J5IFRvdXJldHRlIHN5bmRyb21lOiBBbiBldmlkZW5jZS1iYXNlZCBzdXJ2ZXkgaW4gYSBDaGluZXNlIHBvcHVsYXRpb24iLCJncm91cElkIjoiMDdkNjJhYzEtNWFhOC0zOWFmLWI0OWUtNTJkMjA4OGFjNTcxIiwiYXV0aG9yIjpbeyJmYW1pbHkiOiJMaSIsImdpdmVuIjoiWSIsInBhcnNlLW5hbWVzIjpmYWxzZSwiZHJvcHBpbmctcGFydGljbGUiOiIiLCJub24tZHJvcHBpbmctcGFydGljbGUiOiIifSx7ImZhbWlseSI6IllhbiIsImdpdmVuIjoiSiBKIiwicGFyc2UtbmFtZXMiOmZhbHNlLCJkcm9wcGluZy1wYXJ0aWNsZSI6IiIsIm5vbi1kcm9wcGluZy1wYXJ0aWNsZSI6IiJ9LHsiZmFtaWx5IjoiQ3VpIiwiZ2l2ZW4iOiJZIEgiLCJwYXJzZS1uYW1lcyI6ZmFsc2UsImRyb3BwaW5nLXBhcnRpY2xlIjoiIiwibm9uLWRyb3BwaW5nLXBhcnRpY2xlIjoiIn1dLCJjb250YWluZXItdGl0bGUiOiJXb3JsZCBKIFBzeWNoaWF0cnkiLCJET0kiOiIxMC41NDk4L3dqcC52MTIuaTcuOTU4IiwiUE1JRCI6IjM2MDUxNjAyIiwiVVJMIjoiaHR0cHM6Ly9mNnB1Ymxpc2hpbmcuYmxvYi5jb3JlLndpbmRvd3MubmV0L2Y1NGYyNGY4LTM0ZmYtNGViNy1iYzI5LTk2ODI2NjY5OTJhZC9XSlAtMTItOTU4LnBkZiIsImlzc3VlZCI6eyJkYXRlLXBhcnRzIjpbWzIwMjJdXX0sInBhZ2UiOiI5NTgtOTY5IiwiYWJzdHJhY3QiOiJCQUNLR1JPVU5EOiBUb3VyZXR0ZSBzeW5kcm9tZSAoVFMpIGlzIGEgY29tcGxleCBuZXVyb2RldmVsb3BtZW50YWwgY29uZGl0aW9uIG1hcmtlZCBieSB0aWNzLCBhcyB3ZWxsIGFzIGEgdmFyaWV0eSBvZiBwc3ljaGlhdHJpYyBjb21vcmJpZGl0aWVzLCBzdWNoIGFzIG9ic2Vzc2l2ZS1jb21wdWxzaXZlIGRpc29yZGVycyAoT0NEcyksIGF0dGVudGlvbiBkZWZpY2l0IGh5cGVyYWN0aXZpdHkgZGlzb3JkZXIgKEFESEQpLCBhbnhpZXR5LCBhbmQgc2VsZi1pbmp1cmlvdXMgYmVoYXZpb3IuIFRTIG1pZ2h0IHByb2dyZXNzIHRvIHRyZWF0bWVudC1yZWZyYWN0b3J5IFRvdXJldHRlIHN5bmRyb21lIChUUlRTKSBpbiBzb21lIHBhdGllbnRzLiBIb3dldmVyLCB0aGVyZSBpcyBubyBjb25maXJtZWQgZXZpZGVuY2UgaW4gcGVkaWF0cmljIHBhdGllbnRzIHdpdGggVFJUUy4gQUlNOiBUbyBpbnZlc3RpZ2F0ZSB0aGUgY2xpbmljYWwgY2hhcmFjdGVyaXN0aWNzIG9mIFRSVFMgaW4gYSBDaGluZXNlIHBlZGlhdHJpYyBzYW1wbGUuIE1FVEhPRFM6IEEgdG90YWwgb2YgMTI2IHBlZGlhdHJpYyBwYXRpZW50cyBhZ2VkIDYtMTIgeWVhcnMgd2l0aCBUUyB3ZXJlIGlkZW50aWZpZWQsIGluY2x1ZGluZyA2NCBUUlRTIGFuZCA2MiBub24tVFJUUyBwYXRpZW50cy4gVGhlIFlhbGUgR2xvYmFsIFRpYyBTZXZlcml0eSBTY2FsZSAoWUdUU1MpLCBQcmVtb25pdG9yeSBVcmdlIGZvciBUaWNzIFNjYWxlIChQVVRTKSwgYW5kIENoaWxkIEJlaGF2aW9yIENoZWNrbGlzdCAoQ0JDTCkgd2VyZSB1c2VkIHRvIGFzc2VzcyB0aGVzZSB0d28gZ3JvdXBzIGFuZCBjb21wYXJlZCB0aGUgZGlmZmVyZW5jZSBiZXR3ZWVuIHRoZSBUUlRTIGFuZCBub24tVFJUUyBwYXRpZW50cy4gUkVTVUxUUzogV2hlbiBjb21wYXJlZCB3aXRoIHRoZSBub24tVFJUUyBncm91cCwgd2UgZm91bmQgdGhhdCB0aGUgYWdlIG9mIG9uc2V0IGZvciBUUlRTIHdhcyB5b3VuZ2VyIChQIDwgMC4wMDEpLCBhbmQgdGhlIGR1cmF0aW9uIG9mIGlsbG5lc3Mgd2FzIGxvbmdlciAoUCA8IDAuMDAxKS4gVFJUUyB3YXMgbW9yZSBvZnRlbiBjYXVzZWQgYnkgcHN5Y2hvc29jaWFsIChQIDwgMC4wMDEpIHRoYW4gcGh5c2lvbG9naWNhbCBmYWN0b3JzLCBhbmQgY29wcm9sYWxpYSBhbmQgaW5hcHByb3ByaWF0ZSBwYXJlbnRpbmcgc3R5bGUgd2VyZSBtb3JlIG9mdGVuIHByZXNlbnQgaW4gdGhlIFRSVFMgZ3JvdXAgKFAgPCAwLjAwMSkuIFRoZSBUUlRTIGdyb3VwIHNob3dlZCBhIGhpZ2hlciBsZXZlbCBvZiBwcmVtb25pdG9yeSB1cmdlIChQIDwgMC4wMDEpLCBhIGxvd2VyIGludGVsbGlnZW5jZSBxdW90aWVudCAoSVEpIChQIDwgMC4wMDEpLCBhbmQgYSBoaWdoZXIgcGVyY2VudGFnZSBvZiBmYW1pbHkgaGlzdG9yeSBvZiBUUy4gVGhlIFRSVFMgcGF0aWVudHMgZGVtb25zdHJhdGVkIG1vcmUgcHJvYmxlbXMgKFAgPCAwLjAxKSBpbiB0aGUgXCJVbmNvbW11bmljYXRpdmVcIiwgXCJPYnNlc3NpdmUtQ29tcHVsc2l2ZVwiLCBcIlNvY2lhbC1XaXRoZHJhd2FsXCIsIFwiSHlwZXJhY3RpdmVcIiwgXCJBZ2dyZXNzaXZlXCIsIGFuZCBcIkRlbGlucXVlbnRcIiBzdWJzY2FsZXMgaW4gdGhlIGJveXMgZ3JvdXAsIGFuZCBcIlNvY2lhbC1XaXRoZHJhd2FsXCIgKFAgPSAwLjAyKSBzdWJzY2FsZSBpbiB0aGUgZ2lybHMgZ3JvdXAuIENPTkNMVVNJT046IFBlZGlhdHJpYyBUUlRTIG1pZ2h0IHNob3cgYW4gZWFybGllciBhZ2Ugb2Ygb25zZXQgYWdlLCBsb25nZXIgZHVyYXRpb24gb2YgaWxsbmVzcywgbG93ZXIgSVEsIGhpZ2hlciBwcmVtb25pdG9yeSB1cmdlLCBhbmQgaGlnaGVyIGNvbW9yYmlkaXRpZXMgd2l0aCBBREhELXJlbGF0ZWQgc3ltcHRvbXMgYW5kIE9DRC1yZWxhdGVkIHN5bXB0b21zLiBXZSBuZWVkIHRvIHBheSBtb3JlIGF0dGVudGlvbiB0byB0aGUgc29jaWFsIGNvbW11bmljYXRpb24gZGVmaWNpdHMgb2YgVFJUUy4iLCJpc3N1ZSI6IjciLCJ2b2x1bWUiOiIxMiIsImNvbnRhaW5lci10aXRsZS1zaG9ydCI6IiJ9LCJpc1RlbXBvcmFyeSI6ZmFsc2V9XX0="/>
                <w:id w:val="477585135"/>
                <w:placeholder>
                  <w:docPart w:val="DefaultPlaceholder_-1854013440"/>
                </w:placeholder>
              </w:sdtPr>
              <w:sdtContent>
                <w:r w:rsidR="00F04E9F" w:rsidRPr="00F04E9F">
                  <w:rPr>
                    <w:rFonts w:eastAsia="Times New Roman" w:cs="Times New Roman"/>
                    <w:color w:val="000000"/>
                    <w:sz w:val="16"/>
                    <w:szCs w:val="16"/>
                  </w:rPr>
                  <w:t>(47)</w:t>
                </w:r>
              </w:sdtContent>
            </w:sdt>
          </w:p>
        </w:tc>
        <w:tc>
          <w:tcPr>
            <w:tcW w:w="0" w:type="auto"/>
            <w:shd w:val="clear" w:color="auto" w:fill="FFFFFF"/>
            <w:hideMark/>
          </w:tcPr>
          <w:p w14:paraId="1CBD2E50"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PUTS scores and treatment refractory status</w:t>
            </w:r>
          </w:p>
        </w:tc>
        <w:tc>
          <w:tcPr>
            <w:tcW w:w="0" w:type="auto"/>
            <w:shd w:val="clear" w:color="auto" w:fill="FFFFFF"/>
            <w:hideMark/>
          </w:tcPr>
          <w:p w14:paraId="20A67035"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126 children with TS</w:t>
            </w:r>
          </w:p>
        </w:tc>
        <w:tc>
          <w:tcPr>
            <w:tcW w:w="0" w:type="auto"/>
            <w:shd w:val="clear" w:color="auto" w:fill="FFFFFF"/>
            <w:hideMark/>
          </w:tcPr>
          <w:p w14:paraId="2C2B5D20"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Independent samples t-test: Treatment refractory group (n = 64) had significantly higher PUTS scores than non-treatment refractory group (n = 62) (t = 14.61, p &lt; 0.001).</w:t>
            </w:r>
          </w:p>
        </w:tc>
      </w:tr>
      <w:tr w:rsidR="00986E35" w:rsidRPr="008A1F40" w14:paraId="13214FD0" w14:textId="77777777" w:rsidTr="007F77D2">
        <w:trPr>
          <w:tblCellSpacing w:w="15" w:type="dxa"/>
        </w:trPr>
        <w:tc>
          <w:tcPr>
            <w:tcW w:w="0" w:type="auto"/>
            <w:shd w:val="clear" w:color="auto" w:fill="FFFFFF"/>
            <w:hideMark/>
          </w:tcPr>
          <w:p w14:paraId="1EBB7674" w14:textId="5E4F773F"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Sambrani et al (2016)</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DVjMTdjZDgtYmE2Zi00YmUxLTlkNGItODQ1MGVkY2ZjNWRiIiwicHJvcGVydGllcyI6eyJub3RlSW5kZXgiOjB9LCJpc0VkaXRlZCI6ZmFsc2UsIm1hbnVhbE92ZXJyaWRlIjp7ImlzTWFudWFsbHlPdmVycmlkZGVuIjpmYWxzZSwiY2l0ZXByb2NUZXh0IjoiKDQ4KSIsIm1hbnVhbE92ZXJyaWRlVGV4dCI6IiJ9LCJjaXRhdGlvbkl0ZW1zIjpbeyJpZCI6IjI0OWQwNTdiLWEwYzUtMzI0Zi04MmY1LTY3Y2ZhM2YyZWQ3OCIsIml0ZW1EYXRhIjp7InR5cGUiOiJhcnRpY2xlLWpvdXJuYWwiLCJpZCI6IjI0OWQwNTdiLWEwYzUtMzI0Zi04MmY1LTY3Y2ZhM2YyZWQ3OCIsInRpdGxlIjoiTmV3IGluc2lnaHRzIGludG8gY2xpbmljYWwgY2hhcmFjdGVyaXN0aWNzIG9mIEdpbGxlcyBkZSBsYSBUb3VyZXR0ZSBzeW5kcm9tZTogRmluZGluZ3MgaW4gMTAzMiBwYXRpZW50cyBmcm9tIGEgc2luZ2xlIEdlcm1hbiBjZW50ZXIiLCJncm91cElkIjoiMDdkNjJhYzEtNWFhOC0zOWFmLWI0OWUtNTJkMjA4OGFjNTcxIiwiYXV0aG9yIjpbeyJmYW1pbHkiOiJTYW1icmFuaSIsImdpdmVuIjoiVCIsInBhcnNlLW5hbWVzIjpmYWxzZSwiZHJvcHBpbmctcGFydGljbGUiOiIiLCJub24tZHJvcHBpbmctcGFydGljbGUiOiIifSx7ImZhbWlseSI6Ikpha3Vib3Zza2kiLCJnaXZlbiI6IkUiLCJwYXJzZS1uYW1lcyI6ZmFsc2UsImRyb3BwaW5nLXBhcnRpY2xlIjoiIiwibm9uLWRyb3BwaW5nLXBhcnRpY2xlIjoiIn0seyJmYW1pbHkiOiJNdWxsZXItVmFobCIsImdpdmVuIjoiSyBSIiwicGFyc2UtbmFtZXMiOmZhbHNlLCJkcm9wcGluZy1wYXJ0aWNsZSI6IiIsIm5vbi1kcm9wcGluZy1wYXJ0aWNsZSI6IiJ9XSwiY29udGFpbmVyLXRpdGxlIjoiRnJvbnRpZXJzIGluIE5ldXJvc2NpZW5jZSIsIkRPSSI6Imh0dHBzOi8vZHguZG9pLm9yZy8xMC4zMzg5L2ZuaW5zLjIwMTYuMDA0MTUiLCJVUkwiOiJodHRwOi8vam91cm5hbC5mcm9udGllcnNpbi5vcmcvYXJ0aWNsZS8xMC4zMzg5L2ZuaW5zLjIwMTYuMDA0MTUvZnVsbGh0dHA6Ly9vdmlkc3Aub3ZpZC5jb20vb3ZpZHdlYi5jZ2k/VD1KUyZQQUdFPXJlZmVyZW5jZSZEPWVtZWQxNyZORVdTPU4mQU49NjEyNzkzNjUzIiwiaXNzdWVkIjp7ImRhdGUtcGFydHMiOltbMjAxNl1dfSwicGFnZSI6IjQxNSIsImFic3RyYWN0IjoiQmFja2dyb3VuZDogR2lsbGVzIGRlIGxhIFRvdXJldHRlIHN5bmRyb21lIChUUykgaXMgYSBjb21wbGV4IG5ldXJvcHN5Y2hpYXRyaWMgZGlzb3JkZXIgZGVmaW5lZCBieSB0aGUgcHJlc2VuY2Ugb2YgbW90b3IgYW5kIHBob25pYyB0aWNzLCBidXQgb2Z0ZW4gYXNzb2NpYXRlZCB3aXRoIHBzeWNoaWF0cmljIGNvbW9yYmlkaXRpZXMuIFRoZSBtYWluIG9iamVjdGl2ZSBvZiB0aGlzIHN0dWR5IHdhcyB0byBleHBsb3JlIHRoZSBjbGluaWNhbCBwcmVzZW50YXRpb24gYW5kIGNvbW9yYmlkaXRpZXMgb2YgVFMuIE1ldGhvZChzKTogV2UgYW5hbHl6ZWQgY2xpbmljYWwgZGF0YSBvYnRhaW5lZCBmcm9tIGEgbGFyZ2Ugc2FtcGxlIChuID0gMTAzMjsgNTI5IGNoaWxkcmVuIGFuZCA1MDMgYWR1bHRzKSBvZiBwYXRpZW50cyB3aXRoIHRpYyBkaXNvcmRlcnMgZnJvbSBvbmUgc2luZ2xlIEdlcm1hbiBUUyBjZW50ZXIgYXNzZXNzZWQgYnkgb25lIGludmVzdGlnYXRvci4gRGF0YSB3YXMgY29sbGVjdGVkIHdpdGggdGhlIGhlbHAgb2YgYW4gZXhwZXJ0LXJldmlld2VkIHNlbWktc3RydWN0dXJlZCBpbnRlcnZpZXcsIGRlc2lnbmVkIHRvIGFzc2VzcyB0aWMgc2V2ZXJpdHkgYW5kIGNlcnRhaW4gY29tb3JiaWRpdGllcy4gR3JvdXAgY29tcGFyaXNvbnMgd2VyZSBjYXJyaWVkIG91dCB2aWEgaW5kZXBlbmRlbnQgc2FtcGxlIHQtdGVzdHMgYW5kIGNoaS1zcXVhcmUgdGVzdHMuIFJlc3VsdChzKTogVGhlIG1haW4gZmluZGluZ3Mgb2YgdGhlIHN0dWR5IGFyZTogKDEpIHRpYyBzZXZlcml0eSBpcyBhc3NvY2lhdGVkIHdpdGggdGhlIHByZXNlbmNlIG9mIHByZW1vbml0b3J5IHVyZ2VzIChQVSksIGNvcHJvLSwgZWNoby0sIGFuZCBwYWxpcGhlbm9tZW5hIGFuZCB0aGUgbnVtYmVyIG9mIGNvbW9yYmlkaXRpZXMsIGJ1dCBub3QgYWdlIGF0IHRpYyBvbnNldDsgaXQgaXMgaGlnaGVyIGluIHBhdGllbnRzIHdpdGggY29tb3JiaWQgb2JzZXNzaXZlLWNvbXB1bHNpdmUgZGlzb3JkZXIgKE9DRCkgdGhhbiBpbiBwYXRpZW50cyB3aXRoIGNvbW9yYmlkIGF0dGVudGlvbiBkZWZpY2l0L2h5cGVyYWN0aXZpdHkgZGlzb3JkZXIgKEFESEQpLiAoMikgUFUgd2VyZSBmb3VuZCB0byBiZSBoaWdobHkgYXNzb2NpYXRlZCB3aXRoIFwibm90IGp1c3QgcmlnaHQgZXhwZXJpZW5jZXNcIiBhbmQgdG8gZW1lcmdlIG11Y2ggZWFybGllciB0aGFuIHByZXZpb3VzbHkgdGhvdWdodCBhbG9uZ3NpZGUgd2l0aCB0aGUgYWJpbGl0eSB0byBzdXBwcmVzcyB0aWNzIChQVSBpbiA+IDYwJSBhbmQgc3VwcHJlc3NpYmlsaXR5IGluID4gNzUlIGF0IGFnZSA4LTEwIHllYXJzKS4gKDMpIFNlbGYtaW5qdXJpb3VzIGJlaGF2aW9yIChTSUIpIGlzIGhpZ2hseSBhc3NvY2lhdGVkIHdpdGggY29tcGxleCBtb3RvciB0aWNzIGFuZCBjb3Byb3BoZW5vbWVuYSwgYnV0IG5vdCB3aXRoIE9DRC9vYnNlc3NpdmUtY29tcHVsc2l2ZSBiZWhhdmlvciAoT0NCKS4gV2hpbGUgY29tb3JiaWQgQURIRCBpcyBhc3NvY2lhdGVkIHdpdGggYSBsb3dlciBhYmlsaXR5IHRvIHN1cHByZXNzIHRpY3MsIGNvbW9yYmlkIGRlcHJlc3Npb24gaXMgYXNzb2NpYXRlZCB3aXRoIHNsZWVwaW5nIHByb2JsZW1zLiBEaXNjdXNzaW9uKHMpOiBPdXIgcmVzdWx0cyBkZW1vbnN0cmF0ZSB0aGF0IHRpYyBzZXZlcml0eSBpcyBub3QgaW5mbHVlbmNlZCBieSBhZ2UgYXQgb25zZXQuIEZyb20gb3VyIGRhdGEsIGl0IGlzIHN1Z2dlc3RlZCB0aGF0IFBVIHJlcHJlc2VudCBhIHNwZWNpZmljIHR5cGUgb2YgXCJub3QganVzdCByaWdodCBleHBlcmllbmNlXCIgdGhhdCBpcyBub3QgYSBwcmVyZXF1aXNpdGUgZm9yIHRpYyBzdXBwcmVzc2lvbi4gQ29tb3JiaWQgQURIRCByZWR1Y2VzIHBhdGllbnRzJyBhYmlsaXR5IG9mIHN1Y2Nlc3NmdWwgdGljIHN1cHByZXNzaW9uLiBPdXIgZGF0YSBzdWdnZXN0IHRoYXQgU0lCIGJlbG9uZ3MgdG8gdGhlIGNvcHJvcGhlbm9tZW5hIHNwZWN0cnVtIGFuZCBoZW5jZSBzaG91bGQgYmUgY29uY2VwdHVhbGl6ZWQgYXMgYSBjb21wbGV4IHRpYyByYXRoZXIgdGhhbiBhIGNvbXB1bHNpb24uIEZpbmFsbHksIHRoaXMgc3R1ZHkgc3Ryb25nbHkgc3VwcG9ydHMgdGhlIGh5cG90aGVzaXMgdGhhdCBUUytPQ0QgaXMgYSBtb3JlIHNldmVyZSBmb3JtIG9mIFRTIGFuZCB0aGF0IGNvbW9yYmlkIE9DRC9PQ0IsIGRlcHJlc3Npb24sIGFuZCBhbnhpZXR5IGJlbG9uZyB0byB0aGUgVFMgc3BlY3RydW0sIHdoaWxlIEFESEQgc2hvdWxkIGJlIGJldHRlciBjb25jZXB0dWFsaXplZCBhcyBhIHNlcGFyYXRlIHByb2JsZW0uIENvcHlyaWdodCDCqSAyMDE2IFNhbWJyYW5pLCBKYWt1Ym92c2tpIGFuZCBNdWxsZXItVmFobC4iLCJpc3N1ZSI6IlNFUCIsInZvbHVtZSI6IjEwIiwiY29udGFpbmVyLXRpdGxlLXNob3J0IjoiRnJvbnQgTmV1cm9zY2kifSwiaXNUZW1wb3JhcnkiOmZhbHNlfV19"/>
                <w:id w:val="1915581045"/>
                <w:placeholder>
                  <w:docPart w:val="DefaultPlaceholder_-1854013440"/>
                </w:placeholder>
              </w:sdtPr>
              <w:sdtContent>
                <w:r w:rsidR="00F04E9F" w:rsidRPr="00F04E9F">
                  <w:rPr>
                    <w:rFonts w:eastAsia="Times New Roman" w:cs="Times New Roman"/>
                    <w:color w:val="000000"/>
                    <w:sz w:val="16"/>
                    <w:szCs w:val="16"/>
                  </w:rPr>
                  <w:t>(48)</w:t>
                </w:r>
              </w:sdtContent>
            </w:sdt>
          </w:p>
        </w:tc>
        <w:tc>
          <w:tcPr>
            <w:tcW w:w="0" w:type="auto"/>
            <w:shd w:val="clear" w:color="auto" w:fill="FFFFFF"/>
            <w:hideMark/>
          </w:tcPr>
          <w:p w14:paraId="18BC11F7"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Premonitory urge presence and tic severity</w:t>
            </w:r>
          </w:p>
        </w:tc>
        <w:tc>
          <w:tcPr>
            <w:tcW w:w="0" w:type="auto"/>
            <w:shd w:val="clear" w:color="auto" w:fill="FFFFFF"/>
            <w:hideMark/>
          </w:tcPr>
          <w:p w14:paraId="0209F1B3"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1032 participants with any tic disorder</w:t>
            </w:r>
          </w:p>
        </w:tc>
        <w:tc>
          <w:tcPr>
            <w:tcW w:w="0" w:type="auto"/>
            <w:shd w:val="clear" w:color="auto" w:fill="FFFFFF"/>
            <w:hideMark/>
          </w:tcPr>
          <w:p w14:paraId="5289FFA5"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Independent samples t-test: Participants experiencing premonitory urges had more severe tics (mean STSS-GSR = 2.87) compared to those who did not experience premonitory urges (mean STSS-GSR = 2.62) (t = -3.164, p &lt; 0.005).</w:t>
            </w:r>
          </w:p>
        </w:tc>
      </w:tr>
      <w:tr w:rsidR="00986E35" w:rsidRPr="008A1F40" w14:paraId="63941D31" w14:textId="77777777" w:rsidTr="007F77D2">
        <w:trPr>
          <w:tblCellSpacing w:w="15" w:type="dxa"/>
        </w:trPr>
        <w:tc>
          <w:tcPr>
            <w:tcW w:w="0" w:type="auto"/>
            <w:shd w:val="clear" w:color="auto" w:fill="FFFFFF"/>
            <w:hideMark/>
          </w:tcPr>
          <w:p w14:paraId="7FFF9422" w14:textId="1E841FE9"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Eapen and Robertson (2015)</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zQ1ZjU5NzAtOTdiYi00YWM3LTk0ZGUtNDM3YzRjYzU4ZDZmIiwicHJvcGVydGllcyI6eyJub3RlSW5kZXgiOjB9LCJpc0VkaXRlZCI6ZmFsc2UsIm1hbnVhbE92ZXJyaWRlIjp7ImlzTWFudWFsbHlPdmVycmlkZGVuIjpmYWxzZSwiY2l0ZXByb2NUZXh0IjoiKDQ5KSIsIm1hbnVhbE92ZXJyaWRlVGV4dCI6IiJ9LCJjaXRhdGlvbkl0ZW1zIjpbeyJpZCI6IjYyNTIxMjRlLWU4NGMtM2I1NS1iMjg5LWVkNDFiMzgyNThlNiIsIml0ZW1EYXRhIjp7InR5cGUiOiJhcnRpY2xlLWpvdXJuYWwiLCJpZCI6IjYyNTIxMjRlLWU4NGMtM2I1NS1iMjg5LWVkNDFiMzgyNThlNiIsInRpdGxlIjoiQXJlIHRoZXJlIGRpc3RpbmN0IHN1YnR5cGVzIGluIFRvdXJldHRlIHN5bmRyb21lPyBQdXJlLVRvdXJldHRlIHN5bmRyb21lIHZlcnN1cyBUb3VyZXR0ZSBzeW5kcm9tZS1wbHVzLCBhbmQgc2ltcGxlIHZlcnN1cyBjb21wbGV4IHRpY3MiLCJncm91cElkIjoiMDdkNjJhYzEtNWFhOC0zOWFmLWI0OWUtNTJkMjA4OGFjNTcxIiwiYXV0aG9yIjpbeyJmYW1pbHkiOiJFYXBlbiIsImdpdmVuIjoiViIsInBhcnNlLW5hbWVzIjpmYWxzZSwiZHJvcHBpbmctcGFydGljbGUiOiIiLCJub24tZHJvcHBpbmctcGFydGljbGUiOiIifSx7ImZhbWlseSI6IlJvYmVydHNvbiIsImdpdmVuIjoiTSBNIiwicGFyc2UtbmFtZXMiOmZhbHNlLCJkcm9wcGluZy1wYXJ0aWNsZSI6IiIsIm5vbi1kcm9wcGluZy1wYXJ0aWNsZSI6IiJ9XSwiY29udGFpbmVyLXRpdGxlIjoiTmV1cm9wc3ljaGlhdHJpYyBEaXNlYXNlIGFuZCBUcmVhdG1lbnQiLCJET0kiOiJodHRwczovL2R4LmRvaS5vcmcvMTAuMjE0Ny9ORFQuUzcyMjg0IiwiVVJMIjoiaHR0cDovL3d3dy5kb3ZlcHJlc3MuY29tL2dldGZpbGUucGhwP2ZpbGVJRD0yNTQ0NWh0dHA6Ly9vdmlkc3Aub3ZpZC5jb20vb3ZpZHdlYi5jZ2k/VD1KUyZQQUdFPXJlZmVyZW5jZSZEPWVtZWQxNiZORVdTPU4mQU49NjA0OTg0MTc0IiwiaXNzdWVkIjp7ImRhdGUtcGFydHMiOltbMjAxNV1dfSwicGFnZSI6IjE0MzEtMTQzNiIsImFic3RyYWN0IjoiVGhpcyBzdHVkeSBhZGRyZXNzZWQgc2V2ZXJhbCBxdWVzdGlvbnMgcmVsYXRpbmcgdG8gdGhlIGNvcmUgZmVhdHVyZXMgb2YgVG91cmV0dGUgc3luZHJvbWUgKFRTKSBpbmNsdWRpbmcgaW4gcGFydGljdWxhciBjb3Byb2xhbGlhIChpbnZvbHVudGFyeSB1dHRlcmFuY2Ugb2Ygb2JzY2VuZSB3b3JkcykgYW5kIGNvcHJvcHJheGlhIChpbnZvbHVudGFyeSBhbmQgaW5hcHByb3ByaWF0ZSBydWRlIGdlc3R1cmluZykuIEEgY29ob3J0IG9mIDQwMCBUUyBwYXRpZW50cyB3YXMgaW52ZXN0aWdhdGVkLiBXZSBvYnNlcnZlZCB0aGF0IGNvcHJvbGFsaWEgb2NjdXJyZWQgaW4gMzklIG9mIHRoZSBmdWxsIGNvaG9ydCBvZiA0MDAgcGF0aWVudHMgYW5kIGNvcHJvcHJheGlhIG9jY3VycmVkIGluIDIwJSBvZiB0aGUgY29ob3J0LiBUaG9zZSB3aXRoIGNvcHJvbGFsaWEgaGFkIHNpZ25pZmljYW50bHkgaGlnaGVyIFlhbGUgR2xvYmFsIFRpYyBTZXZlcml0eSBTY2FsZSAoWUdUU1MpIGFuZCBEaWFnbm9zdGljIENvbmZpZGVuY2UgSW5kZXggKERDSSkgdG90YWwgc2NvcmVzIGFuZCBhIHNpZ25pZmljYW50bHkgaGlnaGVyIHByb3BvcnRpb24gYWxzbyBleHBlcmllbmNlZCBjb3Byb3ByYXhpYSBhbmQgZWNob2xhbGlhLiBBIHN1Ymdyb3VwIG9mIDIyMiBUUyBwYXRpZW50cyB3aXRoIGZ1bGwgY29tb3JiaWRpdHkgZGF0YSBhdmFpbGFibGUgd2VyZSBhbHNvIGNvbXBhcmVkIGJhc2VkIG9uIHdoZXRoZXIgdGhleSBoYWQgcHVyZS1UUyAobW90b3IgYW5kIHZvY2FsIHRpY3Mgb25seSkgb3IgYXNzb2NpYXRlZCBjb21vcmJpZGl0aWVzIGFuZCBjby1leGlzdGVudCBwc3ljaG9wYXRob2xvZ2llcyAoVFMtcGx1cykuIFB1cmUtVFMgYW5kIFRTLXBsdXMgZ3JvdXBzIHdlcmUgY29tcGFyZWQgYWNyb3NzIGEgbnVtYmVyIG9mIGNoYXJhY3RlcmlzdGljcyBpbmNsdWRpbmcgVFMgc2V2ZXJpdHksIGFzc29jaWF0ZWQgY2xpbmljYWwgZmVhdHVyZXMsIGFuZCBmYW1pbHkgaGlzdG9yeS4gSW4gdGhpcyBzdWJncm91cCwgMTMuNSUgaGFkIHB1cmUtVFMsIHdoaWxlIHRoZSByZW1haW5kZXIgaGFkIGNvbW9yYmlkaXRpZXMgYW5kIHBzeWNob3BhdGhvbG9naWVzIGNvbnNpc3RlbnQgd2l0aCBUUy1wbHVzLiBUaGlydHktbmluZSBwZXJjZW50IG9mIHRoZSBUUy1wbHVzIGdyb3VwIGRpc3BsYXllZCBjb3Byb2xhbGlhLCBjb21wYXJlZCB0byAoMCUpIG9mIHRoZSBwdXJlLVRTIGdyb3VwIGFuZCB0aGUgZGlmZmVyZW5jZSBpbiBwcm9wb3J0aW9ucyB3YXMgc3RhdGlzdGljYWxseSBzaWduaWZpY2FudC4gVGhlIG9ubHkgb3RoZXIgc2lnbmlmaWNhbnQgZGlmZmVyZW5jZSBmb3VuZCBiZXR3ZWVuIHRoZSB0d28gZ3JvdXBzIHdhcyB0aGF0IHB1cmUtVFMgd2FzIGFzc29jaWF0ZWQgd2l0aCBubyBmYW1pbHkgaGlzdG9yeSBvZiBvYnNlc3NpdmUgY29tcHVsc2l2ZSBkaXNvcmRlciB3aGljaCBpcyBhbiBpbnRlcmVzdGluZyBmaW5kaW5nIHRoYXQgbWF5IHN1Z2dlc3QgdGhhdCBhZGRpdGlvbmFsIGdlbmVzIG9yIGVudmlyb25tZW50YWwgZmFjdG9ycyBtYXkgYmUgYXQgcGxheSB3aGVuIFRTIGlzIGFzc29jaWF0ZWQgd2l0aCBjb21vcmJpZGl0aWVzLiBGaW5hbGx5LCBkaWZmZXJlbmNlcyBiZXR3ZWVuIGluZGl2aWR1YWxzIHdpdGggc2ltcGxlIHZlcnN1cyBjb21wbGV4IHZvY2FsL21vdG9yIHRpY3Mgd2VyZSBldmFsdWF0ZWQuIFJlc3VsdHMgaW5kaWNhdGVkIHRoYXQgaW5kaXZpZHVhbHMgd2l0aCBjb21wbGV4IG1vdG9yL3ZvY2FsIHRpY3Mgd2VyZSBzaWduaWZpY2FudGx5IG1vcmUgbGlrZWx5IHRvIHJlcG9ydCBwcmVtb25pdG9yeSB1cmdlcy9zZW5zYXRpb25zIHRoYW4gaW5kaXZpZHVhbHMgd2l0aCBzaW1wbGUgdGljcyBhbmQgVFMuIFRoZSBpbXBsaWNhdGlvbnMgb2YgdGhlc2UgZmluZGluZ3MgZm9yIHRoZSBhc3Nlc3NtZW50IGFuZCB1bmRlcnN0YW5kaW5nIG9mIFRTIGFyZSBkaXNjdXNzZWQuQ29weXJpZ2h0IMKpIDIwMTUgRWFwZW4gYW5kIFJvYmVydHNvbi4iLCJ2b2x1bWUiOiIxMSIsImNvbnRhaW5lci10aXRsZS1zaG9ydCI6Ik5ldXJvcHN5Y2hpYXRyIERpcyBUcmVhdCJ9LCJpc1RlbXBvcmFyeSI6ZmFsc2V9XX0="/>
                <w:id w:val="-414774464"/>
                <w:placeholder>
                  <w:docPart w:val="DefaultPlaceholder_-1854013440"/>
                </w:placeholder>
              </w:sdtPr>
              <w:sdtContent>
                <w:r w:rsidR="00F04E9F" w:rsidRPr="00F04E9F">
                  <w:rPr>
                    <w:rFonts w:eastAsia="Times New Roman" w:cs="Times New Roman"/>
                    <w:color w:val="000000"/>
                    <w:sz w:val="16"/>
                    <w:szCs w:val="16"/>
                  </w:rPr>
                  <w:t>(49)</w:t>
                </w:r>
              </w:sdtContent>
            </w:sdt>
          </w:p>
        </w:tc>
        <w:tc>
          <w:tcPr>
            <w:tcW w:w="0" w:type="auto"/>
            <w:shd w:val="clear" w:color="auto" w:fill="FFFFFF"/>
            <w:hideMark/>
          </w:tcPr>
          <w:p w14:paraId="0AE2D7B0"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Presence of premonitory urges and presence of complex tics</w:t>
            </w:r>
          </w:p>
        </w:tc>
        <w:tc>
          <w:tcPr>
            <w:tcW w:w="0" w:type="auto"/>
            <w:shd w:val="clear" w:color="auto" w:fill="FFFFFF"/>
            <w:hideMark/>
          </w:tcPr>
          <w:p w14:paraId="3B792DAA"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400 children and adults with TS – further analyses were conducted on the subset of 222 individuals with TS who had full data on comorbidities and associated psychopathologies</w:t>
            </w:r>
          </w:p>
        </w:tc>
        <w:tc>
          <w:tcPr>
            <w:tcW w:w="0" w:type="auto"/>
            <w:shd w:val="clear" w:color="auto" w:fill="FFFFFF"/>
            <w:hideMark/>
          </w:tcPr>
          <w:p w14:paraId="32D9AB79" w14:textId="2DDC034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Fisher’s exact test: Participants experiencing complex tics were more likely to report premonitory urges than those without complex tics (φ = 0.15, p = 0.006).</w:t>
            </w:r>
          </w:p>
        </w:tc>
      </w:tr>
      <w:tr w:rsidR="00986E35" w:rsidRPr="008A1F40" w14:paraId="6096F0DE" w14:textId="77777777" w:rsidTr="007F77D2">
        <w:trPr>
          <w:tblCellSpacing w:w="15" w:type="dxa"/>
        </w:trPr>
        <w:tc>
          <w:tcPr>
            <w:tcW w:w="0" w:type="auto"/>
            <w:shd w:val="clear" w:color="auto" w:fill="FFFFFF"/>
            <w:hideMark/>
          </w:tcPr>
          <w:p w14:paraId="4430D1A5" w14:textId="6066EC02"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Kaczyńska and Janik (2021)</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2YxZTVlMWEtYjdkYy00M2M2LThkNTQtM2YxMjAyNzI1NTJkIiwicHJvcGVydGllcyI6eyJub3RlSW5kZXgiOjB9LCJpc0VkaXRlZCI6ZmFsc2UsIm1hbnVhbE92ZXJyaWRlIjp7ImlzTWFudWFsbHlPdmVycmlkZGVuIjpmYWxzZSwiY2l0ZXByb2NUZXh0IjoiKDUwKSIsIm1hbnVhbE92ZXJyaWRlVGV4dCI6IiJ9LCJjaXRhdGlvbkl0ZW1zIjpbeyJpZCI6IjRjNjJmMGFiLWU1MTItMzRmZC04N2MxLWRlODZhYjVjOTJjNyIsIml0ZW1EYXRhIjp7InR5cGUiOiJhcnRpY2xlLWpvdXJuYWwiLCJpZCI6IjRjNjJmMGFiLWU1MTItMzRmZC04N2MxLWRlODZhYjVjOTJjNyIsInRpdGxlIjoiVG9uaWMgVGljcyBpbiBHaWxsZXMgZGUgbGEgVG91cmV0dGUgU3luZHJvbWUiLCJncm91cElkIjoiMDdkNjJhYzEtNWFhOC0zOWFmLWI0OWUtNTJkMjA4OGFjNTcxIiwiYXV0aG9yIjpbeyJmYW1pbHkiOiJLYWN6ecWEc2thIiwiZ2l2ZW4iOiJKIiwicGFyc2UtbmFtZXMiOmZhbHNlLCJkcm9wcGluZy1wYXJ0aWNsZSI6IiIsIm5vbi1kcm9wcGluZy1wYXJ0aWNsZSI6IiJ9LHsiZmFtaWx5IjoiSmFuaWsiLCJnaXZlbiI6IlAiLCJwYXJzZS1uYW1lcyI6ZmFsc2UsImRyb3BwaW5nLXBhcnRpY2xlIjoiIiwibm9uLWRyb3BwaW5nLXBhcnRpY2xlIjoiIn1dLCJjb250YWluZXItdGl0bGUiOiJOZXVyb3BlZGlhdHJpY3MiLCJET0kiOiIxMC4xMDU1L3MtMDA0MC0xNzIyNjg5IiwiUE1JRCI6IjMzNDQ1MTkwIiwiVVJMIjoiaHR0cHM6Ly93d3cudGhpZW1lLWNvbm5lY3QuZGUvcHJvZHVjdHMvZWpvdXJuYWxzL3BkZi8xMC4xMDU1L3MtMDA0MC0xNzIyNjg5LnBkZiIsImlzc3VlZCI6eyJkYXRlLXBhcnRzIjpbWzIwMjFdXX0sInBhZ2UiOiIzNzAtMzc2IiwiYWJzdHJhY3QiOiJBSU06IFRvbmljIHRpY3MgKFRUcykgYXJlIGEgcGFydCBvZiBhIGNsaW5pY2FsIHBpY3R1cmUgb2YgR2lsbGVzIGRlIGxhIFRvdXJldHRlIHN5bmRyb21lIChHVFMpIGFuZCBtYW5pZmVzdCB0aGVtc2VsdmVzIGFzIHN1c3RhaW5lZCBhbmQgaXNvbWV0cmljIGNvbnRyYWN0aW9uIG9mIGEgbXVzY2xlIGdyb3VwIGRldm9pZCBvZiB0aGUgbW92ZW1lbnQgZWZmZWN0IG9yIGFjY29tcGFuaWVkIGJ5IG9ubHkgc2xpZ2h0IHZpc2libGUgbW90aW9uLiBUaGUgYWltIG9mIHRoaXMgc3R1ZHkgd2FzIHRvIGV2YWx1YXRlIHRoZSBwcmV2YWxlbmNlIGFuZCBwaGVub21lbm9sb2d5IG9mIFRUcywgYW5kIHRvIGFzc2VzcyB0aGUgY2xpbmljYWwgYXNzb2NpYXRpb25zIG9mIFRUcyB3aXRoIHRpYyBzZXZlcml0eSBhbmQgY29tb3JiaWRpdGllcyBpbiBwYXRpZW50cyB3aXRoIEdUUy4gTUVUSE9EUzogV2UgcGVyZm9ybWVkIGEgb25lLXRpbWUgcmVnaXN0cmF0aW9uIHN0dWR5IGluIGEgY29ob3J0IG9mIDI0MSBjb25zZWN1dGl2ZSBvdXRwYXRpZW50cyB3aXRoIEdUUyBhZ2VkIDUgdG8gNTAgeWVhcnMgKDE4OCBtYWxlcywgMTUzIHBhdGllbnRzIHVuZGVyIHRoZSBhZ2Ugb2YgMTggeWVhcnMpLiBBbGwgcGF0aWVudHMgd2VyZSBwZXJzb25hbGx5IGludGVydmlld2VkIGFuZCBleGFtaW5lZC4gUkVTVUxUUzogVFRzIG9jY3VycmVkIGluIDg1LjIlIG9mIGFkdWx0cyBhbmQgNjMuOSUgb2YgY2hpbGRyZW4gYW5kIGFkb2xlc2NlbnRzLiBNb3N0IGZyZXF1ZW50bHkgcmVwb3J0ZWQgdHlwZXMgb2YgVFRzIHdlcmUgdGVuc2luZyBvZiB0aGUgYWJkb21lbiAoNTguNyUpLCBuZWNrICg1Mi43JSksIGFuZCB1cHBlciBsaW1icyAoNTAuMyUpLiBNdWx0aXZhcmlhdGUgc3RhdGlzdGljYWwgYW5hbHlzaXMgc2hvd2VkIGEgc2lnbmlmaWNhbnQgY29ycmVsYXRpb24gYmV0d2VlbiBUVHMgYW5kIHRoZSB0b3RhbCBudW1iZXIgb2Ygc2ltcGxlIHRpY3MsIHRvdGFsIG51bWJlciBvZiBjb21wbGV4IHRpY3MsIGFuZCBhZ2UgYXQgZXZhbHVhdGlvbi4gSW4gdGhlIGdyb3VwIG9mIGNoaWxkcmVuIGFuZCBhZG9sZXNjZW50cywgYW4gYWRkaXRpb25hbCBzaWduaWZpY2FudCB2YXJpYWJsZSB3YXMgdGhlIGR1cmF0aW9uIG9mIEdUUy4gSW4gdGhlIGdyb3VwIG9mIGFkdWx0cywgc2lnbmlmaWNhbnQgcGFyYW1ldGVycyB3ZXJlIHRvdGFsIG51bWJlciBvZiBzaW1wbGUgdGljcywgdG90YWwgbnVtYmVyIG9mIGNvbXBsZXggdGljcywgcGVhayB0aWMgc2V2ZXJpdHkgZXZlciBleHBlcmllbmNlZCwgcHJlbW9uaXRvcnkgdXJnZXMsIGFuZCB0aGUgcHJlc2VuY2Ugb2YgZHlzdG9uaWMgdGljcy4gQ09OQ0xVU0lPTjogVFRzIGJlbG9uZyB0byB0aGUgdGljIHNwZWN0cnVtLCBjb21tb24gYW5kIGVhcmx5IHN5bXB0b21zIG9mIEdUUywgYXJlIGFzc29jaWF0ZWQgd2l0aCBvdmVyYWxsIGEgZ3JlYXRlciBudW1iZXIgb2YgdGljcyB3aGljaCBhcmUgbW9yZSBzZXZlcmUsIGFuZCB3aXRoIG1vcmUgY29tb3JiaWRpdGllcy4iLCJpc3N1ZSI6IjUiLCJ2b2x1bWUiOiI1MiIsImNvbnRhaW5lci10aXRsZS1zaG9ydCI6Ik5ldXJvcGVkaWF0cmljcyJ9LCJpc1RlbXBvcmFyeSI6ZmFsc2V9XX0="/>
                <w:id w:val="1228040311"/>
                <w:placeholder>
                  <w:docPart w:val="DefaultPlaceholder_-1854013440"/>
                </w:placeholder>
              </w:sdtPr>
              <w:sdtContent>
                <w:r w:rsidR="00F04E9F" w:rsidRPr="00F04E9F">
                  <w:rPr>
                    <w:rFonts w:eastAsia="Times New Roman" w:cs="Times New Roman"/>
                    <w:color w:val="000000"/>
                    <w:sz w:val="16"/>
                    <w:szCs w:val="16"/>
                  </w:rPr>
                  <w:t>(50)</w:t>
                </w:r>
              </w:sdtContent>
            </w:sdt>
          </w:p>
        </w:tc>
        <w:tc>
          <w:tcPr>
            <w:tcW w:w="0" w:type="auto"/>
            <w:shd w:val="clear" w:color="auto" w:fill="FFFFFF"/>
            <w:hideMark/>
          </w:tcPr>
          <w:p w14:paraId="1FE76F8D"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Presence of premonitory urges and presence of tonic tics</w:t>
            </w:r>
          </w:p>
        </w:tc>
        <w:tc>
          <w:tcPr>
            <w:tcW w:w="0" w:type="auto"/>
            <w:shd w:val="clear" w:color="auto" w:fill="FFFFFF"/>
            <w:hideMark/>
          </w:tcPr>
          <w:p w14:paraId="0CAF2814"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Data from 232 children and adults with TS</w:t>
            </w:r>
          </w:p>
        </w:tc>
        <w:tc>
          <w:tcPr>
            <w:tcW w:w="0" w:type="auto"/>
            <w:shd w:val="clear" w:color="auto" w:fill="FFFFFF"/>
            <w:hideMark/>
          </w:tcPr>
          <w:p w14:paraId="36A12F0E" w14:textId="290CD9D2"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Chi-square test: Patients with tonic tics were more likely to experience premonitory urges compared to those without </w:t>
            </w:r>
            <w:r w:rsidR="00240AAB">
              <w:rPr>
                <w:rFonts w:eastAsia="Times New Roman" w:cs="Times New Roman"/>
                <w:color w:val="0D0D0D"/>
                <w:sz w:val="16"/>
                <w:szCs w:val="16"/>
              </w:rPr>
              <w:t xml:space="preserve">tonic tics </w:t>
            </w:r>
            <w:r w:rsidRPr="008A1F40">
              <w:rPr>
                <w:rFonts w:eastAsia="Times New Roman" w:cs="Times New Roman"/>
                <w:color w:val="0D0D0D"/>
                <w:sz w:val="16"/>
                <w:szCs w:val="16"/>
              </w:rPr>
              <w:t>(p = 0.013). Multivariate logistic regression showed that premonitory urges were a significant predictor of tonic tics (OR = 4.69, p = 0.018), controlling for sex and age.</w:t>
            </w:r>
          </w:p>
        </w:tc>
      </w:tr>
    </w:tbl>
    <w:p w14:paraId="2D50F1AE" w14:textId="77777777" w:rsidR="00986E35" w:rsidRPr="008A1F40" w:rsidRDefault="00986E35" w:rsidP="00986E35">
      <w:pPr>
        <w:rPr>
          <w:rFonts w:cs="Times New Roman"/>
          <w:sz w:val="16"/>
          <w:szCs w:val="16"/>
        </w:rPr>
      </w:pPr>
      <w:r w:rsidRPr="008A1F40">
        <w:rPr>
          <w:rFonts w:cs="Times New Roman"/>
          <w:sz w:val="16"/>
          <w:szCs w:val="16"/>
        </w:rPr>
        <w:t>STSS-GSR</w:t>
      </w:r>
      <w:r w:rsidRPr="008A1F40">
        <w:rPr>
          <w:rFonts w:cs="Times New Roman"/>
          <w:color w:val="000000" w:themeColor="text1"/>
          <w:sz w:val="16"/>
          <w:szCs w:val="16"/>
        </w:rPr>
        <w:t xml:space="preserve"> = Shapiro Tourette-Syndrome Severity Scale Global Severity Rating, OR = odds ratio, TS = Tourette syndrome, PUTS = Premonitory Urge for Tics Scale</w:t>
      </w:r>
    </w:p>
    <w:p w14:paraId="6496197F" w14:textId="77777777" w:rsidR="00986E35" w:rsidRPr="008A1F40" w:rsidRDefault="00986E35" w:rsidP="00986E35">
      <w:pPr>
        <w:rPr>
          <w:rFonts w:cs="Times New Roman"/>
          <w:sz w:val="16"/>
          <w:szCs w:val="16"/>
        </w:rPr>
      </w:pPr>
    </w:p>
    <w:p w14:paraId="25BD40FD" w14:textId="54429FFC" w:rsidR="00986E35" w:rsidRPr="008A1F40" w:rsidRDefault="00986E35" w:rsidP="00986E35">
      <w:pPr>
        <w:rPr>
          <w:rFonts w:cs="Times New Roman"/>
          <w:sz w:val="16"/>
          <w:szCs w:val="16"/>
        </w:rPr>
      </w:pPr>
      <w:r w:rsidRPr="008A1F40">
        <w:rPr>
          <w:rFonts w:cs="Times New Roman"/>
          <w:sz w:val="16"/>
          <w:szCs w:val="16"/>
        </w:rPr>
        <w:t>Table 5: Associations with Obsessive-Compulsive Symptoms/Disorders</w:t>
      </w:r>
    </w:p>
    <w:tbl>
      <w:tblPr>
        <w:tblW w:w="9210" w:type="dxa"/>
        <w:tblCellSpacing w:w="15" w:type="dxa"/>
        <w:tblBorders>
          <w:top w:val="thinThickSmallGap" w:sz="24" w:space="0" w:color="C4BC96" w:themeColor="background2" w:themeShade="BF"/>
          <w:left w:val="thinThickSmallGap" w:sz="24" w:space="0" w:color="C4BC96" w:themeColor="background2" w:themeShade="BF"/>
          <w:bottom w:val="thickThinSmallGap" w:sz="24" w:space="0" w:color="C4BC96" w:themeColor="background2" w:themeShade="BF"/>
          <w:right w:val="thickThinSmallGap" w:sz="24" w:space="0" w:color="C4BC96" w:themeColor="background2" w:themeShade="BF"/>
          <w:insideH w:val="single" w:sz="6" w:space="0" w:color="C4BC96" w:themeColor="background2" w:themeShade="BF"/>
          <w:insideV w:val="single" w:sz="6" w:space="0" w:color="C4BC96" w:themeColor="background2"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1236"/>
        <w:gridCol w:w="2132"/>
        <w:gridCol w:w="5842"/>
      </w:tblGrid>
      <w:tr w:rsidR="00986E35" w:rsidRPr="008A1F40" w14:paraId="3D8FFD51" w14:textId="77777777" w:rsidTr="007F77D2">
        <w:trPr>
          <w:tblHeader/>
          <w:tblCellSpacing w:w="15" w:type="dxa"/>
        </w:trPr>
        <w:tc>
          <w:tcPr>
            <w:tcW w:w="0" w:type="auto"/>
            <w:shd w:val="clear" w:color="auto" w:fill="FFFFFF"/>
            <w:hideMark/>
          </w:tcPr>
          <w:p w14:paraId="6872FD74"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lastRenderedPageBreak/>
              <w:t>Study</w:t>
            </w:r>
          </w:p>
        </w:tc>
        <w:tc>
          <w:tcPr>
            <w:tcW w:w="0" w:type="auto"/>
            <w:shd w:val="clear" w:color="auto" w:fill="FFFFFF"/>
            <w:hideMark/>
          </w:tcPr>
          <w:p w14:paraId="1E72394A"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Sample Size/Demographics</w:t>
            </w:r>
          </w:p>
        </w:tc>
        <w:tc>
          <w:tcPr>
            <w:tcW w:w="0" w:type="auto"/>
            <w:shd w:val="clear" w:color="auto" w:fill="FFFFFF"/>
            <w:hideMark/>
          </w:tcPr>
          <w:p w14:paraId="1F0C7FCF"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Findings</w:t>
            </w:r>
          </w:p>
        </w:tc>
      </w:tr>
      <w:tr w:rsidR="00986E35" w:rsidRPr="008A1F40" w14:paraId="6862FE9D" w14:textId="77777777" w:rsidTr="007F77D2">
        <w:trPr>
          <w:tblCellSpacing w:w="15" w:type="dxa"/>
        </w:trPr>
        <w:tc>
          <w:tcPr>
            <w:tcW w:w="0" w:type="auto"/>
            <w:shd w:val="clear" w:color="auto" w:fill="FFFFFF"/>
            <w:hideMark/>
          </w:tcPr>
          <w:p w14:paraId="57F5F373" w14:textId="565CC9AD"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Crossley and Cavanna (2013)</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jM3NmQwZmEtZGU1Ni00YzhjLWI0MWQtNjVkYWI2YTY2MjU0IiwicHJvcGVydGllcyI6eyJub3RlSW5kZXgiOjB9LCJpc0VkaXRlZCI6ZmFsc2UsIm1hbnVhbE92ZXJyaWRlIjp7ImlzTWFudWFsbHlPdmVycmlkZGVuIjpmYWxzZSwiY2l0ZXByb2NUZXh0IjoiKDUxKSIsIm1hbnVhbE92ZXJyaWRlVGV4dCI6IiJ9LCJjaXRhdGlvbkl0ZW1zIjpbeyJpZCI6IjNmZjIxZTE0LWQ0NDEtM2FlMy1iOTc4LWVhYjBkN2I2YjNjYyIsIml0ZW1EYXRhIjp7InR5cGUiOiJhcnRpY2xlLWpvdXJuYWwiLCJpZCI6IjNmZjIxZTE0LWQ0NDEtM2FlMy1iOTc4LWVhYjBkN2I2YjNjYyIsInRpdGxlIjoiU2Vuc29yeSBwaGVub21lbmE6IGNsaW5pY2FsIGNvcnJlbGF0ZXMgYW5kIGltcGFjdCBvbiBxdWFsaXR5IG9mIGxpZmUgaW4gYWR1bHQgcGF0aWVudHMgd2l0aCBUb3VyZXR0ZSBzeW5kcm9tZSIsImdyb3VwSWQiOiIwN2Q2MmFjMS01YWE4LTM5YWYtYjQ5ZS01MmQyMDg4YWM1NzEiLCJhdXRob3IiOlt7ImZhbWlseSI6IkNyb3NzbGV5IiwiZ2l2ZW4iOiJFIiwicGFyc2UtbmFtZXMiOmZhbHNlLCJkcm9wcGluZy1wYXJ0aWNsZSI6IiIsIm5vbi1kcm9wcGluZy1wYXJ0aWNsZSI6IiJ9LHsiZmFtaWx5IjoiQ2F2YW5uYSIsImdpdmVuIjoiQSBFIiwicGFyc2UtbmFtZXMiOmZhbHNlLCJkcm9wcGluZy1wYXJ0aWNsZSI6IiIsIm5vbi1kcm9wcGluZy1wYXJ0aWNsZSI6IiJ9XSwiY29udGFpbmVyLXRpdGxlIjoiUHN5Y2hpYXRyeSBSZXMiLCJET0kiOiIxMC4xMDE2L2oucHN5Y2hyZXMuMjAxMy4wNC4wMTkiLCJQTUlEIjoiMjM2ODQwNTEiLCJpc3N1ZWQiOnsiZGF0ZS1wYXJ0cyI6W1syMDEzXV19LCJwYWdlIjoiNzA1LTcxMCIsImFic3RyYWN0IjoiVG91cmV0dGUgc3luZHJvbWUgKFRTKSBpcyBhIG5ldXJvZGV2ZWxvcG1lbnRhbCBjb25kaXRpb24gY2hhcmFjdGVyaXNlZCBieSBtdWx0aXBsZSB0aWNzLCB3aXRoIGZyZXF1ZW50IGJlaGF2aW91cmFsIGNvLW1vcmJpZGl0eS4gU2Vuc29yeSBwaGVub21lbmEgKFNQKSBhcmUgdW5wbGVhc2FudCBzZW5zYXRpb25zIHdoaWNoIHByb3ZpZGUgaW52b2x1bnRhcnkgdXJnZXMgdG8gdGljIGluIHBhdGllbnRzIHdpdGggVFMuIFdoaWxlIFNQIGhhdmUgYSBjZW50cmFsIHJvbGUgaW4gdGljIGV4cHJlc3Npb24sIGxpdHRsZSBpcyBrbm93biBhYm91dCB0aGVpciBjbGluaWNhbCBjb3JyZWxhdGVzIG9yIGFzc29jaWF0aW9uIHdpdGggaGVhbHRoLXJlbGF0ZWQgcXVhbGl0eSBvZiBsaWZlIChIUi1RT0wpIGluIFRTLiBXZSBjb25kdWN0ZWQgYSBjcm9zcy1zZWN0aW9uYWwgc3R1ZHkgb24gNzIgYWR1bHQgb3V0cGF0aWVudHMgd2l0aCBUUywgcmVjcnVpdGVkIGF0IGEgc3BlY2lhbGlzdCBjbGluaWMuIEFsbCBwYXJ0aWNpcGFudHMgY29tcGxldGVkIGEgY29tcHJlaGVuc2l2ZSBiYXR0ZXJ5IG9mIHBzeWNob21ldHJpYyBtZWFzdXJlcywgaW5jbHVkaW5nIHRoZSBQcmVtb25pdG9yeSBVcmdlcyBmb3IgVGljcyBTY2FsZSAoUFVUUykgdG8gYXNzZXNzIFNQIGFuZCBhIGRpc2Vhc2Utc3BlY2lmaWMgcXVhbGl0eSBvZiBsaWZlIHNjYWxlIChHVFMtUU9MKSB0byBhc3Nlc3MgSFItUU9MLiBTUCB3ZXJlIHZlcnkgY29tbW9uICg5Ny4yJSBvZiBwYXRpZW50cyksIHdpdGggYSBtZWRpYW4gUFVUUyB0b3RhbCBzY29yZSBvZiAyOC80MC4gQml2YXJpYXRlIGFuYWx5c2VzIHNob3dlZCB0aGF0IFBVVFMgc2NvcmVzIHdlcmUgbW9zdCBzaWduaWZpY2FudGx5IGNvcnJlbGF0ZWQgd2l0aCBzZWxmLXJlcG9ydCBtZWFzdXJlcyBvZiB2b2NhbCB0aWMgc2V2ZXJpdHkgYW5kIGNvbXB1bHNpdml0eS4gUFVUUyBzY29yZXMgd2VyZSBhbHNvIHNpZ25pZmljYW50bHkgY29ycmVsYXRlZCB3aXRoIEdUUy1RT0wgc2NvcmVzLCBtb3N0IG5vdGFibHkgd2l0aCB0aGUgcHN5Y2hvbG9naWNhbCBzdWJzY2FsZS4gU1AgYXJlIGZyZXF1ZW50bHkgcmVwb3J0ZWQgYnkgYWR1bHRzIHdpdGggVFMsIGFyZSBhc3NvY2lhdGVkIHdpdGggcGVyY2VpdmVkIHRpYyBzZXZlcml0eSBhbmQgY29tcHVsc2l2aXR5LCBhbmQgY2FuIHNpZ25pZmljYW50bHkgYWZmZWN0IHBzeWNob2xvZ2ljYWwgd2VsbC1iZWluZy4gU3RhbmRhcmRpc2VkIG1lYXN1cmVtZW50IG9mIFNQIHNob3VsZCBiZSBpbmNvcnBvcmF0ZWQgaW50byByb3V0aW5lIGFzc2Vzc21lbnQgb2YgcGF0aWVudHMgd2l0aCBUUyB0byBvcHRpbWlzZSB0aGVpciBjbGluaWNhbCBtYW5hZ2VtZW50LiIsImlzc3VlIjoiMyIsInZvbHVtZSI6IjIwOSIsImNvbnRhaW5lci10aXRsZS1zaG9ydCI6IiJ9LCJpc1RlbXBvcmFyeSI6ZmFsc2V9XX0="/>
                <w:id w:val="-1037348611"/>
                <w:placeholder>
                  <w:docPart w:val="DefaultPlaceholder_-1854013440"/>
                </w:placeholder>
              </w:sdtPr>
              <w:sdtContent>
                <w:r w:rsidR="00F04E9F" w:rsidRPr="00F04E9F">
                  <w:rPr>
                    <w:rFonts w:eastAsia="Times New Roman" w:cs="Times New Roman"/>
                    <w:color w:val="000000"/>
                    <w:sz w:val="16"/>
                    <w:szCs w:val="16"/>
                  </w:rPr>
                  <w:t>(51)</w:t>
                </w:r>
              </w:sdtContent>
            </w:sdt>
          </w:p>
        </w:tc>
        <w:tc>
          <w:tcPr>
            <w:tcW w:w="0" w:type="auto"/>
            <w:shd w:val="clear" w:color="auto" w:fill="FFFFFF"/>
            <w:hideMark/>
          </w:tcPr>
          <w:p w14:paraId="1189799E"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72 adolescents and adults with TS</w:t>
            </w:r>
          </w:p>
        </w:tc>
        <w:tc>
          <w:tcPr>
            <w:tcW w:w="0" w:type="auto"/>
            <w:shd w:val="clear" w:color="auto" w:fill="FFFFFF"/>
            <w:hideMark/>
          </w:tcPr>
          <w:p w14:paraId="620B5905"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Significant positive correlation between OCI-R scores and PUTS scores (Spearman’s r = 0.38, p = 0.001)</w:t>
            </w:r>
          </w:p>
        </w:tc>
      </w:tr>
      <w:tr w:rsidR="00986E35" w:rsidRPr="008A1F40" w14:paraId="13F1EF87" w14:textId="77777777" w:rsidTr="007F77D2">
        <w:trPr>
          <w:tblCellSpacing w:w="15" w:type="dxa"/>
        </w:trPr>
        <w:tc>
          <w:tcPr>
            <w:tcW w:w="0" w:type="auto"/>
            <w:shd w:val="clear" w:color="auto" w:fill="FFFFFF"/>
            <w:hideMark/>
          </w:tcPr>
          <w:p w14:paraId="38CEB928" w14:textId="694419AB"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Eddy and Cavanna (2014)</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DI2MWZhNjktMDRmZS00YTI0LTgzMmYtNWU3MTQyODZkOTViIiwicHJvcGVydGllcyI6eyJub3RlSW5kZXgiOjB9LCJpc0VkaXRlZCI6ZmFsc2UsIm1hbnVhbE92ZXJyaWRlIjp7ImlzTWFudWFsbHlPdmVycmlkZGVuIjpmYWxzZSwiY2l0ZXByb2NUZXh0IjoiKDI2KSIsIm1hbnVhbE92ZXJyaWRlVGV4dCI6IiJ9LCJjaXRhdGlvbkl0ZW1zIjpbeyJpZCI6ImJiM2Q3NWY1LTU0MTctMzhmZC04NDIxLTZlYmEzZjE5MzVmYSIsIml0ZW1EYXRhIjp7InR5cGUiOiJhcnRpY2xlLWpvdXJuYWwiLCJpZCI6ImJiM2Q3NWY1LTU0MTctMzhmZC04NDIxLTZlYmEzZjE5MzVmYSIsInRpdGxlIjoiUHJlbW9uaXRvcnkgVXJnZXMgaW4gQWR1bHRzIFdpdGggQ29tcGxpY2F0ZWQgYW5kIFVuY29tcGxpY2F0ZWQgVG91cmV0dGUgU3luZHJvbWUiLCJncm91cElkIjoiMDdkNjJhYzEtNWFhOC0zOWFmLWI0OWUtNTJkMjA4OGFjNTcxIiwiYXV0aG9yIjpbeyJmYW1pbHkiOiJFZGR5IiwiZ2l2ZW4iOiJDIE0iLCJwYXJzZS1uYW1lcyI6ZmFsc2UsImRyb3BwaW5nLXBhcnRpY2xlIjoiIiwibm9uLWRyb3BwaW5nLXBhcnRpY2xlIjoiIn0seyJmYW1pbHkiOiJDYXZhbm5hIiwiZ2l2ZW4iOiJBIEUiLCJwYXJzZS1uYW1lcyI6ZmFsc2UsImRyb3BwaW5nLXBhcnRpY2xlIjoiIiwibm9uLWRyb3BwaW5nLXBhcnRpY2xlIjoiIn1dLCJjb250YWluZXItdGl0bGUiOiJCZWhhdmlvciBtb2RpZmljYXRpb24iLCJET0kiOiJodHRwczovL2R4LmRvaS5vcmcvMTAuMTE3Ny8wMTQ1NDQ1NTEzNTA0NDMyIiwiVVJMIjoiaHR0cDovL292aWRzcC5vdmlkLmNvbS9vdmlkd2ViLmNnaT9UPUpTJlBBR0U9cmVmZXJlbmNlJkQ9ZW1lZDE1Jk5FV1M9TiZBTj02MTE0MjU3MjIiLCJpc3N1ZWQiOnsiZGF0ZS1wYXJ0cyI6W1syMDE0XV19LCJwYWdlIjoiMjY0LTI3NSIsImFic3RyYWN0IjoiTW9zdCBwYXRpZW50cyB3aXRoIFRvdXJldHRlIHN5bmRyb21lIChUUykgcmVwb3J0IGV4cGVyaWVuY2luZyBzdWJqZWN0aXZlIGJvZGlseSBzZW5zYXRpb25zIHRlcm1lZCBwcmVtb25pdG9yeSB1cmdlcywgYmVmb3JlIHRoZXkgaGF2ZSBhIHRpYy4gVGhpcyBzdHVkeSBpbnZlc3RpZ2F0ZWQgcmVsYXRpb25zaGlwcyBiZXR3ZWVuIHByZW1vbml0b3J5IHVyZ2VzIGFuZCB0aWMgc2V2ZXJpdHksIGRlcHJlc3Npb24sIGFueGlldHksIG9ic2Vzc2lvbnMsIGNvbXB1bHNpb25zLCBhbmQgYXR0ZW50aW9uIHByb2JsZW1zLiBXZSBhbHNvIGV4cGxvcmVkIHBvc3NpYmxlIGRpZmZlcmVuY2VzIGJldHdlZW4gcGF0aWVudHMgd2l0aCBhbmQgd2l0aG91dCBjb21vcmJpZCBjb25kaXRpb25zLiBGaW5hbGx5LCB3ZSBleHBsb3JlZCB3aGV0aGVyIHByZW1vbml0b3J5IHVyZ2VzIGltcGFjdGVkIG9uIHBlcmNlaXZlZCBxdWFsaXR5IG9mIGxpZmUgKFFvTCkuIE9uZSBodW5kcmVkIGFkdWx0IG91dHBhdGllbnRzICg3MCBtYWxlczsgbWVhbiBhZ2UgMzIgeWVhcnMpIHdlcmUgcmVjcnVpdGVkIGZyb20gYSBzcGVjaWFsaXN0IFRTIGNsaW5pYy4gRmlmdHkgcGVyY2VudCBleGhpYml0ZWQgY29tb3JiaWQgZGlhZ25vc2VzLCB0aGUgbW9zdCBjb21tb24gb2Ygd2hpY2ggd2VyZSBvYnNlc3NpdmUtY29tcHVsc2l2ZSBkaXNvcmRlciAoMjMlKSwgYXR0ZW50aW9uLWRlZmljaXQgaHlwZXJhY3Rpdml0eSBkaXNvcmRlciAoMTUlKSwgYW54aWV0eSAoNiUpLCBhbmQgZGVwcmVzc2lvbiAoNSUpLiBGb3IgdGhlIGVudGlyZSBzYW1wbGUsIHByZW1vbml0b3J5IHVyZ2VzIHdlcmUgc2lnbmlmaWNhbnRseSByZWxhdGVkIHRvIGNsaW5pY2FsIHN5bXB0b21zLCBlc3BlY2lhbGx5IG9ic2Vzc2l2ZS1jb21wdWxzaXZlIHN5bXB0b21zIGFuZCBhbnhpZXR5LCBhbmQgd2VyZSBzaWduaWZpY2FudGx5IG5lZ2F0aXZlbHkgcmVsYXRlZCB0byBRb0wgc2NvcmVzLiBQcmVtb25pdG9yeSB1cmdlcyBoYWQgYSBzdHJvbmcgbmVnYXRpdmUgY29ycmVsYXRpb24gd2l0aCBRb0wgaW4gcGF0aWVudHMgd2l0aCBcInB1cmVcIiBUUyAobm8gY29tb3JiaWRpdGllcyksIHdoaWxlIHRoaXMgcmVsYXRpb25zaGlwIHdhcyB3ZWFrZXIgZm9yIHBhdGllbnRzIHdpdGggY29tb3JiaWQgY29uZGl0aW9ucywgd2hvIHJlcG9ydGVkIHN0cm9uZ2VyIG9yIG1vcmUgZnJlcXVlbnQgcHJlbW9uaXRvcnkgdXJnZXMgaW4gYXNzb2NpYXRpb24gd2l0aCBncmVhdGVyIGFueGlldHkuIFRoZXNlIGZpbmRpbmdzIG1heSBpbXBseSB0aGF0IHNsaWdodGx5IGRpZmZlcmVudCBwc3ljaG9sb2dpY2FsIGZhY3RvcnMgZHJpdmUgc2VsZi1yZXBvcnRlZCBwcmVtb25pdG9yeSB1cmdlIHJhdGluZ3MgaW4gcGF0aWVudHMgd2l0aCBhbmQgd2l0aG91dCBjb21vcmJpZGl0aWVzIGFuZCB0aGF0IHRoZSBwZXJjZWl2ZWQgaW5mbHVlbmNlIG9mIGRpc3RyZXNzaW5nIHByZW1vbml0b3J5IHVyZ2VzIG9uIHdlbGxiZWluZyBpcyBsZXNzIGltcG9ydGFudCBpbiB0aGUgY29udGV4dCBvZiBjb21vcmJpZCBzeW1wdG9tYXRvbG9neS4gQXMgcHJlbW9uaXRvcnkgdXJnZXMgYXJlIHJlbGF0ZWQgdG8gUW9MLCB0aGV5IHNob3VsZCBiZSB0YWtlbiBpbnRvIGFjY291bnQgZHVyaW5nIGV2YWx1YXRpb24gb2YgdHJlYXRtZW50IGVmZmljYWN5LCBlc3BlY2lhbGx5IGluIGNhc2VzIHdpdGggXCJwdXJlXCIgVFMuIENvcHlyaWdodCDCqSBUaGUgQXV0aG9yKHMpIDIwMTMuIiwiaXNzdWUiOiIyIiwidm9sdW1lIjoiMzgiLCJjb250YWluZXItdGl0bGUtc2hvcnQiOiJCZWhhdiBNb2RpZiJ9LCJpc1RlbXBvcmFyeSI6ZmFsc2V9XX0="/>
                <w:id w:val="136615927"/>
                <w:placeholder>
                  <w:docPart w:val="DefaultPlaceholder_-1854013440"/>
                </w:placeholder>
              </w:sdtPr>
              <w:sdtContent>
                <w:r w:rsidR="00F04E9F" w:rsidRPr="00F04E9F">
                  <w:rPr>
                    <w:rFonts w:eastAsia="Times New Roman" w:cs="Times New Roman"/>
                    <w:color w:val="000000"/>
                    <w:sz w:val="16"/>
                    <w:szCs w:val="16"/>
                  </w:rPr>
                  <w:t>(26)</w:t>
                </w:r>
              </w:sdtContent>
            </w:sdt>
          </w:p>
        </w:tc>
        <w:tc>
          <w:tcPr>
            <w:tcW w:w="0" w:type="auto"/>
            <w:shd w:val="clear" w:color="auto" w:fill="FFFFFF"/>
            <w:hideMark/>
          </w:tcPr>
          <w:p w14:paraId="6DA2117D"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100 adults and adolescents with TS</w:t>
            </w:r>
          </w:p>
        </w:tc>
        <w:tc>
          <w:tcPr>
            <w:tcW w:w="0" w:type="auto"/>
            <w:shd w:val="clear" w:color="auto" w:fill="FFFFFF"/>
            <w:hideMark/>
          </w:tcPr>
          <w:p w14:paraId="7D85E011"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Significant positive correlation between PUTS scores and OCI-R scores (Pearson’s r = 0.321, p = 0.002), OCI-R scores were significant predictor of PUTS scores </w:t>
            </w:r>
            <w:r w:rsidRPr="008A1F40">
              <w:rPr>
                <w:rFonts w:cs="Times New Roman"/>
                <w:color w:val="000000" w:themeColor="text1"/>
                <w:sz w:val="16"/>
                <w:szCs w:val="16"/>
              </w:rPr>
              <w:t>in a stepwise linear regression</w:t>
            </w:r>
            <w:r w:rsidRPr="008A1F40">
              <w:rPr>
                <w:rFonts w:eastAsia="Times New Roman" w:cs="Times New Roman"/>
                <w:color w:val="0D0D0D"/>
                <w:sz w:val="16"/>
                <w:szCs w:val="16"/>
              </w:rPr>
              <w:t xml:space="preserve"> (R</w:t>
            </w:r>
            <w:r w:rsidRPr="008A1F40">
              <w:rPr>
                <w:rFonts w:eastAsia="Times New Roman" w:cs="Times New Roman"/>
                <w:color w:val="0D0D0D"/>
                <w:sz w:val="16"/>
                <w:szCs w:val="16"/>
                <w:vertAlign w:val="superscript"/>
              </w:rPr>
              <w:t>2</w:t>
            </w:r>
            <w:r w:rsidRPr="008A1F40">
              <w:rPr>
                <w:rFonts w:eastAsia="Times New Roman" w:cs="Times New Roman"/>
                <w:color w:val="0D0D0D"/>
                <w:sz w:val="16"/>
                <w:szCs w:val="16"/>
              </w:rPr>
              <w:t xml:space="preserve"> = 0.129, p = 0.012)</w:t>
            </w:r>
          </w:p>
        </w:tc>
      </w:tr>
      <w:tr w:rsidR="00986E35" w:rsidRPr="008A1F40" w14:paraId="2D40F6AB" w14:textId="77777777" w:rsidTr="007F77D2">
        <w:trPr>
          <w:tblCellSpacing w:w="15" w:type="dxa"/>
        </w:trPr>
        <w:tc>
          <w:tcPr>
            <w:tcW w:w="0" w:type="auto"/>
            <w:shd w:val="clear" w:color="auto" w:fill="FFFFFF"/>
            <w:hideMark/>
          </w:tcPr>
          <w:p w14:paraId="437ED18E" w14:textId="65539072"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Matsuda et al (2020)</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jQzZGFjZGEtNjdiZC00MmI0LWFlM2EtMmU2M2QxMmNjZWQyIiwicHJvcGVydGllcyI6eyJub3RlSW5kZXgiOjB9LCJpc0VkaXRlZCI6ZmFsc2UsIm1hbnVhbE92ZXJyaWRlIjp7ImlzTWFudWFsbHlPdmVycmlkZGVuIjpmYWxzZSwiY2l0ZXByb2NUZXh0IjoiKDEwKSIsIm1hbnVhbE92ZXJyaWRlVGV4dCI6IiJ9LCJjaXRhdGlvbkl0ZW1zIjpbeyJpZCI6IjQxYzU3YjA4LTQ3MmMtMzNiMy1iZDY2LWMxN2YyOWE0ODE2NCIsIml0ZW1EYXRhIjp7InR5cGUiOiJhcnRpY2xlLWpvdXJuYWwiLCJpZCI6IjQxYzU3YjA4LTQ3MmMtMzNiMy1iZDY2LWMxN2YyOWE0ODE2NCIsInRpdGxlIjoiUHJlbW9uaXRvcnkgQXdhcmVuZXNzIEZhY2lsaXRhdGVzIFRpYyBTdXBwcmVzc2lvbjogU3Vic2NhbGVzIG9mIHRoZSBQcmVtb25pdG9yeSBVcmdlIGZvciBUaWNzIFNjYWxlIGFuZCBhIE5ldyBTZWxmLVJlcG9ydCBRdWVzdGlvbm5haXJlIGZvciBUaWMtQXNzb2NpYXRlZCBTZW5zYXRpb25zIiwiZ3JvdXBJZCI6IjA3ZDYyYWMxLTVhYTgtMzlhZi1iNDllLTUyZDIwODhhYzU3MSIsImF1dGhvciI6W3siZmFtaWx5IjoiTWF0c3VkYSIsImdpdmVuIjoiTiIsInBhcnNlLW5hbWVzIjpmYWxzZSwiZHJvcHBpbmctcGFydGljbGUiOiIiLCJub24tZHJvcHBpbmctcGFydGljbGUiOiIifSx7ImZhbWlseSI6Ik5vbmFrYSIsImdpdmVuIjoiTSIsInBhcnNlLW5hbWVzIjpmYWxzZSwiZHJvcHBpbmctcGFydGljbGUiOiIiLCJub24tZHJvcHBpbmctcGFydGljbGUiOiIifSx7ImZhbWlseSI6Iktvbm8iLCJnaXZlbiI6IlQiLCJwYXJzZS1uYW1lcyI6ZmFsc2UsImRyb3BwaW5nLXBhcnRpY2xlIjoiIiwibm9uLWRyb3BwaW5nLXBhcnRpY2xlIjoiIn0seyJmYW1pbHkiOiJGdWppbyIsImdpdmVuIjoiTSIsInBhcnNlLW5hbWVzIjpmYWxzZSwiZHJvcHBpbmctcGFydGljbGUiOiIiLCJub24tZHJvcHBpbmctcGFydGljbGUiOiIifSx7ImZhbWlseSI6Ik5vYnV5b3NoaSIsImdpdmVuIjoiTSIsInBhcnNlLW5hbWVzIjpmYWxzZSwiZHJvcHBpbmctcGFydGljbGUiOiIiLCJub24tZHJvcHBpbmctcGFydGljbGUiOiIifSx7ImZhbWlseSI6Ikthbm8iLCJnaXZlbiI6IlkiLCJwYXJzZS1uYW1lcyI6ZmFsc2UsImRyb3BwaW5nLXBhcnRpY2xlIjoiIiwibm9uLWRyb3BwaW5nLXBhcnRpY2xlIjoiIn1dLCJjb250YWluZXItdGl0bGUiOiJGcm9udCBQc3ljaGlhdHJ5IiwiRE9JIjoiMTAuMzM4OS9mcHN5dC4yMDIwLjAwNTkyIiwiUE1JRCI6IjMyNzE5NjIxIiwiaXNzdWVkIjp7ImRhdGUtcGFydHMiOltbMjAyMF1dfSwicGFnZSI6IjU5MiIsImFic3RyYWN0IjoiQXdhcmVuZXNzIG9mIHByZW1vbml0b3J5IHVyZ2UgaW4gVG91cmV0dGUgc3luZHJvbWUgKFRTKSBtYXkgZmFjaWxpdGF0ZSB0aWMgc3VwcHJlc3Npb247IGhvd2V2ZXIsIHByZXZpb3VzIHN0dWRpZXMgaGF2ZSBub3Qgc3VwcG9ydGVkIHRoaXMgb2JzZXJ2YXRpb24uIFdlIGFpbWVkIHRvIGNsYXJpZnkgdGhlIHJlbGF0aW9uc2hpcCBiZXR3ZWVuIHRpYy1hc3NvY2lhdGVkIHNlbnNhdGlvbiBhbmQgdGljIHN1cHByZXNzaW9uIGJ5IGlkZW50aWZ5aW5nIHRoZSBzdWJ0eXBlcyBvZiB0aWMtYXNzb2NpYXRlZCBzZW5zYXRpb25zLCBpbmNsdWRpbmcgdGhlIFByZW1vbml0b3J5IFVyZ2UgZm9yIFRpY3MgU2NhbGUgKFBVVFMpLiBXZSBkZXZlbG9wZWQgYSBuZXcgcXVlc3Rpb25uYWlyZSBjYWxsZWQgXCJSdW1pbmF0aW9uIGFuZCBBd2FyZW5lc3MgU2NhbGUgZm9yIHRpYy1hc3NvY2lhdGVkIHNlbnNhdGlvbnNcIiAoUkFTVFMpIHRvIGFzc2VzcyB0aGUgdHdvIGFkZGl0aW9uYWwgYXNwZWN0cyBvZiB0aWMtYXNzb2NpYXRlZCBzZW5zYXRpb25zOiB0aGUgaW50ZW5zaXR5IG9mIHNvbWF0b3NlbnNvcnkgaHlwZXJhd2FyZW5lc3MgYW5kIHRoZSBhYmlsaXR5IHRvIGlkZW50aWZ5IHNpZ25hbHMgb2YgZW1lcmdpbmcgdGljcy4gU2l4dHktdHdvIGluZGl2aWR1YWxzIHdpdGggVFMgcGFydGljaXBhdGVkIGluIHRoZSBzdHVkeSAobWVhbiBhZ2UgPSAxOS4yIMKxIDEwLjMgeWVhcnMpLiBBbGwgcGFydGljaXBhbnRzIGNvbXBsZXRlZCB0aGUgUkFTVFMsIFBVVFMsIGFuZCBUaWMgU3VwcHJlc3Npb24gU2NhbGUuIE9mIGFsbCBwYXJ0aWNpcGFudHMsIDQxIHdlcmUgZXZhbHVhdGVkIGJ5IHRoZSBZYWxlIEdsb2JhbCBUaWMgU2V2ZXJpdHkgU2NhbGUgKFlHVFNTKSwgd2hpbGUgYW5vdGhlciBncm91cCBvZiA0MSBjb21wbGV0ZWQgYm90aCB0aGUgTGV5dG9uIE9ic2Vzc2lvbmFsIEludmVudG9yeS1DaGlsZCBWZXJzaW9uIChMT0ktQ1YpIGFuZCB0aGUgVGljcyBTeW1wdG9tIFNlbGYtUmVwb3J0IChUU1NSKS4gRmFjdG9yIGFuYWx5c2VzIGluY2x1ZGluZyBuaW5lIGl0ZW1zIG9mIHRoZSBQVVRTIGFuZCB0aGUgUkFTVFMgd2VyZSBjb25kdWN0ZWQsIGFuZCB0aGVpciByZWxhdGlvbnNoaXBzIHdpdGggcGF0aWVudHMnIHRpYyBzdXBwcmVzc2lvbiBhYmlsaXR5IHdlcmUgZXhhbWluZWQuIFRoZSByZXN1bHRzIHN1cHBvcnQgdXNpbmcgUkFTVFMgZm9yIHRoZSB0d28gc3VwcG9zZWQgZGltZW5zaW9ucyAocnVtaW5hdGlvbiBhYm91dCBzZW5zYXRpb24gYW5kIHByZW1vbml0b3J5IGF3YXJlbmVzcykgZm9yIGFzc2Vzc2luZyB0aGUgdHdvIGRpZmZlcmVudCB0aWMtYXNzb2NpYXRlZCBzZW5zYXRpb25zLCBhbmQgUFVUUyBmb3IgdGhyZWUgZGltZW5zaW9ucyBmb3IgYXNzZXNzaW5nIHRoZSB0d28gdHlwZXMgb2YgcXVhbGl0eSBvZiBwcmVtb25pdG9yeSB1cmdlcyBhbmQgaW50ZW5zaXR5IG9mIHByZW1vbml0b3J5IHVyZ2VzLiBQcmVtb25pdG9yeSBhd2FyZW5lc3MgY29ycmVsYXRlZCB3aXRoIHRpYyBzdXBwcmVzc2lvbiBhYmlsaXR5LiBDb252ZXJzZWx5LCBydW1pbmF0aW9uIGFib3V0IHNlbnNhdGlvbiwgUFVUUyB0b3RhbCBzY29yZSwgYW5kIHRoZSB0aHJlZSBzdWJzY2FsZXMgb2YgUFVUUyBjb3JyZWxhdGVkIHdpdGggb2JzZXNzaXZlLWNvbXB1bHNpdmUgc3ltcHRvbXMuIEluIHN1bW1hcnksIGJlaW5nIGF3YXJlIG9mIHNpZ25hbHMgZm9yIGVtZXJnaW5nIHRpY3MgZmFjaWxpdGF0ZWQgc2VsZi1pbml0aWF0ZWQgdGljIHN1cHByZXNzaW9uLCB3aGlsZSBydW1pbmF0aXZlIHRpYy1hc3NvY2lhdGVkIHNlbnNhdGlvbnMgZGlkIG5vdC4gVGhpcyBzdHVkeSBwcm92aWRlcyBuZXcgaW5zaWdodHMgaW50byBiZWhhdmlvcmFsIHRoZXJhcHkgZm9yIHRpY3MgYnkgaWRlbnRpZnlpbmcgdHdvIGRpc3RpbmN0IGFzcGVjdHMgb2YgdGljLWFzc29jaWF0ZWQgc2Vuc2F0aW9ucyB0aGF0IGluY2x1ZGUgcHJlbW9uaXRvcnkgdXJnZXMuIiwidm9sdW1lIjoiMTEiLCJjb250YWluZXItdGl0bGUtc2hvcnQiOiIifSwiaXNUZW1wb3JhcnkiOmZhbHNlfV19"/>
                <w:id w:val="897017145"/>
                <w:placeholder>
                  <w:docPart w:val="DefaultPlaceholder_-1854013440"/>
                </w:placeholder>
              </w:sdtPr>
              <w:sdtContent>
                <w:r w:rsidR="00F04E9F" w:rsidRPr="00F04E9F">
                  <w:rPr>
                    <w:rFonts w:eastAsia="Times New Roman" w:cs="Times New Roman"/>
                    <w:color w:val="000000"/>
                    <w:sz w:val="16"/>
                    <w:szCs w:val="16"/>
                  </w:rPr>
                  <w:t>(10)</w:t>
                </w:r>
              </w:sdtContent>
            </w:sdt>
          </w:p>
        </w:tc>
        <w:tc>
          <w:tcPr>
            <w:tcW w:w="0" w:type="auto"/>
            <w:shd w:val="clear" w:color="auto" w:fill="FFFFFF"/>
            <w:hideMark/>
          </w:tcPr>
          <w:p w14:paraId="733A014F"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62 children and adults with TS</w:t>
            </w:r>
          </w:p>
        </w:tc>
        <w:tc>
          <w:tcPr>
            <w:tcW w:w="0" w:type="auto"/>
            <w:shd w:val="clear" w:color="auto" w:fill="FFFFFF"/>
            <w:hideMark/>
          </w:tcPr>
          <w:p w14:paraId="135133E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Significant positive correlation between PUTS scores LOI-CV scores (Spearman’s r = 0.52, p &lt; 0.001)</w:t>
            </w:r>
          </w:p>
        </w:tc>
      </w:tr>
      <w:tr w:rsidR="00986E35" w:rsidRPr="008A1F40" w14:paraId="56497D3A" w14:textId="77777777" w:rsidTr="007F77D2">
        <w:trPr>
          <w:tblCellSpacing w:w="15" w:type="dxa"/>
        </w:trPr>
        <w:tc>
          <w:tcPr>
            <w:tcW w:w="0" w:type="auto"/>
            <w:shd w:val="clear" w:color="auto" w:fill="FFFFFF"/>
            <w:hideMark/>
          </w:tcPr>
          <w:p w14:paraId="3043B81E" w14:textId="4D722118"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Narapareddy et al (2022)</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2E4NzAwMjYtZWZlNi00MzQ1LTkzODQtMjRhMDM3YzI0NjY0IiwicHJvcGVydGllcyI6eyJub3RlSW5kZXgiOjB9LCJpc0VkaXRlZCI6ZmFsc2UsIm1hbnVhbE92ZXJyaWRlIjp7ImlzTWFudWFsbHlPdmVycmlkZGVuIjpmYWxzZSwiY2l0ZXByb2NUZXh0IjoiKDMyKSIsIm1hbnVhbE92ZXJyaWRlVGV4dCI6IiJ9LCJjaXRhdGlvbkl0ZW1zIjpbeyJpZCI6IjYxMWRmMGE3LTJlN2QtM2JiYy05ZjRhLWNlYzA2MTBlMDQ2NSIsIml0ZW1EYXRhIjp7InR5cGUiOiJhcnRpY2xlLWpvdXJuYWwiLCJpZCI6IjYxMWRmMGE3LTJlN2QtM2JiYy05ZjRhLWNlYzA2MTBlMDQ2NSIsInRpdGxlIjoiQWx0ZXJlZCBJbnRlcm9jZXB0aXZlIFNlbnNpYmlsaXR5IGluIEFkdWx0cyBXaXRoIENocm9uaWMgVGljIERpc29yZGVyIiwiZ3JvdXBJZCI6IjA3ZDYyYWMxLTVhYTgtMzlhZi1iNDllLTUyZDIwODhhYzU3MSIsImF1dGhvciI6W3siZmFtaWx5IjoiTmFyYXBhcmVkZHkiLCJnaXZlbiI6IkEiLCJwYXJzZS1uYW1lcyI6ZmFsc2UsImRyb3BwaW5nLXBhcnRpY2xlIjoiIiwibm9uLWRyb3BwaW5nLXBhcnRpY2xlIjoiIn0seyJmYW1pbHkiOiJFY2tsYW5kIiwiZ2l2ZW4iOiJNIFIiLCJwYXJzZS1uYW1lcyI6ZmFsc2UsImRyb3BwaW5nLXBhcnRpY2xlIjoiIiwibm9uLWRyb3BwaW5nLXBhcnRpY2xlIjoiIn0seyJmYW1pbHkiOiJSaW9yZGFuIiwiZ2l2ZW4iOiJIIFIiLCJwYXJzZS1uYW1lcyI6ZmFsc2UsImRyb3BwaW5nLXBhcnRpY2xlIjoiIiwibm9uLWRyb3BwaW5nLXBhcnRpY2xlIjoiIn0seyJmYW1pbHkiOiJDYXNjaW8iLCJnaXZlbiI6IkMgSiIsInBhcnNlLW5hbWVzIjpmYWxzZSwiZHJvcHBpbmctcGFydGljbGUiOiIiLCJub24tZHJvcHBpbmctcGFydGljbGUiOiIifSx7ImZhbWlseSI6IklzYWFjcyIsImdpdmVuIjoiRCBBIiwicGFyc2UtbmFtZXMiOmZhbHNlLCJkcm9wcGluZy1wYXJ0aWNsZSI6IiIsIm5vbi1kcm9wcGluZy1wYXJ0aWNsZSI6IiJ9XSwiY29udGFpbmVyLXRpdGxlIjoiRnJvbnRpZXJzIGluIFBzeWNoaWF0cnkiLCJET0kiOiIxMC4zMzg5L2Zwc3l0LjIwMjIuOTE0ODk3IiwiVVJMIjoiaHR0cHM6Ly93d3cuc2NvcHVzLmNvbS9pbndhcmQvcmVjb3JkLnVyaT9laWQ9Mi1zMi4wLTg1MTMzNjY0NzU5JmRvaT0xMC4zMzg5JTJmZnBzeXQuMjAyMi45MTQ4OTcmcGFydG5lcklEPTQwJm1kNT1jZThmNDc3MjFjMGE2MDNiNWMzMTg0ZmIyNzdjNDBiNCIsImlzc3VlZCI6eyJkYXRlLXBhcnRzIjpbWzIwMjJdXX0sInBhZ2UiOiItIiwidm9sdW1lIjoiMTMiLCJjb250YWluZXItdGl0bGUtc2hvcnQiOiJGcm9udCBQc3ljaGlhdHJ5In0sImlzVGVtcG9yYXJ5IjpmYWxzZX1dfQ=="/>
                <w:id w:val="-2017450556"/>
                <w:placeholder>
                  <w:docPart w:val="DefaultPlaceholder_-1854013440"/>
                </w:placeholder>
              </w:sdtPr>
              <w:sdtContent>
                <w:r w:rsidR="00F04E9F" w:rsidRPr="00F04E9F">
                  <w:rPr>
                    <w:rFonts w:eastAsia="Times New Roman" w:cs="Times New Roman"/>
                    <w:color w:val="000000"/>
                    <w:sz w:val="16"/>
                    <w:szCs w:val="16"/>
                  </w:rPr>
                  <w:t>(32)</w:t>
                </w:r>
              </w:sdtContent>
            </w:sdt>
          </w:p>
        </w:tc>
        <w:tc>
          <w:tcPr>
            <w:tcW w:w="0" w:type="auto"/>
            <w:shd w:val="clear" w:color="auto" w:fill="FFFFFF"/>
            <w:hideMark/>
          </w:tcPr>
          <w:p w14:paraId="30FB2101"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48 adults with CTDs</w:t>
            </w:r>
          </w:p>
        </w:tc>
        <w:tc>
          <w:tcPr>
            <w:tcW w:w="0" w:type="auto"/>
            <w:shd w:val="clear" w:color="auto" w:fill="FFFFFF"/>
            <w:hideMark/>
          </w:tcPr>
          <w:p w14:paraId="2D2DEF7E"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Significant positive correlation between DOCS scores and PUTS scores (Spearman’s r = 0.53, </w:t>
            </w:r>
            <w:r w:rsidRPr="008A1F40">
              <w:rPr>
                <w:rFonts w:cs="Times New Roman"/>
                <w:color w:val="000000" w:themeColor="text1"/>
                <w:sz w:val="16"/>
                <w:szCs w:val="16"/>
              </w:rPr>
              <w:t>p &lt; 0.001</w:t>
            </w:r>
            <w:r w:rsidRPr="008A1F40">
              <w:rPr>
                <w:rFonts w:eastAsia="Times New Roman" w:cs="Times New Roman"/>
                <w:color w:val="0D0D0D"/>
                <w:sz w:val="16"/>
                <w:szCs w:val="16"/>
              </w:rPr>
              <w:t xml:space="preserve">), DOCS scores significantly predicted PUTS scores </w:t>
            </w:r>
            <w:r w:rsidRPr="008A1F40">
              <w:rPr>
                <w:rFonts w:cs="Times New Roman"/>
                <w:color w:val="000000" w:themeColor="text1"/>
                <w:sz w:val="16"/>
                <w:szCs w:val="16"/>
              </w:rPr>
              <w:t xml:space="preserve">in a </w:t>
            </w:r>
            <w:r w:rsidRPr="008A1F40">
              <w:rPr>
                <w:rFonts w:cs="Times New Roman"/>
                <w:color w:val="000000" w:themeColor="text1"/>
                <w:sz w:val="16"/>
                <w:szCs w:val="16"/>
                <w:shd w:val="clear" w:color="auto" w:fill="FFFFFF"/>
              </w:rPr>
              <w:t>multivariable linear regression</w:t>
            </w:r>
            <w:r w:rsidRPr="008A1F40">
              <w:rPr>
                <w:rFonts w:eastAsia="Times New Roman" w:cs="Times New Roman"/>
                <w:color w:val="0D0D0D"/>
                <w:sz w:val="16"/>
                <w:szCs w:val="16"/>
              </w:rPr>
              <w:t xml:space="preserve"> (β = 0.14, p &lt; 0.05)</w:t>
            </w:r>
          </w:p>
        </w:tc>
      </w:tr>
      <w:tr w:rsidR="00986E35" w:rsidRPr="008A1F40" w14:paraId="031FBA45" w14:textId="77777777" w:rsidTr="007F77D2">
        <w:trPr>
          <w:tblCellSpacing w:w="15" w:type="dxa"/>
        </w:trPr>
        <w:tc>
          <w:tcPr>
            <w:tcW w:w="0" w:type="auto"/>
            <w:shd w:val="clear" w:color="auto" w:fill="FFFFFF"/>
            <w:hideMark/>
          </w:tcPr>
          <w:p w14:paraId="5C560CB6" w14:textId="04425FBA"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Gerasch (2016)</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jkwNGEwNmYtY2NjZi00YzcyLThhMjQtNzc1YTdkZDRmOGZkIiwicHJvcGVydGllcyI6eyJub3RlSW5kZXgiOjB9LCJpc0VkaXRlZCI6ZmFsc2UsIm1hbnVhbE92ZXJyaWRlIjp7ImlzTWFudWFsbHlPdmVycmlkZGVuIjpmYWxzZSwiY2l0ZXByb2NUZXh0IjoiKDIzKSIsIm1hbnVhbE92ZXJyaWRlVGV4dCI6IiJ9LCJjaXRhdGlvbkl0ZW1zIjpbeyJpZCI6IjMzMmE2MmZjLTBiYzAtMzJmNi1hODFjLTUyN2RiMTcyZDZjNCIsIml0ZW1EYXRhIjp7InR5cGUiOiJhcnRpY2xlLWpvdXJuYWwiLCJpZCI6IjMzMmE2MmZjLTBiYzAtMzJmNi1hODFjLTUyN2RiMTcyZDZjNCIsInRpdGxlIjoiQXJpcGlwcmF6b2xlIGltcHJvdmVzIGFzc29jaWF0ZWQgY29tb3JiaWQgY29uZGl0aW9ucyBpbiBhZGRpdGlvbiB0byB0aWNzIGluIGFkdWx0IHBhdGllbnRzIHdpdGggR2lsbGVzIGRlIGxhIFRvdXJldHRlIFN5bmRyb21lIiwiZ3JvdXBJZCI6IjA3ZDYyYWMxLTVhYTgtMzlhZi1iNDllLTUyZDIwODhhYzU3MSIsImF1dGhvciI6W3siZmFtaWx5IjoiR2VyYXNjaCIsImdpdmVuIjoiUyIsInBhcnNlLW5hbWVzIjpmYWxzZSwiZHJvcHBpbmctcGFydGljbGUiOiIiLCJub24tZHJvcHBpbmctcGFydGljbGUiOiIifSx7ImZhbWlseSI6IkthbmFhbiIsImdpdmVuIjoiQSBTIiwicGFyc2UtbmFtZXMiOmZhbHNlLCJkcm9wcGluZy1wYXJ0aWNsZSI6IiIsIm5vbi1kcm9wcGluZy1wYXJ0aWNsZSI6IiJ9LHsiZmFtaWx5IjoiSmFrdWJvdnNraSIsImdpdmVuIjoiRSIsInBhcnNlLW5hbWVzIjpmYWxzZSwiZHJvcHBpbmctcGFydGljbGUiOiIiLCJub24tZHJvcHBpbmctcGFydGljbGUiOiIifSx7ImZhbWlseSI6Ik11bGxlci1WYWhsIiwiZ2l2ZW4iOiJLIFIiLCJwYXJzZS1uYW1lcyI6ZmFsc2UsImRyb3BwaW5nLXBhcnRpY2xlIjoiIiwibm9uLWRyb3BwaW5nLXBhcnRpY2xlIjoiIn1dLCJjb250YWluZXItdGl0bGUiOiJGcm9udGllcnMgaW4gTmV1cm9zY2llbmNlIiwiRE9JIjoiaHR0cHM6Ly9keC5kb2kub3JnLzEwLjMzODkvZm5pbnMuMjAxNi4wMDQxNiIsIlVSTCI6Imh0dHA6Ly9qb3VybmFsLmZyb250aWVyc2luLm9yZy9hcnRpY2xlLzEwLjMzODkvZm5pbnMuMjAxNi4wMDQxNi9mdWxsaHR0cDovL292aWRzcC5vdmlkLmNvbS9vdmlkd2ViLmNnaT9UPUpTJlBBR0U9cmVmZXJlbmNlJkQ9ZW1lZDE3Jk5FV1M9TiZBTj02MTI3OTM2NDgiLCJpc3N1ZWQiOnsiZGF0ZS1wYXJ0cyI6W1syMDE2XV19LCJwYWdlIjoiNDE2IiwiYWJzdHJhY3QiOiJHaWxsZXMgZGUgbGEgVG91cmV0dGUgU3luZHJvbWUgKEdUUykgaXMgY2hhcmFjdGVyaXplZCBieSBtb3RvciBhbmQgdm9jYWwgdGljcywgYXMgd2VsbCBhcyBhc3NvY2lhdGVkIGNvbW9yYmlkIGNvbmRpdGlvbnMgaW5jbHVkaW5nIG9ic2Vzc2l2ZS1jb21wdWxzaXZlIGRpc29yZGVyIChPQ0QpLCBhdHRlbnRpb24gZGVmaWNpdC9oeXBlcmFjdGl2aXR5IGRpc29yZGVyIChBREhEKSwgZGVwcmVzc2lvbiwgYW5kIGFueGlldHkgd2hpY2ggYXJlIHByZXNlbnQgaW4gYSBzdWJzdGFudGlhbCBudW1iZXIgb2YgcGF0aWVudHMuIEFsdGhvdWdoIHJhbmRvbWl6ZWQgY29udHJvbGxlZCB0cmlhbHMgaW5jbHVkaW5nIGEgbGFyZ2UgbnVtYmVyIG9mIHBhdGllbnRzIGFyZSBzdGlsbCBtaXNzaW5nLCBhcmlwaXByYXpvbGUgaXMgY3VycmVudGx5IGNvbnNpZGVyZWQgYXMgYSBmaXJzdCBjaG9pY2UgZHJ1ZyBmb3IgdGhlIHRyZWF0bWVudCBvZiB0aWNzLiBUaGUgYWltIG9mIHRoaXMgc3R1ZHkgd2FzIHRvIGZ1cnRoZXIgaW52ZXN0aWdhdGUgZWZmaWNhY3kgYW5kIHNhZmV0eSBvZiBhcmlwaXByYXpvbGUgaW4gYSBncm91cCBvZiBkcnVnLWZyZWUsIGFkdWx0IHBhdGllbnRzLiBTcGVjaWZpY2FsbHksIHdlIGludmVzdGlnYXRlZCB0aGUgaW5mbHVlbmNlIG9mIGFyaXBpcHJhem9sZSBvbiB0aWMgc2V2ZXJpdHksIGNvbW9yYmlkaXRpZXMsIHByZW1vbml0b3J5IHVyZ2UgKFBVKSwgYW5kIHF1YWxpdHkgb2YgbGlmZSAoUW9MKS4gTW9yZW92ZXIsIHdlIHdlcmUgaW50ZXJlc3RlZCBpbiB0aGUgZmFjdG9ycyB0aGF0IGluZmx1ZW5jZSBhIHBhdGllbnQncyBkZWNpc2lvbiBpbiBlbGVjdGluZyBmb3Itb3IgYWdhaW5zdC0gcGhhcm1hY29sb2dpY2FsIHRyZWF0bWVudC4gSW4gdGhpcyBwcm9zcGVjdGl2ZSB1bmNvbnRyb2xsZWQgb3Blbi1sYWJlbCBzdHVkeSwgd2UgaW5jbHVkZWQgNDQgcGF0aWVudHMgYW5kIHVzZWQgYSBudW1iZXIgb2YgcmF0aW5nIHNjYWxlcyB0byBhc3Nlc3MgdGljIHNldmVyaXR5LCBQVSwgY29tb3JiaWRpdGllcywgYW5kIFFvTCBhdCBiYXNlbGluZSBhbmQgZHVyaW5nIHRyZWF0bWVudCB3aXRoIGFyaXBpcHJhem9sZS4gRWlnaHRlZW4gb3V0IG9mIGZvcnR5Zm91ciBwYXRpZW50cyBkZWNpZGVkIGZvciB1bmRlcmdvaW5nIHRyZWF0bWVudCBmb3IgdGhlaXIgdGljcyB3aXRoIGFyaXBpcHJhem9sZSBhbmQgY29tcGxldGVkIGZvbGxvdy11cCBhc3Nlc3NtZW50cyBhZnRlciA0LTYgd2Vla3MuIE91ciBtYWpvciBmaW5kaW5ncyB3ZXJlICgxKSBhcmlwaXByYXpvbGUgcmVzdWx0ZWQgaW4gc2lnbmlmaWNhbnQgcmVkdWN0aW9uIG9mIHRpY3MsIGJ1dCBkaWQgbm90IGFmZmVjdCBQVTsgKDIpIGFyaXBpcHJhem9sZSBzaWduaWZpY2FudGx5IGltcHJvdmVkIE9DRCBhbmQgc2hvd2VkIGEgdHJlbmQgdG93YXJkIGltcHJvdmVtZW50IG9mIG90aGVyIGNvbW9yYmlkaXRpZXMgaW5jbHVkaW5nIGRlcHJlc3Npb24sIGFueGlldHksIGFuZCBBREhEOyAoMykgbmVpdGhlciBzZXZlcml0eSBvZiB0aWNzLCBub3IgUFUgb3IgUW9MIGluZmx1ZW5jZWQgcGF0aWVudHMnIGRlY2lzaW9ucyBmb3Igb3IgYWdhaW5zdCB0cmVhdG1lbnQgb2YgdGljcyB3aXRoIGFyaXBpcHJhem9sZTsgaW5zdGVhZCBwYXRpZW50cyB3aXRoIGNvbW9yYmlkIE9DRCB0ZW5kZWQgdG8gZGVjaWRlIGluIGZhdm9yIG9mLCB3aGlsZSBwYXRpZW50cyB3aXRoIGNvbW9yYmlkIEFESEQgdGVuZGVkIHRvIGRlY2lkZSBhZ2FpbnN0IHRpYyB0cmVhdG1lbnQ7ICg0KSBtb3N0IGZyZXF1ZW50bHkgcmVwb3J0ZWQgYWR2ZXJzZSBlZmZlY3RzIHdlcmUgc2xlZXBpbmcgcHJvYmxlbXM7ICg1KSBwYXRpZW50cycgUW9MIHdhcyBtb3N0bHkgaW1wYWlyZWQgYnkgY29tb3JiaWQgZGVwcmVzc2lvbi4gT3VyIHJlc3VsdHMgc3VnZ2VzdCB0aGF0IGFyaXBpcHJhem9sZSBtYXkgaW1wcm92ZSBhc3NvY2lhdGVkIGNvbW9yYmlkIGNvbmRpdGlvbnMgaW4gYWRkaXRpb24gdG8gdGljcyBpbiBwYXRpZW50cyB3aXRoIEdUUy4gSXQgY2FuIGJlIGh5cG90aGVzaXplZCB0aGF0IHRoZXNlIGJlbmVmaWNpYWwgZWZmZWN0cyBhcmUgcmVsYXRlZCB0byBhcmlwaXByYXpvbGUncyBhZGFwdGl2ZSBwaGFybWFjb2xvZ2ljYWwgcHJvZmlsZSwgd2hpY2ggZXhoaWJpdHMgYW4gaW5mbHVlbmNlIG9uIHRoZSBkb3BhbWluZXJnaWMgYXMgd2VsbCBhcyBhIG51bWJlciBvZiBvdGhlciBuZXVyb3RyYW5zbWl0dGVyIHN5c3RlbXMuIEZvciB0aGUgZmlyc3QgdGltZSwgb3VyIGRhdGEgcHJvdmlkZSBldmlkZW5jZSB0aGF0IHBhdGllbnRzJyBkZWNpc2lvbiBtYWtpbmcgcHJvY2VzcyBmb3Igb3IgYWdhaW5zdCBtZWRpY2FsIHRyZWF0bWVudCBpcyBpbmZsdWVuY2VkIGJ5IG90aGVyIGZhY3RvcnMgdGhhbiB0aWMgc2V2ZXJpdHkgYW5kIFFvTC5Db3B5cmlnaHQgwqkgMjAxNiBHZXJhc2NoLCBLYW5hYW4sIEpha3Vib3Zza2kgYW5kIE11bGxlci1WYWhsLiIsImlzc3VlIjoiU0VQIiwidm9sdW1lIjoiMTAiLCJjb250YWluZXItdGl0bGUtc2hvcnQiOiJGcm9udCBOZXVyb3NjaSJ9LCJpc1RlbXBvcmFyeSI6ZmFsc2V9XX0="/>
                <w:id w:val="1550196175"/>
                <w:placeholder>
                  <w:docPart w:val="DefaultPlaceholder_-1854013440"/>
                </w:placeholder>
              </w:sdtPr>
              <w:sdtContent>
                <w:r w:rsidR="00F04E9F" w:rsidRPr="00F04E9F">
                  <w:rPr>
                    <w:rFonts w:eastAsia="Times New Roman" w:cs="Times New Roman"/>
                    <w:color w:val="000000"/>
                    <w:sz w:val="16"/>
                    <w:szCs w:val="16"/>
                  </w:rPr>
                  <w:t>(23)</w:t>
                </w:r>
              </w:sdtContent>
            </w:sdt>
          </w:p>
        </w:tc>
        <w:tc>
          <w:tcPr>
            <w:tcW w:w="0" w:type="auto"/>
            <w:shd w:val="clear" w:color="auto" w:fill="FFFFFF"/>
            <w:hideMark/>
          </w:tcPr>
          <w:p w14:paraId="6C327882"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44 adults with TS</w:t>
            </w:r>
          </w:p>
        </w:tc>
        <w:tc>
          <w:tcPr>
            <w:tcW w:w="0" w:type="auto"/>
            <w:shd w:val="clear" w:color="auto" w:fill="FFFFFF"/>
            <w:hideMark/>
          </w:tcPr>
          <w:p w14:paraId="6745FD9F"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Significant positive correlation between PUTS scores and Y-BOCS scores (Spearman’s r = 0.34, p = 0.024)</w:t>
            </w:r>
          </w:p>
        </w:tc>
      </w:tr>
      <w:tr w:rsidR="00986E35" w:rsidRPr="008A1F40" w14:paraId="4979245D" w14:textId="77777777" w:rsidTr="007F77D2">
        <w:trPr>
          <w:tblCellSpacing w:w="15" w:type="dxa"/>
        </w:trPr>
        <w:tc>
          <w:tcPr>
            <w:tcW w:w="0" w:type="auto"/>
            <w:shd w:val="clear" w:color="auto" w:fill="FFFFFF"/>
            <w:hideMark/>
          </w:tcPr>
          <w:p w14:paraId="7339A60E" w14:textId="34C3B063"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Gulisano et al (2015)</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jZhZDY4OTAtNGUzNS00ODEwLThmZjUtMjE1NmVhMWRiMjE3IiwicHJvcGVydGllcyI6eyJub3RlSW5kZXgiOjB9LCJpc0VkaXRlZCI6ZmFsc2UsIm1hbnVhbE92ZXJyaWRlIjp7ImlzTWFudWFsbHlPdmVycmlkZGVuIjpmYWxzZSwiY2l0ZXByb2NUZXh0IjoiKDQpIiwibWFudWFsT3ZlcnJpZGVUZXh0IjoiIn0sImNpdGF0aW9uSXRlbXMiOlt7ImlkIjoiYjVhNWI5YWYtNTk2OC0zZmZkLTlmOTAtMzZhNTI0NGE1MDU4IiwiaXRlbURhdGEiOnsidHlwZSI6ImFydGljbGUtam91cm5hbCIsImlkIjoiYjVhNWI5YWYtNTk2OC0zZmZkLTlmOTAtMzZhNTI0NGE1MDU4IiwidGl0bGUiOiJQcmVtb25pdG9yeSBVcmdlcyBpbiBQYXRpZW50cyB3aXRoIEdpbGxlcyBkZSBsYSBUb3VyZXR0ZSBTeW5kcm9tZTogQW4gSXRhbGlhbiBUcmFuc2xhdGlvbiBhbmQgYSA3LVllYXIgRm9sbG93LXVwIiwiZ3JvdXBJZCI6IjA3ZDYyYWMxLTVhYTgtMzlhZi1iNDllLTUyZDIwODhhYzU3MSIsImF1dGhvciI6W3siZmFtaWx5IjoiR3VsaXNhbm8iLCJnaXZlbiI6Ik0iLCJwYXJzZS1uYW1lcyI6ZmFsc2UsImRyb3BwaW5nLXBhcnRpY2xlIjoiIiwibm9uLWRyb3BwaW5nLXBhcnRpY2xlIjoiIn0seyJmYW1pbHkiOiJDYWzDrCIsImdpdmVuIjoiUCIsInBhcnNlLW5hbWVzIjpmYWxzZSwiZHJvcHBpbmctcGFydGljbGUiOiIiLCJub24tZHJvcHBpbmctcGFydGljbGUiOiIifSx7ImZhbWlseSI6IlBhbGVybW8iLCJnaXZlbiI6IkYiLCJwYXJzZS1uYW1lcyI6ZmFsc2UsImRyb3BwaW5nLXBhcnRpY2xlIjoiIiwibm9uLWRyb3BwaW5nLXBhcnRpY2xlIjoiIn0seyJmYW1pbHkiOiJSb2JlcnRzb24iLCJnaXZlbiI6Ik0iLCJwYXJzZS1uYW1lcyI6ZmFsc2UsImRyb3BwaW5nLXBhcnRpY2xlIjoiIiwibm9uLWRyb3BwaW5nLXBhcnRpY2xlIjoiIn0seyJmYW1pbHkiOiJSaXp6byIsImdpdmVuIjoiUiIsInBhcnNlLW5hbWVzIjpmYWxzZSwiZHJvcHBpbmctcGFydGljbGUiOiIiLCJub24tZHJvcHBpbmctcGFydGljbGUiOiIifV0sImNvbnRhaW5lci10aXRsZSI6IkogQ2hpbGQgQWRvbGVzYyBQc3ljaG9waGFybWFjb2wiLCJET0kiOiIxMC4xMDg5L2NhcC4yMDE0LjAxNTQiLCJQTUlEIjoiMjYyODgzNDUiLCJVUkwiOiJodHRwczovL3d3dy5saWViZXJ0cHViLmNvbS9kb2kvMTAuMTA4OS9jYXAuMjAxNC4wMTU0IiwiaXNzdWVkIjp7ImRhdGUtcGFydHMiOltbMjAxNV1dfSwicGFnZSI6IjgxMC04MTYiLCJhYnN0cmFjdCI6Ik9CSkVDVElWRTogUHJlbW9uaXRvcnkgc2Vuc2F0aW9ucyBvciB1cmdlcyAoUFVzKSBhcmUgZGVzY3JpYmVkIGFzIGNoYXJhY3RlcmlzdGljIHNlbnNvcnkgcGhlbm9tZW5hIHByZWNlZGluZyB0aWNzLCB3aGljaCBhcmUgb2Z0ZW4gZGVzY3JpYmVkIGFzIHVucGxlYXNhbnQuIFRoZXkgb2NjdXIgaW4gOTAlIG9mIHBhdGllbnRzIGFmZmVjdGVkIGJ5IEdpbGxlcyBkZSBsYSBUb3VyZXR0ZSBTeW5kcm9tZSAoR1RTKS4gVGhleSBtYXkgYmUgbG9jYWxpemVkIChhcm91bmQgdGhlIGFyZWEgb2YgdGljKSBvciBnZW5lcmFsaXplZCAoY292ZXJpbmcgYSB3aWRlIGFyZWEgb2YgdGhlIGJvZHkpLiBUaGUgUFVzIGNhbiBiZSBtZWFzdXJlZCBieSB0aGUgUHJlbW9uaXRvcnkgVXJnZSBmb3IgVGljcyBTY2FsZSAoUFVUUykuIEluIHRoaXMgc3R1ZHkgd2UgdHJhbnNsYXRlZCB0aGUgUFVUUyBzY2FsZSBpbnRvIEl0YWxpYW4gYW5kIHRoZW4gYXNzZXNzZWQgY2hpbGRyZW4gYW5kIGFkb2xlc2NlbnRzL3lvdW5nIHBlb3BsZSAoQ1lQKSB3aXRoIEdUUyB1c2luZyB0aGUgc2NhbGUuIE1FVEhPRFM6IEdUUyBwYXRpZW50cyB3ZXJlIGFzc2Vzc2VkIGF0IHRoZSBpbml0aWFsIGludGVydmlldyBhbmQgYWZ0ZXIgNyB5ZWFycyB0byBldmFsdWF0ZSB0aGUgUFVzLCBhbmQgdGhlIGNvcnJlbGF0aW9ucyBvZiB0aGUgUFVUUyBzY29yZXMgd2l0aCB0aWMgc2V2ZXJpdHksIHNldmVyaXR5IG9mIGNvbW9yYmlkIGRpc29yZGVycyAob2JzZXNzaXZlLWNvbXB1bHNpdmUgZGlzb3JkZXIgW09DRF0sIGF0dGVudGlvbi1kZWZpY2l0L2h5cGVyYWN0aXZpdHkgZGlzb3JkZXIgW0FESERdKSwgYW5kIGEgdmFyaWV0eSBvZiBjb2V4aXN0aW5nIHBzeWNob3BhdGhvbG9naWVzLiBSRVNVTFRTOiBBIHRvdGFsIG9mIDk1IHBhdGllbnRzIHdlcmUgc3R1ZGllZC4gV2Ugc3VjY2Vzc2Z1bGx5IHRyYW5zbGF0ZWQgdGhlIFBVVFMgaW50byBJdGFsaWFuLCBhbmQgb3VyIHJlc3VsdHMgaW5kaWNhdGVkIHRoYXQgb3VyIHRyYW5zbGF0ZWQgdmVyc2lvbiBoYWQgZ29vZCBwc3ljaG9tZXRyaWMgcHJvcGVydGllcy4gUmVzdWx0cyBkZW1vbnN0cmF0ZWQgdGhhdCB0aGUgQ1lQIGhhZCBQVXMgYXQgYm90aCBpbnRlcnZpZXdzLCBidXQgdGhhdCBvbGRlciBDWVAgd2VyZSBtb3JlIGNvbnNpc3RlbnQgaW4gcmVwb3J0aW5nIFBVcyB0aGFuIHlvdW5nZXIgQ1lQIChpLmUuLCBQVVRTIHNjb3JlcyBpbmNyZWFzZWQgd2l0aCBhZ2UpLiBXZSBmb3VuZCBubyBjb3JyZWxhdGlvbnMgYmV0d2VlbiBQVVRTIHNjb3JlIGFuZCB0aWMgc2V2ZXJpdHkgYXQgZWl0aGVyIGludGVydmlldy4gV2UgZm91bmQgYSBzdGF0aXN0aWNhbCBzaWduaWZpY2FudCBjb3JyZWxhdGlvbiBiZXR3ZWVuIFBVVFMgc2NvcmUgYW5kIG9ic2Vzc2l2ZS1jb21wdWxzaXZlIHN5bXB0b21zIChPQ1MpIGF0IGJvdGggaW50ZXJ2aWV3czsgTW9yZW92ZXIgYm90aCB0aGUgUFVUUyBhbmQgQ2hpbGRyZW4ncyBZYWxlLUJyb3duIE9ic2Vzc2l2ZSBDb21wdWxzaXZlIFNjYWxlIChDWS1CT0NTKSBzY29yZXMgaW5jcmVhc2VkIHNpZ25pZmljYW50bHksIHdoZXJlYXMgdGhlIFlhbGUgR2xvYmFsIFRpYyBTZXZlcml0eSBSYXRpbmcgU2NhbGUgKFlHVFNTKSBzY29yZSBkZWNyZWFzZWQgc2lnbmlmaWNhbnRseS4gV2UgZm91bmQgbm8gcmVsYXRpb25zaGlwcyBiZXR3ZWVuIFBVVFMgc2NvcmVzIGFuZCBhbnhpZXR5LCBkZXByZXNzaW9uLCBBREhELCBhbmQgZXh0ZXJuYWxpemluZy9pbnRlcm5hbGl6aW5nIGJlaGF2aW9yYWwgc2NvcmVzLiBDT05DTFVTSU9OUzogT3VyIHJlc3VsdHMgc3VnZ2VzdCB0aGUgdGhlIEl0YWxpYW4gdHJhbnNsYXRpb24gb2YgdGhlIFBVVFMgaGFzIGdvb2QgcHN5Y2hvbWV0cmljIHByb3BlcnRpZXMuIEFsdGhvdWdoIGJvdGggeW91bmdlciAoPDEwIHllYXJzIG9mIGFnZSkgYW5kIG9sZGVyIENZUCAo4omkIDEwIHllYXJzIG9mIGFnZSkgcmVwb3J0ZWQgUFVzLCB0aGUgc2NvcmVzIGF0IHRoZSBpbml0aWFsIGludGVydmlldyB3ZXJlIHN0YXRpc3RpY2FsbHkgc2lnbmlmaWNhbnRseSBsb3dlciB0aGFuIGF0IGZvbGxvdy11cC4gTW9yZW92ZXIsIGluIENZUCA+MTAgeWVhcnMgb2YgYWdlLCB0aGUgUFVzIGNvcnJlbGF0ZWQgd2l0aCBvYnNlc3Npb25zIGFuZCBjb21wdWxzaW9ucyAoQ1ktQk9DUyBzY29yZXMpLiIsImlzc3VlIjoiMTAiLCJ2b2x1bWUiOiIyNSIsImNvbnRhaW5lci10aXRsZS1zaG9ydCI6IiJ9LCJpc1RlbXBvcmFyeSI6ZmFsc2V9XX0="/>
                <w:id w:val="-1661378613"/>
                <w:placeholder>
                  <w:docPart w:val="DefaultPlaceholder_-1854013440"/>
                </w:placeholder>
              </w:sdtPr>
              <w:sdtContent>
                <w:r w:rsidR="00F04E9F" w:rsidRPr="00F04E9F">
                  <w:rPr>
                    <w:rFonts w:eastAsia="Times New Roman" w:cs="Times New Roman"/>
                    <w:color w:val="000000"/>
                    <w:sz w:val="16"/>
                    <w:szCs w:val="16"/>
                  </w:rPr>
                  <w:t>(4)</w:t>
                </w:r>
              </w:sdtContent>
            </w:sdt>
          </w:p>
        </w:tc>
        <w:tc>
          <w:tcPr>
            <w:tcW w:w="0" w:type="auto"/>
            <w:shd w:val="clear" w:color="auto" w:fill="FFFFFF"/>
            <w:hideMark/>
          </w:tcPr>
          <w:p w14:paraId="05A461C0"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95 children with TS</w:t>
            </w:r>
          </w:p>
        </w:tc>
        <w:tc>
          <w:tcPr>
            <w:tcW w:w="0" w:type="auto"/>
            <w:shd w:val="clear" w:color="auto" w:fill="FFFFFF"/>
            <w:hideMark/>
          </w:tcPr>
          <w:p w14:paraId="0E46B422"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Significant positive correlation between CY-BOCS scores and PUTS scores at baseline and follow-up, per authors, though correlation and p-values in Table 2 do not clearly reflect this</w:t>
            </w:r>
          </w:p>
        </w:tc>
      </w:tr>
      <w:tr w:rsidR="00986E35" w:rsidRPr="008A1F40" w14:paraId="2CE1EF52" w14:textId="77777777" w:rsidTr="007F77D2">
        <w:trPr>
          <w:tblCellSpacing w:w="15" w:type="dxa"/>
        </w:trPr>
        <w:tc>
          <w:tcPr>
            <w:tcW w:w="0" w:type="auto"/>
            <w:shd w:val="clear" w:color="auto" w:fill="FFFFFF"/>
            <w:hideMark/>
          </w:tcPr>
          <w:p w14:paraId="4774DD79" w14:textId="07731E45"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Kano et al (2020)</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zQyNjk2NjQtNmEwZi00MGExLWIzZjUtMzBmNTc0MzViNDY3IiwicHJvcGVydGllcyI6eyJub3RlSW5kZXgiOjB9LCJpc0VkaXRlZCI6ZmFsc2UsIm1hbnVhbE92ZXJyaWRlIjp7ImlzTWFudWFsbHlPdmVycmlkZGVuIjpmYWxzZSwiY2l0ZXByb2NUZXh0IjoiKDQxKSIsIm1hbnVhbE92ZXJyaWRlVGV4dCI6IiJ9LCJjaXRhdGlvbkl0ZW1zIjpbeyJpZCI6ImJmZDU3MzgxLTZlOWEtMzNhZS04N2MxLTRiNTdiMGM2YzNhOSIsIml0ZW1EYXRhIjp7InR5cGUiOiJhcnRpY2xlLWpvdXJuYWwiLCJpZCI6ImJmZDU3MzgxLTZlOWEtMzNhZS04N2MxLTRiNTdiMGM2YzNhOSIsInRpdGxlIjoiQ2hhbmdlcyBpbiBTZW5zb3J5IFBoZW5vbWVuYSwgVGljcywgT2JzZXNzaXZlLUNvbXB1bHNpdmUgU3ltcHRvbXMsIGFuZCBHbG9iYWwgRnVuY3Rpb25pbmcgb2YgVG91cmV0dGUgU3luZHJvbWU6IEEgRm9sbG93LVVwIEFmdGVyIEZvdXIgWWVhcnMiLCJncm91cElkIjoiMDdkNjJhYzEtNWFhOC0zOWFmLWI0OWUtNTJkMjA4OGFjNTcxIiwiYXV0aG9yIjpbeyJmYW1pbHkiOiJLYW5vIiwiZ2l2ZW4iOiJZIiwicGFyc2UtbmFtZXMiOmZhbHNlLCJkcm9wcGluZy1wYXJ0aWNsZSI6IiIsIm5vbi1kcm9wcGluZy1wYXJ0aWNsZSI6IiJ9LHsiZmFtaWx5IjoiRnVqaW8iLCJnaXZlbiI6Ik0iLCJwYXJzZS1uYW1lcyI6ZmFsc2UsImRyb3BwaW5nLXBhcnRpY2xlIjoiIiwibm9uLWRyb3BwaW5nLXBhcnRpY2xlIjoiIn0seyJmYW1pbHkiOiJLYWppIiwiZ2l2ZW4iOiJOIiwicGFyc2UtbmFtZXMiOmZhbHNlLCJkcm9wcGluZy1wYXJ0aWNsZSI6IiIsIm5vbi1kcm9wcGluZy1wYXJ0aWNsZSI6IiJ9LHsiZmFtaWx5IjoiTWF0c3VkYSIsImdpdmVuIjoiTiIsInBhcnNlLW5hbWVzIjpmYWxzZSwiZHJvcHBpbmctcGFydGljbGUiOiIiLCJub24tZHJvcHBpbmctcGFydGljbGUiOiIifSx7ImZhbWlseSI6Ik5vbmFrYSIsImdpdmVuIjoiTSIsInBhcnNlLW5hbWVzIjpmYWxzZSwiZHJvcHBpbmctcGFydGljbGUiOiIiLCJub24tZHJvcHBpbmctcGFydGljbGUiOiIifSx7ImZhbWlseSI6Iktvbm8iLCJnaXZlbiI6IlQiLCJwYXJzZS1uYW1lcyI6ZmFsc2UsImRyb3BwaW5nLXBhcnRpY2xlIjoiIiwibm9uLWRyb3BwaW5nLXBhcnRpY2xlIjoiIn1dLCJjb250YWluZXItdGl0bGUiOiJGcm9udCBQc3ljaGlhdHJ5IiwiRE9JIjoiMTAuMzM4OS9mcHN5dC4yMDIwLjAwNjE5IiwiUE1JRCI6IjMyNjk1MDMzIiwiaXNzdWVkIjp7ImRhdGUtcGFydHMiOltbMjAyMF1dfSwicGFnZSI6IjYxOSIsImFic3RyYWN0IjoiU2Vuc29yeSBwaGVub21lbmEgYW5kIHJlbGF0ZWQgZmVhdHVyZXMgb2YgVG91cmV0dGUgc3luZHJvbWUgYXJlIHJlbGF0ZWQgdG8gcG9vcmVyIHF1YWxpdHkgb2YgbGlmZS4gVGhlcmVmb3JlLCBzZW5zb3J5IHBoZW5vbWVuYSBtaWdodCBhbHNvIGhhdmUgYSBuZWdhdGl2ZSBpbXBhY3Qgb24gZ2xvYmFsIGZ1bmN0aW9uaW5nLiBIb3dldmVyLCB0aGUgaW5mbHVlbmNlIG9mIHNlbnNvcnkgcGhlbm9tZW5hLCB0aWNzLCBhbmQgb2JzZXNzaXZlLWNvbXB1bHNpdmUgc3ltcHRvbXMgKE9DUykgb24gZ2xvYmFsIGZ1bmN0aW9uaW5nIGFmdGVyIHNldmVyYWwgeWVhcnMgb2YgdXN1YWwgdHJlYXRtZW50IGhhcyBub3QgYmVlbiBpbnZlc3RpZ2F0ZWQuIFR3ZW50eSBvdXQgb2YgNDUgSmFwYW5lc2UgcGF0aWVudHMgd2l0aCBUb3VyZXR0ZSBzeW5kcm9tZSB3aG8gaGFkIHByZXZpb3VzbHkgdW5kZXJnb25lIGFuIGV2YWx1YXRpb24gb2YgdGhlc2UgY2xpbmljYWwgZmVhdHVyZXMgd2VyZSBhc3Nlc3NlZCBhZ2FpbiBhZnRlciBhbiBhdmVyYWdlIG9mIGZvdXIgeWVhcnMuIFdlIGNvbmR1Y3RlZCBhIHBhbmVsIG9mIGFzc2Vzc21lbnRzIGZvciBwcmVtb25pdG9yeSB1cmdlcywgYnJvYWRlciBzZW5zb3J5IHBoZW5vbWVuYSwgdGljIHNldmVyaXR5LCBPQ1MsIGFuZCBnbG9iYWwgZnVuY3Rpb25pbmcuIEJhc2VkIG9uIFBlYXJzb24ncyBjb3JyZWxhdGlvbiBjb2VmZmljaWVudCwgY3VycmVudCBnbG9iYWwgZnVuY3Rpb25pbmcgd2FzIHNpZ25pZmljYW50bHkgbmVnYXRpdmVseSBjb3JyZWxhdGVkIHdpdGggcHJldmlvdXMgdGljcyBhbmQgbWFyZ2luYWxseSBuZWdhdGl2ZWx5IGNvcnJlbGF0ZWQgd2l0aCBwcmV2aW91cyBicm9hZGVyIHNlbnNvcnkgcGhlbm9tZW5hLiBDdXJyZW50IGdsb2JhbCBmdW5jdGlvbmluZyB3YXMgbWFyZ2luYWxseSBjb3JyZWxhdGVkIHdpdGggY2hhbmdlIGluIHRpY3MuIENoYW5nZSBpbiBnbG9iYWwgZnVuY3Rpb25pbmcgd2FzIHNpZ25pZmljYW50bHkgY29ycmVsYXRlZCB3aXRoIGNoYW5nZSBpbiBPQ1MgYW5kIG1hcmdpbmFsbHkgY29ycmVsYXRlZCB3aXRoIGNoYW5nZSBpbiBwcmVtb25pdG9yeSB1cmdlcy4gRHVlIHRvIHRoZSBzbWFsbCBzYW1wbGUgc2l6ZSwgaXQgd2FzIG5vdCBwb3NzaWJsZSB0byB1c2UgYSBtdWx0aXBsZSByZWdyZXNzaW9uIGFuYWx5c2lzIHRvIGNvbmNsdWRlIHRoYXQgc2Vuc29yeSBwaGVub21lbmEsIHRpY3MsIGFuZCBPQ1MgcHJlZGljdCBnbG9iYWwgZnVuY3Rpb25pbmcgaW4gYWRvbGVzY2VudHMgYW5kIGFkdWx0cyB3aXRoIFRTLiBIb3dldmVyLCBpdCB3YXMgc3VnZ2VzdGVkIHRoYXQgZnVydGhlciBpbnZlc3RpZ2F0aW9uIG9mIHRoaXMgcmVsYXRpb25zaGlwIHdvdWxkIGJlIG1lYW5pbmdmdWwuIiwidm9sdW1lIjoiMTEiLCJjb250YWluZXItdGl0bGUtc2hvcnQiOiIifSwiaXNUZW1wb3JhcnkiOmZhbHNlfV19"/>
                <w:id w:val="1872265930"/>
                <w:placeholder>
                  <w:docPart w:val="DefaultPlaceholder_-1854013440"/>
                </w:placeholder>
              </w:sdtPr>
              <w:sdtContent>
                <w:r w:rsidR="00F04E9F" w:rsidRPr="00F04E9F">
                  <w:rPr>
                    <w:rFonts w:eastAsia="Times New Roman" w:cs="Times New Roman"/>
                    <w:color w:val="000000"/>
                    <w:sz w:val="16"/>
                    <w:szCs w:val="16"/>
                  </w:rPr>
                  <w:t>(41)</w:t>
                </w:r>
              </w:sdtContent>
            </w:sdt>
          </w:p>
        </w:tc>
        <w:tc>
          <w:tcPr>
            <w:tcW w:w="0" w:type="auto"/>
            <w:shd w:val="clear" w:color="auto" w:fill="FFFFFF"/>
            <w:hideMark/>
          </w:tcPr>
          <w:p w14:paraId="6961550E"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20 individuals with TS aged 17-53 (</w:t>
            </w:r>
            <w:r w:rsidRPr="008A1F40">
              <w:rPr>
                <w:rFonts w:eastAsia="Times New Roman" w:cs="Times New Roman"/>
                <w:color w:val="000000" w:themeColor="text1"/>
                <w:sz w:val="16"/>
                <w:szCs w:val="16"/>
              </w:rPr>
              <w:t>participants had been assessed 4.0 years prior on average)</w:t>
            </w:r>
          </w:p>
        </w:tc>
        <w:tc>
          <w:tcPr>
            <w:tcW w:w="0" w:type="auto"/>
            <w:shd w:val="clear" w:color="auto" w:fill="FFFFFF"/>
            <w:hideMark/>
          </w:tcPr>
          <w:p w14:paraId="5608DBB7" w14:textId="75468E94"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Significant Pearson correlation between 1) PUTS scores at baseline and Y-BOCS at baseline (p = 0.002), 2) PUTS scores at follow</w:t>
            </w:r>
            <w:r w:rsidR="005D05FD">
              <w:rPr>
                <w:rFonts w:eastAsia="Times New Roman" w:cs="Times New Roman"/>
                <w:color w:val="0D0D0D"/>
                <w:sz w:val="16"/>
                <w:szCs w:val="16"/>
              </w:rPr>
              <w:t>-</w:t>
            </w:r>
            <w:r w:rsidRPr="008A1F40">
              <w:rPr>
                <w:rFonts w:eastAsia="Times New Roman" w:cs="Times New Roman"/>
                <w:color w:val="0D0D0D"/>
                <w:sz w:val="16"/>
                <w:szCs w:val="16"/>
              </w:rPr>
              <w:t>up and Y-BOCS at follow</w:t>
            </w:r>
            <w:r w:rsidR="005D05FD">
              <w:rPr>
                <w:rFonts w:eastAsia="Times New Roman" w:cs="Times New Roman"/>
                <w:color w:val="0D0D0D"/>
                <w:sz w:val="16"/>
                <w:szCs w:val="16"/>
              </w:rPr>
              <w:t>-</w:t>
            </w:r>
            <w:r w:rsidRPr="008A1F40">
              <w:rPr>
                <w:rFonts w:eastAsia="Times New Roman" w:cs="Times New Roman"/>
                <w:color w:val="0D0D0D"/>
                <w:sz w:val="16"/>
                <w:szCs w:val="16"/>
              </w:rPr>
              <w:t>up (p = 0.002), 3) PUTS scores at baseline and Y-BOCS at follow</w:t>
            </w:r>
            <w:r w:rsidR="005D05FD">
              <w:rPr>
                <w:rFonts w:eastAsia="Times New Roman" w:cs="Times New Roman"/>
                <w:color w:val="0D0D0D"/>
                <w:sz w:val="16"/>
                <w:szCs w:val="16"/>
              </w:rPr>
              <w:t>-</w:t>
            </w:r>
            <w:r w:rsidRPr="008A1F40">
              <w:rPr>
                <w:rFonts w:eastAsia="Times New Roman" w:cs="Times New Roman"/>
                <w:color w:val="0D0D0D"/>
                <w:sz w:val="16"/>
                <w:szCs w:val="16"/>
              </w:rPr>
              <w:t xml:space="preserve">up (p = 0.019) </w:t>
            </w:r>
            <w:r w:rsidRPr="008A1F40">
              <w:rPr>
                <w:rFonts w:eastAsia="Times New Roman" w:cs="Times New Roman"/>
                <w:color w:val="000000" w:themeColor="text1"/>
                <w:sz w:val="16"/>
                <w:szCs w:val="16"/>
              </w:rPr>
              <w:t>(correlation magnitudes not reported in the publication)</w:t>
            </w:r>
          </w:p>
        </w:tc>
      </w:tr>
      <w:tr w:rsidR="00986E35" w:rsidRPr="008A1F40" w14:paraId="20CB61B0" w14:textId="77777777" w:rsidTr="007F77D2">
        <w:trPr>
          <w:tblCellSpacing w:w="15" w:type="dxa"/>
        </w:trPr>
        <w:tc>
          <w:tcPr>
            <w:tcW w:w="0" w:type="auto"/>
            <w:shd w:val="clear" w:color="auto" w:fill="FFFFFF"/>
          </w:tcPr>
          <w:p w14:paraId="72A6EF95" w14:textId="23201ADE"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Kano et al (2015)</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GRlZTgyNzYtN2JkZS00YjNhLWI5MTUtYzYxYzM3ZmNkMWE4IiwicHJvcGVydGllcyI6eyJub3RlSW5kZXgiOjB9LCJpc0VkaXRlZCI6ZmFsc2UsIm1hbnVhbE92ZXJyaWRlIjp7ImlzTWFudWFsbHlPdmVycmlkZGVuIjpmYWxzZSwiY2l0ZXByb2NUZXh0IjoiKDM0KSIsIm1hbnVhbE92ZXJyaWRlVGV4dCI6IiJ9LCJjaXRhdGlvbkl0ZW1zIjpbeyJpZCI6ImRjODk3YzhiLTQ1YjQtMzk4My04NTliLTEzMTE1MmFjYWU3MyIsIml0ZW1EYXRhIjp7InR5cGUiOiJhcnRpY2xlLWpvdXJuYWwiLCJpZCI6ImRjODk3YzhiLTQ1YjQtMzk4My04NTliLTEzMTE1MmFjYWU3MyIsInRpdGxlIjoiU2Vuc29yeSBwaGVub21lbmEgcmVsYXRlZCB0byB0aWNzLCBvYnNlc3NpdmUtY29tcHVsc2l2ZSBzeW1wdG9tcywgYW5kIGdsb2JhbCBmdW5jdGlvbmluZyBpbiBUb3VyZXR0ZSBzeW5kcm9tZSIsImdyb3VwSWQiOiIwN2Q2MmFjMS01YWE4LTM5YWYtYjQ5ZS01MmQyMDg4YWM1NzEiLCJhdXRob3IiOlt7ImZhbWlseSI6Ikthbm8iLCJnaXZlbiI6IlkiLCJwYXJzZS1uYW1lcyI6ZmFsc2UsImRyb3BwaW5nLXBhcnRpY2xlIjoiIiwibm9uLWRyb3BwaW5nLXBhcnRpY2xlIjoiIn0seyJmYW1pbHkiOiJNYXRzdWRhIiwiZ2l2ZW4iOiJOIiwicGFyc2UtbmFtZXMiOmZhbHNlLCJkcm9wcGluZy1wYXJ0aWNsZSI6IiIsIm5vbi1kcm9wcGluZy1wYXJ0aWNsZSI6IiJ9LHsiZmFtaWx5IjoiTm9uYWthIiwiZ2l2ZW4iOiJNIiwicGFyc2UtbmFtZXMiOmZhbHNlLCJkcm9wcGluZy1wYXJ0aWNsZSI6IiIsIm5vbi1kcm9wcGluZy1wYXJ0aWNsZSI6IiJ9LHsiZmFtaWx5IjoiRnVqaW8iLCJnaXZlbiI6Ik0iLCJwYXJzZS1uYW1lcyI6ZmFsc2UsImRyb3BwaW5nLXBhcnRpY2xlIjoiIiwibm9uLWRyb3BwaW5nLXBhcnRpY2xlIjoiIn0seyJmYW1pbHkiOiJLdXdhYmFyYSIsImdpdmVuIjoiSCIsInBhcnNlLW5hbWVzIjpmYWxzZSwiZHJvcHBpbmctcGFydGljbGUiOiIiLCJub24tZHJvcHBpbmctcGFydGljbGUiOiIifSx7ImZhbWlseSI6Iktvbm8iLCJnaXZlbiI6IlQiLCJwYXJzZS1uYW1lcyI6ZmFsc2UsImRyb3BwaW5nLXBhcnRpY2xlIjoiIiwibm9uLWRyb3BwaW5nLXBhcnRpY2xlIjoiIn1dLCJjb250YWluZXItdGl0bGUiOiJDb21wciBQc3ljaGlhdHJ5IiwiRE9JIjoiMTAuMTAxNi9qLmNvbXBwc3ljaC4yMDE1LjA3LjAwNiIsIlBNSUQiOiIyNjM0MzQ3OCIsImlzc3VlZCI6eyJkYXRlLXBhcnRzIjpbWzIwMTVdXX0sInBhZ2UiOiIxNDEtMTQ2IiwiYWJzdHJhY3QiOiJPQkpFQ1RJVkVTOiBTZW5zb3J5IHBoZW5vbWVuYSwgaW5jbHVkaW5nIHByZW1vbml0b3J5IHVyZ2VzLCBhcmUgZXhwZXJpZW5jZWQgYnkgcGF0aWVudHMgd2l0aCBUb3VyZXR0ZSBzeW5kcm9tZSAoVFMpIGFuZCBvYnNlc3NpdmUtY29tcHVsc2l2ZSBkaXNvcmRlciAoT0NEKS4gVGhlIGdvYWwgb2YgdGhlIHByZXNlbnQgc3R1ZHkgd2FzIHRvIGludmVzdGlnYXRlIHN1Y2ggcGhlbm9tZW5hIHJlbGF0ZWQgdG8gdGljcywgb2JzZXNzaXZlLWNvbXB1bHNpdmUgc3ltcHRvbXMgKE9DUyksIGFuZCBnbG9iYWwgZnVuY3Rpb25pbmcgaW4gSmFwYW5lc2UgcGF0aWVudHMgd2l0aCBUUy4gTUVUSE9EUzogRm9ydHktb25lIHBhdGllbnRzIHdpdGggVFMgd2VyZSBhc3Nlc3NlZCB1c2luZyB0aGUgVW5pdmVyc2l0eSBvZiBTw6NvIFBhdWxvIFNlbnNvcnkgUGhlbm9tZW5hIFNjYWxlIChVU1AtU1BTKSwgdGhlIFByZW1vbml0b3J5IFVyZ2UgZm9yIFRpY3MgU2NhbGUgKFBVVFMpLCB0aGUgWWFsZSBHbG9iYWwgVGljIFNldmVyaXR5IFNjYWxlIChZR1RTUyksIHRoZSBEaW1lbnNpb25hbCBZYWxlLUJyb3duIE9ic2Vzc2l2ZS1Db21wdWxzaXZlIFNjYWxlIChEWS1CT0NTKSwgYW5kIHRoZSBHbG9iYWwgQXNzZXNzbWVudCBvZiBGdW5jdGlvbmluZyAoR0FGKSBTY2FsZS4gUkVTVUxUUzogVVNQLVNQUyBhbmQgUFVUUyB0b3RhbCBzY29yZXMgd2VyZSBzaWduaWZpY2FudGx5IGNvcnJlbGF0ZWQgd2l0aCBZR1RTUyB0b3RhbCBhbmQgdm9jYWwgdGljcyBzY29yZXMuIEFkZGl0aW9uYWxseSwgYm90aCBzZW5zb3J5IHBoZW5vbWVuYSBzZXZlcml0eSBzY29yZXMgd2VyZSBzaWduaWZpY2FudGx5IGNvcnJlbGF0ZWQgd2l0aCBEWS1CT0NTIHRvdGFsIE9DUyBzY29yZXMuIE9mIHRoZSBzaXggZGltZW5zaW9uYWwgT0NTIHNjb3JlcywgdGhlIFVTUC1TUFMgc2NvcmVzIHdlcmUgc2lnbmlmaWNhbnRseSBjb3JyZWxhdGVkIHdpdGggbWVhc3VyZXMgb2YgYWdncmVzc2lvbiBhbmQgc2V4dWFsL3JlbGlnaW91cyBkaW1lbnNpb25zLiBGaW5hbGx5LCB0aGUgUFVUUyB0b3RhbCBzY29yZXMgd2VyZSBzaWduaWZpY2FudGx5IGFuZCBuZWdhdGl2ZWx5IGNvcnJlbGF0ZWQgd2l0aCBHQUYgc2NvcmVzLiBDT05DTFVTSU9OUzogQnkgYXNzZXNzaW5nIHByZW1vbml0b3J5IHVyZ2VzIGFuZCBicm9hZGVyIHNlbnNvcnkgcGhlbm9tZW5hLCBhbmQgYnkgdmlld2luZyBPQ1MgZnJvbSBhIGRpbWVuc2lvbmFsIGFwcHJvYWNoLCB0aGlzIHN0dWR5IHByb3ZpZGVzIHNpZ25pZmljYW50IGluc2lnaHQgaW50byBzZW5zb3J5IHBoZW5vbWVuYSByZWxhdGVkIHRvIHRpY3MsIE9DUywgYW5kIGdsb2JhbCBmdW5jdGlvbmluZyBpbiBwYXRpZW50cyB3aXRoIFRTLiIsInZvbHVtZSI6IjYyIiwiY29udGFpbmVyLXRpdGxlLXNob3J0IjoiIn0sImlzVGVtcG9yYXJ5IjpmYWxzZX1dfQ=="/>
                <w:id w:val="-1274858777"/>
                <w:placeholder>
                  <w:docPart w:val="DefaultPlaceholder_-1854013440"/>
                </w:placeholder>
              </w:sdtPr>
              <w:sdtContent>
                <w:r w:rsidR="00F04E9F" w:rsidRPr="00F04E9F">
                  <w:rPr>
                    <w:rFonts w:eastAsia="Times New Roman" w:cs="Times New Roman"/>
                    <w:color w:val="000000"/>
                    <w:sz w:val="16"/>
                    <w:szCs w:val="16"/>
                  </w:rPr>
                  <w:t>(34)</w:t>
                </w:r>
              </w:sdtContent>
            </w:sdt>
          </w:p>
        </w:tc>
        <w:tc>
          <w:tcPr>
            <w:tcW w:w="0" w:type="auto"/>
            <w:shd w:val="clear" w:color="auto" w:fill="FFFFFF"/>
          </w:tcPr>
          <w:p w14:paraId="09421C52"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41 children and adults with TS</w:t>
            </w:r>
          </w:p>
        </w:tc>
        <w:tc>
          <w:tcPr>
            <w:tcW w:w="0" w:type="auto"/>
            <w:shd w:val="clear" w:color="auto" w:fill="FFFFFF"/>
          </w:tcPr>
          <w:p w14:paraId="48452C90"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Significant positive correlation between PUTS scores DY-BOCS total OCS scores </w:t>
            </w:r>
            <w:r w:rsidRPr="008A1F40">
              <w:rPr>
                <w:rFonts w:cs="Times New Roman"/>
                <w:color w:val="000000" w:themeColor="text1"/>
                <w:sz w:val="16"/>
                <w:szCs w:val="16"/>
              </w:rPr>
              <w:t>(Spearman’s r = 0.55, p &lt; 0.001) and DY-BOCS impairment scores (Spearman’s r = 0.59, p &lt; 0.001)</w:t>
            </w:r>
          </w:p>
        </w:tc>
      </w:tr>
      <w:tr w:rsidR="00986E35" w:rsidRPr="008A1F40" w14:paraId="517C98D7" w14:textId="77777777" w:rsidTr="007F77D2">
        <w:trPr>
          <w:tblCellSpacing w:w="15" w:type="dxa"/>
        </w:trPr>
        <w:tc>
          <w:tcPr>
            <w:tcW w:w="0" w:type="auto"/>
            <w:shd w:val="clear" w:color="auto" w:fill="FFFFFF"/>
          </w:tcPr>
          <w:p w14:paraId="356F5A74" w14:textId="3248FD45"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Li et al (2021)</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TBiZDMwOTAtOTRjYS00OTU0LTg2YjUtOGYyZjBjZDgzNDExIiwicHJvcGVydGllcyI6eyJub3RlSW5kZXgiOjB9LCJpc0VkaXRlZCI6ZmFsc2UsIm1hbnVhbE92ZXJyaWRlIjp7ImlzTWFudWFsbHlPdmVycmlkZGVuIjpmYWxzZSwiY2l0ZXByb2NUZXh0IjoiKDgpIiwibWFudWFsT3ZlcnJpZGVUZXh0IjoiIn0sImNpdGF0aW9uSXRlbXMiOlt7ImlkIjoiYmNhMzA2ZjQtMmViZC0zNjQ1LTkwNWQtYzAwZmYyZjExMGI0IiwiaXRlbURhdGEiOnsidHlwZSI6ImFydGljbGUtam91cm5hbCIsImlkIjoiYmNhMzA2ZjQtMmViZC0zNjQ1LTkwNWQtYzAwZmYyZjExMGI0IiwidGl0bGUiOiJQc3ljaG9tZXRyaWMgUHJvcGVydGllcyBvZiB0aGUgQ2hpbmVzZSBWZXJzaW9uIG9mIHRoZSBQcmVtb25pdG9yeSBVcmdlIGZvciBUaWNzIFNjYWxlOiBBIFByZWxpbWluYXJ5IFJlcG9ydCIsImdyb3VwSWQiOiIwN2Q2MmFjMS01YWE4LTM5YWYtYjQ5ZS01MmQyMDg4YWM1NzEiLCJhdXRob3IiOlt7ImZhbWlseSI6IkxpIiwiZ2l2ZW4iOiJZIiwicGFyc2UtbmFtZXMiOmZhbHNlLCJkcm9wcGluZy1wYXJ0aWNsZSI6IiIsIm5vbi1kcm9wcGluZy1wYXJ0aWNsZSI6IiJ9LHsiZmFtaWx5IjoiV29vZHMiLCJnaXZlbiI6IkQgVyIsInBhcnNlLW5hbWVzIjpmYWxzZSwiZHJvcHBpbmctcGFydGljbGUiOiIiLCJub24tZHJvcHBpbmctcGFydGljbGUiOiIifSx7ImZhbWlseSI6Ikd1IiwiZ2l2ZW4iOiJZIiwicGFyc2UtbmFtZXMiOmZhbHNlLCJkcm9wcGluZy1wYXJ0aWNsZSI6IiIsIm5vbi1kcm9wcGluZy1wYXJ0aWNsZSI6IiJ9LHsiZmFtaWx5IjoiWXUiLCJnaXZlbiI6IkwiLCJwYXJzZS1uYW1lcyI6ZmFsc2UsImRyb3BwaW5nLXBhcnRpY2xlIjoiIiwibm9uLWRyb3BwaW5nLXBhcnRpY2xlIjoiIn0seyJmYW1pbHkiOiJZYW4iLCJnaXZlbiI6IkoiLCJwYXJzZS1uYW1lcyI6ZmFsc2UsImRyb3BwaW5nLXBhcnRpY2xlIjoiIiwibm9uLWRyb3BwaW5nLXBhcnRpY2xlIjoiIn0seyJmYW1pbHkiOiJXZW4iLCJnaXZlbiI6IkYiLCJwYXJzZS1uYW1lcyI6ZmFsc2UsImRyb3BwaW5nLXBhcnRpY2xlIjoiIiwibm9uLWRyb3BwaW5nLXBhcnRpY2xlIjoiIn0seyJmYW1pbHkiOiJXYW5nIiwiZ2l2ZW4iOiJGIiwicGFyc2UtbmFtZXMiOmZhbHNlLCJkcm9wcGluZy1wYXJ0aWNsZSI6IiIsIm5vbi1kcm9wcGluZy1wYXJ0aWNsZSI6IiJ9LHsiZmFtaWx5IjoiTGl1IiwiZ2l2ZW4iOiJKIiwicGFyc2UtbmFtZXMiOmZhbHNlLCJkcm9wcGluZy1wYXJ0aWNsZSI6IiIsIm5vbi1kcm9wcGluZy1wYXJ0aWNsZSI6IiJ9LHsiZmFtaWx5IjoiQ3VpIiwiZ2l2ZW4iOiJZIiwicGFyc2UtbmFtZXMiOmZhbHNlLCJkcm9wcGluZy1wYXJ0aWNsZSI6IiIsIm5vbi1kcm9wcGluZy1wYXJ0aWNsZSI6IiJ9XSwiY29udGFpbmVyLXRpdGxlIjoiRnJvbnQgUHN5Y2hvbCIsIkRPSSI6IjEwLjMzODkvZnBzeWcuMjAyMS41NzM4MDMiLCJQTUlEIjoiMzQ2NDYxODEiLCJpc3N1ZWQiOnsiZGF0ZS1wYXJ0cyI6W1syMDIxXV19LCJwYWdlIjoiNTczODAzIiwiYWJzdHJhY3QiOiJQcmVtb25pdG9yeSB1cmdlcyAoUFVzKSBhcmUgc2Vuc29yeSBwaGVub21lbmEgdGhhdCBpbW1lZGlhdGVseSBwcmVjZWRlIHRpY3MuIFRoZSBQcmVtb25pdG9yeSBVcmdlIGZvciBUaWNzIFNjYWxlIChQVVRTKSBpcyB3aWRlbHkgdXNlZCB0byBhc3Nlc3MgdGhlIHNldmVyaXR5IG9mIFBVcywgYnV0IHRoZSBwc3ljaG9tZXRyaWMgcHJvcGVydGllcyBvZiBQVVRTIGFuZCBjbGluaWNhbCBmZWF0dXJlcyBvZiBQVSBpbiBDaGluZXNlIHBhdGllbnRzIHdpdGggdGljIGRpc29yZGVycyBhcmUgc3RpbGwgdW5jbGVhci4gSW4gdGhpcyBzdHVkeSwgd2UgZXhhbWluZWQgdGhlIHBzeWNob21ldHJpYyBwcm9wZXJ0aWVzIG9mIHRoZSBDaGluZXNlIHZlcnNpb24gb2YgdGhlIFBVVFMgaW4gYSBsYXJnZSBzYW1wbGUgKGluY2x1ZGluZyAzNjcgQ2hpbmVzZSBwZWRpYXRyaWMgcGF0aWVudHMgd2l0aCB0aWMgZGlzb3JkZXJzKS4gV2UgZm91bmQgbm8gZGlmZmVyZW5jZSBpbiBQVSBpbiBkaWZmZXJlbnQgYWdlIGdyb3Vwcy4gVGhlIGV4cGxvcmF0b3J5IGZhY3RvciBhbmFseXNpcyAoRUZBKSBvZiBQVVRTIHNob3dlZCB0aGUgZW1lcmdlbmNlIG9mIGZvdXIgcHJpbWFyeSBmYWN0b3JzLiBUaGUgcmVzdWx0cyBvZiByZWxpYWJpbGl0eSBhbmQgdmFsaWRpdHkgYW5hbHlzZXMgaW5kaWNhdGVkIHRoYXQgdGhlIENoaW5lc2UgdmVyc2lvbiBzaG93ZWQgZ29vZCBwc3ljaG9tZXRyaWMgcHJvcGVydGllcy4gSXQgc2VlbWVkIHRoYXQgUFUgd2FzIGFzc29jaWF0ZWQgd2l0aCB0aGUgc2V2ZXJpdHkgb2Ygb2JzZXNzaW9uIHN5bXB0b21zIGluIHBhdGllbnRzIHdpdGggdGljIGRpc29yZGVycy4gTmV0d29yayBhbmFseXNpcyBzaG93ZWQgdGhhdCBJdGVtIDcgaXMgYSBjcml0aWNhbCBub2RlIGZvciB0aGUgUFUsIGluIGFkZGl0aW9uIHRvIEl0ZW1zIDEgYW5kIDQuIE92ZXJhbGwsIHRoZSBDaGluZXNlIHZlcnNpb24gb2YgUFVUUyBjYW4gYmUgdXNlZCBpbiBDaGluZXNlIGNoaWxkIGFuZCBhZG9sZXNjZW50IHBhdGllbnRzIHdpdGggdGljIGRpc29yZGVycywgcGFydGljdWxhcmx5IGZvciBwYXRpZW50cyB3aXRoIFRvdXJldHRlIHN5bmRyb21lLiIsInZvbHVtZSI6IjEyIiwiY29udGFpbmVyLXRpdGxlLXNob3J0IjoiIn0sImlzVGVtcG9yYXJ5IjpmYWxzZX1dfQ=="/>
                <w:id w:val="543025745"/>
                <w:placeholder>
                  <w:docPart w:val="DefaultPlaceholder_-1854013440"/>
                </w:placeholder>
              </w:sdtPr>
              <w:sdtContent>
                <w:r w:rsidR="00F04E9F" w:rsidRPr="00F04E9F">
                  <w:rPr>
                    <w:rFonts w:eastAsia="Times New Roman" w:cs="Times New Roman"/>
                    <w:color w:val="000000"/>
                    <w:sz w:val="16"/>
                    <w:szCs w:val="16"/>
                  </w:rPr>
                  <w:t>(8)</w:t>
                </w:r>
              </w:sdtContent>
            </w:sdt>
          </w:p>
        </w:tc>
        <w:tc>
          <w:tcPr>
            <w:tcW w:w="0" w:type="auto"/>
            <w:shd w:val="clear" w:color="auto" w:fill="FFFFFF"/>
          </w:tcPr>
          <w:p w14:paraId="0BEDF2DA"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367 children with tic disorders</w:t>
            </w:r>
          </w:p>
        </w:tc>
        <w:tc>
          <w:tcPr>
            <w:tcW w:w="0" w:type="auto"/>
            <w:shd w:val="clear" w:color="auto" w:fill="FFFFFF"/>
          </w:tcPr>
          <w:p w14:paraId="428A5F73" w14:textId="62489F7A"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CY-BOCS scores did not correlate with PUTS scores in the entire sample (Pearson’s r = 0.108, p &gt; 0.05)</w:t>
            </w:r>
            <w:r w:rsidR="005D05FD">
              <w:rPr>
                <w:rFonts w:cs="Times New Roman"/>
                <w:color w:val="000000" w:themeColor="text1"/>
                <w:sz w:val="16"/>
                <w:szCs w:val="16"/>
              </w:rPr>
              <w:t>,</w:t>
            </w:r>
            <w:r w:rsidRPr="008A1F40">
              <w:rPr>
                <w:rFonts w:cs="Times New Roman"/>
                <w:color w:val="000000" w:themeColor="text1"/>
                <w:sz w:val="16"/>
                <w:szCs w:val="16"/>
              </w:rPr>
              <w:t xml:space="preserve"> but in the subgroup with Tourette syndrome this correlation was significant (n = 252, r = 0.203, p &lt; 0.05)</w:t>
            </w:r>
          </w:p>
        </w:tc>
      </w:tr>
      <w:tr w:rsidR="00986E35" w:rsidRPr="008A1F40" w14:paraId="0F16FFCD" w14:textId="77777777" w:rsidTr="007F77D2">
        <w:trPr>
          <w:tblCellSpacing w:w="15" w:type="dxa"/>
        </w:trPr>
        <w:tc>
          <w:tcPr>
            <w:tcW w:w="0" w:type="auto"/>
            <w:shd w:val="clear" w:color="auto" w:fill="FFFFFF"/>
            <w:hideMark/>
          </w:tcPr>
          <w:p w14:paraId="340056AF" w14:textId="5EACAD2D"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Rajagopal and Cavanna (2014)</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zY0YzZiNjEtYmMxYS00NWJlLWFlZDUtNjlkODk3M2UzOTI5IiwicHJvcGVydGllcyI6eyJub3RlSW5kZXgiOjB9LCJpc0VkaXRlZCI6ZmFsc2UsIm1hbnVhbE92ZXJyaWRlIjp7ImlzTWFudWFsbHlPdmVycmlkZGVuIjpmYWxzZSwiY2l0ZXByb2NUZXh0IjoiKDI0KSIsIm1hbnVhbE92ZXJyaWRlVGV4dCI6IiJ9LCJjaXRhdGlvbkl0ZW1zIjpbeyJpZCI6ImQ1YzVlMjUxLWNmNjAtMzBkMS1hYTZjLWY1M2RlYzlhOTdmOCIsIml0ZW1EYXRhIjp7InR5cGUiOiJhcnRpY2xlLWpvdXJuYWwiLCJpZCI6ImQ1YzVlMjUxLWNmNjAtMzBkMS1hYTZjLWY1M2RlYzlhOTdmOCIsInRpdGxlIjoiUHJlbW9uaXRvcnkgdXJnZXMgYW5kIHJlcGV0aXRpdmUgYmVoYXZpb3VycyBpbiBhZHVsdCBwYXRpZW50cyB3aXRoIFRvdXJldHRlIHN5bmRyb21lIiwiZ3JvdXBJZCI6IjA3ZDYyYWMxLTVhYTgtMzlhZi1iNDllLTUyZDIwODhhYzU3MSIsImF1dGhvciI6W3siZmFtaWx5IjoiUmFqYWdvcGFsIiwiZ2l2ZW4iOiJTIiwicGFyc2UtbmFtZXMiOmZhbHNlLCJkcm9wcGluZy1wYXJ0aWNsZSI6IiIsIm5vbi1kcm9wcGluZy1wYXJ0aWNsZSI6IiJ9LHsiZmFtaWx5IjoiQ2F2YW5uYSIsImdpdmVuIjoiQSBFIiwicGFyc2UtbmFtZXMiOmZhbHNlLCJkcm9wcGluZy1wYXJ0aWNsZSI6IiIsIm5vbi1kcm9wcGluZy1wYXJ0aWNsZSI6IiJ9XSwiY29udGFpbmVyLXRpdGxlIjoiTmV1cm9sIFNjaSIsIkRPSSI6IjEwLjEwMDcvczEwMDcyLTAxNC0xNzA2LTgiLCJQTUlEIjoiMjQ2MDQ0MTIiLCJVUkwiOiJodHRwczovL2xpbmsuc3ByaW5nZXIuY29tL2FydGljbGUvMTAuMTAwNy9zMTAwNzItMDE0LTE3MDYtOCIsImlzc3VlZCI6eyJkYXRlLXBhcnRzIjpbWzIwMTRdXX0sInBhZ2UiOiI5NjktOTcxIiwiYWJzdHJhY3QiOiJUb3VyZXR0ZSBzeW5kcm9tZSAoVFMpIGlzIGEgbmV1cm9kZXZlbG9wbWVudGFsIGRpc29yZGVyIGNoYXJhY3RlcmlzZWQgYnkgbXVsdGlwbGUgbW90b3IgYW5kIHBob25pYyB0aWNzLCB3aGljaCBhcmUgYXNzb2NpYXRlZCB3aXRoIHNlbnNvcnkgc3ltcHRvbXMgKHByZW1vbml0b3J5IHVyZ2VzKS4gTGl0dGxlIGlzIGtub3duIGFib3V0IHRoZSBuYXR1cmUgb2YgdGhlIHN1YmplY3RpdmUgdXJnZXMgYW5kIHJlcGV0aXRpdmUgYmVoYXZpb3VycyB3aGljaCBhcmUgaW50cmluc2ljIHRvIFRTLiBUaGlzIHN0dWR5IGFzc2Vzc2VkIHRoZSByZWxhdGlvbnNoaXAgYmV0d2VlbiBzcGVjaWZpYyB1cmdlcyBhbmQgcmVwZXRpdGl2ZSBiZWhhdmlvdXJzIGluIDEwOCBjb25zZWN1dGl2ZSBhZHVsdCBwYXRpZW50cyByZWNydWl0ZWQgYXQgYSBzcGVjaWFsaXN0IFRTIENsaW5pYy4gQW5hbHlzaXMgb2Ygc2VsZi1yZXBvcnQgbWVhc3VyZXMgb2Ygc2Vuc29yeSBzeW1wdG9tcyAoUHJlbW9uaXRvcnkgVXJnZSBmb3IgVGljcyBTY2FsZSkgYW5kIHJlcGV0aXRpdmUgYmVoYXZpb3VycyAoTW90b3IgdGljLCBPYnNlc3Npb25zIGFuZCBjb21wdWxzaW9ucywgVm9jYWwgdGljIEV2YWx1YXRpb24gU3VydmV5KSBzaG93ZWQgdGhhdCBkaWZmZXJlbnQgdHlwZXMgb2YgdXJnZXMgYXJlIGFzc29jaWF0ZWQgd2l0aCBzaW1wbGUvY29tcGxleCB0aWNzIGFuZCBvYnNlc3NpdmUtY29tcHVsc2l2ZSBzeW1wdG9tcy4iLCJpc3N1ZSI6IjYiLCJ2b2x1bWUiOiIzNSIsImNvbnRhaW5lci10aXRsZS1zaG9ydCI6IiJ9LCJpc1RlbXBvcmFyeSI6ZmFsc2V9XX0="/>
                <w:id w:val="1265503646"/>
                <w:placeholder>
                  <w:docPart w:val="DefaultPlaceholder_-1854013440"/>
                </w:placeholder>
              </w:sdtPr>
              <w:sdtContent>
                <w:r w:rsidR="00F04E9F" w:rsidRPr="00F04E9F">
                  <w:rPr>
                    <w:rFonts w:eastAsia="Times New Roman" w:cs="Times New Roman"/>
                    <w:color w:val="000000"/>
                    <w:sz w:val="16"/>
                    <w:szCs w:val="16"/>
                  </w:rPr>
                  <w:t>(24)</w:t>
                </w:r>
              </w:sdtContent>
            </w:sdt>
          </w:p>
        </w:tc>
        <w:tc>
          <w:tcPr>
            <w:tcW w:w="0" w:type="auto"/>
            <w:shd w:val="clear" w:color="auto" w:fill="FFFFFF"/>
            <w:hideMark/>
          </w:tcPr>
          <w:p w14:paraId="0C0A449B"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108 adults with TS</w:t>
            </w:r>
          </w:p>
        </w:tc>
        <w:tc>
          <w:tcPr>
            <w:tcW w:w="0" w:type="auto"/>
            <w:shd w:val="clear" w:color="auto" w:fill="FFFFFF"/>
            <w:hideMark/>
          </w:tcPr>
          <w:p w14:paraId="00F6974C" w14:textId="3D2BAA9A"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Items 1, 3, 4 and 6 of the PUTS correlated with the compulsions subscale of the MOVES (Spearman’s r = 0.305, r = 0.306, r = 0.297, r = 0.341 respectively)</w:t>
            </w:r>
            <w:r w:rsidR="005D05FD">
              <w:rPr>
                <w:rFonts w:cs="Times New Roman"/>
                <w:color w:val="000000" w:themeColor="text1"/>
                <w:sz w:val="16"/>
                <w:szCs w:val="16"/>
              </w:rPr>
              <w:t>,</w:t>
            </w:r>
            <w:r w:rsidRPr="008A1F40">
              <w:rPr>
                <w:rFonts w:cs="Times New Roman"/>
                <w:color w:val="000000" w:themeColor="text1"/>
                <w:sz w:val="16"/>
                <w:szCs w:val="16"/>
              </w:rPr>
              <w:t xml:space="preserve"> and items 2 and 5 correlated with the obsessions and compulsions subscales of the MOVES (</w:t>
            </w:r>
            <w:r w:rsidR="005D05FD">
              <w:rPr>
                <w:rFonts w:cs="Times New Roman"/>
                <w:color w:val="000000" w:themeColor="text1"/>
                <w:sz w:val="16"/>
                <w:szCs w:val="16"/>
              </w:rPr>
              <w:t xml:space="preserve">PUTS item 2 correlations: </w:t>
            </w:r>
            <w:r w:rsidRPr="008A1F40">
              <w:rPr>
                <w:rFonts w:cs="Times New Roman"/>
                <w:color w:val="000000" w:themeColor="text1"/>
                <w:sz w:val="16"/>
                <w:szCs w:val="16"/>
              </w:rPr>
              <w:t>r = 0.371</w:t>
            </w:r>
            <w:r w:rsidR="005D05FD">
              <w:rPr>
                <w:rFonts w:cs="Times New Roman"/>
                <w:color w:val="000000" w:themeColor="text1"/>
                <w:sz w:val="16"/>
                <w:szCs w:val="16"/>
              </w:rPr>
              <w:t xml:space="preserve"> and</w:t>
            </w:r>
            <w:r w:rsidRPr="008A1F40">
              <w:rPr>
                <w:rFonts w:cs="Times New Roman"/>
                <w:color w:val="000000" w:themeColor="text1"/>
                <w:sz w:val="16"/>
                <w:szCs w:val="16"/>
              </w:rPr>
              <w:t xml:space="preserve"> r = 0.312</w:t>
            </w:r>
            <w:r w:rsidR="005D05FD">
              <w:rPr>
                <w:rFonts w:cs="Times New Roman"/>
                <w:color w:val="000000" w:themeColor="text1"/>
                <w:sz w:val="16"/>
                <w:szCs w:val="16"/>
              </w:rPr>
              <w:t>, respectively;</w:t>
            </w:r>
            <w:r w:rsidRPr="008A1F40">
              <w:rPr>
                <w:rFonts w:cs="Times New Roman"/>
                <w:color w:val="000000" w:themeColor="text1"/>
                <w:sz w:val="16"/>
                <w:szCs w:val="16"/>
              </w:rPr>
              <w:t xml:space="preserve"> PUTS item </w:t>
            </w:r>
            <w:r w:rsidR="005D05FD">
              <w:rPr>
                <w:rFonts w:cs="Times New Roman"/>
                <w:color w:val="000000" w:themeColor="text1"/>
                <w:sz w:val="16"/>
                <w:szCs w:val="16"/>
              </w:rPr>
              <w:t>5 correlations:</w:t>
            </w:r>
            <w:r w:rsidRPr="008A1F40">
              <w:rPr>
                <w:rFonts w:cs="Times New Roman"/>
                <w:color w:val="000000" w:themeColor="text1"/>
                <w:sz w:val="16"/>
                <w:szCs w:val="16"/>
              </w:rPr>
              <w:t xml:space="preserve"> r = 0.287</w:t>
            </w:r>
            <w:r w:rsidR="005D05FD">
              <w:rPr>
                <w:rFonts w:cs="Times New Roman"/>
                <w:color w:val="000000" w:themeColor="text1"/>
                <w:sz w:val="16"/>
                <w:szCs w:val="16"/>
              </w:rPr>
              <w:t xml:space="preserve"> and</w:t>
            </w:r>
            <w:r w:rsidRPr="008A1F40">
              <w:rPr>
                <w:rFonts w:cs="Times New Roman"/>
                <w:color w:val="000000" w:themeColor="text1"/>
                <w:sz w:val="16"/>
                <w:szCs w:val="16"/>
              </w:rPr>
              <w:t xml:space="preserve"> r = 0.448</w:t>
            </w:r>
            <w:r w:rsidR="005D05FD">
              <w:rPr>
                <w:rFonts w:cs="Times New Roman"/>
                <w:color w:val="000000" w:themeColor="text1"/>
                <w:sz w:val="16"/>
                <w:szCs w:val="16"/>
              </w:rPr>
              <w:t xml:space="preserve">, </w:t>
            </w:r>
            <w:r w:rsidRPr="008A1F40">
              <w:rPr>
                <w:rFonts w:cs="Times New Roman"/>
                <w:color w:val="000000" w:themeColor="text1"/>
                <w:sz w:val="16"/>
                <w:szCs w:val="16"/>
              </w:rPr>
              <w:t>respectively). Items 5 and 6 of the PUTS also showed significant correlations with Y-BOCS scores (both p = 0.001, these correlation magnitudes were not reported in the publication)</w:t>
            </w:r>
          </w:p>
        </w:tc>
      </w:tr>
      <w:tr w:rsidR="00986E35" w:rsidRPr="008A1F40" w14:paraId="67694DC6" w14:textId="77777777" w:rsidTr="007F77D2">
        <w:trPr>
          <w:tblCellSpacing w:w="15" w:type="dxa"/>
        </w:trPr>
        <w:tc>
          <w:tcPr>
            <w:tcW w:w="0" w:type="auto"/>
            <w:shd w:val="clear" w:color="auto" w:fill="FFFFFF"/>
            <w:hideMark/>
          </w:tcPr>
          <w:p w14:paraId="00601001" w14:textId="6788B1FB"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Brandt et al (2023)</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GU5M2FkM2ItNjI4Yi00NjFlLWI3MGQtOWUzZjlmMmNmMDBhIiwicHJvcGVydGllcyI6eyJub3RlSW5kZXgiOjB9LCJpc0VkaXRlZCI6ZmFsc2UsIm1hbnVhbE92ZXJyaWRlIjp7ImlzTWFudWFsbHlPdmVycmlkZGVuIjpmYWxzZSwiY2l0ZXByb2NUZXh0IjoiKDUyKSIsIm1hbnVhbE92ZXJyaWRlVGV4dCI6IiJ9LCJjaXRhdGlvbkl0ZW1zIjpbeyJpZCI6IjgwMWY2OWY4LWY1ZjQtMzdlMS1iODgyLTNiYzE4MDk0NjE4NiIsIml0ZW1EYXRhIjp7InR5cGUiOiJhcnRpY2xlLWpvdXJuYWwiLCJpZCI6IjgwMWY2OWY4LWY1ZjQtMzdlMS1iODgyLTNiYzE4MDk0NjE4NiIsInRpdGxlIjoiUHJlbW9uaXRvcnkgVXJnZSBhbmQgVGljIFNldmVyaXR5LCBDb21vcmJpZGl0aWVzLCBhbmQgUXVhbGl0eSBvZiBMaWZlIGluIENocm9uaWMgVGljIERpc29yZGVycyIsImdyb3VwSWQiOiIwN2Q2MmFjMS01YWE4LTM5YWYtYjQ5ZS01MmQyMDg4YWM1NzEiLCJhdXRob3IiOlt7ImZhbWlseSI6IkJyYW5kdCIsImdpdmVuIjoiViIsInBhcnNlLW5hbWVzIjpmYWxzZSwiZHJvcHBpbmctcGFydGljbGUiOiIiLCJub24tZHJvcHBpbmctcGFydGljbGUiOiIifSx7ImZhbWlseSI6IkVzc2luZyIsImdpdmVuIjoiSiIsInBhcnNlLW5hbWVzIjpmYWxzZSwiZHJvcHBpbmctcGFydGljbGUiOiIiLCJub24tZHJvcHBpbmctcGFydGljbGUiOiIifSx7ImZhbWlseSI6Ikpha3Vib3Zza2kiLCJnaXZlbiI6IkUiLCJwYXJzZS1uYW1lcyI6ZmFsc2UsImRyb3BwaW5nLXBhcnRpY2xlIjoiIiwibm9uLWRyb3BwaW5nLXBhcnRpY2xlIjoiIn0seyJmYW1pbHkiOiJNw7xsbGVyLVZhaGwiLCJnaXZlbiI6IksiLCJwYXJzZS1uYW1lcyI6ZmFsc2UsImRyb3BwaW5nLXBhcnRpY2xlIjoiIiwibm9uLWRyb3BwaW5nLXBhcnRpY2xlIjoiIn1dLCJjb250YWluZXItdGl0bGUiOiJNb3YgRGlzb3JkIENsaW4gUHJhY3QiLCJET0kiOiIxMC4xMDAyL21kYzMuMTM3NDIiLCJQTUlEIjoiMzczMzI2MzMiLCJpc3N1ZWQiOnsiZGF0ZS1wYXJ0cyI6W1syMDIzXV19LCJwYWdlIjoiOTIyLTkzMiIsImFic3RyYWN0IjoiQkFDS0dST1VORDogVGljcyBhcmUgaW50aW1hdGVseSBhc3NvY2lhdGVkIHdpdGggcHJlbW9uaXRvcnkgdXJnZXMgKFBVKSBidXQga25vd2xlZGdlIGFib3V0IHVyZ2VzIGlzIHN0aWxsIGxpbWl0ZWQsIHdpdGggc21hbGwgc2FtcGxlIHNpemVzIG9mdGVuIGxpbWl0aW5nIHRoZSBnZW5lcmFsaXphYmlsaXR5IG9mIGZpbmRpbmdzLiBPQkpFQ1RJVkVTOiBUaGlzIHN0dWR5IGFkZHJlc3NlZCB0aGUgZm9sbG93aW5nIG9wZW4gcXVlc3Rpb25zOiAoMSkgaXMgdGljIHNldmVyaXR5IGFzc29jaWF0ZWQgd2l0aCB1cmdlIHNldmVyaXR5LCAoMikgaG93IGNvbW1vbiBpcyByZWxpZWYsICgzKSB3aGljaCBjb21vcmJpZGl0aWVzIGFyZSBhc3NvY2lhdGVkIHdpdGggdXJnZXMsICg0KSBhcmUgdXJnZXMsIHRpY3MsIGFuZCBjb21vcmJpZGl0aWVzIGFzc29jaWF0ZWQgd2l0aCBsb3dlciBxdWFsaXR5IG9mIGxpZmUsIGFuZCAoNSkgY2FuIGNvbXBsZXggYW5kIHNpbXBsZSwgbW90b3IgYW5kIHZvY2FsIHRpY3MgYmUgZGlmZmVyZW50aWF0ZWQgYmFzZWQgb24gUFU/IE1FVEhPRFM6IE7igIk94oCJMjkxIHBhdGllbnRzIHdobyByZXBvcnRlZCBhIGNvbmZpcm1lZCBkaWFnbm9zaXMgb2YgY2hyb25pYyBwcmltYXJ5IHRpYyBkaXNvcmRlciAoYWdl4oCJPeKAiTE4LTY1LCAyNCUgZmVtYWxlKSBmaWxsZWQgb3V0IGFuIG9ubGluZSBzdXJ2ZXkgYXNzZXNzaW5nIGRlbW9ncmFwaGljIGRhdGEsIGNvbW9yYmlkIGNvbmRpdGlvbnMsIGxvY2F0aW9uLCBxdWFsaXR5IGFuZCBpbnRlbnNpdHkgb2YgUFUsIGFzIHdlbGwgYXMgcXVhbGl0eSBvZiBsaWZlLiBFdmVyeSB0aWMgd2FzIHJlY29yZGVkLCBhbmQgd2hldGhlciB0aGUgcGF0aWVudCBleHBlcmllbmNlZCBhIFBVLCB0aGUgZnJlcXVlbmN5LCBpbnRlbnNpdHksIGFuZCBxdWFsaXR5IG9mIHRoYXQgdXJnZS4gUkVTVUxUUzogUFUgYW5kIHRpYyBzZXZlcml0eSB3ZXJlIHNpZ25pZmljYW50bHkgYXNzb2NpYXRlZCwgYW5kIDg1JSBvZiB1cmdlLXJlbGF0ZWQgdGljcyB3ZXJlIGZvbGxvd2VkIGJ5IHJlbGllZi4gQSBkaWFnbm9zaXMgb2YgYXR0ZW50aW9uIGRlZmljaXQvaHlwZXJhY3Rpdml0eSBkaXNvcmRlciAoQURIRCkgb3IgZGVwcmVzc2lvbiwgZmVtYWxlIGdlbmRlciwgYW5kIG9sZGVyIGFnZSBpbmNyZWFzZWQgdGhlIGxpa2VsaWhvb2Qgb2YgZXhwZXJpZW5jaW5nIFBVLCB3aGlsZSBtb3JlIG9ic2Vzc2l2ZSBjb21wdWxzaXZlIChPQ0QpIHN5bXB0b21zIGFuZCB5b3VuZ2VyIGFnZSB3ZXJlIGFzc29jaWF0ZWQgd2l0aCBoaWdoZXIgdXJnZSBpbnRlbnNpdGllcy4gUFUsIGNvbXBsZXggdm9jYWwgdGljcywgQURIRCwgT0NELCBhbnhpZXR5LCBhbmQgZGVwcmVzc2lvbiB3ZXJlIHJlbGF0ZWQgdG8gbG93ZXIgcXVhbGl0eSBvZiBsaWZlLiBNb3RvciBhbmQgdm9jYWwsIGNvbXBsZXggYW5kIHNpbXBsZSB0aWNzIGRpZCBub3QgZGlmZmVyIHJlZ2FyZGluZyBQVSBpbnRlbnNpdHksIGZyZXF1ZW5jeSwgYW5kIHF1YWxpdHksIG9yIHJlbGllZi4gQ09OQ0xVU0lPTlM6IFRoZSByZXN1bHRzIHNoZWQgbGlnaHQgb24gdGhlIHJlbGF0aW9uc2hpcCBiZXR3ZWVuIFBVLCB0aWNzLCBjb21vcmJpZGl0aWVzLCBhZ2UsIGdlbmRlciwgYW5kIHF1YWxpdHkgb2YgbGlmZSBpbiB0aWMgZGlzb3JkZXJzLiIsImlzc3VlIjoiNiIsInZvbHVtZSI6IjEwIiwiY29udGFpbmVyLXRpdGxlLXNob3J0IjoiIn0sImlzVGVtcG9yYXJ5IjpmYWxzZX1dfQ=="/>
                <w:id w:val="1711067728"/>
                <w:placeholder>
                  <w:docPart w:val="DefaultPlaceholder_-1854013440"/>
                </w:placeholder>
              </w:sdtPr>
              <w:sdtContent>
                <w:r w:rsidR="00F04E9F" w:rsidRPr="00F04E9F">
                  <w:rPr>
                    <w:rFonts w:eastAsia="Times New Roman" w:cs="Times New Roman"/>
                    <w:color w:val="000000"/>
                    <w:sz w:val="16"/>
                    <w:szCs w:val="16"/>
                  </w:rPr>
                  <w:t>(52)</w:t>
                </w:r>
              </w:sdtContent>
            </w:sdt>
          </w:p>
        </w:tc>
        <w:tc>
          <w:tcPr>
            <w:tcW w:w="0" w:type="auto"/>
            <w:shd w:val="clear" w:color="auto" w:fill="FFFFFF"/>
            <w:hideMark/>
          </w:tcPr>
          <w:p w14:paraId="00529BA5"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291 adults with CTDs</w:t>
            </w:r>
          </w:p>
        </w:tc>
        <w:tc>
          <w:tcPr>
            <w:tcW w:w="0" w:type="auto"/>
            <w:shd w:val="clear" w:color="auto" w:fill="FFFFFF"/>
            <w:hideMark/>
          </w:tcPr>
          <w:p w14:paraId="7C29B748" w14:textId="77777777" w:rsidR="00986E35" w:rsidRPr="008A1F40" w:rsidRDefault="00986E35" w:rsidP="007F77D2">
            <w:pPr>
              <w:rPr>
                <w:rFonts w:cs="Times New Roman"/>
                <w:color w:val="000000" w:themeColor="text1"/>
                <w:sz w:val="16"/>
                <w:szCs w:val="16"/>
                <w:shd w:val="clear" w:color="auto" w:fill="FFFFFF"/>
              </w:rPr>
            </w:pPr>
            <w:r w:rsidRPr="008A1F40">
              <w:rPr>
                <w:rFonts w:eastAsia="Times New Roman" w:cs="Times New Roman"/>
                <w:color w:val="0D0D0D"/>
                <w:sz w:val="16"/>
                <w:szCs w:val="16"/>
              </w:rPr>
              <w:t xml:space="preserve">Greater OCI-R scores associated with greater urge intensity as assessed on a 1–11-point scale (β = 0.22, p = 0.017) in a linear regression with </w:t>
            </w:r>
            <w:r w:rsidRPr="008A1F40">
              <w:rPr>
                <w:rFonts w:cs="Times New Roman"/>
                <w:color w:val="000000" w:themeColor="text1"/>
                <w:sz w:val="16"/>
                <w:szCs w:val="16"/>
                <w:shd w:val="clear" w:color="auto" w:fill="FFFFFF"/>
              </w:rPr>
              <w:t>age, gender, and other scales assessing symptoms for comorbid disorders as covariates</w:t>
            </w:r>
          </w:p>
        </w:tc>
      </w:tr>
      <w:tr w:rsidR="00986E35" w:rsidRPr="008A1F40" w14:paraId="4879B910" w14:textId="77777777" w:rsidTr="007F77D2">
        <w:trPr>
          <w:tblCellSpacing w:w="15" w:type="dxa"/>
        </w:trPr>
        <w:tc>
          <w:tcPr>
            <w:tcW w:w="0" w:type="auto"/>
            <w:shd w:val="clear" w:color="auto" w:fill="FFFFFF"/>
          </w:tcPr>
          <w:p w14:paraId="4DD994CC" w14:textId="34BDDE4A"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lastRenderedPageBreak/>
              <w:t>Brandt et al (2023)</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jQwNDE2MmQtMDRmOC00MTE5LTk5MDktMmNlZTQ1NTIxOTAzIiwicHJvcGVydGllcyI6eyJub3RlSW5kZXgiOjB9LCJpc0VkaXRlZCI6ZmFsc2UsIm1hbnVhbE92ZXJyaWRlIjp7ImlzTWFudWFsbHlPdmVycmlkZGVuIjpmYWxzZSwiY2l0ZXByb2NUZXh0IjoiKDQwKSIsIm1hbnVhbE92ZXJyaWRlVGV4dCI6IiJ9LCJjaXRhdGlvbkl0ZW1zIjpbeyJpZCI6IjliMzhmZmQ3LTc1NjAtMzcwNS1hOWY0LTUyOWNiYWI2NTQ2ZiIsIml0ZW1EYXRhIjp7InR5cGUiOiJhcnRpY2xlLWpvdXJuYWwiLCJpZCI6IjliMzhmZmQ3LTc1NjAtMzcwNS1hOWY0LTUyOWNiYWI2NTQ2ZiIsInRpdGxlIjoiTm9uLWp1c3QtcmlnaHQgZXhwZXJpZW5jZXMgYXJlIG1vcmUgY2xvc2VseSByZWxhdGVkIHRvIE9DRCB0aGFuIHRpY3MgaW4gVG91cmV0dGUgcGF0aWVudHMiLCJncm91cElkIjoiMDdkNjJhYzEtNWFhOC0zOWFmLWI0OWUtNTJkMjA4OGFjNTcxIiwiYXV0aG9yIjpbeyJmYW1pbHkiOiJCcmFuZHQiLCJnaXZlbiI6IlYiLCJwYXJzZS1uYW1lcyI6ZmFsc2UsImRyb3BwaW5nLXBhcnRpY2xlIjoiIiwibm9uLWRyb3BwaW5nLXBhcnRpY2xlIjoiIn0seyJmYW1pbHkiOiJPdHRlIiwiZ2l2ZW4iOiJKIEgiLCJwYXJzZS1uYW1lcyI6ZmFsc2UsImRyb3BwaW5nLXBhcnRpY2xlIjoiIiwibm9uLWRyb3BwaW5nLXBhcnRpY2xlIjoiIn0seyJmYW1pbHkiOiJGcmVtZXIiLCJnaXZlbiI6IkMiLCJwYXJzZS1uYW1lcyI6ZmFsc2UsImRyb3BwaW5nLXBhcnRpY2xlIjoiIiwibm9uLWRyb3BwaW5nLXBhcnRpY2xlIjoiIn0seyJmYW1pbHkiOiJKYWt1Ym92c2tpIiwiZ2l2ZW4iOiJFIiwicGFyc2UtbmFtZXMiOmZhbHNlLCJkcm9wcGluZy1wYXJ0aWNsZSI6IiIsIm5vbi1kcm9wcGluZy1wYXJ0aWNsZSI6IiJ9LHsiZmFtaWx5IjoiTcO8bGxlci1WYWhsIiwiZ2l2ZW4iOiJLIiwicGFyc2UtbmFtZXMiOmZhbHNlLCJkcm9wcGluZy1wYXJ0aWNsZSI6IiIsIm5vbi1kcm9wcGluZy1wYXJ0aWNsZSI6IiJ9XSwiY29udGFpbmVyLXRpdGxlIjoiU2NpIFJlcCIsIkRPSSI6IjEwLjEwMzgvczQxNTk4LTAyMy0zNzY1OC0wIiwiUE1JRCI6IjM3OTQ5OTMzIiwiaXNzdWVkIjp7ImRhdGUtcGFydHMiOltbMjAyM11dfSwicGFnZSI6IjE5NjI3IiwiYWJzdHJhY3QiOiJDb21wbGV4IHRpY3MgYW5kIG9ic2Vzc2l2ZSBvciBjb21wdWxzaXZlIGJlaGF2aW91ciBjYW4gYmUgZGlmZmljdWx0IHRvIGRpZmZlcmVudGlhdGUgZGlhZ25vc3RpY2FsbHkuIFRoZSBtYWpvcml0eSBvZiBhZHVsdCBwYXRpZW50cyB3aXRoIFRvdXJldHRlIHN5bmRyb21lIHJlcG9ydCBleHBlcmllbmNpbmcgcHJlbW9uaXRvcnkgdXJnZXMgYmVmb3JlIHRpY3MuIFNvbWUgb2YgdGhlc2UgZXhwZXJpZW5jZXMgaGF2ZSBiZWVuIGxpbmtlZCB0byBub24tanVzdC1yaWdodCBleHBlcmllbmNlcyAoTkpSRSksIHdoaWNoIGFyZSBmcmVxdWVudGx5IHJlcG9ydGVkIGJ5IHBhdGllbnRzIHdpdGggb2JzZXNzaXZlLWNvbXB1bHNpdmUgZGlzb3JkZXIgb3IgYmVoYXZpb3VycyAoT0NEL09DQikuIFdlIGFpbWVkIHRvIGFzc2VzcyB3aGV0aGVyIE5KUkUgYXJlIG1vcmUgY2xvc2VseSByZWxhdGVkIHRvIHRpY3MgYW5kIHRpYy1hc3NvY2lhdGVkIHByZW1vbml0b3J5IHVyZ2VzIG9yIHdoZXRoZXIgdGhleSBhcmUgbW9yZSBjbG9zZWx5IGFzc29jaWF0ZWQgd2l0aCBPQ0QuIEEgdG90YWwgb2YgTuKAiT3igIkxMTEgcGF0aWVudHMgKG1lYW4gYWdl4oCJPeKAiTM0Ljc34oCJK+KAiS8tMTIuOTM7IE7igIk94oCJMzcgZmVtYWxlKSB3aXRoIGEgY29uZmlybWVkIGRpYWdub3NpcyBvZiBUb3VyZXR0ZSBzeW5kcm9tZSBjb21wbGV0ZWQgdGhlIHByZW1vbml0b3J5IHVyZ2VzIGZvciB0aWMgZGlzb3JkZXJzIHNjYWxlIChQVVRTKSwgdGhlIHJldmlzZWQgbm9uLWp1c3QtcmlnaHQgZXhwZXJpZW5jZXMgc2NhbGUgKE5KUkUtUVIpLCBhbmQgcXVlc3Rpb25uYWlyZXMgcmVnYXJkaW5nIHRoZWlyIHRpYyBzZXZlcml0eSwgYW5kIGNvbW9yYmlkIE9DRC9PQ0IuIEEgbXVsdGktdHJhaXQtbXVsdGktbWV0aG9kcyBtYXRyaXggd2FzIGNhbGN1bGF0ZWQgdG8gZXhhbWluZSBhc3NvY2lhdGlvbnMgYW1vbmdzdCBzY2FsZXMgbWVhc3VyaW5nIHRpYy1yZWxhdGVkIGFuZCBPQ0ItcmVsYXRlZCBwaGVub21lbmEuIFRoZSBQVVRTIGNvcnJlbGF0ZWQgb3ZlcmFsbCBoaWdoZXIgd2l0aCB0aWMgcXVlc3Rpb25uYWlyZXMgdGhhbiB3aXRoIE9DRC9PQ0IgcXVlc3Rpb25uYWlyZXMuIFRoZSBOSlJFIGNvcnJlbGF0ZWQgaGlnaGVyIHdpdGggT0NEIHN5bXB0b21zIHRoYW4gd2l0aCB0aWMgc2V2ZXJpdHkuIFRoZSByZXN1bHRzIGluZGljYXRlIHRoYXQgbm9uLWp1c3QtcmlnaHQgZXhwZXJpZW5jZXMgYXJlIG1vcmUgY2xvc2VseSBhc3NvY2lhdGVkIHdpdGggY29tb3JiaWQgT0NCIHRoYW4gd2l0aCB0aWNzIGluIHBhdGllbnRzIHdpdGggVG91cmV0dGUgc3luZHJvbWUuIiwiaXNzdWUiOiIxIiwidm9sdW1lIjoiMTMiLCJjb250YWluZXItdGl0bGUtc2hvcnQiOiIifSwiaXNUZW1wb3JhcnkiOmZhbHNlfV19"/>
                <w:id w:val="202294285"/>
                <w:placeholder>
                  <w:docPart w:val="DefaultPlaceholder_-1854013440"/>
                </w:placeholder>
              </w:sdtPr>
              <w:sdtContent>
                <w:r w:rsidR="00F04E9F" w:rsidRPr="00F04E9F">
                  <w:rPr>
                    <w:rFonts w:eastAsia="Times New Roman" w:cs="Times New Roman"/>
                    <w:color w:val="000000"/>
                    <w:sz w:val="16"/>
                    <w:szCs w:val="16"/>
                  </w:rPr>
                  <w:t>(40)</w:t>
                </w:r>
              </w:sdtContent>
            </w:sdt>
          </w:p>
        </w:tc>
        <w:tc>
          <w:tcPr>
            <w:tcW w:w="0" w:type="auto"/>
            <w:shd w:val="clear" w:color="auto" w:fill="FFFFFF"/>
          </w:tcPr>
          <w:p w14:paraId="2F2E373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111 adults with TS</w:t>
            </w:r>
          </w:p>
        </w:tc>
        <w:tc>
          <w:tcPr>
            <w:tcW w:w="0" w:type="auto"/>
            <w:shd w:val="clear" w:color="auto" w:fill="FFFFFF"/>
          </w:tcPr>
          <w:p w14:paraId="1B09226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Significant correlations between PUTS scores and Y-BOCS scores </w:t>
            </w:r>
            <w:r w:rsidRPr="008A1F40">
              <w:rPr>
                <w:rFonts w:cs="Times New Roman"/>
                <w:color w:val="000000" w:themeColor="text1"/>
                <w:sz w:val="16"/>
                <w:szCs w:val="16"/>
                <w:shd w:val="clear" w:color="auto" w:fill="FFFFFF"/>
              </w:rPr>
              <w:t>(Spearman’s r = 0.34, p &lt; 0.001)</w:t>
            </w:r>
            <w:r w:rsidRPr="008A1F40">
              <w:rPr>
                <w:rFonts w:eastAsia="Times New Roman" w:cs="Times New Roman"/>
                <w:color w:val="0D0D0D"/>
                <w:sz w:val="16"/>
                <w:szCs w:val="16"/>
              </w:rPr>
              <w:t xml:space="preserve">, and OC-TCDQ scores </w:t>
            </w:r>
            <w:r w:rsidRPr="008A1F40">
              <w:rPr>
                <w:rFonts w:cs="Times New Roman"/>
                <w:color w:val="000000" w:themeColor="text1"/>
                <w:sz w:val="16"/>
                <w:szCs w:val="16"/>
                <w:shd w:val="clear" w:color="auto" w:fill="FFFFFF"/>
              </w:rPr>
              <w:t>(Spearman’s r = 0.35, p &lt; 0.001)</w:t>
            </w:r>
          </w:p>
        </w:tc>
      </w:tr>
      <w:tr w:rsidR="00986E35" w:rsidRPr="008A1F40" w14:paraId="7E67016B" w14:textId="77777777" w:rsidTr="007F77D2">
        <w:trPr>
          <w:tblCellSpacing w:w="15" w:type="dxa"/>
        </w:trPr>
        <w:tc>
          <w:tcPr>
            <w:tcW w:w="0" w:type="auto"/>
            <w:shd w:val="clear" w:color="auto" w:fill="FFFFFF"/>
            <w:hideMark/>
          </w:tcPr>
          <w:p w14:paraId="00BD6705" w14:textId="0FD474EB"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Isaacs et al (2021)</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jJjY2Y3ZGYtMzdjMy00NWE0LThmNGUtYTUzNGRjNDc1Y2NlIiwicHJvcGVydGllcyI6eyJub3RlSW5kZXgiOjB9LCJpc0VkaXRlZCI6ZmFsc2UsIm1hbnVhbE92ZXJyaWRlIjp7ImlzTWFudWFsbHlPdmVycmlkZGVuIjpmYWxzZSwiY2l0ZXByb2NUZXh0IjoiKDMxKSIsIm1hbnVhbE92ZXJyaWRlVGV4dCI6IiJ9LCJjaXRhdGlvbkl0ZW1zIjpbeyJpZCI6ImIwMGNmYjcwLWQ4ZTItM2U4Yi1hZmQxLWRmZjAyYjRkMDEwMCIsIml0ZW1EYXRhIjp7InR5cGUiOiJhcnRpY2xlLWpvdXJuYWwiLCJpZCI6ImIwMGNmYjcwLWQ4ZTItM2U4Yi1hZmQxLWRmZjAyYjRkMDEwMCIsInRpdGxlIjoiQ2xpbmljYWwgQ29ycmVsYXRlcyBvZiBIZWFsdGgtUmVsYXRlZCBRdWFsaXR5IG9mIExpZmUgaW4gQWR1bHRzIFdpdGggQ2hyb25pYyBUaWMgRGlzb3JkZXIiLCJncm91cElkIjoiMDdkNjJhYzEtNWFhOC0zOWFmLWI0OWUtNTJkMjA4OGFjNTcxIiwiYXV0aG9yIjpbeyJmYW1pbHkiOiJJc2FhY3MiLCJnaXZlbiI6IkQgQSIsInBhcnNlLW5hbWVzIjpmYWxzZSwiZHJvcHBpbmctcGFydGljbGUiOiIiLCJub24tZHJvcHBpbmctcGFydGljbGUiOiIifSx7ImZhbWlseSI6IlJpb3JkYW4iLCJnaXZlbiI6IkggUiIsInBhcnNlLW5hbWVzIjpmYWxzZSwiZHJvcHBpbmctcGFydGljbGUiOiIiLCJub24tZHJvcHBpbmctcGFydGljbGUiOiIifSx7ImZhbWlseSI6IkNsYWFzc2VuIiwiZ2l2ZW4iOiJEIE8iLCJwYXJzZS1uYW1lcyI6ZmFsc2UsImRyb3BwaW5nLXBhcnRpY2xlIjoiIiwibm9uLWRyb3BwaW5nLXBhcnRpY2xlIjoiIn1dLCJjb250YWluZXItdGl0bGUiOiJGcm9udGllcnMgaW4gUHN5Y2hpYXRyeSIsIkRPSSI6Imh0dHBzOi8vZHguZG9pLm9yZy8xMC4zMzg5L2Zwc3l0LjIwMjEuNjE5ODU0IiwiVVJMIjoiaHR0cDovL3d3dy5mcm9udGllcnNpbi5vcmcvUHN5Y2hpYXRyeWh0dHA6Ly9vdmlkc3Aub3ZpZC5jb20vb3ZpZHdlYi5jZ2k/VD1KUyZQQUdFPXJlZmVyZW5jZSZEPWVtZWQyMiZORVdTPU4mQU49NjM0NTY3MTM2IiwiaXNzdWVkIjp7ImRhdGUtcGFydHMiOltbMjAyMV1dfSwicGFnZSI6IjYxOTg1NCIsImFic3RyYWN0IjoiVGljcyBhcmUgdGhlIGhhbGxtYXJrIGZlYXR1cmUgb2YgVG91cmV0dGUgc3luZHJvbWUgKFRTKSwgYnV0IHBzeWNoaWF0cmljIGFuZCBzZW5zb3J5IHN5bXB0b21zIGFyZSB3aWRlbHkgcHJldmFsZW50IGFuZCBpbmNyZWFzaW5nbHkgcmVjb2duaXplZCBhcyBjb3JlIG1hbmlmZXN0YXRpb25zIG9mIHRoZSBkaXNvcmRlci4gQWNjdW11bGF0aW5nIGV2aWRlbmNlIHN1Z2dlc3RzIHRoYXQgdGhlc2UgcHN5Y2hpYXRyaWMgYW5kIHNlbnNvcnkgc3ltcHRvbXMgZXhlcnQgZ3JlYXRlciBpbmZsdWVuY2Ugb24gcXVhbGl0eSBvZiBsaWZlIChRT0wpIHRoYW4gdGljcyB0aGVtc2VsdmVzLiBIb3dldmVyLCBtdWNoIHJlbWFpbnMgdW5jZXJ0YWluIGFib3V0IGRldGVybWluYW50cyBvZiBRT0wgaW4gVFMgZHVlIHRvIHRoZSBjb21wbGV4aXR5IG9mIHRoZSBjbGluaWNhbCBwcmVzZW50YXRpb24uIEhlcmUsIHdlIHNvdWdodCB0byBjbGFyaWZ5IHRoZSBhc3NvY2lhdGlvbiBiZXR3ZWVuIGhlYWx0aC1yZWxhdGVkIFFPTCAoSFJRT0wpIGFuZCBjb21tb24gcHN5Y2hpYXRyaWMgYW5kIHNlbnNvcnkgc3ltcHRvbXMgaW4gYWR1bHRzIHdpdGggVFMgYW5kIG90aGVyIGNocm9uaWMgdGljIGRpc29yZGVycy4gVG8gZG8gc28sIHdlIHByb3NwZWN0aXZlbHkgcmVjcnVpdGVkIDUyIHBhdGllbnRzIGZyb20gYSB0ZXJ0aWFyeSBjYXJlIGNsaW5pYyB0byBjb21wbGV0ZSBzZWxmLXJlcG9ydCBtZWFzdXJlcyBhc3Nlc3NpbmcgSFJRT0wgKEdpbGxlcyBkZSBsYSBUb3VyZXR0ZS1RdWFsaXR5IG9mIExpZmUgU2NhbGUsIEdUUy1RT0wpLCBkZXByZXNzaW9uIChQYXRpZW50IEhlYWx0aCBRdWVzdGlvbm5haXJlLTksIFBIUS05KSwgYW54aWV0eSAoR2VuZXJhbGl6ZWQgQW54aWV0eSBEaXNvcmRlciBTY2FsZS03LCBHQUQtNyksIG9ic2Vzc2l2ZS1jb21wdWxzaXZlIHN5bXB0b21zIChEaW1lbnNpb25hbCBPYnNlc3NpdmUtQ29tcHVsc2l2ZSBTY2FsZSwgRE9DUyksIGF0dGVudGlvbiBkZWZpY2l0IGh5cGVyYWN0aXZpdHkgZGlzb3JkZXIgc3ltcHRvbXMgKEFkdWx0IEFESEQgU2VsZi1SZXBvcnQgU2NyZWVuaW5nIFNjYWxlIGZvciBEU00tNSwgQVNSUy1WKSwgYW5kIHByZW1vbml0b3J5IHVyZ2UgKFByZW1vbml0b3J5IFVyZ2UgdG8gVGljIFNjYWxlLCBQVVRTKS4gQWxsIHBhcnRpY2lwYW50cyB3ZXJlIGFsc28gYWRtaW5pc3RlcmVkIHRoZSBZYWxlIEdsb2JhbCBUaWMgU2V2ZXJpdHkgU2NhbGUgKFlHVFNTKSB0byBxdWFudGlmeSB0aWMgc2V2ZXJpdHkuIFVzaW5nIGNvcnJlbGF0aW9uYWwgYW5hbHlzaXMgYW5kIG11bHRpdmFyaWFibGUgbGluZWFyIHJlZ3Jlc3Npb24gbW9kZWxpbmcsIHdlIGZvdW5kIHRoYXQgR1RTLVFPTCBzY29yZSB3YXMgc2lnbmlmaWNhbnRseSBhc3NvY2lhdGVkIHdpdGggc2NvcmVzIGZyb20gYWxsIG90aGVyIHJhdGluZyBzY2FsZXMsIHdpdGggdGhlIGV4Y2VwdGlvbiBvZiB0aGUgUFVUUy4gR1RTLVFPTCB3YXMgbW9zdCBzdHJvbmdseSBhc3NvY2lhdGVkIHdpdGggUEhRLTksIGZvbGxvd2VkIGJ5IEFTUlMtViwgR0FELTcsIERPQ1MsIGFuZCBZR1RTUyB0b3RhbCB0aWMgc2NvcmUuIFRoZSByZWdyZXNzaW9uIG1vZGVsIGluY2x1ZGluZyB0aGVzZSBmaXZlIGluZGVwZW5kZW50IHZhcmlhYmxlcywgYXMgd2VsbCBhcyBzZXgsIGV4cGxhaW5lZCA3OSUgb2YgR1RTLVFPTCBzY29yZSB2YXJpYW5jZSBbRig2LDQwKSA9IDI5LjYsIHAgPCAwLjAwMV0uIFNwZWNpZmljIHBzeWNoaWF0cmljIHN5bXB0b21zIGRpZmZlcmVudGlhbGx5IGltcGFjdGVkIHBoeXNpY2FsLCBwc3ljaG9sb2dpY2FsLCBhbmQgY29nbml0aXZlIEhSUU9MLiBTeXN0ZW1hdGljIGFzc2Vzc21lbnQgb2YgcHN5Y2hpYXRyaWMgY29tb3JiaWRpdGllcyBpcyBpbXBlcmF0aXZlIGZvciBjbGluaWNhbCBjYXJlIGFuZCBjbGluaWNhbCByZXNlYXJjaCBlZmZvcnRzIGRpcmVjdGVkIGF0IGltcHJvdmluZyBRT0wgaW4gYWR1bHRzIHdpdGggY2hyb25pYyB0aWMgZGlzb3JkZXJzLsKpIENvcHlyaWdodCDCqSAyMDIxIElzYWFjcywgUmlvcmRhbiBhbmQgQ2xhYXNzZW4uIiwidm9sdW1lIjoiMTIiLCJjb250YWluZXItdGl0bGUtc2hvcnQiOiJGcm9udCBQc3ljaGlhdHJ5In0sImlzVGVtcG9yYXJ5IjpmYWxzZX1dfQ=="/>
                <w:id w:val="-168404653"/>
                <w:placeholder>
                  <w:docPart w:val="DefaultPlaceholder_-1854013440"/>
                </w:placeholder>
              </w:sdtPr>
              <w:sdtContent>
                <w:r w:rsidR="00F04E9F" w:rsidRPr="00F04E9F">
                  <w:rPr>
                    <w:rFonts w:eastAsia="Times New Roman" w:cs="Times New Roman"/>
                    <w:color w:val="000000"/>
                    <w:sz w:val="16"/>
                    <w:szCs w:val="16"/>
                  </w:rPr>
                  <w:t>(31)</w:t>
                </w:r>
              </w:sdtContent>
            </w:sdt>
          </w:p>
        </w:tc>
        <w:tc>
          <w:tcPr>
            <w:tcW w:w="0" w:type="auto"/>
            <w:shd w:val="clear" w:color="auto" w:fill="FFFFFF"/>
            <w:hideMark/>
          </w:tcPr>
          <w:p w14:paraId="7D25D3E0"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52 adults with CTDs</w:t>
            </w:r>
          </w:p>
        </w:tc>
        <w:tc>
          <w:tcPr>
            <w:tcW w:w="0" w:type="auto"/>
            <w:shd w:val="clear" w:color="auto" w:fill="FFFFFF"/>
            <w:hideMark/>
          </w:tcPr>
          <w:p w14:paraId="2F3E26E6"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Non-significant correlation between PUTS scores and DOCS scores after correcting for multiple comparisons (Spearman’s r = 0.36)</w:t>
            </w:r>
          </w:p>
        </w:tc>
      </w:tr>
      <w:tr w:rsidR="00986E35" w:rsidRPr="008A1F40" w14:paraId="0BF60F8F" w14:textId="77777777" w:rsidTr="007F77D2">
        <w:trPr>
          <w:tblCellSpacing w:w="15" w:type="dxa"/>
        </w:trPr>
        <w:tc>
          <w:tcPr>
            <w:tcW w:w="0" w:type="auto"/>
            <w:shd w:val="clear" w:color="auto" w:fill="FFFFFF"/>
            <w:hideMark/>
          </w:tcPr>
          <w:p w14:paraId="50AE6B18" w14:textId="746E246B"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Ganos et al (2015)</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GVhYjk1YTctZDFmMC00ZGYwLTlkY2ItNWY4MmFmYWNhZDQ2IiwicHJvcGVydGllcyI6eyJub3RlSW5kZXgiOjB9LCJpc0VkaXRlZCI6ZmFsc2UsIm1hbnVhbE92ZXJyaWRlIjp7ImlzTWFudWFsbHlPdmVycmlkZGVuIjpmYWxzZSwiY2l0ZXByb2NUZXh0IjoiKDM1KSIsIm1hbnVhbE92ZXJyaWRlVGV4dCI6IiJ9LCJjaXRhdGlvbkl0ZW1zIjpbeyJpZCI6ImQyNzdlNjY2LTA3NzYtM2JhNS1hOTYyLThhMDdiN2JiYTAxOSIsIml0ZW1EYXRhIjp7InR5cGUiOiJhcnRpY2xlLWpvdXJuYWwiLCJpZCI6ImQyNzdlNjY2LTA3NzYtM2JhNS1hOTYyLThhMDdiN2JiYTAxOSIsInRpdGxlIjoiUHJlbW9uaXRvcnkgdXJnZSB0byB0aWMgaW4gVG91cmV0dGUncyBpcyBhc3NvY2lhdGVkIHdpdGggaW50ZXJvY2VwdGl2ZSBhd2FyZW5lc3MiLCJncm91cElkIjoiMDdkNjJhYzEtNWFhOC0zOWFmLWI0OWUtNTJkMjA4OGFjNTcxIiwiYXV0aG9yIjpbeyJmYW1pbHkiOiJHYW5vcyIsImdpdmVuIjoiQyIsInBhcnNlLW5hbWVzIjpmYWxzZSwiZHJvcHBpbmctcGFydGljbGUiOiIiLCJub24tZHJvcHBpbmctcGFydGljbGUiOiIifSx7ImZhbWlseSI6IkdhcnJpZG8iLCJnaXZlbiI6IkEiLCJwYXJzZS1uYW1lcyI6ZmFsc2UsImRyb3BwaW5nLXBhcnRpY2xlIjoiIiwibm9uLWRyb3BwaW5nLXBhcnRpY2xlIjoiIn0seyJmYW1pbHkiOiJOYXZhbHBvdHJvLUfDs21leiIsImdpdmVuIjoiSSIsInBhcnNlLW5hbWVzIjpmYWxzZSwiZHJvcHBpbmctcGFydGljbGUiOiIiLCJub24tZHJvcHBpbmctcGFydGljbGUiOiIifSx7ImZhbWlseSI6IlJpY2NpYXJkaSIsImdpdmVuIjoiTCIsInBhcnNlLW5hbWVzIjpmYWxzZSwiZHJvcHBpbmctcGFydGljbGUiOiIiLCJub24tZHJvcHBpbmctcGFydGljbGUiOiIifSx7ImZhbWlseSI6Ik1hcnRpbm8iLCJnaXZlbiI6IkQiLCJwYXJzZS1uYW1lcyI6ZmFsc2UsImRyb3BwaW5nLXBhcnRpY2xlIjoiIiwibm9uLWRyb3BwaW5nLXBhcnRpY2xlIjoiIn0seyJmYW1pbHkiOiJFZHdhcmRzIiwiZ2l2ZW4iOiJNIEoiLCJwYXJzZS1uYW1lcyI6ZmFsc2UsImRyb3BwaW5nLXBhcnRpY2xlIjoiIiwibm9uLWRyb3BwaW5nLXBhcnRpY2xlIjoiIn0seyJmYW1pbHkiOiJUc2FraXJpcyIsImdpdmVuIjoiTSIsInBhcnNlLW5hbWVzIjpmYWxzZSwiZHJvcHBpbmctcGFydGljbGUiOiIiLCJub24tZHJvcHBpbmctcGFydGljbGUiOiIifSx7ImZhbWlseSI6IkhhZ2dhcmQiLCJnaXZlbiI6IlAiLCJwYXJzZS1uYW1lcyI6ZmFsc2UsImRyb3BwaW5nLXBhcnRpY2xlIjoiIiwibm9uLWRyb3BwaW5nLXBhcnRpY2xlIjoiIn0seyJmYW1pbHkiOiJCaGF0aWEiLCJnaXZlbiI6IksgUCIsInBhcnNlLW5hbWVzIjpmYWxzZSwiZHJvcHBpbmctcGFydGljbGUiOiIiLCJub24tZHJvcHBpbmctcGFydGljbGUiOiIifV0sImNvbnRhaW5lci10aXRsZSI6Ik1vdiBEaXNvcmQiLCJET0kiOiIxMC4xMDAyL21kcy4yNjIyOCIsIlBNSUQiOiIyNTg3OTgxOSIsIlVSTCI6Imh0dHBzOi8vbW92ZW1lbnRkaXNvcmRlcnMtb25saW5lbGlicmFyeS13aWxleS1jb20ucHJveHkubGlicmFyeS52YW5kZXJiaWx0LmVkdS9kb2kvZnVsbC8xMC4xMDAyL21kcy4yNjIyOCIsImlzc3VlZCI6eyJkYXRlLXBhcnRzIjpbWzIwMTVdXX0sInBhZ2UiOiIxMTk4LTEyMDIiLCJhYnN0cmFjdCI6IkJBQ0tHUk9VTkQ6IEEgY29udHJpYnV0aW9uIG9mIGFiZXJyYW50IGludGVyb2NlcHRpdmUgYXdhcmVuZXNzIHRvIHRoZSBwZXJjZXB0aW9uIG9mIHByZW1vbml0b3J5IHVyZ2VzIGluIEdpbGxlcyBkZSBsYSBUb3VyZXR0ZSBzeW5kcm9tZSAoR1RTKSBoYXMgYmVlbiBoeXBvdGhlc2l6ZWQuIE1FVEhPRFM6IFdlIGFzc2Vzc2VkIGludGVyb2NlcHRpdmUgYXdhcmVuZXNzIGluIDE5IGFkdWx0cyB3aXRoIEdUUyBhbmQgMjUgYWdlLW1hdGNoZWQgaGVhbHRoeSBjb250cm9scyB1c2luZyB0aGUgaGVhcnRiZWF0IGNvdW50aW5nIHRhc2suIFdlIGFsc28gdXNlZCBtdWx0aXBsZSByZWdyZXNzaW9uIHRvIGV4cGxvcmUgd2hldGhlciB0aGUgc2V2ZXJpdHkgb2YgcHJlbW9uaXRvcnkgdXJnZXMgd2FzIHByZWRpY3RlZCBieSBpbnRlcm9jZXB0aXZlIGF3YXJlbmVzcyBvciBzZXZlcml0eSBvZiB0aWNzIGFuZCBvYnNlc3NpdmUtY29tcHVsc2l2ZSBzeW1wdG9tcy4gUkVTVUxUUzogV2Ugb2JzZXJ2ZWQgbG93ZXIgaW50ZXJvY2VwdGl2ZSBhd2FyZW5lc3MgaW4gR1RTIGNvbXBhcmVkIHdpdGggY29udHJvbHMuIEludGVyb2NlcHRpdmUgYXdhcmVuZXNzIHdhcyB0aGUgc3Ryb25nZXN0IHByZWRpY3RvciBvZiBwcmVtb25pdG9yeSB1cmdlcyBpbiBHVFMsIHdpdGggZ3JlYXRlciBpbnRlcm9jZXB0aXZlIGF3YXJlbmVzcyBiZWluZyBhc3NvY2lhdGVkIHdpdGggbW9yZSB1cmdlcy4gR3JlYXRlciB0aWMgc2V2ZXJpdHkgd2FzIGFsc28gYXNzb2NpYXRlZCB3aXRoIGhpZ2hlciByYXRlcyBvZiBwcmVtb25pdG9yeSB1cmdlcy4gQ09OQ0xVU0lPTjogVGhlIG9ic2VydmVkIHJlbGF0aW9uc2hpcCBiZXR3ZWVuIHNldmVyaXR5IG9mIHByZW1vbml0b3J5IHVyZ2VzIGFuZCBpbnRlcm9jZXB0aXZlIGF3YXJlbmVzcyBzdWdnZXN0cyB0aGF0IGludGVyb2NlcHRpb24gbWlnaHQgYmUgaW52b2x2ZWQgaW4gc2VsZi1yZXBvcnRlZCBwcmVtb25pdG9yeSB1cmdlcyBpbiBHVFMuIEhpZ2ggbGV2ZWxzIG9mIGludGVyb2NlcHRpdmUgYXdhcmVuZXNzIG1pZ2h0IHJlZmxlY3QgYSBzZWxmLWF0dGVudGl2ZSBjYXBhY2l0eSB0byBwZXJjZWl2ZSB1cmdlcy4iLCJpc3N1ZSI6IjkiLCJ2b2x1bWUiOiIzMCIsImNvbnRhaW5lci10aXRsZS1zaG9ydCI6IiJ9LCJpc1RlbXBvcmFyeSI6ZmFsc2V9XX0="/>
                <w:id w:val="-1303761461"/>
                <w:placeholder>
                  <w:docPart w:val="DefaultPlaceholder_-1854013440"/>
                </w:placeholder>
              </w:sdtPr>
              <w:sdtContent>
                <w:r w:rsidR="00F04E9F" w:rsidRPr="00F04E9F">
                  <w:rPr>
                    <w:rFonts w:eastAsia="Times New Roman" w:cs="Times New Roman"/>
                    <w:color w:val="000000"/>
                    <w:sz w:val="16"/>
                    <w:szCs w:val="16"/>
                  </w:rPr>
                  <w:t>(35)</w:t>
                </w:r>
              </w:sdtContent>
            </w:sdt>
          </w:p>
        </w:tc>
        <w:tc>
          <w:tcPr>
            <w:tcW w:w="0" w:type="auto"/>
            <w:shd w:val="clear" w:color="auto" w:fill="FFFFFF"/>
            <w:hideMark/>
          </w:tcPr>
          <w:p w14:paraId="4E4F4FE9"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19 adults with TS</w:t>
            </w:r>
          </w:p>
        </w:tc>
        <w:tc>
          <w:tcPr>
            <w:tcW w:w="0" w:type="auto"/>
            <w:shd w:val="clear" w:color="auto" w:fill="FFFFFF"/>
            <w:hideMark/>
          </w:tcPr>
          <w:p w14:paraId="53B96F77"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Y-BOCS scores were not a significant predictor of PUTS scores in a multiple regression (β = -0.22, p = 0.50)</w:t>
            </w:r>
          </w:p>
        </w:tc>
      </w:tr>
      <w:tr w:rsidR="00986E35" w:rsidRPr="008A1F40" w14:paraId="035B8BB0" w14:textId="77777777" w:rsidTr="007F77D2">
        <w:trPr>
          <w:tblCellSpacing w:w="15" w:type="dxa"/>
        </w:trPr>
        <w:tc>
          <w:tcPr>
            <w:tcW w:w="0" w:type="auto"/>
            <w:shd w:val="clear" w:color="auto" w:fill="FFFFFF"/>
            <w:hideMark/>
          </w:tcPr>
          <w:p w14:paraId="79BFA6EE" w14:textId="2D9F5C04"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Rozenman et al (2015)</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ZDNhMjYyODQtNWM5Ni00NzYxLWI0NTctZTRkNjEwOTQwNzdiIiwicHJvcGVydGllcyI6eyJub3RlSW5kZXgiOjB9LCJpc0VkaXRlZCI6ZmFsc2UsIm1hbnVhbE92ZXJyaWRlIjp7ImlzTWFudWFsbHlPdmVycmlkZGVuIjpmYWxzZSwiY2l0ZXByb2NUZXh0IjoiKDE0KSIsIm1hbnVhbE92ZXJyaWRlVGV4dCI6IiJ9LCJjaXRhdGlvbkl0ZW1zIjpbeyJpZCI6IjUzNjI3MWUxLTIxYjAtM2U3MC1iNDdlLWQzMWNjNGZjY2ExNSIsIml0ZW1EYXRhIjp7InR5cGUiOiJhcnRpY2xlLWpvdXJuYWwiLCJpZCI6IjUzNjI3MWUxLTIxYjAtM2U3MC1iNDdlLWQzMWNjNGZjY2ExNSIsInRpdGxlIjoiUmVsYXRpb25zaGlwcyBiZXR3ZWVuIFByZW1vbml0b3J5IFVyZ2UgYW5kIEFueGlldHkgaW4gWW91dGggd2l0aCBDaHJvbmljIFRpYyBEaXNvcmRlcnMiLCJncm91cElkIjoiMDdkNjJhYzEtNWFhOC0zOWFmLWI0OWUtNTJkMjA4OGFjNTcxIiwiYXV0aG9yIjpbeyJmYW1pbHkiOiJSb3plbm1hbiIsImdpdmVuIjoiTSIsInBhcnNlLW5hbWVzIjpmYWxzZSwiZHJvcHBpbmctcGFydGljbGUiOiIiLCJub24tZHJvcHBpbmctcGFydGljbGUiOiIifSx7ImZhbWlseSI6IkpvaG5zb24iLCJnaXZlbiI6Ik8gRSIsInBhcnNlLW5hbWVzIjpmYWxzZSwiZHJvcHBpbmctcGFydGljbGUiOiIiLCJub24tZHJvcHBpbmctcGFydGljbGUiOiIifSx7ImZhbWlseSI6IkNoYW5nIiwiZ2l2ZW4iOiJTIFciLCJwYXJzZS1uYW1lcyI6ZmFsc2UsImRyb3BwaW5nLXBhcnRpY2xlIjoiIiwibm9uLWRyb3BwaW5nLXBhcnRpY2xlIjoiIn0seyJmYW1pbHkiOiJXb29kcyIsImdpdmVuIjoiRCBXIiwicGFyc2UtbmFtZXMiOmZhbHNlLCJkcm9wcGluZy1wYXJ0aWNsZSI6IiIsIm5vbi1kcm9wcGluZy1wYXJ0aWNsZSI6IiJ9LHsiZmFtaWx5IjoiV2Fsa3VwIiwiZ2l2ZW4iOiJKIFQiLCJwYXJzZS1uYW1lcyI6ZmFsc2UsImRyb3BwaW5nLXBhcnRpY2xlIjoiIiwibm9uLWRyb3BwaW5nLXBhcnRpY2xlIjoiIn0seyJmYW1pbHkiOiJXaWxoZWxtIiwiZ2l2ZW4iOiJTIiwicGFyc2UtbmFtZXMiOmZhbHNlLCJkcm9wcGluZy1wYXJ0aWNsZSI6IiIsIm5vbi1kcm9wcGluZy1wYXJ0aWNsZSI6IiJ9LHsiZmFtaWx5IjoiUGV0ZXJzb24iLCJnaXZlbiI6IkEiLCJwYXJzZS1uYW1lcyI6ZmFsc2UsImRyb3BwaW5nLXBhcnRpY2xlIjoiIiwibm9uLWRyb3BwaW5nLXBhcnRpY2xlIjoiIn0seyJmYW1pbHkiOiJTY2FoaWxsIiwiZ2l2ZW4iOiJMIiwicGFyc2UtbmFtZXMiOmZhbHNlLCJkcm9wcGluZy1wYXJ0aWNsZSI6IiIsIm5vbi1kcm9wcGluZy1wYXJ0aWNsZSI6IiJ9LHsiZmFtaWx5IjoiUGlhY2VudGluaSIsImdpdmVuIjoiSiIsInBhcnNlLW5hbWVzIjpmYWxzZSwiZHJvcHBpbmctcGFydGljbGUiOiIiLCJub24tZHJvcHBpbmctcGFydGljbGUiOiIifV0sImNvbnRhaW5lci10aXRsZSI6IkNoaWxkIEhlYWx0aCBDYXJlIiwiRE9JIjoiMTAuMTA4MC8wMjczOTYxNS4yMDE0Ljk4NjMyOCIsIlBNSUQiOiIyNzExMDA1MCIsImlzc3VlZCI6eyJkYXRlLXBhcnRzIjpbWzIwMTVdXX0sInBhZ2UiOiIyMzUtMjQ4IiwiYWJzdHJhY3QiOiJUb3VyZXR0ZSdzIERpc29yZGVyIGFuZCBvdGhlciBjaHJvbmljIHRpYyBkaXNvcmRlcnMgYXJlIGNvbW1vbiBuZXVyb2RldmVsb3BtZW50YWwgY29uZGl0aW9ucy4gT25lIGNoYXJhY3RlcmlzdGljIG9mIHRpYyBkaXNvcmRlcnMgaXMgdGhlIHByZW1vbml0b3J5IHVyZ2UsIGFuIGF2ZXJzaXZlIG9yIHVucGxlYXNhbnQgc2Vuc29yeSBwaGVub21lbm9uIHRoYXQgbWF5IHByZWNlZGUgdGljcy4gSW5pdGlhbCBleGFtaW5hdGlvbiBvZiBwcmVtb25pdG9yeSB1cmdlIGluIHBlZGlhdHJpYyB0aWMgZGlzb3JkZXJzIHN1Z2dlc3RzIHRoYXQgYXdhcmVuZXNzIGFuZCBleHBlcmllbmNlIG9mIHNlbnNhdGlvbnMgcHJlY2VkaW5nIHRpY3MgbWF5IGJlIHJlbGF0ZWQgdG8gYW54aWV0eSBhbmQgT0NELiBIb3dldmVyLCBpdCBtYXkgYmUgcG9zc2libGUgdGhhdCBzcGVjaWZpYyBhbnhpZXR5LXJlbGF0ZWQgc3ltcHRvbXMsIHN1Y2ggYXMgYW54aW91cyBwaHlzaW9sb2dpYyBhcm91c2FsLCBhcmUgcGFydGljdWxhcmx5IHJlbGV2YW50IHRvIHRoZSBleHBlcmllbmNlIG9mIHByZW1vbml0b3J5IHVyZ2UuIFRoZSBjdXJyZW50IHN0dWR5IGV4YW1pbmVzIHJlbGF0aW9uc2hpcHMgYmV0d2VlbiB0aWMtcmVsYXRlZCBwcmVtb25pdG9yeSB1cmdlIGFuZCBhbnhpZXR5LXJlbGF0ZWQgc3ltcHRvbSBjbHVzdGVycyBpbiB0cmVhdG1lbnQtc2Vla2luZyB5b3V0aHMgd2l0aCBhIHByaW1hcnkgZGlhZ25vc2VzIG9mIFRvdXJldHRlJ3Mgb3Igb3RoZXIgY2hyb25pYyB0aWMgZGlzb3JkZXIuIFRoZSBzYW1wbGUgY29uc2lzdGVkIG9mIDEyNCB5b3V0aCwgYWdlcyA5IHRvIDE3LCB3aG8gcGFydGljaXBhdGVkIGluIHRoZSBtdWx0aS1zaXRlIENvbXByZWhlbnNpdmUgQmVoYXZpb3JhbCBJbnRlcnZlbnRpb24gZm9yIFRpY3MgcmFuZG9taXplZCBjb250cm9sbGVkIHRyaWFsIChDQklUOyBQaWFjZW50aW5pIGV0IGFsLiwgMjAxMCkuIFNwZWNpZmljIGFueGlldHktcmVsYXRlZCBzdWJ0eXBlcywgaW5jbHVkaW5nIGdlbmVyYWxpemVkIHdvcnJ5LCBzZXBhcmF0aW9uLCBzb2NpYWwsIGFuZCBwYW5pYy9zb21hdGljIHN5bXB0b21zLCBhcyB3ZWxsIGFzIHNldmVyaXR5IG9mIG9ic2Vzc2lvbnMgYW5kIGNvbXB1bHNpb25zLCB3ZXJlIGFzc2Vzc2VkIGFzIHBvdGVudGlhbCBjb3JyZWxhdGVzIG9mIHByZW1vbml0b3J5IHVyZ2UuIEZpbmRpbmdzIGluZGljYXRlZCB0aGF0IGFnZSwgZ2xvYmFsIHRpYy1yZWxhdGVkIGltcGFpcm1lbnQsIGFuZCBzcGVjaWZpYyBwYW5pYy9zb21hdGljIHN5bXB0b21zIGFjY291bnRlZCBmb3IgYSBzdWJzdGFudGlhbCBwcm9wb3J0aW9uIG9mIHZhcmlhbmNlIGluIHlvdXRoIHJlcG9ydCBvZiBwcmVtb25pdG9yeSB1cmdlLiBUaGVzZSBmaW5kaW5ncyBwcm92aWRlIGluZm9ybWF0aW9uIGFib3V0IHRoZSBjaGFyYWN0ZXJpc3RpY3Mgb2YgcHJlbW9uaXRvcnkgdXJnZSBpbiBwZWRpYXRyaWMgdGljIGRpc29yZGVycywgYW5kIGhhdmUgaW1wbGljYXRpb25zIGZvciB0aGUgdHJlYXRtZW50IG9mIHBlZGlhdHJpYyB0aWMgc3luZHJvbWVzLiIsImlzc3VlIjoiMyIsInZvbHVtZSI6IjQ0IiwiY29udGFpbmVyLXRpdGxlLXNob3J0IjoiIn0sImlzVGVtcG9yYXJ5IjpmYWxzZX1dfQ=="/>
                <w:id w:val="-958327864"/>
                <w:placeholder>
                  <w:docPart w:val="DefaultPlaceholder_-1854013440"/>
                </w:placeholder>
              </w:sdtPr>
              <w:sdtContent>
                <w:r w:rsidR="00F04E9F" w:rsidRPr="00F04E9F">
                  <w:rPr>
                    <w:rFonts w:eastAsia="Times New Roman" w:cs="Times New Roman"/>
                    <w:color w:val="000000"/>
                    <w:sz w:val="16"/>
                    <w:szCs w:val="16"/>
                  </w:rPr>
                  <w:t>(14)</w:t>
                </w:r>
              </w:sdtContent>
            </w:sdt>
          </w:p>
        </w:tc>
        <w:tc>
          <w:tcPr>
            <w:tcW w:w="0" w:type="auto"/>
            <w:shd w:val="clear" w:color="auto" w:fill="FFFFFF"/>
            <w:hideMark/>
          </w:tcPr>
          <w:p w14:paraId="4873EB53"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124 children and adolescents with CTDs</w:t>
            </w:r>
          </w:p>
        </w:tc>
        <w:tc>
          <w:tcPr>
            <w:tcW w:w="0" w:type="auto"/>
            <w:shd w:val="clear" w:color="auto" w:fill="FFFFFF"/>
            <w:hideMark/>
          </w:tcPr>
          <w:p w14:paraId="2217BA87"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CYBOCS scores were not a significant predictor of PUTS scores in a multiple linear regression analysis </w:t>
            </w:r>
            <w:r w:rsidRPr="008A1F40">
              <w:rPr>
                <w:rFonts w:cs="Times New Roman"/>
                <w:color w:val="000000" w:themeColor="text1"/>
                <w:sz w:val="16"/>
                <w:szCs w:val="16"/>
                <w:shd w:val="clear" w:color="auto" w:fill="FFFFFF"/>
              </w:rPr>
              <w:t>(p &gt; 0.22)</w:t>
            </w:r>
          </w:p>
        </w:tc>
      </w:tr>
      <w:tr w:rsidR="00986E35" w:rsidRPr="008A1F40" w14:paraId="557B1842" w14:textId="77777777" w:rsidTr="007F77D2">
        <w:trPr>
          <w:tblCellSpacing w:w="15" w:type="dxa"/>
        </w:trPr>
        <w:tc>
          <w:tcPr>
            <w:tcW w:w="0" w:type="auto"/>
            <w:shd w:val="clear" w:color="auto" w:fill="FFFFFF"/>
            <w:hideMark/>
          </w:tcPr>
          <w:p w14:paraId="6A0A8CB7" w14:textId="16CDD75D"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Sambrani et al (2016)</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ZjdhZTBiZDItYjRjNy00Y2ZkLTk4NmQtODYzOGI0YjZhNTU4IiwicHJvcGVydGllcyI6eyJub3RlSW5kZXgiOjB9LCJpc0VkaXRlZCI6ZmFsc2UsIm1hbnVhbE92ZXJyaWRlIjp7ImlzTWFudWFsbHlPdmVycmlkZGVuIjpmYWxzZSwiY2l0ZXByb2NUZXh0IjoiKDQ4KSIsIm1hbnVhbE92ZXJyaWRlVGV4dCI6IiJ9LCJjaXRhdGlvbkl0ZW1zIjpbeyJpZCI6IjI0OWQwNTdiLWEwYzUtMzI0Zi04MmY1LTY3Y2ZhM2YyZWQ3OCIsIml0ZW1EYXRhIjp7InR5cGUiOiJhcnRpY2xlLWpvdXJuYWwiLCJpZCI6IjI0OWQwNTdiLWEwYzUtMzI0Zi04MmY1LTY3Y2ZhM2YyZWQ3OCIsInRpdGxlIjoiTmV3IGluc2lnaHRzIGludG8gY2xpbmljYWwgY2hhcmFjdGVyaXN0aWNzIG9mIEdpbGxlcyBkZSBsYSBUb3VyZXR0ZSBzeW5kcm9tZTogRmluZGluZ3MgaW4gMTAzMiBwYXRpZW50cyBmcm9tIGEgc2luZ2xlIEdlcm1hbiBjZW50ZXIiLCJncm91cElkIjoiMDdkNjJhYzEtNWFhOC0zOWFmLWI0OWUtNTJkMjA4OGFjNTcxIiwiYXV0aG9yIjpbeyJmYW1pbHkiOiJTYW1icmFuaSIsImdpdmVuIjoiVCIsInBhcnNlLW5hbWVzIjpmYWxzZSwiZHJvcHBpbmctcGFydGljbGUiOiIiLCJub24tZHJvcHBpbmctcGFydGljbGUiOiIifSx7ImZhbWlseSI6Ikpha3Vib3Zza2kiLCJnaXZlbiI6IkUiLCJwYXJzZS1uYW1lcyI6ZmFsc2UsImRyb3BwaW5nLXBhcnRpY2xlIjoiIiwibm9uLWRyb3BwaW5nLXBhcnRpY2xlIjoiIn0seyJmYW1pbHkiOiJNdWxsZXItVmFobCIsImdpdmVuIjoiSyBSIiwicGFyc2UtbmFtZXMiOmZhbHNlLCJkcm9wcGluZy1wYXJ0aWNsZSI6IiIsIm5vbi1kcm9wcGluZy1wYXJ0aWNsZSI6IiJ9XSwiY29udGFpbmVyLXRpdGxlIjoiRnJvbnRpZXJzIGluIE5ldXJvc2NpZW5jZSIsIkRPSSI6Imh0dHBzOi8vZHguZG9pLm9yZy8xMC4zMzg5L2ZuaW5zLjIwMTYuMDA0MTUiLCJVUkwiOiJodHRwOi8vam91cm5hbC5mcm9udGllcnNpbi5vcmcvYXJ0aWNsZS8xMC4zMzg5L2ZuaW5zLjIwMTYuMDA0MTUvZnVsbGh0dHA6Ly9vdmlkc3Aub3ZpZC5jb20vb3ZpZHdlYi5jZ2k/VD1KUyZQQUdFPXJlZmVyZW5jZSZEPWVtZWQxNyZORVdTPU4mQU49NjEyNzkzNjUzIiwiaXNzdWVkIjp7ImRhdGUtcGFydHMiOltbMjAxNl1dfSwicGFnZSI6IjQxNSIsImFic3RyYWN0IjoiQmFja2dyb3VuZDogR2lsbGVzIGRlIGxhIFRvdXJldHRlIHN5bmRyb21lIChUUykgaXMgYSBjb21wbGV4IG5ldXJvcHN5Y2hpYXRyaWMgZGlzb3JkZXIgZGVmaW5lZCBieSB0aGUgcHJlc2VuY2Ugb2YgbW90b3IgYW5kIHBob25pYyB0aWNzLCBidXQgb2Z0ZW4gYXNzb2NpYXRlZCB3aXRoIHBzeWNoaWF0cmljIGNvbW9yYmlkaXRpZXMuIFRoZSBtYWluIG9iamVjdGl2ZSBvZiB0aGlzIHN0dWR5IHdhcyB0byBleHBsb3JlIHRoZSBjbGluaWNhbCBwcmVzZW50YXRpb24gYW5kIGNvbW9yYmlkaXRpZXMgb2YgVFMuIE1ldGhvZChzKTogV2UgYW5hbHl6ZWQgY2xpbmljYWwgZGF0YSBvYnRhaW5lZCBmcm9tIGEgbGFyZ2Ugc2FtcGxlIChuID0gMTAzMjsgNTI5IGNoaWxkcmVuIGFuZCA1MDMgYWR1bHRzKSBvZiBwYXRpZW50cyB3aXRoIHRpYyBkaXNvcmRlcnMgZnJvbSBvbmUgc2luZ2xlIEdlcm1hbiBUUyBjZW50ZXIgYXNzZXNzZWQgYnkgb25lIGludmVzdGlnYXRvci4gRGF0YSB3YXMgY29sbGVjdGVkIHdpdGggdGhlIGhlbHAgb2YgYW4gZXhwZXJ0LXJldmlld2VkIHNlbWktc3RydWN0dXJlZCBpbnRlcnZpZXcsIGRlc2lnbmVkIHRvIGFzc2VzcyB0aWMgc2V2ZXJpdHkgYW5kIGNlcnRhaW4gY29tb3JiaWRpdGllcy4gR3JvdXAgY29tcGFyaXNvbnMgd2VyZSBjYXJyaWVkIG91dCB2aWEgaW5kZXBlbmRlbnQgc2FtcGxlIHQtdGVzdHMgYW5kIGNoaS1zcXVhcmUgdGVzdHMuIFJlc3VsdChzKTogVGhlIG1haW4gZmluZGluZ3Mgb2YgdGhlIHN0dWR5IGFyZTogKDEpIHRpYyBzZXZlcml0eSBpcyBhc3NvY2lhdGVkIHdpdGggdGhlIHByZXNlbmNlIG9mIHByZW1vbml0b3J5IHVyZ2VzIChQVSksIGNvcHJvLSwgZWNoby0sIGFuZCBwYWxpcGhlbm9tZW5hIGFuZCB0aGUgbnVtYmVyIG9mIGNvbW9yYmlkaXRpZXMsIGJ1dCBub3QgYWdlIGF0IHRpYyBvbnNldDsgaXQgaXMgaGlnaGVyIGluIHBhdGllbnRzIHdpdGggY29tb3JiaWQgb2JzZXNzaXZlLWNvbXB1bHNpdmUgZGlzb3JkZXIgKE9DRCkgdGhhbiBpbiBwYXRpZW50cyB3aXRoIGNvbW9yYmlkIGF0dGVudGlvbiBkZWZpY2l0L2h5cGVyYWN0aXZpdHkgZGlzb3JkZXIgKEFESEQpLiAoMikgUFUgd2VyZSBmb3VuZCB0byBiZSBoaWdobHkgYXNzb2NpYXRlZCB3aXRoIFwibm90IGp1c3QgcmlnaHQgZXhwZXJpZW5jZXNcIiBhbmQgdG8gZW1lcmdlIG11Y2ggZWFybGllciB0aGFuIHByZXZpb3VzbHkgdGhvdWdodCBhbG9uZ3NpZGUgd2l0aCB0aGUgYWJpbGl0eSB0byBzdXBwcmVzcyB0aWNzIChQVSBpbiA+IDYwJSBhbmQgc3VwcHJlc3NpYmlsaXR5IGluID4gNzUlIGF0IGFnZSA4LTEwIHllYXJzKS4gKDMpIFNlbGYtaW5qdXJpb3VzIGJlaGF2aW9yIChTSUIpIGlzIGhpZ2hseSBhc3NvY2lhdGVkIHdpdGggY29tcGxleCBtb3RvciB0aWNzIGFuZCBjb3Byb3BoZW5vbWVuYSwgYnV0IG5vdCB3aXRoIE9DRC9vYnNlc3NpdmUtY29tcHVsc2l2ZSBiZWhhdmlvciAoT0NCKS4gV2hpbGUgY29tb3JiaWQgQURIRCBpcyBhc3NvY2lhdGVkIHdpdGggYSBsb3dlciBhYmlsaXR5IHRvIHN1cHByZXNzIHRpY3MsIGNvbW9yYmlkIGRlcHJlc3Npb24gaXMgYXNzb2NpYXRlZCB3aXRoIHNsZWVwaW5nIHByb2JsZW1zLiBEaXNjdXNzaW9uKHMpOiBPdXIgcmVzdWx0cyBkZW1vbnN0cmF0ZSB0aGF0IHRpYyBzZXZlcml0eSBpcyBub3QgaW5mbHVlbmNlZCBieSBhZ2UgYXQgb25zZXQuIEZyb20gb3VyIGRhdGEsIGl0IGlzIHN1Z2dlc3RlZCB0aGF0IFBVIHJlcHJlc2VudCBhIHNwZWNpZmljIHR5cGUgb2YgXCJub3QganVzdCByaWdodCBleHBlcmllbmNlXCIgdGhhdCBpcyBub3QgYSBwcmVyZXF1aXNpdGUgZm9yIHRpYyBzdXBwcmVzc2lvbi4gQ29tb3JiaWQgQURIRCByZWR1Y2VzIHBhdGllbnRzJyBhYmlsaXR5IG9mIHN1Y2Nlc3NmdWwgdGljIHN1cHByZXNzaW9uLiBPdXIgZGF0YSBzdWdnZXN0IHRoYXQgU0lCIGJlbG9uZ3MgdG8gdGhlIGNvcHJvcGhlbm9tZW5hIHNwZWN0cnVtIGFuZCBoZW5jZSBzaG91bGQgYmUgY29uY2VwdHVhbGl6ZWQgYXMgYSBjb21wbGV4IHRpYyByYXRoZXIgdGhhbiBhIGNvbXB1bHNpb24uIEZpbmFsbHksIHRoaXMgc3R1ZHkgc3Ryb25nbHkgc3VwcG9ydHMgdGhlIGh5cG90aGVzaXMgdGhhdCBUUytPQ0QgaXMgYSBtb3JlIHNldmVyZSBmb3JtIG9mIFRTIGFuZCB0aGF0IGNvbW9yYmlkIE9DRC9PQ0IsIGRlcHJlc3Npb24sIGFuZCBhbnhpZXR5IGJlbG9uZyB0byB0aGUgVFMgc3BlY3RydW0sIHdoaWxlIEFESEQgc2hvdWxkIGJlIGJldHRlciBjb25jZXB0dWFsaXplZCBhcyBhIHNlcGFyYXRlIHByb2JsZW0uIENvcHlyaWdodCDCqSAyMDE2IFNhbWJyYW5pLCBKYWt1Ym92c2tpIGFuZCBNdWxsZXItVmFobC4iLCJpc3N1ZSI6IlNFUCIsInZvbHVtZSI6IjEwIiwiY29udGFpbmVyLXRpdGxlLXNob3J0IjoiRnJvbnQgTmV1cm9zY2kifSwiaXNUZW1wb3JhcnkiOmZhbHNlfV19"/>
                <w:id w:val="2006014297"/>
                <w:placeholder>
                  <w:docPart w:val="DefaultPlaceholder_-1854013440"/>
                </w:placeholder>
              </w:sdtPr>
              <w:sdtContent>
                <w:r w:rsidR="00F04E9F" w:rsidRPr="00F04E9F">
                  <w:rPr>
                    <w:rFonts w:eastAsia="Times New Roman" w:cs="Times New Roman"/>
                    <w:color w:val="000000"/>
                    <w:sz w:val="16"/>
                    <w:szCs w:val="16"/>
                  </w:rPr>
                  <w:t>(48)</w:t>
                </w:r>
              </w:sdtContent>
            </w:sdt>
          </w:p>
        </w:tc>
        <w:tc>
          <w:tcPr>
            <w:tcW w:w="0" w:type="auto"/>
            <w:shd w:val="clear" w:color="auto" w:fill="FFFFFF"/>
            <w:hideMark/>
          </w:tcPr>
          <w:p w14:paraId="31C54802"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1032 children and adults with any tic disorder</w:t>
            </w:r>
          </w:p>
        </w:tc>
        <w:tc>
          <w:tcPr>
            <w:tcW w:w="0" w:type="auto"/>
            <w:shd w:val="clear" w:color="auto" w:fill="FFFFFF"/>
            <w:hideMark/>
          </w:tcPr>
          <w:p w14:paraId="7868546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Significant association between presence of premonitory urges and OCB </w:t>
            </w:r>
            <w:r w:rsidRPr="008A1F40">
              <w:rPr>
                <w:rFonts w:cs="Times New Roman"/>
                <w:color w:val="000000" w:themeColor="text1"/>
                <w:sz w:val="16"/>
                <w:szCs w:val="16"/>
                <w:shd w:val="clear" w:color="auto" w:fill="FFFFFF"/>
              </w:rPr>
              <w:t>(</w:t>
            </w:r>
            <w:r w:rsidRPr="008A1F40">
              <w:rPr>
                <w:rFonts w:cs="Times New Roman"/>
                <w:color w:val="000000" w:themeColor="text1"/>
                <w:sz w:val="16"/>
                <w:szCs w:val="16"/>
                <w:shd w:val="clear" w:color="auto" w:fill="FFFFFF"/>
              </w:rPr>
              <w:sym w:font="Symbol" w:char="F063"/>
            </w:r>
            <w:r w:rsidRPr="008A1F40">
              <w:rPr>
                <w:rFonts w:cs="Times New Roman"/>
                <w:color w:val="000000" w:themeColor="text1"/>
                <w:sz w:val="16"/>
                <w:szCs w:val="16"/>
                <w:shd w:val="clear" w:color="auto" w:fill="FFFFFF"/>
                <w:vertAlign w:val="superscript"/>
              </w:rPr>
              <w:t>2</w:t>
            </w:r>
            <w:r w:rsidRPr="008A1F40">
              <w:rPr>
                <w:rFonts w:cs="Times New Roman"/>
                <w:color w:val="000000" w:themeColor="text1"/>
                <w:sz w:val="16"/>
                <w:szCs w:val="16"/>
                <w:shd w:val="clear" w:color="auto" w:fill="FFFFFF"/>
              </w:rPr>
              <w:t xml:space="preserve"> = 15.38, p &lt; 0.001)</w:t>
            </w:r>
            <w:r w:rsidRPr="008A1F40">
              <w:rPr>
                <w:rFonts w:eastAsia="Times New Roman" w:cs="Times New Roman"/>
                <w:color w:val="0D0D0D"/>
                <w:sz w:val="16"/>
                <w:szCs w:val="16"/>
              </w:rPr>
              <w:t xml:space="preserve">, obsessions </w:t>
            </w:r>
            <w:r w:rsidRPr="008A1F40">
              <w:rPr>
                <w:rFonts w:cs="Times New Roman"/>
                <w:color w:val="000000" w:themeColor="text1"/>
                <w:sz w:val="16"/>
                <w:szCs w:val="16"/>
                <w:shd w:val="clear" w:color="auto" w:fill="FFFFFF"/>
              </w:rPr>
              <w:t>(</w:t>
            </w:r>
            <w:r w:rsidRPr="008A1F40">
              <w:rPr>
                <w:rFonts w:cs="Times New Roman"/>
                <w:color w:val="000000" w:themeColor="text1"/>
                <w:sz w:val="16"/>
                <w:szCs w:val="16"/>
                <w:shd w:val="clear" w:color="auto" w:fill="FFFFFF"/>
              </w:rPr>
              <w:sym w:font="Symbol" w:char="F063"/>
            </w:r>
            <w:r w:rsidRPr="008A1F40">
              <w:rPr>
                <w:rFonts w:cs="Times New Roman"/>
                <w:color w:val="000000" w:themeColor="text1"/>
                <w:sz w:val="16"/>
                <w:szCs w:val="16"/>
                <w:shd w:val="clear" w:color="auto" w:fill="FFFFFF"/>
                <w:vertAlign w:val="superscript"/>
              </w:rPr>
              <w:t>2</w:t>
            </w:r>
            <w:r w:rsidRPr="008A1F40">
              <w:rPr>
                <w:rFonts w:cs="Times New Roman"/>
                <w:color w:val="000000" w:themeColor="text1"/>
                <w:sz w:val="16"/>
                <w:szCs w:val="16"/>
                <w:shd w:val="clear" w:color="auto" w:fill="FFFFFF"/>
              </w:rPr>
              <w:t xml:space="preserve"> = 11.22, p &lt; 0.01)</w:t>
            </w:r>
            <w:r w:rsidRPr="008A1F40">
              <w:rPr>
                <w:rFonts w:eastAsia="Times New Roman" w:cs="Times New Roman"/>
                <w:color w:val="0D0D0D"/>
                <w:sz w:val="16"/>
                <w:szCs w:val="16"/>
              </w:rPr>
              <w:t xml:space="preserve">, and compulsions </w:t>
            </w:r>
            <w:r w:rsidRPr="008A1F40">
              <w:rPr>
                <w:rFonts w:cs="Times New Roman"/>
                <w:color w:val="000000" w:themeColor="text1"/>
                <w:sz w:val="16"/>
                <w:szCs w:val="16"/>
                <w:shd w:val="clear" w:color="auto" w:fill="FFFFFF"/>
              </w:rPr>
              <w:t>(</w:t>
            </w:r>
            <w:r w:rsidRPr="008A1F40">
              <w:rPr>
                <w:rFonts w:cs="Times New Roman"/>
                <w:color w:val="000000" w:themeColor="text1"/>
                <w:sz w:val="16"/>
                <w:szCs w:val="16"/>
                <w:shd w:val="clear" w:color="auto" w:fill="FFFFFF"/>
              </w:rPr>
              <w:sym w:font="Symbol" w:char="F063"/>
            </w:r>
            <w:r w:rsidRPr="008A1F40">
              <w:rPr>
                <w:rFonts w:cs="Times New Roman"/>
                <w:color w:val="000000" w:themeColor="text1"/>
                <w:sz w:val="16"/>
                <w:szCs w:val="16"/>
                <w:shd w:val="clear" w:color="auto" w:fill="FFFFFF"/>
                <w:vertAlign w:val="superscript"/>
              </w:rPr>
              <w:t>2</w:t>
            </w:r>
            <w:r w:rsidRPr="008A1F40">
              <w:rPr>
                <w:rFonts w:cs="Times New Roman"/>
                <w:color w:val="000000" w:themeColor="text1"/>
                <w:sz w:val="16"/>
                <w:szCs w:val="16"/>
                <w:shd w:val="clear" w:color="auto" w:fill="FFFFFF"/>
              </w:rPr>
              <w:t xml:space="preserve"> = 26.77, p &lt; 0.01)</w:t>
            </w:r>
            <w:r w:rsidRPr="008A1F40">
              <w:rPr>
                <w:rFonts w:eastAsia="Times New Roman" w:cs="Times New Roman"/>
                <w:color w:val="0D0D0D"/>
                <w:sz w:val="16"/>
                <w:szCs w:val="16"/>
              </w:rPr>
              <w:t xml:space="preserve">, but not OCD </w:t>
            </w:r>
            <w:r w:rsidRPr="008A1F40">
              <w:rPr>
                <w:rFonts w:cs="Times New Roman"/>
                <w:color w:val="000000" w:themeColor="text1"/>
                <w:sz w:val="16"/>
                <w:szCs w:val="16"/>
                <w:shd w:val="clear" w:color="auto" w:fill="FFFFFF"/>
              </w:rPr>
              <w:t>(</w:t>
            </w:r>
            <w:r w:rsidRPr="008A1F40">
              <w:rPr>
                <w:rFonts w:cs="Times New Roman"/>
                <w:color w:val="000000" w:themeColor="text1"/>
                <w:sz w:val="16"/>
                <w:szCs w:val="16"/>
                <w:shd w:val="clear" w:color="auto" w:fill="FFFFFF"/>
              </w:rPr>
              <w:sym w:font="Symbol" w:char="F063"/>
            </w:r>
            <w:r w:rsidRPr="008A1F40">
              <w:rPr>
                <w:rFonts w:cs="Times New Roman"/>
                <w:color w:val="000000" w:themeColor="text1"/>
                <w:sz w:val="16"/>
                <w:szCs w:val="16"/>
                <w:shd w:val="clear" w:color="auto" w:fill="FFFFFF"/>
                <w:vertAlign w:val="superscript"/>
              </w:rPr>
              <w:t>2</w:t>
            </w:r>
            <w:r w:rsidRPr="008A1F40">
              <w:rPr>
                <w:rFonts w:cs="Times New Roman"/>
                <w:color w:val="000000" w:themeColor="text1"/>
                <w:sz w:val="16"/>
                <w:szCs w:val="16"/>
                <w:shd w:val="clear" w:color="auto" w:fill="FFFFFF"/>
              </w:rPr>
              <w:t xml:space="preserve"> = 3.085, p &gt; 0.05)</w:t>
            </w:r>
          </w:p>
        </w:tc>
      </w:tr>
      <w:tr w:rsidR="00986E35" w:rsidRPr="008A1F40" w14:paraId="36558FF2" w14:textId="77777777" w:rsidTr="007F77D2">
        <w:trPr>
          <w:tblCellSpacing w:w="15" w:type="dxa"/>
        </w:trPr>
        <w:tc>
          <w:tcPr>
            <w:tcW w:w="0" w:type="auto"/>
            <w:shd w:val="clear" w:color="auto" w:fill="FFFFFF"/>
            <w:hideMark/>
          </w:tcPr>
          <w:p w14:paraId="6E5E8D31" w14:textId="41E2626B"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Sutherland-Owens et al (2011)</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WFiODQwNzUtZTExNS00NjI1LWJlZTctNTExNjIyNzQzZWYzIiwicHJvcGVydGllcyI6eyJub3RlSW5kZXgiOjB9LCJpc0VkaXRlZCI6ZmFsc2UsIm1hbnVhbE92ZXJyaWRlIjp7ImlzTWFudWFsbHlPdmVycmlkZGVuIjpmYWxzZSwiY2l0ZXByb2NUZXh0IjoiKDIyKSIsIm1hbnVhbE92ZXJyaWRlVGV4dCI6IiJ9LCJjaXRhdGlvbkl0ZW1zIjpbeyJpZCI6IjliMzFkMGQzLTg1YjItMzM0Yi05ZmMxLWJkMDA5ZjhkYzUwMiIsIml0ZW1EYXRhIjp7InR5cGUiOiJhcnRpY2xlLWpvdXJuYWwiLCJpZCI6IjliMzFkMGQzLTg1YjItMzM0Yi05ZmMxLWJkMDA5ZjhkYzUwMiIsInRpdGxlIjoiU2Vuc29yeSBnYXRpbmcgc2NhbGVzIGFuZCBwcmVtb25pdG9yeSB1cmdlcyBpbiBUb3VyZXR0ZSBzeW5kcm9tZSIsImdyb3VwSWQiOiIwN2Q2MmFjMS01YWE4LTM5YWYtYjQ5ZS01MmQyMDg4YWM1NzEiLCJhdXRob3IiOlt7ImZhbWlseSI6IlN1dGhlcmxhbmQgT3dlbnMiLCJnaXZlbiI6IkEgTiIsInBhcnNlLW5hbWVzIjpmYWxzZSwiZHJvcHBpbmctcGFydGljbGUiOiIiLCJub24tZHJvcHBpbmctcGFydGljbGUiOiIifSx7ImZhbWlseSI6Ik1pZ3VlbCIsImdpdmVuIjoiRSBDIiwicGFyc2UtbmFtZXMiOmZhbHNlLCJkcm9wcGluZy1wYXJ0aWNsZSI6IiIsIm5vbi1kcm9wcGluZy1wYXJ0aWNsZSI6IiJ9LHsiZmFtaWx5IjoiU3dlcmRsb3ciLCJnaXZlbiI6Ik4gUiIsInBhcnNlLW5hbWVzIjpmYWxzZSwiZHJvcHBpbmctcGFydGljbGUiOiIiLCJub24tZHJvcHBpbmctcGFydGljbGUiOiIifV0sImNvbnRhaW5lci10aXRsZSI6IlNjaWVudGlmaWNXb3JsZEpvdXJuYWwiLCJET0kiOiIxMC4xMTAwL3Rzdy4yMDExLjU3IiwiUE1JRCI6IjIxNDQyMTUxIiwiaXNzdWVkIjp7ImRhdGUtcGFydHMiOltbMjAxMV1dfSwicGFnZSI6IjczNi03NDEiLCJhYnN0cmFjdCI6IlNlbnNvcnkgYW5kIHNlbnNvcmltb3RvciBnYXRpbmcgZGVmaWNpdHMgY2hhcmFjdGVyaXplIGJvdGggVG91cmV0dGUgc3luZHJvbWUgKFRTKSBhbmQgc2NoaXpvcGhyZW5pYS4gUHJlbW9uaXRvcnkgdXJnZXMgKFBVKSBpbiBUUyBjYW4gYmUgYXNzZXNzZWQgd2l0aCB0aGUgVW5pdmVyc2l0eSBvZiBTYW8gUGF1bG8gU2Vuc29yeSBQaGVub21lbmEgU2NhbGUgKFVTUC1TUFMpIGFuZCB0aGUgUHJlbW9uaXRvcnkgVXJnZSBmb3IgVGljcyBTY2FsZSAoUFVUUykuIEluIDQwIHN1YmplY3RzIChUUzogbiA9IDE4OyBoZWFsdGh5IGNvbXBhcmlzb24gc3ViamVjdHMgW0hDU106IG4gPSAyMiksIHdlIGV4YW1pbmVkIHRoZSByZWxhdGlvbnNoaXAgYmV0d2VlbiBQVSBzY29yZXMgYW5kIG1lYXN1cmVzIG9mIHNlbnNvcnkgZ2F0aW5nIHVzaW5nIHRoZSBVU1AtU1BTLCBQVVRTLCBTZW5zb3J5IEdhdGluZyBJbnZlbnRvcnkgKFNHSSksIGFuZCBTdHJ1Y3R1cmVkIEludGVydmlldyBmb3IgQXNzZXNzaW5nIFBlcmNlcHR1YWwgQW5vbWFsaWVzIChTSUFQQSksIGFzIHdlbGwgc3ltcHRvbSBzZXZlcml0eSBzY2FsZXMuIFNHSSwgYnV0IG5vdCBTSUFQQSwgc2NvcmVzIHdlcmUgZWxldmF0ZWQgaW4gVFMgc3ViamVjdHMgKHAgPCAwLjAwMDMpLiBJbiBUUyBzdWJqZWN0cywgVVNQLVNQUyBhbmQgUFVUUyBzY29yZXMgY29ycmVsYXRlZCBzaWduaWZpY2FudGx5IHdpdGggZWFjaCBvdGhlciwgYnV0IG5vdCB3aXRoIHRoZSBTR0kgb3IgU0lBUEE7IG5laXRoZXIgUFUgbm9yIHNlbnNvcnkgZ2F0aW5nIHNjYWxlcyBjb3JyZWxhdGVkIHNpZ25pZmljYW50bHkgd2l0aCBzeW1wdG9tIHNldmVyaXR5LiBUUyBzdWJqZWN0cyBlbmRvcnNlIGRpZmZpY3VsdGllcyBpbiBzZW5zb3J5IGdhdGluZyBhbmQgdGhlIFNHSSBtYXkgYmUgdmFsdWFibGUgZm9yIHN0dWR5aW5nIHRoZXNlIGNsaW5pY2FsIHBoZW5vbWVuYS4iLCJ2b2x1bWUiOiIxMSIsImNvbnRhaW5lci10aXRsZS1zaG9ydCI6IiJ9LCJpc1RlbXBvcmFyeSI6ZmFsc2V9XX0="/>
                <w:id w:val="262263209"/>
                <w:placeholder>
                  <w:docPart w:val="DefaultPlaceholder_-1854013440"/>
                </w:placeholder>
              </w:sdtPr>
              <w:sdtContent>
                <w:r w:rsidR="00F04E9F" w:rsidRPr="00F04E9F">
                  <w:rPr>
                    <w:rFonts w:eastAsia="Times New Roman" w:cs="Times New Roman"/>
                    <w:color w:val="000000"/>
                    <w:sz w:val="16"/>
                    <w:szCs w:val="16"/>
                  </w:rPr>
                  <w:t>(22)</w:t>
                </w:r>
              </w:sdtContent>
            </w:sdt>
          </w:p>
        </w:tc>
        <w:tc>
          <w:tcPr>
            <w:tcW w:w="0" w:type="auto"/>
            <w:shd w:val="clear" w:color="auto" w:fill="FFFFFF"/>
            <w:hideMark/>
          </w:tcPr>
          <w:p w14:paraId="3C5B7C40"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18 children and adults with TS</w:t>
            </w:r>
          </w:p>
        </w:tc>
        <w:tc>
          <w:tcPr>
            <w:tcW w:w="0" w:type="auto"/>
            <w:shd w:val="clear" w:color="auto" w:fill="FFFFFF"/>
            <w:hideMark/>
          </w:tcPr>
          <w:p w14:paraId="1CBA68DC"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Non-significant correlations between PUTS scores and the obsessions and compulsions subscales of the CY-BOCS/Y-BOCS </w:t>
            </w:r>
            <w:r w:rsidRPr="008A1F40">
              <w:rPr>
                <w:rFonts w:cs="Times New Roman"/>
                <w:color w:val="000000" w:themeColor="text1"/>
                <w:sz w:val="16"/>
                <w:szCs w:val="16"/>
              </w:rPr>
              <w:t>(r = -0.28, r = -0.20 respectively, p &gt; 0.05, correlation type unclear from publication)</w:t>
            </w:r>
          </w:p>
        </w:tc>
      </w:tr>
      <w:tr w:rsidR="00986E35" w:rsidRPr="008A1F40" w14:paraId="6AA6168E" w14:textId="77777777" w:rsidTr="007F77D2">
        <w:trPr>
          <w:tblCellSpacing w:w="15" w:type="dxa"/>
        </w:trPr>
        <w:tc>
          <w:tcPr>
            <w:tcW w:w="0" w:type="auto"/>
            <w:shd w:val="clear" w:color="auto" w:fill="FFFFFF"/>
            <w:hideMark/>
          </w:tcPr>
          <w:p w14:paraId="0B801075" w14:textId="1F8699DF"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Brandt et al (2016)</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2Y3MDk3MjYtY2VmZS00ZTc0LThjMTItYmUzNjkwNjJjNDczIiwicHJvcGVydGllcyI6eyJub3RlSW5kZXgiOjB9LCJpc0VkaXRlZCI6ZmFsc2UsIm1hbnVhbE92ZXJyaWRlIjp7ImlzTWFudWFsbHlPdmVycmlkZGVuIjpmYWxzZSwiY2l0ZXByb2NUZXh0IjoiKDExKSIsIm1hbnVhbE92ZXJyaWRlVGV4dCI6IiJ9LCJjaXRhdGlvbkl0ZW1zIjpbeyJpZCI6ImFkZTRmY2VmLTdmOTYtMzkwZC04MDY3LTIwMWQzNGI1ODJhYiIsIml0ZW1EYXRhIjp7InR5cGUiOiJhcnRpY2xlLWpvdXJuYWwiLCJpZCI6ImFkZTRmY2VmLTdmOTYtMzkwZC04MDY3LTIwMWQzNGI1ODJhYiIsInRpdGxlIjoiQ29udmVyZ2VudCB2YWxpZGl0eSBvZiB0aGUgUFVUUyIsImdyb3VwSWQiOiIwN2Q2MmFjMS01YWE4LTM5YWYtYjQ5ZS01MmQyMDg4YWM1NzEiLCJhdXRob3IiOlt7ImZhbWlseSI6IkJyYW5kdCIsImdpdmVuIjoiVmFsZXJpZSBDYXRow6lyaW5lIiwicGFyc2UtbmFtZXMiOmZhbHNlLCJkcm9wcGluZy1wYXJ0aWNsZSI6IiIsIm5vbi1kcm9wcGluZy1wYXJ0aWNsZSI6IiJ9LHsiZmFtaWx5IjoiQmVjayIsImdpdmVuIjoiQ2hyaXN0aWFuIiwicGFyc2UtbmFtZXMiOmZhbHNlLCJkcm9wcGluZy1wYXJ0aWNsZSI6IiIsIm5vbi1kcm9wcGluZy1wYXJ0aWNsZSI6IiJ9LHsiZmFtaWx5IjoiU2FqaW4iLCJnaXZlbiI6IlZhbGVyaWEiLCJwYXJzZS1uYW1lcyI6ZmFsc2UsImRyb3BwaW5nLXBhcnRpY2xlIjoiIiwibm9uLWRyb3BwaW5nLXBhcnRpY2xlIjoiIn0seyJmYW1pbHkiOiJBbmRlcnMiLCJnaXZlbiI6IlNpbGtlIiwicGFyc2UtbmFtZXMiOmZhbHNlLCJkcm9wcGluZy1wYXJ0aWNsZSI6IiIsIm5vbi1kcm9wcGluZy1wYXJ0aWNsZSI6IiJ9LHsiZmFtaWx5IjoiTcO8bmNoYXUiLCJnaXZlbiI6IkFsZXhhbmRlciIsInBhcnNlLW5hbWVzIjpmYWxzZSwiZHJvcHBpbmctcGFydGljbGUiOiIiLCJub24tZHJvcHBpbmctcGFydGljbGUiOiIifV0sImNvbnRhaW5lci10aXRsZSI6IkZyb250aWVycyBpbiBQc3ljaGlhdHJ5IiwiRE9JIjoiMTAuMzM4OS9mcHN5dC4yMDE2LjAwMDUxIiwiSVNTTiI6IjE2NjQwNjQwIiwiaXNzdWVkIjp7ImRhdGUtcGFydHMiOltbMjAxNiw0LDddXX0sImFic3RyYWN0IjoiUHJlbW9uaXRvcnkgdXJnZXMgYXJlIGEgY2FyZGluYWwgZmVhdHVyZSBpbiBHaWxsZXMgZGUgbGEgVG91cmV0dGUgc3luZHJvbWUuIFNldmVyaXR5IG9mIHByZW1vbml0b3J5IHVyZ2VzIGNhbiBiZSBhc3Nlc3NlZCB3aXRoIHRoZSBcIlByZW1vbml0b3J5IFVyZ2UgZm9yIFRpYyBEaXNvcmRlcnMgU2NhbGVcIiAoUFVUUykuIEhvd2V2ZXIsIGNvbnZlcmdlbnQgdmFsaWRpdHkgb2YgdGhlIG1lYXN1cmUgaGFzIGJlZW4gZGlmZmljdWx0IHRvIGFzc2VzcyBkdWUgdG8gdGhlIGxhY2sgb2Ygb3RoZXIgdXJnZSBtZWFzdXJlcy4gV2UgaW52ZXN0aWdhdGVkIHRoZSByZWxhdGlvbnNoaXAgYmV0d2VlbiBhdmVyYWdlIHJlYWwtdGltZSB1cmdlIGludGVuc2l0eSBhc3Nlc3NlZCBieSBhbiBpbi1ob3VzZSBkZXZlbG9wZWQgcmVhbC10aW1lIHVyZ2UgbW9uaXRvciAoUlVNKSwgbWVhc3VyaW5nIHVyZ2UgaW50ZW5zaXR5IGNvbnRpbnVvdXNseSBmb3IgNSBtaW4gb24gYSB2aXN1YWwgYW5hbG9nIHNjYWxlLCBhbmQgZ2VuZXJhbCB1cmdlIGludGVuc2l0eSBhc3Nlc3NlZCBieSB0aGUgUFVUUyBpbiAyMiBhZHVsdCBUb3VyZXR0ZSBwYXRpZW50cyAobWVhbiBhZ2UgMjkuOCDCsSAxMC4zIFNELCAxOSBtYWxlcykuIEFkZGl0aW9uYWxseSwgdW5kZXJseWluZyBmYWN0b3JzIG9mIHByZW1vbml0b3J5IHVyZ2VzIGFzc2Vzc2VkIGJ5IHRoZSBQVVRTIHdlcmUgaW52ZXN0aWdhdGVkIGluIHRoZSBhZHVsdCBzYW1wbGUgdXNpbmcgZmFjdG9yIGFuYWx5c2lzIGFuZCB3ZXJlIHJlcGxpY2F0ZWQgaW4gNDAgY2hpbGRyZW4gYW5kIGFkb2xlc2NlbnRzIGRpYWdub3NlZCB3aXRoIFRvdXJldHRlIHN5bmRyb21lIChtZWFuIGFnZSAxMi4wNSDCsSAyLjgzIFNELCAzMSBtYWxlcykuIENyb25iYWNoJ3MgYSBmb3IgdGhlIFBVVFMgMTAgd2FzIGFjY2VwdGFibGUgKM6xID0gMC43OSkgaW4gdGhlIGFkdWx0IHNhbXBsZS4gQ29udmVyZ2VudCB2YWxpZGl0eSBiZXR3ZWVuIGF2ZXJhZ2UgcmVhbC10aW1lIHVyZ2UgaW50ZW5zaXR5IHNjb3JlcyAoYXMgYXNzZXNzZWQgd2l0aCB0aGUgUlVNKSBhbmQgdGhlIDEwLWl0ZW0gdmVyc2lvbiBvZiB0aGUgUFVUUyAociA9IDAuNjQpIGFuZCB0aGUgOS1pdGVtIHZlcnNpb24gb2YgdGhlIFBVVFMgKHIgPSAwLjY2KSB3YXMgZ29vZC4gQSBmYWN0b3IgYW5hbHlzaXMgaW5jbHVkaW5nIHRoZSAxMCBpdGVtcyBvZiB0aGUgUFVUUyBhbmQgYXZlcmFnZSByZWFsLXRpbWUgdXJnZSBpbnRlbnNpdHkgc2NvcmVzIHJldmVhbGVkIHRocmVlIGZhY3RvcnMuIE9uZSBmYWN0b3IgaW5jbHVkZWQgdGhlIGF2ZXJhZ2UgcmVhbC10aW1lIHVyZ2UgaW50ZW5zaXR5IHNjb3JlIGFuZCBhcHBlYXJlZCB0byBtZWFzdXJlIHVyZ2UgaW50ZW5zaXR5LCB3aGVyZWFzIHRoZSBvdGhlciB0d28gZmFjdG9ycyBjYW4gYmUgYXNzdW1lZCB0byByZWZsZWN0IHRoZSAoc2Vuc29yeSkgcXVhbGl0eSBvZiB1cmdlcyBhbmQgc3ViamVjdGl2ZSBjb250cm9sLCByZXNwZWN0aXZlbHkuIFRoZSBmYWN0b3Igc3RydWN0dXJlIG9mIHRoZSAxMCBQVVRTIGl0ZW1zIGFsb25lIHdhcyByZXBsaWNhdGVkIGluIGEgc2FtcGxlIG9mIGNoaWxkcmVuIGFuZCBhZG9sZXNjZW50cy4gVGhlIHJlc3VsdHMgaW5kaWNhdGUgdGhhdCBjb252ZXJnZW50IHZhbGlkaXR5IGJldHdlZW4gdGhlIFBVVFMgYW5kIHRoZSByZWFsLXRpbWUgdXJnZSBhc3Nlc3NtZW50IG1vbml0b3IgaXMgZ29vZC4gRnVydGhlcm1vcmUsIHRoZSByZXN1bHRzIHN1Z2dlc3QgdGhhdCB0aGUgUFVUUyBtaWdodCBhc3Nlc3MgbW9yZSB0aGFuIG9uZSBkaW1lbnNpb24gb2YgdXJnZXMsIGFuZCBpdCBtYXkgYmUgd29ydGh3aGlsZSBkZXZlbG9waW5nIGRpZmZlcmVudCBzdWJzY2FsZXMgb2YgdGhlIFBVVFMgYXNzZXNzaW5nIHByZW1vbml0b3J5IHVyZ2VzIGluIHRlcm1zIG9mIGludGVuc2l0eSBhbmQgcXVhbGl0eSwgYXMgd2VsbCBhcyBzdWJqZWN0aXZlbHkgZXhwZXJpZW5jZWQgY29udHJvbCBvdmVyIHRpY3MgYW5kIHByZW1vbml0b3J5IHVyZ2VzLiIsInB1Ymxpc2hlciI6IkZyb250aWVycyBSZXNlYXJjaCBGb3VuZGF0aW9uIiwiaXNzdWUiOiJBUFIiLCJ2b2x1bWUiOiI3IiwiY29udGFpbmVyLXRpdGxlLXNob3J0IjoiRnJvbnQgUHN5Y2hpYXRyeSJ9LCJpc1RlbXBvcmFyeSI6ZmFsc2V9XX0="/>
                <w:id w:val="961155949"/>
                <w:placeholder>
                  <w:docPart w:val="DefaultPlaceholder_-1854013440"/>
                </w:placeholder>
              </w:sdtPr>
              <w:sdtContent>
                <w:r w:rsidR="00F04E9F" w:rsidRPr="00F04E9F">
                  <w:rPr>
                    <w:rFonts w:eastAsia="Times New Roman" w:cs="Times New Roman"/>
                    <w:color w:val="000000"/>
                    <w:sz w:val="16"/>
                    <w:szCs w:val="16"/>
                  </w:rPr>
                  <w:t>(11)</w:t>
                </w:r>
              </w:sdtContent>
            </w:sdt>
          </w:p>
        </w:tc>
        <w:tc>
          <w:tcPr>
            <w:tcW w:w="0" w:type="auto"/>
            <w:shd w:val="clear" w:color="auto" w:fill="FFFFFF"/>
            <w:hideMark/>
          </w:tcPr>
          <w:p w14:paraId="4B040E4D"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22 adults with TS</w:t>
            </w:r>
          </w:p>
        </w:tc>
        <w:tc>
          <w:tcPr>
            <w:tcW w:w="0" w:type="auto"/>
            <w:shd w:val="clear" w:color="auto" w:fill="FFFFFF"/>
            <w:hideMark/>
          </w:tcPr>
          <w:p w14:paraId="75A589D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Significant correlation between Y-BOCS scores and PUTS-10 scores (Pearson’s r = 0.43, p &lt; 0.05), but not average real-time urge monitor scores </w:t>
            </w:r>
            <w:r w:rsidRPr="008A1F40">
              <w:rPr>
                <w:rFonts w:cs="Times New Roman"/>
                <w:color w:val="000000" w:themeColor="text1"/>
                <w:sz w:val="16"/>
                <w:szCs w:val="16"/>
              </w:rPr>
              <w:t>(Pearson’s r = 0.11, p &gt; 0.05)</w:t>
            </w:r>
            <w:r w:rsidRPr="008A1F40">
              <w:rPr>
                <w:rFonts w:eastAsia="Times New Roman" w:cs="Times New Roman"/>
                <w:color w:val="0D0D0D"/>
                <w:sz w:val="16"/>
                <w:szCs w:val="16"/>
              </w:rPr>
              <w:t xml:space="preserve"> or PUTS-9 scores </w:t>
            </w:r>
            <w:r w:rsidRPr="008A1F40">
              <w:rPr>
                <w:rFonts w:cs="Times New Roman"/>
                <w:color w:val="000000" w:themeColor="text1"/>
                <w:sz w:val="16"/>
                <w:szCs w:val="16"/>
              </w:rPr>
              <w:t>(Pearson’s r = 0.41, p &gt; 0.05)</w:t>
            </w:r>
          </w:p>
        </w:tc>
      </w:tr>
      <w:tr w:rsidR="00986E35" w:rsidRPr="008A1F40" w14:paraId="6DDE7402" w14:textId="77777777" w:rsidTr="007F77D2">
        <w:trPr>
          <w:tblCellSpacing w:w="15" w:type="dxa"/>
        </w:trPr>
        <w:tc>
          <w:tcPr>
            <w:tcW w:w="0" w:type="auto"/>
            <w:shd w:val="clear" w:color="auto" w:fill="FFFFFF"/>
            <w:hideMark/>
          </w:tcPr>
          <w:p w14:paraId="00BC45CB" w14:textId="23187139"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Kim et al (2020)</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GRiMmMyMjUtMTIwNS00YTEyLThiMDItNThhMGY1ZWQyNmViIiwicHJvcGVydGllcyI6eyJub3RlSW5kZXgiOjB9LCJpc0VkaXRlZCI6ZmFsc2UsIm1hbnVhbE92ZXJyaWRlIjp7ImlzTWFudWFsbHlPdmVycmlkZGVuIjpmYWxzZSwiY2l0ZXByb2NUZXh0IjoiKDE4KSIsIm1hbnVhbE92ZXJyaWRlVGV4dCI6IiJ9LCJjaXRhdGlvbkl0ZW1zIjpbeyJpZCI6ImJkZjkyYTRmLWRmZjMtMzNiYS1hZjNmLWY2MmIxYjIxOTgxZiIsIml0ZW1EYXRhIjp7InR5cGUiOiJhcnRpY2xlLWpvdXJuYWwiLCJpZCI6ImJkZjkyYTRmLWRmZjMtMzNiYS1hZjNmLWY2MmIxYjIxOTgxZiIsInRpdGxlIjoiRGV2ZWxvcG1lbnQgb2YgdGhlIEtvcmVhbiBGb3JtIG9mIHRoZSBQcmVtb25pdG9yeSBVcmdlIGZvciBUaWNzIFNjYWxlOiBBIFJlbGlhYmlsaXR5IGFuZCBWYWxpZGl0eSBTdHVkeSIsImdyb3VwSWQiOiIwN2Q2MmFjMS01YWE4LTM5YWYtYjQ5ZS01MmQyMDg4YWM1NzEiLCJhdXRob3IiOlt7ImZhbWlseSI6IktpbSIsImdpdmVuIjoiTSIsInBhcnNlLW5hbWVzIjpmYWxzZSwiZHJvcHBpbmctcGFydGljbGUiOiIiLCJub24tZHJvcHBpbmctcGFydGljbGUiOiIifSx7ImZhbWlseSI6IkNodW5nIiwiZ2l2ZW4iOiJTIEsiLCJwYXJzZS1uYW1lcyI6ZmFsc2UsImRyb3BwaW5nLXBhcnRpY2xlIjoiIiwibm9uLWRyb3BwaW5nLXBhcnRpY2xlIjoiIn0seyJmYW1pbHkiOiJZYW5nIiwiZ2l2ZW4iOiJKIEMiLCJwYXJzZS1uYW1lcyI6ZmFsc2UsImRyb3BwaW5nLXBhcnRpY2xlIjoiIiwibm9uLWRyb3BwaW5nLXBhcnRpY2xlIjoiIn0seyJmYW1pbHkiOiJQYXJrIiwiZ2l2ZW4iOiJKIEkiLCJwYXJzZS1uYW1lcyI6ZmFsc2UsImRyb3BwaW5nLXBhcnRpY2xlIjoiIiwibm9uLWRyb3BwaW5nLXBhcnRpY2xlIjoiIn0seyJmYW1pbHkiOiJOYW0iLCJnaXZlbiI6IlMgSCIsInBhcnNlLW5hbWVzIjpmYWxzZSwiZHJvcHBpbmctcGFydGljbGUiOiIiLCJub24tZHJvcHBpbmctcGFydGljbGUiOiIifSx7ImZhbWlseSI6IlBhcmsiLCJnaXZlbiI6IlQgVyIsInBhcnNlLW5hbWVzIjpmYWxzZSwiZHJvcHBpbmctcGFydGljbGUiOiIiLCJub24tZHJvcHBpbmctcGFydGljbGUiOiIifV0sImNvbnRhaW5lci10aXRsZSI6IlNvYSBDaG9uZ3NvbnlvbiBDaG9uZ3NpbiBVaWhhayIsIkRPSSI6IjEwLjU3NjUvamthY2FwLjIwMDAxMyIsIlBNSUQiOiIzMjY2NTc1OCIsIlVSTCI6Imh0dHBzOi8vd3d3Lm5jYmkubmxtLm5paC5nb3YvcG1jL2FydGljbGVzL1BNQzczNTA1NDUvcGRmL0pLQUNBUC0zMS0xNDYucGRmIiwiaXNzdWVkIjp7ImRhdGUtcGFydHMiOltbMjAyMF1dfSwicGFnZSI6IjE0Ni0xNTMiLCJhYnN0cmFjdCI6Ik9CSkVDVElWRVM6IFRoaXMgc3R1ZHkgYWltZWQgdG8gZXZhbHVhdGUgdGhlIHJlbGlhYmlsaXR5IGFuZCB2YWxpZGl0eSBvZiB0aGUgS29yZWFuIEZvcm0gb2YgdGhlIFByZW1vbml0b3J5IFVyZ2UgZm9yIFRpY3MgU2NhbGUgKEstUFVUUykuIE1FVEhPRFM6IFRoaXJ0eS1laWdodCBwYXRpZW50cyB3aXRoIFRvdXJldHRlJ3MgZGlzb3JkZXIgd2hvIHZpc2l0ZWQgSmVvbmJ1ayBOYXRpb25hbCBVbml2ZXJzaXR5IEhvc3BpdGFsIHdlcmUgYXNzZXNzZWQgd2l0aCB0aGUgSy1QVVRTLiBUb2dldGhlciB3aXRoIHRoZSBQVVRTLCB0aGUgWWFsZSBHbG9iYWwgVGljIFNldmVyaXR5IFNjYWxlIChZR1RTUyksIHRoZSBDaGlsZHJlbidzIFlhbGUtQnJvd24gT2JzZXNzaXZlIENvbXB1bHNpdmUgU2NhbGUgKENZLUJPQ1MpLCB0aGUgYXR0ZW50aW9uLWRlZmljaXQvaHlwZXJhY3Rpdml0eSBkaXNvcmRlciAoQURIRCkgcmF0aW5nIHNjYWxlIChBUlMpLCBhbmQgdGhlIEFkdWx0IEFESEQgU2VsZi1SZXBvcnQgU2NhbGUgKEFTUlMpIHdlcmUgaW1wbGVtZW50ZWQgdG8gZXZhbHVhdGUgY29uY3VycmVudCBhbmQgZGlzY3JpbWluYW50IHZhbGlkaXR5LiBSRVNVTFRTOiBUaGUgaW50ZXJuYWwgY29uc2lzdGVuY3kgb2YgaXRlbXMgb24gdGhlIFBVVFMgd2FzIGhpZ2gsIHdpdGggYSBDcm9uYmFjaCdzIM6xIG9mIDAuNzkuIFRoZSB0ZXN0LXJldGVzdCByZWxpYWJpbGl0eSBvZiB0aGUgUFVUUywgd2hpY2ggd2FzIGFkbWluaXN0ZXJlZCBhdCAyIHdlZWtzIHRvIDIgbW9udGhzIGludGVydmFscywgc2hvd2VkIGhpZ2ggcmVsaWFiaWxpdHkgd2l0aCBhIFBlYXJzb24gY29ycmVsYXRpb24gY29lZmZpY2llbnQgb2YgMC42MC4gVGhlcmUgd2FzIGEgc2lnbmlmaWNhbnQgcG9zaXRpdmUgY29ycmVsYXRpb24gYmV0d2VlbiB0aGUgb3ZlcmFsbCBQVVRTIHNjb3JlIGFuZCB0aGUgWUdUU1Mgc2NvcmUsIHNob3dpbmcgY29uY3VycmVudCB2YWxpZGl0eS4gVGhlcmUgd2FzIG5vIGNvcnJlbGF0aW9uIGJldHdlZW4gdGhlIFBVVFMsIENZLUJPQ1MsIGFuZCBBU1JTIHNjb3JlcywgZGVtb25zdHJhdGluZyB0aGUgZGlzY3JpbWluYW50IHZhbGlkaXR5IG9mIHRoZSBQVVRTLiBGYWN0b3IgYW5hbHlzaXMgZm9yIGNvbnN0cnVjdCB2YWxpZGl0eSByZXZlYWxlZCB0aHJlZSBmYWN0b3JzOiBcInByZXN1bWVkIGZ1bmN0aW9uYWwgcmVsYXRpb25zaGlwIGJldHdlZW4gdGhlIHRpYyBhbmQgdGhlIHVyZ2UgdG8gdGljLFwiIFwidGhlIHF1YWxpdHkgb2YgdGhlIHByZW1vbml0b3J5IHVyZ2UsXCIgYW5kIFwianVzdCByaWdodCBwaGVub21lbmEuXCIgQ09OQ0xVU0lPTjogVGhlIHJlc3VsdHMgb2YgdGhpcyBzdHVkeSBpbmRpY2F0ZSB0aGF0IHRoZSBLLVBVVFMgaXMgYSByZWxpYWJsZSBhbmQgdmFsaWQgc2NhbGUgZm9yIHJhdGluZyBwcmVtb25pdG9yeSB1cmdlIG9mIHRpY3MuIiwiaXNzdWUiOiIzIiwidm9sdW1lIjoiMzEiLCJjb250YWluZXItdGl0bGUtc2hvcnQiOiIifSwiaXNUZW1wb3JhcnkiOmZhbHNlfV19"/>
                <w:id w:val="-1153678014"/>
                <w:placeholder>
                  <w:docPart w:val="DefaultPlaceholder_-1854013440"/>
                </w:placeholder>
              </w:sdtPr>
              <w:sdtContent>
                <w:r w:rsidR="00F04E9F" w:rsidRPr="00F04E9F">
                  <w:rPr>
                    <w:rFonts w:eastAsia="Times New Roman" w:cs="Times New Roman"/>
                    <w:color w:val="000000"/>
                    <w:sz w:val="16"/>
                    <w:szCs w:val="16"/>
                  </w:rPr>
                  <w:t>(18)</w:t>
                </w:r>
              </w:sdtContent>
            </w:sdt>
          </w:p>
        </w:tc>
        <w:tc>
          <w:tcPr>
            <w:tcW w:w="0" w:type="auto"/>
            <w:shd w:val="clear" w:color="auto" w:fill="FFFFFF"/>
            <w:hideMark/>
          </w:tcPr>
          <w:p w14:paraId="51CE280E"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Data from 20 children and adults with CTDs</w:t>
            </w:r>
          </w:p>
        </w:tc>
        <w:tc>
          <w:tcPr>
            <w:tcW w:w="0" w:type="auto"/>
            <w:shd w:val="clear" w:color="auto" w:fill="FFFFFF"/>
            <w:hideMark/>
          </w:tcPr>
          <w:p w14:paraId="6CE37A79"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Non-significant Spearman’s correlations between PUTS scores and CY-BOCS/Y-BOCS scores (</w:t>
            </w:r>
            <w:r w:rsidRPr="008A1F40">
              <w:rPr>
                <w:rFonts w:cs="Times New Roman"/>
                <w:color w:val="000000" w:themeColor="text1"/>
                <w:sz w:val="16"/>
                <w:szCs w:val="16"/>
              </w:rPr>
              <w:t>p &gt; 0.05, correlation magnitudes not reported in publication)</w:t>
            </w:r>
          </w:p>
        </w:tc>
      </w:tr>
      <w:tr w:rsidR="00986E35" w:rsidRPr="008A1F40" w14:paraId="299EAE87" w14:textId="77777777" w:rsidTr="007F77D2">
        <w:trPr>
          <w:tblCellSpacing w:w="15" w:type="dxa"/>
        </w:trPr>
        <w:tc>
          <w:tcPr>
            <w:tcW w:w="0" w:type="auto"/>
            <w:shd w:val="clear" w:color="auto" w:fill="FFFFFF"/>
            <w:hideMark/>
          </w:tcPr>
          <w:p w14:paraId="0A155AE7" w14:textId="79084F52"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Reese et al (2014)</w:t>
            </w:r>
            <w:r w:rsidR="002B60DF">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WIzNWY4OGQtODQ4ZC00ZmU2LTg1MGUtMzMzNDlkNWYzNzM1IiwicHJvcGVydGllcyI6eyJub3RlSW5kZXgiOjB9LCJpc0VkaXRlZCI6ZmFsc2UsIm1hbnVhbE92ZXJyaWRlIjp7ImlzTWFudWFsbHlPdmVycmlkZGVuIjpmYWxzZSwiY2l0ZXByb2NUZXh0IjoiKDE1KSIsIm1hbnVhbE92ZXJyaWRlVGV4dCI6IiJ9LCJjaXRhdGlvbkl0ZW1zIjpbeyJpZCI6IjM2OWMxMGM3LTAxNzYtMzQyMS04MmJlLTg4YzAwMGQzMWIyYSIsIml0ZW1EYXRhIjp7InR5cGUiOiJhcnRpY2xlLWpvdXJuYWwiLCJpZCI6IjM2OWMxMGM3LTAxNzYtMzQyMS04MmJlLTg4YzAwMGQzMWIyYSIsInRpdGxlIjoiVGhlIHByZW1vbml0b3J5IHVyZ2UgdG8gdGljOiBtZWFzdXJlbWVudCwgY2hhcmFjdGVyaXN0aWNzLCBhbmQgY29ycmVsYXRlcyBpbiBvbGRlciBhZG9sZXNjZW50cyBhbmQgYWR1bHRzIiwiZ3JvdXBJZCI6IjA3ZDYyYWMxLTVhYTgtMzlhZi1iNDllLTUyZDIwODhhYzU3MSIsImF1dGhvciI6W3siZmFtaWx5IjoiUmVlc2UiLCJnaXZlbiI6IkggRSIsInBhcnNlLW5hbWVzIjpmYWxzZSwiZHJvcHBpbmctcGFydGljbGUiOiIiLCJub24tZHJvcHBpbmctcGFydGljbGUiOiIifSx7ImZhbWlseSI6IlNjYWhpbGwiLCJnaXZlbiI6IkwiLCJwYXJzZS1uYW1lcyI6ZmFsc2UsImRyb3BwaW5nLXBhcnRpY2xlIjoiIiwibm9uLWRyb3BwaW5nLXBhcnRpY2xlIjoiIn0seyJmYW1pbHkiOiJQZXRlcnNvbiIsImdpdmVuIjoiQSBMIiwicGFyc2UtbmFtZXMiOmZhbHNlLCJkcm9wcGluZy1wYXJ0aWNsZSI6IiIsIm5vbi1kcm9wcGluZy1wYXJ0aWNsZSI6IiJ9LHsiZmFtaWx5IjoiQ3Jvd2UiLCJnaXZlbiI6IksiLCJwYXJzZS1uYW1lcyI6ZmFsc2UsImRyb3BwaW5nLXBhcnRpY2xlIjoiIiwibm9uLWRyb3BwaW5nLXBhcnRpY2xlIjoiIn0seyJmYW1pbHkiOiJXb29kcyIsImdpdmVuIjoiRCBXIiwicGFyc2UtbmFtZXMiOmZhbHNlLCJkcm9wcGluZy1wYXJ0aWNsZSI6IiIsIm5vbi1kcm9wcGluZy1wYXJ0aWNsZSI6IiJ9LHsiZmFtaWx5IjoiUGlhY2VudGluaSIsImdpdmVuIjoiSiIsInBhcnNlLW5hbWVzIjpmYWxzZSwiZHJvcHBpbmctcGFydGljbGUiOiIiLCJub24tZHJvcHBpbmctcGFydGljbGUiOiIifSx7ImZhbWlseSI6IldhbGt1cCIsImdpdmVuIjoiSiBUIiwicGFyc2UtbmFtZXMiOmZhbHNlLCJkcm9wcGluZy1wYXJ0aWNsZSI6IiIsIm5vbi1kcm9wcGluZy1wYXJ0aWNsZSI6IiJ9LHsiZmFtaWx5IjoiV2lsaGVsbSIsImdpdmVuIjoiUyIsInBhcnNlLW5hbWVzIjpmYWxzZSwiZHJvcHBpbmctcGFydGljbGUiOiIiLCJub24tZHJvcHBpbmctcGFydGljbGUiOiIifV0sImNvbnRhaW5lci10aXRsZSI6IkJlaGF2IFRoZXIiLCJET0kiOiIxMC4xMDE2L2ouYmV0aC4yMDEzLjA5LjAwMiIsIlBNSUQiOiIyNDQ5MTE5MyIsImlzc3VlZCI6eyJkYXRlLXBhcnRzIjpbWzIwMTRdXX0sInBhZ2UiOiIxNzctMTg2IiwiYWJzdHJhY3QiOiJJbiBhZGRpdGlvbiB0byBtb3RvciBhbmQvb3Igdm9jYWwgdGljcywgbWFueSBpbmRpdmlkdWFscyB3aXRoIFRvdXJldHRlIHN5bmRyb21lIChUUykgb3IgY2hyb25pYyB0aWMgZGlzb3JkZXIgKENURCkgcmVwb3J0IGZyZXF1ZW50LCB1bmNvbWZvcnRhYmxlIHNlbnNvcnkgcGhlbm9tZW5hIHRoYXQgaW1tZWRpYXRlbHkgcHJlY2VkZSB0aGUgdGljcy4gVG8gZGF0ZSwgZXhhbWluYXRpb24gb2YgdGhlc2UgcHJlbW9uaXRvcnkgc2Vuc2F0aW9ucyBvciB1cmdlcyBoYXMgYmVlbiBsaW1pdGVkIGJ5IGluY29uc2lzdGVudCBhc3Nlc3NtZW50IHRvb2xzLiBJbiB0aGlzIHBhcGVyLCB3ZSBleGFtaW5lIHRoZSBwc3ljaG9tZXRyaWMgcHJvcGVydGllcyBvZiBhIG5pbmUtaXRlbSBzZWxmLXJlcG9ydCBtZWFzdXJlLCB0aGUgUHJlbW9uaXRvcnkgVXJnZSB0byBUaWMgU2NhbGUgKFBVVFMpIGFuZCBleGFtaW5lIHRoZSBjaGFyYWN0ZXJpc3RpY3MgYW5kIGNvcnJlbGF0ZXMgb2YgdGhlIHByZW1vbml0b3J5IHVyZ2UgdG8gdGljIGluIGEgY2xpbmljYWwgc2FtcGxlIG9mIDEyMiBvbGRlciBhZG9sZXNjZW50cyBhbmQgYWR1bHRzIHdpdGggVFMgb3IgQ1RELiBUaGUgUFVUUyBkZW1vbnN0cmF0ZWQgYWRlcXVhdGUgaW50ZXJuYWwgY29uc2lzdGVuY3ksIHRlbXBvcmFsIHN0YWJpbGl0eSwgYW5kIGNvbmN1cnJlbnQgdmFsaWRpdHkuIFByZW1vbml0b3J5IHVyZ2VzIHdlcmUgZW5kb3JzZWQgYnkgdGhlIG1ham9yaXR5IG9mIGluZGl2aWR1YWxzLiBNb3N0IGluZGl2aWR1YWxzIHJlcG9ydGVkIHNvbWUgcmVsaWVmIGZyb20gdGhlIHVyZ2VzIGFmdGVyIGNvbXBsZXRpbmcgYSB0aWMgYW5kIGJlaW5nIGFibGUgdG8gc3RvcCB0aGVpciB0aWNzIGV2ZW4gaWYgb25seSB0ZW1wb3JhcmlseS4gRGVncmVlIG9mIHByZW1vbml0b3J5IHVyZ2VzIHdhcyBub3Qgc2lnbmlmaWNhbnRseSBjb3JyZWxhdGVkIHdpdGggYWdlLCBhbmQgd2UgZGlkIG5vdCBvYnNlcnZlIGFueSBnZW5kZXIgZGlmZmVyZW5jZXMuIERlZ3JlZSBvZiBwcmVtb25pdG9yeSB1cmdlcyB3YXMgc2lnbmlmaWNhbnRseSBjb3JyZWxhdGVkIHdpdGggZXN0aW1hdGVkIElRIGFuZCB0aWMgc2V2ZXJpdHksIGJ1dCBub3Qgc2V2ZXJpdHkgb2YgY29tb3JiaWQgb2JzZXNzaXZlLWNvbXB1bHNpdmUgZGlzb3JkZXIgb3IgYXR0ZW50aW9uLWRlZmljaXQgaHlwZXJhY3Rpdml0eSBkaXNvcmRlci4gQWxzbywgaXQgd2FzIG5vdCByZWxhdGVkIHRvIGNvbmNvbWl0YW50IG1lZGljYXRpb24gc3RhdHVzLiBUaGVzZSBmaW5kaW5ncyByZXByZXNlbnQgYW5vdGhlciBzdGVwIGZvcndhcmQgaW4gb3VyIHVuZGVyc3RhbmRpbmcgb2YgdGhlIHByZW1vbml0b3J5IHNlbnNhdGlvbnMgYXNzb2NpYXRlZCB3aXRoIFRTIGFuZCBDVEQuIiwiaXNzdWUiOiIyIiwidm9sdW1lIjoiNDUiLCJjb250YWluZXItdGl0bGUtc2hvcnQiOiIifSwiaXNUZW1wb3JhcnkiOmZhbHNlfV19"/>
                <w:id w:val="-1794975965"/>
                <w:placeholder>
                  <w:docPart w:val="DefaultPlaceholder_-1854013440"/>
                </w:placeholder>
              </w:sdtPr>
              <w:sdtContent>
                <w:r w:rsidR="00F04E9F" w:rsidRPr="00F04E9F">
                  <w:rPr>
                    <w:rFonts w:eastAsia="Times New Roman" w:cs="Times New Roman"/>
                    <w:color w:val="000000"/>
                    <w:sz w:val="16"/>
                    <w:szCs w:val="16"/>
                  </w:rPr>
                  <w:t>(15)</w:t>
                </w:r>
              </w:sdtContent>
            </w:sdt>
          </w:p>
        </w:tc>
        <w:tc>
          <w:tcPr>
            <w:tcW w:w="0" w:type="auto"/>
            <w:shd w:val="clear" w:color="auto" w:fill="FFFFFF"/>
            <w:hideMark/>
          </w:tcPr>
          <w:p w14:paraId="704D123A"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122 adolescents and adults with TS</w:t>
            </w:r>
          </w:p>
        </w:tc>
        <w:tc>
          <w:tcPr>
            <w:tcW w:w="0" w:type="auto"/>
            <w:shd w:val="clear" w:color="auto" w:fill="FFFFFF"/>
            <w:hideMark/>
          </w:tcPr>
          <w:p w14:paraId="57C131C1"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Non-significant correlation between Y-BOCS total scores and PUTS scores (</w:t>
            </w:r>
            <w:r w:rsidRPr="008A1F40">
              <w:rPr>
                <w:rFonts w:cs="Times New Roman"/>
                <w:color w:val="000000" w:themeColor="text1"/>
                <w:sz w:val="16"/>
                <w:szCs w:val="16"/>
              </w:rPr>
              <w:t xml:space="preserve">r = 0.11, p = 0.25) </w:t>
            </w:r>
            <w:r w:rsidRPr="008A1F40">
              <w:rPr>
                <w:rFonts w:eastAsia="Times New Roman" w:cs="Times New Roman"/>
                <w:color w:val="000000" w:themeColor="text1"/>
                <w:sz w:val="16"/>
                <w:szCs w:val="16"/>
              </w:rPr>
              <w:t>(</w:t>
            </w:r>
            <w:r w:rsidRPr="008A1F40">
              <w:rPr>
                <w:rFonts w:eastAsia="Times New Roman" w:cs="Times New Roman"/>
                <w:color w:val="0D0D0D"/>
                <w:sz w:val="16"/>
                <w:szCs w:val="16"/>
              </w:rPr>
              <w:t>correlation type unclear from publication)</w:t>
            </w:r>
          </w:p>
        </w:tc>
      </w:tr>
      <w:tr w:rsidR="00986E35" w:rsidRPr="008A1F40" w14:paraId="41ED7578" w14:textId="77777777" w:rsidTr="007F77D2">
        <w:trPr>
          <w:tblCellSpacing w:w="15" w:type="dxa"/>
        </w:trPr>
        <w:tc>
          <w:tcPr>
            <w:tcW w:w="0" w:type="auto"/>
            <w:shd w:val="clear" w:color="auto" w:fill="FFFFFF"/>
            <w:hideMark/>
          </w:tcPr>
          <w:p w14:paraId="479A3CB8" w14:textId="0B673124"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Woods et al (2005)</w:t>
            </w:r>
            <w:r w:rsidR="00CC6064">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jJhZWUyODctOTViOC00NjI5LWFkOWQtM2RlNGQyYTc0NTkxIiwicHJvcGVydGllcyI6eyJub3RlSW5kZXgiOjB9LCJpc0VkaXRlZCI6ZmFsc2UsIm1hbnVhbE92ZXJyaWRlIjp7ImlzTWFudWFsbHlPdmVycmlkZGVuIjpmYWxzZSwiY2l0ZXByb2NUZXh0IjoiKDIpIiwibWFudWFsT3ZlcnJpZGVUZXh0IjoiIn0sImNpdGF0aW9uSXRlbXMiOlt7ImlkIjoiNjcyM2VkNzQtMGQ1Ny0zYTZhLWIwMzEtODVkN2Y4N2Q5NTVmIiwiaXRlbURhdGEiOnsidHlwZSI6ImFydGljbGUtam91cm5hbCIsImlkIjoiNjcyM2VkNzQtMGQ1Ny0zYTZhLWIwMzEtODVkN2Y4N2Q5NTVmIiwidGl0bGUiOiJQcmVtb25pdG9yeSBVcmdlIGZvciBUaWNzIFNjYWxlIChQVVRTKTogaW5pdGlhbCBwc3ljaG9tZXRyaWMgcmVzdWx0cyBhbmQgZXhhbWluYXRpb24gb2YgdGhlIHByZW1vbml0b3J5IHVyZ2UgcGhlbm9tZW5vbiBpbiB5b3V0aHMgd2l0aCBUaWMgZGlzb3JkZXJzIiwiZ3JvdXBJZCI6IjA3ZDYyYWMxLTVhYTgtMzlhZi1iNDllLTUyZDIwODhhYzU3MSIsImF1dGhvciI6W3siZmFtaWx5IjoiV29vZHMiLCJnaXZlbiI6IkQgVyIsInBhcnNlLW5hbWVzIjpmYWxzZSwiZHJvcHBpbmctcGFydGljbGUiOiIiLCJub24tZHJvcHBpbmctcGFydGljbGUiOiIifSx7ImZhbWlseSI6IlBpYWNlbnRpbmkiLCJnaXZlbiI6IkoiLCJwYXJzZS1uYW1lcyI6ZmFsc2UsImRyb3BwaW5nLXBhcnRpY2xlIjoiIiwibm9uLWRyb3BwaW5nLXBhcnRpY2xlIjoiIn0seyJmYW1pbHkiOiJIaW1sZSIsImdpdmVuIjoiTSBCIiwicGFyc2UtbmFtZXMiOmZhbHNlLCJkcm9wcGluZy1wYXJ0aWNsZSI6IiIsIm5vbi1kcm9wcGluZy1wYXJ0aWNsZSI6IiJ9LHsiZmFtaWx5IjoiQ2hhbmciLCJnaXZlbiI6IlMiLCJwYXJzZS1uYW1lcyI6ZmFsc2UsImRyb3BwaW5nLXBhcnRpY2xlIjoiIiwibm9uLWRyb3BwaW5nLXBhcnRpY2xlIjoiIn1dLCJjb250YWluZXItdGl0bGUiOiJKIERldiBCZWhhdiBQZWRpYXRyIiwiRE9JIjoiMTAuMTA5Ny8wMDAwNDcwMy0yMDA1MTIwMDAtMDAwMDEiLCJQTUlEIjoiMTYzNDQ2NTQiLCJpc3N1ZWQiOnsiZGF0ZS1wYXJ0cyI6W1syMDA1XV19LCJwYWdlIjoiMzk3LTQwMyIsImFic3RyYWN0IjoiQWx0aG91Z2ggbW90b3IgdGljcyBhbmQvb3Igdm9jYWwgdGljcyBhcmUgdGhlIGRlZmluaW5nIGZlYXR1cmVzIG9mIGNocm9uaWMgdGljIGRpc29yZGVyIChDVEQpIGFuZCBUb3VyZXR0ZSBzeW5kcm9tZSAoVFMpLCBvbGRlciB5b3V0aHMgYW5kIGFkdWx0cyBvZnRlbiByZXBvcnQgdGhlaXIgdGljcyB0byBiZSBwcmVjZWRlZCBieSBhbiB1bnBsZWFzYW50IHNlbnNhdGlvbiBvciBcInByZW1vbml0b3J5IHVyZ2UuXCIgV2hpbGUgcHJlbW9uaXRvcnkgdXJnZSBwaGVub21lbmEgbWF5IHBsYXkgYW4gaW1wb3J0YW50IHJvbGUgaW4gYmVoYXZpb3JhbCBpbnRlcnZlbnRpb25zIGZvciBDVEQvVFMsIHN0YW5kYXJkaXplZCBhc3Nlc3NtZW50cyBmb3IgcHJlbW9uaXRvcnkgdXJnZXMgZG8gbm90IGV4aXN0LiBUaGUgY3VycmVudCBzdHVkeSBvZiA0MiB5b3V0aHMgd2l0aCBUUyBvciBDVEQgcHJlc2VudHMgaW5pdGlhbCBwc3ljaG9tZXRyaWMgZGF0YSBmb3IgYSBuZXcsIGJyaWVmIHNlbGYtcmVwb3J0IHNjYWxlIGRlc2lnbmVkIHRvIG1lYXN1cmUgdGljLXJlbGF0ZWQgcHJlbW9uaXRvcnkgdXJnZXMuIFJlc3VsdHMgc2hvd2VkIHRoYXQgdGhlIFByZW1vbml0b3J5IFVyZ2UgZm9yIFRpY3MgU2NhbGUgKFBVVFMpIHdhcyBpbnRlcm5hbGx5IGNvbnNpc3RlbnQgKGFscGhhID0gLjgxKSBhbmQgdGVtcG9yYWxseSBzdGFibGUgYXQgMSAociA9IDAuNzksIHAgPCAuMDEpIGFuZCAyIChyID0gMC44NiwgcCA8IC4wMSkgd2Vla3MuIFBVVFMgc2NvcmVzIHdlcmUgYWxzbyBjb3JyZWxhdGVkIHdpdGggb3ZlcmFsbCB0aWMgc2V2ZXJpdHkgYXMgbWVhc3VyZWQgYnkgdGhlIFlhbGUgR2xvYmFsIFRpYyBTZXZlcml0eSBTY2FsZSAoWUdUU1M7IHIgPSAwLjMxLCBwIDwgLjA1KSBhbmQgdGhlIFlHVFNTIG51bWJlciAociA9IDAuMzUsIHAgPCAuMDUpLCBjb21wbGV4aXR5IChyID0gMC40OSwgcCA8IC4wMSksIGFuZCBpbnRlcmZlcmVuY2UgKHIgPSAwLjM2LCBwIDwgLjA1KSBzdWJzY2FsZXMuIEZpbmFsbHksIGFuIGV4YW1pbmF0aW9uIG9mIHRoZSBwc3ljaGlhdHJpYyBjb3JyZWxhdGVzIG9mIHRoZSBwcmVtb25pdG9yeSB1cmdlIHBoZW5vbWVub24geWllbGRlZCBzaWduaWZpY2FudCBjb3JyZWxhdGlvbnMgYmV0d2VlbiB0aGUgUFVUUyBhbmQgdGhlIENoaWxkIEJlaGF2aW9yIENoZWNrbGlzdCAoQ0JDTCkgYW54aWV0eS9kZXByZXNzaW9uIChyID0gMC4zMywgcCA8IC4wNSksIGFuZCB3aXRoZHJhd2FsIChyID0gMC4zOCwgcCA8IC4wNSkgc3Vic2NhbGVzIGFzIHdlbGwgYXMgdGhlIENoaWxkcmVuJ3MgWWFsZS1Ccm93biBPYnNlc3NpdmUgQ29tcHVsc2l2ZSBTY2FsZSAoQ1lCT0NTOyByID0gMC4zMSwgcCA8IC4wNSkuIEhvd2V2ZXIsIGEgY3Jvc3Mtc2VjdGlvbmFsIGV4YW1pbmF0aW9uIG9mIHRoZSBkYXRhIHNob3dlZCB0aGF0IHRoZSBwc3ljaG9tZXRyaWMgcHJvcGVydGllcyBvZiB0aGUgUFVUUyB3ZXJlIG5vdCBhY2NlcHRhYmxlIGZvciB5b3V0aHMgMTAgeWVhcnMgb2YgYWdlIGFuZCB5b3VuZ2VyLiBMaWtld2lzZSwgc2lnbmlmaWNhbnQgY29ycmVsYXRpb25zIGZvdW5kIGJldHdlZW4gdGhlIFlHVFNTIHN1YnNjYWxlcywgQ0JDTCBzdWJzY2FsZXMsIENZQk9DUywgYW5kIHRoZSBQVVRTIGRpZCBub3QgZW1lcmdlIGluIHRoaXMgeW91bmdlciBhZ2UgZ3JvdXAuIFRoZSBjbGluaWNhbCBhbmQgdGhlb3JldGljYWwgaW1wbGljYXRpb25zIG9mIHRoZXNlIGZpbmRpbmdzIGFyZSBkaXNjdXNzZWQuIiwiaXNzdWUiOiI2Iiwidm9sdW1lIjoiMjYiLCJjb250YWluZXItdGl0bGUtc2hvcnQiOiIifSwiaXNUZW1wb3JhcnkiOmZhbHNlfV19"/>
                <w:id w:val="-523939880"/>
                <w:placeholder>
                  <w:docPart w:val="DefaultPlaceholder_-1854013440"/>
                </w:placeholder>
              </w:sdtPr>
              <w:sdtContent>
                <w:r w:rsidR="00F04E9F" w:rsidRPr="00F04E9F">
                  <w:rPr>
                    <w:rFonts w:eastAsia="Times New Roman" w:cs="Times New Roman"/>
                    <w:color w:val="000000"/>
                    <w:sz w:val="16"/>
                    <w:szCs w:val="16"/>
                  </w:rPr>
                  <w:t>(2)</w:t>
                </w:r>
              </w:sdtContent>
            </w:sdt>
          </w:p>
        </w:tc>
        <w:tc>
          <w:tcPr>
            <w:tcW w:w="0" w:type="auto"/>
            <w:shd w:val="clear" w:color="auto" w:fill="FFFFFF"/>
            <w:hideMark/>
          </w:tcPr>
          <w:p w14:paraId="03184A3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42 children and adolescents with CTDs</w:t>
            </w:r>
          </w:p>
        </w:tc>
        <w:tc>
          <w:tcPr>
            <w:tcW w:w="0" w:type="auto"/>
            <w:shd w:val="clear" w:color="auto" w:fill="FFFFFF"/>
            <w:hideMark/>
          </w:tcPr>
          <w:p w14:paraId="55E404FC" w14:textId="77777777" w:rsidR="00986E35" w:rsidRPr="008A1F40" w:rsidRDefault="00986E35" w:rsidP="007F77D2">
            <w:pPr>
              <w:rPr>
                <w:rFonts w:cs="Times New Roman"/>
                <w:color w:val="000000" w:themeColor="text1"/>
                <w:sz w:val="16"/>
                <w:szCs w:val="16"/>
              </w:rPr>
            </w:pPr>
            <w:r w:rsidRPr="008A1F40">
              <w:rPr>
                <w:rFonts w:eastAsia="Times New Roman" w:cs="Times New Roman"/>
                <w:color w:val="0D0D0D"/>
                <w:sz w:val="16"/>
                <w:szCs w:val="16"/>
              </w:rPr>
              <w:t xml:space="preserve">Positive correlation between PUTS scores and CYBOCS scores </w:t>
            </w:r>
            <w:r w:rsidRPr="008A1F40">
              <w:rPr>
                <w:rFonts w:cs="Times New Roman"/>
                <w:color w:val="000000" w:themeColor="text1"/>
                <w:sz w:val="16"/>
                <w:szCs w:val="16"/>
              </w:rPr>
              <w:t xml:space="preserve">(Pearson’s r = 0.31, p &lt; 0.05) </w:t>
            </w:r>
          </w:p>
          <w:p w14:paraId="27A00BB2" w14:textId="6DF673CF"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 xml:space="preserve">Sample was </w:t>
            </w:r>
            <w:r w:rsidR="00403C67">
              <w:rPr>
                <w:rFonts w:cs="Times New Roman"/>
                <w:color w:val="000000" w:themeColor="text1"/>
                <w:sz w:val="16"/>
                <w:szCs w:val="16"/>
              </w:rPr>
              <w:t xml:space="preserve">divided </w:t>
            </w:r>
            <w:r w:rsidRPr="008A1F40">
              <w:rPr>
                <w:rFonts w:cs="Times New Roman"/>
                <w:color w:val="000000" w:themeColor="text1"/>
                <w:sz w:val="16"/>
                <w:szCs w:val="16"/>
              </w:rPr>
              <w:t>into subgroups aged 8-10 (n = 19) and aged 11-16 (n = 23) - this correlation only remained significant in the older group (older group: r = 0.55, p &lt; 0.01, younger group: r = 0.24, p = 0.34)</w:t>
            </w:r>
          </w:p>
        </w:tc>
      </w:tr>
      <w:tr w:rsidR="00986E35" w:rsidRPr="008A1F40" w14:paraId="5D2A40CA" w14:textId="77777777" w:rsidTr="007F77D2">
        <w:trPr>
          <w:tblCellSpacing w:w="15" w:type="dxa"/>
        </w:trPr>
        <w:tc>
          <w:tcPr>
            <w:tcW w:w="0" w:type="auto"/>
            <w:shd w:val="clear" w:color="auto" w:fill="FFFFFF"/>
            <w:hideMark/>
          </w:tcPr>
          <w:p w14:paraId="4DC05336" w14:textId="2E74BB6C"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Steinberg et al (2010)</w:t>
            </w:r>
            <w:r w:rsidR="00CC6064">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DdjYWY3MDQtODZhNS00NmYyLWEyMmUtMzQzMTA1MGI5MjU3IiwicHJvcGVydGllcyI6eyJub3RlSW5kZXgiOjB9LCJpc0VkaXRlZCI6ZmFsc2UsIm1hbnVhbE92ZXJyaWRlIjp7ImlzTWFudWFsbHlPdmVycmlkZGVuIjpmYWxzZSwiY2l0ZXByb2NUZXh0IjoiKDMpIiwibWFudWFsT3ZlcnJpZGVUZXh0IjoiIn0sImNpdGF0aW9uSXRlbXMiOlt7ImlkIjoiODE4ODlmYmUtY2I0Zi0zMTQ2LWJlNWMtY2ViYWRjZjFiZmFhIiwiaXRlbURhdGEiOnsidHlwZSI6ImFydGljbGUtam91cm5hbCIsImlkIjoiODE4ODlmYmUtY2I0Zi0zMTQ2LWJlNWMtY2ViYWRjZjFiZmFhIiwidGl0bGUiOiJUaWMgZGlzb3JkZXJzIGFuZCB0aGUgcHJlbW9uaXRvcnkgdXJnZSIsImdyb3VwSWQiOiIwN2Q2MmFjMS01YWE4LTM5YWYtYjQ5ZS01MmQyMDg4YWM1NzEiLCJhdXRob3IiOlt7ImZhbWlseSI6IlN0ZWluYmVyZyIsImdpdmVuIjoiVCIsInBhcnNlLW5hbWVzIjpmYWxzZSwiZHJvcHBpbmctcGFydGljbGUiOiIiLCJub24tZHJvcHBpbmctcGFydGljbGUiOiIifSx7ImZhbWlseSI6IlNobXVlbCBCYXJ1Y2giLCJnaXZlbiI6IlMiLCJwYXJzZS1uYW1lcyI6ZmFsc2UsImRyb3BwaW5nLXBhcnRpY2xlIjoiIiwibm9uLWRyb3BwaW5nLXBhcnRpY2xlIjoiIn0seyJmYW1pbHkiOiJIYXJ1c2giLCJnaXZlbiI6IkEiLCJwYXJzZS1uYW1lcyI6ZmFsc2UsImRyb3BwaW5nLXBhcnRpY2xlIjoiIiwibm9uLWRyb3BwaW5nLXBhcnRpY2xlIjoiIn0seyJmYW1pbHkiOiJEYXIiLCJnaXZlbiI6IlIiLCJwYXJzZS1uYW1lcyI6ZmFsc2UsImRyb3BwaW5nLXBhcnRpY2xlIjoiIiwibm9uLWRyb3BwaW5nLXBhcnRpY2xlIjoiIn0seyJmYW1pbHkiOiJXb29kcyIsImdpdmVuIjoiRCIsInBhcnNlLW5hbWVzIjpmYWxzZSwiZHJvcHBpbmctcGFydGljbGUiOiIiLCJub24tZHJvcHBpbmctcGFydGljbGUiOiIifSx7ImZhbWlseSI6IlBpYWNlbnRpbmkiLCJnaXZlbiI6IkoiLCJwYXJzZS1uYW1lcyI6ZmFsc2UsImRyb3BwaW5nLXBhcnRpY2xlIjoiIiwibm9uLWRyb3BwaW5nLXBhcnRpY2xlIjoiIn0seyJmYW1pbHkiOiJBcHRlciIsImdpdmVuIjoiQSIsInBhcnNlLW5hbWVzIjpmYWxzZSwiZHJvcHBpbmctcGFydGljbGUiOiIiLCJub24tZHJvcHBpbmctcGFydGljbGUiOiIifV0sImNvbnRhaW5lci10aXRsZSI6IkogTmV1cmFsIFRyYW5zbSAoVmllbm5hKSIsIkRPSSI6IjEwLjEwMDcvczAwNzAyLTAwOS0wMzUzLTMiLCJQTUlEIjoiMjAwMzMyMzYiLCJVUkwiOiJodHRwczovL2xpbmsuc3ByaW5nZXIuY29tL2NvbnRlbnQvcGRmLzEwLjEwMDcvczAwNzAyLTAwOS0wMzUzLTMucGRmIiwiaXNzdWVkIjp7ImRhdGUtcGFydHMiOltbMjAxMF1dfSwicGFnZSI6IjI3Ny0yODQiLCJhYnN0cmFjdCI6IlRoZSBhaW1zIG9mIHRoaXMgc3R1ZHkgd2VyZSB0byBleGFtaW5lIGEgbm9uLUVuZ2xpc2ggKEhlYnJldykgdmVyc2lvbiBvZiBhIHNjYWxlIHRoYXQgbWVhc3VyZXMgdGhlIHByZW1vbml0b3J5IHVyZ2UgaW4gY2hpbGRyZW4gc3VmZmVyaW5nIGZyb20gdGljIGRpc29yZGVyLCBhcyB3ZWxsIGFzIGV4YW1pbmUgdGhlIGNvcnJlbGF0aW9ucyBvZiB0aGUgdXJnZSB3aXRoIGRlbW9ncmFwaGljIGFuZCBjbGluaWNhbCBhc3BlY3RzIG9mIFRvdXJldHRlIFN5bmRyb21lLiBGb3J0eSBjaGlsZHJlbiBhbmQgYWRvbGVzY2VudHMsIHN1ZmZlcmluZyBmcm9tIHRpY3MgcGFydGljaXBhdGVkIGluIHRoaXMgc3R1ZHkuIFRoZXkgd2VyZSBhc3Nlc3NlZCB3aXRoIHRoZSBQcmVtb25pdG9yeSBVcmdlIGZvciBUaWNzIFNjYWxlIChQVVRTKTsgdGhlIFlhbGUgR2xvYmFsIFRpYyBTZXZlcml0eSBTY2FsZSAoWUdUU1MpOyB0aGUgQ2hpbGRob29kIFZlcnNpb24gb2YgdGhlIFlhbGUgQnJvd24gT2JzZXNzaXZlIENvbXB1bHNpdmUgU2NhbGUgKENZQk9DUyk7IHRoZSBBREhEIFJhdGluZyBTY2FsZSBJViAoQ29ubmVycykgU2NhbGU7IHRoZSBTY3JlZW4gZm9yIENoaWxkIEFueGlldHkgUmVsYXRlZCBFbW90aW9uYWwgRGlzb3JkZXJzIChTQ0FSRUQpOyBhbmQgdGhlIENoaWxkIERlcHJlc3Npb24gSW52ZW50b3J5IChDREkpLiBUaGUgbWVhbiBQVVRTIHNjb3JlIHdhcyAyMC4xNSAoU0QgPSA1Ljg5KS4gRm9yIHRoZSBlbnRpcmUgc2FtcGxlIHRoZSBQVVRTIHdhcyBmb3VuZCB0byBiZSBpbnRlcm5hbGx5IGNvbnNpc3RlbnQgYXQgYSA9IDAuNzkuIFlvdXRocyBvbGRlciB0aGFuIDEwIHllYXJzIGhhZCBoaWdoZXIgY29uc2lzdGVuY3kgKGEgPSAwLjgzKSB0aGFuIHlvdXRocyB5b3VuZ2VyIHRoYW4gMTAgKGEgPSAwLjY5KS4gUHJlbW9uaXRvcnkgdXJnZSB3YXMgbm90IGNvcnJlbGF0ZWQgd2l0aCB0aWMgc2V2ZXJpdHkgaW4gdGhlIGVudGlyZSBzYW1wbGUuIEluIHlvdXRocyBvbGRlciB0aGFuIDEwLCBhcyBvcHBvc2VkIHRvIHlvdXRocyB5b3VuZ2VyIHRoYW4gMTAsIHByZW1vbml0b3J5IHVyZ2UgZGlkIGNvcnJlbGF0ZSB3aXRoIG9ic2Vzc2lvbnMsIGNvbXB1bHNpb25zIGFuZCBkZXByZXNzaW9uLCBidXQgbm90IHdpdGggYW54aWV0eSBvciB3aXRoIEFESEQuIFRoZSBwcmVtb25pdG9yeSB1cmdlIGNhbiBiZSBtZWFzdXJlZCByZWxpYWJseSBhbmQgdGhlIFBVVFMgaXMgYSB1c2VmdWwgaW5zdHJ1bWVudCBmb3IgbWVhc3VyaW5nIHRoaXMgaW1wb3J0YW50IHBoZW5vbWVuYS4gUHJlbW9uaXRvcnkgdXJnZXMgc2VlbXMgdG8gYmUgcmVsYXRlZCB0byBvYnNlc3Npb25zLCBjb21wdWxzaW9ucywgYW5kIGRlcHJlc3Npb24gaW4gb2xkZXIgY2hpbGRyZW4gYW5kIHRoaXMgbWF5IGhhdmUgaW1wbGljYXRpb25zIGZvciB0aGUgZGV2ZWxvcG1lbnRhbCBwc3ljaG9wYXRob2xneSBvZiB0aGVzZSBzeW1wdG9tcy4iLCJpc3N1ZSI6IjIiLCJ2b2x1bWUiOiIxMTciLCJjb250YWluZXItdGl0bGUtc2hvcnQiOiIifSwiaXNUZW1wb3JhcnkiOmZhbHNlfV19"/>
                <w:id w:val="1546798044"/>
                <w:placeholder>
                  <w:docPart w:val="DefaultPlaceholder_-1854013440"/>
                </w:placeholder>
              </w:sdtPr>
              <w:sdtContent>
                <w:r w:rsidR="00F04E9F" w:rsidRPr="00F04E9F">
                  <w:rPr>
                    <w:rFonts w:eastAsia="Times New Roman" w:cs="Times New Roman"/>
                    <w:color w:val="000000"/>
                    <w:sz w:val="16"/>
                    <w:szCs w:val="16"/>
                  </w:rPr>
                  <w:t>(3)</w:t>
                </w:r>
              </w:sdtContent>
            </w:sdt>
          </w:p>
        </w:tc>
        <w:tc>
          <w:tcPr>
            <w:tcW w:w="0" w:type="auto"/>
            <w:shd w:val="clear" w:color="auto" w:fill="FFFFFF"/>
            <w:hideMark/>
          </w:tcPr>
          <w:p w14:paraId="6645178E"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40 children with CTDs</w:t>
            </w:r>
          </w:p>
        </w:tc>
        <w:tc>
          <w:tcPr>
            <w:tcW w:w="0" w:type="auto"/>
            <w:shd w:val="clear" w:color="auto" w:fill="FFFFFF"/>
            <w:hideMark/>
          </w:tcPr>
          <w:p w14:paraId="03A593BB" w14:textId="77777777" w:rsidR="00986E35" w:rsidRPr="008A1F40" w:rsidRDefault="00986E35" w:rsidP="007F77D2">
            <w:pPr>
              <w:rPr>
                <w:rFonts w:cs="Times New Roman"/>
                <w:color w:val="000000" w:themeColor="text1"/>
                <w:sz w:val="16"/>
                <w:szCs w:val="16"/>
              </w:rPr>
            </w:pPr>
            <w:r w:rsidRPr="008A1F40">
              <w:rPr>
                <w:rFonts w:eastAsia="Times New Roman" w:cs="Times New Roman"/>
                <w:color w:val="0D0D0D"/>
                <w:sz w:val="16"/>
                <w:szCs w:val="16"/>
              </w:rPr>
              <w:t>CY-BOCS scores correlated with PUTS scores (</w:t>
            </w:r>
            <w:r w:rsidRPr="008A1F40">
              <w:rPr>
                <w:rFonts w:cs="Times New Roman"/>
                <w:color w:val="000000" w:themeColor="text1"/>
                <w:sz w:val="16"/>
                <w:szCs w:val="16"/>
                <w:shd w:val="clear" w:color="auto" w:fill="FFFFFF"/>
              </w:rPr>
              <w:t>r = 0.50, p &lt; 0.01)</w:t>
            </w:r>
            <w:r w:rsidRPr="008A1F40">
              <w:rPr>
                <w:rFonts w:eastAsia="Times New Roman" w:cs="Times New Roman"/>
                <w:color w:val="000000" w:themeColor="text1"/>
                <w:sz w:val="16"/>
                <w:szCs w:val="16"/>
              </w:rPr>
              <w:t xml:space="preserve"> (</w:t>
            </w:r>
            <w:r w:rsidRPr="008A1F40">
              <w:rPr>
                <w:rFonts w:eastAsia="Times New Roman" w:cs="Times New Roman"/>
                <w:color w:val="0D0D0D"/>
                <w:sz w:val="16"/>
                <w:szCs w:val="16"/>
              </w:rPr>
              <w:t>correlation type unclear from publication)</w:t>
            </w:r>
            <w:r w:rsidRPr="008A1F40">
              <w:rPr>
                <w:rFonts w:cs="Times New Roman"/>
                <w:color w:val="000000" w:themeColor="text1"/>
                <w:sz w:val="16"/>
                <w:szCs w:val="16"/>
                <w:shd w:val="clear" w:color="auto" w:fill="FFFFFF"/>
              </w:rPr>
              <w:t>. T</w:t>
            </w:r>
            <w:r w:rsidRPr="008A1F40">
              <w:rPr>
                <w:rFonts w:cs="Times New Roman"/>
                <w:color w:val="000000" w:themeColor="text1"/>
                <w:sz w:val="16"/>
                <w:szCs w:val="16"/>
              </w:rPr>
              <w:t>he obsessions subscale of the CY-BOCS was a significant predictor of PUTS scores in a multiple regression (</w:t>
            </w:r>
            <w:r w:rsidRPr="008A1F40">
              <w:rPr>
                <w:rFonts w:cs="Times New Roman"/>
                <w:color w:val="000000" w:themeColor="text1"/>
                <w:sz w:val="16"/>
                <w:szCs w:val="16"/>
                <w:shd w:val="clear" w:color="auto" w:fill="FFFFFF"/>
              </w:rPr>
              <w:t>β</w:t>
            </w:r>
            <w:r w:rsidRPr="008A1F40">
              <w:rPr>
                <w:rFonts w:cs="Times New Roman"/>
                <w:color w:val="000000" w:themeColor="text1"/>
                <w:sz w:val="16"/>
                <w:szCs w:val="16"/>
              </w:rPr>
              <w:t xml:space="preserve"> = 0.40, p &lt; 0.01)</w:t>
            </w:r>
          </w:p>
          <w:p w14:paraId="4D7D5B74" w14:textId="0A6ED5FC"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After dividing the sample into subgroups of 10 years and younger and older than 10 years, the correlation between CY-BOCS scores and PUTS scores was significant for the older group (r = 0.61, p &lt; 0.01) but not the younger group (r = 0.17, p &gt; 0.05).</w:t>
            </w:r>
          </w:p>
        </w:tc>
      </w:tr>
      <w:tr w:rsidR="00986E35" w:rsidRPr="008A1F40" w14:paraId="5ABF4E40" w14:textId="77777777" w:rsidTr="007F77D2">
        <w:trPr>
          <w:tblCellSpacing w:w="15" w:type="dxa"/>
        </w:trPr>
        <w:tc>
          <w:tcPr>
            <w:tcW w:w="0" w:type="auto"/>
            <w:shd w:val="clear" w:color="auto" w:fill="FFFFFF"/>
            <w:hideMark/>
          </w:tcPr>
          <w:p w14:paraId="39047973" w14:textId="053C57C9"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Openneer et al (2020)</w:t>
            </w:r>
            <w:r w:rsidR="00CC6064">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TFjMTEzMTMtNmVjMC00MjExLTgxNzktN2JlMDQ5YzA1NWFmIiwicHJvcGVydGllcyI6eyJub3RlSW5kZXgiOjB9LCJpc0VkaXRlZCI6ZmFsc2UsIm1hbnVhbE92ZXJyaWRlIjp7ImlzTWFudWFsbHlPdmVycmlkZGVuIjpmYWxzZSwiY2l0ZXByb2NUZXh0IjoiKDcpIiwibWFudWFsT3ZlcnJpZGVUZXh0IjoiIn0sImNpdGF0aW9uSXRlbXMiOlt7ImlkIjoiMjMxMzg1NzUtZDFlNC0zZWFmLWJiM2UtNGRlMTJiNWNmMTBhIiwiaXRlbURhdGEiOnsidHlwZSI6ImFydGljbGUtam91cm5hbCIsImlkIjoiMjMxMzg1NzUtZDFlNC0zZWFmLWJiM2UtNGRlMTJiNWNmMTBhIiwidGl0bGUiOiJUaGUgUHJlbW9uaXRvcnkgVXJnZSBmb3IgVGljcyBTY2FsZSBpbiBhIGxhcmdlIHNhbXBsZSBvZiBjaGlsZHJlbiBhbmQgYWRvbGVzY2VudHM6IHBzeWNob21ldHJpYyBwcm9wZXJ0aWVzIGluIGEgZGV2ZWxvcG1lbnRhbCBjb250ZXh0LiBBbiBFTVRJQ1Mgc3R1ZHkiLCJncm91cElkIjoiMDdkNjJhYzEtNWFhOC0zOWFmLWI0OWUtNTJkMjA4OGFjNTcxIiwiYXV0aG9yIjpbeyJmYW1pbHkiOiJPcGVubmVlciIsImdpdmVuIjoiVCBKIEMiLCJwYXJzZS1uYW1lcyI6ZmFsc2UsImRyb3BwaW5nLXBhcnRpY2xlIjoiIiwibm9uLWRyb3BwaW5nLXBhcnRpY2xlIjoiIn0seyJmYW1pbHkiOiJUw6Fybm9rIiwiZ2l2ZW4iOiJaIiwicGFyc2UtbmFtZXMiOmZhbHNlLCJkcm9wcGluZy1wYXJ0aWNsZSI6IiIsIm5vbi1kcm9wcGluZy1wYXJ0aWNsZSI6IiJ9LHsiZmFtaWx5IjoiQm9nbmFyIiwiZ2l2ZW4iOiJFIiwicGFyc2UtbmFtZXMiOmZhbHNlLCJkcm9wcGluZy1wYXJ0aWNsZSI6IiIsIm5vbi1kcm9wcGluZy1wYXJ0aWNsZSI6IiJ9LHsiZmFtaWx5IjoiQmVuYXJveWEtTWlsc2h0ZWluIiwiZ2l2ZW4iOiJOIiwicGFyc2UtbmFtZXMiOmZhbHNlLCJkcm9wcGluZy1wYXJ0aWNsZSI6IiIsIm5vbi1kcm9wcGluZy1wYXJ0aWNsZSI6IiJ9LHsiZmFtaWx5IjoiR2FyY2lhLURlbGdhciIsImdpdmVuIjoiQiIsInBhcnNlLW5hbWVzIjpmYWxzZSwiZHJvcHBpbmctcGFydGljbGUiOiIiLCJub24tZHJvcHBpbmctcGFydGljbGUiOiIifSx7ImZhbWlseSI6Ik1vcmVyIiwiZ2l2ZW4iOiJBIiwicGFyc2UtbmFtZXMiOmZhbHNlLCJkcm9wcGluZy1wYXJ0aWNsZSI6IiIsIm5vbi1kcm9wcGluZy1wYXJ0aWNsZSI6IiJ9LHsiZmFtaWx5IjoiU3RlaW5iZXJnIiwiZ2l2ZW4iOiJUIiwicGFyc2UtbmFtZXMiOmZhbHNlLCJkcm9wcGluZy1wYXJ0aWNsZSI6IiIsIm5vbi1kcm9wcGluZy1wYXJ0aWNsZSI6IiJ9LHsiZmFtaWx5IjoiSG9la3N0cmEiLCJnaXZlbiI6IlAgSiIsInBhcnNlLW5hbWVzIjpmYWxzZSwiZHJvcHBpbmctcGFydGljbGUiOiIiLCJub24tZHJvcHBpbmctcGFydGljbGUiOiIifSx7ImZhbWlseSI6IkRpZXRyaWNoIiwiZ2l2ZW4iOiJBIiwicGFyc2UtbmFtZXMiOmZhbHNlLCJkcm9wcGluZy1wYXJ0aWNsZSI6IiIsIm5vbi1kcm9wcGluZy1wYXJ0aWNsZSI6IiJ9XSwiY29udGFpbmVyLXRpdGxlIjoiRXVyIENoaWxkIEFkb2xlc2MgUHN5Y2hpYXRyeSIsIkRPSSI6IjEwLjEwMDcvczAwNzg3LTAxOS0wMTQ1MC0xIiwiUE1JRCI6IjMxODAyMjcxIiwiVVJMIjoiaHR0cHM6Ly9saW5rLnNwcmluZ2VyLmNvbS9jb250ZW50L3BkZi8xMC4xMDA3L3MwMDc4Ny0wMTktMDE0NTAtMS5wZGYiLCJpc3N1ZWQiOnsiZGF0ZS1wYXJ0cyI6W1syMDIwXV19LCJwYWdlIjoiMTQxMS0xNDI0IiwiYWJzdHJhY3QiOiJQcmVtb25pdG9yeSB1cmdlcyBhcmUgdW5jb21mb3J0YWJsZSBwaHlzaWNhbCBzZW5zYXRpb25zIHByZWNlZGluZyB0aWNzIHRoYXQgb2NjdXIgaW4gbW9zdCBpbmRpdmlkdWFscyB3aXRoIGEgY2hyb25pYyB0aWMgZGlzb3JkZXIuIFRoZSBQcmVtb25pdG9yeSBVcmdlIGZvciBUaWNzIFNjYWxlIChQVVRTKSBpcyB0aGUgbW9zdCBmcmVxdWVudGx5IHVzZWQgc2VsZi1yZXBvcnQgbWVhc3VyZSB0byBhc3Nlc3MgdGhlIHNldmVyaXR5IG9mIHByZW1vbml0b3J5IHVyZ2VzLiBXZSBhaW1lZCB0byBldmFsdWF0ZSB0aGUgcHN5Y2hvbWV0cmljIHByb3BlcnRpZXMgb2YgdGhlIFBVVFMgaW4gdGhlIGxhcmdlc3Qgc2FtcGxlIHNpemUgdG8gZGF0ZSAobuKAiT3igIk2NTYpLCBpbiBjaGlsZHJlbiBhZ2VkIDMtMTbCoHllYXJzLCBmcm9tIHRoZSBiYXNlbGluZSBtZWFzdXJlbWVudCBvZiB0aGUgbG9uZ2l0dWRpbmFsIEV1cm9wZWFuIE11bHRpY2VudGVyIFRpY3MgaW4gQ2hpbGRyZW4gU3R1ZHkgKEVNVElDUykuIE91ciBwc3ljaG9tZXRyaWMgZXZhbHVhdGlvbiB3YXMgZG9uZSBpbiB0aHJlZSBhZ2UtZ3JvdXBzOiBjaGlsZHJlbiBhZ2VkIDMtN8KgeWVhcnMgKG7igIk94oCJMTAzKSwgY2hpbGRyZW4gYmV0d2VlbiA4IGFuZCAxMMKgeWVhcnMgKG7igIk94oCJMjUzKSwgYW5kIGNoaWxkcmVuIGFnZWQgMTEtMTbCoHllYXJzIChu4oCJPeKAiTMwMCkuIFRoZSBQVVRTIGV4aGliaXRlZCBnb29kIGludGVybmFsIHJlbGlhYmlsaXR5IGluIGNoaWxkcmVuIGFuZCBhZG9sZXNjZW50cywgYWxzbyB1bmRlciB0aGUgYWdlIG9mIDEwLCB3aGljaCBpcyB5b3VuZ2VyIHRoYW4gcHJldmlvdXNseSB0aG91Z2h0LiBXZSBvYnNlcnZlZCBzaWduaWZpY2FudCBidXQgc21hbGwgY29ycmVsYXRpb25zIGJldHdlZW4gdGhlIHNldmVyaXR5IG9mIHVyZ2VzIGFuZCBzZXZlcml0eSBvZiB0aWNzIGFuZCBvYnNlc3NpdmUtY29tcHVsc2l2ZSBzeW1wdG9tcywgYW5kIGJldHdlZW4gc2V2ZXJpdHkgb2YgdXJnZXMgYW5kIHJhdGluZ3Mgb2YgYXR0ZW50aW9uLWRlZmljaXQvaHlwZXJhY3Rpdml0eSBkaXNvcmRlciBhbmQgaW50ZXJuYWxpemluZyBhbmQgZXh0ZXJuYWxpemluZyBiZWhhdmlvcnMsIGhvd2V2ZXIsIG9ubHkgaW4gY2hpbGRyZW4gb2YgOC0xMMKgeWVhcnMuIENvbnNpc3RlbnQgd2l0aCBwcmV2aW91cyByZXN1bHRzLCB0aGUgMTB0aCBpdGVtIG9mIHRoZSBQVVRTIGNvcnJlbGF0ZWQgbGVzcyB3aXRoIHRoZSByZXN0IG9mIHRoZSBzY2FsZSBjb21wYXJlZCB0byB0aGUgb3RoZXIgaXRlbXMgYW5kLCB0aGVyZWZvcmUsIHNob3VsZCBub3QgYmUgdXNlZCBhcyBwYXJ0IG9mIHRoZSBxdWVzdGlvbm5haXJlLiBXZSBmb3VuZCBhIHR3by1mYWN0b3Igc3RydWN0dXJlIG9mIHRoZSBQVVRTIGluIGNoaWxkcmVuIG9mIDExwqB5ZWFycyBhbmQgb2xkZXIsIGRpc3Rpbmd1aXNoaW5nIGJldHdlZW4gc2Vuc29yeSBwaGVub21lbmEgcmVsYXRlZCB0byB0aWNzLCBhbmQgbWVudGFsIHBoZW5vbWVuYSBhcyBvZnRlbiBmb3VuZCBpbiBvYnNlc3NpdmUtY29tcHVsc2l2ZSBkaXNvcmRlci4gVGhlIGFnZS1yZWxhdGVkIGRpZmZlcmVuY2VzIG9ic2VydmVkIGluIHRoaXMgc3R1ZHkgbWF5IGluZGljYXRlIHRoZSBuZWVkIGZvciB0aGUgZGV2ZWxvcG1lbnQgb2YgYW4gYWdlLXNwZWNpZmljIHF1ZXN0aW9ubmFpcmUgdG8gYXNzZXNzIHByZW1vbml0b3J5IHVyZ2VzLiIsImlzc3VlIjoiMTAiLCJ2b2x1bWUiOiIyOSIsImNvbnRhaW5lci10aXRsZS1zaG9ydCI6IiJ9LCJpc1RlbXBvcmFyeSI6ZmFsc2V9XX0="/>
                <w:id w:val="485828125"/>
                <w:placeholder>
                  <w:docPart w:val="DefaultPlaceholder_-1854013440"/>
                </w:placeholder>
              </w:sdtPr>
              <w:sdtContent>
                <w:r w:rsidR="00F04E9F" w:rsidRPr="00F04E9F">
                  <w:rPr>
                    <w:rFonts w:eastAsia="Times New Roman" w:cs="Times New Roman"/>
                    <w:color w:val="000000"/>
                    <w:sz w:val="16"/>
                    <w:szCs w:val="16"/>
                  </w:rPr>
                  <w:t>(7)</w:t>
                </w:r>
              </w:sdtContent>
            </w:sdt>
          </w:p>
        </w:tc>
        <w:tc>
          <w:tcPr>
            <w:tcW w:w="0" w:type="auto"/>
            <w:shd w:val="clear" w:color="auto" w:fill="FFFFFF"/>
            <w:hideMark/>
          </w:tcPr>
          <w:p w14:paraId="7BB3F21D"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656 children with CTDs</w:t>
            </w:r>
          </w:p>
        </w:tc>
        <w:tc>
          <w:tcPr>
            <w:tcW w:w="0" w:type="auto"/>
            <w:shd w:val="clear" w:color="auto" w:fill="FFFFFF"/>
            <w:hideMark/>
          </w:tcPr>
          <w:p w14:paraId="415C2B5C" w14:textId="77777777"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 xml:space="preserve">Obsessions and compulsions subscale scores of the CY-BOCS each correlated with PUTS scores (Pearson’s r = 0.106, p &lt; 0.001 and Pearson’s r = 0.126, p &lt; 0.001 </w:t>
            </w:r>
            <w:r w:rsidRPr="008A1F40">
              <w:rPr>
                <w:rFonts w:cs="Times New Roman"/>
                <w:color w:val="000000" w:themeColor="text1"/>
                <w:sz w:val="16"/>
                <w:szCs w:val="16"/>
              </w:rPr>
              <w:lastRenderedPageBreak/>
              <w:t>respectively), despite CY-BOCS total scores not correlating with PUTS scores (r = 0.083, p &gt; 0.05)</w:t>
            </w:r>
          </w:p>
          <w:p w14:paraId="07F846C3"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After separating the sample into children aged 7 years and under, aged 8-10 years and older than 10 years the correlations of the PUTS with these CY-BOCS subscale scores only remained significant in the group aged 8-10 (r = 0.184, p &lt; 0.001 and r = 0.221, p &lt; 0.001 for obsession and compulsions respectively)</w:t>
            </w:r>
          </w:p>
        </w:tc>
      </w:tr>
      <w:tr w:rsidR="00986E35" w:rsidRPr="008A1F40" w14:paraId="135C2F7F" w14:textId="77777777" w:rsidTr="007F77D2">
        <w:trPr>
          <w:tblCellSpacing w:w="15" w:type="dxa"/>
        </w:trPr>
        <w:tc>
          <w:tcPr>
            <w:tcW w:w="0" w:type="auto"/>
            <w:shd w:val="clear" w:color="auto" w:fill="FFFFFF"/>
            <w:hideMark/>
          </w:tcPr>
          <w:p w14:paraId="7829DBEA" w14:textId="3D74AF3C"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lastRenderedPageBreak/>
              <w:t>Edwards et al (2020)</w:t>
            </w:r>
            <w:r w:rsidR="00CC6064">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ZmE1OTI1MDktNjhmMi00MzhiLTkzZWUtMGQ0ZGMzNThmZjJmIiwicHJvcGVydGllcyI6eyJub3RlSW5kZXgiOjB9LCJpc0VkaXRlZCI6ZmFsc2UsIm1hbnVhbE92ZXJyaWRlIjp7ImlzTWFudWFsbHlPdmVycmlkZGVuIjpmYWxzZSwiY2l0ZXByb2NUZXh0IjoiKDEyKSIsIm1hbnVhbE92ZXJyaWRlVGV4dCI6IiJ9LCJjaXRhdGlvbkl0ZW1zIjpbeyJpZCI6IjQ2Zjk3YzM4LTdjNWQtMzAzMS1iMjE1LThiMDY3MmVhNWNlNCIsIml0ZW1EYXRhIjp7InR5cGUiOiJhcnRpY2xlLWpvdXJuYWwiLCJpZCI6IjQ2Zjk3YzM4LTdjNWQtMzAzMS1iMjE1LThiMDY3MmVhNWNlNCIsInRpdGxlIjoiU2V4IGFuZCBwc3ljaGlhdHJpYyBjb21vcmJpZGl0eSBjb3JyZWxhdGVzIG9mIHRoZSBwcmVtb25pdG9yeSB1cmdlIGZvciB0aWMgc2NhbGUgaW4geW91dGggd2l0aCBwZXJzaXN0ZW50IHRpYyBkaXNvcmRlcnMiLCJncm91cElkIjoiMDdkNjJhYzEtNWFhOC0zOWFmLWI0OWUtNTJkMjA4OGFjNTcxIiwiYXV0aG9yIjpbeyJmYW1pbHkiOiJFZHdhcmRzIiwiZ2l2ZW4iOiJLIFIiLCJwYXJzZS1uYW1lcyI6ZmFsc2UsImRyb3BwaW5nLXBhcnRpY2xlIjoiIiwibm9uLWRyb3BwaW5nLXBhcnRpY2xlIjoiIn0seyJmYW1pbHkiOiJSYWluZXMiLCJnaXZlbiI6IkogTSIsInBhcnNlLW5hbWVzIjpmYWxzZSwiZHJvcHBpbmctcGFydGljbGUiOiIiLCJub24tZHJvcHBpbmctcGFydGljbGUiOiIifSx7ImZhbWlseSI6Ildpbm5pY2siLCJnaXZlbiI6IkogQiIsInBhcnNlLW5hbWVzIjpmYWxzZSwiZHJvcHBpbmctcGFydGljbGUiOiIiLCJub24tZHJvcHBpbmctcGFydGljbGUiOiIifSx7ImZhbWlseSI6IlNoZXJtYW4iLCJnaXZlbiI6Ik0gRiIsInBhcnNlLW5hbWVzIjpmYWxzZSwiZHJvcHBpbmctcGFydGljbGUiOiIiLCJub24tZHJvcHBpbmctcGFydGljbGUiOiIifSx7ImZhbWlseSI6IkhpZ2dpbnNvbiIsImdpdmVuIjoiQyBJIiwicGFyc2UtbmFtZXMiOmZhbHNlLCJkcm9wcGluZy1wYXJ0aWNsZSI6IiIsIm5vbi1kcm9wcGluZy1wYXJ0aWNsZSI6IiJ9LHsiZmFtaWx5IjoiTmF2aW4iLCJnaXZlbiI6IksiLCJwYXJzZS1uYW1lcyI6ZmFsc2UsImRyb3BwaW5nLXBhcnRpY2xlIjoiIiwibm9uLWRyb3BwaW5nLXBhcnRpY2xlIjoiIn0seyJmYW1pbHkiOiJDb250ZWgiLCJnaXZlbiI6IkYiLCJwYXJzZS1uYW1lcyI6ZmFsc2UsImRyb3BwaW5nLXBhcnRpY2xlIjoiIiwibm9uLWRyb3BwaW5nLXBhcnRpY2xlIjoiIn0seyJmYW1pbHkiOiJSaWNrZXR0cyIsImdpdmVuIjoiRSBKIiwicGFyc2UtbmFtZXMiOmZhbHNlLCJkcm9wcGluZy1wYXJ0aWNsZSI6IiIsIm5vbi1kcm9wcGluZy1wYXJ0aWNsZSI6IiJ9LHsiZmFtaWx5IjoiU3BlY2h0IiwiZ2l2ZW4iOiJNIFciLCJwYXJzZS1uYW1lcyI6ZmFsc2UsImRyb3BwaW5nLXBhcnRpY2xlIjoiIiwibm9uLWRyb3BwaW5nLXBhcnRpY2xlIjoiIn1dLCJjb250YWluZXItdGl0bGUiOiJKIE5ldXJhbCBUcmFuc20gKFZpZW5uYSkiLCJET0kiOiIxMC4xMDA3L3MwMDcwMi0wMjAtMDIxNTEtOSIsIlBNSUQiOiIzMjIxMjAxNiIsIlVSTCI6Imh0dHBzOi8vbGluay5zcHJpbmdlci5jb20vYXJ0aWNsZS8xMC4xMDA3L3MwMDcwMi0wMjAtMDIxNTEtOSIsImlzc3VlZCI6eyJkYXRlLXBhcnRzIjpbWzIwMjBdXX0sInBhZ2UiOiI5NzctOTg1IiwiYWJzdHJhY3QiOiJUaGUgcHJlbW9uaXRvcnkgdXJnZSBmb3IgdGljcyBzY2FsZSAoUFVUUykgaXMgYSBjb21tb24gc2VsZi1yZXBvcnQgbWVhc3VyZSBvZiBwcmVtb25pdG9yeSBzZW5zYXRpb25zIHByZWNlZGluZyB0aWNzLiBUaGUgcHJlc2VudCBzdHVkeSBhaW1lZCB0byBleGFtaW5lIHRoZSBpbnRlcm5hbCBjb25zaXN0ZW5jeSBhbmQgY29uY3VycmVudCB2YWxpZGl0eSBvZiB0aGUgUFVUUyBieSBzZXggYW5kIHBzeWNoaWF0cmljIGNvbW9yYmlkaXR5IHN0YXR1czsgYW5kIGV4cGxvcmVkIGludGVyYWN0aW9ucyBiZXR3ZWVuIHNleCBhbmQgcHN5Y2hpYXRyaWMgY29tb3JiaWRpdHkgaW4gcHJlZGljdGluZyBwcmVtb25pdG9yeSB1cmdlIGFuZCB0aWMgc3ltcHRvbSBzZXZlcml0eS4gU2V2ZW50eS1mb3VyIHlvdXRoIGFuZCB5b3VuZyBhZHVsdHMgd2l0aCBwZXJzaXN0ZW50IHRpYyBkaXNvcmRlcnMgY29tcGxldGVkIHRoZSBQVVRTLCB3aGlsZSB0aGVpciBwYXJlbnRzIGNvbXBsZXRlZCB0aGUgcGFyZW50IHRpYyBxdWVzdGlvbm5haXJlIChQVFEpIGFuZCBhIGRlbW9ncmFwaGljIG1lYXN1cmUuIEluZGVwZW5kZW50IHNhbXBsZXMgdC10ZXN0cyByZXZlYWxlZCBubyBzaWduaWZpY2FudCBzZXggZGlmZmVyZW5jZXMgaW4gUFVUUyBpdGVtcyBvciB0b3RhbCBzY29yZS4gVGhlIFBVVFMgdG90YWwgc2NvcmUgYWxzbyBkaWQgbm90IHNpZ25pZmljYW50bHkgZGlmZmVyIGJldHdlZW4gcGFydGljaXBhbnRzIHdpdGggYW5kIHdpdGhvdXQgYXR0ZW50aW9uLWRlZmljaXQgaHlwZXJhY3Rpdml0eSBkaXNvcmRlciAoQURIRCkgYW5kL29yIG9ic2Vzc2l2ZS1jb21wdWxzaXZlIGRpc29yZGVyIChPQ0QpIGNvbW9yYmlkaXR5LiBJbnRlcm5hbCBjb25zaXN0ZW5jeSBkaWQgbm90IHNpZ25pZmljYW50bHkgZGlmZmVyIGJldHdlZW4gZmVtYWxlcyAozrHigIk94oCJMC44NSkgYW5kIG1hbGVzICjOseKAiT3igIkwLjc1KSwgYW5kIHRob3NlIHdpdGggY29tb3JiaWQgQURIRCBhbmQvb3IgT0NEICjOseKAiT3igIkwLjgzKSByZWxhdGl2ZSB0byB0aG9zZSB3aXRob3V0ICjOseKAiT3igIkwLjY5KS4gV2l0aCByZXNwZWN0IHRvIGNvbmN1cnJlbnQgdmFsaWRpdHksIHRoZSBQVVRTIHRvdGFsIHdhcyBzaWduaWZpY2FudGx5IGNvcnJlbGF0ZWQgd2l0aCBQVFEgdGljIGZyZXF1ZW5jeSwgaW50ZW5zaXR5LCBudW1iZXIsIGFuZCBzZXZlcml0eSBmb3IgbWFsZXMgYnV0IG5vdCBmb3IgZmVtYWxlcy4gQW1vbmcgdGhvc2Ugd2l0aCBBREhEIGFuZC9vciBPQ0QsIHRoZSBQVVRTIHRvdGFsIHNjb3JlIHdhcyBjb3JyZWxhdGVkIHNpZ25pZmljYW50bHkgYW5kIHN0cm9uZ2x5IHdpdGggdGljIG51bWJlciBhbmQgbW9kZXJhdGVseSB3aXRoIHRpYyBpbnRlbnNpdHkuIEludGVyYWN0aW9ucyBiZXR3ZWVuIHNleCBhbmQgcHN5Y2hpYXRyaWMgY29tb3JiaWRpdHkgcGVyZm9ybWVkIHVzaW5nIDLigInDl+KAiTIgYW5hbHlzaXMgb2YgdmFyaWFuY2UgZGlkIG5vdCBzaWduaWZpY2FudGx5IHByZWRpY3QgdGhlIFBVVFMgdG90YWwgb3IgUFRRIHN1YnNjYWxlIHNjb3Jlcy4gRmluZGluZ3Mgc3VnZ2VzdCBzZXggYW5kIGNvbW9yYmlkaXR5IHN0YXR1cyBtYXkgaW5mbHVlbmNlIHByZW1vbml0b3J5IHVyZ2UgZXhwcmVzc2lvbi4gUmVzdWx0cyBoYXZlIGltcGxpY2F0aW9ucyBmb3IgdW5kZXJzdGFuZGluZyBhbmQgbWVhc3VyZW1lbnQgb2YgdGhlIHByZW1vbml0b3J5IHVyZ2UuIiwiaXNzdWUiOiI2Iiwidm9sdW1lIjoiMTI3IiwiY29udGFpbmVyLXRpdGxlLXNob3J0IjoiIn0sImlzVGVtcG9yYXJ5IjpmYWxzZX1dfQ=="/>
                <w:id w:val="1874272903"/>
                <w:placeholder>
                  <w:docPart w:val="DefaultPlaceholder_-1854013440"/>
                </w:placeholder>
              </w:sdtPr>
              <w:sdtContent>
                <w:r w:rsidR="00F04E9F" w:rsidRPr="00F04E9F">
                  <w:rPr>
                    <w:rFonts w:eastAsia="Times New Roman" w:cs="Times New Roman"/>
                    <w:color w:val="000000"/>
                    <w:sz w:val="16"/>
                    <w:szCs w:val="16"/>
                  </w:rPr>
                  <w:t>(12)</w:t>
                </w:r>
              </w:sdtContent>
            </w:sdt>
          </w:p>
        </w:tc>
        <w:tc>
          <w:tcPr>
            <w:tcW w:w="0" w:type="auto"/>
            <w:shd w:val="clear" w:color="auto" w:fill="FFFFFF"/>
            <w:hideMark/>
          </w:tcPr>
          <w:p w14:paraId="78E6AB12"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74 individuals aged 5-21 with CTDs</w:t>
            </w:r>
          </w:p>
        </w:tc>
        <w:tc>
          <w:tcPr>
            <w:tcW w:w="0" w:type="auto"/>
            <w:shd w:val="clear" w:color="auto" w:fill="FFFFFF"/>
            <w:hideMark/>
          </w:tcPr>
          <w:p w14:paraId="443DD689"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PUTS scores correlated with number of tics subscale of the PTQ in those with comorbid OCD and/or ADHD (</w:t>
            </w:r>
            <w:r w:rsidRPr="008A1F40">
              <w:rPr>
                <w:rFonts w:cs="Times New Roman"/>
                <w:color w:val="000000" w:themeColor="text1"/>
                <w:sz w:val="16"/>
                <w:szCs w:val="16"/>
              </w:rPr>
              <w:t>n = 35, Pearson’s r = 0.47, p &lt; 0.01)</w:t>
            </w:r>
            <w:r w:rsidRPr="008A1F40">
              <w:rPr>
                <w:rFonts w:eastAsia="Times New Roman" w:cs="Times New Roman"/>
                <w:color w:val="0D0D0D"/>
                <w:sz w:val="16"/>
                <w:szCs w:val="16"/>
              </w:rPr>
              <w:t>, but not in those without comorbid OCD and/or ADHD</w:t>
            </w:r>
          </w:p>
        </w:tc>
      </w:tr>
    </w:tbl>
    <w:p w14:paraId="5296D9ED" w14:textId="77777777" w:rsidR="00986E35" w:rsidRPr="008A1F40" w:rsidRDefault="00986E35" w:rsidP="00986E35">
      <w:pPr>
        <w:rPr>
          <w:rFonts w:eastAsia="Times New Roman" w:cs="Times New Roman"/>
          <w:color w:val="0D0D0D"/>
          <w:sz w:val="16"/>
          <w:szCs w:val="16"/>
        </w:rPr>
      </w:pPr>
      <w:r w:rsidRPr="008A1F40">
        <w:rPr>
          <w:rFonts w:cs="Times New Roman"/>
          <w:sz w:val="16"/>
          <w:szCs w:val="16"/>
        </w:rPr>
        <w:t xml:space="preserve">YBOCS = Yale-Brown Obsessive-Compulsive Scale, OCI-R = Obsessive-Compulsive Inventory - Revised, LOI-CV = </w:t>
      </w:r>
      <w:r w:rsidRPr="008A1F40">
        <w:rPr>
          <w:rFonts w:eastAsia="Times New Roman" w:cs="Times New Roman"/>
          <w:color w:val="0D0D0D"/>
          <w:sz w:val="16"/>
          <w:szCs w:val="16"/>
        </w:rPr>
        <w:t xml:space="preserve">Leyton Obsessional Inventory-Child Version, DOCS = </w:t>
      </w:r>
      <w:r w:rsidRPr="008A1F40">
        <w:rPr>
          <w:rFonts w:cs="Times New Roman"/>
          <w:sz w:val="16"/>
          <w:szCs w:val="16"/>
        </w:rPr>
        <w:t>Dimensional Obsessive-Compulsive scale</w:t>
      </w:r>
      <w:r w:rsidRPr="008A1F40">
        <w:rPr>
          <w:rFonts w:eastAsia="Times New Roman" w:cs="Times New Roman"/>
          <w:color w:val="0D0D0D"/>
          <w:sz w:val="16"/>
          <w:szCs w:val="16"/>
        </w:rPr>
        <w:t xml:space="preserve">, DY-BOCS = Dimensional </w:t>
      </w:r>
      <w:r w:rsidRPr="008A1F40">
        <w:rPr>
          <w:rFonts w:cs="Times New Roman"/>
          <w:sz w:val="16"/>
          <w:szCs w:val="16"/>
        </w:rPr>
        <w:t>Yale-Brown Obsessive-Compulsive Scale</w:t>
      </w:r>
      <w:r w:rsidRPr="008A1F40">
        <w:rPr>
          <w:rFonts w:eastAsia="Times New Roman" w:cs="Times New Roman"/>
          <w:color w:val="0D0D0D"/>
          <w:sz w:val="16"/>
          <w:szCs w:val="16"/>
        </w:rPr>
        <w:t xml:space="preserve">, CY-BOCS = Children’s </w:t>
      </w:r>
      <w:r w:rsidRPr="008A1F40">
        <w:rPr>
          <w:rFonts w:cs="Times New Roman"/>
          <w:sz w:val="16"/>
          <w:szCs w:val="16"/>
        </w:rPr>
        <w:t>Yale-Brown Obsessive-Compulsive Scale</w:t>
      </w:r>
      <w:r w:rsidRPr="008A1F40">
        <w:rPr>
          <w:rFonts w:eastAsia="Times New Roman" w:cs="Times New Roman"/>
          <w:color w:val="0D0D0D"/>
          <w:sz w:val="16"/>
          <w:szCs w:val="16"/>
        </w:rPr>
        <w:t xml:space="preserve">, MOVES = The Motor tic, Obsessions and compulsions, Vocal tic Evaluation Survey, OC-TCDQ = Obsessive–Compulsive Trait Core Dimensions Questionnaire, OCB= Obsessive-compulsive behavior, ADHD = </w:t>
      </w:r>
      <w:r w:rsidRPr="008A1F40">
        <w:rPr>
          <w:rFonts w:cs="Times New Roman"/>
          <w:color w:val="000000" w:themeColor="text1"/>
          <w:sz w:val="16"/>
          <w:szCs w:val="16"/>
        </w:rPr>
        <w:t xml:space="preserve">= Attention-Deficit Hyperactivity Disorder, OCD = Obsessive Compulsive Disorder, CTD = Chronic Tic Disorder, </w:t>
      </w:r>
      <w:r w:rsidRPr="008A1F40">
        <w:rPr>
          <w:rFonts w:cs="Times New Roman"/>
          <w:sz w:val="16"/>
          <w:szCs w:val="16"/>
        </w:rPr>
        <w:t>PUTS = Premonitory Urge for Tics Scale, TS = Tourette Syndrome, OCS = obsessive-compulsive symptoms</w:t>
      </w:r>
    </w:p>
    <w:p w14:paraId="487224A2" w14:textId="1A0C8E0D" w:rsidR="00986E35" w:rsidRPr="008A1F40" w:rsidRDefault="00986E35" w:rsidP="00986E35">
      <w:pPr>
        <w:rPr>
          <w:rFonts w:eastAsia="Times New Roman" w:cs="Times New Roman"/>
          <w:color w:val="0D0D0D"/>
          <w:sz w:val="16"/>
          <w:szCs w:val="16"/>
        </w:rPr>
      </w:pPr>
    </w:p>
    <w:p w14:paraId="7D933EFA" w14:textId="5BCCA0D3" w:rsidR="00986E35" w:rsidRPr="00986E35" w:rsidRDefault="00986E35" w:rsidP="00986E35">
      <w:pPr>
        <w:rPr>
          <w:rFonts w:cs="Times New Roman"/>
          <w:sz w:val="16"/>
          <w:szCs w:val="16"/>
        </w:rPr>
      </w:pPr>
      <w:r w:rsidRPr="008A1F40">
        <w:rPr>
          <w:rFonts w:cs="Times New Roman"/>
          <w:sz w:val="16"/>
          <w:szCs w:val="16"/>
        </w:rPr>
        <w:t>Table 6: Associations with Attention Deficit Hyperactivity Symptoms/Disorders</w:t>
      </w:r>
    </w:p>
    <w:tbl>
      <w:tblPr>
        <w:tblW w:w="9210" w:type="dxa"/>
        <w:tblCellSpacing w:w="15" w:type="dxa"/>
        <w:tblBorders>
          <w:top w:val="thinThickSmallGap" w:sz="24" w:space="0" w:color="C4BC96" w:themeColor="background2" w:themeShade="BF"/>
          <w:left w:val="thinThickSmallGap" w:sz="24" w:space="0" w:color="C4BC96" w:themeColor="background2" w:themeShade="BF"/>
          <w:bottom w:val="thickThinSmallGap" w:sz="24" w:space="0" w:color="C4BC96" w:themeColor="background2" w:themeShade="BF"/>
          <w:right w:val="thickThinSmallGap" w:sz="24" w:space="0" w:color="C4BC96" w:themeColor="background2" w:themeShade="BF"/>
          <w:insideH w:val="single" w:sz="6" w:space="0" w:color="C4BC96" w:themeColor="background2" w:themeShade="BF"/>
          <w:insideV w:val="single" w:sz="6" w:space="0" w:color="C4BC96" w:themeColor="background2"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1331"/>
        <w:gridCol w:w="1763"/>
        <w:gridCol w:w="6116"/>
      </w:tblGrid>
      <w:tr w:rsidR="00986E35" w:rsidRPr="008A1F40" w14:paraId="3A7FA960" w14:textId="77777777" w:rsidTr="007F77D2">
        <w:trPr>
          <w:tblHeader/>
          <w:tblCellSpacing w:w="15" w:type="dxa"/>
        </w:trPr>
        <w:tc>
          <w:tcPr>
            <w:tcW w:w="0" w:type="auto"/>
            <w:shd w:val="clear" w:color="auto" w:fill="FFFFFF"/>
            <w:hideMark/>
          </w:tcPr>
          <w:p w14:paraId="14E3E666" w14:textId="77777777" w:rsidR="00986E35" w:rsidRPr="008A1F40" w:rsidRDefault="00986E35" w:rsidP="007F77D2">
            <w:pPr>
              <w:rPr>
                <w:rFonts w:eastAsia="Times New Roman" w:cs="Times New Roman"/>
                <w:b/>
                <w:bCs/>
                <w:color w:val="000000" w:themeColor="text1"/>
                <w:sz w:val="16"/>
                <w:szCs w:val="16"/>
              </w:rPr>
            </w:pPr>
            <w:r w:rsidRPr="008A1F40">
              <w:rPr>
                <w:rFonts w:eastAsia="Times New Roman" w:cs="Times New Roman"/>
                <w:b/>
                <w:bCs/>
                <w:color w:val="000000" w:themeColor="text1"/>
                <w:sz w:val="16"/>
                <w:szCs w:val="16"/>
              </w:rPr>
              <w:t>Study</w:t>
            </w:r>
          </w:p>
        </w:tc>
        <w:tc>
          <w:tcPr>
            <w:tcW w:w="0" w:type="auto"/>
            <w:shd w:val="clear" w:color="auto" w:fill="FFFFFF"/>
            <w:hideMark/>
          </w:tcPr>
          <w:p w14:paraId="060A87FD" w14:textId="77777777" w:rsidR="00986E35" w:rsidRPr="008A1F40" w:rsidRDefault="00986E35" w:rsidP="007F77D2">
            <w:pPr>
              <w:rPr>
                <w:rFonts w:eastAsia="Times New Roman" w:cs="Times New Roman"/>
                <w:b/>
                <w:bCs/>
                <w:color w:val="000000" w:themeColor="text1"/>
                <w:sz w:val="16"/>
                <w:szCs w:val="16"/>
              </w:rPr>
            </w:pPr>
            <w:r w:rsidRPr="008A1F40">
              <w:rPr>
                <w:rFonts w:eastAsia="Times New Roman" w:cs="Times New Roman"/>
                <w:b/>
                <w:bCs/>
                <w:color w:val="000000" w:themeColor="text1"/>
                <w:sz w:val="16"/>
                <w:szCs w:val="16"/>
              </w:rPr>
              <w:t>Sample Size/Demographics</w:t>
            </w:r>
          </w:p>
        </w:tc>
        <w:tc>
          <w:tcPr>
            <w:tcW w:w="0" w:type="auto"/>
            <w:shd w:val="clear" w:color="auto" w:fill="FFFFFF"/>
            <w:hideMark/>
          </w:tcPr>
          <w:p w14:paraId="5D0F9979" w14:textId="77777777" w:rsidR="00986E35" w:rsidRPr="008A1F40" w:rsidRDefault="00986E35" w:rsidP="007F77D2">
            <w:pPr>
              <w:rPr>
                <w:rFonts w:eastAsia="Times New Roman" w:cs="Times New Roman"/>
                <w:b/>
                <w:bCs/>
                <w:color w:val="000000" w:themeColor="text1"/>
                <w:sz w:val="16"/>
                <w:szCs w:val="16"/>
              </w:rPr>
            </w:pPr>
            <w:r w:rsidRPr="008A1F40">
              <w:rPr>
                <w:rFonts w:eastAsia="Times New Roman" w:cs="Times New Roman"/>
                <w:b/>
                <w:bCs/>
                <w:color w:val="000000" w:themeColor="text1"/>
                <w:sz w:val="16"/>
                <w:szCs w:val="16"/>
              </w:rPr>
              <w:t>Findings</w:t>
            </w:r>
          </w:p>
        </w:tc>
      </w:tr>
      <w:tr w:rsidR="00986E35" w:rsidRPr="008A1F40" w14:paraId="2D788B2E" w14:textId="77777777" w:rsidTr="007F77D2">
        <w:trPr>
          <w:tblCellSpacing w:w="15" w:type="dxa"/>
        </w:trPr>
        <w:tc>
          <w:tcPr>
            <w:tcW w:w="0" w:type="auto"/>
            <w:shd w:val="clear" w:color="auto" w:fill="FFFFFF"/>
            <w:hideMark/>
          </w:tcPr>
          <w:p w14:paraId="4E91895D" w14:textId="3C98C89F"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Brandt et al (2016)</w:t>
            </w:r>
            <w:r w:rsidR="00CC6064">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MTkwYTA1MzUtOGUxMC00MDBiLTljN2ItMzQyOWE5ZmZkNjY3IiwicHJvcGVydGllcyI6eyJub3RlSW5kZXgiOjB9LCJpc0VkaXRlZCI6ZmFsc2UsIm1hbnVhbE92ZXJyaWRlIjp7ImlzTWFudWFsbHlPdmVycmlkZGVuIjpmYWxzZSwiY2l0ZXByb2NUZXh0IjoiKDExKSIsIm1hbnVhbE92ZXJyaWRlVGV4dCI6IiJ9LCJjaXRhdGlvbkl0ZW1zIjpbeyJpZCI6ImFkZTRmY2VmLTdmOTYtMzkwZC04MDY3LTIwMWQzNGI1ODJhYiIsIml0ZW1EYXRhIjp7InR5cGUiOiJhcnRpY2xlLWpvdXJuYWwiLCJpZCI6ImFkZTRmY2VmLTdmOTYtMzkwZC04MDY3LTIwMWQzNGI1ODJhYiIsInRpdGxlIjoiQ29udmVyZ2VudCB2YWxpZGl0eSBvZiB0aGUgUFVUUyIsImdyb3VwSWQiOiIwN2Q2MmFjMS01YWE4LTM5YWYtYjQ5ZS01MmQyMDg4YWM1NzEiLCJhdXRob3IiOlt7ImZhbWlseSI6IkJyYW5kdCIsImdpdmVuIjoiVmFsZXJpZSBDYXRow6lyaW5lIiwicGFyc2UtbmFtZXMiOmZhbHNlLCJkcm9wcGluZy1wYXJ0aWNsZSI6IiIsIm5vbi1kcm9wcGluZy1wYXJ0aWNsZSI6IiJ9LHsiZmFtaWx5IjoiQmVjayIsImdpdmVuIjoiQ2hyaXN0aWFuIiwicGFyc2UtbmFtZXMiOmZhbHNlLCJkcm9wcGluZy1wYXJ0aWNsZSI6IiIsIm5vbi1kcm9wcGluZy1wYXJ0aWNsZSI6IiJ9LHsiZmFtaWx5IjoiU2FqaW4iLCJnaXZlbiI6IlZhbGVyaWEiLCJwYXJzZS1uYW1lcyI6ZmFsc2UsImRyb3BwaW5nLXBhcnRpY2xlIjoiIiwibm9uLWRyb3BwaW5nLXBhcnRpY2xlIjoiIn0seyJmYW1pbHkiOiJBbmRlcnMiLCJnaXZlbiI6IlNpbGtlIiwicGFyc2UtbmFtZXMiOmZhbHNlLCJkcm9wcGluZy1wYXJ0aWNsZSI6IiIsIm5vbi1kcm9wcGluZy1wYXJ0aWNsZSI6IiJ9LHsiZmFtaWx5IjoiTcO8bmNoYXUiLCJnaXZlbiI6IkFsZXhhbmRlciIsInBhcnNlLW5hbWVzIjpmYWxzZSwiZHJvcHBpbmctcGFydGljbGUiOiIiLCJub24tZHJvcHBpbmctcGFydGljbGUiOiIifV0sImNvbnRhaW5lci10aXRsZSI6IkZyb250aWVycyBpbiBQc3ljaGlhdHJ5IiwiRE9JIjoiMTAuMzM4OS9mcHN5dC4yMDE2LjAwMDUxIiwiSVNTTiI6IjE2NjQwNjQwIiwiaXNzdWVkIjp7ImRhdGUtcGFydHMiOltbMjAxNiw0LDddXX0sImFic3RyYWN0IjoiUHJlbW9uaXRvcnkgdXJnZXMgYXJlIGEgY2FyZGluYWwgZmVhdHVyZSBpbiBHaWxsZXMgZGUgbGEgVG91cmV0dGUgc3luZHJvbWUuIFNldmVyaXR5IG9mIHByZW1vbml0b3J5IHVyZ2VzIGNhbiBiZSBhc3Nlc3NlZCB3aXRoIHRoZSBcIlByZW1vbml0b3J5IFVyZ2UgZm9yIFRpYyBEaXNvcmRlcnMgU2NhbGVcIiAoUFVUUykuIEhvd2V2ZXIsIGNvbnZlcmdlbnQgdmFsaWRpdHkgb2YgdGhlIG1lYXN1cmUgaGFzIGJlZW4gZGlmZmljdWx0IHRvIGFzc2VzcyBkdWUgdG8gdGhlIGxhY2sgb2Ygb3RoZXIgdXJnZSBtZWFzdXJlcy4gV2UgaW52ZXN0aWdhdGVkIHRoZSByZWxhdGlvbnNoaXAgYmV0d2VlbiBhdmVyYWdlIHJlYWwtdGltZSB1cmdlIGludGVuc2l0eSBhc3Nlc3NlZCBieSBhbiBpbi1ob3VzZSBkZXZlbG9wZWQgcmVhbC10aW1lIHVyZ2UgbW9uaXRvciAoUlVNKSwgbWVhc3VyaW5nIHVyZ2UgaW50ZW5zaXR5IGNvbnRpbnVvdXNseSBmb3IgNSBtaW4gb24gYSB2aXN1YWwgYW5hbG9nIHNjYWxlLCBhbmQgZ2VuZXJhbCB1cmdlIGludGVuc2l0eSBhc3Nlc3NlZCBieSB0aGUgUFVUUyBpbiAyMiBhZHVsdCBUb3VyZXR0ZSBwYXRpZW50cyAobWVhbiBhZ2UgMjkuOCDCsSAxMC4zIFNELCAxOSBtYWxlcykuIEFkZGl0aW9uYWxseSwgdW5kZXJseWluZyBmYWN0b3JzIG9mIHByZW1vbml0b3J5IHVyZ2VzIGFzc2Vzc2VkIGJ5IHRoZSBQVVRTIHdlcmUgaW52ZXN0aWdhdGVkIGluIHRoZSBhZHVsdCBzYW1wbGUgdXNpbmcgZmFjdG9yIGFuYWx5c2lzIGFuZCB3ZXJlIHJlcGxpY2F0ZWQgaW4gNDAgY2hpbGRyZW4gYW5kIGFkb2xlc2NlbnRzIGRpYWdub3NlZCB3aXRoIFRvdXJldHRlIHN5bmRyb21lIChtZWFuIGFnZSAxMi4wNSDCsSAyLjgzIFNELCAzMSBtYWxlcykuIENyb25iYWNoJ3MgYSBmb3IgdGhlIFBVVFMgMTAgd2FzIGFjY2VwdGFibGUgKM6xID0gMC43OSkgaW4gdGhlIGFkdWx0IHNhbXBsZS4gQ29udmVyZ2VudCB2YWxpZGl0eSBiZXR3ZWVuIGF2ZXJhZ2UgcmVhbC10aW1lIHVyZ2UgaW50ZW5zaXR5IHNjb3JlcyAoYXMgYXNzZXNzZWQgd2l0aCB0aGUgUlVNKSBhbmQgdGhlIDEwLWl0ZW0gdmVyc2lvbiBvZiB0aGUgUFVUUyAociA9IDAuNjQpIGFuZCB0aGUgOS1pdGVtIHZlcnNpb24gb2YgdGhlIFBVVFMgKHIgPSAwLjY2KSB3YXMgZ29vZC4gQSBmYWN0b3IgYW5hbHlzaXMgaW5jbHVkaW5nIHRoZSAxMCBpdGVtcyBvZiB0aGUgUFVUUyBhbmQgYXZlcmFnZSByZWFsLXRpbWUgdXJnZSBpbnRlbnNpdHkgc2NvcmVzIHJldmVhbGVkIHRocmVlIGZhY3RvcnMuIE9uZSBmYWN0b3IgaW5jbHVkZWQgdGhlIGF2ZXJhZ2UgcmVhbC10aW1lIHVyZ2UgaW50ZW5zaXR5IHNjb3JlIGFuZCBhcHBlYXJlZCB0byBtZWFzdXJlIHVyZ2UgaW50ZW5zaXR5LCB3aGVyZWFzIHRoZSBvdGhlciB0d28gZmFjdG9ycyBjYW4gYmUgYXNzdW1lZCB0byByZWZsZWN0IHRoZSAoc2Vuc29yeSkgcXVhbGl0eSBvZiB1cmdlcyBhbmQgc3ViamVjdGl2ZSBjb250cm9sLCByZXNwZWN0aXZlbHkuIFRoZSBmYWN0b3Igc3RydWN0dXJlIG9mIHRoZSAxMCBQVVRTIGl0ZW1zIGFsb25lIHdhcyByZXBsaWNhdGVkIGluIGEgc2FtcGxlIG9mIGNoaWxkcmVuIGFuZCBhZG9sZXNjZW50cy4gVGhlIHJlc3VsdHMgaW5kaWNhdGUgdGhhdCBjb252ZXJnZW50IHZhbGlkaXR5IGJldHdlZW4gdGhlIFBVVFMgYW5kIHRoZSByZWFsLXRpbWUgdXJnZSBhc3Nlc3NtZW50IG1vbml0b3IgaXMgZ29vZC4gRnVydGhlcm1vcmUsIHRoZSByZXN1bHRzIHN1Z2dlc3QgdGhhdCB0aGUgUFVUUyBtaWdodCBhc3Nlc3MgbW9yZSB0aGFuIG9uZSBkaW1lbnNpb24gb2YgdXJnZXMsIGFuZCBpdCBtYXkgYmUgd29ydGh3aGlsZSBkZXZlbG9waW5nIGRpZmZlcmVudCBzdWJzY2FsZXMgb2YgdGhlIFBVVFMgYXNzZXNzaW5nIHByZW1vbml0b3J5IHVyZ2VzIGluIHRlcm1zIG9mIGludGVuc2l0eSBhbmQgcXVhbGl0eSwgYXMgd2VsbCBhcyBzdWJqZWN0aXZlbHkgZXhwZXJpZW5jZWQgY29udHJvbCBvdmVyIHRpY3MgYW5kIHByZW1vbml0b3J5IHVyZ2VzLiIsInB1Ymxpc2hlciI6IkZyb250aWVycyBSZXNlYXJjaCBGb3VuZGF0aW9uIiwiaXNzdWUiOiJBUFIiLCJ2b2x1bWUiOiI3IiwiY29udGFpbmVyLXRpdGxlLXNob3J0IjoiRnJvbnQgUHN5Y2hpYXRyeSJ9LCJpc1RlbXBvcmFyeSI6ZmFsc2V9XX0="/>
                <w:id w:val="-437607096"/>
                <w:placeholder>
                  <w:docPart w:val="DefaultPlaceholder_-1854013440"/>
                </w:placeholder>
              </w:sdtPr>
              <w:sdtContent>
                <w:r w:rsidR="00F04E9F" w:rsidRPr="00F04E9F">
                  <w:rPr>
                    <w:rFonts w:eastAsia="Times New Roman" w:cs="Times New Roman"/>
                    <w:color w:val="000000"/>
                    <w:sz w:val="16"/>
                    <w:szCs w:val="16"/>
                  </w:rPr>
                  <w:t>(11)</w:t>
                </w:r>
              </w:sdtContent>
            </w:sdt>
          </w:p>
        </w:tc>
        <w:tc>
          <w:tcPr>
            <w:tcW w:w="0" w:type="auto"/>
            <w:shd w:val="clear" w:color="auto" w:fill="FFFFFF"/>
            <w:hideMark/>
          </w:tcPr>
          <w:p w14:paraId="404F852F"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22 adults with TS</w:t>
            </w:r>
          </w:p>
        </w:tc>
        <w:tc>
          <w:tcPr>
            <w:tcW w:w="0" w:type="auto"/>
            <w:shd w:val="clear" w:color="auto" w:fill="FFFFFF"/>
            <w:hideMark/>
          </w:tcPr>
          <w:p w14:paraId="45B53218"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No significant correlations between current ADHD symptoms (</w:t>
            </w:r>
            <w:r w:rsidRPr="008A1F40">
              <w:rPr>
                <w:rFonts w:cs="Times New Roman"/>
                <w:color w:val="000000" w:themeColor="text1"/>
                <w:sz w:val="16"/>
                <w:szCs w:val="16"/>
              </w:rPr>
              <w:t>ADHD-SB</w:t>
            </w:r>
            <w:r w:rsidRPr="008A1F40">
              <w:rPr>
                <w:rFonts w:eastAsia="Times New Roman" w:cs="Times New Roman"/>
                <w:color w:val="000000" w:themeColor="text1"/>
                <w:sz w:val="16"/>
                <w:szCs w:val="16"/>
              </w:rPr>
              <w:t>) or childhood ADHD symptoms (</w:t>
            </w:r>
            <w:r w:rsidRPr="008A1F40">
              <w:rPr>
                <w:rFonts w:cs="Times New Roman"/>
                <w:color w:val="000000" w:themeColor="text1"/>
                <w:sz w:val="16"/>
                <w:szCs w:val="16"/>
              </w:rPr>
              <w:t>WURS-K)</w:t>
            </w:r>
            <w:r w:rsidRPr="008A1F40">
              <w:rPr>
                <w:rFonts w:eastAsia="Times New Roman" w:cs="Times New Roman"/>
                <w:color w:val="000000" w:themeColor="text1"/>
                <w:sz w:val="16"/>
                <w:szCs w:val="16"/>
              </w:rPr>
              <w:t xml:space="preserve"> and premonitory urges (PUTS-9, PUTS-10 scores, or live urge monitor values). </w:t>
            </w:r>
          </w:p>
          <w:p w14:paraId="534F8A46" w14:textId="2763723D"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Significant correlations found between childhood ADHD (WURS-K) symptoms and specific items on the PUTS (item 3: Pearson's r = 0.56, p = 0.006; item 4: Pearson's r = 0.46, p = 0.032) </w:t>
            </w:r>
            <w:r w:rsidRPr="008A1F40">
              <w:rPr>
                <w:rFonts w:cs="Times New Roman"/>
                <w:color w:val="000000" w:themeColor="text1"/>
                <w:sz w:val="16"/>
                <w:szCs w:val="16"/>
              </w:rPr>
              <w:t xml:space="preserve">as well as between </w:t>
            </w:r>
            <w:r w:rsidR="00F534F5">
              <w:rPr>
                <w:rFonts w:cs="Times New Roman"/>
                <w:color w:val="000000" w:themeColor="text1"/>
                <w:sz w:val="16"/>
                <w:szCs w:val="16"/>
              </w:rPr>
              <w:t xml:space="preserve">PUTS </w:t>
            </w:r>
            <w:r w:rsidRPr="008A1F40">
              <w:rPr>
                <w:rFonts w:cs="Times New Roman"/>
                <w:color w:val="000000" w:themeColor="text1"/>
                <w:sz w:val="16"/>
                <w:szCs w:val="16"/>
              </w:rPr>
              <w:t>item 3 and ADHD-SB total scores and ADHD-SB hyperactivity subscale scores (r = 0.44, p = 0.047, r = 0.64, p = 0.002 respectively).</w:t>
            </w:r>
          </w:p>
        </w:tc>
      </w:tr>
      <w:tr w:rsidR="00986E35" w:rsidRPr="008A1F40" w14:paraId="2BC32439" w14:textId="77777777" w:rsidTr="007F77D2">
        <w:trPr>
          <w:tblCellSpacing w:w="15" w:type="dxa"/>
        </w:trPr>
        <w:tc>
          <w:tcPr>
            <w:tcW w:w="0" w:type="auto"/>
            <w:shd w:val="clear" w:color="auto" w:fill="FFFFFF"/>
          </w:tcPr>
          <w:p w14:paraId="04801ED5" w14:textId="61BFAC76"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Kim et al (2020)</w:t>
            </w:r>
            <w:r w:rsidR="00CC6064">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OTA4NGZhMzYtMzViMi00MThhLWE2MTQtZjZjZTg1Y2QzMzllIiwicHJvcGVydGllcyI6eyJub3RlSW5kZXgiOjB9LCJpc0VkaXRlZCI6ZmFsc2UsIm1hbnVhbE92ZXJyaWRlIjp7ImlzTWFudWFsbHlPdmVycmlkZGVuIjpmYWxzZSwiY2l0ZXByb2NUZXh0IjoiKDE4KSIsIm1hbnVhbE92ZXJyaWRlVGV4dCI6IiJ9LCJjaXRhdGlvbkl0ZW1zIjpbeyJpZCI6ImJkZjkyYTRmLWRmZjMtMzNiYS1hZjNmLWY2MmIxYjIxOTgxZiIsIml0ZW1EYXRhIjp7InR5cGUiOiJhcnRpY2xlLWpvdXJuYWwiLCJpZCI6ImJkZjkyYTRmLWRmZjMtMzNiYS1hZjNmLWY2MmIxYjIxOTgxZiIsInRpdGxlIjoiRGV2ZWxvcG1lbnQgb2YgdGhlIEtvcmVhbiBGb3JtIG9mIHRoZSBQcmVtb25pdG9yeSBVcmdlIGZvciBUaWNzIFNjYWxlOiBBIFJlbGlhYmlsaXR5IGFuZCBWYWxpZGl0eSBTdHVkeSIsImdyb3VwSWQiOiIwN2Q2MmFjMS01YWE4LTM5YWYtYjQ5ZS01MmQyMDg4YWM1NzEiLCJhdXRob3IiOlt7ImZhbWlseSI6IktpbSIsImdpdmVuIjoiTSIsInBhcnNlLW5hbWVzIjpmYWxzZSwiZHJvcHBpbmctcGFydGljbGUiOiIiLCJub24tZHJvcHBpbmctcGFydGljbGUiOiIifSx7ImZhbWlseSI6IkNodW5nIiwiZ2l2ZW4iOiJTIEsiLCJwYXJzZS1uYW1lcyI6ZmFsc2UsImRyb3BwaW5nLXBhcnRpY2xlIjoiIiwibm9uLWRyb3BwaW5nLXBhcnRpY2xlIjoiIn0seyJmYW1pbHkiOiJZYW5nIiwiZ2l2ZW4iOiJKIEMiLCJwYXJzZS1uYW1lcyI6ZmFsc2UsImRyb3BwaW5nLXBhcnRpY2xlIjoiIiwibm9uLWRyb3BwaW5nLXBhcnRpY2xlIjoiIn0seyJmYW1pbHkiOiJQYXJrIiwiZ2l2ZW4iOiJKIEkiLCJwYXJzZS1uYW1lcyI6ZmFsc2UsImRyb3BwaW5nLXBhcnRpY2xlIjoiIiwibm9uLWRyb3BwaW5nLXBhcnRpY2xlIjoiIn0seyJmYW1pbHkiOiJOYW0iLCJnaXZlbiI6IlMgSCIsInBhcnNlLW5hbWVzIjpmYWxzZSwiZHJvcHBpbmctcGFydGljbGUiOiIiLCJub24tZHJvcHBpbmctcGFydGljbGUiOiIifSx7ImZhbWlseSI6IlBhcmsiLCJnaXZlbiI6IlQgVyIsInBhcnNlLW5hbWVzIjpmYWxzZSwiZHJvcHBpbmctcGFydGljbGUiOiIiLCJub24tZHJvcHBpbmctcGFydGljbGUiOiIifV0sImNvbnRhaW5lci10aXRsZSI6IlNvYSBDaG9uZ3NvbnlvbiBDaG9uZ3NpbiBVaWhhayIsIkRPSSI6IjEwLjU3NjUvamthY2FwLjIwMDAxMyIsIlBNSUQiOiIzMjY2NTc1OCIsIlVSTCI6Imh0dHBzOi8vd3d3Lm5jYmkubmxtLm5paC5nb3YvcG1jL2FydGljbGVzL1BNQzczNTA1NDUvcGRmL0pLQUNBUC0zMS0xNDYucGRmIiwiaXNzdWVkIjp7ImRhdGUtcGFydHMiOltbMjAyMF1dfSwicGFnZSI6IjE0Ni0xNTMiLCJhYnN0cmFjdCI6Ik9CSkVDVElWRVM6IFRoaXMgc3R1ZHkgYWltZWQgdG8gZXZhbHVhdGUgdGhlIHJlbGlhYmlsaXR5IGFuZCB2YWxpZGl0eSBvZiB0aGUgS29yZWFuIEZvcm0gb2YgdGhlIFByZW1vbml0b3J5IFVyZ2UgZm9yIFRpY3MgU2NhbGUgKEstUFVUUykuIE1FVEhPRFM6IFRoaXJ0eS1laWdodCBwYXRpZW50cyB3aXRoIFRvdXJldHRlJ3MgZGlzb3JkZXIgd2hvIHZpc2l0ZWQgSmVvbmJ1ayBOYXRpb25hbCBVbml2ZXJzaXR5IEhvc3BpdGFsIHdlcmUgYXNzZXNzZWQgd2l0aCB0aGUgSy1QVVRTLiBUb2dldGhlciB3aXRoIHRoZSBQVVRTLCB0aGUgWWFsZSBHbG9iYWwgVGljIFNldmVyaXR5IFNjYWxlIChZR1RTUyksIHRoZSBDaGlsZHJlbidzIFlhbGUtQnJvd24gT2JzZXNzaXZlIENvbXB1bHNpdmUgU2NhbGUgKENZLUJPQ1MpLCB0aGUgYXR0ZW50aW9uLWRlZmljaXQvaHlwZXJhY3Rpdml0eSBkaXNvcmRlciAoQURIRCkgcmF0aW5nIHNjYWxlIChBUlMpLCBhbmQgdGhlIEFkdWx0IEFESEQgU2VsZi1SZXBvcnQgU2NhbGUgKEFTUlMpIHdlcmUgaW1wbGVtZW50ZWQgdG8gZXZhbHVhdGUgY29uY3VycmVudCBhbmQgZGlzY3JpbWluYW50IHZhbGlkaXR5LiBSRVNVTFRTOiBUaGUgaW50ZXJuYWwgY29uc2lzdGVuY3kgb2YgaXRlbXMgb24gdGhlIFBVVFMgd2FzIGhpZ2gsIHdpdGggYSBDcm9uYmFjaCdzIM6xIG9mIDAuNzkuIFRoZSB0ZXN0LXJldGVzdCByZWxpYWJpbGl0eSBvZiB0aGUgUFVUUywgd2hpY2ggd2FzIGFkbWluaXN0ZXJlZCBhdCAyIHdlZWtzIHRvIDIgbW9udGhzIGludGVydmFscywgc2hvd2VkIGhpZ2ggcmVsaWFiaWxpdHkgd2l0aCBhIFBlYXJzb24gY29ycmVsYXRpb24gY29lZmZpY2llbnQgb2YgMC42MC4gVGhlcmUgd2FzIGEgc2lnbmlmaWNhbnQgcG9zaXRpdmUgY29ycmVsYXRpb24gYmV0d2VlbiB0aGUgb3ZlcmFsbCBQVVRTIHNjb3JlIGFuZCB0aGUgWUdUU1Mgc2NvcmUsIHNob3dpbmcgY29uY3VycmVudCB2YWxpZGl0eS4gVGhlcmUgd2FzIG5vIGNvcnJlbGF0aW9uIGJldHdlZW4gdGhlIFBVVFMsIENZLUJPQ1MsIGFuZCBBU1JTIHNjb3JlcywgZGVtb25zdHJhdGluZyB0aGUgZGlzY3JpbWluYW50IHZhbGlkaXR5IG9mIHRoZSBQVVRTLiBGYWN0b3IgYW5hbHlzaXMgZm9yIGNvbnN0cnVjdCB2YWxpZGl0eSByZXZlYWxlZCB0aHJlZSBmYWN0b3JzOiBcInByZXN1bWVkIGZ1bmN0aW9uYWwgcmVsYXRpb25zaGlwIGJldHdlZW4gdGhlIHRpYyBhbmQgdGhlIHVyZ2UgdG8gdGljLFwiIFwidGhlIHF1YWxpdHkgb2YgdGhlIHByZW1vbml0b3J5IHVyZ2UsXCIgYW5kIFwianVzdCByaWdodCBwaGVub21lbmEuXCIgQ09OQ0xVU0lPTjogVGhlIHJlc3VsdHMgb2YgdGhpcyBzdHVkeSBpbmRpY2F0ZSB0aGF0IHRoZSBLLVBVVFMgaXMgYSByZWxpYWJsZSBhbmQgdmFsaWQgc2NhbGUgZm9yIHJhdGluZyBwcmVtb25pdG9yeSB1cmdlIG9mIHRpY3MuIiwiaXNzdWUiOiIzIiwidm9sdW1lIjoiMzEiLCJjb250YWluZXItdGl0bGUtc2hvcnQiOiIifSwiaXNUZW1wb3JhcnkiOmZhbHNlfV19"/>
                <w:id w:val="559675694"/>
                <w:placeholder>
                  <w:docPart w:val="DefaultPlaceholder_-1854013440"/>
                </w:placeholder>
              </w:sdtPr>
              <w:sdtContent>
                <w:r w:rsidR="00F04E9F" w:rsidRPr="00F04E9F">
                  <w:rPr>
                    <w:rFonts w:eastAsia="Times New Roman" w:cs="Times New Roman"/>
                    <w:color w:val="000000"/>
                    <w:sz w:val="16"/>
                    <w:szCs w:val="16"/>
                  </w:rPr>
                  <w:t>(18)</w:t>
                </w:r>
              </w:sdtContent>
            </w:sdt>
          </w:p>
        </w:tc>
        <w:tc>
          <w:tcPr>
            <w:tcW w:w="0" w:type="auto"/>
            <w:shd w:val="clear" w:color="auto" w:fill="FFFFFF"/>
          </w:tcPr>
          <w:p w14:paraId="422B90EB"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Data from 35 children and adults with CTDs</w:t>
            </w:r>
          </w:p>
        </w:tc>
        <w:tc>
          <w:tcPr>
            <w:tcW w:w="0" w:type="auto"/>
            <w:shd w:val="clear" w:color="auto" w:fill="FFFFFF"/>
          </w:tcPr>
          <w:p w14:paraId="1C636269" w14:textId="356D7704"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rPr>
              <w:t xml:space="preserve">Significant negative correlation between PUTS </w:t>
            </w:r>
            <w:r w:rsidR="00D90AFC">
              <w:rPr>
                <w:rFonts w:cs="Times New Roman"/>
                <w:color w:val="000000" w:themeColor="text1"/>
                <w:sz w:val="16"/>
                <w:szCs w:val="16"/>
              </w:rPr>
              <w:t xml:space="preserve">and </w:t>
            </w:r>
            <w:r w:rsidRPr="008A1F40">
              <w:rPr>
                <w:rFonts w:cs="Times New Roman"/>
                <w:color w:val="000000" w:themeColor="text1"/>
                <w:sz w:val="16"/>
                <w:szCs w:val="16"/>
              </w:rPr>
              <w:t xml:space="preserve">ARS </w:t>
            </w:r>
            <w:r w:rsidR="00D90AFC">
              <w:rPr>
                <w:rFonts w:cs="Times New Roman"/>
                <w:color w:val="000000" w:themeColor="text1"/>
                <w:sz w:val="16"/>
                <w:szCs w:val="16"/>
              </w:rPr>
              <w:t xml:space="preserve">scores </w:t>
            </w:r>
            <w:r w:rsidRPr="008A1F40">
              <w:rPr>
                <w:rFonts w:cs="Times New Roman"/>
                <w:color w:val="000000" w:themeColor="text1"/>
                <w:sz w:val="16"/>
                <w:szCs w:val="16"/>
              </w:rPr>
              <w:t xml:space="preserve">in subgroup 15 years and younger (n = 21, Spearman’s r = -0.47, p &lt;0.05) but no significant correlation between PUTS and ASRS </w:t>
            </w:r>
            <w:r w:rsidR="00E3309C">
              <w:rPr>
                <w:rFonts w:cs="Times New Roman"/>
                <w:color w:val="000000" w:themeColor="text1"/>
                <w:sz w:val="16"/>
                <w:szCs w:val="16"/>
              </w:rPr>
              <w:t xml:space="preserve">scores </w:t>
            </w:r>
            <w:r w:rsidRPr="008A1F40">
              <w:rPr>
                <w:rFonts w:cs="Times New Roman"/>
                <w:color w:val="000000" w:themeColor="text1"/>
                <w:sz w:val="16"/>
                <w:szCs w:val="16"/>
              </w:rPr>
              <w:t>in adults (p &gt; 0.05)</w:t>
            </w:r>
          </w:p>
        </w:tc>
      </w:tr>
      <w:tr w:rsidR="00986E35" w:rsidRPr="008A1F40" w14:paraId="6FD8CA7F" w14:textId="77777777" w:rsidTr="007F77D2">
        <w:trPr>
          <w:tblCellSpacing w:w="15" w:type="dxa"/>
        </w:trPr>
        <w:tc>
          <w:tcPr>
            <w:tcW w:w="0" w:type="auto"/>
            <w:shd w:val="clear" w:color="auto" w:fill="FFFFFF"/>
            <w:hideMark/>
          </w:tcPr>
          <w:p w14:paraId="78515C85" w14:textId="26D1A140"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Gerasch et al (2016)</w:t>
            </w:r>
            <w:r w:rsidR="00CC6064">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NzBmM2YxNGMtMGM4OC00NmJmLWIxNzQtMWM2Y2UyODdiOTI4IiwicHJvcGVydGllcyI6eyJub3RlSW5kZXgiOjB9LCJpc0VkaXRlZCI6ZmFsc2UsIm1hbnVhbE92ZXJyaWRlIjp7ImlzTWFudWFsbHlPdmVycmlkZGVuIjpmYWxzZSwiY2l0ZXByb2NUZXh0IjoiKDIzKSIsIm1hbnVhbE92ZXJyaWRlVGV4dCI6IiJ9LCJjaXRhdGlvbkl0ZW1zIjpbeyJpZCI6IjMzMmE2MmZjLTBiYzAtMzJmNi1hODFjLTUyN2RiMTcyZDZjNCIsIml0ZW1EYXRhIjp7InR5cGUiOiJhcnRpY2xlLWpvdXJuYWwiLCJpZCI6IjMzMmE2MmZjLTBiYzAtMzJmNi1hODFjLTUyN2RiMTcyZDZjNCIsInRpdGxlIjoiQXJpcGlwcmF6b2xlIGltcHJvdmVzIGFzc29jaWF0ZWQgY29tb3JiaWQgY29uZGl0aW9ucyBpbiBhZGRpdGlvbiB0byB0aWNzIGluIGFkdWx0IHBhdGllbnRzIHdpdGggR2lsbGVzIGRlIGxhIFRvdXJldHRlIFN5bmRyb21lIiwiZ3JvdXBJZCI6IjA3ZDYyYWMxLTVhYTgtMzlhZi1iNDllLTUyZDIwODhhYzU3MSIsImF1dGhvciI6W3siZmFtaWx5IjoiR2VyYXNjaCIsImdpdmVuIjoiUyIsInBhcnNlLW5hbWVzIjpmYWxzZSwiZHJvcHBpbmctcGFydGljbGUiOiIiLCJub24tZHJvcHBpbmctcGFydGljbGUiOiIifSx7ImZhbWlseSI6IkthbmFhbiIsImdpdmVuIjoiQSBTIiwicGFyc2UtbmFtZXMiOmZhbHNlLCJkcm9wcGluZy1wYXJ0aWNsZSI6IiIsIm5vbi1kcm9wcGluZy1wYXJ0aWNsZSI6IiJ9LHsiZmFtaWx5IjoiSmFrdWJvdnNraSIsImdpdmVuIjoiRSIsInBhcnNlLW5hbWVzIjpmYWxzZSwiZHJvcHBpbmctcGFydGljbGUiOiIiLCJub24tZHJvcHBpbmctcGFydGljbGUiOiIifSx7ImZhbWlseSI6Ik11bGxlci1WYWhsIiwiZ2l2ZW4iOiJLIFIiLCJwYXJzZS1uYW1lcyI6ZmFsc2UsImRyb3BwaW5nLXBhcnRpY2xlIjoiIiwibm9uLWRyb3BwaW5nLXBhcnRpY2xlIjoiIn1dLCJjb250YWluZXItdGl0bGUiOiJGcm9udGllcnMgaW4gTmV1cm9zY2llbmNlIiwiRE9JIjoiaHR0cHM6Ly9keC5kb2kub3JnLzEwLjMzODkvZm5pbnMuMjAxNi4wMDQxNiIsIlVSTCI6Imh0dHA6Ly9qb3VybmFsLmZyb250aWVyc2luLm9yZy9hcnRpY2xlLzEwLjMzODkvZm5pbnMuMjAxNi4wMDQxNi9mdWxsaHR0cDovL292aWRzcC5vdmlkLmNvbS9vdmlkd2ViLmNnaT9UPUpTJlBBR0U9cmVmZXJlbmNlJkQ9ZW1lZDE3Jk5FV1M9TiZBTj02MTI3OTM2NDgiLCJpc3N1ZWQiOnsiZGF0ZS1wYXJ0cyI6W1syMDE2XV19LCJwYWdlIjoiNDE2IiwiYWJzdHJhY3QiOiJHaWxsZXMgZGUgbGEgVG91cmV0dGUgU3luZHJvbWUgKEdUUykgaXMgY2hhcmFjdGVyaXplZCBieSBtb3RvciBhbmQgdm9jYWwgdGljcywgYXMgd2VsbCBhcyBhc3NvY2lhdGVkIGNvbW9yYmlkIGNvbmRpdGlvbnMgaW5jbHVkaW5nIG9ic2Vzc2l2ZS1jb21wdWxzaXZlIGRpc29yZGVyIChPQ0QpLCBhdHRlbnRpb24gZGVmaWNpdC9oeXBlcmFjdGl2aXR5IGRpc29yZGVyIChBREhEKSwgZGVwcmVzc2lvbiwgYW5kIGFueGlldHkgd2hpY2ggYXJlIHByZXNlbnQgaW4gYSBzdWJzdGFudGlhbCBudW1iZXIgb2YgcGF0aWVudHMuIEFsdGhvdWdoIHJhbmRvbWl6ZWQgY29udHJvbGxlZCB0cmlhbHMgaW5jbHVkaW5nIGEgbGFyZ2UgbnVtYmVyIG9mIHBhdGllbnRzIGFyZSBzdGlsbCBtaXNzaW5nLCBhcmlwaXByYXpvbGUgaXMgY3VycmVudGx5IGNvbnNpZGVyZWQgYXMgYSBmaXJzdCBjaG9pY2UgZHJ1ZyBmb3IgdGhlIHRyZWF0bWVudCBvZiB0aWNzLiBUaGUgYWltIG9mIHRoaXMgc3R1ZHkgd2FzIHRvIGZ1cnRoZXIgaW52ZXN0aWdhdGUgZWZmaWNhY3kgYW5kIHNhZmV0eSBvZiBhcmlwaXByYXpvbGUgaW4gYSBncm91cCBvZiBkcnVnLWZyZWUsIGFkdWx0IHBhdGllbnRzLiBTcGVjaWZpY2FsbHksIHdlIGludmVzdGlnYXRlZCB0aGUgaW5mbHVlbmNlIG9mIGFyaXBpcHJhem9sZSBvbiB0aWMgc2V2ZXJpdHksIGNvbW9yYmlkaXRpZXMsIHByZW1vbml0b3J5IHVyZ2UgKFBVKSwgYW5kIHF1YWxpdHkgb2YgbGlmZSAoUW9MKS4gTW9yZW92ZXIsIHdlIHdlcmUgaW50ZXJlc3RlZCBpbiB0aGUgZmFjdG9ycyB0aGF0IGluZmx1ZW5jZSBhIHBhdGllbnQncyBkZWNpc2lvbiBpbiBlbGVjdGluZyBmb3Itb3IgYWdhaW5zdC0gcGhhcm1hY29sb2dpY2FsIHRyZWF0bWVudC4gSW4gdGhpcyBwcm9zcGVjdGl2ZSB1bmNvbnRyb2xsZWQgb3Blbi1sYWJlbCBzdHVkeSwgd2UgaW5jbHVkZWQgNDQgcGF0aWVudHMgYW5kIHVzZWQgYSBudW1iZXIgb2YgcmF0aW5nIHNjYWxlcyB0byBhc3Nlc3MgdGljIHNldmVyaXR5LCBQVSwgY29tb3JiaWRpdGllcywgYW5kIFFvTCBhdCBiYXNlbGluZSBhbmQgZHVyaW5nIHRyZWF0bWVudCB3aXRoIGFyaXBpcHJhem9sZS4gRWlnaHRlZW4gb3V0IG9mIGZvcnR5Zm91ciBwYXRpZW50cyBkZWNpZGVkIGZvciB1bmRlcmdvaW5nIHRyZWF0bWVudCBmb3IgdGhlaXIgdGljcyB3aXRoIGFyaXBpcHJhem9sZSBhbmQgY29tcGxldGVkIGZvbGxvdy11cCBhc3Nlc3NtZW50cyBhZnRlciA0LTYgd2Vla3MuIE91ciBtYWpvciBmaW5kaW5ncyB3ZXJlICgxKSBhcmlwaXByYXpvbGUgcmVzdWx0ZWQgaW4gc2lnbmlmaWNhbnQgcmVkdWN0aW9uIG9mIHRpY3MsIGJ1dCBkaWQgbm90IGFmZmVjdCBQVTsgKDIpIGFyaXBpcHJhem9sZSBzaWduaWZpY2FudGx5IGltcHJvdmVkIE9DRCBhbmQgc2hvd2VkIGEgdHJlbmQgdG93YXJkIGltcHJvdmVtZW50IG9mIG90aGVyIGNvbW9yYmlkaXRpZXMgaW5jbHVkaW5nIGRlcHJlc3Npb24sIGFueGlldHksIGFuZCBBREhEOyAoMykgbmVpdGhlciBzZXZlcml0eSBvZiB0aWNzLCBub3IgUFUgb3IgUW9MIGluZmx1ZW5jZWQgcGF0aWVudHMnIGRlY2lzaW9ucyBmb3Igb3IgYWdhaW5zdCB0cmVhdG1lbnQgb2YgdGljcyB3aXRoIGFyaXBpcHJhem9sZTsgaW5zdGVhZCBwYXRpZW50cyB3aXRoIGNvbW9yYmlkIE9DRCB0ZW5kZWQgdG8gZGVjaWRlIGluIGZhdm9yIG9mLCB3aGlsZSBwYXRpZW50cyB3aXRoIGNvbW9yYmlkIEFESEQgdGVuZGVkIHRvIGRlY2lkZSBhZ2FpbnN0IHRpYyB0cmVhdG1lbnQ7ICg0KSBtb3N0IGZyZXF1ZW50bHkgcmVwb3J0ZWQgYWR2ZXJzZSBlZmZlY3RzIHdlcmUgc2xlZXBpbmcgcHJvYmxlbXM7ICg1KSBwYXRpZW50cycgUW9MIHdhcyBtb3N0bHkgaW1wYWlyZWQgYnkgY29tb3JiaWQgZGVwcmVzc2lvbi4gT3VyIHJlc3VsdHMgc3VnZ2VzdCB0aGF0IGFyaXBpcHJhem9sZSBtYXkgaW1wcm92ZSBhc3NvY2lhdGVkIGNvbW9yYmlkIGNvbmRpdGlvbnMgaW4gYWRkaXRpb24gdG8gdGljcyBpbiBwYXRpZW50cyB3aXRoIEdUUy4gSXQgY2FuIGJlIGh5cG90aGVzaXplZCB0aGF0IHRoZXNlIGJlbmVmaWNpYWwgZWZmZWN0cyBhcmUgcmVsYXRlZCB0byBhcmlwaXByYXpvbGUncyBhZGFwdGl2ZSBwaGFybWFjb2xvZ2ljYWwgcHJvZmlsZSwgd2hpY2ggZXhoaWJpdHMgYW4gaW5mbHVlbmNlIG9uIHRoZSBkb3BhbWluZXJnaWMgYXMgd2VsbCBhcyBhIG51bWJlciBvZiBvdGhlciBuZXVyb3RyYW5zbWl0dGVyIHN5c3RlbXMuIEZvciB0aGUgZmlyc3QgdGltZSwgb3VyIGRhdGEgcHJvdmlkZSBldmlkZW5jZSB0aGF0IHBhdGllbnRzJyBkZWNpc2lvbiBtYWtpbmcgcHJvY2VzcyBmb3Igb3IgYWdhaW5zdCBtZWRpY2FsIHRyZWF0bWVudCBpcyBpbmZsdWVuY2VkIGJ5IG90aGVyIGZhY3RvcnMgdGhhbiB0aWMgc2V2ZXJpdHkgYW5kIFFvTC5Db3B5cmlnaHQgwqkgMjAxNiBHZXJhc2NoLCBLYW5hYW4sIEpha3Vib3Zza2kgYW5kIE11bGxlci1WYWhsLiIsImlzc3VlIjoiU0VQIiwidm9sdW1lIjoiMTAiLCJjb250YWluZXItdGl0bGUtc2hvcnQiOiJGcm9udCBOZXVyb3NjaSJ9LCJpc1RlbXBvcmFyeSI6ZmFsc2V9XX0="/>
                <w:id w:val="-444154869"/>
                <w:placeholder>
                  <w:docPart w:val="DefaultPlaceholder_-1854013440"/>
                </w:placeholder>
              </w:sdtPr>
              <w:sdtContent>
                <w:r w:rsidR="00F04E9F" w:rsidRPr="00F04E9F">
                  <w:rPr>
                    <w:rFonts w:eastAsia="Times New Roman" w:cs="Times New Roman"/>
                    <w:color w:val="000000"/>
                    <w:sz w:val="16"/>
                    <w:szCs w:val="16"/>
                  </w:rPr>
                  <w:t>(23)</w:t>
                </w:r>
              </w:sdtContent>
            </w:sdt>
          </w:p>
        </w:tc>
        <w:tc>
          <w:tcPr>
            <w:tcW w:w="0" w:type="auto"/>
            <w:shd w:val="clear" w:color="auto" w:fill="FFFFFF"/>
            <w:hideMark/>
          </w:tcPr>
          <w:p w14:paraId="645754E6"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44 adults with TS</w:t>
            </w:r>
          </w:p>
        </w:tc>
        <w:tc>
          <w:tcPr>
            <w:tcW w:w="0" w:type="auto"/>
            <w:shd w:val="clear" w:color="auto" w:fill="FFFFFF"/>
            <w:hideMark/>
          </w:tcPr>
          <w:p w14:paraId="0560DBB1" w14:textId="77777777"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rPr>
              <w:t>PUTS scores significantly correlated with the attention deficit domain of the DSM-IV symptom list for ADHD (Spearman’s r = 0.313, p &lt; 0.05) and CAARS total scores (r = 0.411, p &lt; 0.05)</w:t>
            </w:r>
          </w:p>
        </w:tc>
      </w:tr>
      <w:tr w:rsidR="00986E35" w:rsidRPr="008A1F40" w14:paraId="5434ED69" w14:textId="77777777" w:rsidTr="007F77D2">
        <w:trPr>
          <w:tblCellSpacing w:w="15" w:type="dxa"/>
        </w:trPr>
        <w:tc>
          <w:tcPr>
            <w:tcW w:w="0" w:type="auto"/>
            <w:shd w:val="clear" w:color="auto" w:fill="FFFFFF"/>
            <w:hideMark/>
          </w:tcPr>
          <w:p w14:paraId="6ADD68FD" w14:textId="2FA67B2B"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Langelage et al (2022)</w:t>
            </w:r>
            <w:r w:rsidR="00CC6064">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YzYyZmQwZTQtY2RjZC00ODAxLWIzOTgtOGJjYjE4Yzg0OGNhIiwicHJvcGVydGllcyI6eyJub3RlSW5kZXgiOjB9LCJpc0VkaXRlZCI6ZmFsc2UsIm1hbnVhbE92ZXJyaWRlIjp7ImlzTWFudWFsbHlPdmVycmlkZGVuIjpmYWxzZSwiY2l0ZXByb2NUZXh0IjoiKDUzKSIsIm1hbnVhbE92ZXJyaWRlVGV4dCI6IiJ9LCJjaXRhdGlvbkl0ZW1zIjpbeyJpZCI6ImMwODUyMGM3LWMzZGItMzA3YS1hNjkwLWE5ZDU2OGRhZDVmMyIsIml0ZW1EYXRhIjp7InR5cGUiOiJhcnRpY2xlLWpvdXJuYWwiLCJpZCI6ImMwODUyMGM3LWMzZGItMzA3YS1hNjkwLWE5ZDU2OGRhZDVmMyIsInRpdGxlIjoiVXJnZS10aWMgYXNzb2NpYXRpb25zIGluIGNoaWxkcmVuIGFuZCBhZG9sZXNjZW50cyB3aXRoIFRvdXJldHRlIHN5bmRyb21lIiwiZ3JvdXBJZCI6IjA3ZDYyYWMxLTVhYTgtMzlhZi1iNDllLTUyZDIwODhhYzU3MSIsImF1dGhvciI6W3siZmFtaWx5IjoiTGFuZ2VsYWdlIiwiZ2l2ZW4iOiJKZW5uaWZlciIsInBhcnNlLW5hbWVzIjpmYWxzZSwiZHJvcHBpbmctcGFydGljbGUiOiIiLCJub24tZHJvcHBpbmctcGFydGljbGUiOiIifSx7ImZhbWlseSI6IlZlcnJlbCIsImdpdmVuIjoiSnVsaXVzIiwicGFyc2UtbmFtZXMiOmZhbHNlLCJkcm9wcGluZy1wYXJ0aWNsZSI6IiIsIm5vbi1kcm9wcGluZy1wYXJ0aWNsZSI6IiJ9LHsiZmFtaWx5IjoiRnJpZWRyaWNoIiwiZ2l2ZW4iOiJKdWxpYSIsInBhcnNlLW5hbWVzIjpmYWxzZSwiZHJvcHBpbmctcGFydGljbGUiOiIiLCJub24tZHJvcHBpbmctcGFydGljbGUiOiIifSx7ImZhbWlseSI6IlNpZWttYW5uIiwiZ2l2ZW4iOiJBbGluYSIsInBhcnNlLW5hbWVzIjpmYWxzZSwiZHJvcHBpbmctcGFydGljbGUiOiIiLCJub24tZHJvcHBpbmctcGFydGljbGUiOiIifSx7ImZhbWlseSI6IlNjaGFwcGVydCIsImdpdmVuIjoiUm9uamEiLCJwYXJzZS1uYW1lcyI6ZmFsc2UsImRyb3BwaW5nLXBhcnRpY2xlIjoiIiwibm9uLWRyb3BwaW5nLXBhcnRpY2xlIjoiIn0seyJmYW1pbHkiOiJCbHVzY2hrZSIsImdpdmVuIjoiQW5uZXQiLCJwYXJzZS1uYW1lcyI6ZmFsc2UsImRyb3BwaW5nLXBhcnRpY2xlIjoiIiwibm9uLWRyb3BwaW5nLXBhcnRpY2xlIjoiIn0seyJmYW1pbHkiOiJSb2Vzc25lciIsImdpdmVuIjoiVmVpdCIsInBhcnNlLW5hbWVzIjpmYWxzZSwiZHJvcHBpbmctcGFydGljbGUiOiIiLCJub24tZHJvcHBpbmctcGFydGljbGUiOiIifSx7ImZhbWlseSI6IlBhdWx1cyIsImdpdmVuIjoiVGhlcmVzYSIsInBhcnNlLW5hbWVzIjpmYWxzZSwiZHJvcHBpbmctcGFydGljbGUiOiIiLCJub24tZHJvcHBpbmctcGFydGljbGUiOiIifSx7ImZhbWlseSI6IkLDpHVtZXIiLCJnaXZlbiI6IlRvYmlhcyIsInBhcnNlLW5hbWVzIjpmYWxzZSwiZHJvcHBpbmctcGFydGljbGUiOiIiLCJub24tZHJvcHBpbmctcGFydGljbGUiOiIifSx7ImZhbWlseSI6IkZyaW5ncyIsImdpdmVuIjoiQ2hyaXN0aWFuIiwicGFyc2UtbmFtZXMiOmZhbHNlLCJkcm9wcGluZy1wYXJ0aWNsZSI6IiIsIm5vbi1kcm9wcGluZy1wYXJ0aWNsZSI6IiJ9LHsiZmFtaWx5IjoiQmVzdGUiLCJnaXZlbiI6IkNocmlzdGlhbiIsInBhcnNlLW5hbWVzIjpmYWxzZSwiZHJvcHBpbmctcGFydGljbGUiOiIiLCJub24tZHJvcHBpbmctcGFydGljbGUiOiIifSx7ImZhbWlseSI6Ik3DvG5jaGF1IiwiZ2l2ZW4iOiJBbGV4YW5kZXIiLCJwYXJzZS1uYW1lcyI6ZmFsc2UsImRyb3BwaW5nLXBhcnRpY2xlIjoiIiwibm9uLWRyb3BwaW5nLXBhcnRpY2xlIjoiIn1dLCJjb250YWluZXItdGl0bGUiOiJTY2llbnRpZmljIFJlcG9ydHMiLCJET0kiOiIxMC4xMDM4L3M0MTU5OC0wMjItMTk2ODUtNSIsIklTU04iOiIyMDQ1MjMyMiIsIlBNSUQiOiIzNjE2MzQ4MiIsImlzc3VlZCI6eyJkYXRlLXBhcnRzIjpbWzIwMjIsMTIsMV1dfSwiYWJzdHJhY3QiOiJQcmVtb25pdG9yeSB1cmdlcyBwcmVjZWRpbmcgdGljcyBhcmUgYSBjYXJkaW5hbCBmZWF0dXJlIG9mIEdpbGxlcyBkZSBsYSBUb3VyZXR0ZSBzeW5kcm9tZSAoR1RTKSwgYSBkZXZlbG9wbWVudGFsIGRpc29yZGVyIHVzdWFsbHkgc3RhcnRpbmcgZHVyaW5nIG1pZGRsZSBjaGlsZGhvb2QuIEhvd2V2ZXIsIHRoZSB0ZW1wb3JhbCByZWxhdGlvbiBiZXR3ZWVuIHVyZ2VzIGFuZCB0aWNzIGhhcyBvbmx5IGJlZW4gaW52ZXN0aWdhdGVkIGluIGFkdWx0cy4gSW4gMjUgY2hpbGRyZW4gYW5kIGFkb2xlc2NlbnRzIHdpdGggR1RTICg44oCTMTjCoHllYXJzKSwgd2UgYXNzZXNzIHVyZ2UtdGljIGFzc29jaWF0aW9ucywgaW5jbHVkaW5nIGludGVyLWluZGl2aWR1YWwgZGlmZmVyZW5jZXMsIGNvcnJlbGF0aW9uIHRvIGNsaW5pY2FsIG1lYXN1cmVzLCBhbmQgaW4gY29tcGFyaXNvbiB0byBhIHByZXZpb3VzbHkgcmVwb3J0ZWQgc2FtcGxlIG9mIGFkdWx0IEdUUyBwYXRpZW50cy4gR3JvdXAtbGV2ZWwgYW5hbHlzZXMgY29uZmlybWVkIHBvc2l0aXZlIGFzc29jaWF0aW9ucyBiZXR3ZWVuIHVyZ2VzIGFuZCB0aWNzLiBIb3dldmVyLCBhdCB0aGUgaW5kaXZpZHVhbCBsZXZlbCwgbGVzcyB0aGFuIGhhbGYgb2YgcGFydGljaXBhbnRzIHNob3dlZCBwb3NpdGl2ZSBhc3NvY2lhdGlvbnMsIGEgc2ltaWxhciBwcm9wb3J0aW9uIGRpZCBub3QsIGFuZCBpbiB0d28gcGFydGljaXBhbnRzLCB0aGUgYXNzb2NpYXRpb24gd2FzIHJldmVyc2VkLiBUaWMgZXhwcmVzc2lvbiBhbmQgc3ViamVjdGl2ZSB1cmdlIGxldmVscyBjb3JyZWxhdGVkIHdpdGggY29ycmVzcG9uZGluZyBjbGluaWNhbCBzY29yZXMgYW5kIHBhcnRpY2lwYW50cyB3aXRoIG1vcmUgc2V2ZXJlIHRpY3MgZHVyaW5nIHRoZSB1cmdlIG1vbml0b3IgZXhoaWJpdGVkIHN0cm9uZ2VyIHVyZ2UtdGljIGFzc29jaWF0aW9ucy4gQXNzb2NpYXRpb25zIGJldHdlZW4gcmVwb3J0ZWQgdXJnZSBsZXZlbHMgYW5kIGluc3RhbnRhbmVvdXMgdGljIGludGVuc2l0eSB0ZW5kZWQgdG8gYmUgbGVzcyBwcm9ub3VuY2VkIGluIGNoaWxkcmVuIGFuZCBhZG9sZXNjZW50cyB0aGFuIGluIGFkdWx0IEdUUyBwYXRpZW50cy4gVGhlIG9ic2VydmVkIGhldGVyb2dlbmVpdHkgb2YgdXJnZS10aWMgYXNzb2NpYXRpb25zIGNhc3QgZG91YnQgb24gdGhlIG5vdGlvbiB0aGF0IHRpY3MgYXJlIGRpcmVjdGx5IGNhdXNlZCBieSB1cmdlcy4gTW9yZSBzZXZlcmUgdGljcyBtYXkgZmFjaWxpdGF0ZSBhbnRpY2lwYXRpb24gb2YgdGljcyBhbmQgdGhlcmVieSBsZWFkIHRvIG1vcmUgcHJvbm91bmNlZCB1cmdlLXRpYyBhc3NvY2lhdGlvbnMsIGNvbnNpc3RlbnQgd2l0aCBhIGh5cG90aGVzaXMgb2YgdXJnZXMgYXMgYSBieXByb2R1Y3Qgb2YgdGljcy4iLCJwdWJsaXNoZXIiOiJOYXR1cmUgUmVzZWFyY2giLCJpc3N1ZSI6IjEiLCJ2b2x1bWUiOiIxMiIsImNvbnRhaW5lci10aXRsZS1zaG9ydCI6IlNjaSBSZXAifSwiaXNUZW1wb3JhcnkiOmZhbHNlfV19"/>
                <w:id w:val="-880870534"/>
                <w:placeholder>
                  <w:docPart w:val="DefaultPlaceholder_-1854013440"/>
                </w:placeholder>
              </w:sdtPr>
              <w:sdtContent>
                <w:r w:rsidR="00F04E9F" w:rsidRPr="00F04E9F">
                  <w:rPr>
                    <w:rFonts w:eastAsia="Times New Roman" w:cs="Times New Roman"/>
                    <w:color w:val="000000"/>
                    <w:sz w:val="16"/>
                    <w:szCs w:val="16"/>
                  </w:rPr>
                  <w:t>(53)</w:t>
                </w:r>
              </w:sdtContent>
            </w:sdt>
          </w:p>
        </w:tc>
        <w:tc>
          <w:tcPr>
            <w:tcW w:w="0" w:type="auto"/>
            <w:shd w:val="clear" w:color="auto" w:fill="FFFFFF"/>
            <w:hideMark/>
          </w:tcPr>
          <w:p w14:paraId="4B119FAE"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25 children and adolescents with TS</w:t>
            </w:r>
          </w:p>
        </w:tc>
        <w:tc>
          <w:tcPr>
            <w:tcW w:w="0" w:type="auto"/>
            <w:shd w:val="clear" w:color="auto" w:fill="FFFFFF"/>
            <w:hideMark/>
          </w:tcPr>
          <w:p w14:paraId="7E27B418"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Significant correlations between intensity of premonitory urges (</w:t>
            </w:r>
            <w:r w:rsidRPr="008A1F40">
              <w:rPr>
                <w:rFonts w:cs="Times New Roman"/>
                <w:color w:val="000000" w:themeColor="text1"/>
                <w:sz w:val="16"/>
                <w:szCs w:val="16"/>
              </w:rPr>
              <w:t>average intensity of live urge monitor ratings over five minutes)</w:t>
            </w:r>
            <w:r w:rsidRPr="008A1F40">
              <w:rPr>
                <w:rFonts w:eastAsia="Times New Roman" w:cs="Times New Roman"/>
                <w:color w:val="000000" w:themeColor="text1"/>
                <w:sz w:val="16"/>
                <w:szCs w:val="16"/>
              </w:rPr>
              <w:t xml:space="preserve"> and ADHD symptoms measured by Conners ADHD rating scale (IA subscale: Pearson's r = 0.57, p = 0.01; HI subscale: Pearson's r = 0.50, p = 0.035).</w:t>
            </w:r>
          </w:p>
        </w:tc>
      </w:tr>
      <w:tr w:rsidR="00986E35" w:rsidRPr="008A1F40" w14:paraId="08CB99FE" w14:textId="77777777" w:rsidTr="007F77D2">
        <w:trPr>
          <w:tblCellSpacing w:w="15" w:type="dxa"/>
        </w:trPr>
        <w:tc>
          <w:tcPr>
            <w:tcW w:w="0" w:type="auto"/>
            <w:shd w:val="clear" w:color="auto" w:fill="FFFFFF"/>
          </w:tcPr>
          <w:p w14:paraId="0D84B62E" w14:textId="135897F4"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rPr>
              <w:lastRenderedPageBreak/>
              <w:t>Crossley and Cavanna (2013</w:t>
            </w:r>
            <w:r w:rsidR="00CC6064">
              <w:rPr>
                <w:rFonts w:cs="Times New Roman"/>
                <w:color w:val="000000" w:themeColor="text1"/>
                <w:sz w:val="16"/>
                <w:szCs w:val="16"/>
              </w:rPr>
              <w:t xml:space="preserve">) </w:t>
            </w:r>
            <w:sdt>
              <w:sdtPr>
                <w:rPr>
                  <w:rFonts w:cs="Times New Roman"/>
                  <w:color w:val="000000"/>
                  <w:sz w:val="16"/>
                  <w:szCs w:val="16"/>
                </w:rPr>
                <w:tag w:val="MENDELEY_CITATION_v3_eyJjaXRhdGlvbklEIjoiTUVOREVMRVlfQ0lUQVRJT05fZjA0MTFlYmMtYjU3Ni00YzJlLTk2ZjMtMmFiMTQ5ZDdiNzAwIiwicHJvcGVydGllcyI6eyJub3RlSW5kZXgiOjB9LCJpc0VkaXRlZCI6ZmFsc2UsIm1hbnVhbE92ZXJyaWRlIjp7ImlzTWFudWFsbHlPdmVycmlkZGVuIjpmYWxzZSwiY2l0ZXByb2NUZXh0IjoiKDUxKSIsIm1hbnVhbE92ZXJyaWRlVGV4dCI6IiJ9LCJjaXRhdGlvbkl0ZW1zIjpbeyJpZCI6IjNmZjIxZTE0LWQ0NDEtM2FlMy1iOTc4LWVhYjBkN2I2YjNjYyIsIml0ZW1EYXRhIjp7InR5cGUiOiJhcnRpY2xlLWpvdXJuYWwiLCJpZCI6IjNmZjIxZTE0LWQ0NDEtM2FlMy1iOTc4LWVhYjBkN2I2YjNjYyIsInRpdGxlIjoiU2Vuc29yeSBwaGVub21lbmE6IGNsaW5pY2FsIGNvcnJlbGF0ZXMgYW5kIGltcGFjdCBvbiBxdWFsaXR5IG9mIGxpZmUgaW4gYWR1bHQgcGF0aWVudHMgd2l0aCBUb3VyZXR0ZSBzeW5kcm9tZSIsImdyb3VwSWQiOiIwN2Q2MmFjMS01YWE4LTM5YWYtYjQ5ZS01MmQyMDg4YWM1NzEiLCJhdXRob3IiOlt7ImZhbWlseSI6IkNyb3NzbGV5IiwiZ2l2ZW4iOiJFIiwicGFyc2UtbmFtZXMiOmZhbHNlLCJkcm9wcGluZy1wYXJ0aWNsZSI6IiIsIm5vbi1kcm9wcGluZy1wYXJ0aWNsZSI6IiJ9LHsiZmFtaWx5IjoiQ2F2YW5uYSIsImdpdmVuIjoiQSBFIiwicGFyc2UtbmFtZXMiOmZhbHNlLCJkcm9wcGluZy1wYXJ0aWNsZSI6IiIsIm5vbi1kcm9wcGluZy1wYXJ0aWNsZSI6IiJ9XSwiY29udGFpbmVyLXRpdGxlIjoiUHN5Y2hpYXRyeSBSZXMiLCJET0kiOiIxMC4xMDE2L2oucHN5Y2hyZXMuMjAxMy4wNC4wMTkiLCJQTUlEIjoiMjM2ODQwNTEiLCJpc3N1ZWQiOnsiZGF0ZS1wYXJ0cyI6W1syMDEzXV19LCJwYWdlIjoiNzA1LTcxMCIsImFic3RyYWN0IjoiVG91cmV0dGUgc3luZHJvbWUgKFRTKSBpcyBhIG5ldXJvZGV2ZWxvcG1lbnRhbCBjb25kaXRpb24gY2hhcmFjdGVyaXNlZCBieSBtdWx0aXBsZSB0aWNzLCB3aXRoIGZyZXF1ZW50IGJlaGF2aW91cmFsIGNvLW1vcmJpZGl0eS4gU2Vuc29yeSBwaGVub21lbmEgKFNQKSBhcmUgdW5wbGVhc2FudCBzZW5zYXRpb25zIHdoaWNoIHByb3ZpZGUgaW52b2x1bnRhcnkgdXJnZXMgdG8gdGljIGluIHBhdGllbnRzIHdpdGggVFMuIFdoaWxlIFNQIGhhdmUgYSBjZW50cmFsIHJvbGUgaW4gdGljIGV4cHJlc3Npb24sIGxpdHRsZSBpcyBrbm93biBhYm91dCB0aGVpciBjbGluaWNhbCBjb3JyZWxhdGVzIG9yIGFzc29jaWF0aW9uIHdpdGggaGVhbHRoLXJlbGF0ZWQgcXVhbGl0eSBvZiBsaWZlIChIUi1RT0wpIGluIFRTLiBXZSBjb25kdWN0ZWQgYSBjcm9zcy1zZWN0aW9uYWwgc3R1ZHkgb24gNzIgYWR1bHQgb3V0cGF0aWVudHMgd2l0aCBUUywgcmVjcnVpdGVkIGF0IGEgc3BlY2lhbGlzdCBjbGluaWMuIEFsbCBwYXJ0aWNpcGFudHMgY29tcGxldGVkIGEgY29tcHJlaGVuc2l2ZSBiYXR0ZXJ5IG9mIHBzeWNob21ldHJpYyBtZWFzdXJlcywgaW5jbHVkaW5nIHRoZSBQcmVtb25pdG9yeSBVcmdlcyBmb3IgVGljcyBTY2FsZSAoUFVUUykgdG8gYXNzZXNzIFNQIGFuZCBhIGRpc2Vhc2Utc3BlY2lmaWMgcXVhbGl0eSBvZiBsaWZlIHNjYWxlIChHVFMtUU9MKSB0byBhc3Nlc3MgSFItUU9MLiBTUCB3ZXJlIHZlcnkgY29tbW9uICg5Ny4yJSBvZiBwYXRpZW50cyksIHdpdGggYSBtZWRpYW4gUFVUUyB0b3RhbCBzY29yZSBvZiAyOC80MC4gQml2YXJpYXRlIGFuYWx5c2VzIHNob3dlZCB0aGF0IFBVVFMgc2NvcmVzIHdlcmUgbW9zdCBzaWduaWZpY2FudGx5IGNvcnJlbGF0ZWQgd2l0aCBzZWxmLXJlcG9ydCBtZWFzdXJlcyBvZiB2b2NhbCB0aWMgc2V2ZXJpdHkgYW5kIGNvbXB1bHNpdml0eS4gUFVUUyBzY29yZXMgd2VyZSBhbHNvIHNpZ25pZmljYW50bHkgY29ycmVsYXRlZCB3aXRoIEdUUy1RT0wgc2NvcmVzLCBtb3N0IG5vdGFibHkgd2l0aCB0aGUgcHN5Y2hvbG9naWNhbCBzdWJzY2FsZS4gU1AgYXJlIGZyZXF1ZW50bHkgcmVwb3J0ZWQgYnkgYWR1bHRzIHdpdGggVFMsIGFyZSBhc3NvY2lhdGVkIHdpdGggcGVyY2VpdmVkIHRpYyBzZXZlcml0eSBhbmQgY29tcHVsc2l2aXR5LCBhbmQgY2FuIHNpZ25pZmljYW50bHkgYWZmZWN0IHBzeWNob2xvZ2ljYWwgd2VsbC1iZWluZy4gU3RhbmRhcmRpc2VkIG1lYXN1cmVtZW50IG9mIFNQIHNob3VsZCBiZSBpbmNvcnBvcmF0ZWQgaW50byByb3V0aW5lIGFzc2Vzc21lbnQgb2YgcGF0aWVudHMgd2l0aCBUUyB0byBvcHRpbWlzZSB0aGVpciBjbGluaWNhbCBtYW5hZ2VtZW50LiIsImlzc3VlIjoiMyIsInZvbHVtZSI6IjIwOSIsImNvbnRhaW5lci10aXRsZS1zaG9ydCI6IiJ9LCJpc1RlbXBvcmFyeSI6ZmFsc2V9XX0="/>
                <w:id w:val="531229805"/>
                <w:placeholder>
                  <w:docPart w:val="DefaultPlaceholder_-1854013440"/>
                </w:placeholder>
              </w:sdtPr>
              <w:sdtContent>
                <w:r w:rsidR="00F04E9F" w:rsidRPr="00F04E9F">
                  <w:rPr>
                    <w:rFonts w:cs="Times New Roman"/>
                    <w:color w:val="000000"/>
                    <w:sz w:val="16"/>
                    <w:szCs w:val="16"/>
                  </w:rPr>
                  <w:t>(51)</w:t>
                </w:r>
              </w:sdtContent>
            </w:sdt>
          </w:p>
        </w:tc>
        <w:tc>
          <w:tcPr>
            <w:tcW w:w="0" w:type="auto"/>
            <w:shd w:val="clear" w:color="auto" w:fill="FFFFFF"/>
          </w:tcPr>
          <w:p w14:paraId="374DBECE"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72 adolescents and adults with TS</w:t>
            </w:r>
          </w:p>
        </w:tc>
        <w:tc>
          <w:tcPr>
            <w:tcW w:w="0" w:type="auto"/>
            <w:shd w:val="clear" w:color="auto" w:fill="FFFFFF"/>
          </w:tcPr>
          <w:p w14:paraId="3C9DB23D" w14:textId="443111A1"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shd w:val="clear" w:color="auto" w:fill="FFFFFF"/>
              </w:rPr>
              <w:t>Significant correlation between ASRS and PUTS scores (Spearman's r = 0.37, p = 0.001).</w:t>
            </w:r>
          </w:p>
        </w:tc>
      </w:tr>
      <w:tr w:rsidR="00986E35" w:rsidRPr="008A1F40" w14:paraId="67B324B2" w14:textId="77777777" w:rsidTr="007F77D2">
        <w:trPr>
          <w:tblCellSpacing w:w="15" w:type="dxa"/>
        </w:trPr>
        <w:tc>
          <w:tcPr>
            <w:tcW w:w="0" w:type="auto"/>
            <w:shd w:val="clear" w:color="auto" w:fill="FFFFFF"/>
          </w:tcPr>
          <w:p w14:paraId="05DF51DC" w14:textId="12DA2EF9"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Eddy and Cavanna (2014)</w:t>
            </w:r>
            <w:r w:rsidR="00FE616E">
              <w:rPr>
                <w:rFonts w:cs="Times New Roman"/>
                <w:color w:val="000000" w:themeColor="text1"/>
                <w:sz w:val="16"/>
                <w:szCs w:val="16"/>
              </w:rPr>
              <w:t xml:space="preserve"> </w:t>
            </w:r>
            <w:sdt>
              <w:sdtPr>
                <w:rPr>
                  <w:rFonts w:cs="Times New Roman"/>
                  <w:color w:val="000000"/>
                  <w:sz w:val="16"/>
                  <w:szCs w:val="16"/>
                </w:rPr>
                <w:tag w:val="MENDELEY_CITATION_v3_eyJjaXRhdGlvbklEIjoiTUVOREVMRVlfQ0lUQVRJT05fNWU3ODZkYWItYTgxMi00MWU1LWI2OWMtZTczYmNjNDRhOTNjIiwicHJvcGVydGllcyI6eyJub3RlSW5kZXgiOjB9LCJpc0VkaXRlZCI6ZmFsc2UsIm1hbnVhbE92ZXJyaWRlIjp7ImlzTWFudWFsbHlPdmVycmlkZGVuIjpmYWxzZSwiY2l0ZXByb2NUZXh0IjoiKDI2KSIsIm1hbnVhbE92ZXJyaWRlVGV4dCI6IiJ9LCJjaXRhdGlvbkl0ZW1zIjpbeyJpZCI6ImJiM2Q3NWY1LTU0MTctMzhmZC04NDIxLTZlYmEzZjE5MzVmYSIsIml0ZW1EYXRhIjp7InR5cGUiOiJhcnRpY2xlLWpvdXJuYWwiLCJpZCI6ImJiM2Q3NWY1LTU0MTctMzhmZC04NDIxLTZlYmEzZjE5MzVmYSIsInRpdGxlIjoiUHJlbW9uaXRvcnkgVXJnZXMgaW4gQWR1bHRzIFdpdGggQ29tcGxpY2F0ZWQgYW5kIFVuY29tcGxpY2F0ZWQgVG91cmV0dGUgU3luZHJvbWUiLCJncm91cElkIjoiMDdkNjJhYzEtNWFhOC0zOWFmLWI0OWUtNTJkMjA4OGFjNTcxIiwiYXV0aG9yIjpbeyJmYW1pbHkiOiJFZGR5IiwiZ2l2ZW4iOiJDIE0iLCJwYXJzZS1uYW1lcyI6ZmFsc2UsImRyb3BwaW5nLXBhcnRpY2xlIjoiIiwibm9uLWRyb3BwaW5nLXBhcnRpY2xlIjoiIn0seyJmYW1pbHkiOiJDYXZhbm5hIiwiZ2l2ZW4iOiJBIEUiLCJwYXJzZS1uYW1lcyI6ZmFsc2UsImRyb3BwaW5nLXBhcnRpY2xlIjoiIiwibm9uLWRyb3BwaW5nLXBhcnRpY2xlIjoiIn1dLCJjb250YWluZXItdGl0bGUiOiJCZWhhdmlvciBtb2RpZmljYXRpb24iLCJET0kiOiJodHRwczovL2R4LmRvaS5vcmcvMTAuMTE3Ny8wMTQ1NDQ1NTEzNTA0NDMyIiwiVVJMIjoiaHR0cDovL292aWRzcC5vdmlkLmNvbS9vdmlkd2ViLmNnaT9UPUpTJlBBR0U9cmVmZXJlbmNlJkQ9ZW1lZDE1Jk5FV1M9TiZBTj02MTE0MjU3MjIiLCJpc3N1ZWQiOnsiZGF0ZS1wYXJ0cyI6W1syMDE0XV19LCJwYWdlIjoiMjY0LTI3NSIsImFic3RyYWN0IjoiTW9zdCBwYXRpZW50cyB3aXRoIFRvdXJldHRlIHN5bmRyb21lIChUUykgcmVwb3J0IGV4cGVyaWVuY2luZyBzdWJqZWN0aXZlIGJvZGlseSBzZW5zYXRpb25zIHRlcm1lZCBwcmVtb25pdG9yeSB1cmdlcywgYmVmb3JlIHRoZXkgaGF2ZSBhIHRpYy4gVGhpcyBzdHVkeSBpbnZlc3RpZ2F0ZWQgcmVsYXRpb25zaGlwcyBiZXR3ZWVuIHByZW1vbml0b3J5IHVyZ2VzIGFuZCB0aWMgc2V2ZXJpdHksIGRlcHJlc3Npb24sIGFueGlldHksIG9ic2Vzc2lvbnMsIGNvbXB1bHNpb25zLCBhbmQgYXR0ZW50aW9uIHByb2JsZW1zLiBXZSBhbHNvIGV4cGxvcmVkIHBvc3NpYmxlIGRpZmZlcmVuY2VzIGJldHdlZW4gcGF0aWVudHMgd2l0aCBhbmQgd2l0aG91dCBjb21vcmJpZCBjb25kaXRpb25zLiBGaW5hbGx5LCB3ZSBleHBsb3JlZCB3aGV0aGVyIHByZW1vbml0b3J5IHVyZ2VzIGltcGFjdGVkIG9uIHBlcmNlaXZlZCBxdWFsaXR5IG9mIGxpZmUgKFFvTCkuIE9uZSBodW5kcmVkIGFkdWx0IG91dHBhdGllbnRzICg3MCBtYWxlczsgbWVhbiBhZ2UgMzIgeWVhcnMpIHdlcmUgcmVjcnVpdGVkIGZyb20gYSBzcGVjaWFsaXN0IFRTIGNsaW5pYy4gRmlmdHkgcGVyY2VudCBleGhpYml0ZWQgY29tb3JiaWQgZGlhZ25vc2VzLCB0aGUgbW9zdCBjb21tb24gb2Ygd2hpY2ggd2VyZSBvYnNlc3NpdmUtY29tcHVsc2l2ZSBkaXNvcmRlciAoMjMlKSwgYXR0ZW50aW9uLWRlZmljaXQgaHlwZXJhY3Rpdml0eSBkaXNvcmRlciAoMTUlKSwgYW54aWV0eSAoNiUpLCBhbmQgZGVwcmVzc2lvbiAoNSUpLiBGb3IgdGhlIGVudGlyZSBzYW1wbGUsIHByZW1vbml0b3J5IHVyZ2VzIHdlcmUgc2lnbmlmaWNhbnRseSByZWxhdGVkIHRvIGNsaW5pY2FsIHN5bXB0b21zLCBlc3BlY2lhbGx5IG9ic2Vzc2l2ZS1jb21wdWxzaXZlIHN5bXB0b21zIGFuZCBhbnhpZXR5LCBhbmQgd2VyZSBzaWduaWZpY2FudGx5IG5lZ2F0aXZlbHkgcmVsYXRlZCB0byBRb0wgc2NvcmVzLiBQcmVtb25pdG9yeSB1cmdlcyBoYWQgYSBzdHJvbmcgbmVnYXRpdmUgY29ycmVsYXRpb24gd2l0aCBRb0wgaW4gcGF0aWVudHMgd2l0aCBcInB1cmVcIiBUUyAobm8gY29tb3JiaWRpdGllcyksIHdoaWxlIHRoaXMgcmVsYXRpb25zaGlwIHdhcyB3ZWFrZXIgZm9yIHBhdGllbnRzIHdpdGggY29tb3JiaWQgY29uZGl0aW9ucywgd2hvIHJlcG9ydGVkIHN0cm9uZ2VyIG9yIG1vcmUgZnJlcXVlbnQgcHJlbW9uaXRvcnkgdXJnZXMgaW4gYXNzb2NpYXRpb24gd2l0aCBncmVhdGVyIGFueGlldHkuIFRoZXNlIGZpbmRpbmdzIG1heSBpbXBseSB0aGF0IHNsaWdodGx5IGRpZmZlcmVudCBwc3ljaG9sb2dpY2FsIGZhY3RvcnMgZHJpdmUgc2VsZi1yZXBvcnRlZCBwcmVtb25pdG9yeSB1cmdlIHJhdGluZ3MgaW4gcGF0aWVudHMgd2l0aCBhbmQgd2l0aG91dCBjb21vcmJpZGl0aWVzIGFuZCB0aGF0IHRoZSBwZXJjZWl2ZWQgaW5mbHVlbmNlIG9mIGRpc3RyZXNzaW5nIHByZW1vbml0b3J5IHVyZ2VzIG9uIHdlbGxiZWluZyBpcyBsZXNzIGltcG9ydGFudCBpbiB0aGUgY29udGV4dCBvZiBjb21vcmJpZCBzeW1wdG9tYXRvbG9neS4gQXMgcHJlbW9uaXRvcnkgdXJnZXMgYXJlIHJlbGF0ZWQgdG8gUW9MLCB0aGV5IHNob3VsZCBiZSB0YWtlbiBpbnRvIGFjY291bnQgZHVyaW5nIGV2YWx1YXRpb24gb2YgdHJlYXRtZW50IGVmZmljYWN5LCBlc3BlY2lhbGx5IGluIGNhc2VzIHdpdGggXCJwdXJlXCIgVFMuIENvcHlyaWdodCDCqSBUaGUgQXV0aG9yKHMpIDIwMTMuIiwiaXNzdWUiOiIyIiwidm9sdW1lIjoiMzgiLCJjb250YWluZXItdGl0bGUtc2hvcnQiOiJCZWhhdiBNb2RpZiJ9LCJpc1RlbXBvcmFyeSI6ZmFsc2V9XX0="/>
                <w:id w:val="299504096"/>
                <w:placeholder>
                  <w:docPart w:val="DefaultPlaceholder_-1854013440"/>
                </w:placeholder>
              </w:sdtPr>
              <w:sdtContent>
                <w:r w:rsidR="00F04E9F" w:rsidRPr="00F04E9F">
                  <w:rPr>
                    <w:rFonts w:cs="Times New Roman"/>
                    <w:color w:val="000000"/>
                    <w:sz w:val="16"/>
                    <w:szCs w:val="16"/>
                  </w:rPr>
                  <w:t>(26)</w:t>
                </w:r>
              </w:sdtContent>
            </w:sdt>
          </w:p>
        </w:tc>
        <w:tc>
          <w:tcPr>
            <w:tcW w:w="0" w:type="auto"/>
            <w:shd w:val="clear" w:color="auto" w:fill="FFFFFF"/>
          </w:tcPr>
          <w:p w14:paraId="63541B51" w14:textId="77777777"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rPr>
              <w:t>100 adults and adolescents with TS</w:t>
            </w:r>
          </w:p>
        </w:tc>
        <w:tc>
          <w:tcPr>
            <w:tcW w:w="0" w:type="auto"/>
            <w:shd w:val="clear" w:color="auto" w:fill="FFFFFF"/>
          </w:tcPr>
          <w:p w14:paraId="2CA8EDAF" w14:textId="4B37B3B5"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rPr>
              <w:t>Significant correlation between ASRS and PUTS scores (Pearson’s r = 0.283, p = 0.004)</w:t>
            </w:r>
          </w:p>
        </w:tc>
      </w:tr>
      <w:tr w:rsidR="00986E35" w:rsidRPr="008A1F40" w14:paraId="6803903A" w14:textId="77777777" w:rsidTr="007F77D2">
        <w:trPr>
          <w:tblCellSpacing w:w="15" w:type="dxa"/>
        </w:trPr>
        <w:tc>
          <w:tcPr>
            <w:tcW w:w="0" w:type="auto"/>
            <w:shd w:val="clear" w:color="auto" w:fill="FFFFFF"/>
          </w:tcPr>
          <w:p w14:paraId="5E939D80" w14:textId="68BC1400"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Isaacs et al (2021)</w:t>
            </w:r>
            <w:r w:rsidR="00FE616E">
              <w:rPr>
                <w:rFonts w:cs="Times New Roman"/>
                <w:color w:val="000000" w:themeColor="text1"/>
                <w:sz w:val="16"/>
                <w:szCs w:val="16"/>
              </w:rPr>
              <w:t xml:space="preserve"> </w:t>
            </w:r>
            <w:sdt>
              <w:sdtPr>
                <w:rPr>
                  <w:rFonts w:cs="Times New Roman"/>
                  <w:color w:val="000000"/>
                  <w:sz w:val="16"/>
                  <w:szCs w:val="16"/>
                </w:rPr>
                <w:tag w:val="MENDELEY_CITATION_v3_eyJjaXRhdGlvbklEIjoiTUVOREVMRVlfQ0lUQVRJT05fOWMxMmFiZWUtNmJjMC00NDAyLWEwMGUtN2RlOTFiMzNiZmNkIiwicHJvcGVydGllcyI6eyJub3RlSW5kZXgiOjB9LCJpc0VkaXRlZCI6ZmFsc2UsIm1hbnVhbE92ZXJyaWRlIjp7ImlzTWFudWFsbHlPdmVycmlkZGVuIjpmYWxzZSwiY2l0ZXByb2NUZXh0IjoiKDMxKSIsIm1hbnVhbE92ZXJyaWRlVGV4dCI6IiJ9LCJjaXRhdGlvbkl0ZW1zIjpbeyJpZCI6ImIwMGNmYjcwLWQ4ZTItM2U4Yi1hZmQxLWRmZjAyYjRkMDEwMCIsIml0ZW1EYXRhIjp7InR5cGUiOiJhcnRpY2xlLWpvdXJuYWwiLCJpZCI6ImIwMGNmYjcwLWQ4ZTItM2U4Yi1hZmQxLWRmZjAyYjRkMDEwMCIsInRpdGxlIjoiQ2xpbmljYWwgQ29ycmVsYXRlcyBvZiBIZWFsdGgtUmVsYXRlZCBRdWFsaXR5IG9mIExpZmUgaW4gQWR1bHRzIFdpdGggQ2hyb25pYyBUaWMgRGlzb3JkZXIiLCJncm91cElkIjoiMDdkNjJhYzEtNWFhOC0zOWFmLWI0OWUtNTJkMjA4OGFjNTcxIiwiYXV0aG9yIjpbeyJmYW1pbHkiOiJJc2FhY3MiLCJnaXZlbiI6IkQgQSIsInBhcnNlLW5hbWVzIjpmYWxzZSwiZHJvcHBpbmctcGFydGljbGUiOiIiLCJub24tZHJvcHBpbmctcGFydGljbGUiOiIifSx7ImZhbWlseSI6IlJpb3JkYW4iLCJnaXZlbiI6IkggUiIsInBhcnNlLW5hbWVzIjpmYWxzZSwiZHJvcHBpbmctcGFydGljbGUiOiIiLCJub24tZHJvcHBpbmctcGFydGljbGUiOiIifSx7ImZhbWlseSI6IkNsYWFzc2VuIiwiZ2l2ZW4iOiJEIE8iLCJwYXJzZS1uYW1lcyI6ZmFsc2UsImRyb3BwaW5nLXBhcnRpY2xlIjoiIiwibm9uLWRyb3BwaW5nLXBhcnRpY2xlIjoiIn1dLCJjb250YWluZXItdGl0bGUiOiJGcm9udGllcnMgaW4gUHN5Y2hpYXRyeSIsIkRPSSI6Imh0dHBzOi8vZHguZG9pLm9yZy8xMC4zMzg5L2Zwc3l0LjIwMjEuNjE5ODU0IiwiVVJMIjoiaHR0cDovL3d3dy5mcm9udGllcnNpbi5vcmcvUHN5Y2hpYXRyeWh0dHA6Ly9vdmlkc3Aub3ZpZC5jb20vb3ZpZHdlYi5jZ2k/VD1KUyZQQUdFPXJlZmVyZW5jZSZEPWVtZWQyMiZORVdTPU4mQU49NjM0NTY3MTM2IiwiaXNzdWVkIjp7ImRhdGUtcGFydHMiOltbMjAyMV1dfSwicGFnZSI6IjYxOTg1NCIsImFic3RyYWN0IjoiVGljcyBhcmUgdGhlIGhhbGxtYXJrIGZlYXR1cmUgb2YgVG91cmV0dGUgc3luZHJvbWUgKFRTKSwgYnV0IHBzeWNoaWF0cmljIGFuZCBzZW5zb3J5IHN5bXB0b21zIGFyZSB3aWRlbHkgcHJldmFsZW50IGFuZCBpbmNyZWFzaW5nbHkgcmVjb2duaXplZCBhcyBjb3JlIG1hbmlmZXN0YXRpb25zIG9mIHRoZSBkaXNvcmRlci4gQWNjdW11bGF0aW5nIGV2aWRlbmNlIHN1Z2dlc3RzIHRoYXQgdGhlc2UgcHN5Y2hpYXRyaWMgYW5kIHNlbnNvcnkgc3ltcHRvbXMgZXhlcnQgZ3JlYXRlciBpbmZsdWVuY2Ugb24gcXVhbGl0eSBvZiBsaWZlIChRT0wpIHRoYW4gdGljcyB0aGVtc2VsdmVzLiBIb3dldmVyLCBtdWNoIHJlbWFpbnMgdW5jZXJ0YWluIGFib3V0IGRldGVybWluYW50cyBvZiBRT0wgaW4gVFMgZHVlIHRvIHRoZSBjb21wbGV4aXR5IG9mIHRoZSBjbGluaWNhbCBwcmVzZW50YXRpb24uIEhlcmUsIHdlIHNvdWdodCB0byBjbGFyaWZ5IHRoZSBhc3NvY2lhdGlvbiBiZXR3ZWVuIGhlYWx0aC1yZWxhdGVkIFFPTCAoSFJRT0wpIGFuZCBjb21tb24gcHN5Y2hpYXRyaWMgYW5kIHNlbnNvcnkgc3ltcHRvbXMgaW4gYWR1bHRzIHdpdGggVFMgYW5kIG90aGVyIGNocm9uaWMgdGljIGRpc29yZGVycy4gVG8gZG8gc28sIHdlIHByb3NwZWN0aXZlbHkgcmVjcnVpdGVkIDUyIHBhdGllbnRzIGZyb20gYSB0ZXJ0aWFyeSBjYXJlIGNsaW5pYyB0byBjb21wbGV0ZSBzZWxmLXJlcG9ydCBtZWFzdXJlcyBhc3Nlc3NpbmcgSFJRT0wgKEdpbGxlcyBkZSBsYSBUb3VyZXR0ZS1RdWFsaXR5IG9mIExpZmUgU2NhbGUsIEdUUy1RT0wpLCBkZXByZXNzaW9uIChQYXRpZW50IEhlYWx0aCBRdWVzdGlvbm5haXJlLTksIFBIUS05KSwgYW54aWV0eSAoR2VuZXJhbGl6ZWQgQW54aWV0eSBEaXNvcmRlciBTY2FsZS03LCBHQUQtNyksIG9ic2Vzc2l2ZS1jb21wdWxzaXZlIHN5bXB0b21zIChEaW1lbnNpb25hbCBPYnNlc3NpdmUtQ29tcHVsc2l2ZSBTY2FsZSwgRE9DUyksIGF0dGVudGlvbiBkZWZpY2l0IGh5cGVyYWN0aXZpdHkgZGlzb3JkZXIgc3ltcHRvbXMgKEFkdWx0IEFESEQgU2VsZi1SZXBvcnQgU2NyZWVuaW5nIFNjYWxlIGZvciBEU00tNSwgQVNSUy1WKSwgYW5kIHByZW1vbml0b3J5IHVyZ2UgKFByZW1vbml0b3J5IFVyZ2UgdG8gVGljIFNjYWxlLCBQVVRTKS4gQWxsIHBhcnRpY2lwYW50cyB3ZXJlIGFsc28gYWRtaW5pc3RlcmVkIHRoZSBZYWxlIEdsb2JhbCBUaWMgU2V2ZXJpdHkgU2NhbGUgKFlHVFNTKSB0byBxdWFudGlmeSB0aWMgc2V2ZXJpdHkuIFVzaW5nIGNvcnJlbGF0aW9uYWwgYW5hbHlzaXMgYW5kIG11bHRpdmFyaWFibGUgbGluZWFyIHJlZ3Jlc3Npb24gbW9kZWxpbmcsIHdlIGZvdW5kIHRoYXQgR1RTLVFPTCBzY29yZSB3YXMgc2lnbmlmaWNhbnRseSBhc3NvY2lhdGVkIHdpdGggc2NvcmVzIGZyb20gYWxsIG90aGVyIHJhdGluZyBzY2FsZXMsIHdpdGggdGhlIGV4Y2VwdGlvbiBvZiB0aGUgUFVUUy4gR1RTLVFPTCB3YXMgbW9zdCBzdHJvbmdseSBhc3NvY2lhdGVkIHdpdGggUEhRLTksIGZvbGxvd2VkIGJ5IEFTUlMtViwgR0FELTcsIERPQ1MsIGFuZCBZR1RTUyB0b3RhbCB0aWMgc2NvcmUuIFRoZSByZWdyZXNzaW9uIG1vZGVsIGluY2x1ZGluZyB0aGVzZSBmaXZlIGluZGVwZW5kZW50IHZhcmlhYmxlcywgYXMgd2VsbCBhcyBzZXgsIGV4cGxhaW5lZCA3OSUgb2YgR1RTLVFPTCBzY29yZSB2YXJpYW5jZSBbRig2LDQwKSA9IDI5LjYsIHAgPCAwLjAwMV0uIFNwZWNpZmljIHBzeWNoaWF0cmljIHN5bXB0b21zIGRpZmZlcmVudGlhbGx5IGltcGFjdGVkIHBoeXNpY2FsLCBwc3ljaG9sb2dpY2FsLCBhbmQgY29nbml0aXZlIEhSUU9MLiBTeXN0ZW1hdGljIGFzc2Vzc21lbnQgb2YgcHN5Y2hpYXRyaWMgY29tb3JiaWRpdGllcyBpcyBpbXBlcmF0aXZlIGZvciBjbGluaWNhbCBjYXJlIGFuZCBjbGluaWNhbCByZXNlYXJjaCBlZmZvcnRzIGRpcmVjdGVkIGF0IGltcHJvdmluZyBRT0wgaW4gYWR1bHRzIHdpdGggY2hyb25pYyB0aWMgZGlzb3JkZXJzLsKpIENvcHlyaWdodCDCqSAyMDIxIElzYWFjcywgUmlvcmRhbiBhbmQgQ2xhYXNzZW4uIiwidm9sdW1lIjoiMTIiLCJjb250YWluZXItdGl0bGUtc2hvcnQiOiJGcm9udCBQc3ljaGlhdHJ5In0sImlzVGVtcG9yYXJ5IjpmYWxzZX1dfQ=="/>
                <w:id w:val="-1578206334"/>
                <w:placeholder>
                  <w:docPart w:val="DefaultPlaceholder_-1854013440"/>
                </w:placeholder>
              </w:sdtPr>
              <w:sdtContent>
                <w:r w:rsidR="00F04E9F" w:rsidRPr="00F04E9F">
                  <w:rPr>
                    <w:rFonts w:cs="Times New Roman"/>
                    <w:color w:val="000000"/>
                    <w:sz w:val="16"/>
                    <w:szCs w:val="16"/>
                  </w:rPr>
                  <w:t>(31)</w:t>
                </w:r>
              </w:sdtContent>
            </w:sdt>
          </w:p>
        </w:tc>
        <w:tc>
          <w:tcPr>
            <w:tcW w:w="0" w:type="auto"/>
            <w:shd w:val="clear" w:color="auto" w:fill="FFFFFF"/>
          </w:tcPr>
          <w:p w14:paraId="600E135C" w14:textId="77777777"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shd w:val="clear" w:color="auto" w:fill="FFFFFF"/>
              </w:rPr>
              <w:t>52 adults with CTDs</w:t>
            </w:r>
          </w:p>
        </w:tc>
        <w:tc>
          <w:tcPr>
            <w:tcW w:w="0" w:type="auto"/>
            <w:shd w:val="clear" w:color="auto" w:fill="FFFFFF"/>
          </w:tcPr>
          <w:p w14:paraId="1709A4CA" w14:textId="734D2BE9"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shd w:val="clear" w:color="auto" w:fill="FFFFFF"/>
              </w:rPr>
              <w:t>No significant correlation between ASRS and PUTS scores (Spearman's r = 0.19, p &gt; 0.001).</w:t>
            </w:r>
          </w:p>
        </w:tc>
      </w:tr>
      <w:tr w:rsidR="00986E35" w:rsidRPr="008A1F40" w14:paraId="4CACADE9" w14:textId="77777777" w:rsidTr="007F77D2">
        <w:trPr>
          <w:tblCellSpacing w:w="15" w:type="dxa"/>
        </w:trPr>
        <w:tc>
          <w:tcPr>
            <w:tcW w:w="0" w:type="auto"/>
            <w:shd w:val="clear" w:color="auto" w:fill="FFFFFF"/>
          </w:tcPr>
          <w:p w14:paraId="6BC0FFC6" w14:textId="3A66E2A0"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shd w:val="clear" w:color="auto" w:fill="FFFFFF"/>
              </w:rPr>
              <w:t>Narapareddy et al (2022)</w:t>
            </w:r>
            <w:r w:rsidR="00FE616E">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OTcyYTQ1ZWEtMmM3Zi00M2Y1LTk3NWQtMTI0MjdiZmEyOGI0IiwicHJvcGVydGllcyI6eyJub3RlSW5kZXgiOjB9LCJpc0VkaXRlZCI6ZmFsc2UsIm1hbnVhbE92ZXJyaWRlIjp7ImlzTWFudWFsbHlPdmVycmlkZGVuIjpmYWxzZSwiY2l0ZXByb2NUZXh0IjoiKDMyKSIsIm1hbnVhbE92ZXJyaWRlVGV4dCI6IiJ9LCJjaXRhdGlvbkl0ZW1zIjpbeyJpZCI6IjYxMWRmMGE3LTJlN2QtM2JiYy05ZjRhLWNlYzA2MTBlMDQ2NSIsIml0ZW1EYXRhIjp7InR5cGUiOiJhcnRpY2xlLWpvdXJuYWwiLCJpZCI6IjYxMWRmMGE3LTJlN2QtM2JiYy05ZjRhLWNlYzA2MTBlMDQ2NSIsInRpdGxlIjoiQWx0ZXJlZCBJbnRlcm9jZXB0aXZlIFNlbnNpYmlsaXR5IGluIEFkdWx0cyBXaXRoIENocm9uaWMgVGljIERpc29yZGVyIiwiZ3JvdXBJZCI6IjA3ZDYyYWMxLTVhYTgtMzlhZi1iNDllLTUyZDIwODhhYzU3MSIsImF1dGhvciI6W3siZmFtaWx5IjoiTmFyYXBhcmVkZHkiLCJnaXZlbiI6IkEiLCJwYXJzZS1uYW1lcyI6ZmFsc2UsImRyb3BwaW5nLXBhcnRpY2xlIjoiIiwibm9uLWRyb3BwaW5nLXBhcnRpY2xlIjoiIn0seyJmYW1pbHkiOiJFY2tsYW5kIiwiZ2l2ZW4iOiJNIFIiLCJwYXJzZS1uYW1lcyI6ZmFsc2UsImRyb3BwaW5nLXBhcnRpY2xlIjoiIiwibm9uLWRyb3BwaW5nLXBhcnRpY2xlIjoiIn0seyJmYW1pbHkiOiJSaW9yZGFuIiwiZ2l2ZW4iOiJIIFIiLCJwYXJzZS1uYW1lcyI6ZmFsc2UsImRyb3BwaW5nLXBhcnRpY2xlIjoiIiwibm9uLWRyb3BwaW5nLXBhcnRpY2xlIjoiIn0seyJmYW1pbHkiOiJDYXNjaW8iLCJnaXZlbiI6IkMgSiIsInBhcnNlLW5hbWVzIjpmYWxzZSwiZHJvcHBpbmctcGFydGljbGUiOiIiLCJub24tZHJvcHBpbmctcGFydGljbGUiOiIifSx7ImZhbWlseSI6IklzYWFjcyIsImdpdmVuIjoiRCBBIiwicGFyc2UtbmFtZXMiOmZhbHNlLCJkcm9wcGluZy1wYXJ0aWNsZSI6IiIsIm5vbi1kcm9wcGluZy1wYXJ0aWNsZSI6IiJ9XSwiY29udGFpbmVyLXRpdGxlIjoiRnJvbnRpZXJzIGluIFBzeWNoaWF0cnkiLCJET0kiOiIxMC4zMzg5L2Zwc3l0LjIwMjIuOTE0ODk3IiwiVVJMIjoiaHR0cHM6Ly93d3cuc2NvcHVzLmNvbS9pbndhcmQvcmVjb3JkLnVyaT9laWQ9Mi1zMi4wLTg1MTMzNjY0NzU5JmRvaT0xMC4zMzg5JTJmZnBzeXQuMjAyMi45MTQ4OTcmcGFydG5lcklEPTQwJm1kNT1jZThmNDc3MjFjMGE2MDNiNWMzMTg0ZmIyNzdjNDBiNCIsImlzc3VlZCI6eyJkYXRlLXBhcnRzIjpbWzIwMjJdXX0sInBhZ2UiOiItIiwidm9sdW1lIjoiMTMiLCJjb250YWluZXItdGl0bGUtc2hvcnQiOiJGcm9udCBQc3ljaGlhdHJ5In0sImlzVGVtcG9yYXJ5IjpmYWxzZX1dfQ=="/>
                <w:id w:val="986057122"/>
                <w:placeholder>
                  <w:docPart w:val="DefaultPlaceholder_-1854013440"/>
                </w:placeholder>
              </w:sdtPr>
              <w:sdtContent>
                <w:r w:rsidR="00F04E9F" w:rsidRPr="00F04E9F">
                  <w:rPr>
                    <w:rFonts w:cs="Times New Roman"/>
                    <w:color w:val="000000"/>
                    <w:sz w:val="16"/>
                    <w:szCs w:val="16"/>
                    <w:shd w:val="clear" w:color="auto" w:fill="FFFFFF"/>
                  </w:rPr>
                  <w:t>(32)</w:t>
                </w:r>
              </w:sdtContent>
            </w:sdt>
          </w:p>
        </w:tc>
        <w:tc>
          <w:tcPr>
            <w:tcW w:w="0" w:type="auto"/>
            <w:shd w:val="clear" w:color="auto" w:fill="FFFFFF"/>
          </w:tcPr>
          <w:p w14:paraId="66212EB0"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48 adults with CTDs</w:t>
            </w:r>
          </w:p>
        </w:tc>
        <w:tc>
          <w:tcPr>
            <w:tcW w:w="0" w:type="auto"/>
            <w:shd w:val="clear" w:color="auto" w:fill="FFFFFF"/>
          </w:tcPr>
          <w:p w14:paraId="2208F506" w14:textId="0AF446B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 xml:space="preserve">No significant correlation between PUTS and ASRS scores (Spearman's r = 0.28, </w:t>
            </w:r>
            <w:r w:rsidRPr="008A1F40">
              <w:rPr>
                <w:rFonts w:cs="Times New Roman"/>
                <w:color w:val="000000"/>
                <w:sz w:val="16"/>
                <w:szCs w:val="16"/>
              </w:rPr>
              <w:t>p-value not reported but above significance threshold established by Benjamini et al’s false discovery rate-controlling procedure</w:t>
            </w:r>
            <w:r w:rsidRPr="008A1F40">
              <w:rPr>
                <w:rFonts w:cs="Times New Roman"/>
                <w:color w:val="000000" w:themeColor="text1"/>
                <w:sz w:val="16"/>
                <w:szCs w:val="16"/>
                <w:shd w:val="clear" w:color="auto" w:fill="FFFFFF"/>
              </w:rPr>
              <w:t>.)</w:t>
            </w:r>
          </w:p>
        </w:tc>
      </w:tr>
      <w:tr w:rsidR="00986E35" w:rsidRPr="008A1F40" w14:paraId="0F93AD7F" w14:textId="77777777" w:rsidTr="007F77D2">
        <w:trPr>
          <w:tblCellSpacing w:w="15" w:type="dxa"/>
        </w:trPr>
        <w:tc>
          <w:tcPr>
            <w:tcW w:w="0" w:type="auto"/>
            <w:shd w:val="clear" w:color="auto" w:fill="FFFFFF"/>
          </w:tcPr>
          <w:p w14:paraId="1798AF78" w14:textId="75708F8E"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Steinberg et al (2010)</w:t>
            </w:r>
            <w:r w:rsidR="00FE616E">
              <w:rPr>
                <w:rFonts w:cs="Times New Roman"/>
                <w:color w:val="000000" w:themeColor="text1"/>
                <w:sz w:val="16"/>
                <w:szCs w:val="16"/>
                <w:shd w:val="clear" w:color="auto" w:fill="FFFFFF"/>
              </w:rPr>
              <w:t xml:space="preserve"> </w:t>
            </w:r>
            <w:sdt>
              <w:sdtPr>
                <w:rPr>
                  <w:rFonts w:cs="Times New Roman"/>
                  <w:color w:val="000000"/>
                  <w:sz w:val="16"/>
                  <w:szCs w:val="16"/>
                  <w:shd w:val="clear" w:color="auto" w:fill="FFFFFF"/>
                </w:rPr>
                <w:tag w:val="MENDELEY_CITATION_v3_eyJjaXRhdGlvbklEIjoiTUVOREVMRVlfQ0lUQVRJT05fOTI5MDE4ZGUtZjQ3YS00M2QzLWFlMDctNTA0NGRmOGUyZjMwIiwicHJvcGVydGllcyI6eyJub3RlSW5kZXgiOjB9LCJpc0VkaXRlZCI6ZmFsc2UsIm1hbnVhbE92ZXJyaWRlIjp7ImlzTWFudWFsbHlPdmVycmlkZGVuIjpmYWxzZSwiY2l0ZXByb2NUZXh0IjoiKDMpIiwibWFudWFsT3ZlcnJpZGVUZXh0IjoiIn0sImNpdGF0aW9uSXRlbXMiOlt7ImlkIjoiODE4ODlmYmUtY2I0Zi0zMTQ2LWJlNWMtY2ViYWRjZjFiZmFhIiwiaXRlbURhdGEiOnsidHlwZSI6ImFydGljbGUtam91cm5hbCIsImlkIjoiODE4ODlmYmUtY2I0Zi0zMTQ2LWJlNWMtY2ViYWRjZjFiZmFhIiwidGl0bGUiOiJUaWMgZGlzb3JkZXJzIGFuZCB0aGUgcHJlbW9uaXRvcnkgdXJnZSIsImdyb3VwSWQiOiIwN2Q2MmFjMS01YWE4LTM5YWYtYjQ5ZS01MmQyMDg4YWM1NzEiLCJhdXRob3IiOlt7ImZhbWlseSI6IlN0ZWluYmVyZyIsImdpdmVuIjoiVCIsInBhcnNlLW5hbWVzIjpmYWxzZSwiZHJvcHBpbmctcGFydGljbGUiOiIiLCJub24tZHJvcHBpbmctcGFydGljbGUiOiIifSx7ImZhbWlseSI6IlNobXVlbCBCYXJ1Y2giLCJnaXZlbiI6IlMiLCJwYXJzZS1uYW1lcyI6ZmFsc2UsImRyb3BwaW5nLXBhcnRpY2xlIjoiIiwibm9uLWRyb3BwaW5nLXBhcnRpY2xlIjoiIn0seyJmYW1pbHkiOiJIYXJ1c2giLCJnaXZlbiI6IkEiLCJwYXJzZS1uYW1lcyI6ZmFsc2UsImRyb3BwaW5nLXBhcnRpY2xlIjoiIiwibm9uLWRyb3BwaW5nLXBhcnRpY2xlIjoiIn0seyJmYW1pbHkiOiJEYXIiLCJnaXZlbiI6IlIiLCJwYXJzZS1uYW1lcyI6ZmFsc2UsImRyb3BwaW5nLXBhcnRpY2xlIjoiIiwibm9uLWRyb3BwaW5nLXBhcnRpY2xlIjoiIn0seyJmYW1pbHkiOiJXb29kcyIsImdpdmVuIjoiRCIsInBhcnNlLW5hbWVzIjpmYWxzZSwiZHJvcHBpbmctcGFydGljbGUiOiIiLCJub24tZHJvcHBpbmctcGFydGljbGUiOiIifSx7ImZhbWlseSI6IlBpYWNlbnRpbmkiLCJnaXZlbiI6IkoiLCJwYXJzZS1uYW1lcyI6ZmFsc2UsImRyb3BwaW5nLXBhcnRpY2xlIjoiIiwibm9uLWRyb3BwaW5nLXBhcnRpY2xlIjoiIn0seyJmYW1pbHkiOiJBcHRlciIsImdpdmVuIjoiQSIsInBhcnNlLW5hbWVzIjpmYWxzZSwiZHJvcHBpbmctcGFydGljbGUiOiIiLCJub24tZHJvcHBpbmctcGFydGljbGUiOiIifV0sImNvbnRhaW5lci10aXRsZSI6IkogTmV1cmFsIFRyYW5zbSAoVmllbm5hKSIsIkRPSSI6IjEwLjEwMDcvczAwNzAyLTAwOS0wMzUzLTMiLCJQTUlEIjoiMjAwMzMyMzYiLCJVUkwiOiJodHRwczovL2xpbmsuc3ByaW5nZXIuY29tL2NvbnRlbnQvcGRmLzEwLjEwMDcvczAwNzAyLTAwOS0wMzUzLTMucGRmIiwiaXNzdWVkIjp7ImRhdGUtcGFydHMiOltbMjAxMF1dfSwicGFnZSI6IjI3Ny0yODQiLCJhYnN0cmFjdCI6IlRoZSBhaW1zIG9mIHRoaXMgc3R1ZHkgd2VyZSB0byBleGFtaW5lIGEgbm9uLUVuZ2xpc2ggKEhlYnJldykgdmVyc2lvbiBvZiBhIHNjYWxlIHRoYXQgbWVhc3VyZXMgdGhlIHByZW1vbml0b3J5IHVyZ2UgaW4gY2hpbGRyZW4gc3VmZmVyaW5nIGZyb20gdGljIGRpc29yZGVyLCBhcyB3ZWxsIGFzIGV4YW1pbmUgdGhlIGNvcnJlbGF0aW9ucyBvZiB0aGUgdXJnZSB3aXRoIGRlbW9ncmFwaGljIGFuZCBjbGluaWNhbCBhc3BlY3RzIG9mIFRvdXJldHRlIFN5bmRyb21lLiBGb3J0eSBjaGlsZHJlbiBhbmQgYWRvbGVzY2VudHMsIHN1ZmZlcmluZyBmcm9tIHRpY3MgcGFydGljaXBhdGVkIGluIHRoaXMgc3R1ZHkuIFRoZXkgd2VyZSBhc3Nlc3NlZCB3aXRoIHRoZSBQcmVtb25pdG9yeSBVcmdlIGZvciBUaWNzIFNjYWxlIChQVVRTKTsgdGhlIFlhbGUgR2xvYmFsIFRpYyBTZXZlcml0eSBTY2FsZSAoWUdUU1MpOyB0aGUgQ2hpbGRob29kIFZlcnNpb24gb2YgdGhlIFlhbGUgQnJvd24gT2JzZXNzaXZlIENvbXB1bHNpdmUgU2NhbGUgKENZQk9DUyk7IHRoZSBBREhEIFJhdGluZyBTY2FsZSBJViAoQ29ubmVycykgU2NhbGU7IHRoZSBTY3JlZW4gZm9yIENoaWxkIEFueGlldHkgUmVsYXRlZCBFbW90aW9uYWwgRGlzb3JkZXJzIChTQ0FSRUQpOyBhbmQgdGhlIENoaWxkIERlcHJlc3Npb24gSW52ZW50b3J5IChDREkpLiBUaGUgbWVhbiBQVVRTIHNjb3JlIHdhcyAyMC4xNSAoU0QgPSA1Ljg5KS4gRm9yIHRoZSBlbnRpcmUgc2FtcGxlIHRoZSBQVVRTIHdhcyBmb3VuZCB0byBiZSBpbnRlcm5hbGx5IGNvbnNpc3RlbnQgYXQgYSA9IDAuNzkuIFlvdXRocyBvbGRlciB0aGFuIDEwIHllYXJzIGhhZCBoaWdoZXIgY29uc2lzdGVuY3kgKGEgPSAwLjgzKSB0aGFuIHlvdXRocyB5b3VuZ2VyIHRoYW4gMTAgKGEgPSAwLjY5KS4gUHJlbW9uaXRvcnkgdXJnZSB3YXMgbm90IGNvcnJlbGF0ZWQgd2l0aCB0aWMgc2V2ZXJpdHkgaW4gdGhlIGVudGlyZSBzYW1wbGUuIEluIHlvdXRocyBvbGRlciB0aGFuIDEwLCBhcyBvcHBvc2VkIHRvIHlvdXRocyB5b3VuZ2VyIHRoYW4gMTAsIHByZW1vbml0b3J5IHVyZ2UgZGlkIGNvcnJlbGF0ZSB3aXRoIG9ic2Vzc2lvbnMsIGNvbXB1bHNpb25zIGFuZCBkZXByZXNzaW9uLCBidXQgbm90IHdpdGggYW54aWV0eSBvciB3aXRoIEFESEQuIFRoZSBwcmVtb25pdG9yeSB1cmdlIGNhbiBiZSBtZWFzdXJlZCByZWxpYWJseSBhbmQgdGhlIFBVVFMgaXMgYSB1c2VmdWwgaW5zdHJ1bWVudCBmb3IgbWVhc3VyaW5nIHRoaXMgaW1wb3J0YW50IHBoZW5vbWVuYS4gUHJlbW9uaXRvcnkgdXJnZXMgc2VlbXMgdG8gYmUgcmVsYXRlZCB0byBvYnNlc3Npb25zLCBjb21wdWxzaW9ucywgYW5kIGRlcHJlc3Npb24gaW4gb2xkZXIgY2hpbGRyZW4gYW5kIHRoaXMgbWF5IGhhdmUgaW1wbGljYXRpb25zIGZvciB0aGUgZGV2ZWxvcG1lbnRhbCBwc3ljaG9wYXRob2xneSBvZiB0aGVzZSBzeW1wdG9tcy4iLCJpc3N1ZSI6IjIiLCJ2b2x1bWUiOiIxMTciLCJjb250YWluZXItdGl0bGUtc2hvcnQiOiIifSwiaXNUZW1wb3JhcnkiOmZhbHNlfV19"/>
                <w:id w:val="-1686128668"/>
                <w:placeholder>
                  <w:docPart w:val="DefaultPlaceholder_-1854013440"/>
                </w:placeholder>
              </w:sdtPr>
              <w:sdtContent>
                <w:r w:rsidR="00F04E9F" w:rsidRPr="00F04E9F">
                  <w:rPr>
                    <w:rFonts w:cs="Times New Roman"/>
                    <w:color w:val="000000"/>
                    <w:sz w:val="16"/>
                    <w:szCs w:val="16"/>
                    <w:shd w:val="clear" w:color="auto" w:fill="FFFFFF"/>
                  </w:rPr>
                  <w:t>(3)</w:t>
                </w:r>
              </w:sdtContent>
            </w:sdt>
          </w:p>
        </w:tc>
        <w:tc>
          <w:tcPr>
            <w:tcW w:w="0" w:type="auto"/>
            <w:shd w:val="clear" w:color="auto" w:fill="FFFFFF"/>
          </w:tcPr>
          <w:p w14:paraId="579050AE"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40 children with CTDs</w:t>
            </w:r>
          </w:p>
        </w:tc>
        <w:tc>
          <w:tcPr>
            <w:tcW w:w="0" w:type="auto"/>
            <w:shd w:val="clear" w:color="auto" w:fill="FFFFFF"/>
          </w:tcPr>
          <w:p w14:paraId="567404FE"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did not significantly correlate with ADHD Rating Scale IV (Conners) scores (r = 0.22, p = 0.16) (correlation type unclear from publication)</w:t>
            </w:r>
          </w:p>
          <w:p w14:paraId="3BF05FB0" w14:textId="2DA3E2E4"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After dividing the sample into younger (less than 10</w:t>
            </w:r>
            <w:r w:rsidR="004B1DE4">
              <w:rPr>
                <w:rFonts w:cs="Times New Roman"/>
                <w:color w:val="000000" w:themeColor="text1"/>
                <w:sz w:val="16"/>
                <w:szCs w:val="16"/>
                <w:shd w:val="clear" w:color="auto" w:fill="FFFFFF"/>
              </w:rPr>
              <w:t>-</w:t>
            </w:r>
            <w:r w:rsidRPr="008A1F40">
              <w:rPr>
                <w:rFonts w:cs="Times New Roman"/>
                <w:color w:val="000000" w:themeColor="text1"/>
                <w:sz w:val="16"/>
                <w:szCs w:val="16"/>
                <w:shd w:val="clear" w:color="auto" w:fill="FFFFFF"/>
              </w:rPr>
              <w:t>years</w:t>
            </w:r>
            <w:r w:rsidR="004B1DE4">
              <w:rPr>
                <w:rFonts w:cs="Times New Roman"/>
                <w:color w:val="000000" w:themeColor="text1"/>
                <w:sz w:val="16"/>
                <w:szCs w:val="16"/>
                <w:shd w:val="clear" w:color="auto" w:fill="FFFFFF"/>
              </w:rPr>
              <w:t>-</w:t>
            </w:r>
            <w:r w:rsidRPr="008A1F40">
              <w:rPr>
                <w:rFonts w:cs="Times New Roman"/>
                <w:color w:val="000000" w:themeColor="text1"/>
                <w:sz w:val="16"/>
                <w:szCs w:val="16"/>
                <w:shd w:val="clear" w:color="auto" w:fill="FFFFFF"/>
              </w:rPr>
              <w:t>old) and older (older than 10 years) subgroups, this correlation remained non-significant in both groups</w:t>
            </w:r>
          </w:p>
        </w:tc>
      </w:tr>
      <w:tr w:rsidR="00986E35" w:rsidRPr="008A1F40" w14:paraId="2519DEE4" w14:textId="77777777" w:rsidTr="007F77D2">
        <w:trPr>
          <w:tblCellSpacing w:w="15" w:type="dxa"/>
        </w:trPr>
        <w:tc>
          <w:tcPr>
            <w:tcW w:w="0" w:type="auto"/>
            <w:shd w:val="clear" w:color="auto" w:fill="FFFFFF"/>
          </w:tcPr>
          <w:p w14:paraId="2F738A59" w14:textId="742203A8"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Reese et al (2014)</w:t>
            </w:r>
            <w:r w:rsidR="00FE616E">
              <w:rPr>
                <w:rFonts w:cs="Times New Roman"/>
                <w:color w:val="000000" w:themeColor="text1"/>
                <w:sz w:val="16"/>
                <w:szCs w:val="16"/>
              </w:rPr>
              <w:t xml:space="preserve"> </w:t>
            </w:r>
            <w:sdt>
              <w:sdtPr>
                <w:rPr>
                  <w:rFonts w:cs="Times New Roman"/>
                  <w:color w:val="000000"/>
                  <w:sz w:val="16"/>
                  <w:szCs w:val="16"/>
                </w:rPr>
                <w:tag w:val="MENDELEY_CITATION_v3_eyJjaXRhdGlvbklEIjoiTUVOREVMRVlfQ0lUQVRJT05fODVhMDhhZmMtYmE3My00ZWEzLWFlOWItYzhkODRlNDJhZTFkIiwicHJvcGVydGllcyI6eyJub3RlSW5kZXgiOjB9LCJpc0VkaXRlZCI6ZmFsc2UsIm1hbnVhbE92ZXJyaWRlIjp7ImlzTWFudWFsbHlPdmVycmlkZGVuIjpmYWxzZSwiY2l0ZXByb2NUZXh0IjoiKDE1KSIsIm1hbnVhbE92ZXJyaWRlVGV4dCI6IiJ9LCJjaXRhdGlvbkl0ZW1zIjpbeyJpZCI6IjM2OWMxMGM3LTAxNzYtMzQyMS04MmJlLTg4YzAwMGQzMWIyYSIsIml0ZW1EYXRhIjp7InR5cGUiOiJhcnRpY2xlLWpvdXJuYWwiLCJpZCI6IjM2OWMxMGM3LTAxNzYtMzQyMS04MmJlLTg4YzAwMGQzMWIyYSIsInRpdGxlIjoiVGhlIHByZW1vbml0b3J5IHVyZ2UgdG8gdGljOiBtZWFzdXJlbWVudCwgY2hhcmFjdGVyaXN0aWNzLCBhbmQgY29ycmVsYXRlcyBpbiBvbGRlciBhZG9sZXNjZW50cyBhbmQgYWR1bHRzIiwiZ3JvdXBJZCI6IjA3ZDYyYWMxLTVhYTgtMzlhZi1iNDllLTUyZDIwODhhYzU3MSIsImF1dGhvciI6W3siZmFtaWx5IjoiUmVlc2UiLCJnaXZlbiI6IkggRSIsInBhcnNlLW5hbWVzIjpmYWxzZSwiZHJvcHBpbmctcGFydGljbGUiOiIiLCJub24tZHJvcHBpbmctcGFydGljbGUiOiIifSx7ImZhbWlseSI6IlNjYWhpbGwiLCJnaXZlbiI6IkwiLCJwYXJzZS1uYW1lcyI6ZmFsc2UsImRyb3BwaW5nLXBhcnRpY2xlIjoiIiwibm9uLWRyb3BwaW5nLXBhcnRpY2xlIjoiIn0seyJmYW1pbHkiOiJQZXRlcnNvbiIsImdpdmVuIjoiQSBMIiwicGFyc2UtbmFtZXMiOmZhbHNlLCJkcm9wcGluZy1wYXJ0aWNsZSI6IiIsIm5vbi1kcm9wcGluZy1wYXJ0aWNsZSI6IiJ9LHsiZmFtaWx5IjoiQ3Jvd2UiLCJnaXZlbiI6IksiLCJwYXJzZS1uYW1lcyI6ZmFsc2UsImRyb3BwaW5nLXBhcnRpY2xlIjoiIiwibm9uLWRyb3BwaW5nLXBhcnRpY2xlIjoiIn0seyJmYW1pbHkiOiJXb29kcyIsImdpdmVuIjoiRCBXIiwicGFyc2UtbmFtZXMiOmZhbHNlLCJkcm9wcGluZy1wYXJ0aWNsZSI6IiIsIm5vbi1kcm9wcGluZy1wYXJ0aWNsZSI6IiJ9LHsiZmFtaWx5IjoiUGlhY2VudGluaSIsImdpdmVuIjoiSiIsInBhcnNlLW5hbWVzIjpmYWxzZSwiZHJvcHBpbmctcGFydGljbGUiOiIiLCJub24tZHJvcHBpbmctcGFydGljbGUiOiIifSx7ImZhbWlseSI6IldhbGt1cCIsImdpdmVuIjoiSiBUIiwicGFyc2UtbmFtZXMiOmZhbHNlLCJkcm9wcGluZy1wYXJ0aWNsZSI6IiIsIm5vbi1kcm9wcGluZy1wYXJ0aWNsZSI6IiJ9LHsiZmFtaWx5IjoiV2lsaGVsbSIsImdpdmVuIjoiUyIsInBhcnNlLW5hbWVzIjpmYWxzZSwiZHJvcHBpbmctcGFydGljbGUiOiIiLCJub24tZHJvcHBpbmctcGFydGljbGUiOiIifV0sImNvbnRhaW5lci10aXRsZSI6IkJlaGF2IFRoZXIiLCJET0kiOiIxMC4xMDE2L2ouYmV0aC4yMDEzLjA5LjAwMiIsIlBNSUQiOiIyNDQ5MTE5MyIsImlzc3VlZCI6eyJkYXRlLXBhcnRzIjpbWzIwMTRdXX0sInBhZ2UiOiIxNzctMTg2IiwiYWJzdHJhY3QiOiJJbiBhZGRpdGlvbiB0byBtb3RvciBhbmQvb3Igdm9jYWwgdGljcywgbWFueSBpbmRpdmlkdWFscyB3aXRoIFRvdXJldHRlIHN5bmRyb21lIChUUykgb3IgY2hyb25pYyB0aWMgZGlzb3JkZXIgKENURCkgcmVwb3J0IGZyZXF1ZW50LCB1bmNvbWZvcnRhYmxlIHNlbnNvcnkgcGhlbm9tZW5hIHRoYXQgaW1tZWRpYXRlbHkgcHJlY2VkZSB0aGUgdGljcy4gVG8gZGF0ZSwgZXhhbWluYXRpb24gb2YgdGhlc2UgcHJlbW9uaXRvcnkgc2Vuc2F0aW9ucyBvciB1cmdlcyBoYXMgYmVlbiBsaW1pdGVkIGJ5IGluY29uc2lzdGVudCBhc3Nlc3NtZW50IHRvb2xzLiBJbiB0aGlzIHBhcGVyLCB3ZSBleGFtaW5lIHRoZSBwc3ljaG9tZXRyaWMgcHJvcGVydGllcyBvZiBhIG5pbmUtaXRlbSBzZWxmLXJlcG9ydCBtZWFzdXJlLCB0aGUgUHJlbW9uaXRvcnkgVXJnZSB0byBUaWMgU2NhbGUgKFBVVFMpIGFuZCBleGFtaW5lIHRoZSBjaGFyYWN0ZXJpc3RpY3MgYW5kIGNvcnJlbGF0ZXMgb2YgdGhlIHByZW1vbml0b3J5IHVyZ2UgdG8gdGljIGluIGEgY2xpbmljYWwgc2FtcGxlIG9mIDEyMiBvbGRlciBhZG9sZXNjZW50cyBhbmQgYWR1bHRzIHdpdGggVFMgb3IgQ1RELiBUaGUgUFVUUyBkZW1vbnN0cmF0ZWQgYWRlcXVhdGUgaW50ZXJuYWwgY29uc2lzdGVuY3ksIHRlbXBvcmFsIHN0YWJpbGl0eSwgYW5kIGNvbmN1cnJlbnQgdmFsaWRpdHkuIFByZW1vbml0b3J5IHVyZ2VzIHdlcmUgZW5kb3JzZWQgYnkgdGhlIG1ham9yaXR5IG9mIGluZGl2aWR1YWxzLiBNb3N0IGluZGl2aWR1YWxzIHJlcG9ydGVkIHNvbWUgcmVsaWVmIGZyb20gdGhlIHVyZ2VzIGFmdGVyIGNvbXBsZXRpbmcgYSB0aWMgYW5kIGJlaW5nIGFibGUgdG8gc3RvcCB0aGVpciB0aWNzIGV2ZW4gaWYgb25seSB0ZW1wb3JhcmlseS4gRGVncmVlIG9mIHByZW1vbml0b3J5IHVyZ2VzIHdhcyBub3Qgc2lnbmlmaWNhbnRseSBjb3JyZWxhdGVkIHdpdGggYWdlLCBhbmQgd2UgZGlkIG5vdCBvYnNlcnZlIGFueSBnZW5kZXIgZGlmZmVyZW5jZXMuIERlZ3JlZSBvZiBwcmVtb25pdG9yeSB1cmdlcyB3YXMgc2lnbmlmaWNhbnRseSBjb3JyZWxhdGVkIHdpdGggZXN0aW1hdGVkIElRIGFuZCB0aWMgc2V2ZXJpdHksIGJ1dCBub3Qgc2V2ZXJpdHkgb2YgY29tb3JiaWQgb2JzZXNzaXZlLWNvbXB1bHNpdmUgZGlzb3JkZXIgb3IgYXR0ZW50aW9uLWRlZmljaXQgaHlwZXJhY3Rpdml0eSBkaXNvcmRlci4gQWxzbywgaXQgd2FzIG5vdCByZWxhdGVkIHRvIGNvbmNvbWl0YW50IG1lZGljYXRpb24gc3RhdHVzLiBUaGVzZSBmaW5kaW5ncyByZXByZXNlbnQgYW5vdGhlciBzdGVwIGZvcndhcmQgaW4gb3VyIHVuZGVyc3RhbmRpbmcgb2YgdGhlIHByZW1vbml0b3J5IHNlbnNhdGlvbnMgYXNzb2NpYXRlZCB3aXRoIFRTIGFuZCBDVEQuIiwiaXNzdWUiOiIyIiwidm9sdW1lIjoiNDUiLCJjb250YWluZXItdGl0bGUtc2hvcnQiOiIifSwiaXNUZW1wb3JhcnkiOmZhbHNlfV19"/>
                <w:id w:val="1463692225"/>
                <w:placeholder>
                  <w:docPart w:val="DefaultPlaceholder_-1854013440"/>
                </w:placeholder>
              </w:sdtPr>
              <w:sdtContent>
                <w:r w:rsidR="00F04E9F" w:rsidRPr="00F04E9F">
                  <w:rPr>
                    <w:rFonts w:cs="Times New Roman"/>
                    <w:color w:val="000000"/>
                    <w:sz w:val="16"/>
                    <w:szCs w:val="16"/>
                  </w:rPr>
                  <w:t>(15)</w:t>
                </w:r>
              </w:sdtContent>
            </w:sdt>
          </w:p>
        </w:tc>
        <w:tc>
          <w:tcPr>
            <w:tcW w:w="0" w:type="auto"/>
            <w:shd w:val="clear" w:color="auto" w:fill="FFFFFF"/>
          </w:tcPr>
          <w:p w14:paraId="7E8F4E6C" w14:textId="77777777"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122 adolescents and adults with CTDs</w:t>
            </w:r>
          </w:p>
        </w:tc>
        <w:tc>
          <w:tcPr>
            <w:tcW w:w="0" w:type="auto"/>
            <w:shd w:val="clear" w:color="auto" w:fill="FFFFFF"/>
          </w:tcPr>
          <w:p w14:paraId="5AC07A1F" w14:textId="77777777"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PUTS scores did not significantly correlate with ADHD-RS scores (r = 0.08, p = 0.39, correlation type unclear from publication)</w:t>
            </w:r>
          </w:p>
        </w:tc>
      </w:tr>
      <w:tr w:rsidR="00986E35" w:rsidRPr="008A1F40" w14:paraId="316726B1" w14:textId="77777777" w:rsidTr="007F77D2">
        <w:trPr>
          <w:tblCellSpacing w:w="15" w:type="dxa"/>
        </w:trPr>
        <w:tc>
          <w:tcPr>
            <w:tcW w:w="0" w:type="auto"/>
            <w:shd w:val="clear" w:color="auto" w:fill="FFFFFF"/>
            <w:hideMark/>
          </w:tcPr>
          <w:p w14:paraId="6C888C52" w14:textId="135E0A71"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Gulisano et al (2015)</w:t>
            </w:r>
            <w:r w:rsidR="00FE616E">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Y2JlMDA2NzUtNTFmYy00ZGQxLTliMzctMzQ4NWNjMmMxOTQwIiwicHJvcGVydGllcyI6eyJub3RlSW5kZXgiOjB9LCJpc0VkaXRlZCI6ZmFsc2UsIm1hbnVhbE92ZXJyaWRlIjp7ImlzTWFudWFsbHlPdmVycmlkZGVuIjpmYWxzZSwiY2l0ZXByb2NUZXh0IjoiKDQpIiwibWFudWFsT3ZlcnJpZGVUZXh0IjoiIn0sImNpdGF0aW9uSXRlbXMiOlt7ImlkIjoiYjVhNWI5YWYtNTk2OC0zZmZkLTlmOTAtMzZhNTI0NGE1MDU4IiwiaXRlbURhdGEiOnsidHlwZSI6ImFydGljbGUtam91cm5hbCIsImlkIjoiYjVhNWI5YWYtNTk2OC0zZmZkLTlmOTAtMzZhNTI0NGE1MDU4IiwidGl0bGUiOiJQcmVtb25pdG9yeSBVcmdlcyBpbiBQYXRpZW50cyB3aXRoIEdpbGxlcyBkZSBsYSBUb3VyZXR0ZSBTeW5kcm9tZTogQW4gSXRhbGlhbiBUcmFuc2xhdGlvbiBhbmQgYSA3LVllYXIgRm9sbG93LXVwIiwiZ3JvdXBJZCI6IjA3ZDYyYWMxLTVhYTgtMzlhZi1iNDllLTUyZDIwODhhYzU3MSIsImF1dGhvciI6W3siZmFtaWx5IjoiR3VsaXNhbm8iLCJnaXZlbiI6Ik0iLCJwYXJzZS1uYW1lcyI6ZmFsc2UsImRyb3BwaW5nLXBhcnRpY2xlIjoiIiwibm9uLWRyb3BwaW5nLXBhcnRpY2xlIjoiIn0seyJmYW1pbHkiOiJDYWzDrCIsImdpdmVuIjoiUCIsInBhcnNlLW5hbWVzIjpmYWxzZSwiZHJvcHBpbmctcGFydGljbGUiOiIiLCJub24tZHJvcHBpbmctcGFydGljbGUiOiIifSx7ImZhbWlseSI6IlBhbGVybW8iLCJnaXZlbiI6IkYiLCJwYXJzZS1uYW1lcyI6ZmFsc2UsImRyb3BwaW5nLXBhcnRpY2xlIjoiIiwibm9uLWRyb3BwaW5nLXBhcnRpY2xlIjoiIn0seyJmYW1pbHkiOiJSb2JlcnRzb24iLCJnaXZlbiI6Ik0iLCJwYXJzZS1uYW1lcyI6ZmFsc2UsImRyb3BwaW5nLXBhcnRpY2xlIjoiIiwibm9uLWRyb3BwaW5nLXBhcnRpY2xlIjoiIn0seyJmYW1pbHkiOiJSaXp6byIsImdpdmVuIjoiUiIsInBhcnNlLW5hbWVzIjpmYWxzZSwiZHJvcHBpbmctcGFydGljbGUiOiIiLCJub24tZHJvcHBpbmctcGFydGljbGUiOiIifV0sImNvbnRhaW5lci10aXRsZSI6IkogQ2hpbGQgQWRvbGVzYyBQc3ljaG9waGFybWFjb2wiLCJET0kiOiIxMC4xMDg5L2NhcC4yMDE0LjAxNTQiLCJQTUlEIjoiMjYyODgzNDUiLCJVUkwiOiJodHRwczovL3d3dy5saWViZXJ0cHViLmNvbS9kb2kvMTAuMTA4OS9jYXAuMjAxNC4wMTU0IiwiaXNzdWVkIjp7ImRhdGUtcGFydHMiOltbMjAxNV1dfSwicGFnZSI6IjgxMC04MTYiLCJhYnN0cmFjdCI6Ik9CSkVDVElWRTogUHJlbW9uaXRvcnkgc2Vuc2F0aW9ucyBvciB1cmdlcyAoUFVzKSBhcmUgZGVzY3JpYmVkIGFzIGNoYXJhY3RlcmlzdGljIHNlbnNvcnkgcGhlbm9tZW5hIHByZWNlZGluZyB0aWNzLCB3aGljaCBhcmUgb2Z0ZW4gZGVzY3JpYmVkIGFzIHVucGxlYXNhbnQuIFRoZXkgb2NjdXIgaW4gOTAlIG9mIHBhdGllbnRzIGFmZmVjdGVkIGJ5IEdpbGxlcyBkZSBsYSBUb3VyZXR0ZSBTeW5kcm9tZSAoR1RTKS4gVGhleSBtYXkgYmUgbG9jYWxpemVkIChhcm91bmQgdGhlIGFyZWEgb2YgdGljKSBvciBnZW5lcmFsaXplZCAoY292ZXJpbmcgYSB3aWRlIGFyZWEgb2YgdGhlIGJvZHkpLiBUaGUgUFVzIGNhbiBiZSBtZWFzdXJlZCBieSB0aGUgUHJlbW9uaXRvcnkgVXJnZSBmb3IgVGljcyBTY2FsZSAoUFVUUykuIEluIHRoaXMgc3R1ZHkgd2UgdHJhbnNsYXRlZCB0aGUgUFVUUyBzY2FsZSBpbnRvIEl0YWxpYW4gYW5kIHRoZW4gYXNzZXNzZWQgY2hpbGRyZW4gYW5kIGFkb2xlc2NlbnRzL3lvdW5nIHBlb3BsZSAoQ1lQKSB3aXRoIEdUUyB1c2luZyB0aGUgc2NhbGUuIE1FVEhPRFM6IEdUUyBwYXRpZW50cyB3ZXJlIGFzc2Vzc2VkIGF0IHRoZSBpbml0aWFsIGludGVydmlldyBhbmQgYWZ0ZXIgNyB5ZWFycyB0byBldmFsdWF0ZSB0aGUgUFVzLCBhbmQgdGhlIGNvcnJlbGF0aW9ucyBvZiB0aGUgUFVUUyBzY29yZXMgd2l0aCB0aWMgc2V2ZXJpdHksIHNldmVyaXR5IG9mIGNvbW9yYmlkIGRpc29yZGVycyAob2JzZXNzaXZlLWNvbXB1bHNpdmUgZGlzb3JkZXIgW09DRF0sIGF0dGVudGlvbi1kZWZpY2l0L2h5cGVyYWN0aXZpdHkgZGlzb3JkZXIgW0FESERdKSwgYW5kIGEgdmFyaWV0eSBvZiBjb2V4aXN0aW5nIHBzeWNob3BhdGhvbG9naWVzLiBSRVNVTFRTOiBBIHRvdGFsIG9mIDk1IHBhdGllbnRzIHdlcmUgc3R1ZGllZC4gV2Ugc3VjY2Vzc2Z1bGx5IHRyYW5zbGF0ZWQgdGhlIFBVVFMgaW50byBJdGFsaWFuLCBhbmQgb3VyIHJlc3VsdHMgaW5kaWNhdGVkIHRoYXQgb3VyIHRyYW5zbGF0ZWQgdmVyc2lvbiBoYWQgZ29vZCBwc3ljaG9tZXRyaWMgcHJvcGVydGllcy4gUmVzdWx0cyBkZW1vbnN0cmF0ZWQgdGhhdCB0aGUgQ1lQIGhhZCBQVXMgYXQgYm90aCBpbnRlcnZpZXdzLCBidXQgdGhhdCBvbGRlciBDWVAgd2VyZSBtb3JlIGNvbnNpc3RlbnQgaW4gcmVwb3J0aW5nIFBVcyB0aGFuIHlvdW5nZXIgQ1lQIChpLmUuLCBQVVRTIHNjb3JlcyBpbmNyZWFzZWQgd2l0aCBhZ2UpLiBXZSBmb3VuZCBubyBjb3JyZWxhdGlvbnMgYmV0d2VlbiBQVVRTIHNjb3JlIGFuZCB0aWMgc2V2ZXJpdHkgYXQgZWl0aGVyIGludGVydmlldy4gV2UgZm91bmQgYSBzdGF0aXN0aWNhbCBzaWduaWZpY2FudCBjb3JyZWxhdGlvbiBiZXR3ZWVuIFBVVFMgc2NvcmUgYW5kIG9ic2Vzc2l2ZS1jb21wdWxzaXZlIHN5bXB0b21zIChPQ1MpIGF0IGJvdGggaW50ZXJ2aWV3czsgTW9yZW92ZXIgYm90aCB0aGUgUFVUUyBhbmQgQ2hpbGRyZW4ncyBZYWxlLUJyb3duIE9ic2Vzc2l2ZSBDb21wdWxzaXZlIFNjYWxlIChDWS1CT0NTKSBzY29yZXMgaW5jcmVhc2VkIHNpZ25pZmljYW50bHksIHdoZXJlYXMgdGhlIFlhbGUgR2xvYmFsIFRpYyBTZXZlcml0eSBSYXRpbmcgU2NhbGUgKFlHVFNTKSBzY29yZSBkZWNyZWFzZWQgc2lnbmlmaWNhbnRseS4gV2UgZm91bmQgbm8gcmVsYXRpb25zaGlwcyBiZXR3ZWVuIFBVVFMgc2NvcmVzIGFuZCBhbnhpZXR5LCBkZXByZXNzaW9uLCBBREhELCBhbmQgZXh0ZXJuYWxpemluZy9pbnRlcm5hbGl6aW5nIGJlaGF2aW9yYWwgc2NvcmVzLiBDT05DTFVTSU9OUzogT3VyIHJlc3VsdHMgc3VnZ2VzdCB0aGUgdGhlIEl0YWxpYW4gdHJhbnNsYXRpb24gb2YgdGhlIFBVVFMgaGFzIGdvb2QgcHN5Y2hvbWV0cmljIHByb3BlcnRpZXMuIEFsdGhvdWdoIGJvdGggeW91bmdlciAoPDEwIHllYXJzIG9mIGFnZSkgYW5kIG9sZGVyIENZUCAo4omkIDEwIHllYXJzIG9mIGFnZSkgcmVwb3J0ZWQgUFVzLCB0aGUgc2NvcmVzIGF0IHRoZSBpbml0aWFsIGludGVydmlldyB3ZXJlIHN0YXRpc3RpY2FsbHkgc2lnbmlmaWNhbnRseSBsb3dlciB0aGFuIGF0IGZvbGxvdy11cC4gTW9yZW92ZXIsIGluIENZUCA+MTAgeWVhcnMgb2YgYWdlLCB0aGUgUFVzIGNvcnJlbGF0ZWQgd2l0aCBvYnNlc3Npb25zIGFuZCBjb21wdWxzaW9ucyAoQ1ktQk9DUyBzY29yZXMpLiIsImlzc3VlIjoiMTAiLCJ2b2x1bWUiOiIyNSIsImNvbnRhaW5lci10aXRsZS1zaG9ydCI6IiJ9LCJpc1RlbXBvcmFyeSI6ZmFsc2V9XX0="/>
                <w:id w:val="-1995016909"/>
                <w:placeholder>
                  <w:docPart w:val="DefaultPlaceholder_-1854013440"/>
                </w:placeholder>
              </w:sdtPr>
              <w:sdtContent>
                <w:r w:rsidR="00F04E9F" w:rsidRPr="00F04E9F">
                  <w:rPr>
                    <w:rFonts w:eastAsia="Times New Roman" w:cs="Times New Roman"/>
                    <w:color w:val="000000"/>
                    <w:sz w:val="16"/>
                    <w:szCs w:val="16"/>
                  </w:rPr>
                  <w:t>(4)</w:t>
                </w:r>
              </w:sdtContent>
            </w:sdt>
          </w:p>
        </w:tc>
        <w:tc>
          <w:tcPr>
            <w:tcW w:w="0" w:type="auto"/>
            <w:shd w:val="clear" w:color="auto" w:fill="FFFFFF"/>
            <w:hideMark/>
          </w:tcPr>
          <w:p w14:paraId="4D7C082B"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95 children with TS</w:t>
            </w:r>
          </w:p>
        </w:tc>
        <w:tc>
          <w:tcPr>
            <w:tcW w:w="0" w:type="auto"/>
            <w:shd w:val="clear" w:color="auto" w:fill="FFFFFF"/>
            <w:hideMark/>
          </w:tcPr>
          <w:p w14:paraId="2A52467E"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No significant correlation between premonitory urges and ADHD symptoms measured by the CADS at baseline </w:t>
            </w:r>
            <w:r w:rsidRPr="008A1F40">
              <w:rPr>
                <w:rFonts w:cs="Times New Roman"/>
                <w:color w:val="000000" w:themeColor="text1"/>
                <w:sz w:val="16"/>
                <w:szCs w:val="16"/>
              </w:rPr>
              <w:t>(mean age = 7.3 years, SD = 1.5 years</w:t>
            </w:r>
            <w:r w:rsidRPr="008A1F40">
              <w:rPr>
                <w:rFonts w:eastAsia="Times New Roman" w:cs="Times New Roman"/>
                <w:color w:val="000000" w:themeColor="text1"/>
                <w:sz w:val="16"/>
                <w:szCs w:val="16"/>
              </w:rPr>
              <w:t xml:space="preserve">) (Spearman's r = -0.156, p = 0.12) or follow-up </w:t>
            </w:r>
            <w:r w:rsidRPr="008A1F40">
              <w:rPr>
                <w:rFonts w:cs="Times New Roman"/>
                <w:color w:val="000000" w:themeColor="text1"/>
                <w:sz w:val="16"/>
                <w:szCs w:val="16"/>
              </w:rPr>
              <w:t xml:space="preserve">(mean age = 13.1 years, SD = 3.7 years) </w:t>
            </w:r>
            <w:r w:rsidRPr="008A1F40">
              <w:rPr>
                <w:rFonts w:eastAsia="Times New Roman" w:cs="Times New Roman"/>
                <w:color w:val="000000" w:themeColor="text1"/>
                <w:sz w:val="16"/>
                <w:szCs w:val="16"/>
              </w:rPr>
              <w:t xml:space="preserve">(Spearman's r = 0.162, p = 0.13). </w:t>
            </w:r>
          </w:p>
        </w:tc>
      </w:tr>
      <w:tr w:rsidR="00986E35" w:rsidRPr="008A1F40" w14:paraId="7A8E95FF" w14:textId="77777777" w:rsidTr="007F77D2">
        <w:trPr>
          <w:tblCellSpacing w:w="15" w:type="dxa"/>
        </w:trPr>
        <w:tc>
          <w:tcPr>
            <w:tcW w:w="0" w:type="auto"/>
            <w:shd w:val="clear" w:color="auto" w:fill="FFFFFF"/>
            <w:hideMark/>
          </w:tcPr>
          <w:p w14:paraId="5D4422C0" w14:textId="477BC223"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Openneer et al (2020)</w:t>
            </w:r>
            <w:r w:rsidR="00FE616E">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ZTNjNjRmNmQtODNhNi00ZTg5LThmZDgtMDQzNzY2NzE3ODkzIiwicHJvcGVydGllcyI6eyJub3RlSW5kZXgiOjB9LCJpc0VkaXRlZCI6ZmFsc2UsIm1hbnVhbE92ZXJyaWRlIjp7ImlzTWFudWFsbHlPdmVycmlkZGVuIjpmYWxzZSwiY2l0ZXByb2NUZXh0IjoiKDcpIiwibWFudWFsT3ZlcnJpZGVUZXh0IjoiIn0sImNpdGF0aW9uSXRlbXMiOlt7ImlkIjoiMjMxMzg1NzUtZDFlNC0zZWFmLWJiM2UtNGRlMTJiNWNmMTBhIiwiaXRlbURhdGEiOnsidHlwZSI6ImFydGljbGUtam91cm5hbCIsImlkIjoiMjMxMzg1NzUtZDFlNC0zZWFmLWJiM2UtNGRlMTJiNWNmMTBhIiwidGl0bGUiOiJUaGUgUHJlbW9uaXRvcnkgVXJnZSBmb3IgVGljcyBTY2FsZSBpbiBhIGxhcmdlIHNhbXBsZSBvZiBjaGlsZHJlbiBhbmQgYWRvbGVzY2VudHM6IHBzeWNob21ldHJpYyBwcm9wZXJ0aWVzIGluIGEgZGV2ZWxvcG1lbnRhbCBjb250ZXh0LiBBbiBFTVRJQ1Mgc3R1ZHkiLCJncm91cElkIjoiMDdkNjJhYzEtNWFhOC0zOWFmLWI0OWUtNTJkMjA4OGFjNTcxIiwiYXV0aG9yIjpbeyJmYW1pbHkiOiJPcGVubmVlciIsImdpdmVuIjoiVCBKIEMiLCJwYXJzZS1uYW1lcyI6ZmFsc2UsImRyb3BwaW5nLXBhcnRpY2xlIjoiIiwibm9uLWRyb3BwaW5nLXBhcnRpY2xlIjoiIn0seyJmYW1pbHkiOiJUw6Fybm9rIiwiZ2l2ZW4iOiJaIiwicGFyc2UtbmFtZXMiOmZhbHNlLCJkcm9wcGluZy1wYXJ0aWNsZSI6IiIsIm5vbi1kcm9wcGluZy1wYXJ0aWNsZSI6IiJ9LHsiZmFtaWx5IjoiQm9nbmFyIiwiZ2l2ZW4iOiJFIiwicGFyc2UtbmFtZXMiOmZhbHNlLCJkcm9wcGluZy1wYXJ0aWNsZSI6IiIsIm5vbi1kcm9wcGluZy1wYXJ0aWNsZSI6IiJ9LHsiZmFtaWx5IjoiQmVuYXJveWEtTWlsc2h0ZWluIiwiZ2l2ZW4iOiJOIiwicGFyc2UtbmFtZXMiOmZhbHNlLCJkcm9wcGluZy1wYXJ0aWNsZSI6IiIsIm5vbi1kcm9wcGluZy1wYXJ0aWNsZSI6IiJ9LHsiZmFtaWx5IjoiR2FyY2lhLURlbGdhciIsImdpdmVuIjoiQiIsInBhcnNlLW5hbWVzIjpmYWxzZSwiZHJvcHBpbmctcGFydGljbGUiOiIiLCJub24tZHJvcHBpbmctcGFydGljbGUiOiIifSx7ImZhbWlseSI6Ik1vcmVyIiwiZ2l2ZW4iOiJBIiwicGFyc2UtbmFtZXMiOmZhbHNlLCJkcm9wcGluZy1wYXJ0aWNsZSI6IiIsIm5vbi1kcm9wcGluZy1wYXJ0aWNsZSI6IiJ9LHsiZmFtaWx5IjoiU3RlaW5iZXJnIiwiZ2l2ZW4iOiJUIiwicGFyc2UtbmFtZXMiOmZhbHNlLCJkcm9wcGluZy1wYXJ0aWNsZSI6IiIsIm5vbi1kcm9wcGluZy1wYXJ0aWNsZSI6IiJ9LHsiZmFtaWx5IjoiSG9la3N0cmEiLCJnaXZlbiI6IlAgSiIsInBhcnNlLW5hbWVzIjpmYWxzZSwiZHJvcHBpbmctcGFydGljbGUiOiIiLCJub24tZHJvcHBpbmctcGFydGljbGUiOiIifSx7ImZhbWlseSI6IkRpZXRyaWNoIiwiZ2l2ZW4iOiJBIiwicGFyc2UtbmFtZXMiOmZhbHNlLCJkcm9wcGluZy1wYXJ0aWNsZSI6IiIsIm5vbi1kcm9wcGluZy1wYXJ0aWNsZSI6IiJ9XSwiY29udGFpbmVyLXRpdGxlIjoiRXVyIENoaWxkIEFkb2xlc2MgUHN5Y2hpYXRyeSIsIkRPSSI6IjEwLjEwMDcvczAwNzg3LTAxOS0wMTQ1MC0xIiwiUE1JRCI6IjMxODAyMjcxIiwiVVJMIjoiaHR0cHM6Ly9saW5rLnNwcmluZ2VyLmNvbS9jb250ZW50L3BkZi8xMC4xMDA3L3MwMDc4Ny0wMTktMDE0NTAtMS5wZGYiLCJpc3N1ZWQiOnsiZGF0ZS1wYXJ0cyI6W1syMDIwXV19LCJwYWdlIjoiMTQxMS0xNDI0IiwiYWJzdHJhY3QiOiJQcmVtb25pdG9yeSB1cmdlcyBhcmUgdW5jb21mb3J0YWJsZSBwaHlzaWNhbCBzZW5zYXRpb25zIHByZWNlZGluZyB0aWNzIHRoYXQgb2NjdXIgaW4gbW9zdCBpbmRpdmlkdWFscyB3aXRoIGEgY2hyb25pYyB0aWMgZGlzb3JkZXIuIFRoZSBQcmVtb25pdG9yeSBVcmdlIGZvciBUaWNzIFNjYWxlIChQVVRTKSBpcyB0aGUgbW9zdCBmcmVxdWVudGx5IHVzZWQgc2VsZi1yZXBvcnQgbWVhc3VyZSB0byBhc3Nlc3MgdGhlIHNldmVyaXR5IG9mIHByZW1vbml0b3J5IHVyZ2VzLiBXZSBhaW1lZCB0byBldmFsdWF0ZSB0aGUgcHN5Y2hvbWV0cmljIHByb3BlcnRpZXMgb2YgdGhlIFBVVFMgaW4gdGhlIGxhcmdlc3Qgc2FtcGxlIHNpemUgdG8gZGF0ZSAobuKAiT3igIk2NTYpLCBpbiBjaGlsZHJlbiBhZ2VkIDMtMTbCoHllYXJzLCBmcm9tIHRoZSBiYXNlbGluZSBtZWFzdXJlbWVudCBvZiB0aGUgbG9uZ2l0dWRpbmFsIEV1cm9wZWFuIE11bHRpY2VudGVyIFRpY3MgaW4gQ2hpbGRyZW4gU3R1ZHkgKEVNVElDUykuIE91ciBwc3ljaG9tZXRyaWMgZXZhbHVhdGlvbiB3YXMgZG9uZSBpbiB0aHJlZSBhZ2UtZ3JvdXBzOiBjaGlsZHJlbiBhZ2VkIDMtN8KgeWVhcnMgKG7igIk94oCJMTAzKSwgY2hpbGRyZW4gYmV0d2VlbiA4IGFuZCAxMMKgeWVhcnMgKG7igIk94oCJMjUzKSwgYW5kIGNoaWxkcmVuIGFnZWQgMTEtMTbCoHllYXJzIChu4oCJPeKAiTMwMCkuIFRoZSBQVVRTIGV4aGliaXRlZCBnb29kIGludGVybmFsIHJlbGlhYmlsaXR5IGluIGNoaWxkcmVuIGFuZCBhZG9sZXNjZW50cywgYWxzbyB1bmRlciB0aGUgYWdlIG9mIDEwLCB3aGljaCBpcyB5b3VuZ2VyIHRoYW4gcHJldmlvdXNseSB0aG91Z2h0LiBXZSBvYnNlcnZlZCBzaWduaWZpY2FudCBidXQgc21hbGwgY29ycmVsYXRpb25zIGJldHdlZW4gdGhlIHNldmVyaXR5IG9mIHVyZ2VzIGFuZCBzZXZlcml0eSBvZiB0aWNzIGFuZCBvYnNlc3NpdmUtY29tcHVsc2l2ZSBzeW1wdG9tcywgYW5kIGJldHdlZW4gc2V2ZXJpdHkgb2YgdXJnZXMgYW5kIHJhdGluZ3Mgb2YgYXR0ZW50aW9uLWRlZmljaXQvaHlwZXJhY3Rpdml0eSBkaXNvcmRlciBhbmQgaW50ZXJuYWxpemluZyBhbmQgZXh0ZXJuYWxpemluZyBiZWhhdmlvcnMsIGhvd2V2ZXIsIG9ubHkgaW4gY2hpbGRyZW4gb2YgOC0xMMKgeWVhcnMuIENvbnNpc3RlbnQgd2l0aCBwcmV2aW91cyByZXN1bHRzLCB0aGUgMTB0aCBpdGVtIG9mIHRoZSBQVVRTIGNvcnJlbGF0ZWQgbGVzcyB3aXRoIHRoZSByZXN0IG9mIHRoZSBzY2FsZSBjb21wYXJlZCB0byB0aGUgb3RoZXIgaXRlbXMgYW5kLCB0aGVyZWZvcmUsIHNob3VsZCBub3QgYmUgdXNlZCBhcyBwYXJ0IG9mIHRoZSBxdWVzdGlvbm5haXJlLiBXZSBmb3VuZCBhIHR3by1mYWN0b3Igc3RydWN0dXJlIG9mIHRoZSBQVVRTIGluIGNoaWxkcmVuIG9mIDExwqB5ZWFycyBhbmQgb2xkZXIsIGRpc3Rpbmd1aXNoaW5nIGJldHdlZW4gc2Vuc29yeSBwaGVub21lbmEgcmVsYXRlZCB0byB0aWNzLCBhbmQgbWVudGFsIHBoZW5vbWVuYSBhcyBvZnRlbiBmb3VuZCBpbiBvYnNlc3NpdmUtY29tcHVsc2l2ZSBkaXNvcmRlci4gVGhlIGFnZS1yZWxhdGVkIGRpZmZlcmVuY2VzIG9ic2VydmVkIGluIHRoaXMgc3R1ZHkgbWF5IGluZGljYXRlIHRoZSBuZWVkIGZvciB0aGUgZGV2ZWxvcG1lbnQgb2YgYW4gYWdlLXNwZWNpZmljIHF1ZXN0aW9ubmFpcmUgdG8gYXNzZXNzIHByZW1vbml0b3J5IHVyZ2VzLiIsImlzc3VlIjoiMTAiLCJ2b2x1bWUiOiIyOSIsImNvbnRhaW5lci10aXRsZS1zaG9ydCI6IiJ9LCJpc1RlbXBvcmFyeSI6ZmFsc2V9XX0="/>
                <w:id w:val="518284587"/>
                <w:placeholder>
                  <w:docPart w:val="DefaultPlaceholder_-1854013440"/>
                </w:placeholder>
              </w:sdtPr>
              <w:sdtContent>
                <w:r w:rsidR="00F04E9F" w:rsidRPr="00F04E9F">
                  <w:rPr>
                    <w:rFonts w:eastAsia="Times New Roman" w:cs="Times New Roman"/>
                    <w:color w:val="000000"/>
                    <w:sz w:val="16"/>
                    <w:szCs w:val="16"/>
                  </w:rPr>
                  <w:t>(7)</w:t>
                </w:r>
              </w:sdtContent>
            </w:sdt>
          </w:p>
        </w:tc>
        <w:tc>
          <w:tcPr>
            <w:tcW w:w="0" w:type="auto"/>
            <w:shd w:val="clear" w:color="auto" w:fill="FFFFFF"/>
            <w:hideMark/>
          </w:tcPr>
          <w:p w14:paraId="19F60069"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656 children with CTDs</w:t>
            </w:r>
          </w:p>
        </w:tc>
        <w:tc>
          <w:tcPr>
            <w:tcW w:w="0" w:type="auto"/>
            <w:shd w:val="clear" w:color="auto" w:fill="FFFFFF"/>
            <w:hideMark/>
          </w:tcPr>
          <w:p w14:paraId="0D7A7BC3"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Weak but significant correlation between ADHD symptom severity (measured by SNAP-IV) and premonitory urges (Pearson's r = 0.080, p &lt; 0.05). </w:t>
            </w:r>
          </w:p>
          <w:p w14:paraId="2EEAA37C" w14:textId="77777777"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rPr>
              <w:t>After separating the sample into children aged 7 years and under, aged 8-10 years and older than 10 years the correlation only remained significant for the group aged 8-10 years</w:t>
            </w:r>
            <w:r w:rsidRPr="008A1F40">
              <w:rPr>
                <w:rFonts w:eastAsia="Times New Roman" w:cs="Times New Roman"/>
                <w:color w:val="000000" w:themeColor="text1"/>
                <w:sz w:val="16"/>
                <w:szCs w:val="16"/>
              </w:rPr>
              <w:t xml:space="preserve"> (Pearson's r = 0.140, p &lt; 0.05).</w:t>
            </w:r>
          </w:p>
        </w:tc>
      </w:tr>
    </w:tbl>
    <w:p w14:paraId="4B1D628E" w14:textId="77777777" w:rsidR="00986E35" w:rsidRPr="008A1F40" w:rsidRDefault="00986E35" w:rsidP="00986E35">
      <w:pPr>
        <w:rPr>
          <w:rFonts w:eastAsia="Times New Roman" w:cs="Times New Roman"/>
          <w:color w:val="0D0D0D"/>
          <w:sz w:val="16"/>
          <w:szCs w:val="16"/>
        </w:rPr>
      </w:pPr>
      <w:r w:rsidRPr="008A1F40">
        <w:rPr>
          <w:rFonts w:eastAsia="Times New Roman" w:cs="Times New Roman"/>
          <w:color w:val="0D0D0D"/>
          <w:sz w:val="16"/>
          <w:szCs w:val="16"/>
        </w:rPr>
        <w:t xml:space="preserve">ADHD </w:t>
      </w:r>
      <w:r w:rsidRPr="008A1F40">
        <w:rPr>
          <w:rFonts w:cs="Times New Roman"/>
          <w:color w:val="000000" w:themeColor="text1"/>
          <w:sz w:val="16"/>
          <w:szCs w:val="16"/>
        </w:rPr>
        <w:t xml:space="preserve">= Attention-Deficit Hyperactivity Disorder, ADHD-SB = German ADHD self-rating scale, WURS-K = Wender Utah Rating Scale, DSM-IV = </w:t>
      </w:r>
      <w:r w:rsidRPr="008A1F40">
        <w:rPr>
          <w:rFonts w:cs="Times New Roman"/>
          <w:color w:val="333333"/>
          <w:sz w:val="16"/>
          <w:szCs w:val="16"/>
        </w:rPr>
        <w:t>Diagnostic and Statistical Manual of Mental Disorders, fourth edition</w:t>
      </w:r>
      <w:r w:rsidRPr="008A1F40">
        <w:rPr>
          <w:rFonts w:cs="Times New Roman"/>
          <w:color w:val="000000" w:themeColor="text1"/>
          <w:sz w:val="16"/>
          <w:szCs w:val="16"/>
        </w:rPr>
        <w:t xml:space="preserve">, CAARS = Conners Adult ADHD Rating Scale, IA = Inattention subscale, HI = Hyperactivity-impulsivity subscale, ARS = ADHD Rating Scale, ASRS = ADHD Self-Report Scale, ADHD-RS = Attention-Deficit Hyperactivity Disorder Rating Scale, ASRS-V = </w:t>
      </w:r>
      <w:r w:rsidRPr="008A1F40">
        <w:rPr>
          <w:rFonts w:cs="Times New Roman"/>
          <w:color w:val="000000" w:themeColor="text1"/>
          <w:sz w:val="16"/>
          <w:szCs w:val="16"/>
          <w:shd w:val="clear" w:color="auto" w:fill="FFFFFF"/>
        </w:rPr>
        <w:t xml:space="preserve">Adult ADHD Self-Report Screening Scale for DSM-5, CADS = </w:t>
      </w:r>
      <w:r w:rsidRPr="008A1F40">
        <w:rPr>
          <w:rFonts w:cs="Times New Roman"/>
          <w:color w:val="000000" w:themeColor="text1"/>
          <w:sz w:val="16"/>
          <w:szCs w:val="16"/>
        </w:rPr>
        <w:t xml:space="preserve">ADHD Rating Scale/DSM-IV Scale, SNAP-IV = Swanson Nolan and Pelham-IV rating scale, CTD = Chronic Tic Disorder, </w:t>
      </w:r>
      <w:r w:rsidRPr="008A1F40">
        <w:rPr>
          <w:rFonts w:cs="Times New Roman"/>
          <w:sz w:val="16"/>
          <w:szCs w:val="16"/>
        </w:rPr>
        <w:t>PUTS = Premonitory Urge for Tics Scale, TS = Tourette Syndrome</w:t>
      </w:r>
    </w:p>
    <w:p w14:paraId="4F76660C" w14:textId="77777777" w:rsidR="00986E35" w:rsidRPr="008A1F40" w:rsidRDefault="00986E35" w:rsidP="00986E35">
      <w:pPr>
        <w:rPr>
          <w:rFonts w:cs="Times New Roman"/>
          <w:color w:val="000000" w:themeColor="text1"/>
          <w:sz w:val="16"/>
          <w:szCs w:val="16"/>
        </w:rPr>
      </w:pPr>
    </w:p>
    <w:p w14:paraId="03D8D3FF" w14:textId="530AAE46" w:rsidR="00986E35" w:rsidRPr="00986E35" w:rsidRDefault="00986E35" w:rsidP="00986E35">
      <w:pPr>
        <w:rPr>
          <w:rFonts w:cs="Times New Roman"/>
          <w:sz w:val="16"/>
          <w:szCs w:val="16"/>
        </w:rPr>
      </w:pPr>
      <w:r w:rsidRPr="008A1F40">
        <w:rPr>
          <w:rFonts w:cs="Times New Roman"/>
          <w:sz w:val="16"/>
          <w:szCs w:val="16"/>
        </w:rPr>
        <w:t>Table 7: Associations with Mood/Anxiety Symptoms/Disorders</w:t>
      </w:r>
    </w:p>
    <w:tbl>
      <w:tblPr>
        <w:tblW w:w="9210" w:type="dxa"/>
        <w:tblCellSpacing w:w="15" w:type="dxa"/>
        <w:tblBorders>
          <w:top w:val="thinThickSmallGap" w:sz="24" w:space="0" w:color="C4BC96" w:themeColor="background2" w:themeShade="BF"/>
          <w:left w:val="thinThickSmallGap" w:sz="24" w:space="0" w:color="C4BC96" w:themeColor="background2" w:themeShade="BF"/>
          <w:bottom w:val="thickThinSmallGap" w:sz="24" w:space="0" w:color="C4BC96" w:themeColor="background2" w:themeShade="BF"/>
          <w:right w:val="thickThinSmallGap" w:sz="24" w:space="0" w:color="C4BC96" w:themeColor="background2" w:themeShade="BF"/>
          <w:insideH w:val="single" w:sz="6" w:space="0" w:color="C4BC96" w:themeColor="background2" w:themeShade="BF"/>
          <w:insideV w:val="single" w:sz="6" w:space="0" w:color="C4BC96" w:themeColor="background2"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1345"/>
        <w:gridCol w:w="1715"/>
        <w:gridCol w:w="6150"/>
      </w:tblGrid>
      <w:tr w:rsidR="001D5890" w:rsidRPr="008A1F40" w14:paraId="1C3FC7BB" w14:textId="77777777" w:rsidTr="007F77D2">
        <w:trPr>
          <w:tblHeader/>
          <w:tblCellSpacing w:w="15" w:type="dxa"/>
        </w:trPr>
        <w:tc>
          <w:tcPr>
            <w:tcW w:w="0" w:type="auto"/>
            <w:shd w:val="clear" w:color="auto" w:fill="FFFFFF"/>
            <w:hideMark/>
          </w:tcPr>
          <w:p w14:paraId="30498AAB" w14:textId="77777777" w:rsidR="00986E35" w:rsidRPr="008A1F40" w:rsidRDefault="00986E35" w:rsidP="007F77D2">
            <w:pPr>
              <w:rPr>
                <w:rFonts w:eastAsia="Times New Roman" w:cs="Times New Roman"/>
                <w:b/>
                <w:bCs/>
                <w:color w:val="000000" w:themeColor="text1"/>
                <w:sz w:val="16"/>
                <w:szCs w:val="16"/>
              </w:rPr>
            </w:pPr>
            <w:r w:rsidRPr="008A1F40">
              <w:rPr>
                <w:rFonts w:eastAsia="Times New Roman" w:cs="Times New Roman"/>
                <w:b/>
                <w:bCs/>
                <w:color w:val="000000" w:themeColor="text1"/>
                <w:sz w:val="16"/>
                <w:szCs w:val="16"/>
              </w:rPr>
              <w:lastRenderedPageBreak/>
              <w:t>Study</w:t>
            </w:r>
          </w:p>
        </w:tc>
        <w:tc>
          <w:tcPr>
            <w:tcW w:w="0" w:type="auto"/>
            <w:shd w:val="clear" w:color="auto" w:fill="FFFFFF"/>
            <w:hideMark/>
          </w:tcPr>
          <w:p w14:paraId="1059A255" w14:textId="77777777" w:rsidR="00986E35" w:rsidRPr="008A1F40" w:rsidRDefault="00986E35" w:rsidP="007F77D2">
            <w:pPr>
              <w:rPr>
                <w:rFonts w:eastAsia="Times New Roman" w:cs="Times New Roman"/>
                <w:b/>
                <w:bCs/>
                <w:color w:val="000000" w:themeColor="text1"/>
                <w:sz w:val="16"/>
                <w:szCs w:val="16"/>
              </w:rPr>
            </w:pPr>
            <w:r w:rsidRPr="008A1F40">
              <w:rPr>
                <w:rFonts w:eastAsia="Times New Roman" w:cs="Times New Roman"/>
                <w:b/>
                <w:bCs/>
                <w:color w:val="000000" w:themeColor="text1"/>
                <w:sz w:val="16"/>
                <w:szCs w:val="16"/>
              </w:rPr>
              <w:t>Sample Size/Demographics</w:t>
            </w:r>
          </w:p>
        </w:tc>
        <w:tc>
          <w:tcPr>
            <w:tcW w:w="0" w:type="auto"/>
            <w:shd w:val="clear" w:color="auto" w:fill="FFFFFF"/>
            <w:hideMark/>
          </w:tcPr>
          <w:p w14:paraId="59B5530C" w14:textId="77777777" w:rsidR="00986E35" w:rsidRPr="008A1F40" w:rsidRDefault="00986E35" w:rsidP="007F77D2">
            <w:pPr>
              <w:rPr>
                <w:rFonts w:eastAsia="Times New Roman" w:cs="Times New Roman"/>
                <w:b/>
                <w:bCs/>
                <w:color w:val="000000" w:themeColor="text1"/>
                <w:sz w:val="16"/>
                <w:szCs w:val="16"/>
              </w:rPr>
            </w:pPr>
            <w:r w:rsidRPr="008A1F40">
              <w:rPr>
                <w:rFonts w:eastAsia="Times New Roman" w:cs="Times New Roman"/>
                <w:b/>
                <w:bCs/>
                <w:color w:val="000000" w:themeColor="text1"/>
                <w:sz w:val="16"/>
                <w:szCs w:val="16"/>
              </w:rPr>
              <w:t>Findings</w:t>
            </w:r>
          </w:p>
        </w:tc>
      </w:tr>
      <w:tr w:rsidR="001D5890" w:rsidRPr="008A1F40" w14:paraId="6B5BB706" w14:textId="77777777" w:rsidTr="007F77D2">
        <w:trPr>
          <w:tblCellSpacing w:w="15" w:type="dxa"/>
        </w:trPr>
        <w:tc>
          <w:tcPr>
            <w:tcW w:w="0" w:type="auto"/>
            <w:shd w:val="clear" w:color="auto" w:fill="FFFFFF"/>
            <w:hideMark/>
          </w:tcPr>
          <w:p w14:paraId="55DE18A4" w14:textId="588218D5"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Rozenman et al (2015)</w:t>
            </w:r>
            <w:r w:rsidR="00996674">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YmUzZDA2YjQtMjcwYi00NzZhLTk4ZWYtMjg4NGMxMzM0YWIwIiwicHJvcGVydGllcyI6eyJub3RlSW5kZXgiOjB9LCJpc0VkaXRlZCI6ZmFsc2UsIm1hbnVhbE92ZXJyaWRlIjp7ImlzTWFudWFsbHlPdmVycmlkZGVuIjpmYWxzZSwiY2l0ZXByb2NUZXh0IjoiKDE0KSIsIm1hbnVhbE92ZXJyaWRlVGV4dCI6IiJ9LCJjaXRhdGlvbkl0ZW1zIjpbeyJpZCI6IjUzNjI3MWUxLTIxYjAtM2U3MC1iNDdlLWQzMWNjNGZjY2ExNSIsIml0ZW1EYXRhIjp7InR5cGUiOiJhcnRpY2xlLWpvdXJuYWwiLCJpZCI6IjUzNjI3MWUxLTIxYjAtM2U3MC1iNDdlLWQzMWNjNGZjY2ExNSIsInRpdGxlIjoiUmVsYXRpb25zaGlwcyBiZXR3ZWVuIFByZW1vbml0b3J5IFVyZ2UgYW5kIEFueGlldHkgaW4gWW91dGggd2l0aCBDaHJvbmljIFRpYyBEaXNvcmRlcnMiLCJncm91cElkIjoiMDdkNjJhYzEtNWFhOC0zOWFmLWI0OWUtNTJkMjA4OGFjNTcxIiwiYXV0aG9yIjpbeyJmYW1pbHkiOiJSb3plbm1hbiIsImdpdmVuIjoiTSIsInBhcnNlLW5hbWVzIjpmYWxzZSwiZHJvcHBpbmctcGFydGljbGUiOiIiLCJub24tZHJvcHBpbmctcGFydGljbGUiOiIifSx7ImZhbWlseSI6IkpvaG5zb24iLCJnaXZlbiI6Ik8gRSIsInBhcnNlLW5hbWVzIjpmYWxzZSwiZHJvcHBpbmctcGFydGljbGUiOiIiLCJub24tZHJvcHBpbmctcGFydGljbGUiOiIifSx7ImZhbWlseSI6IkNoYW5nIiwiZ2l2ZW4iOiJTIFciLCJwYXJzZS1uYW1lcyI6ZmFsc2UsImRyb3BwaW5nLXBhcnRpY2xlIjoiIiwibm9uLWRyb3BwaW5nLXBhcnRpY2xlIjoiIn0seyJmYW1pbHkiOiJXb29kcyIsImdpdmVuIjoiRCBXIiwicGFyc2UtbmFtZXMiOmZhbHNlLCJkcm9wcGluZy1wYXJ0aWNsZSI6IiIsIm5vbi1kcm9wcGluZy1wYXJ0aWNsZSI6IiJ9LHsiZmFtaWx5IjoiV2Fsa3VwIiwiZ2l2ZW4iOiJKIFQiLCJwYXJzZS1uYW1lcyI6ZmFsc2UsImRyb3BwaW5nLXBhcnRpY2xlIjoiIiwibm9uLWRyb3BwaW5nLXBhcnRpY2xlIjoiIn0seyJmYW1pbHkiOiJXaWxoZWxtIiwiZ2l2ZW4iOiJTIiwicGFyc2UtbmFtZXMiOmZhbHNlLCJkcm9wcGluZy1wYXJ0aWNsZSI6IiIsIm5vbi1kcm9wcGluZy1wYXJ0aWNsZSI6IiJ9LHsiZmFtaWx5IjoiUGV0ZXJzb24iLCJnaXZlbiI6IkEiLCJwYXJzZS1uYW1lcyI6ZmFsc2UsImRyb3BwaW5nLXBhcnRpY2xlIjoiIiwibm9uLWRyb3BwaW5nLXBhcnRpY2xlIjoiIn0seyJmYW1pbHkiOiJTY2FoaWxsIiwiZ2l2ZW4iOiJMIiwicGFyc2UtbmFtZXMiOmZhbHNlLCJkcm9wcGluZy1wYXJ0aWNsZSI6IiIsIm5vbi1kcm9wcGluZy1wYXJ0aWNsZSI6IiJ9LHsiZmFtaWx5IjoiUGlhY2VudGluaSIsImdpdmVuIjoiSiIsInBhcnNlLW5hbWVzIjpmYWxzZSwiZHJvcHBpbmctcGFydGljbGUiOiIiLCJub24tZHJvcHBpbmctcGFydGljbGUiOiIifV0sImNvbnRhaW5lci10aXRsZSI6IkNoaWxkIEhlYWx0aCBDYXJlIiwiRE9JIjoiMTAuMTA4MC8wMjczOTYxNS4yMDE0Ljk4NjMyOCIsIlBNSUQiOiIyNzExMDA1MCIsImlzc3VlZCI6eyJkYXRlLXBhcnRzIjpbWzIwMTVdXX0sInBhZ2UiOiIyMzUtMjQ4IiwiYWJzdHJhY3QiOiJUb3VyZXR0ZSdzIERpc29yZGVyIGFuZCBvdGhlciBjaHJvbmljIHRpYyBkaXNvcmRlcnMgYXJlIGNvbW1vbiBuZXVyb2RldmVsb3BtZW50YWwgY29uZGl0aW9ucy4gT25lIGNoYXJhY3RlcmlzdGljIG9mIHRpYyBkaXNvcmRlcnMgaXMgdGhlIHByZW1vbml0b3J5IHVyZ2UsIGFuIGF2ZXJzaXZlIG9yIHVucGxlYXNhbnQgc2Vuc29yeSBwaGVub21lbm9uIHRoYXQgbWF5IHByZWNlZGUgdGljcy4gSW5pdGlhbCBleGFtaW5hdGlvbiBvZiBwcmVtb25pdG9yeSB1cmdlIGluIHBlZGlhdHJpYyB0aWMgZGlzb3JkZXJzIHN1Z2dlc3RzIHRoYXQgYXdhcmVuZXNzIGFuZCBleHBlcmllbmNlIG9mIHNlbnNhdGlvbnMgcHJlY2VkaW5nIHRpY3MgbWF5IGJlIHJlbGF0ZWQgdG8gYW54aWV0eSBhbmQgT0NELiBIb3dldmVyLCBpdCBtYXkgYmUgcG9zc2libGUgdGhhdCBzcGVjaWZpYyBhbnhpZXR5LXJlbGF0ZWQgc3ltcHRvbXMsIHN1Y2ggYXMgYW54aW91cyBwaHlzaW9sb2dpYyBhcm91c2FsLCBhcmUgcGFydGljdWxhcmx5IHJlbGV2YW50IHRvIHRoZSBleHBlcmllbmNlIG9mIHByZW1vbml0b3J5IHVyZ2UuIFRoZSBjdXJyZW50IHN0dWR5IGV4YW1pbmVzIHJlbGF0aW9uc2hpcHMgYmV0d2VlbiB0aWMtcmVsYXRlZCBwcmVtb25pdG9yeSB1cmdlIGFuZCBhbnhpZXR5LXJlbGF0ZWQgc3ltcHRvbSBjbHVzdGVycyBpbiB0cmVhdG1lbnQtc2Vla2luZyB5b3V0aHMgd2l0aCBhIHByaW1hcnkgZGlhZ25vc2VzIG9mIFRvdXJldHRlJ3Mgb3Igb3RoZXIgY2hyb25pYyB0aWMgZGlzb3JkZXIuIFRoZSBzYW1wbGUgY29uc2lzdGVkIG9mIDEyNCB5b3V0aCwgYWdlcyA5IHRvIDE3LCB3aG8gcGFydGljaXBhdGVkIGluIHRoZSBtdWx0aS1zaXRlIENvbXByZWhlbnNpdmUgQmVoYXZpb3JhbCBJbnRlcnZlbnRpb24gZm9yIFRpY3MgcmFuZG9taXplZCBjb250cm9sbGVkIHRyaWFsIChDQklUOyBQaWFjZW50aW5pIGV0IGFsLiwgMjAxMCkuIFNwZWNpZmljIGFueGlldHktcmVsYXRlZCBzdWJ0eXBlcywgaW5jbHVkaW5nIGdlbmVyYWxpemVkIHdvcnJ5LCBzZXBhcmF0aW9uLCBzb2NpYWwsIGFuZCBwYW5pYy9zb21hdGljIHN5bXB0b21zLCBhcyB3ZWxsIGFzIHNldmVyaXR5IG9mIG9ic2Vzc2lvbnMgYW5kIGNvbXB1bHNpb25zLCB3ZXJlIGFzc2Vzc2VkIGFzIHBvdGVudGlhbCBjb3JyZWxhdGVzIG9mIHByZW1vbml0b3J5IHVyZ2UuIEZpbmRpbmdzIGluZGljYXRlZCB0aGF0IGFnZSwgZ2xvYmFsIHRpYy1yZWxhdGVkIGltcGFpcm1lbnQsIGFuZCBzcGVjaWZpYyBwYW5pYy9zb21hdGljIHN5bXB0b21zIGFjY291bnRlZCBmb3IgYSBzdWJzdGFudGlhbCBwcm9wb3J0aW9uIG9mIHZhcmlhbmNlIGluIHlvdXRoIHJlcG9ydCBvZiBwcmVtb25pdG9yeSB1cmdlLiBUaGVzZSBmaW5kaW5ncyBwcm92aWRlIGluZm9ybWF0aW9uIGFib3V0IHRoZSBjaGFyYWN0ZXJpc3RpY3Mgb2YgcHJlbW9uaXRvcnkgdXJnZSBpbiBwZWRpYXRyaWMgdGljIGRpc29yZGVycywgYW5kIGhhdmUgaW1wbGljYXRpb25zIGZvciB0aGUgdHJlYXRtZW50IG9mIHBlZGlhdHJpYyB0aWMgc3luZHJvbWVzLiIsImlzc3VlIjoiMyIsInZvbHVtZSI6IjQ0IiwiY29udGFpbmVyLXRpdGxlLXNob3J0IjoiIn0sImlzVGVtcG9yYXJ5IjpmYWxzZX1dfQ=="/>
                <w:id w:val="-786126418"/>
                <w:placeholder>
                  <w:docPart w:val="DefaultPlaceholder_-1854013440"/>
                </w:placeholder>
              </w:sdtPr>
              <w:sdtContent>
                <w:r w:rsidR="00F04E9F" w:rsidRPr="00F04E9F">
                  <w:rPr>
                    <w:rFonts w:eastAsia="Times New Roman" w:cs="Times New Roman"/>
                    <w:color w:val="000000"/>
                    <w:sz w:val="16"/>
                    <w:szCs w:val="16"/>
                  </w:rPr>
                  <w:t>(14)</w:t>
                </w:r>
              </w:sdtContent>
            </w:sdt>
          </w:p>
        </w:tc>
        <w:tc>
          <w:tcPr>
            <w:tcW w:w="0" w:type="auto"/>
            <w:shd w:val="clear" w:color="auto" w:fill="FFFFFF"/>
            <w:hideMark/>
          </w:tcPr>
          <w:p w14:paraId="44641EE6"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124 children and adolescents with CTDs</w:t>
            </w:r>
          </w:p>
        </w:tc>
        <w:tc>
          <w:tcPr>
            <w:tcW w:w="0" w:type="auto"/>
            <w:shd w:val="clear" w:color="auto" w:fill="FFFFFF"/>
            <w:hideMark/>
          </w:tcPr>
          <w:p w14:paraId="500236CB" w14:textId="77777777"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rPr>
              <w:t>No significant group difference in PUTS scores between those with and without a comorbid anxiety disorder (statistical values not reported in publication)</w:t>
            </w:r>
          </w:p>
          <w:p w14:paraId="7FFCF065" w14:textId="1E2F4C0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Participants with elevated anxiety symptoms (SCARED-C ≥ 22 and/or CY-BOCS ≥ 14) had significantly higher PUTS scores (t = -3.54, p = 0.001) than those without </w:t>
            </w:r>
            <w:r w:rsidR="006B32D3">
              <w:rPr>
                <w:rFonts w:eastAsia="Times New Roman" w:cs="Times New Roman"/>
                <w:color w:val="000000" w:themeColor="text1"/>
                <w:sz w:val="16"/>
                <w:szCs w:val="16"/>
              </w:rPr>
              <w:t xml:space="preserve">elevated anxiety </w:t>
            </w:r>
            <w:r w:rsidRPr="008A1F40">
              <w:rPr>
                <w:rFonts w:eastAsia="Times New Roman" w:cs="Times New Roman"/>
                <w:color w:val="000000" w:themeColor="text1"/>
                <w:sz w:val="16"/>
                <w:szCs w:val="16"/>
              </w:rPr>
              <w:t xml:space="preserve">symptoms. </w:t>
            </w:r>
          </w:p>
          <w:p w14:paraId="259F4D0D"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SCARED-C panic/somatic subscale score was a significant predictor of PUTS scores (β = 0.37, p &lt; 0.01) in a stepwise multiple linear regression with age and YGTSS impairment as covariates.</w:t>
            </w:r>
          </w:p>
        </w:tc>
      </w:tr>
      <w:tr w:rsidR="001D5890" w:rsidRPr="008A1F40" w14:paraId="26DA53AD" w14:textId="77777777" w:rsidTr="007F77D2">
        <w:trPr>
          <w:tblCellSpacing w:w="15" w:type="dxa"/>
        </w:trPr>
        <w:tc>
          <w:tcPr>
            <w:tcW w:w="0" w:type="auto"/>
            <w:shd w:val="clear" w:color="auto" w:fill="FFFFFF"/>
            <w:hideMark/>
          </w:tcPr>
          <w:p w14:paraId="38895013" w14:textId="20B2468E"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McGuire et al (2016)</w:t>
            </w:r>
            <w:r w:rsidR="00996674">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NTU0NjUzYmEtM2Y1YS00YTUzLWFhZTYtY2ZiYTVjODQ1Zjg5IiwicHJvcGVydGllcyI6eyJub3RlSW5kZXgiOjB9LCJpc0VkaXRlZCI6ZmFsc2UsIm1hbnVhbE92ZXJyaWRlIjp7ImlzTWFudWFsbHlPdmVycmlkZGVuIjpmYWxzZSwiY2l0ZXByb2NUZXh0IjoiKDQzKSIsIm1hbnVhbE92ZXJyaWRlVGV4dCI6IiJ9LCJjaXRhdGlvbkl0ZW1zIjpbeyJpZCI6ImIxOGVhNzQxLWVlZjYtMzg5ZC05MDIwLTExMzNhOTlhMzgyNCIsIml0ZW1EYXRhIjp7InR5cGUiOiJhcnRpY2xlLWpvdXJuYWwiLCJpZCI6ImIxOGVhNzQxLWVlZjYtMzg5ZC05MDIwLTExMzNhOTlhMzgyNCIsInRpdGxlIjoiVGhlIHByZW1vbml0b3J5IHVyZ2UgcmV2aXNpdGVkOiBBbiBpbmRpdmlkdWFsaXplZCBwcmVtb25pdG9yeSB1cmdlIGZvciB0aWNzIHNjYWxlIiwiZ3JvdXBJZCI6IjA3ZDYyYWMxLTVhYTgtMzlhZi1iNDllLTUyZDIwODhhYzU3MSIsImF1dGhvciI6W3siZmFtaWx5IjoiTWNHdWlyZSIsImdpdmVuIjoiSiBGIiwicGFyc2UtbmFtZXMiOmZhbHNlLCJkcm9wcGluZy1wYXJ0aWNsZSI6IiIsIm5vbi1kcm9wcGluZy1wYXJ0aWNsZSI6IiJ9LHsiZmFtaWx5IjoiTWNCcmlkZSIsImdpdmVuIjoiTiIsInBhcnNlLW5hbWVzIjpmYWxzZSwiZHJvcHBpbmctcGFydGljbGUiOiIiLCJub24tZHJvcHBpbmctcGFydGljbGUiOiIifSx7ImZhbWlseSI6IlBpYWNlbnRpbmkiLCJnaXZlbiI6IkoiLCJwYXJzZS1uYW1lcyI6ZmFsc2UsImRyb3BwaW5nLXBhcnRpY2xlIjoiIiwibm9uLWRyb3BwaW5nLXBhcnRpY2xlIjoiIn0seyJmYW1pbHkiOiJKb2huY28iLCJnaXZlbiI6IkMiLCJwYXJzZS1uYW1lcyI6ZmFsc2UsImRyb3BwaW5nLXBhcnRpY2xlIjoiIiwibm9uLWRyb3BwaW5nLXBhcnRpY2xlIjoiIn0seyJmYW1pbHkiOiJMZXdpbiIsImdpdmVuIjoiQSBCIiwicGFyc2UtbmFtZXMiOmZhbHNlLCJkcm9wcGluZy1wYXJ0aWNsZSI6IiIsIm5vbi1kcm9wcGluZy1wYXJ0aWNsZSI6IiJ9LHsiZmFtaWx5IjoiTXVycGh5IiwiZ2l2ZW4iOiJUIEsiLCJwYXJzZS1uYW1lcyI6ZmFsc2UsImRyb3BwaW5nLXBhcnRpY2xlIjoiIiwibm9uLWRyb3BwaW5nLXBhcnRpY2xlIjoiIn0seyJmYW1pbHkiOiJTdG9yY2giLCJnaXZlbiI6IkUgQSIsInBhcnNlLW5hbWVzIjpmYWxzZSwiZHJvcHBpbmctcGFydGljbGUiOiIiLCJub24tZHJvcHBpbmctcGFydGljbGUiOiIifV0sImNvbnRhaW5lci10aXRsZSI6IkogUHN5Y2hpYXRyIFJlcyIsIkRPSSI6IjEwLjEwMTYvai5qcHN5Y2hpcmVzLjIwMTYuMDkuMDA3IiwiUE1JRCI6IjI3NjQzNDc2IiwiaXNzdWVkIjp7ImRhdGUtcGFydHMiOltbMjAxNl1dfSwicGFnZSI6IjE3Ni0xODMiLCJhYnN0cmFjdCI6IkJBQ0tHUk9VTkQ6IFByZW1vbml0b3J5IHVyZ2UgcmF0aW5ncyBoYXZlIGFkdmFuY2VkIG91ciB1bmRlcnN0YW5kaW5nIG9mIHVyZ2UgcGhlbm9tZW5vbG9neSBhbW9uZyBpbmRpdmlkdWFscyB3aXRoIHRpYyBkaXNvcmRlcnMgKFREKS4gSG93ZXZlciwgdGhlc2UgcmF0aW5ncyBoYXZlIGJlZW4gbGltaXRlZCBieSB0aGVpciByZWxpYW5jZSBvbiBhIHNpbmdsZSBnbG9iYWwgZGltZW5zaW9uIG9mIHVyZ2Ugc2V2ZXJpdHkuIFRoaXMgc3R1ZHkgZXhhbWluZWQgdGhlIHBzeWNob21ldHJpYyBwcm9wZXJ0aWVzIG9mIGEgbm92ZWwgc2NhbGUgY2FsbGVkIHRoZSBJbmRpdmlkdWFsaXplZCBQcmVtb25pdG9yeSBVcmdlIGZvciBUaWNzIFNjYWxlIChJLVBVVFMpIHRoYXQgYXNzZXNzZXMgdXJnZSBzZXZlcml0eSBhY3Jvc3MgbXVsdGlwbGUgZGltZW5zaW9ucyAobnVtYmVyLCBmcmVxdWVuY3ksIGFuZCBpbnRlbnNpdHkpLiBNRVRIT0Q6IFNldmVudHktZml2ZSB5b3V0aCB3aXRoIGEgVEQgYW5kIHRoZWlyIHBhcmVudHMgcGFydGljaXBhdGVkLiBDbGluaWNpYW5zIGFzc2Vzc2VkIHlvdXRoJ3MgdGljIHNldmVyaXR5LCBkZXByZXNzaW9uIHNldmVyaXR5LCByYWdlcywgYW5kIHByZW1vbml0b3J5IHVyZ2VzLiBQYXJlbnRzIGNvbXBsZXRlZCByYXRpbmdzIG9mIHlvdXRoJ3MgYW54aWV0eSwgYWZmZWN0IGxhYmlsaXR5LCBhbmQgZ2VuZXJhbCBwc3ljaG9wYXRob2xvZ3kuIFlvdXRoIGNvbXBsZXRlZCBzZWxmLXJlcG9ydCByYXRpbmdzIG9mIGFueGlldHksIHVyZ2Ugc2V2ZXJpdHksIGFuZCBkaXN0cmVzcyB0b2xlcmFuY2UuIFJFU1VMVFM6IFRoZSBJLVBVVFMgaWRlbnRpZmllZCB0aGF0IHlvdXRoIGV4cGVyaWVuY2VkIGFuIGF2ZXJhZ2Ugb2YgdGhyZWUgZGlzdGluY3QgdXJnZXMsIGJ1dCBoYWQgYW4gYXZlcmFnZSBvZiBzZXZlbiB0aWNzIG92ZXIgdGhlIHBhc3Qgd2Vlay4gVXJnZXMgd2VyZSBwcmltYXJpbHkgbG9jYWxpemVkIGluIHRoZSBoZWFkL2ZhY2UsIG5lY2svdGhyb2F0LCBhbmQgYXJtIHJlZ2lvbnMuIEFsbCBJLVBVVFMgZGltZW5zaW9ucyBleGhpYml0ZWQgZXhjZWxsZW50IGludGVyLXJhdGVyIHJlbGlhYmlsaXR5LiBUaGUgSS1QVVRTIGRpbWVuc2lvbnMgZXhoaWJpdGVkIGdvb2QgY29udmVyZ2VudCB2YWxpZGl0eSB3aXRoIGdsb2JhbCB1cmdlIHJhdGluZ3MgYW5kIHRpYyBzZXZlcml0eSwgYW5kIGFwcHJvcHJpYXRlIGRpdmVyZ2VudCB2YWxpZGl0eSBmcm9tIG90aGVyIGNsaW5pY2FsIGNvbnN0cnVjdHMuIFlvdXRoIHdobyBleGhpYml0ZWQgZGlzY3JlcGFudCByZXBvcnRzIGJldHdlZW4gY2xpbmljaWFuLWFkbWluaXN0ZXJlZCBhbmQgc2VsZi1yZXBvcnQgdXJnZSByYXRpbmdzIGhhZCBsZXNzIGFueGlldHkgYW5kIHRpYyBzZXZlcml0eSwgYW5kIGdyZWF0ZXIgaW5hdHRlbnRpb24gYW5kIGV4dGVybmFsaXppbmcgcHJvYmxlbXMgY29tcGFyZWQgdG8geW91dGggd2hvIGV4aGliaXRlZCBnb29kIGFncmVlbWVudC4gQ09OQ0xVU0lPTlM6IFRoZSBJLVBVVFMgaXMgYSByZWxpYWJsZSBhbmQgdmFsaWQgYXNzZXNzbWVudCBvZiB1cmdlIHBoZW5vbWVuYSwgd2hpY2ggcHJvdmlkZXMgYWRkaXRpb25hbCBhbmQgY29tcGxlbWVudGFyeSBpbmZvcm1hdGlvbiB0byBleGlzdGluZyB1cmdlIHNjYWxlcy4gSXQgaGlnaGxpZ2h0cyB0aGUgZXhpc3RlbmNlIG9mIG11bHRpcGxlIGRpbWVuc2lvbnMgb2YgdXJnZSBzZXZlcml0eSwgYW5kIHByZXNlbnRzIHBhcnRpY3VsYXIgdXRpbGl0eSB3aGVuIGFzc2Vzc2luZyB1cmdlcyBpbiB5b3V0aCB3aXRoIFREIHdobyBoYXZlIGluYXR0ZW50aW9uIGFuZCBleHRlcm5hbGl6aW5nIHByb2JsZW1zLiIsInZvbHVtZSI6IjgzIiwiY29udGFpbmVyLXRpdGxlLXNob3J0IjoiIn0sImlzVGVtcG9yYXJ5IjpmYWxzZX1dfQ=="/>
                <w:id w:val="-294295654"/>
                <w:placeholder>
                  <w:docPart w:val="DefaultPlaceholder_-1854013440"/>
                </w:placeholder>
              </w:sdtPr>
              <w:sdtContent>
                <w:r w:rsidR="00F04E9F" w:rsidRPr="00F04E9F">
                  <w:rPr>
                    <w:rFonts w:eastAsia="Times New Roman" w:cs="Times New Roman"/>
                    <w:color w:val="000000"/>
                    <w:sz w:val="16"/>
                    <w:szCs w:val="16"/>
                  </w:rPr>
                  <w:t>(43)</w:t>
                </w:r>
              </w:sdtContent>
            </w:sdt>
          </w:p>
        </w:tc>
        <w:tc>
          <w:tcPr>
            <w:tcW w:w="0" w:type="auto"/>
            <w:shd w:val="clear" w:color="auto" w:fill="FFFFFF"/>
            <w:hideMark/>
          </w:tcPr>
          <w:p w14:paraId="06D1BC27"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75 children with any tic disorder</w:t>
            </w:r>
          </w:p>
        </w:tc>
        <w:tc>
          <w:tcPr>
            <w:tcW w:w="0" w:type="auto"/>
            <w:shd w:val="clear" w:color="auto" w:fill="FFFFFF"/>
            <w:hideMark/>
          </w:tcPr>
          <w:p w14:paraId="372BD014" w14:textId="5CA50811"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Significant correlation between PUTS scores and SCARED-C (Spearman’s r = 0.48, p &lt; 0.001) and SCARED-P</w:t>
            </w:r>
            <w:r w:rsidR="00992CD5">
              <w:rPr>
                <w:rFonts w:eastAsia="Times New Roman" w:cs="Times New Roman"/>
                <w:color w:val="000000" w:themeColor="text1"/>
                <w:sz w:val="16"/>
                <w:szCs w:val="16"/>
              </w:rPr>
              <w:t xml:space="preserve"> scores</w:t>
            </w:r>
            <w:r w:rsidRPr="008A1F40">
              <w:rPr>
                <w:rFonts w:eastAsia="Times New Roman" w:cs="Times New Roman"/>
                <w:color w:val="000000" w:themeColor="text1"/>
                <w:sz w:val="16"/>
                <w:szCs w:val="16"/>
              </w:rPr>
              <w:t xml:space="preserve"> (Spearman’s r = 0.26, p &lt; 0.05).</w:t>
            </w:r>
          </w:p>
        </w:tc>
      </w:tr>
      <w:tr w:rsidR="001D5890" w:rsidRPr="008A1F40" w14:paraId="23DA57D6" w14:textId="77777777" w:rsidTr="007F77D2">
        <w:trPr>
          <w:tblCellSpacing w:w="15" w:type="dxa"/>
        </w:trPr>
        <w:tc>
          <w:tcPr>
            <w:tcW w:w="0" w:type="auto"/>
            <w:shd w:val="clear" w:color="auto" w:fill="FFFFFF"/>
            <w:hideMark/>
          </w:tcPr>
          <w:p w14:paraId="20C8E778" w14:textId="6F630A59"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Eddy and Cavanna (2014)</w:t>
            </w:r>
            <w:r w:rsidR="00996674">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YTA4YTE4ZmQtYmUzNS00M2FiLWFlNWYtOTg0ZjIzY2RjMzdmIiwicHJvcGVydGllcyI6eyJub3RlSW5kZXgiOjB9LCJpc0VkaXRlZCI6ZmFsc2UsIm1hbnVhbE92ZXJyaWRlIjp7ImlzTWFudWFsbHlPdmVycmlkZGVuIjpmYWxzZSwiY2l0ZXByb2NUZXh0IjoiKDI2KSIsIm1hbnVhbE92ZXJyaWRlVGV4dCI6IiJ9LCJjaXRhdGlvbkl0ZW1zIjpbeyJpZCI6ImJiM2Q3NWY1LTU0MTctMzhmZC04NDIxLTZlYmEzZjE5MzVmYSIsIml0ZW1EYXRhIjp7InR5cGUiOiJhcnRpY2xlLWpvdXJuYWwiLCJpZCI6ImJiM2Q3NWY1LTU0MTctMzhmZC04NDIxLTZlYmEzZjE5MzVmYSIsInRpdGxlIjoiUHJlbW9uaXRvcnkgVXJnZXMgaW4gQWR1bHRzIFdpdGggQ29tcGxpY2F0ZWQgYW5kIFVuY29tcGxpY2F0ZWQgVG91cmV0dGUgU3luZHJvbWUiLCJncm91cElkIjoiMDdkNjJhYzEtNWFhOC0zOWFmLWI0OWUtNTJkMjA4OGFjNTcxIiwiYXV0aG9yIjpbeyJmYW1pbHkiOiJFZGR5IiwiZ2l2ZW4iOiJDIE0iLCJwYXJzZS1uYW1lcyI6ZmFsc2UsImRyb3BwaW5nLXBhcnRpY2xlIjoiIiwibm9uLWRyb3BwaW5nLXBhcnRpY2xlIjoiIn0seyJmYW1pbHkiOiJDYXZhbm5hIiwiZ2l2ZW4iOiJBIEUiLCJwYXJzZS1uYW1lcyI6ZmFsc2UsImRyb3BwaW5nLXBhcnRpY2xlIjoiIiwibm9uLWRyb3BwaW5nLXBhcnRpY2xlIjoiIn1dLCJjb250YWluZXItdGl0bGUiOiJCZWhhdmlvciBtb2RpZmljYXRpb24iLCJET0kiOiJodHRwczovL2R4LmRvaS5vcmcvMTAuMTE3Ny8wMTQ1NDQ1NTEzNTA0NDMyIiwiVVJMIjoiaHR0cDovL292aWRzcC5vdmlkLmNvbS9vdmlkd2ViLmNnaT9UPUpTJlBBR0U9cmVmZXJlbmNlJkQ9ZW1lZDE1Jk5FV1M9TiZBTj02MTE0MjU3MjIiLCJpc3N1ZWQiOnsiZGF0ZS1wYXJ0cyI6W1syMDE0XV19LCJwYWdlIjoiMjY0LTI3NSIsImFic3RyYWN0IjoiTW9zdCBwYXRpZW50cyB3aXRoIFRvdXJldHRlIHN5bmRyb21lIChUUykgcmVwb3J0IGV4cGVyaWVuY2luZyBzdWJqZWN0aXZlIGJvZGlseSBzZW5zYXRpb25zIHRlcm1lZCBwcmVtb25pdG9yeSB1cmdlcywgYmVmb3JlIHRoZXkgaGF2ZSBhIHRpYy4gVGhpcyBzdHVkeSBpbnZlc3RpZ2F0ZWQgcmVsYXRpb25zaGlwcyBiZXR3ZWVuIHByZW1vbml0b3J5IHVyZ2VzIGFuZCB0aWMgc2V2ZXJpdHksIGRlcHJlc3Npb24sIGFueGlldHksIG9ic2Vzc2lvbnMsIGNvbXB1bHNpb25zLCBhbmQgYXR0ZW50aW9uIHByb2JsZW1zLiBXZSBhbHNvIGV4cGxvcmVkIHBvc3NpYmxlIGRpZmZlcmVuY2VzIGJldHdlZW4gcGF0aWVudHMgd2l0aCBhbmQgd2l0aG91dCBjb21vcmJpZCBjb25kaXRpb25zLiBGaW5hbGx5LCB3ZSBleHBsb3JlZCB3aGV0aGVyIHByZW1vbml0b3J5IHVyZ2VzIGltcGFjdGVkIG9uIHBlcmNlaXZlZCBxdWFsaXR5IG9mIGxpZmUgKFFvTCkuIE9uZSBodW5kcmVkIGFkdWx0IG91dHBhdGllbnRzICg3MCBtYWxlczsgbWVhbiBhZ2UgMzIgeWVhcnMpIHdlcmUgcmVjcnVpdGVkIGZyb20gYSBzcGVjaWFsaXN0IFRTIGNsaW5pYy4gRmlmdHkgcGVyY2VudCBleGhpYml0ZWQgY29tb3JiaWQgZGlhZ25vc2VzLCB0aGUgbW9zdCBjb21tb24gb2Ygd2hpY2ggd2VyZSBvYnNlc3NpdmUtY29tcHVsc2l2ZSBkaXNvcmRlciAoMjMlKSwgYXR0ZW50aW9uLWRlZmljaXQgaHlwZXJhY3Rpdml0eSBkaXNvcmRlciAoMTUlKSwgYW54aWV0eSAoNiUpLCBhbmQgZGVwcmVzc2lvbiAoNSUpLiBGb3IgdGhlIGVudGlyZSBzYW1wbGUsIHByZW1vbml0b3J5IHVyZ2VzIHdlcmUgc2lnbmlmaWNhbnRseSByZWxhdGVkIHRvIGNsaW5pY2FsIHN5bXB0b21zLCBlc3BlY2lhbGx5IG9ic2Vzc2l2ZS1jb21wdWxzaXZlIHN5bXB0b21zIGFuZCBhbnhpZXR5LCBhbmQgd2VyZSBzaWduaWZpY2FudGx5IG5lZ2F0aXZlbHkgcmVsYXRlZCB0byBRb0wgc2NvcmVzLiBQcmVtb25pdG9yeSB1cmdlcyBoYWQgYSBzdHJvbmcgbmVnYXRpdmUgY29ycmVsYXRpb24gd2l0aCBRb0wgaW4gcGF0aWVudHMgd2l0aCBcInB1cmVcIiBUUyAobm8gY29tb3JiaWRpdGllcyksIHdoaWxlIHRoaXMgcmVsYXRpb25zaGlwIHdhcyB3ZWFrZXIgZm9yIHBhdGllbnRzIHdpdGggY29tb3JiaWQgY29uZGl0aW9ucywgd2hvIHJlcG9ydGVkIHN0cm9uZ2VyIG9yIG1vcmUgZnJlcXVlbnQgcHJlbW9uaXRvcnkgdXJnZXMgaW4gYXNzb2NpYXRpb24gd2l0aCBncmVhdGVyIGFueGlldHkuIFRoZXNlIGZpbmRpbmdzIG1heSBpbXBseSB0aGF0IHNsaWdodGx5IGRpZmZlcmVudCBwc3ljaG9sb2dpY2FsIGZhY3RvcnMgZHJpdmUgc2VsZi1yZXBvcnRlZCBwcmVtb25pdG9yeSB1cmdlIHJhdGluZ3MgaW4gcGF0aWVudHMgd2l0aCBhbmQgd2l0aG91dCBjb21vcmJpZGl0aWVzIGFuZCB0aGF0IHRoZSBwZXJjZWl2ZWQgaW5mbHVlbmNlIG9mIGRpc3RyZXNzaW5nIHByZW1vbml0b3J5IHVyZ2VzIG9uIHdlbGxiZWluZyBpcyBsZXNzIGltcG9ydGFudCBpbiB0aGUgY29udGV4dCBvZiBjb21vcmJpZCBzeW1wdG9tYXRvbG9neS4gQXMgcHJlbW9uaXRvcnkgdXJnZXMgYXJlIHJlbGF0ZWQgdG8gUW9MLCB0aGV5IHNob3VsZCBiZSB0YWtlbiBpbnRvIGFjY291bnQgZHVyaW5nIGV2YWx1YXRpb24gb2YgdHJlYXRtZW50IGVmZmljYWN5LCBlc3BlY2lhbGx5IGluIGNhc2VzIHdpdGggXCJwdXJlXCIgVFMuIENvcHlyaWdodCDCqSBUaGUgQXV0aG9yKHMpIDIwMTMuIiwiaXNzdWUiOiIyIiwidm9sdW1lIjoiMzgiLCJjb250YWluZXItdGl0bGUtc2hvcnQiOiJCZWhhdiBNb2RpZiJ9LCJpc1RlbXBvcmFyeSI6ZmFsc2V9XX0="/>
                <w:id w:val="2090261679"/>
                <w:placeholder>
                  <w:docPart w:val="DefaultPlaceholder_-1854013440"/>
                </w:placeholder>
              </w:sdtPr>
              <w:sdtContent>
                <w:r w:rsidR="00F04E9F" w:rsidRPr="00F04E9F">
                  <w:rPr>
                    <w:rFonts w:eastAsia="Times New Roman" w:cs="Times New Roman"/>
                    <w:color w:val="000000"/>
                    <w:sz w:val="16"/>
                    <w:szCs w:val="16"/>
                  </w:rPr>
                  <w:t>(26)</w:t>
                </w:r>
              </w:sdtContent>
            </w:sdt>
          </w:p>
        </w:tc>
        <w:tc>
          <w:tcPr>
            <w:tcW w:w="0" w:type="auto"/>
            <w:shd w:val="clear" w:color="auto" w:fill="FFFFFF"/>
            <w:hideMark/>
          </w:tcPr>
          <w:p w14:paraId="5664B558"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100 adolescents and adults with CTDs</w:t>
            </w:r>
          </w:p>
        </w:tc>
        <w:tc>
          <w:tcPr>
            <w:tcW w:w="0" w:type="auto"/>
            <w:shd w:val="clear" w:color="auto" w:fill="FFFFFF"/>
            <w:hideMark/>
          </w:tcPr>
          <w:p w14:paraId="708DC722" w14:textId="738B675D"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Significant correlation between PUTS scores and </w:t>
            </w:r>
            <w:r w:rsidR="006F2EC2">
              <w:rPr>
                <w:rFonts w:eastAsia="Times New Roman" w:cs="Times New Roman"/>
                <w:color w:val="000000" w:themeColor="text1"/>
                <w:sz w:val="16"/>
                <w:szCs w:val="16"/>
              </w:rPr>
              <w:t xml:space="preserve">HADS </w:t>
            </w:r>
            <w:r w:rsidRPr="008A1F40">
              <w:rPr>
                <w:rFonts w:eastAsia="Times New Roman" w:cs="Times New Roman"/>
                <w:color w:val="000000" w:themeColor="text1"/>
                <w:sz w:val="16"/>
                <w:szCs w:val="16"/>
              </w:rPr>
              <w:t>anxiety and depression subscale</w:t>
            </w:r>
            <w:r w:rsidR="006F2EC2">
              <w:rPr>
                <w:rFonts w:eastAsia="Times New Roman" w:cs="Times New Roman"/>
                <w:color w:val="000000" w:themeColor="text1"/>
                <w:sz w:val="16"/>
                <w:szCs w:val="16"/>
              </w:rPr>
              <w:t xml:space="preserve"> scores</w:t>
            </w:r>
            <w:r w:rsidRPr="008A1F40">
              <w:rPr>
                <w:rFonts w:eastAsia="Times New Roman" w:cs="Times New Roman"/>
                <w:color w:val="000000" w:themeColor="text1"/>
                <w:sz w:val="16"/>
                <w:szCs w:val="16"/>
              </w:rPr>
              <w:t xml:space="preserve"> (</w:t>
            </w:r>
            <w:r w:rsidRPr="008A1F40">
              <w:rPr>
                <w:rFonts w:cs="Times New Roman"/>
                <w:color w:val="000000" w:themeColor="text1"/>
                <w:sz w:val="16"/>
                <w:szCs w:val="16"/>
              </w:rPr>
              <w:t>Pearson’s r = 0.351, p = 0.001, Pearson’s r = 0.254, p = 0.014 respectively)</w:t>
            </w:r>
            <w:r w:rsidRPr="008A1F40">
              <w:rPr>
                <w:rFonts w:eastAsia="Times New Roman" w:cs="Times New Roman"/>
                <w:color w:val="000000" w:themeColor="text1"/>
                <w:sz w:val="16"/>
                <w:szCs w:val="16"/>
              </w:rPr>
              <w:t xml:space="preserve"> </w:t>
            </w:r>
          </w:p>
          <w:p w14:paraId="0A1D5F36"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Correlation with depression subscale of HADS did not survive correction for multiple comparisons.</w:t>
            </w:r>
          </w:p>
        </w:tc>
      </w:tr>
      <w:tr w:rsidR="001D5890" w:rsidRPr="008A1F40" w14:paraId="500DDB0F" w14:textId="77777777" w:rsidTr="007F77D2">
        <w:trPr>
          <w:tblCellSpacing w:w="15" w:type="dxa"/>
        </w:trPr>
        <w:tc>
          <w:tcPr>
            <w:tcW w:w="0" w:type="auto"/>
            <w:shd w:val="clear" w:color="auto" w:fill="FFFFFF"/>
            <w:hideMark/>
          </w:tcPr>
          <w:p w14:paraId="0A686F95" w14:textId="1B0128C4"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Narapareddy et al (2022)</w:t>
            </w:r>
            <w:r w:rsidR="00996674">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YTJmZmM3ODQtMGE2Yi00ZDRmLTk3MWEtZTU3MjdiMjNjMzczIiwicHJvcGVydGllcyI6eyJub3RlSW5kZXgiOjB9LCJpc0VkaXRlZCI6ZmFsc2UsIm1hbnVhbE92ZXJyaWRlIjp7ImlzTWFudWFsbHlPdmVycmlkZGVuIjpmYWxzZSwiY2l0ZXByb2NUZXh0IjoiKDMyKSIsIm1hbnVhbE92ZXJyaWRlVGV4dCI6IiJ9LCJjaXRhdGlvbkl0ZW1zIjpbeyJpZCI6IjYxMWRmMGE3LTJlN2QtM2JiYy05ZjRhLWNlYzA2MTBlMDQ2NSIsIml0ZW1EYXRhIjp7InR5cGUiOiJhcnRpY2xlLWpvdXJuYWwiLCJpZCI6IjYxMWRmMGE3LTJlN2QtM2JiYy05ZjRhLWNlYzA2MTBlMDQ2NSIsInRpdGxlIjoiQWx0ZXJlZCBJbnRlcm9jZXB0aXZlIFNlbnNpYmlsaXR5IGluIEFkdWx0cyBXaXRoIENocm9uaWMgVGljIERpc29yZGVyIiwiZ3JvdXBJZCI6IjA3ZDYyYWMxLTVhYTgtMzlhZi1iNDllLTUyZDIwODhhYzU3MSIsImF1dGhvciI6W3siZmFtaWx5IjoiTmFyYXBhcmVkZHkiLCJnaXZlbiI6IkEiLCJwYXJzZS1uYW1lcyI6ZmFsc2UsImRyb3BwaW5nLXBhcnRpY2xlIjoiIiwibm9uLWRyb3BwaW5nLXBhcnRpY2xlIjoiIn0seyJmYW1pbHkiOiJFY2tsYW5kIiwiZ2l2ZW4iOiJNIFIiLCJwYXJzZS1uYW1lcyI6ZmFsc2UsImRyb3BwaW5nLXBhcnRpY2xlIjoiIiwibm9uLWRyb3BwaW5nLXBhcnRpY2xlIjoiIn0seyJmYW1pbHkiOiJSaW9yZGFuIiwiZ2l2ZW4iOiJIIFIiLCJwYXJzZS1uYW1lcyI6ZmFsc2UsImRyb3BwaW5nLXBhcnRpY2xlIjoiIiwibm9uLWRyb3BwaW5nLXBhcnRpY2xlIjoiIn0seyJmYW1pbHkiOiJDYXNjaW8iLCJnaXZlbiI6IkMgSiIsInBhcnNlLW5hbWVzIjpmYWxzZSwiZHJvcHBpbmctcGFydGljbGUiOiIiLCJub24tZHJvcHBpbmctcGFydGljbGUiOiIifSx7ImZhbWlseSI6IklzYWFjcyIsImdpdmVuIjoiRCBBIiwicGFyc2UtbmFtZXMiOmZhbHNlLCJkcm9wcGluZy1wYXJ0aWNsZSI6IiIsIm5vbi1kcm9wcGluZy1wYXJ0aWNsZSI6IiJ9XSwiY29udGFpbmVyLXRpdGxlIjoiRnJvbnRpZXJzIGluIFBzeWNoaWF0cnkiLCJET0kiOiIxMC4zMzg5L2Zwc3l0LjIwMjIuOTE0ODk3IiwiVVJMIjoiaHR0cHM6Ly93d3cuc2NvcHVzLmNvbS9pbndhcmQvcmVjb3JkLnVyaT9laWQ9Mi1zMi4wLTg1MTMzNjY0NzU5JmRvaT0xMC4zMzg5JTJmZnBzeXQuMjAyMi45MTQ4OTcmcGFydG5lcklEPTQwJm1kNT1jZThmNDc3MjFjMGE2MDNiNWMzMTg0ZmIyNzdjNDBiNCIsImlzc3VlZCI6eyJkYXRlLXBhcnRzIjpbWzIwMjJdXX0sInBhZ2UiOiItIiwidm9sdW1lIjoiMTMiLCJjb250YWluZXItdGl0bGUtc2hvcnQiOiJGcm9udCBQc3ljaGlhdHJ5In0sImlzVGVtcG9yYXJ5IjpmYWxzZX1dfQ=="/>
                <w:id w:val="15743753"/>
                <w:placeholder>
                  <w:docPart w:val="DefaultPlaceholder_-1854013440"/>
                </w:placeholder>
              </w:sdtPr>
              <w:sdtContent>
                <w:r w:rsidR="00F04E9F" w:rsidRPr="00F04E9F">
                  <w:rPr>
                    <w:rFonts w:eastAsia="Times New Roman" w:cs="Times New Roman"/>
                    <w:color w:val="000000"/>
                    <w:sz w:val="16"/>
                    <w:szCs w:val="16"/>
                  </w:rPr>
                  <w:t>(32)</w:t>
                </w:r>
              </w:sdtContent>
            </w:sdt>
          </w:p>
        </w:tc>
        <w:tc>
          <w:tcPr>
            <w:tcW w:w="0" w:type="auto"/>
            <w:shd w:val="clear" w:color="auto" w:fill="FFFFFF"/>
            <w:hideMark/>
          </w:tcPr>
          <w:p w14:paraId="638D5B80"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48 adults with CTDs</w:t>
            </w:r>
          </w:p>
        </w:tc>
        <w:tc>
          <w:tcPr>
            <w:tcW w:w="0" w:type="auto"/>
            <w:shd w:val="clear" w:color="auto" w:fill="FFFFFF"/>
            <w:hideMark/>
          </w:tcPr>
          <w:p w14:paraId="40FC3C6E" w14:textId="6C24FF4E" w:rsidR="00986E35" w:rsidRPr="008A1F40" w:rsidRDefault="00986E35" w:rsidP="007F77D2">
            <w:pPr>
              <w:rPr>
                <w:rFonts w:cs="Times New Roman"/>
                <w:color w:val="000000" w:themeColor="text1"/>
                <w:sz w:val="16"/>
                <w:szCs w:val="16"/>
              </w:rPr>
            </w:pPr>
            <w:r w:rsidRPr="008A1F40">
              <w:rPr>
                <w:rFonts w:eastAsia="Times New Roman" w:cs="Times New Roman"/>
                <w:color w:val="000000" w:themeColor="text1"/>
                <w:sz w:val="16"/>
                <w:szCs w:val="16"/>
              </w:rPr>
              <w:t xml:space="preserve">Significant correlation between GAD-7 and PUTS scores (Spearman’s r = 0.40, </w:t>
            </w:r>
            <w:r w:rsidRPr="008A1F40">
              <w:rPr>
                <w:rFonts w:cs="Times New Roman"/>
                <w:color w:val="000000" w:themeColor="text1"/>
                <w:sz w:val="16"/>
                <w:szCs w:val="16"/>
              </w:rPr>
              <w:t>p-value not reported but below the significance threshold established by Benjamini et al’s false discovery rate-controlling procedure)</w:t>
            </w:r>
          </w:p>
          <w:p w14:paraId="27A71643" w14:textId="626347C6"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No significant correlation between PHQ-9 and PUTS scores (Spearman’s r = -0.04, </w:t>
            </w:r>
            <w:r w:rsidRPr="008A1F40">
              <w:rPr>
                <w:rFonts w:cs="Times New Roman"/>
                <w:color w:val="000000" w:themeColor="text1"/>
                <w:sz w:val="16"/>
                <w:szCs w:val="16"/>
              </w:rPr>
              <w:t>p-value not reported but above significance threshold established by Benjamini et al’s false discovery rate-controlling procedure)</w:t>
            </w:r>
          </w:p>
        </w:tc>
      </w:tr>
      <w:tr w:rsidR="001D5890" w:rsidRPr="008A1F40" w14:paraId="48BA8C33" w14:textId="77777777" w:rsidTr="007F77D2">
        <w:trPr>
          <w:tblCellSpacing w:w="15" w:type="dxa"/>
        </w:trPr>
        <w:tc>
          <w:tcPr>
            <w:tcW w:w="0" w:type="auto"/>
            <w:shd w:val="clear" w:color="auto" w:fill="FFFFFF"/>
            <w:hideMark/>
          </w:tcPr>
          <w:p w14:paraId="3E99BCAB" w14:textId="1FEE6A72"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Crossley and Cavanna (2013)</w:t>
            </w:r>
            <w:r w:rsidR="00996674">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OTAyMjQ5ZjEtYjJiZC00M2Y4LWEzYTctYjQ3MjY4MDNlZWRiIiwicHJvcGVydGllcyI6eyJub3RlSW5kZXgiOjB9LCJpc0VkaXRlZCI6ZmFsc2UsIm1hbnVhbE92ZXJyaWRlIjp7ImlzTWFudWFsbHlPdmVycmlkZGVuIjpmYWxzZSwiY2l0ZXByb2NUZXh0IjoiKDUxKSIsIm1hbnVhbE92ZXJyaWRlVGV4dCI6IiJ9LCJjaXRhdGlvbkl0ZW1zIjpbeyJpZCI6IjNmZjIxZTE0LWQ0NDEtM2FlMy1iOTc4LWVhYjBkN2I2YjNjYyIsIml0ZW1EYXRhIjp7InR5cGUiOiJhcnRpY2xlLWpvdXJuYWwiLCJpZCI6IjNmZjIxZTE0LWQ0NDEtM2FlMy1iOTc4LWVhYjBkN2I2YjNjYyIsInRpdGxlIjoiU2Vuc29yeSBwaGVub21lbmE6IGNsaW5pY2FsIGNvcnJlbGF0ZXMgYW5kIGltcGFjdCBvbiBxdWFsaXR5IG9mIGxpZmUgaW4gYWR1bHQgcGF0aWVudHMgd2l0aCBUb3VyZXR0ZSBzeW5kcm9tZSIsImdyb3VwSWQiOiIwN2Q2MmFjMS01YWE4LTM5YWYtYjQ5ZS01MmQyMDg4YWM1NzEiLCJhdXRob3IiOlt7ImZhbWlseSI6IkNyb3NzbGV5IiwiZ2l2ZW4iOiJFIiwicGFyc2UtbmFtZXMiOmZhbHNlLCJkcm9wcGluZy1wYXJ0aWNsZSI6IiIsIm5vbi1kcm9wcGluZy1wYXJ0aWNsZSI6IiJ9LHsiZmFtaWx5IjoiQ2F2YW5uYSIsImdpdmVuIjoiQSBFIiwicGFyc2UtbmFtZXMiOmZhbHNlLCJkcm9wcGluZy1wYXJ0aWNsZSI6IiIsIm5vbi1kcm9wcGluZy1wYXJ0aWNsZSI6IiJ9XSwiY29udGFpbmVyLXRpdGxlIjoiUHN5Y2hpYXRyeSBSZXMiLCJET0kiOiIxMC4xMDE2L2oucHN5Y2hyZXMuMjAxMy4wNC4wMTkiLCJQTUlEIjoiMjM2ODQwNTEiLCJpc3N1ZWQiOnsiZGF0ZS1wYXJ0cyI6W1syMDEzXV19LCJwYWdlIjoiNzA1LTcxMCIsImFic3RyYWN0IjoiVG91cmV0dGUgc3luZHJvbWUgKFRTKSBpcyBhIG5ldXJvZGV2ZWxvcG1lbnRhbCBjb25kaXRpb24gY2hhcmFjdGVyaXNlZCBieSBtdWx0aXBsZSB0aWNzLCB3aXRoIGZyZXF1ZW50IGJlaGF2aW91cmFsIGNvLW1vcmJpZGl0eS4gU2Vuc29yeSBwaGVub21lbmEgKFNQKSBhcmUgdW5wbGVhc2FudCBzZW5zYXRpb25zIHdoaWNoIHByb3ZpZGUgaW52b2x1bnRhcnkgdXJnZXMgdG8gdGljIGluIHBhdGllbnRzIHdpdGggVFMuIFdoaWxlIFNQIGhhdmUgYSBjZW50cmFsIHJvbGUgaW4gdGljIGV4cHJlc3Npb24sIGxpdHRsZSBpcyBrbm93biBhYm91dCB0aGVpciBjbGluaWNhbCBjb3JyZWxhdGVzIG9yIGFzc29jaWF0aW9uIHdpdGggaGVhbHRoLXJlbGF0ZWQgcXVhbGl0eSBvZiBsaWZlIChIUi1RT0wpIGluIFRTLiBXZSBjb25kdWN0ZWQgYSBjcm9zcy1zZWN0aW9uYWwgc3R1ZHkgb24gNzIgYWR1bHQgb3V0cGF0aWVudHMgd2l0aCBUUywgcmVjcnVpdGVkIGF0IGEgc3BlY2lhbGlzdCBjbGluaWMuIEFsbCBwYXJ0aWNpcGFudHMgY29tcGxldGVkIGEgY29tcHJlaGVuc2l2ZSBiYXR0ZXJ5IG9mIHBzeWNob21ldHJpYyBtZWFzdXJlcywgaW5jbHVkaW5nIHRoZSBQcmVtb25pdG9yeSBVcmdlcyBmb3IgVGljcyBTY2FsZSAoUFVUUykgdG8gYXNzZXNzIFNQIGFuZCBhIGRpc2Vhc2Utc3BlY2lmaWMgcXVhbGl0eSBvZiBsaWZlIHNjYWxlIChHVFMtUU9MKSB0byBhc3Nlc3MgSFItUU9MLiBTUCB3ZXJlIHZlcnkgY29tbW9uICg5Ny4yJSBvZiBwYXRpZW50cyksIHdpdGggYSBtZWRpYW4gUFVUUyB0b3RhbCBzY29yZSBvZiAyOC80MC4gQml2YXJpYXRlIGFuYWx5c2VzIHNob3dlZCB0aGF0IFBVVFMgc2NvcmVzIHdlcmUgbW9zdCBzaWduaWZpY2FudGx5IGNvcnJlbGF0ZWQgd2l0aCBzZWxmLXJlcG9ydCBtZWFzdXJlcyBvZiB2b2NhbCB0aWMgc2V2ZXJpdHkgYW5kIGNvbXB1bHNpdml0eS4gUFVUUyBzY29yZXMgd2VyZSBhbHNvIHNpZ25pZmljYW50bHkgY29ycmVsYXRlZCB3aXRoIEdUUy1RT0wgc2NvcmVzLCBtb3N0IG5vdGFibHkgd2l0aCB0aGUgcHN5Y2hvbG9naWNhbCBzdWJzY2FsZS4gU1AgYXJlIGZyZXF1ZW50bHkgcmVwb3J0ZWQgYnkgYWR1bHRzIHdpdGggVFMsIGFyZSBhc3NvY2lhdGVkIHdpdGggcGVyY2VpdmVkIHRpYyBzZXZlcml0eSBhbmQgY29tcHVsc2l2aXR5LCBhbmQgY2FuIHNpZ25pZmljYW50bHkgYWZmZWN0IHBzeWNob2xvZ2ljYWwgd2VsbC1iZWluZy4gU3RhbmRhcmRpc2VkIG1lYXN1cmVtZW50IG9mIFNQIHNob3VsZCBiZSBpbmNvcnBvcmF0ZWQgaW50byByb3V0aW5lIGFzc2Vzc21lbnQgb2YgcGF0aWVudHMgd2l0aCBUUyB0byBvcHRpbWlzZSB0aGVpciBjbGluaWNhbCBtYW5hZ2VtZW50LiIsImlzc3VlIjoiMyIsInZvbHVtZSI6IjIwOSIsImNvbnRhaW5lci10aXRsZS1zaG9ydCI6IiJ9LCJpc1RlbXBvcmFyeSI6ZmFsc2V9XX0="/>
                <w:id w:val="-2147346415"/>
                <w:placeholder>
                  <w:docPart w:val="DefaultPlaceholder_-1854013440"/>
                </w:placeholder>
              </w:sdtPr>
              <w:sdtContent>
                <w:r w:rsidR="00F04E9F" w:rsidRPr="00F04E9F">
                  <w:rPr>
                    <w:rFonts w:eastAsia="Times New Roman" w:cs="Times New Roman"/>
                    <w:color w:val="000000"/>
                    <w:sz w:val="16"/>
                    <w:szCs w:val="16"/>
                  </w:rPr>
                  <w:t>(51)</w:t>
                </w:r>
              </w:sdtContent>
            </w:sdt>
          </w:p>
        </w:tc>
        <w:tc>
          <w:tcPr>
            <w:tcW w:w="0" w:type="auto"/>
            <w:shd w:val="clear" w:color="auto" w:fill="FFFFFF"/>
            <w:hideMark/>
          </w:tcPr>
          <w:p w14:paraId="2AE7CD61"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72 adolescents and adults with TS</w:t>
            </w:r>
          </w:p>
        </w:tc>
        <w:tc>
          <w:tcPr>
            <w:tcW w:w="0" w:type="auto"/>
            <w:shd w:val="clear" w:color="auto" w:fill="FFFFFF"/>
            <w:hideMark/>
          </w:tcPr>
          <w:p w14:paraId="19BED33D" w14:textId="694370AB"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Significant correlation </w:t>
            </w:r>
            <w:r w:rsidR="0083569E">
              <w:rPr>
                <w:rFonts w:eastAsia="Times New Roman" w:cs="Times New Roman"/>
                <w:color w:val="000000" w:themeColor="text1"/>
                <w:sz w:val="16"/>
                <w:szCs w:val="16"/>
              </w:rPr>
              <w:t xml:space="preserve">of </w:t>
            </w:r>
            <w:r w:rsidRPr="008A1F40">
              <w:rPr>
                <w:rFonts w:eastAsia="Times New Roman" w:cs="Times New Roman"/>
                <w:color w:val="000000" w:themeColor="text1"/>
                <w:sz w:val="16"/>
                <w:szCs w:val="16"/>
              </w:rPr>
              <w:t xml:space="preserve">PUTS scores </w:t>
            </w:r>
            <w:r w:rsidR="0083569E">
              <w:rPr>
                <w:rFonts w:eastAsia="Times New Roman" w:cs="Times New Roman"/>
                <w:color w:val="000000" w:themeColor="text1"/>
                <w:sz w:val="16"/>
                <w:szCs w:val="16"/>
              </w:rPr>
              <w:t xml:space="preserve">with </w:t>
            </w:r>
            <w:r w:rsidRPr="008A1F40">
              <w:rPr>
                <w:rFonts w:eastAsia="Times New Roman" w:cs="Times New Roman"/>
                <w:color w:val="000000" w:themeColor="text1"/>
                <w:sz w:val="16"/>
                <w:szCs w:val="16"/>
              </w:rPr>
              <w:t xml:space="preserve">HADS </w:t>
            </w:r>
            <w:r w:rsidR="0083569E">
              <w:rPr>
                <w:rFonts w:eastAsia="Times New Roman" w:cs="Times New Roman"/>
                <w:color w:val="000000" w:themeColor="text1"/>
                <w:sz w:val="16"/>
                <w:szCs w:val="16"/>
              </w:rPr>
              <w:t>total</w:t>
            </w:r>
            <w:r w:rsidR="0083569E" w:rsidRPr="008A1F40">
              <w:rPr>
                <w:rFonts w:eastAsia="Times New Roman" w:cs="Times New Roman"/>
                <w:color w:val="000000" w:themeColor="text1"/>
                <w:sz w:val="16"/>
                <w:szCs w:val="16"/>
              </w:rPr>
              <w:t xml:space="preserve"> </w:t>
            </w:r>
            <w:r w:rsidRPr="008A1F40">
              <w:rPr>
                <w:rFonts w:eastAsia="Times New Roman" w:cs="Times New Roman"/>
                <w:color w:val="000000" w:themeColor="text1"/>
                <w:sz w:val="16"/>
                <w:szCs w:val="16"/>
              </w:rPr>
              <w:t xml:space="preserve">(Spearman’s r = 0.28, p = 0.019) and anxiety subscale scores (Spearman’s r = 0.33, p = 0.005). No significant correlation with </w:t>
            </w:r>
            <w:r w:rsidR="0045743B">
              <w:rPr>
                <w:rFonts w:eastAsia="Times New Roman" w:cs="Times New Roman"/>
                <w:color w:val="000000" w:themeColor="text1"/>
                <w:sz w:val="16"/>
                <w:szCs w:val="16"/>
              </w:rPr>
              <w:t xml:space="preserve">HADS </w:t>
            </w:r>
            <w:r w:rsidRPr="008A1F40">
              <w:rPr>
                <w:rFonts w:eastAsia="Times New Roman" w:cs="Times New Roman"/>
                <w:color w:val="000000" w:themeColor="text1"/>
                <w:sz w:val="16"/>
                <w:szCs w:val="16"/>
              </w:rPr>
              <w:t>depression subscale scores (</w:t>
            </w:r>
            <w:r w:rsidRPr="008A1F40">
              <w:rPr>
                <w:rFonts w:cs="Times New Roman"/>
                <w:color w:val="000000" w:themeColor="text1"/>
                <w:sz w:val="16"/>
                <w:szCs w:val="16"/>
              </w:rPr>
              <w:t>Spearman’s r = 0.18, p = 0.136).</w:t>
            </w:r>
          </w:p>
        </w:tc>
      </w:tr>
      <w:tr w:rsidR="001D5890" w:rsidRPr="008A1F40" w14:paraId="27218C90" w14:textId="77777777" w:rsidTr="007F77D2">
        <w:trPr>
          <w:tblCellSpacing w:w="15" w:type="dxa"/>
        </w:trPr>
        <w:tc>
          <w:tcPr>
            <w:tcW w:w="0" w:type="auto"/>
            <w:shd w:val="clear" w:color="auto" w:fill="FFFFFF"/>
            <w:hideMark/>
          </w:tcPr>
          <w:p w14:paraId="37A14D7B" w14:textId="602F3EB4"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Brandt et al (2023)</w:t>
            </w:r>
            <w:r w:rsidR="00996674">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NzVmZjc2NDQtYjc4My00YjFkLWIzMDQtMTQ2NjBjOGNlZGNjIiwicHJvcGVydGllcyI6eyJub3RlSW5kZXgiOjB9LCJpc0VkaXRlZCI6ZmFsc2UsIm1hbnVhbE92ZXJyaWRlIjp7ImlzTWFudWFsbHlPdmVycmlkZGVuIjpmYWxzZSwiY2l0ZXByb2NUZXh0IjoiKDUyKSIsIm1hbnVhbE92ZXJyaWRlVGV4dCI6IiJ9LCJjaXRhdGlvbkl0ZW1zIjpbeyJpZCI6IjgwMWY2OWY4LWY1ZjQtMzdlMS1iODgyLTNiYzE4MDk0NjE4NiIsIml0ZW1EYXRhIjp7InR5cGUiOiJhcnRpY2xlLWpvdXJuYWwiLCJpZCI6IjgwMWY2OWY4LWY1ZjQtMzdlMS1iODgyLTNiYzE4MDk0NjE4NiIsInRpdGxlIjoiUHJlbW9uaXRvcnkgVXJnZSBhbmQgVGljIFNldmVyaXR5LCBDb21vcmJpZGl0aWVzLCBhbmQgUXVhbGl0eSBvZiBMaWZlIGluIENocm9uaWMgVGljIERpc29yZGVycyIsImdyb3VwSWQiOiIwN2Q2MmFjMS01YWE4LTM5YWYtYjQ5ZS01MmQyMDg4YWM1NzEiLCJhdXRob3IiOlt7ImZhbWlseSI6IkJyYW5kdCIsImdpdmVuIjoiViIsInBhcnNlLW5hbWVzIjpmYWxzZSwiZHJvcHBpbmctcGFydGljbGUiOiIiLCJub24tZHJvcHBpbmctcGFydGljbGUiOiIifSx7ImZhbWlseSI6IkVzc2luZyIsImdpdmVuIjoiSiIsInBhcnNlLW5hbWVzIjpmYWxzZSwiZHJvcHBpbmctcGFydGljbGUiOiIiLCJub24tZHJvcHBpbmctcGFydGljbGUiOiIifSx7ImZhbWlseSI6Ikpha3Vib3Zza2kiLCJnaXZlbiI6IkUiLCJwYXJzZS1uYW1lcyI6ZmFsc2UsImRyb3BwaW5nLXBhcnRpY2xlIjoiIiwibm9uLWRyb3BwaW5nLXBhcnRpY2xlIjoiIn0seyJmYW1pbHkiOiJNw7xsbGVyLVZhaGwiLCJnaXZlbiI6IksiLCJwYXJzZS1uYW1lcyI6ZmFsc2UsImRyb3BwaW5nLXBhcnRpY2xlIjoiIiwibm9uLWRyb3BwaW5nLXBhcnRpY2xlIjoiIn1dLCJjb250YWluZXItdGl0bGUiOiJNb3YgRGlzb3JkIENsaW4gUHJhY3QiLCJET0kiOiIxMC4xMDAyL21kYzMuMTM3NDIiLCJQTUlEIjoiMzczMzI2MzMiLCJpc3N1ZWQiOnsiZGF0ZS1wYXJ0cyI6W1syMDIzXV19LCJwYWdlIjoiOTIyLTkzMiIsImFic3RyYWN0IjoiQkFDS0dST1VORDogVGljcyBhcmUgaW50aW1hdGVseSBhc3NvY2lhdGVkIHdpdGggcHJlbW9uaXRvcnkgdXJnZXMgKFBVKSBidXQga25vd2xlZGdlIGFib3V0IHVyZ2VzIGlzIHN0aWxsIGxpbWl0ZWQsIHdpdGggc21hbGwgc2FtcGxlIHNpemVzIG9mdGVuIGxpbWl0aW5nIHRoZSBnZW5lcmFsaXphYmlsaXR5IG9mIGZpbmRpbmdzLiBPQkpFQ1RJVkVTOiBUaGlzIHN0dWR5IGFkZHJlc3NlZCB0aGUgZm9sbG93aW5nIG9wZW4gcXVlc3Rpb25zOiAoMSkgaXMgdGljIHNldmVyaXR5IGFzc29jaWF0ZWQgd2l0aCB1cmdlIHNldmVyaXR5LCAoMikgaG93IGNvbW1vbiBpcyByZWxpZWYsICgzKSB3aGljaCBjb21vcmJpZGl0aWVzIGFyZSBhc3NvY2lhdGVkIHdpdGggdXJnZXMsICg0KSBhcmUgdXJnZXMsIHRpY3MsIGFuZCBjb21vcmJpZGl0aWVzIGFzc29jaWF0ZWQgd2l0aCBsb3dlciBxdWFsaXR5IG9mIGxpZmUsIGFuZCAoNSkgY2FuIGNvbXBsZXggYW5kIHNpbXBsZSwgbW90b3IgYW5kIHZvY2FsIHRpY3MgYmUgZGlmZmVyZW50aWF0ZWQgYmFzZWQgb24gUFU/IE1FVEhPRFM6IE7igIk94oCJMjkxIHBhdGllbnRzIHdobyByZXBvcnRlZCBhIGNvbmZpcm1lZCBkaWFnbm9zaXMgb2YgY2hyb25pYyBwcmltYXJ5IHRpYyBkaXNvcmRlciAoYWdl4oCJPeKAiTE4LTY1LCAyNCUgZmVtYWxlKSBmaWxsZWQgb3V0IGFuIG9ubGluZSBzdXJ2ZXkgYXNzZXNzaW5nIGRlbW9ncmFwaGljIGRhdGEsIGNvbW9yYmlkIGNvbmRpdGlvbnMsIGxvY2F0aW9uLCBxdWFsaXR5IGFuZCBpbnRlbnNpdHkgb2YgUFUsIGFzIHdlbGwgYXMgcXVhbGl0eSBvZiBsaWZlLiBFdmVyeSB0aWMgd2FzIHJlY29yZGVkLCBhbmQgd2hldGhlciB0aGUgcGF0aWVudCBleHBlcmllbmNlZCBhIFBVLCB0aGUgZnJlcXVlbmN5LCBpbnRlbnNpdHksIGFuZCBxdWFsaXR5IG9mIHRoYXQgdXJnZS4gUkVTVUxUUzogUFUgYW5kIHRpYyBzZXZlcml0eSB3ZXJlIHNpZ25pZmljYW50bHkgYXNzb2NpYXRlZCwgYW5kIDg1JSBvZiB1cmdlLXJlbGF0ZWQgdGljcyB3ZXJlIGZvbGxvd2VkIGJ5IHJlbGllZi4gQSBkaWFnbm9zaXMgb2YgYXR0ZW50aW9uIGRlZmljaXQvaHlwZXJhY3Rpdml0eSBkaXNvcmRlciAoQURIRCkgb3IgZGVwcmVzc2lvbiwgZmVtYWxlIGdlbmRlciwgYW5kIG9sZGVyIGFnZSBpbmNyZWFzZWQgdGhlIGxpa2VsaWhvb2Qgb2YgZXhwZXJpZW5jaW5nIFBVLCB3aGlsZSBtb3JlIG9ic2Vzc2l2ZSBjb21wdWxzaXZlIChPQ0QpIHN5bXB0b21zIGFuZCB5b3VuZ2VyIGFnZSB3ZXJlIGFzc29jaWF0ZWQgd2l0aCBoaWdoZXIgdXJnZSBpbnRlbnNpdGllcy4gUFUsIGNvbXBsZXggdm9jYWwgdGljcywgQURIRCwgT0NELCBhbnhpZXR5LCBhbmQgZGVwcmVzc2lvbiB3ZXJlIHJlbGF0ZWQgdG8gbG93ZXIgcXVhbGl0eSBvZiBsaWZlLiBNb3RvciBhbmQgdm9jYWwsIGNvbXBsZXggYW5kIHNpbXBsZSB0aWNzIGRpZCBub3QgZGlmZmVyIHJlZ2FyZGluZyBQVSBpbnRlbnNpdHksIGZyZXF1ZW5jeSwgYW5kIHF1YWxpdHksIG9yIHJlbGllZi4gQ09OQ0xVU0lPTlM6IFRoZSByZXN1bHRzIHNoZWQgbGlnaHQgb24gdGhlIHJlbGF0aW9uc2hpcCBiZXR3ZWVuIFBVLCB0aWNzLCBjb21vcmJpZGl0aWVzLCBhZ2UsIGdlbmRlciwgYW5kIHF1YWxpdHkgb2YgbGlmZSBpbiB0aWMgZGlzb3JkZXJzLiIsImlzc3VlIjoiNiIsInZvbHVtZSI6IjEwIiwiY29udGFpbmVyLXRpdGxlLXNob3J0IjoiIn0sImlzVGVtcG9yYXJ5IjpmYWxzZX1dfQ=="/>
                <w:id w:val="-509670897"/>
                <w:placeholder>
                  <w:docPart w:val="DefaultPlaceholder_-1854013440"/>
                </w:placeholder>
              </w:sdtPr>
              <w:sdtContent>
                <w:r w:rsidR="00F04E9F" w:rsidRPr="00F04E9F">
                  <w:rPr>
                    <w:rFonts w:eastAsia="Times New Roman" w:cs="Times New Roman"/>
                    <w:color w:val="000000"/>
                    <w:sz w:val="16"/>
                    <w:szCs w:val="16"/>
                  </w:rPr>
                  <w:t>(52)</w:t>
                </w:r>
              </w:sdtContent>
            </w:sdt>
          </w:p>
        </w:tc>
        <w:tc>
          <w:tcPr>
            <w:tcW w:w="0" w:type="auto"/>
            <w:shd w:val="clear" w:color="auto" w:fill="FFFFFF"/>
            <w:hideMark/>
          </w:tcPr>
          <w:p w14:paraId="42263011"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291 adults with CTDs</w:t>
            </w:r>
          </w:p>
        </w:tc>
        <w:tc>
          <w:tcPr>
            <w:tcW w:w="0" w:type="auto"/>
            <w:shd w:val="clear" w:color="auto" w:fill="FFFFFF"/>
            <w:hideMark/>
          </w:tcPr>
          <w:p w14:paraId="4E0EC17C" w14:textId="079FBC4A" w:rsidR="00986E35" w:rsidRPr="008A1F40" w:rsidRDefault="00501F01" w:rsidP="007F77D2">
            <w:pPr>
              <w:rPr>
                <w:rFonts w:eastAsia="Times New Roman" w:cs="Times New Roman"/>
                <w:color w:val="000000" w:themeColor="text1"/>
                <w:sz w:val="16"/>
                <w:szCs w:val="16"/>
              </w:rPr>
            </w:pPr>
            <w:r>
              <w:rPr>
                <w:rFonts w:eastAsia="Times New Roman" w:cs="Times New Roman"/>
                <w:color w:val="000000" w:themeColor="text1"/>
                <w:sz w:val="16"/>
                <w:szCs w:val="16"/>
              </w:rPr>
              <w:t>C</w:t>
            </w:r>
            <w:r w:rsidR="00986E35" w:rsidRPr="008A1F40">
              <w:rPr>
                <w:rFonts w:eastAsia="Times New Roman" w:cs="Times New Roman"/>
                <w:color w:val="000000" w:themeColor="text1"/>
                <w:sz w:val="16"/>
                <w:szCs w:val="16"/>
              </w:rPr>
              <w:t xml:space="preserve">omorbid depression </w:t>
            </w:r>
            <w:r>
              <w:rPr>
                <w:rFonts w:eastAsia="Times New Roman" w:cs="Times New Roman"/>
                <w:color w:val="000000" w:themeColor="text1"/>
                <w:sz w:val="16"/>
                <w:szCs w:val="16"/>
              </w:rPr>
              <w:t xml:space="preserve">was </w:t>
            </w:r>
            <w:r w:rsidR="00986E35" w:rsidRPr="008A1F40">
              <w:rPr>
                <w:rFonts w:eastAsia="Times New Roman" w:cs="Times New Roman"/>
                <w:color w:val="000000" w:themeColor="text1"/>
                <w:sz w:val="16"/>
                <w:szCs w:val="16"/>
              </w:rPr>
              <w:t xml:space="preserve">significantly </w:t>
            </w:r>
            <w:r>
              <w:rPr>
                <w:rFonts w:eastAsia="Times New Roman" w:cs="Times New Roman"/>
                <w:color w:val="000000" w:themeColor="text1"/>
                <w:sz w:val="16"/>
                <w:szCs w:val="16"/>
              </w:rPr>
              <w:t>associated with presence of</w:t>
            </w:r>
            <w:r w:rsidR="00986E35" w:rsidRPr="008A1F40">
              <w:rPr>
                <w:rFonts w:eastAsia="Times New Roman" w:cs="Times New Roman"/>
                <w:color w:val="000000" w:themeColor="text1"/>
                <w:sz w:val="16"/>
                <w:szCs w:val="16"/>
              </w:rPr>
              <w:t xml:space="preserve"> premonitory urges (B = 2.07, p = 0.008) in </w:t>
            </w:r>
            <w:r w:rsidR="00B74251">
              <w:rPr>
                <w:rFonts w:eastAsia="Times New Roman" w:cs="Times New Roman"/>
                <w:color w:val="000000" w:themeColor="text1"/>
                <w:sz w:val="16"/>
                <w:szCs w:val="16"/>
              </w:rPr>
              <w:t xml:space="preserve">a </w:t>
            </w:r>
            <w:r w:rsidR="00986E35" w:rsidRPr="008A1F40">
              <w:rPr>
                <w:rFonts w:eastAsia="Times New Roman" w:cs="Times New Roman"/>
                <w:color w:val="000000" w:themeColor="text1"/>
                <w:sz w:val="16"/>
                <w:szCs w:val="16"/>
              </w:rPr>
              <w:t>binary logistic regression</w:t>
            </w:r>
            <w:r w:rsidR="00B74251">
              <w:rPr>
                <w:rFonts w:eastAsia="Times New Roman" w:cs="Times New Roman"/>
                <w:color w:val="000000" w:themeColor="text1"/>
                <w:sz w:val="16"/>
                <w:szCs w:val="16"/>
              </w:rPr>
              <w:t xml:space="preserve"> model that </w:t>
            </w:r>
            <w:r w:rsidR="00986E35" w:rsidRPr="008A1F40">
              <w:rPr>
                <w:rFonts w:eastAsia="Times New Roman" w:cs="Times New Roman"/>
                <w:color w:val="000000" w:themeColor="text1"/>
                <w:sz w:val="16"/>
                <w:szCs w:val="16"/>
              </w:rPr>
              <w:t>includ</w:t>
            </w:r>
            <w:r w:rsidR="00B74251">
              <w:rPr>
                <w:rFonts w:eastAsia="Times New Roman" w:cs="Times New Roman"/>
                <w:color w:val="000000" w:themeColor="text1"/>
                <w:sz w:val="16"/>
                <w:szCs w:val="16"/>
              </w:rPr>
              <w:t>ed</w:t>
            </w:r>
            <w:r w:rsidR="00986E35" w:rsidRPr="008A1F40">
              <w:rPr>
                <w:rFonts w:eastAsia="Times New Roman" w:cs="Times New Roman"/>
                <w:color w:val="000000" w:themeColor="text1"/>
                <w:sz w:val="16"/>
                <w:szCs w:val="16"/>
              </w:rPr>
              <w:t xml:space="preserve"> age, gender, and </w:t>
            </w:r>
            <w:r w:rsidR="00D772F7">
              <w:rPr>
                <w:rFonts w:eastAsia="Times New Roman" w:cs="Times New Roman"/>
                <w:color w:val="000000" w:themeColor="text1"/>
                <w:sz w:val="16"/>
                <w:szCs w:val="16"/>
              </w:rPr>
              <w:t xml:space="preserve">other psychiatric </w:t>
            </w:r>
            <w:r w:rsidR="00986E35" w:rsidRPr="008A1F40">
              <w:rPr>
                <w:rFonts w:eastAsia="Times New Roman" w:cs="Times New Roman"/>
                <w:color w:val="000000" w:themeColor="text1"/>
                <w:sz w:val="16"/>
                <w:szCs w:val="16"/>
              </w:rPr>
              <w:t>comorbidities as covariates.</w:t>
            </w:r>
          </w:p>
        </w:tc>
      </w:tr>
      <w:tr w:rsidR="001D5890" w:rsidRPr="008A1F40" w14:paraId="03876A59" w14:textId="77777777" w:rsidTr="007F77D2">
        <w:trPr>
          <w:tblCellSpacing w:w="15" w:type="dxa"/>
        </w:trPr>
        <w:tc>
          <w:tcPr>
            <w:tcW w:w="0" w:type="auto"/>
            <w:shd w:val="clear" w:color="auto" w:fill="FFFFFF"/>
            <w:hideMark/>
          </w:tcPr>
          <w:p w14:paraId="4D1A33F9" w14:textId="39D35630"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Gulisano et al (2015)</w:t>
            </w:r>
            <w:r w:rsidR="00996674">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ZTNmN2Q4MTctZTc1OC00MDc2LWExOGEtYjk2ZGQ3ZGQ3NjAyIiwicHJvcGVydGllcyI6eyJub3RlSW5kZXgiOjB9LCJpc0VkaXRlZCI6ZmFsc2UsIm1hbnVhbE92ZXJyaWRlIjp7ImlzTWFudWFsbHlPdmVycmlkZGVuIjpmYWxzZSwiY2l0ZXByb2NUZXh0IjoiKDQpIiwibWFudWFsT3ZlcnJpZGVUZXh0IjoiIn0sImNpdGF0aW9uSXRlbXMiOlt7ImlkIjoiYjVhNWI5YWYtNTk2OC0zZmZkLTlmOTAtMzZhNTI0NGE1MDU4IiwiaXRlbURhdGEiOnsidHlwZSI6ImFydGljbGUtam91cm5hbCIsImlkIjoiYjVhNWI5YWYtNTk2OC0zZmZkLTlmOTAtMzZhNTI0NGE1MDU4IiwidGl0bGUiOiJQcmVtb25pdG9yeSBVcmdlcyBpbiBQYXRpZW50cyB3aXRoIEdpbGxlcyBkZSBsYSBUb3VyZXR0ZSBTeW5kcm9tZTogQW4gSXRhbGlhbiBUcmFuc2xhdGlvbiBhbmQgYSA3LVllYXIgRm9sbG93LXVwIiwiZ3JvdXBJZCI6IjA3ZDYyYWMxLTVhYTgtMzlhZi1iNDllLTUyZDIwODhhYzU3MSIsImF1dGhvciI6W3siZmFtaWx5IjoiR3VsaXNhbm8iLCJnaXZlbiI6Ik0iLCJwYXJzZS1uYW1lcyI6ZmFsc2UsImRyb3BwaW5nLXBhcnRpY2xlIjoiIiwibm9uLWRyb3BwaW5nLXBhcnRpY2xlIjoiIn0seyJmYW1pbHkiOiJDYWzDrCIsImdpdmVuIjoiUCIsInBhcnNlLW5hbWVzIjpmYWxzZSwiZHJvcHBpbmctcGFydGljbGUiOiIiLCJub24tZHJvcHBpbmctcGFydGljbGUiOiIifSx7ImZhbWlseSI6IlBhbGVybW8iLCJnaXZlbiI6IkYiLCJwYXJzZS1uYW1lcyI6ZmFsc2UsImRyb3BwaW5nLXBhcnRpY2xlIjoiIiwibm9uLWRyb3BwaW5nLXBhcnRpY2xlIjoiIn0seyJmYW1pbHkiOiJSb2JlcnRzb24iLCJnaXZlbiI6Ik0iLCJwYXJzZS1uYW1lcyI6ZmFsc2UsImRyb3BwaW5nLXBhcnRpY2xlIjoiIiwibm9uLWRyb3BwaW5nLXBhcnRpY2xlIjoiIn0seyJmYW1pbHkiOiJSaXp6byIsImdpdmVuIjoiUiIsInBhcnNlLW5hbWVzIjpmYWxzZSwiZHJvcHBpbmctcGFydGljbGUiOiIiLCJub24tZHJvcHBpbmctcGFydGljbGUiOiIifV0sImNvbnRhaW5lci10aXRsZSI6IkogQ2hpbGQgQWRvbGVzYyBQc3ljaG9waGFybWFjb2wiLCJET0kiOiIxMC4xMDg5L2NhcC4yMDE0LjAxNTQiLCJQTUlEIjoiMjYyODgzNDUiLCJVUkwiOiJodHRwczovL3d3dy5saWViZXJ0cHViLmNvbS9kb2kvMTAuMTA4OS9jYXAuMjAxNC4wMTU0IiwiaXNzdWVkIjp7ImRhdGUtcGFydHMiOltbMjAxNV1dfSwicGFnZSI6IjgxMC04MTYiLCJhYnN0cmFjdCI6Ik9CSkVDVElWRTogUHJlbW9uaXRvcnkgc2Vuc2F0aW9ucyBvciB1cmdlcyAoUFVzKSBhcmUgZGVzY3JpYmVkIGFzIGNoYXJhY3RlcmlzdGljIHNlbnNvcnkgcGhlbm9tZW5hIHByZWNlZGluZyB0aWNzLCB3aGljaCBhcmUgb2Z0ZW4gZGVzY3JpYmVkIGFzIHVucGxlYXNhbnQuIFRoZXkgb2NjdXIgaW4gOTAlIG9mIHBhdGllbnRzIGFmZmVjdGVkIGJ5IEdpbGxlcyBkZSBsYSBUb3VyZXR0ZSBTeW5kcm9tZSAoR1RTKS4gVGhleSBtYXkgYmUgbG9jYWxpemVkIChhcm91bmQgdGhlIGFyZWEgb2YgdGljKSBvciBnZW5lcmFsaXplZCAoY292ZXJpbmcgYSB3aWRlIGFyZWEgb2YgdGhlIGJvZHkpLiBUaGUgUFVzIGNhbiBiZSBtZWFzdXJlZCBieSB0aGUgUHJlbW9uaXRvcnkgVXJnZSBmb3IgVGljcyBTY2FsZSAoUFVUUykuIEluIHRoaXMgc3R1ZHkgd2UgdHJhbnNsYXRlZCB0aGUgUFVUUyBzY2FsZSBpbnRvIEl0YWxpYW4gYW5kIHRoZW4gYXNzZXNzZWQgY2hpbGRyZW4gYW5kIGFkb2xlc2NlbnRzL3lvdW5nIHBlb3BsZSAoQ1lQKSB3aXRoIEdUUyB1c2luZyB0aGUgc2NhbGUuIE1FVEhPRFM6IEdUUyBwYXRpZW50cyB3ZXJlIGFzc2Vzc2VkIGF0IHRoZSBpbml0aWFsIGludGVydmlldyBhbmQgYWZ0ZXIgNyB5ZWFycyB0byBldmFsdWF0ZSB0aGUgUFVzLCBhbmQgdGhlIGNvcnJlbGF0aW9ucyBvZiB0aGUgUFVUUyBzY29yZXMgd2l0aCB0aWMgc2V2ZXJpdHksIHNldmVyaXR5IG9mIGNvbW9yYmlkIGRpc29yZGVycyAob2JzZXNzaXZlLWNvbXB1bHNpdmUgZGlzb3JkZXIgW09DRF0sIGF0dGVudGlvbi1kZWZpY2l0L2h5cGVyYWN0aXZpdHkgZGlzb3JkZXIgW0FESERdKSwgYW5kIGEgdmFyaWV0eSBvZiBjb2V4aXN0aW5nIHBzeWNob3BhdGhvbG9naWVzLiBSRVNVTFRTOiBBIHRvdGFsIG9mIDk1IHBhdGllbnRzIHdlcmUgc3R1ZGllZC4gV2Ugc3VjY2Vzc2Z1bGx5IHRyYW5zbGF0ZWQgdGhlIFBVVFMgaW50byBJdGFsaWFuLCBhbmQgb3VyIHJlc3VsdHMgaW5kaWNhdGVkIHRoYXQgb3VyIHRyYW5zbGF0ZWQgdmVyc2lvbiBoYWQgZ29vZCBwc3ljaG9tZXRyaWMgcHJvcGVydGllcy4gUmVzdWx0cyBkZW1vbnN0cmF0ZWQgdGhhdCB0aGUgQ1lQIGhhZCBQVXMgYXQgYm90aCBpbnRlcnZpZXdzLCBidXQgdGhhdCBvbGRlciBDWVAgd2VyZSBtb3JlIGNvbnNpc3RlbnQgaW4gcmVwb3J0aW5nIFBVcyB0aGFuIHlvdW5nZXIgQ1lQIChpLmUuLCBQVVRTIHNjb3JlcyBpbmNyZWFzZWQgd2l0aCBhZ2UpLiBXZSBmb3VuZCBubyBjb3JyZWxhdGlvbnMgYmV0d2VlbiBQVVRTIHNjb3JlIGFuZCB0aWMgc2V2ZXJpdHkgYXQgZWl0aGVyIGludGVydmlldy4gV2UgZm91bmQgYSBzdGF0aXN0aWNhbCBzaWduaWZpY2FudCBjb3JyZWxhdGlvbiBiZXR3ZWVuIFBVVFMgc2NvcmUgYW5kIG9ic2Vzc2l2ZS1jb21wdWxzaXZlIHN5bXB0b21zIChPQ1MpIGF0IGJvdGggaW50ZXJ2aWV3czsgTW9yZW92ZXIgYm90aCB0aGUgUFVUUyBhbmQgQ2hpbGRyZW4ncyBZYWxlLUJyb3duIE9ic2Vzc2l2ZSBDb21wdWxzaXZlIFNjYWxlIChDWS1CT0NTKSBzY29yZXMgaW5jcmVhc2VkIHNpZ25pZmljYW50bHksIHdoZXJlYXMgdGhlIFlhbGUgR2xvYmFsIFRpYyBTZXZlcml0eSBSYXRpbmcgU2NhbGUgKFlHVFNTKSBzY29yZSBkZWNyZWFzZWQgc2lnbmlmaWNhbnRseS4gV2UgZm91bmQgbm8gcmVsYXRpb25zaGlwcyBiZXR3ZWVuIFBVVFMgc2NvcmVzIGFuZCBhbnhpZXR5LCBkZXByZXNzaW9uLCBBREhELCBhbmQgZXh0ZXJuYWxpemluZy9pbnRlcm5hbGl6aW5nIGJlaGF2aW9yYWwgc2NvcmVzLiBDT05DTFVTSU9OUzogT3VyIHJlc3VsdHMgc3VnZ2VzdCB0aGUgdGhlIEl0YWxpYW4gdHJhbnNsYXRpb24gb2YgdGhlIFBVVFMgaGFzIGdvb2QgcHN5Y2hvbWV0cmljIHByb3BlcnRpZXMuIEFsdGhvdWdoIGJvdGggeW91bmdlciAoPDEwIHllYXJzIG9mIGFnZSkgYW5kIG9sZGVyIENZUCAo4omkIDEwIHllYXJzIG9mIGFnZSkgcmVwb3J0ZWQgUFVzLCB0aGUgc2NvcmVzIGF0IHRoZSBpbml0aWFsIGludGVydmlldyB3ZXJlIHN0YXRpc3RpY2FsbHkgc2lnbmlmaWNhbnRseSBsb3dlciB0aGFuIGF0IGZvbGxvdy11cC4gTW9yZW92ZXIsIGluIENZUCA+MTAgeWVhcnMgb2YgYWdlLCB0aGUgUFVzIGNvcnJlbGF0ZWQgd2l0aCBvYnNlc3Npb25zIGFuZCBjb21wdWxzaW9ucyAoQ1ktQk9DUyBzY29yZXMpLiIsImlzc3VlIjoiMTAiLCJ2b2x1bWUiOiIyNSIsImNvbnRhaW5lci10aXRsZS1zaG9ydCI6IiJ9LCJpc1RlbXBvcmFyeSI6ZmFsc2V9XX0="/>
                <w:id w:val="-857580290"/>
                <w:placeholder>
                  <w:docPart w:val="DefaultPlaceholder_-1854013440"/>
                </w:placeholder>
              </w:sdtPr>
              <w:sdtContent>
                <w:r w:rsidR="00F04E9F" w:rsidRPr="00F04E9F">
                  <w:rPr>
                    <w:rFonts w:eastAsia="Times New Roman" w:cs="Times New Roman"/>
                    <w:color w:val="000000"/>
                    <w:sz w:val="16"/>
                    <w:szCs w:val="16"/>
                  </w:rPr>
                  <w:t>(4)</w:t>
                </w:r>
              </w:sdtContent>
            </w:sdt>
          </w:p>
        </w:tc>
        <w:tc>
          <w:tcPr>
            <w:tcW w:w="0" w:type="auto"/>
            <w:shd w:val="clear" w:color="auto" w:fill="FFFFFF"/>
            <w:hideMark/>
          </w:tcPr>
          <w:p w14:paraId="0148B220"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95 children and adolescents with TS</w:t>
            </w:r>
          </w:p>
        </w:tc>
        <w:tc>
          <w:tcPr>
            <w:tcW w:w="0" w:type="auto"/>
            <w:shd w:val="clear" w:color="auto" w:fill="FFFFFF"/>
            <w:hideMark/>
          </w:tcPr>
          <w:p w14:paraId="5CE620DB"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No significant correlation between PUTS scores and MASC or CDI scores at follow-up (Spearman’s r = 0.158 (p = 0.13) and 0.188 (p = 0.19), respectively). </w:t>
            </w:r>
          </w:p>
        </w:tc>
      </w:tr>
      <w:tr w:rsidR="001D5890" w:rsidRPr="008A1F40" w14:paraId="4AF92943" w14:textId="77777777" w:rsidTr="007F77D2">
        <w:trPr>
          <w:tblCellSpacing w:w="15" w:type="dxa"/>
        </w:trPr>
        <w:tc>
          <w:tcPr>
            <w:tcW w:w="0" w:type="auto"/>
            <w:shd w:val="clear" w:color="auto" w:fill="FFFFFF"/>
            <w:hideMark/>
          </w:tcPr>
          <w:p w14:paraId="7D078FC7" w14:textId="055161A6"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Steinberg et al (2013)</w:t>
            </w:r>
            <w:r w:rsidR="00996674">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ZDhhNjM2NmItMzhlMy00N2MwLWIxNDktODBmNzU4ZjU5Njg0IiwicHJvcGVydGllcyI6eyJub3RlSW5kZXgiOjB9LCJpc0VkaXRlZCI6ZmFsc2UsIm1hbnVhbE92ZXJyaWRlIjp7ImlzTWFudWFsbHlPdmVycmlkZGVuIjpmYWxzZSwiY2l0ZXByb2NUZXh0IjoiKDI1KSIsIm1hbnVhbE92ZXJyaWRlVGV4dCI6IiJ9LCJjaXRhdGlvbkl0ZW1zIjpbeyJpZCI6IjlmYjk1MTU2LTIxODMtMzQ4Yy1hMTExLTlhOGY5OTY1YmZmYyIsIml0ZW1EYXRhIjp7InR5cGUiOiJhcnRpY2xlLWpvdXJuYWwiLCJpZCI6IjlmYjk1MTU2LTIxODMtMzQ4Yy1hMTExLTlhOGY5OTY1YmZmYyIsInRpdGxlIjoiVGljLXJlbGF0ZWQgY29nbml0aW9uLCBzZW5zb3J5IHBoZW5vbWVuYSwgYW5kIGFueGlldHkgaW4gY2hpbGRyZW4gYW5kIGFkb2xlc2NlbnRzIHdpdGggVG91cmV0dGUgc3luZHJvbWUiLCJncm91cElkIjoiMDdkNjJhYzEtNWFhOC0zOWFmLWI0OWUtNTJkMjA4OGFjNTcxIiwiYXV0aG9yIjpbeyJmYW1pbHkiOiJTdGVpbmJlcmciLCJnaXZlbiI6IlQiLCJwYXJzZS1uYW1lcyI6ZmFsc2UsImRyb3BwaW5nLXBhcnRpY2xlIjoiIiwibm9uLWRyb3BwaW5nLXBhcnRpY2xlIjoiIn0seyJmYW1pbHkiOiJIYXJ1c2giLCJnaXZlbiI6IkEiLCJwYXJzZS1uYW1lcyI6ZmFsc2UsImRyb3BwaW5nLXBhcnRpY2xlIjoiIiwibm9uLWRyb3BwaW5nLXBhcnRpY2xlIjoiIn0seyJmYW1pbHkiOiJCYXJuZWEiLCJnaXZlbiI6Ik0iLCJwYXJzZS1uYW1lcyI6ZmFsc2UsImRyb3BwaW5nLXBhcnRpY2xlIjoiIiwibm9uLWRyb3BwaW5nLXBhcnRpY2xlIjoiIn0seyJmYW1pbHkiOiJEYXIiLCJnaXZlbiI6IlIiLCJwYXJzZS1uYW1lcyI6ZmFsc2UsImRyb3BwaW5nLXBhcnRpY2xlIjoiIiwibm9uLWRyb3BwaW5nLXBhcnRpY2xlIjoiIn0seyJmYW1pbHkiOiJQaWFjZW50aW5pIiwiZ2l2ZW4iOiJKIiwicGFyc2UtbmFtZXMiOmZhbHNlLCJkcm9wcGluZy1wYXJ0aWNsZSI6IiIsIm5vbi1kcm9wcGluZy1wYXJ0aWNsZSI6IiJ9LHsiZmFtaWx5IjoiV29vZHMiLCJnaXZlbiI6IkQiLCJwYXJzZS1uYW1lcyI6ZmFsc2UsImRyb3BwaW5nLXBhcnRpY2xlIjoiIiwibm9uLWRyb3BwaW5nLXBhcnRpY2xlIjoiIn0seyJmYW1pbHkiOiJTaG11ZWwtQmFydWNoIiwiZ2l2ZW4iOiJTIiwicGFyc2UtbmFtZXMiOmZhbHNlLCJkcm9wcGluZy1wYXJ0aWNsZSI6IiIsIm5vbi1kcm9wcGluZy1wYXJ0aWNsZSI6IiJ9LHsiZmFtaWx5IjoiQXB0ZXIiLCJnaXZlbiI6IkEiLCJwYXJzZS1uYW1lcyI6ZmFsc2UsImRyb3BwaW5nLXBhcnRpY2xlIjoiIiwibm9uLWRyb3BwaW5nLXBhcnRpY2xlIjoiIn1dLCJjb250YWluZXItdGl0bGUiOiJDb21wciBQc3ljaGlhdHJ5IiwiRE9JIjoiMTAuMTAxNi9qLmNvbXBwc3ljaC4yMDEyLjEyLjAxMiIsIlBNSUQiOiIyMzMzMjU1NSIsIlVSTCI6Imh0dHBzOi8vbWVkaWEucHJvcXVlc3QuY29tL21lZGlhL3BxL2NsYXNzaWMvZG9jLzI5OTU4Mzg1ODEvZm10L3BpL3JlcC9OT05FP2NpdCUzQWF1dGg9U3RlaW5iZXJnJTJDK1RhbWFyJTNCSGFydXNoJTJDK0FkdmElM0JCYXJuZWElMkMrTWVpcmF2JTNCRGFyJTJDK1J1ZXZlbiUzQlBpYWNlbnRpbmklMkMrSm9obiUzQldvb2RzJTJDK0RvdWclM0JTaG11ZWwtQmFydWNoJTJDK1NoYXJvbmElM0JBcHRlciUyQytBbGFuJmNpdCUzQXRpdGxlPVRpYy1yZSIsImlzc3VlZCI6eyJkYXRlLXBhcnRzIjpbWzIwMTNdXX0sInBhZ2UiOiI0NjItNDY2IiwiYWJzdHJhY3QiOiJCQUNLR1JPVU5EOiBUb3VyZXR0ZSBzeW5kcm9tZSBpcyBhIHByb3RveXBpY2FsIGV4YW1wbGUgb2YgZGV2ZWxvcG1lbnRhbCBwc3ljaG9wYXRob2xvZ3ksIHdpdGggdGhlIHZhcnlpbmcgZXhwcmVzc2lvbnMgb2YgdGhlIGRpc29yZGVyIGFuZCBpdHMgY29uc2VxdWVuY2VzIGFwcGVhcmluZyBvdmVyIHRpbWUuIFNlbnNvcnkgdXJnZXMgdHlwaWNhbGx5IGFwcGVhciBhZnRlciBhZ2UgMTAgYW5kIGFyZSBvZnRlbiBmb2xsb3dlZCBieSBhbnhpZXR5IGFuZCBkZXByZXNzaW9uLiBPQkpFQ1RJVkU6IFRvIHN0dWR5IHRoZSBhc3NvY2lhdGlvbnMgYW1vbmcgdGljLXJlbGF0ZWQgY29nbml0aW9ucywgcHJlbW9uaXRvcnkgdXJnZXMsIGFuZCB0aWMgc2V2ZXJpdHkgaW4gY2hpbGRyZW4gd2l0aCBUb3VyZXR0ZSBzeW5kcm9tZSBhdCBkaWZmZXJlbnQgc3RhZ2VzIG9mIHRoZSBpbGxuZXNzLiBTVUJKRUNUUzogRmlmdHktc2V2ZW4gY29uc2VjdXRpdmUgcGF0aWVudHMgcmVmZXJyZWQgdG8gYSB0aWMgZGlzb3JkZXJzIGNsaW5pYy4gSU5TVFJVTUVOVFM6IEEgYmF0dGVyeSBvZiBpbnN0cnVtZW50cyB3YXMgY29tcGxldGVkOiBZYWxlIEdsb2JhbCBUaWMgU2V2ZXJpdHkgU2NhbGUsIFByZW1vbml0b3J5IFVyZ2UgZm9yIFRpY3MgU2NhbGUsIFNjcmVlbiBmb3IgQ2hpbGQgQW54aWV0eSBSZWxhdGVkIEVtb3Rpb25hbCBEaXNvcmRlcnMsIGFuZCBDaGlsZCBEZXByZXNzaW9uIEludmVudG9yeS4gVG8gZXhhbWluZSBjb2duaXRpb25zLCBhIG5ldyBtZWFzdXJlIHdhcyBkZXZlbG9wZWQ6IHRoZSBCZWxpZWZzIEFib3V0IFRpY3MgU2NhbGUuIFJFU1VMVFM6IFN0cm9uZyBjb3JyZWxhdGlvbnMgd2VyZSBmb3VuZCBiZXR3ZWVuIHRpYy1yZWxhdGVkIGJlbGllZnMgYW5kIGJvdGggcHJlbW9uaXRvcnkgdXJnZXMgYW5kIHRpYy1yZWxhdGVkIGltcGFpcm1lbnRzIChhcyBtZWFzdXJlZCBieSB0aGUgWWFsZSBHbG9iYWwgU2NhbGUpLiBUaWMtcmVsYXRlZCBiZWxpZWZzIHdlcmUgYWxzbyBzdHJvbmdseSBjb3JyZWxhdGVkIHdpdGggZGVwcmVzc2lvbiBpbiBjaGlsZHJlbiBvbGRlciB0aGFuIDEzIHllYXJzIGJ1dCBub3QgaW4geW91bmdlciBjaGlsZHJlbi4gQ09OQ0xVU0lPTlM6IFRoZSBzaWduaWZpY2FudCBjb3JyZWxhdGlvbnMgYmV0d2VlbiB0aWMtcmVsYXRlZCBjb2duaXRpb25zLCBwcmVtb25pdG9yeSB1cmdlcywgYW5kIHRpYy1yZWxhdGVkIGltcGFpcm1lbnRzIGluIGNoaWxkcmVuIGVtcGhhc2l6ZSB0aGUgaW1wb3J0YW50IHJvbGUgb2YgcHN5Y2hvbG9naWNhbCBhbmQgc2Vuc29yeSBmYWN0b3JzIGluIHRoZSB1bmRlcnN0YW5kaW5nIG9mIFRvdXJldHRlIHN5bmRyb21lIGFuZCBpbiBpdHMgdHJlYXRtZW50LiIsImlzc3VlIjoiNSIsInZvbHVtZSI6IjU0IiwiY29udGFpbmVyLXRpdGxlLXNob3J0IjoiIn0sImlzVGVtcG9yYXJ5IjpmYWxzZX1dfQ=="/>
                <w:id w:val="-1967576488"/>
                <w:placeholder>
                  <w:docPart w:val="DefaultPlaceholder_-1854013440"/>
                </w:placeholder>
              </w:sdtPr>
              <w:sdtContent>
                <w:r w:rsidR="00F04E9F" w:rsidRPr="00F04E9F">
                  <w:rPr>
                    <w:rFonts w:eastAsia="Times New Roman" w:cs="Times New Roman"/>
                    <w:color w:val="000000"/>
                    <w:sz w:val="16"/>
                    <w:szCs w:val="16"/>
                  </w:rPr>
                  <w:t>(25)</w:t>
                </w:r>
              </w:sdtContent>
            </w:sdt>
          </w:p>
        </w:tc>
        <w:tc>
          <w:tcPr>
            <w:tcW w:w="0" w:type="auto"/>
            <w:shd w:val="clear" w:color="auto" w:fill="FFFFFF"/>
            <w:hideMark/>
          </w:tcPr>
          <w:p w14:paraId="2623AF05"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56 children and adolescents with CTDs</w:t>
            </w:r>
          </w:p>
        </w:tc>
        <w:tc>
          <w:tcPr>
            <w:tcW w:w="0" w:type="auto"/>
            <w:shd w:val="clear" w:color="auto" w:fill="FFFFFF"/>
            <w:hideMark/>
          </w:tcPr>
          <w:p w14:paraId="41FE11AE" w14:textId="63FFD403"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No significant correlation between SCARED or CDI scores and PUTS scores (Pearson’s r = 0.07 and 0.10, respectively</w:t>
            </w:r>
            <w:r w:rsidR="006E6DA2">
              <w:rPr>
                <w:rFonts w:eastAsia="Times New Roman" w:cs="Times New Roman"/>
                <w:color w:val="000000" w:themeColor="text1"/>
                <w:sz w:val="16"/>
                <w:szCs w:val="16"/>
              </w:rPr>
              <w:t>;</w:t>
            </w:r>
            <w:r w:rsidRPr="008A1F40">
              <w:rPr>
                <w:rFonts w:eastAsia="Times New Roman" w:cs="Times New Roman"/>
                <w:color w:val="000000" w:themeColor="text1"/>
                <w:sz w:val="16"/>
                <w:szCs w:val="16"/>
              </w:rPr>
              <w:t xml:space="preserve"> p &gt; 0.01 for both</w:t>
            </w:r>
            <w:r w:rsidR="006E6DA2">
              <w:rPr>
                <w:rFonts w:eastAsia="Times New Roman" w:cs="Times New Roman"/>
                <w:color w:val="000000" w:themeColor="text1"/>
                <w:sz w:val="16"/>
                <w:szCs w:val="16"/>
              </w:rPr>
              <w:t>).</w:t>
            </w:r>
          </w:p>
        </w:tc>
      </w:tr>
      <w:tr w:rsidR="001D5890" w:rsidRPr="008A1F40" w14:paraId="50D89637" w14:textId="77777777" w:rsidTr="007F77D2">
        <w:trPr>
          <w:tblCellSpacing w:w="15" w:type="dxa"/>
        </w:trPr>
        <w:tc>
          <w:tcPr>
            <w:tcW w:w="0" w:type="auto"/>
            <w:shd w:val="clear" w:color="auto" w:fill="FFFFFF"/>
            <w:hideMark/>
          </w:tcPr>
          <w:p w14:paraId="53B0BC24" w14:textId="236C9C0D"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Isaacs et al (2021)</w:t>
            </w:r>
            <w:r w:rsidR="00996674">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YWRkYjU4YTMtOTA1MC00MTRmLTg4ZDktM2U5ZDRmNzA1YzIxIiwicHJvcGVydGllcyI6eyJub3RlSW5kZXgiOjB9LCJpc0VkaXRlZCI6ZmFsc2UsIm1hbnVhbE92ZXJyaWRlIjp7ImlzTWFudWFsbHlPdmVycmlkZGVuIjpmYWxzZSwiY2l0ZXByb2NUZXh0IjoiKDMxKSIsIm1hbnVhbE92ZXJyaWRlVGV4dCI6IiJ9LCJjaXRhdGlvbkl0ZW1zIjpbeyJpZCI6ImIwMGNmYjcwLWQ4ZTItM2U4Yi1hZmQxLWRmZjAyYjRkMDEwMCIsIml0ZW1EYXRhIjp7InR5cGUiOiJhcnRpY2xlLWpvdXJuYWwiLCJpZCI6ImIwMGNmYjcwLWQ4ZTItM2U4Yi1hZmQxLWRmZjAyYjRkMDEwMCIsInRpdGxlIjoiQ2xpbmljYWwgQ29ycmVsYXRlcyBvZiBIZWFsdGgtUmVsYXRlZCBRdWFsaXR5IG9mIExpZmUgaW4gQWR1bHRzIFdpdGggQ2hyb25pYyBUaWMgRGlzb3JkZXIiLCJncm91cElkIjoiMDdkNjJhYzEtNWFhOC0zOWFmLWI0OWUtNTJkMjA4OGFjNTcxIiwiYXV0aG9yIjpbeyJmYW1pbHkiOiJJc2FhY3MiLCJnaXZlbiI6IkQgQSIsInBhcnNlLW5hbWVzIjpmYWxzZSwiZHJvcHBpbmctcGFydGljbGUiOiIiLCJub24tZHJvcHBpbmctcGFydGljbGUiOiIifSx7ImZhbWlseSI6IlJpb3JkYW4iLCJnaXZlbiI6IkggUiIsInBhcnNlLW5hbWVzIjpmYWxzZSwiZHJvcHBpbmctcGFydGljbGUiOiIiLCJub24tZHJvcHBpbmctcGFydGljbGUiOiIifSx7ImZhbWlseSI6IkNsYWFzc2VuIiwiZ2l2ZW4iOiJEIE8iLCJwYXJzZS1uYW1lcyI6ZmFsc2UsImRyb3BwaW5nLXBhcnRpY2xlIjoiIiwibm9uLWRyb3BwaW5nLXBhcnRpY2xlIjoiIn1dLCJjb250YWluZXItdGl0bGUiOiJGcm9udGllcnMgaW4gUHN5Y2hpYXRyeSIsIkRPSSI6Imh0dHBzOi8vZHguZG9pLm9yZy8xMC4zMzg5L2Zwc3l0LjIwMjEuNjE5ODU0IiwiVVJMIjoiaHR0cDovL3d3dy5mcm9udGllcnNpbi5vcmcvUHN5Y2hpYXRyeWh0dHA6Ly9vdmlkc3Aub3ZpZC5jb20vb3ZpZHdlYi5jZ2k/VD1KUyZQQUdFPXJlZmVyZW5jZSZEPWVtZWQyMiZORVdTPU4mQU49NjM0NTY3MTM2IiwiaXNzdWVkIjp7ImRhdGUtcGFydHMiOltbMjAyMV1dfSwicGFnZSI6IjYxOTg1NCIsImFic3RyYWN0IjoiVGljcyBhcmUgdGhlIGhhbGxtYXJrIGZlYXR1cmUgb2YgVG91cmV0dGUgc3luZHJvbWUgKFRTKSwgYnV0IHBzeWNoaWF0cmljIGFuZCBzZW5zb3J5IHN5bXB0b21zIGFyZSB3aWRlbHkgcHJldmFsZW50IGFuZCBpbmNyZWFzaW5nbHkgcmVjb2duaXplZCBhcyBjb3JlIG1hbmlmZXN0YXRpb25zIG9mIHRoZSBkaXNvcmRlci4gQWNjdW11bGF0aW5nIGV2aWRlbmNlIHN1Z2dlc3RzIHRoYXQgdGhlc2UgcHN5Y2hpYXRyaWMgYW5kIHNlbnNvcnkgc3ltcHRvbXMgZXhlcnQgZ3JlYXRlciBpbmZsdWVuY2Ugb24gcXVhbGl0eSBvZiBsaWZlIChRT0wpIHRoYW4gdGljcyB0aGVtc2VsdmVzLiBIb3dldmVyLCBtdWNoIHJlbWFpbnMgdW5jZXJ0YWluIGFib3V0IGRldGVybWluYW50cyBvZiBRT0wgaW4gVFMgZHVlIHRvIHRoZSBjb21wbGV4aXR5IG9mIHRoZSBjbGluaWNhbCBwcmVzZW50YXRpb24uIEhlcmUsIHdlIHNvdWdodCB0byBjbGFyaWZ5IHRoZSBhc3NvY2lhdGlvbiBiZXR3ZWVuIGhlYWx0aC1yZWxhdGVkIFFPTCAoSFJRT0wpIGFuZCBjb21tb24gcHN5Y2hpYXRyaWMgYW5kIHNlbnNvcnkgc3ltcHRvbXMgaW4gYWR1bHRzIHdpdGggVFMgYW5kIG90aGVyIGNocm9uaWMgdGljIGRpc29yZGVycy4gVG8gZG8gc28sIHdlIHByb3NwZWN0aXZlbHkgcmVjcnVpdGVkIDUyIHBhdGllbnRzIGZyb20gYSB0ZXJ0aWFyeSBjYXJlIGNsaW5pYyB0byBjb21wbGV0ZSBzZWxmLXJlcG9ydCBtZWFzdXJlcyBhc3Nlc3NpbmcgSFJRT0wgKEdpbGxlcyBkZSBsYSBUb3VyZXR0ZS1RdWFsaXR5IG9mIExpZmUgU2NhbGUsIEdUUy1RT0wpLCBkZXByZXNzaW9uIChQYXRpZW50IEhlYWx0aCBRdWVzdGlvbm5haXJlLTksIFBIUS05KSwgYW54aWV0eSAoR2VuZXJhbGl6ZWQgQW54aWV0eSBEaXNvcmRlciBTY2FsZS03LCBHQUQtNyksIG9ic2Vzc2l2ZS1jb21wdWxzaXZlIHN5bXB0b21zIChEaW1lbnNpb25hbCBPYnNlc3NpdmUtQ29tcHVsc2l2ZSBTY2FsZSwgRE9DUyksIGF0dGVudGlvbiBkZWZpY2l0IGh5cGVyYWN0aXZpdHkgZGlzb3JkZXIgc3ltcHRvbXMgKEFkdWx0IEFESEQgU2VsZi1SZXBvcnQgU2NyZWVuaW5nIFNjYWxlIGZvciBEU00tNSwgQVNSUy1WKSwgYW5kIHByZW1vbml0b3J5IHVyZ2UgKFByZW1vbml0b3J5IFVyZ2UgdG8gVGljIFNjYWxlLCBQVVRTKS4gQWxsIHBhcnRpY2lwYW50cyB3ZXJlIGFsc28gYWRtaW5pc3RlcmVkIHRoZSBZYWxlIEdsb2JhbCBUaWMgU2V2ZXJpdHkgU2NhbGUgKFlHVFNTKSB0byBxdWFudGlmeSB0aWMgc2V2ZXJpdHkuIFVzaW5nIGNvcnJlbGF0aW9uYWwgYW5hbHlzaXMgYW5kIG11bHRpdmFyaWFibGUgbGluZWFyIHJlZ3Jlc3Npb24gbW9kZWxpbmcsIHdlIGZvdW5kIHRoYXQgR1RTLVFPTCBzY29yZSB3YXMgc2lnbmlmaWNhbnRseSBhc3NvY2lhdGVkIHdpdGggc2NvcmVzIGZyb20gYWxsIG90aGVyIHJhdGluZyBzY2FsZXMsIHdpdGggdGhlIGV4Y2VwdGlvbiBvZiB0aGUgUFVUUy4gR1RTLVFPTCB3YXMgbW9zdCBzdHJvbmdseSBhc3NvY2lhdGVkIHdpdGggUEhRLTksIGZvbGxvd2VkIGJ5IEFTUlMtViwgR0FELTcsIERPQ1MsIGFuZCBZR1RTUyB0b3RhbCB0aWMgc2NvcmUuIFRoZSByZWdyZXNzaW9uIG1vZGVsIGluY2x1ZGluZyB0aGVzZSBmaXZlIGluZGVwZW5kZW50IHZhcmlhYmxlcywgYXMgd2VsbCBhcyBzZXgsIGV4cGxhaW5lZCA3OSUgb2YgR1RTLVFPTCBzY29yZSB2YXJpYW5jZSBbRig2LDQwKSA9IDI5LjYsIHAgPCAwLjAwMV0uIFNwZWNpZmljIHBzeWNoaWF0cmljIHN5bXB0b21zIGRpZmZlcmVudGlhbGx5IGltcGFjdGVkIHBoeXNpY2FsLCBwc3ljaG9sb2dpY2FsLCBhbmQgY29nbml0aXZlIEhSUU9MLiBTeXN0ZW1hdGljIGFzc2Vzc21lbnQgb2YgcHN5Y2hpYXRyaWMgY29tb3JiaWRpdGllcyBpcyBpbXBlcmF0aXZlIGZvciBjbGluaWNhbCBjYXJlIGFuZCBjbGluaWNhbCByZXNlYXJjaCBlZmZvcnRzIGRpcmVjdGVkIGF0IGltcHJvdmluZyBRT0wgaW4gYWR1bHRzIHdpdGggY2hyb25pYyB0aWMgZGlzb3JkZXJzLsKpIENvcHlyaWdodCDCqSAyMDIxIElzYWFjcywgUmlvcmRhbiBhbmQgQ2xhYXNzZW4uIiwidm9sdW1lIjoiMTIiLCJjb250YWluZXItdGl0bGUtc2hvcnQiOiJGcm9udCBQc3ljaGlhdHJ5In0sImlzVGVtcG9yYXJ5IjpmYWxzZX1dfQ=="/>
                <w:id w:val="603157933"/>
                <w:placeholder>
                  <w:docPart w:val="DefaultPlaceholder_-1854013440"/>
                </w:placeholder>
              </w:sdtPr>
              <w:sdtContent>
                <w:r w:rsidR="00F04E9F" w:rsidRPr="00F04E9F">
                  <w:rPr>
                    <w:rFonts w:eastAsia="Times New Roman" w:cs="Times New Roman"/>
                    <w:color w:val="000000"/>
                    <w:sz w:val="16"/>
                    <w:szCs w:val="16"/>
                  </w:rPr>
                  <w:t>(31)</w:t>
                </w:r>
              </w:sdtContent>
            </w:sdt>
          </w:p>
        </w:tc>
        <w:tc>
          <w:tcPr>
            <w:tcW w:w="0" w:type="auto"/>
            <w:shd w:val="clear" w:color="auto" w:fill="FFFFFF"/>
            <w:hideMark/>
          </w:tcPr>
          <w:p w14:paraId="3E2E91E3"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52 adults with CTDs</w:t>
            </w:r>
          </w:p>
        </w:tc>
        <w:tc>
          <w:tcPr>
            <w:tcW w:w="0" w:type="auto"/>
            <w:shd w:val="clear" w:color="auto" w:fill="FFFFFF"/>
            <w:hideMark/>
          </w:tcPr>
          <w:p w14:paraId="1B9F7F05" w14:textId="796FBFCA"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No significant correlation between PUTS scores and GAD-7 (Spearman’s r = 0.29</w:t>
            </w:r>
            <w:r w:rsidR="00D713FC">
              <w:rPr>
                <w:rFonts w:eastAsia="Times New Roman" w:cs="Times New Roman"/>
                <w:color w:val="000000" w:themeColor="text1"/>
                <w:sz w:val="16"/>
                <w:szCs w:val="16"/>
              </w:rPr>
              <w:t>,</w:t>
            </w:r>
            <w:r w:rsidR="00D713FC" w:rsidRPr="008A1F40">
              <w:rPr>
                <w:rFonts w:eastAsia="Times New Roman" w:cs="Times New Roman"/>
                <w:color w:val="000000" w:themeColor="text1"/>
                <w:sz w:val="16"/>
                <w:szCs w:val="16"/>
              </w:rPr>
              <w:t xml:space="preserve"> p &gt; 0.001</w:t>
            </w:r>
            <w:r w:rsidRPr="008A1F40">
              <w:rPr>
                <w:rFonts w:eastAsia="Times New Roman" w:cs="Times New Roman"/>
                <w:color w:val="000000" w:themeColor="text1"/>
                <w:sz w:val="16"/>
                <w:szCs w:val="16"/>
              </w:rPr>
              <w:t>) or PHQ-9 scores (Spearman’s r = 0.25</w:t>
            </w:r>
            <w:r w:rsidR="00D713FC">
              <w:rPr>
                <w:rFonts w:eastAsia="Times New Roman" w:cs="Times New Roman"/>
                <w:color w:val="000000" w:themeColor="text1"/>
                <w:sz w:val="16"/>
                <w:szCs w:val="16"/>
              </w:rPr>
              <w:t>,</w:t>
            </w:r>
            <w:r w:rsidRPr="008A1F40">
              <w:rPr>
                <w:rFonts w:eastAsia="Times New Roman" w:cs="Times New Roman"/>
                <w:color w:val="000000" w:themeColor="text1"/>
                <w:sz w:val="16"/>
                <w:szCs w:val="16"/>
              </w:rPr>
              <w:t xml:space="preserve"> p &gt; 0.001</w:t>
            </w:r>
            <w:r w:rsidR="00D713FC">
              <w:rPr>
                <w:rFonts w:eastAsia="Times New Roman" w:cs="Times New Roman"/>
                <w:color w:val="000000" w:themeColor="text1"/>
                <w:sz w:val="16"/>
                <w:szCs w:val="16"/>
              </w:rPr>
              <w:t>)</w:t>
            </w:r>
          </w:p>
        </w:tc>
      </w:tr>
      <w:tr w:rsidR="001D5890" w:rsidRPr="008A1F40" w14:paraId="68F8F3CD" w14:textId="77777777" w:rsidTr="007F77D2">
        <w:trPr>
          <w:tblCellSpacing w:w="15" w:type="dxa"/>
        </w:trPr>
        <w:tc>
          <w:tcPr>
            <w:tcW w:w="0" w:type="auto"/>
            <w:shd w:val="clear" w:color="auto" w:fill="FFFFFF"/>
            <w:hideMark/>
          </w:tcPr>
          <w:p w14:paraId="2007AD0D" w14:textId="228C08F4"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Steinberg et al (2010)</w:t>
            </w:r>
            <w:r w:rsidR="00996674">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MGU5ZmNiOGItNGUwOC00ZGRlLTk0NjctZDIxNDczZGM4NGEwIiwicHJvcGVydGllcyI6eyJub3RlSW5kZXgiOjB9LCJpc0VkaXRlZCI6ZmFsc2UsIm1hbnVhbE92ZXJyaWRlIjp7ImlzTWFudWFsbHlPdmVycmlkZGVuIjpmYWxzZSwiY2l0ZXByb2NUZXh0IjoiKDMpIiwibWFudWFsT3ZlcnJpZGVUZXh0IjoiIn0sImNpdGF0aW9uSXRlbXMiOlt7ImlkIjoiODE4ODlmYmUtY2I0Zi0zMTQ2LWJlNWMtY2ViYWRjZjFiZmFhIiwiaXRlbURhdGEiOnsidHlwZSI6ImFydGljbGUtam91cm5hbCIsImlkIjoiODE4ODlmYmUtY2I0Zi0zMTQ2LWJlNWMtY2ViYWRjZjFiZmFhIiwidGl0bGUiOiJUaWMgZGlzb3JkZXJzIGFuZCB0aGUgcHJlbW9uaXRvcnkgdXJnZSIsImdyb3VwSWQiOiIwN2Q2MmFjMS01YWE4LTM5YWYtYjQ5ZS01MmQyMDg4YWM1NzEiLCJhdXRob3IiOlt7ImZhbWlseSI6IlN0ZWluYmVyZyIsImdpdmVuIjoiVCIsInBhcnNlLW5hbWVzIjpmYWxzZSwiZHJvcHBpbmctcGFydGljbGUiOiIiLCJub24tZHJvcHBpbmctcGFydGljbGUiOiIifSx7ImZhbWlseSI6IlNobXVlbCBCYXJ1Y2giLCJnaXZlbiI6IlMiLCJwYXJzZS1uYW1lcyI6ZmFsc2UsImRyb3BwaW5nLXBhcnRpY2xlIjoiIiwibm9uLWRyb3BwaW5nLXBhcnRpY2xlIjoiIn0seyJmYW1pbHkiOiJIYXJ1c2giLCJnaXZlbiI6IkEiLCJwYXJzZS1uYW1lcyI6ZmFsc2UsImRyb3BwaW5nLXBhcnRpY2xlIjoiIiwibm9uLWRyb3BwaW5nLXBhcnRpY2xlIjoiIn0seyJmYW1pbHkiOiJEYXIiLCJnaXZlbiI6IlIiLCJwYXJzZS1uYW1lcyI6ZmFsc2UsImRyb3BwaW5nLXBhcnRpY2xlIjoiIiwibm9uLWRyb3BwaW5nLXBhcnRpY2xlIjoiIn0seyJmYW1pbHkiOiJXb29kcyIsImdpdmVuIjoiRCIsInBhcnNlLW5hbWVzIjpmYWxzZSwiZHJvcHBpbmctcGFydGljbGUiOiIiLCJub24tZHJvcHBpbmctcGFydGljbGUiOiIifSx7ImZhbWlseSI6IlBpYWNlbnRpbmkiLCJnaXZlbiI6IkoiLCJwYXJzZS1uYW1lcyI6ZmFsc2UsImRyb3BwaW5nLXBhcnRpY2xlIjoiIiwibm9uLWRyb3BwaW5nLXBhcnRpY2xlIjoiIn0seyJmYW1pbHkiOiJBcHRlciIsImdpdmVuIjoiQSIsInBhcnNlLW5hbWVzIjpmYWxzZSwiZHJvcHBpbmctcGFydGljbGUiOiIiLCJub24tZHJvcHBpbmctcGFydGljbGUiOiIifV0sImNvbnRhaW5lci10aXRsZSI6IkogTmV1cmFsIFRyYW5zbSAoVmllbm5hKSIsIkRPSSI6IjEwLjEwMDcvczAwNzAyLTAwOS0wMzUzLTMiLCJQTUlEIjoiMjAwMzMyMzYiLCJVUkwiOiJodHRwczovL2xpbmsuc3ByaW5nZXIuY29tL2NvbnRlbnQvcGRmLzEwLjEwMDcvczAwNzAyLTAwOS0wMzUzLTMucGRmIiwiaXNzdWVkIjp7ImRhdGUtcGFydHMiOltbMjAxMF1dfSwicGFnZSI6IjI3Ny0yODQiLCJhYnN0cmFjdCI6IlRoZSBhaW1zIG9mIHRoaXMgc3R1ZHkgd2VyZSB0byBleGFtaW5lIGEgbm9uLUVuZ2xpc2ggKEhlYnJldykgdmVyc2lvbiBvZiBhIHNjYWxlIHRoYXQgbWVhc3VyZXMgdGhlIHByZW1vbml0b3J5IHVyZ2UgaW4gY2hpbGRyZW4gc3VmZmVyaW5nIGZyb20gdGljIGRpc29yZGVyLCBhcyB3ZWxsIGFzIGV4YW1pbmUgdGhlIGNvcnJlbGF0aW9ucyBvZiB0aGUgdXJnZSB3aXRoIGRlbW9ncmFwaGljIGFuZCBjbGluaWNhbCBhc3BlY3RzIG9mIFRvdXJldHRlIFN5bmRyb21lLiBGb3J0eSBjaGlsZHJlbiBhbmQgYWRvbGVzY2VudHMsIHN1ZmZlcmluZyBmcm9tIHRpY3MgcGFydGljaXBhdGVkIGluIHRoaXMgc3R1ZHkuIFRoZXkgd2VyZSBhc3Nlc3NlZCB3aXRoIHRoZSBQcmVtb25pdG9yeSBVcmdlIGZvciBUaWNzIFNjYWxlIChQVVRTKTsgdGhlIFlhbGUgR2xvYmFsIFRpYyBTZXZlcml0eSBTY2FsZSAoWUdUU1MpOyB0aGUgQ2hpbGRob29kIFZlcnNpb24gb2YgdGhlIFlhbGUgQnJvd24gT2JzZXNzaXZlIENvbXB1bHNpdmUgU2NhbGUgKENZQk9DUyk7IHRoZSBBREhEIFJhdGluZyBTY2FsZSBJViAoQ29ubmVycykgU2NhbGU7IHRoZSBTY3JlZW4gZm9yIENoaWxkIEFueGlldHkgUmVsYXRlZCBFbW90aW9uYWwgRGlzb3JkZXJzIChTQ0FSRUQpOyBhbmQgdGhlIENoaWxkIERlcHJlc3Npb24gSW52ZW50b3J5IChDREkpLiBUaGUgbWVhbiBQVVRTIHNjb3JlIHdhcyAyMC4xNSAoU0QgPSA1Ljg5KS4gRm9yIHRoZSBlbnRpcmUgc2FtcGxlIHRoZSBQVVRTIHdhcyBmb3VuZCB0byBiZSBpbnRlcm5hbGx5IGNvbnNpc3RlbnQgYXQgYSA9IDAuNzkuIFlvdXRocyBvbGRlciB0aGFuIDEwIHllYXJzIGhhZCBoaWdoZXIgY29uc2lzdGVuY3kgKGEgPSAwLjgzKSB0aGFuIHlvdXRocyB5b3VuZ2VyIHRoYW4gMTAgKGEgPSAwLjY5KS4gUHJlbW9uaXRvcnkgdXJnZSB3YXMgbm90IGNvcnJlbGF0ZWQgd2l0aCB0aWMgc2V2ZXJpdHkgaW4gdGhlIGVudGlyZSBzYW1wbGUuIEluIHlvdXRocyBvbGRlciB0aGFuIDEwLCBhcyBvcHBvc2VkIHRvIHlvdXRocyB5b3VuZ2VyIHRoYW4gMTAsIHByZW1vbml0b3J5IHVyZ2UgZGlkIGNvcnJlbGF0ZSB3aXRoIG9ic2Vzc2lvbnMsIGNvbXB1bHNpb25zIGFuZCBkZXByZXNzaW9uLCBidXQgbm90IHdpdGggYW54aWV0eSBvciB3aXRoIEFESEQuIFRoZSBwcmVtb25pdG9yeSB1cmdlIGNhbiBiZSBtZWFzdXJlZCByZWxpYWJseSBhbmQgdGhlIFBVVFMgaXMgYSB1c2VmdWwgaW5zdHJ1bWVudCBmb3IgbWVhc3VyaW5nIHRoaXMgaW1wb3J0YW50IHBoZW5vbWVuYS4gUHJlbW9uaXRvcnkgdXJnZXMgc2VlbXMgdG8gYmUgcmVsYXRlZCB0byBvYnNlc3Npb25zLCBjb21wdWxzaW9ucywgYW5kIGRlcHJlc3Npb24gaW4gb2xkZXIgY2hpbGRyZW4gYW5kIHRoaXMgbWF5IGhhdmUgaW1wbGljYXRpb25zIGZvciB0aGUgZGV2ZWxvcG1lbnRhbCBwc3ljaG9wYXRob2xneSBvZiB0aGVzZSBzeW1wdG9tcy4iLCJpc3N1ZSI6IjIiLCJ2b2x1bWUiOiIxMTciLCJjb250YWluZXItdGl0bGUtc2hvcnQiOiIifSwiaXNUZW1wb3JhcnkiOmZhbHNlfV19"/>
                <w:id w:val="1228032929"/>
                <w:placeholder>
                  <w:docPart w:val="DefaultPlaceholder_-1854013440"/>
                </w:placeholder>
              </w:sdtPr>
              <w:sdtContent>
                <w:r w:rsidR="00F04E9F" w:rsidRPr="00F04E9F">
                  <w:rPr>
                    <w:rFonts w:eastAsia="Times New Roman" w:cs="Times New Roman"/>
                    <w:color w:val="000000"/>
                    <w:sz w:val="16"/>
                    <w:szCs w:val="16"/>
                  </w:rPr>
                  <w:t>(3)</w:t>
                </w:r>
              </w:sdtContent>
            </w:sdt>
          </w:p>
        </w:tc>
        <w:tc>
          <w:tcPr>
            <w:tcW w:w="0" w:type="auto"/>
            <w:shd w:val="clear" w:color="auto" w:fill="FFFFFF"/>
            <w:hideMark/>
          </w:tcPr>
          <w:p w14:paraId="618682DE"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40 children with CTDs</w:t>
            </w:r>
          </w:p>
        </w:tc>
        <w:tc>
          <w:tcPr>
            <w:tcW w:w="0" w:type="auto"/>
            <w:shd w:val="clear" w:color="auto" w:fill="FFFFFF"/>
            <w:hideMark/>
          </w:tcPr>
          <w:p w14:paraId="005772DE" w14:textId="47F24DC4"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Significant correlation between SCARED and PUTS scores (r = 0.34, p &lt; 0.05). No significant correlation </w:t>
            </w:r>
            <w:r w:rsidR="003B1429">
              <w:rPr>
                <w:rFonts w:eastAsia="Times New Roman" w:cs="Times New Roman"/>
                <w:color w:val="000000" w:themeColor="text1"/>
                <w:sz w:val="16"/>
                <w:szCs w:val="16"/>
              </w:rPr>
              <w:t xml:space="preserve">of PUTS </w:t>
            </w:r>
            <w:r w:rsidRPr="008A1F40">
              <w:rPr>
                <w:rFonts w:eastAsia="Times New Roman" w:cs="Times New Roman"/>
                <w:color w:val="000000" w:themeColor="text1"/>
                <w:sz w:val="16"/>
                <w:szCs w:val="16"/>
              </w:rPr>
              <w:t>with CDI scores (</w:t>
            </w:r>
            <w:r w:rsidRPr="008A1F40">
              <w:rPr>
                <w:rFonts w:cs="Times New Roman"/>
                <w:color w:val="000000" w:themeColor="text1"/>
                <w:sz w:val="16"/>
                <w:szCs w:val="16"/>
                <w:shd w:val="clear" w:color="auto" w:fill="FFFFFF"/>
              </w:rPr>
              <w:t>r = 0.24, p = 0.15)</w:t>
            </w:r>
            <w:r w:rsidR="003B1429">
              <w:rPr>
                <w:rFonts w:cs="Times New Roman"/>
                <w:color w:val="000000" w:themeColor="text1"/>
                <w:sz w:val="16"/>
                <w:szCs w:val="16"/>
                <w:shd w:val="clear" w:color="auto" w:fill="FFFFFF"/>
              </w:rPr>
              <w:t>.</w:t>
            </w:r>
            <w:r w:rsidRPr="008A1F40">
              <w:rPr>
                <w:rFonts w:eastAsia="Times New Roman" w:cs="Times New Roman"/>
                <w:color w:val="000000" w:themeColor="text1"/>
                <w:sz w:val="16"/>
                <w:szCs w:val="16"/>
              </w:rPr>
              <w:t xml:space="preserve"> </w:t>
            </w:r>
          </w:p>
          <w:p w14:paraId="35DE578F" w14:textId="54243724"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shd w:val="clear" w:color="auto" w:fill="FFFFFF"/>
              </w:rPr>
              <w:lastRenderedPageBreak/>
              <w:t>After dividing the sample into younger (10</w:t>
            </w:r>
            <w:r w:rsidR="001D5890">
              <w:rPr>
                <w:rFonts w:cs="Times New Roman"/>
                <w:color w:val="000000" w:themeColor="text1"/>
                <w:sz w:val="16"/>
                <w:szCs w:val="16"/>
                <w:shd w:val="clear" w:color="auto" w:fill="FFFFFF"/>
              </w:rPr>
              <w:t xml:space="preserve"> </w:t>
            </w:r>
            <w:r w:rsidRPr="008A1F40">
              <w:rPr>
                <w:rFonts w:cs="Times New Roman"/>
                <w:color w:val="000000" w:themeColor="text1"/>
                <w:sz w:val="16"/>
                <w:szCs w:val="16"/>
                <w:shd w:val="clear" w:color="auto" w:fill="FFFFFF"/>
              </w:rPr>
              <w:t>years</w:t>
            </w:r>
            <w:r w:rsidR="001D5890">
              <w:rPr>
                <w:rFonts w:cs="Times New Roman"/>
                <w:color w:val="000000" w:themeColor="text1"/>
                <w:sz w:val="16"/>
                <w:szCs w:val="16"/>
                <w:shd w:val="clear" w:color="auto" w:fill="FFFFFF"/>
              </w:rPr>
              <w:t xml:space="preserve"> </w:t>
            </w:r>
            <w:r w:rsidRPr="008A1F40">
              <w:rPr>
                <w:rFonts w:cs="Times New Roman"/>
                <w:color w:val="000000" w:themeColor="text1"/>
                <w:sz w:val="16"/>
                <w:szCs w:val="16"/>
                <w:shd w:val="clear" w:color="auto" w:fill="FFFFFF"/>
              </w:rPr>
              <w:t>and younger) and older (older than 10 years) subgroups, the only significant correlation between PUTS scores and either scale was a significant correlation between CDI and PUTS scores in the older group (r(22) = 0.47, p &lt; 0.05) (correlation type unclear from publication)</w:t>
            </w:r>
          </w:p>
          <w:p w14:paraId="2DD1E989" w14:textId="77777777" w:rsidR="00986E35" w:rsidRPr="008A1F40" w:rsidRDefault="00986E35" w:rsidP="007F77D2">
            <w:pPr>
              <w:rPr>
                <w:rFonts w:eastAsia="Times New Roman" w:cs="Times New Roman"/>
                <w:color w:val="000000" w:themeColor="text1"/>
                <w:sz w:val="16"/>
                <w:szCs w:val="16"/>
              </w:rPr>
            </w:pPr>
          </w:p>
        </w:tc>
      </w:tr>
      <w:tr w:rsidR="001D5890" w:rsidRPr="008A1F40" w14:paraId="0A88E9DC" w14:textId="77777777" w:rsidTr="007F77D2">
        <w:trPr>
          <w:tblCellSpacing w:w="15" w:type="dxa"/>
        </w:trPr>
        <w:tc>
          <w:tcPr>
            <w:tcW w:w="0" w:type="auto"/>
            <w:shd w:val="clear" w:color="auto" w:fill="FFFFFF"/>
            <w:hideMark/>
          </w:tcPr>
          <w:p w14:paraId="31ADE0CE" w14:textId="158ACAA2"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lastRenderedPageBreak/>
              <w:t>Woods et al (2005)</w:t>
            </w:r>
            <w:r w:rsidR="00996674">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YjMzYTNiYjEtNTI2MS00MDI2LTg0ZjQtOTJjMDljMjUwODQxIiwicHJvcGVydGllcyI6eyJub3RlSW5kZXgiOjB9LCJpc0VkaXRlZCI6ZmFsc2UsIm1hbnVhbE92ZXJyaWRlIjp7ImlzTWFudWFsbHlPdmVycmlkZGVuIjpmYWxzZSwiY2l0ZXByb2NUZXh0IjoiKDIpIiwibWFudWFsT3ZlcnJpZGVUZXh0IjoiIn0sImNpdGF0aW9uSXRlbXMiOlt7ImlkIjoiNjcyM2VkNzQtMGQ1Ny0zYTZhLWIwMzEtODVkN2Y4N2Q5NTVmIiwiaXRlbURhdGEiOnsidHlwZSI6ImFydGljbGUtam91cm5hbCIsImlkIjoiNjcyM2VkNzQtMGQ1Ny0zYTZhLWIwMzEtODVkN2Y4N2Q5NTVmIiwidGl0bGUiOiJQcmVtb25pdG9yeSBVcmdlIGZvciBUaWNzIFNjYWxlIChQVVRTKTogaW5pdGlhbCBwc3ljaG9tZXRyaWMgcmVzdWx0cyBhbmQgZXhhbWluYXRpb24gb2YgdGhlIHByZW1vbml0b3J5IHVyZ2UgcGhlbm9tZW5vbiBpbiB5b3V0aHMgd2l0aCBUaWMgZGlzb3JkZXJzIiwiZ3JvdXBJZCI6IjA3ZDYyYWMxLTVhYTgtMzlhZi1iNDllLTUyZDIwODhhYzU3MSIsImF1dGhvciI6W3siZmFtaWx5IjoiV29vZHMiLCJnaXZlbiI6IkQgVyIsInBhcnNlLW5hbWVzIjpmYWxzZSwiZHJvcHBpbmctcGFydGljbGUiOiIiLCJub24tZHJvcHBpbmctcGFydGljbGUiOiIifSx7ImZhbWlseSI6IlBpYWNlbnRpbmkiLCJnaXZlbiI6IkoiLCJwYXJzZS1uYW1lcyI6ZmFsc2UsImRyb3BwaW5nLXBhcnRpY2xlIjoiIiwibm9uLWRyb3BwaW5nLXBhcnRpY2xlIjoiIn0seyJmYW1pbHkiOiJIaW1sZSIsImdpdmVuIjoiTSBCIiwicGFyc2UtbmFtZXMiOmZhbHNlLCJkcm9wcGluZy1wYXJ0aWNsZSI6IiIsIm5vbi1kcm9wcGluZy1wYXJ0aWNsZSI6IiJ9LHsiZmFtaWx5IjoiQ2hhbmciLCJnaXZlbiI6IlMiLCJwYXJzZS1uYW1lcyI6ZmFsc2UsImRyb3BwaW5nLXBhcnRpY2xlIjoiIiwibm9uLWRyb3BwaW5nLXBhcnRpY2xlIjoiIn1dLCJjb250YWluZXItdGl0bGUiOiJKIERldiBCZWhhdiBQZWRpYXRyIiwiRE9JIjoiMTAuMTA5Ny8wMDAwNDcwMy0yMDA1MTIwMDAtMDAwMDEiLCJQTUlEIjoiMTYzNDQ2NTQiLCJpc3N1ZWQiOnsiZGF0ZS1wYXJ0cyI6W1syMDA1XV19LCJwYWdlIjoiMzk3LTQwMyIsImFic3RyYWN0IjoiQWx0aG91Z2ggbW90b3IgdGljcyBhbmQvb3Igdm9jYWwgdGljcyBhcmUgdGhlIGRlZmluaW5nIGZlYXR1cmVzIG9mIGNocm9uaWMgdGljIGRpc29yZGVyIChDVEQpIGFuZCBUb3VyZXR0ZSBzeW5kcm9tZSAoVFMpLCBvbGRlciB5b3V0aHMgYW5kIGFkdWx0cyBvZnRlbiByZXBvcnQgdGhlaXIgdGljcyB0byBiZSBwcmVjZWRlZCBieSBhbiB1bnBsZWFzYW50IHNlbnNhdGlvbiBvciBcInByZW1vbml0b3J5IHVyZ2UuXCIgV2hpbGUgcHJlbW9uaXRvcnkgdXJnZSBwaGVub21lbmEgbWF5IHBsYXkgYW4gaW1wb3J0YW50IHJvbGUgaW4gYmVoYXZpb3JhbCBpbnRlcnZlbnRpb25zIGZvciBDVEQvVFMsIHN0YW5kYXJkaXplZCBhc3Nlc3NtZW50cyBmb3IgcHJlbW9uaXRvcnkgdXJnZXMgZG8gbm90IGV4aXN0LiBUaGUgY3VycmVudCBzdHVkeSBvZiA0MiB5b3V0aHMgd2l0aCBUUyBvciBDVEQgcHJlc2VudHMgaW5pdGlhbCBwc3ljaG9tZXRyaWMgZGF0YSBmb3IgYSBuZXcsIGJyaWVmIHNlbGYtcmVwb3J0IHNjYWxlIGRlc2lnbmVkIHRvIG1lYXN1cmUgdGljLXJlbGF0ZWQgcHJlbW9uaXRvcnkgdXJnZXMuIFJlc3VsdHMgc2hvd2VkIHRoYXQgdGhlIFByZW1vbml0b3J5IFVyZ2UgZm9yIFRpY3MgU2NhbGUgKFBVVFMpIHdhcyBpbnRlcm5hbGx5IGNvbnNpc3RlbnQgKGFscGhhID0gLjgxKSBhbmQgdGVtcG9yYWxseSBzdGFibGUgYXQgMSAociA9IDAuNzksIHAgPCAuMDEpIGFuZCAyIChyID0gMC44NiwgcCA8IC4wMSkgd2Vla3MuIFBVVFMgc2NvcmVzIHdlcmUgYWxzbyBjb3JyZWxhdGVkIHdpdGggb3ZlcmFsbCB0aWMgc2V2ZXJpdHkgYXMgbWVhc3VyZWQgYnkgdGhlIFlhbGUgR2xvYmFsIFRpYyBTZXZlcml0eSBTY2FsZSAoWUdUU1M7IHIgPSAwLjMxLCBwIDwgLjA1KSBhbmQgdGhlIFlHVFNTIG51bWJlciAociA9IDAuMzUsIHAgPCAuMDUpLCBjb21wbGV4aXR5IChyID0gMC40OSwgcCA8IC4wMSksIGFuZCBpbnRlcmZlcmVuY2UgKHIgPSAwLjM2LCBwIDwgLjA1KSBzdWJzY2FsZXMuIEZpbmFsbHksIGFuIGV4YW1pbmF0aW9uIG9mIHRoZSBwc3ljaGlhdHJpYyBjb3JyZWxhdGVzIG9mIHRoZSBwcmVtb25pdG9yeSB1cmdlIHBoZW5vbWVub24geWllbGRlZCBzaWduaWZpY2FudCBjb3JyZWxhdGlvbnMgYmV0d2VlbiB0aGUgUFVUUyBhbmQgdGhlIENoaWxkIEJlaGF2aW9yIENoZWNrbGlzdCAoQ0JDTCkgYW54aWV0eS9kZXByZXNzaW9uIChyID0gMC4zMywgcCA8IC4wNSksIGFuZCB3aXRoZHJhd2FsIChyID0gMC4zOCwgcCA8IC4wNSkgc3Vic2NhbGVzIGFzIHdlbGwgYXMgdGhlIENoaWxkcmVuJ3MgWWFsZS1Ccm93biBPYnNlc3NpdmUgQ29tcHVsc2l2ZSBTY2FsZSAoQ1lCT0NTOyByID0gMC4zMSwgcCA8IC4wNSkuIEhvd2V2ZXIsIGEgY3Jvc3Mtc2VjdGlvbmFsIGV4YW1pbmF0aW9uIG9mIHRoZSBkYXRhIHNob3dlZCB0aGF0IHRoZSBwc3ljaG9tZXRyaWMgcHJvcGVydGllcyBvZiB0aGUgUFVUUyB3ZXJlIG5vdCBhY2NlcHRhYmxlIGZvciB5b3V0aHMgMTAgeWVhcnMgb2YgYWdlIGFuZCB5b3VuZ2VyLiBMaWtld2lzZSwgc2lnbmlmaWNhbnQgY29ycmVsYXRpb25zIGZvdW5kIGJldHdlZW4gdGhlIFlHVFNTIHN1YnNjYWxlcywgQ0JDTCBzdWJzY2FsZXMsIENZQk9DUywgYW5kIHRoZSBQVVRTIGRpZCBub3QgZW1lcmdlIGluIHRoaXMgeW91bmdlciBhZ2UgZ3JvdXAuIFRoZSBjbGluaWNhbCBhbmQgdGhlb3JldGljYWwgaW1wbGljYXRpb25zIG9mIHRoZXNlIGZpbmRpbmdzIGFyZSBkaXNjdXNzZWQuIiwiaXNzdWUiOiI2Iiwidm9sdW1lIjoiMjYiLCJjb250YWluZXItdGl0bGUtc2hvcnQiOiIifSwiaXNUZW1wb3JhcnkiOmZhbHNlfV19"/>
                <w:id w:val="-736165724"/>
                <w:placeholder>
                  <w:docPart w:val="DefaultPlaceholder_-1854013440"/>
                </w:placeholder>
              </w:sdtPr>
              <w:sdtContent>
                <w:r w:rsidR="00F04E9F" w:rsidRPr="00F04E9F">
                  <w:rPr>
                    <w:rFonts w:eastAsia="Times New Roman" w:cs="Times New Roman"/>
                    <w:color w:val="000000"/>
                    <w:sz w:val="16"/>
                    <w:szCs w:val="16"/>
                  </w:rPr>
                  <w:t>(2)</w:t>
                </w:r>
              </w:sdtContent>
            </w:sdt>
          </w:p>
        </w:tc>
        <w:tc>
          <w:tcPr>
            <w:tcW w:w="0" w:type="auto"/>
            <w:shd w:val="clear" w:color="auto" w:fill="FFFFFF"/>
            <w:hideMark/>
          </w:tcPr>
          <w:p w14:paraId="769616CC"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42 children and adolescents with CTDs</w:t>
            </w:r>
          </w:p>
        </w:tc>
        <w:tc>
          <w:tcPr>
            <w:tcW w:w="0" w:type="auto"/>
            <w:shd w:val="clear" w:color="auto" w:fill="FFFFFF"/>
            <w:hideMark/>
          </w:tcPr>
          <w:p w14:paraId="76F599C0" w14:textId="56ACBFD8"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Significant correlation between PUTS and CBCL withdrawal and anxiety/depression subscale</w:t>
            </w:r>
            <w:r w:rsidR="008C389D">
              <w:rPr>
                <w:rFonts w:eastAsia="Times New Roman" w:cs="Times New Roman"/>
                <w:color w:val="000000" w:themeColor="text1"/>
                <w:sz w:val="16"/>
                <w:szCs w:val="16"/>
              </w:rPr>
              <w:t xml:space="preserve"> score</w:t>
            </w:r>
            <w:r w:rsidRPr="008A1F40">
              <w:rPr>
                <w:rFonts w:eastAsia="Times New Roman" w:cs="Times New Roman"/>
                <w:color w:val="000000" w:themeColor="text1"/>
                <w:sz w:val="16"/>
                <w:szCs w:val="16"/>
              </w:rPr>
              <w:t xml:space="preserve">s (Pearson’s r = 0.38 and 0.33, respectively, p &lt; 0.05 for both). </w:t>
            </w:r>
          </w:p>
          <w:p w14:paraId="47184E84" w14:textId="28040919"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When dividing the sample </w:t>
            </w:r>
            <w:r w:rsidRPr="008A1F40">
              <w:rPr>
                <w:rFonts w:cs="Times New Roman"/>
                <w:color w:val="000000" w:themeColor="text1"/>
                <w:sz w:val="16"/>
                <w:szCs w:val="16"/>
              </w:rPr>
              <w:t>into youth 10 years and younger and older than 10 years, these correlations only remained significant in the older group (r = 0.59, p &lt; 0.01 and r = 0.55, p &lt; 0.01</w:t>
            </w:r>
            <w:r w:rsidR="00F8640A">
              <w:rPr>
                <w:rFonts w:cs="Times New Roman"/>
                <w:color w:val="000000" w:themeColor="text1"/>
                <w:sz w:val="16"/>
                <w:szCs w:val="16"/>
              </w:rPr>
              <w:t>,</w:t>
            </w:r>
            <w:r w:rsidRPr="008A1F40">
              <w:rPr>
                <w:rFonts w:cs="Times New Roman"/>
                <w:color w:val="000000" w:themeColor="text1"/>
                <w:sz w:val="16"/>
                <w:szCs w:val="16"/>
              </w:rPr>
              <w:t xml:space="preserve"> respectively)</w:t>
            </w:r>
          </w:p>
        </w:tc>
      </w:tr>
    </w:tbl>
    <w:p w14:paraId="1E86AE67" w14:textId="557430D1" w:rsidR="00986E35" w:rsidRDefault="00986E35" w:rsidP="00986E35">
      <w:pPr>
        <w:rPr>
          <w:rFonts w:cs="Times New Roman"/>
          <w:sz w:val="16"/>
          <w:szCs w:val="16"/>
        </w:rPr>
      </w:pPr>
      <w:r w:rsidRPr="008A1F40">
        <w:rPr>
          <w:rFonts w:cs="Times New Roman"/>
          <w:color w:val="000000" w:themeColor="text1"/>
          <w:sz w:val="16"/>
          <w:szCs w:val="16"/>
        </w:rPr>
        <w:t>HADS = Hospital Anxiety and Depression Scale, PHQ-9 = Patient Health Questionnaire-9, MASC = Multidimensional Anxiety Scale for Children, CDI = Children’s Depression Inventory, CBCL = Child Behavior Checklist, SCARED-C = Screen for Child Anxiety Related Emotional Disorders – Child Version, SCARED-P = Screen for Child Anxiety Related Emotional Disorders – Parent Report</w:t>
      </w:r>
      <w:r w:rsidRPr="008A1F40">
        <w:rPr>
          <w:rFonts w:eastAsia="Times New Roman" w:cs="Times New Roman"/>
          <w:color w:val="0D0D0D"/>
          <w:sz w:val="16"/>
          <w:szCs w:val="16"/>
        </w:rPr>
        <w:t xml:space="preserve">, CY-BOCS = Children’s </w:t>
      </w:r>
      <w:r w:rsidRPr="008A1F40">
        <w:rPr>
          <w:rFonts w:cs="Times New Roman"/>
          <w:sz w:val="16"/>
          <w:szCs w:val="16"/>
        </w:rPr>
        <w:t xml:space="preserve">Yale-Brown Obsessive-Compulsive Scale, YGTSS = Yale Global Tic Severity Scale, </w:t>
      </w:r>
      <w:r w:rsidRPr="008A1F40">
        <w:rPr>
          <w:rFonts w:cs="Times New Roman"/>
          <w:color w:val="000000" w:themeColor="text1"/>
          <w:sz w:val="16"/>
          <w:szCs w:val="16"/>
        </w:rPr>
        <w:t xml:space="preserve">GAD-7 = Generalized Anxiety Disorder Scale-7, CTD = Chronic Tic Disorder, </w:t>
      </w:r>
      <w:r w:rsidRPr="008A1F40">
        <w:rPr>
          <w:rFonts w:cs="Times New Roman"/>
          <w:sz w:val="16"/>
          <w:szCs w:val="16"/>
        </w:rPr>
        <w:t>PUTS = Premonitory Urge for Tics Scale, TS = Tourette Syndrome</w:t>
      </w:r>
    </w:p>
    <w:p w14:paraId="3B7D5AA1" w14:textId="77777777" w:rsidR="00986E35" w:rsidRPr="00986E35" w:rsidRDefault="00986E35" w:rsidP="00986E35">
      <w:pPr>
        <w:rPr>
          <w:rFonts w:cs="Times New Roman"/>
          <w:sz w:val="16"/>
          <w:szCs w:val="16"/>
        </w:rPr>
      </w:pPr>
    </w:p>
    <w:p w14:paraId="0FEB8E58" w14:textId="6266E0F7" w:rsidR="00986E35" w:rsidRPr="00986E35" w:rsidRDefault="00986E35" w:rsidP="00986E35">
      <w:pPr>
        <w:rPr>
          <w:rFonts w:cs="Times New Roman"/>
          <w:b/>
          <w:bCs/>
          <w:color w:val="000000" w:themeColor="text1"/>
        </w:rPr>
      </w:pPr>
      <w:r w:rsidRPr="008A1F40">
        <w:rPr>
          <w:rFonts w:cs="Times New Roman"/>
          <w:sz w:val="16"/>
          <w:szCs w:val="16"/>
        </w:rPr>
        <w:t>T</w:t>
      </w:r>
      <w:r w:rsidRPr="008A1F40">
        <w:rPr>
          <w:rFonts w:cs="Times New Roman"/>
          <w:color w:val="000000" w:themeColor="text1"/>
          <w:sz w:val="16"/>
          <w:szCs w:val="16"/>
        </w:rPr>
        <w:t>able 8: Associations with Behavioral, Conduct, and Emotional Problems</w:t>
      </w:r>
    </w:p>
    <w:tbl>
      <w:tblPr>
        <w:tblW w:w="9210" w:type="dxa"/>
        <w:tblCellSpacing w:w="15" w:type="dxa"/>
        <w:tblBorders>
          <w:top w:val="thinThickSmallGap" w:sz="24" w:space="0" w:color="C4BC96" w:themeColor="background2" w:themeShade="BF"/>
          <w:left w:val="thinThickSmallGap" w:sz="24" w:space="0" w:color="C4BC96" w:themeColor="background2" w:themeShade="BF"/>
          <w:bottom w:val="thickThinSmallGap" w:sz="24" w:space="0" w:color="C4BC96" w:themeColor="background2" w:themeShade="BF"/>
          <w:right w:val="thickThinSmallGap" w:sz="24" w:space="0" w:color="C4BC96" w:themeColor="background2" w:themeShade="BF"/>
          <w:insideH w:val="single" w:sz="6" w:space="0" w:color="C4BC96" w:themeColor="background2" w:themeShade="BF"/>
          <w:insideV w:val="single" w:sz="6" w:space="0" w:color="C4BC96" w:themeColor="background2"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1108"/>
        <w:gridCol w:w="1862"/>
        <w:gridCol w:w="6240"/>
      </w:tblGrid>
      <w:tr w:rsidR="00986E35" w:rsidRPr="008A1F40" w14:paraId="743FF2F4" w14:textId="77777777" w:rsidTr="007F77D2">
        <w:trPr>
          <w:tblHeader/>
          <w:tblCellSpacing w:w="15" w:type="dxa"/>
        </w:trPr>
        <w:tc>
          <w:tcPr>
            <w:tcW w:w="0" w:type="auto"/>
            <w:shd w:val="clear" w:color="auto" w:fill="FFFFFF"/>
            <w:hideMark/>
          </w:tcPr>
          <w:p w14:paraId="5AC0825C" w14:textId="77777777" w:rsidR="00986E35" w:rsidRPr="008A1F40" w:rsidRDefault="00986E35" w:rsidP="007F77D2">
            <w:pPr>
              <w:rPr>
                <w:rFonts w:eastAsia="Times New Roman" w:cs="Times New Roman"/>
                <w:b/>
                <w:bCs/>
                <w:color w:val="000000" w:themeColor="text1"/>
                <w:sz w:val="16"/>
                <w:szCs w:val="16"/>
              </w:rPr>
            </w:pPr>
            <w:r w:rsidRPr="008A1F40">
              <w:rPr>
                <w:rFonts w:eastAsia="Times New Roman" w:cs="Times New Roman"/>
                <w:b/>
                <w:bCs/>
                <w:color w:val="000000" w:themeColor="text1"/>
                <w:sz w:val="16"/>
                <w:szCs w:val="16"/>
              </w:rPr>
              <w:t>Study</w:t>
            </w:r>
          </w:p>
        </w:tc>
        <w:tc>
          <w:tcPr>
            <w:tcW w:w="0" w:type="auto"/>
            <w:shd w:val="clear" w:color="auto" w:fill="FFFFFF"/>
            <w:hideMark/>
          </w:tcPr>
          <w:p w14:paraId="2655ECB3" w14:textId="77777777" w:rsidR="00986E35" w:rsidRPr="008A1F40" w:rsidRDefault="00986E35" w:rsidP="007F77D2">
            <w:pPr>
              <w:rPr>
                <w:rFonts w:eastAsia="Times New Roman" w:cs="Times New Roman"/>
                <w:b/>
                <w:bCs/>
                <w:color w:val="000000" w:themeColor="text1"/>
                <w:sz w:val="16"/>
                <w:szCs w:val="16"/>
              </w:rPr>
            </w:pPr>
            <w:r w:rsidRPr="008A1F40">
              <w:rPr>
                <w:rFonts w:eastAsia="Times New Roman" w:cs="Times New Roman"/>
                <w:b/>
                <w:bCs/>
                <w:color w:val="000000" w:themeColor="text1"/>
                <w:sz w:val="16"/>
                <w:szCs w:val="16"/>
              </w:rPr>
              <w:t>Sample Size/Demographics</w:t>
            </w:r>
          </w:p>
        </w:tc>
        <w:tc>
          <w:tcPr>
            <w:tcW w:w="0" w:type="auto"/>
            <w:shd w:val="clear" w:color="auto" w:fill="FFFFFF"/>
            <w:hideMark/>
          </w:tcPr>
          <w:p w14:paraId="49664A5F" w14:textId="77777777" w:rsidR="00986E35" w:rsidRPr="008A1F40" w:rsidRDefault="00986E35" w:rsidP="007F77D2">
            <w:pPr>
              <w:rPr>
                <w:rFonts w:eastAsia="Times New Roman" w:cs="Times New Roman"/>
                <w:b/>
                <w:bCs/>
                <w:color w:val="000000" w:themeColor="text1"/>
                <w:sz w:val="16"/>
                <w:szCs w:val="16"/>
              </w:rPr>
            </w:pPr>
            <w:r w:rsidRPr="008A1F40">
              <w:rPr>
                <w:rFonts w:eastAsia="Times New Roman" w:cs="Times New Roman"/>
                <w:b/>
                <w:bCs/>
                <w:color w:val="000000" w:themeColor="text1"/>
                <w:sz w:val="16"/>
                <w:szCs w:val="16"/>
              </w:rPr>
              <w:t>Findings</w:t>
            </w:r>
          </w:p>
        </w:tc>
      </w:tr>
      <w:tr w:rsidR="00986E35" w:rsidRPr="008A1F40" w14:paraId="41602710" w14:textId="77777777" w:rsidTr="007F77D2">
        <w:trPr>
          <w:tblCellSpacing w:w="15" w:type="dxa"/>
        </w:trPr>
        <w:tc>
          <w:tcPr>
            <w:tcW w:w="0" w:type="auto"/>
            <w:shd w:val="clear" w:color="auto" w:fill="FFFFFF"/>
            <w:hideMark/>
          </w:tcPr>
          <w:p w14:paraId="54586FAD" w14:textId="25D4B6E4"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Woods et al (2005)</w:t>
            </w:r>
            <w:r w:rsidR="008102CE">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NzcwODMxZmYtMTYzZi00ZjI0LWFjZDctZTc3MThmZTY5MTY3IiwicHJvcGVydGllcyI6eyJub3RlSW5kZXgiOjB9LCJpc0VkaXRlZCI6ZmFsc2UsIm1hbnVhbE92ZXJyaWRlIjp7ImlzTWFudWFsbHlPdmVycmlkZGVuIjpmYWxzZSwiY2l0ZXByb2NUZXh0IjoiKDIpIiwibWFudWFsT3ZlcnJpZGVUZXh0IjoiIn0sImNpdGF0aW9uSXRlbXMiOlt7ImlkIjoiNjcyM2VkNzQtMGQ1Ny0zYTZhLWIwMzEtODVkN2Y4N2Q5NTVmIiwiaXRlbURhdGEiOnsidHlwZSI6ImFydGljbGUtam91cm5hbCIsImlkIjoiNjcyM2VkNzQtMGQ1Ny0zYTZhLWIwMzEtODVkN2Y4N2Q5NTVmIiwidGl0bGUiOiJQcmVtb25pdG9yeSBVcmdlIGZvciBUaWNzIFNjYWxlIChQVVRTKTogaW5pdGlhbCBwc3ljaG9tZXRyaWMgcmVzdWx0cyBhbmQgZXhhbWluYXRpb24gb2YgdGhlIHByZW1vbml0b3J5IHVyZ2UgcGhlbm9tZW5vbiBpbiB5b3V0aHMgd2l0aCBUaWMgZGlzb3JkZXJzIiwiZ3JvdXBJZCI6IjA3ZDYyYWMxLTVhYTgtMzlhZi1iNDllLTUyZDIwODhhYzU3MSIsImF1dGhvciI6W3siZmFtaWx5IjoiV29vZHMiLCJnaXZlbiI6IkQgVyIsInBhcnNlLW5hbWVzIjpmYWxzZSwiZHJvcHBpbmctcGFydGljbGUiOiIiLCJub24tZHJvcHBpbmctcGFydGljbGUiOiIifSx7ImZhbWlseSI6IlBpYWNlbnRpbmkiLCJnaXZlbiI6IkoiLCJwYXJzZS1uYW1lcyI6ZmFsc2UsImRyb3BwaW5nLXBhcnRpY2xlIjoiIiwibm9uLWRyb3BwaW5nLXBhcnRpY2xlIjoiIn0seyJmYW1pbHkiOiJIaW1sZSIsImdpdmVuIjoiTSBCIiwicGFyc2UtbmFtZXMiOmZhbHNlLCJkcm9wcGluZy1wYXJ0aWNsZSI6IiIsIm5vbi1kcm9wcGluZy1wYXJ0aWNsZSI6IiJ9LHsiZmFtaWx5IjoiQ2hhbmciLCJnaXZlbiI6IlMiLCJwYXJzZS1uYW1lcyI6ZmFsc2UsImRyb3BwaW5nLXBhcnRpY2xlIjoiIiwibm9uLWRyb3BwaW5nLXBhcnRpY2xlIjoiIn1dLCJjb250YWluZXItdGl0bGUiOiJKIERldiBCZWhhdiBQZWRpYXRyIiwiRE9JIjoiMTAuMTA5Ny8wMDAwNDcwMy0yMDA1MTIwMDAtMDAwMDEiLCJQTUlEIjoiMTYzNDQ2NTQiLCJpc3N1ZWQiOnsiZGF0ZS1wYXJ0cyI6W1syMDA1XV19LCJwYWdlIjoiMzk3LTQwMyIsImFic3RyYWN0IjoiQWx0aG91Z2ggbW90b3IgdGljcyBhbmQvb3Igdm9jYWwgdGljcyBhcmUgdGhlIGRlZmluaW5nIGZlYXR1cmVzIG9mIGNocm9uaWMgdGljIGRpc29yZGVyIChDVEQpIGFuZCBUb3VyZXR0ZSBzeW5kcm9tZSAoVFMpLCBvbGRlciB5b3V0aHMgYW5kIGFkdWx0cyBvZnRlbiByZXBvcnQgdGhlaXIgdGljcyB0byBiZSBwcmVjZWRlZCBieSBhbiB1bnBsZWFzYW50IHNlbnNhdGlvbiBvciBcInByZW1vbml0b3J5IHVyZ2UuXCIgV2hpbGUgcHJlbW9uaXRvcnkgdXJnZSBwaGVub21lbmEgbWF5IHBsYXkgYW4gaW1wb3J0YW50IHJvbGUgaW4gYmVoYXZpb3JhbCBpbnRlcnZlbnRpb25zIGZvciBDVEQvVFMsIHN0YW5kYXJkaXplZCBhc3Nlc3NtZW50cyBmb3IgcHJlbW9uaXRvcnkgdXJnZXMgZG8gbm90IGV4aXN0LiBUaGUgY3VycmVudCBzdHVkeSBvZiA0MiB5b3V0aHMgd2l0aCBUUyBvciBDVEQgcHJlc2VudHMgaW5pdGlhbCBwc3ljaG9tZXRyaWMgZGF0YSBmb3IgYSBuZXcsIGJyaWVmIHNlbGYtcmVwb3J0IHNjYWxlIGRlc2lnbmVkIHRvIG1lYXN1cmUgdGljLXJlbGF0ZWQgcHJlbW9uaXRvcnkgdXJnZXMuIFJlc3VsdHMgc2hvd2VkIHRoYXQgdGhlIFByZW1vbml0b3J5IFVyZ2UgZm9yIFRpY3MgU2NhbGUgKFBVVFMpIHdhcyBpbnRlcm5hbGx5IGNvbnNpc3RlbnQgKGFscGhhID0gLjgxKSBhbmQgdGVtcG9yYWxseSBzdGFibGUgYXQgMSAociA9IDAuNzksIHAgPCAuMDEpIGFuZCAyIChyID0gMC44NiwgcCA8IC4wMSkgd2Vla3MuIFBVVFMgc2NvcmVzIHdlcmUgYWxzbyBjb3JyZWxhdGVkIHdpdGggb3ZlcmFsbCB0aWMgc2V2ZXJpdHkgYXMgbWVhc3VyZWQgYnkgdGhlIFlhbGUgR2xvYmFsIFRpYyBTZXZlcml0eSBTY2FsZSAoWUdUU1M7IHIgPSAwLjMxLCBwIDwgLjA1KSBhbmQgdGhlIFlHVFNTIG51bWJlciAociA9IDAuMzUsIHAgPCAuMDUpLCBjb21wbGV4aXR5IChyID0gMC40OSwgcCA8IC4wMSksIGFuZCBpbnRlcmZlcmVuY2UgKHIgPSAwLjM2LCBwIDwgLjA1KSBzdWJzY2FsZXMuIEZpbmFsbHksIGFuIGV4YW1pbmF0aW9uIG9mIHRoZSBwc3ljaGlhdHJpYyBjb3JyZWxhdGVzIG9mIHRoZSBwcmVtb25pdG9yeSB1cmdlIHBoZW5vbWVub24geWllbGRlZCBzaWduaWZpY2FudCBjb3JyZWxhdGlvbnMgYmV0d2VlbiB0aGUgUFVUUyBhbmQgdGhlIENoaWxkIEJlaGF2aW9yIENoZWNrbGlzdCAoQ0JDTCkgYW54aWV0eS9kZXByZXNzaW9uIChyID0gMC4zMywgcCA8IC4wNSksIGFuZCB3aXRoZHJhd2FsIChyID0gMC4zOCwgcCA8IC4wNSkgc3Vic2NhbGVzIGFzIHdlbGwgYXMgdGhlIENoaWxkcmVuJ3MgWWFsZS1Ccm93biBPYnNlc3NpdmUgQ29tcHVsc2l2ZSBTY2FsZSAoQ1lCT0NTOyByID0gMC4zMSwgcCA8IC4wNSkuIEhvd2V2ZXIsIGEgY3Jvc3Mtc2VjdGlvbmFsIGV4YW1pbmF0aW9uIG9mIHRoZSBkYXRhIHNob3dlZCB0aGF0IHRoZSBwc3ljaG9tZXRyaWMgcHJvcGVydGllcyBvZiB0aGUgUFVUUyB3ZXJlIG5vdCBhY2NlcHRhYmxlIGZvciB5b3V0aHMgMTAgeWVhcnMgb2YgYWdlIGFuZCB5b3VuZ2VyLiBMaWtld2lzZSwgc2lnbmlmaWNhbnQgY29ycmVsYXRpb25zIGZvdW5kIGJldHdlZW4gdGhlIFlHVFNTIHN1YnNjYWxlcywgQ0JDTCBzdWJzY2FsZXMsIENZQk9DUywgYW5kIHRoZSBQVVRTIGRpZCBub3QgZW1lcmdlIGluIHRoaXMgeW91bmdlciBhZ2UgZ3JvdXAuIFRoZSBjbGluaWNhbCBhbmQgdGhlb3JldGljYWwgaW1wbGljYXRpb25zIG9mIHRoZXNlIGZpbmRpbmdzIGFyZSBkaXNjdXNzZWQuIiwiaXNzdWUiOiI2Iiwidm9sdW1lIjoiMjYiLCJjb250YWluZXItdGl0bGUtc2hvcnQiOiIifSwiaXNUZW1wb3JhcnkiOmZhbHNlfV19"/>
                <w:id w:val="-1469818822"/>
                <w:placeholder>
                  <w:docPart w:val="DefaultPlaceholder_-1854013440"/>
                </w:placeholder>
              </w:sdtPr>
              <w:sdtContent>
                <w:r w:rsidR="00F04E9F" w:rsidRPr="00F04E9F">
                  <w:rPr>
                    <w:rFonts w:eastAsia="Times New Roman" w:cs="Times New Roman"/>
                    <w:color w:val="000000"/>
                    <w:sz w:val="16"/>
                    <w:szCs w:val="16"/>
                  </w:rPr>
                  <w:t>(2)</w:t>
                </w:r>
              </w:sdtContent>
            </w:sdt>
          </w:p>
        </w:tc>
        <w:tc>
          <w:tcPr>
            <w:tcW w:w="0" w:type="auto"/>
            <w:shd w:val="clear" w:color="auto" w:fill="FFFFFF"/>
            <w:hideMark/>
          </w:tcPr>
          <w:p w14:paraId="5FC13569"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42 children and adolescents with CTDs</w:t>
            </w:r>
          </w:p>
        </w:tc>
        <w:tc>
          <w:tcPr>
            <w:tcW w:w="0" w:type="auto"/>
            <w:shd w:val="clear" w:color="auto" w:fill="FFFFFF"/>
            <w:hideMark/>
          </w:tcPr>
          <w:p w14:paraId="122AD6C3" w14:textId="263F3DAB"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Significant positive Pearson’s correlations between PUTS </w:t>
            </w:r>
            <w:r w:rsidR="001D677D">
              <w:rPr>
                <w:rFonts w:eastAsia="Times New Roman" w:cs="Times New Roman"/>
                <w:color w:val="000000" w:themeColor="text1"/>
                <w:sz w:val="16"/>
                <w:szCs w:val="16"/>
              </w:rPr>
              <w:t xml:space="preserve">scores </w:t>
            </w:r>
            <w:r w:rsidRPr="008A1F40">
              <w:rPr>
                <w:rFonts w:eastAsia="Times New Roman" w:cs="Times New Roman"/>
                <w:color w:val="000000" w:themeColor="text1"/>
                <w:sz w:val="16"/>
                <w:szCs w:val="16"/>
              </w:rPr>
              <w:t>and social problems (r = 0.43, p &lt; 0.05) and aggressive behavior (r = 0.43, p &lt; 0.05) subscale</w:t>
            </w:r>
            <w:r w:rsidR="001D677D">
              <w:rPr>
                <w:rFonts w:eastAsia="Times New Roman" w:cs="Times New Roman"/>
                <w:color w:val="000000" w:themeColor="text1"/>
                <w:sz w:val="16"/>
                <w:szCs w:val="16"/>
              </w:rPr>
              <w:t xml:space="preserve"> scores</w:t>
            </w:r>
            <w:r w:rsidRPr="008A1F40">
              <w:rPr>
                <w:rFonts w:eastAsia="Times New Roman" w:cs="Times New Roman"/>
                <w:color w:val="000000" w:themeColor="text1"/>
                <w:sz w:val="16"/>
                <w:szCs w:val="16"/>
              </w:rPr>
              <w:t xml:space="preserve"> of CBCL in youth older than 10 years of age </w:t>
            </w:r>
          </w:p>
          <w:p w14:paraId="107DB39C" w14:textId="632DA069"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Pearson’s correlations between PUTS </w:t>
            </w:r>
            <w:r w:rsidR="0057593A">
              <w:rPr>
                <w:rFonts w:eastAsia="Times New Roman" w:cs="Times New Roman"/>
                <w:color w:val="000000" w:themeColor="text1"/>
                <w:sz w:val="16"/>
                <w:szCs w:val="16"/>
              </w:rPr>
              <w:t xml:space="preserve">scores </w:t>
            </w:r>
            <w:r w:rsidRPr="008A1F40">
              <w:rPr>
                <w:rFonts w:eastAsia="Times New Roman" w:cs="Times New Roman"/>
                <w:color w:val="000000" w:themeColor="text1"/>
                <w:sz w:val="16"/>
                <w:szCs w:val="16"/>
              </w:rPr>
              <w:t>and social problems (r = -0.29, p &gt; 0.05) and aggressive behavior (r = 0.12, p &gt; 0.05) subscale</w:t>
            </w:r>
            <w:r w:rsidR="0057593A">
              <w:rPr>
                <w:rFonts w:eastAsia="Times New Roman" w:cs="Times New Roman"/>
                <w:color w:val="000000" w:themeColor="text1"/>
                <w:sz w:val="16"/>
                <w:szCs w:val="16"/>
              </w:rPr>
              <w:t xml:space="preserve"> scores</w:t>
            </w:r>
            <w:r w:rsidRPr="008A1F40">
              <w:rPr>
                <w:rFonts w:eastAsia="Times New Roman" w:cs="Times New Roman"/>
                <w:color w:val="000000" w:themeColor="text1"/>
                <w:sz w:val="16"/>
                <w:szCs w:val="16"/>
              </w:rPr>
              <w:t xml:space="preserve"> of CBCL not significant youth 10 years of age and younger</w:t>
            </w:r>
          </w:p>
        </w:tc>
      </w:tr>
      <w:tr w:rsidR="00986E35" w:rsidRPr="008A1F40" w14:paraId="505C8664" w14:textId="77777777" w:rsidTr="007F77D2">
        <w:trPr>
          <w:tblCellSpacing w:w="15" w:type="dxa"/>
        </w:trPr>
        <w:tc>
          <w:tcPr>
            <w:tcW w:w="0" w:type="auto"/>
            <w:shd w:val="clear" w:color="auto" w:fill="FFFFFF"/>
            <w:hideMark/>
          </w:tcPr>
          <w:p w14:paraId="20C75DEA" w14:textId="4ADF3EF8"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Gulisano et al (2015)</w:t>
            </w:r>
            <w:r w:rsidR="008102CE">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MjM5NTg1OTktNDUwYi00NjlmLThmNTctZTUyMWJiMWIwYmFkIiwicHJvcGVydGllcyI6eyJub3RlSW5kZXgiOjB9LCJpc0VkaXRlZCI6ZmFsc2UsIm1hbnVhbE92ZXJyaWRlIjp7ImlzTWFudWFsbHlPdmVycmlkZGVuIjpmYWxzZSwiY2l0ZXByb2NUZXh0IjoiKDQpIiwibWFudWFsT3ZlcnJpZGVUZXh0IjoiIn0sImNpdGF0aW9uSXRlbXMiOlt7ImlkIjoiYjVhNWI5YWYtNTk2OC0zZmZkLTlmOTAtMzZhNTI0NGE1MDU4IiwiaXRlbURhdGEiOnsidHlwZSI6ImFydGljbGUtam91cm5hbCIsImlkIjoiYjVhNWI5YWYtNTk2OC0zZmZkLTlmOTAtMzZhNTI0NGE1MDU4IiwidGl0bGUiOiJQcmVtb25pdG9yeSBVcmdlcyBpbiBQYXRpZW50cyB3aXRoIEdpbGxlcyBkZSBsYSBUb3VyZXR0ZSBTeW5kcm9tZTogQW4gSXRhbGlhbiBUcmFuc2xhdGlvbiBhbmQgYSA3LVllYXIgRm9sbG93LXVwIiwiZ3JvdXBJZCI6IjA3ZDYyYWMxLTVhYTgtMzlhZi1iNDllLTUyZDIwODhhYzU3MSIsImF1dGhvciI6W3siZmFtaWx5IjoiR3VsaXNhbm8iLCJnaXZlbiI6Ik0iLCJwYXJzZS1uYW1lcyI6ZmFsc2UsImRyb3BwaW5nLXBhcnRpY2xlIjoiIiwibm9uLWRyb3BwaW5nLXBhcnRpY2xlIjoiIn0seyJmYW1pbHkiOiJDYWzDrCIsImdpdmVuIjoiUCIsInBhcnNlLW5hbWVzIjpmYWxzZSwiZHJvcHBpbmctcGFydGljbGUiOiIiLCJub24tZHJvcHBpbmctcGFydGljbGUiOiIifSx7ImZhbWlseSI6IlBhbGVybW8iLCJnaXZlbiI6IkYiLCJwYXJzZS1uYW1lcyI6ZmFsc2UsImRyb3BwaW5nLXBhcnRpY2xlIjoiIiwibm9uLWRyb3BwaW5nLXBhcnRpY2xlIjoiIn0seyJmYW1pbHkiOiJSb2JlcnRzb24iLCJnaXZlbiI6Ik0iLCJwYXJzZS1uYW1lcyI6ZmFsc2UsImRyb3BwaW5nLXBhcnRpY2xlIjoiIiwibm9uLWRyb3BwaW5nLXBhcnRpY2xlIjoiIn0seyJmYW1pbHkiOiJSaXp6byIsImdpdmVuIjoiUiIsInBhcnNlLW5hbWVzIjpmYWxzZSwiZHJvcHBpbmctcGFydGljbGUiOiIiLCJub24tZHJvcHBpbmctcGFydGljbGUiOiIifV0sImNvbnRhaW5lci10aXRsZSI6IkogQ2hpbGQgQWRvbGVzYyBQc3ljaG9waGFybWFjb2wiLCJET0kiOiIxMC4xMDg5L2NhcC4yMDE0LjAxNTQiLCJQTUlEIjoiMjYyODgzNDUiLCJVUkwiOiJodHRwczovL3d3dy5saWViZXJ0cHViLmNvbS9kb2kvMTAuMTA4OS9jYXAuMjAxNC4wMTU0IiwiaXNzdWVkIjp7ImRhdGUtcGFydHMiOltbMjAxNV1dfSwicGFnZSI6IjgxMC04MTYiLCJhYnN0cmFjdCI6Ik9CSkVDVElWRTogUHJlbW9uaXRvcnkgc2Vuc2F0aW9ucyBvciB1cmdlcyAoUFVzKSBhcmUgZGVzY3JpYmVkIGFzIGNoYXJhY3RlcmlzdGljIHNlbnNvcnkgcGhlbm9tZW5hIHByZWNlZGluZyB0aWNzLCB3aGljaCBhcmUgb2Z0ZW4gZGVzY3JpYmVkIGFzIHVucGxlYXNhbnQuIFRoZXkgb2NjdXIgaW4gOTAlIG9mIHBhdGllbnRzIGFmZmVjdGVkIGJ5IEdpbGxlcyBkZSBsYSBUb3VyZXR0ZSBTeW5kcm9tZSAoR1RTKS4gVGhleSBtYXkgYmUgbG9jYWxpemVkIChhcm91bmQgdGhlIGFyZWEgb2YgdGljKSBvciBnZW5lcmFsaXplZCAoY292ZXJpbmcgYSB3aWRlIGFyZWEgb2YgdGhlIGJvZHkpLiBUaGUgUFVzIGNhbiBiZSBtZWFzdXJlZCBieSB0aGUgUHJlbW9uaXRvcnkgVXJnZSBmb3IgVGljcyBTY2FsZSAoUFVUUykuIEluIHRoaXMgc3R1ZHkgd2UgdHJhbnNsYXRlZCB0aGUgUFVUUyBzY2FsZSBpbnRvIEl0YWxpYW4gYW5kIHRoZW4gYXNzZXNzZWQgY2hpbGRyZW4gYW5kIGFkb2xlc2NlbnRzL3lvdW5nIHBlb3BsZSAoQ1lQKSB3aXRoIEdUUyB1c2luZyB0aGUgc2NhbGUuIE1FVEhPRFM6IEdUUyBwYXRpZW50cyB3ZXJlIGFzc2Vzc2VkIGF0IHRoZSBpbml0aWFsIGludGVydmlldyBhbmQgYWZ0ZXIgNyB5ZWFycyB0byBldmFsdWF0ZSB0aGUgUFVzLCBhbmQgdGhlIGNvcnJlbGF0aW9ucyBvZiB0aGUgUFVUUyBzY29yZXMgd2l0aCB0aWMgc2V2ZXJpdHksIHNldmVyaXR5IG9mIGNvbW9yYmlkIGRpc29yZGVycyAob2JzZXNzaXZlLWNvbXB1bHNpdmUgZGlzb3JkZXIgW09DRF0sIGF0dGVudGlvbi1kZWZpY2l0L2h5cGVyYWN0aXZpdHkgZGlzb3JkZXIgW0FESERdKSwgYW5kIGEgdmFyaWV0eSBvZiBjb2V4aXN0aW5nIHBzeWNob3BhdGhvbG9naWVzLiBSRVNVTFRTOiBBIHRvdGFsIG9mIDk1IHBhdGllbnRzIHdlcmUgc3R1ZGllZC4gV2Ugc3VjY2Vzc2Z1bGx5IHRyYW5zbGF0ZWQgdGhlIFBVVFMgaW50byBJdGFsaWFuLCBhbmQgb3VyIHJlc3VsdHMgaW5kaWNhdGVkIHRoYXQgb3VyIHRyYW5zbGF0ZWQgdmVyc2lvbiBoYWQgZ29vZCBwc3ljaG9tZXRyaWMgcHJvcGVydGllcy4gUmVzdWx0cyBkZW1vbnN0cmF0ZWQgdGhhdCB0aGUgQ1lQIGhhZCBQVXMgYXQgYm90aCBpbnRlcnZpZXdzLCBidXQgdGhhdCBvbGRlciBDWVAgd2VyZSBtb3JlIGNvbnNpc3RlbnQgaW4gcmVwb3J0aW5nIFBVcyB0aGFuIHlvdW5nZXIgQ1lQIChpLmUuLCBQVVRTIHNjb3JlcyBpbmNyZWFzZWQgd2l0aCBhZ2UpLiBXZSBmb3VuZCBubyBjb3JyZWxhdGlvbnMgYmV0d2VlbiBQVVRTIHNjb3JlIGFuZCB0aWMgc2V2ZXJpdHkgYXQgZWl0aGVyIGludGVydmlldy4gV2UgZm91bmQgYSBzdGF0aXN0aWNhbCBzaWduaWZpY2FudCBjb3JyZWxhdGlvbiBiZXR3ZWVuIFBVVFMgc2NvcmUgYW5kIG9ic2Vzc2l2ZS1jb21wdWxzaXZlIHN5bXB0b21zIChPQ1MpIGF0IGJvdGggaW50ZXJ2aWV3czsgTW9yZW92ZXIgYm90aCB0aGUgUFVUUyBhbmQgQ2hpbGRyZW4ncyBZYWxlLUJyb3duIE9ic2Vzc2l2ZSBDb21wdWxzaXZlIFNjYWxlIChDWS1CT0NTKSBzY29yZXMgaW5jcmVhc2VkIHNpZ25pZmljYW50bHksIHdoZXJlYXMgdGhlIFlhbGUgR2xvYmFsIFRpYyBTZXZlcml0eSBSYXRpbmcgU2NhbGUgKFlHVFNTKSBzY29yZSBkZWNyZWFzZWQgc2lnbmlmaWNhbnRseS4gV2UgZm91bmQgbm8gcmVsYXRpb25zaGlwcyBiZXR3ZWVuIFBVVFMgc2NvcmVzIGFuZCBhbnhpZXR5LCBkZXByZXNzaW9uLCBBREhELCBhbmQgZXh0ZXJuYWxpemluZy9pbnRlcm5hbGl6aW5nIGJlaGF2aW9yYWwgc2NvcmVzLiBDT05DTFVTSU9OUzogT3VyIHJlc3VsdHMgc3VnZ2VzdCB0aGUgdGhlIEl0YWxpYW4gdHJhbnNsYXRpb24gb2YgdGhlIFBVVFMgaGFzIGdvb2QgcHN5Y2hvbWV0cmljIHByb3BlcnRpZXMuIEFsdGhvdWdoIGJvdGggeW91bmdlciAoPDEwIHllYXJzIG9mIGFnZSkgYW5kIG9sZGVyIENZUCAo4omkIDEwIHllYXJzIG9mIGFnZSkgcmVwb3J0ZWQgUFVzLCB0aGUgc2NvcmVzIGF0IHRoZSBpbml0aWFsIGludGVydmlldyB3ZXJlIHN0YXRpc3RpY2FsbHkgc2lnbmlmaWNhbnRseSBsb3dlciB0aGFuIGF0IGZvbGxvdy11cC4gTW9yZW92ZXIsIGluIENZUCA+MTAgeWVhcnMgb2YgYWdlLCB0aGUgUFVzIGNvcnJlbGF0ZWQgd2l0aCBvYnNlc3Npb25zIGFuZCBjb21wdWxzaW9ucyAoQ1ktQk9DUyBzY29yZXMpLiIsImlzc3VlIjoiMTAiLCJ2b2x1bWUiOiIyNSIsImNvbnRhaW5lci10aXRsZS1zaG9ydCI6IiJ9LCJpc1RlbXBvcmFyeSI6ZmFsc2V9XX0="/>
                <w:id w:val="250393760"/>
                <w:placeholder>
                  <w:docPart w:val="DefaultPlaceholder_-1854013440"/>
                </w:placeholder>
              </w:sdtPr>
              <w:sdtContent>
                <w:r w:rsidR="00F04E9F" w:rsidRPr="00F04E9F">
                  <w:rPr>
                    <w:rFonts w:eastAsia="Times New Roman" w:cs="Times New Roman"/>
                    <w:color w:val="000000"/>
                    <w:sz w:val="16"/>
                    <w:szCs w:val="16"/>
                  </w:rPr>
                  <w:t>(4)</w:t>
                </w:r>
              </w:sdtContent>
            </w:sdt>
          </w:p>
        </w:tc>
        <w:tc>
          <w:tcPr>
            <w:tcW w:w="0" w:type="auto"/>
            <w:shd w:val="clear" w:color="auto" w:fill="FFFFFF"/>
            <w:hideMark/>
          </w:tcPr>
          <w:p w14:paraId="1B6AB054"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95 children and adolescents with TS</w:t>
            </w:r>
          </w:p>
        </w:tc>
        <w:tc>
          <w:tcPr>
            <w:tcW w:w="0" w:type="auto"/>
            <w:shd w:val="clear" w:color="auto" w:fill="FFFFFF"/>
            <w:hideMark/>
          </w:tcPr>
          <w:p w14:paraId="66FB4395"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No significant correlation found between PUTS and CBCL scores (Spearman's r = 0.17, p = 0.14).</w:t>
            </w:r>
          </w:p>
        </w:tc>
      </w:tr>
      <w:tr w:rsidR="00986E35" w:rsidRPr="008A1F40" w14:paraId="6CD305B0" w14:textId="77777777" w:rsidTr="007F77D2">
        <w:trPr>
          <w:tblCellSpacing w:w="15" w:type="dxa"/>
        </w:trPr>
        <w:tc>
          <w:tcPr>
            <w:tcW w:w="0" w:type="auto"/>
            <w:shd w:val="clear" w:color="auto" w:fill="FFFFFF"/>
            <w:hideMark/>
          </w:tcPr>
          <w:p w14:paraId="089C8D50" w14:textId="7C4388E2"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Silvestri et al (2019)</w:t>
            </w:r>
            <w:r w:rsidR="008102CE">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YTFlZmVmY2QtYjdmMS00Y2MyLWJmNzItNWNiYWEwZjdiYzk5IiwicHJvcGVydGllcyI6eyJub3RlSW5kZXgiOjB9LCJpc0VkaXRlZCI6ZmFsc2UsIm1hbnVhbE92ZXJyaWRlIjp7ImlzTWFudWFsbHlPdmVycmlkZGVuIjpmYWxzZSwiY2l0ZXByb2NUZXh0IjoiKDU0KSIsIm1hbnVhbE92ZXJyaWRlVGV4dCI6IiJ9LCJjaXRhdGlvbkl0ZW1zIjpbeyJpZCI6ImRhOWZhMjY4LWM1NmItM2E4OC04NDY1LWRmNDgwNGRhMDcxZiIsIml0ZW1EYXRhIjp7InR5cGUiOiJhcnRpY2xlLWpvdXJuYWwiLCJpZCI6ImRhOWZhMjY4LWM1NmItM2E4OC04NDY1LWRmNDgwNGRhMDcxZiIsInRpdGxlIjoiQWxleGl0aHltaWEgYW5kIHRpYyBkaXNvcmRlcnM6IGEgc3R1ZHkgb24gYSBzYW1wbGUgb2YgY2hpbGRyZW4gYW5kIHRoZWlyIG1vdGhlcnMiLCJncm91cElkIjoiMDdkNjJhYzEtNWFhOC0zOWFmLWI0OWUtNTJkMjA4OGFjNTcxIiwiYXV0aG9yIjpbeyJmYW1pbHkiOiJTaWx2ZXN0cmkiLCJnaXZlbiI6IlAgUiIsInBhcnNlLW5hbWVzIjpmYWxzZSwiZHJvcHBpbmctcGFydGljbGUiOiIiLCJub24tZHJvcHBpbmctcGFydGljbGUiOiIifSx7ImZhbWlseSI6IkNoaWFyb3R0aSIsImdpdmVuIjoiRiIsInBhcnNlLW5hbWVzIjpmYWxzZSwiZHJvcHBpbmctcGFydGljbGUiOiIiLCJub24tZHJvcHBpbmctcGFydGljbGUiOiIifSx7ImZhbWlseSI6IkdpdXN0aW5pIiwiZ2l2ZW4iOiJTIiwicGFyc2UtbmFtZXMiOmZhbHNlLCJkcm9wcGluZy1wYXJ0aWNsZSI6IiIsIm5vbi1kcm9wcGluZy1wYXJ0aWNsZSI6IiJ9LHsiZmFtaWx5IjoiQ2FyZG9uYSIsImdpdmVuIjoiRiIsInBhcnNlLW5hbWVzIjpmYWxzZSwiZHJvcHBpbmctcGFydGljbGUiOiIiLCJub24tZHJvcHBpbmctcGFydGljbGUiOiIifV0sImNvbnRhaW5lci10aXRsZSI6IkV1cm9wZWFuIENoaWxkIGFuZCBBZG9sZXNjZW50IFBzeWNoaWF0cnkiLCJET0kiOiJodHRwczovL2R4LmRvaS5vcmcvMTAuMTAwNy9zMDA3ODctMDE4LTEyMDkteCIsIlVSTCI6Imh0dHA6Ly93d3cuc3ByaW5nZXJsaW5rLmNvbS9jb250ZW50LzEwMTgtODgyN2h0dHA6Ly9vdmlkc3Aub3ZpZC5jb20vb3ZpZHdlYi5jZ2k/VD1KUyZQQUdFPXJlZmVyZW5jZSZEPWVtZWQyMCZORVdTPU4mQU49NjIzMzEyNDM1IiwiaXNzdWVkIjp7ImRhdGUtcGFydHMiOltbMjAxOV1dfSwicGFnZSI6IjQ2MS00NzAiLCJhYnN0cmFjdCI6IlRpYyBkaXNvcmRlcnMgYXJlIG5ldXJvZGV2ZWxvcG1lbnRhbCBkaXNvcmRlcnMgY2hhcmFjdGVyaXNlZCBieSB0aGUgcHJlc2VuY2Ugb2YgbW90b3Igb3IgcGhvbmljIHRpY3MsIG9yIGJvdGguIFBhdGllbnRzIHdpdGggdGljIGRpc29yZGVycyBjb21tb25seSByZXBvcnQgcHJlbW9uaXRvcnkgdXJnZXMgb2YgdGljcy4gQWxleGl0aHltaWEgaXMgYSBwc3ljaG9sb2dpY2FsIHRyYWl0IGNoYXJhY3RlcmlzZWQgYnkgYSBkaWZmaWN1bHR5IGluIGlkZW50aWZ5aW5nIGFuZCBleHByZXNzaW5nIG9uZSdzIG93biBmZWVsaW5ncyBhbmQgYnkgYW4gZXh0ZXJuYWxseSBvcmllbnRlZCB0aGlua2luZy4gV2UgYWltZWQgdG8gZXhwbG9yZSBhbGV4aXRoeW1pYSBpbiBjaGlsZHJlbiB3aXRoIHRpYyBkaXNvcmRlcnMgYW5kIGluIHRoZWlyIG1vdGhlcnMuIEdsb2JhbCBhbGV4aXRoeW1pYSBzY29yZXMgb2YgYm90aCBjaGlsZHJlbiB3aXRoIHRpYyBkaXNvcmRlcnMgYW5kIG9mIHRoZWlyIG1vdGhlcnMgZGlkIG5vdCBkaWZmZXIgZnJvbSB0aG9zZSBvZiB0aGUgcGFydGljaXBhbnRzIGZyb20gdGhlIGNvbnRyb2wgZ3JvdXAuIEluIHRoZSB0aWMgZGlzb3JkZXIgZ3JvdXAsIGhvd2V2ZXIsIGJvdGggY2hpbGRyZW4gYW5kIHRoZWlyIG1vdGhlcnMgc2hvd2VkIGEgY29nbml0aXZlIHN0eWxlIGNoYXJhY3RlcmlzZWQgYnkgb3BlcmF0aW9uYWwgdGhpbmtpbmcgYW5kIGEgbGFjayBvZiBpbWFnaW5hdGl2ZSBhYmlsaXRpZXMuIFRoZSBtb3RoZXJzIG9mIGNoaWxkcmVuIHdpdGggdGljIGRpc29yZGVyIHJlcG9ydGVkIHNpZ25pZmljYW50bHkgaGlnaGVyIHBhcmVudGFsIHN0cmVzcy4gQWxleGl0aHltaWEgd2FzIG5vdCBwcmVkaWN0aXZlIG9mIHRpYyBzZXZlcml0eSBidXQgd2FzIHByZWRpY3RpdmUgb2YgdGhlIHNldmVyaXR5IG9mIHRoZSBwcmVtb25pdG9yeSB1cmdlcy4gVGhlIGltcGxpY2F0aW9ucyBvZiB0aGVzZSBmaW5kaW5ncyBhcmUgZGlzY3Vzc2VkLkNvcHlyaWdodCDCqSAyMDE4LCBTcHJpbmdlci1WZXJsYWcgR21iSCBHZXJtYW55LCBwYXJ0IG9mIFNwcmluZ2VyIE5hdHVyZS4iLCJpc3N1ZSI6IjQiLCJ2b2x1bWUiOiIyOCIsImNvbnRhaW5lci10aXRsZS1zaG9ydCI6IkV1ciBDaGlsZCBBZG9sZXNjIFBzeWNoaWF0cnkifSwiaXNUZW1wb3JhcnkiOmZhbHNlfV19"/>
                <w:id w:val="-364830142"/>
                <w:placeholder>
                  <w:docPart w:val="DefaultPlaceholder_-1854013440"/>
                </w:placeholder>
              </w:sdtPr>
              <w:sdtContent>
                <w:r w:rsidR="00F04E9F" w:rsidRPr="00F04E9F">
                  <w:rPr>
                    <w:rFonts w:eastAsia="Times New Roman" w:cs="Times New Roman"/>
                    <w:color w:val="000000"/>
                    <w:sz w:val="16"/>
                    <w:szCs w:val="16"/>
                  </w:rPr>
                  <w:t>(54)</w:t>
                </w:r>
              </w:sdtContent>
            </w:sdt>
          </w:p>
        </w:tc>
        <w:tc>
          <w:tcPr>
            <w:tcW w:w="0" w:type="auto"/>
            <w:shd w:val="clear" w:color="auto" w:fill="FFFFFF"/>
            <w:hideMark/>
          </w:tcPr>
          <w:p w14:paraId="78E5E783"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45 children with CTDs</w:t>
            </w:r>
          </w:p>
        </w:tc>
        <w:tc>
          <w:tcPr>
            <w:tcW w:w="0" w:type="auto"/>
            <w:shd w:val="clear" w:color="auto" w:fill="FFFFFF"/>
            <w:hideMark/>
          </w:tcPr>
          <w:p w14:paraId="26EF884C" w14:textId="196BA752"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Significant positive correlation between PUTS </w:t>
            </w:r>
            <w:r w:rsidR="009458C6">
              <w:rPr>
                <w:rFonts w:eastAsia="Times New Roman" w:cs="Times New Roman"/>
                <w:color w:val="000000" w:themeColor="text1"/>
                <w:sz w:val="16"/>
                <w:szCs w:val="16"/>
              </w:rPr>
              <w:t xml:space="preserve">score </w:t>
            </w:r>
            <w:r w:rsidRPr="008A1F40">
              <w:rPr>
                <w:rFonts w:eastAsia="Times New Roman" w:cs="Times New Roman"/>
                <w:color w:val="000000" w:themeColor="text1"/>
                <w:sz w:val="16"/>
                <w:szCs w:val="16"/>
              </w:rPr>
              <w:t>and difficulty identifying feelings score of AQC (Pearson's r = 0.41, p = 0.005).</w:t>
            </w:r>
          </w:p>
          <w:p w14:paraId="4E4CA140" w14:textId="0C049FC2"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rPr>
              <w:t>The DIF score of the AQC was also a significant predictor of PUTS scores in a multiple linear regression (</w:t>
            </w:r>
            <w:r w:rsidRPr="008A1F40">
              <w:rPr>
                <w:rFonts w:cs="Times New Roman"/>
                <w:color w:val="000000" w:themeColor="text1"/>
                <w:sz w:val="16"/>
                <w:szCs w:val="16"/>
                <w:shd w:val="clear" w:color="auto" w:fill="FFFFFF"/>
              </w:rPr>
              <w:t>β</w:t>
            </w:r>
            <w:r w:rsidRPr="008A1F40">
              <w:rPr>
                <w:rFonts w:cs="Times New Roman"/>
                <w:color w:val="000000" w:themeColor="text1"/>
                <w:sz w:val="16"/>
                <w:szCs w:val="16"/>
              </w:rPr>
              <w:t xml:space="preserve"> = 0.39, p = 0.014) that included gender of the child, mother’s education level, parenting stress index total score</w:t>
            </w:r>
            <w:r w:rsidR="004F38E3">
              <w:rPr>
                <w:rFonts w:cs="Times New Roman"/>
                <w:color w:val="000000" w:themeColor="text1"/>
                <w:sz w:val="16"/>
                <w:szCs w:val="16"/>
              </w:rPr>
              <w:t>,</w:t>
            </w:r>
            <w:r w:rsidRPr="008A1F40">
              <w:rPr>
                <w:rFonts w:cs="Times New Roman"/>
                <w:color w:val="000000" w:themeColor="text1"/>
                <w:sz w:val="16"/>
                <w:szCs w:val="16"/>
              </w:rPr>
              <w:t xml:space="preserve"> and the DIF score of the Toronto Alexithymia scale as other covariates</w:t>
            </w:r>
          </w:p>
        </w:tc>
      </w:tr>
      <w:tr w:rsidR="00986E35" w:rsidRPr="008A1F40" w14:paraId="62E63B78" w14:textId="77777777" w:rsidTr="007F77D2">
        <w:trPr>
          <w:tblCellSpacing w:w="15" w:type="dxa"/>
        </w:trPr>
        <w:tc>
          <w:tcPr>
            <w:tcW w:w="0" w:type="auto"/>
            <w:shd w:val="clear" w:color="auto" w:fill="FFFFFF"/>
            <w:hideMark/>
          </w:tcPr>
          <w:p w14:paraId="768E3149" w14:textId="32F1CDD9"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Ramsey et al (2021)</w:t>
            </w:r>
            <w:r w:rsidR="008102CE">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YmE4NDVlZTUtNzI1NS00ODhmLTk1MDEtOGYxMzRjOGFiN2NjIiwicHJvcGVydGllcyI6eyJub3RlSW5kZXgiOjB9LCJpc0VkaXRlZCI6ZmFsc2UsIm1hbnVhbE92ZXJyaWRlIjp7ImlzTWFudWFsbHlPdmVycmlkZGVuIjpmYWxzZSwiY2l0ZXByb2NUZXh0IjoiKDI3KSIsIm1hbnVhbE92ZXJyaWRlVGV4dCI6IiJ9LCJjaXRhdGlvbkl0ZW1zIjpbeyJpZCI6IjEzNTI2YjJhLWYxZDQtMzE5MS1hYjExLTE4MDAyZThhZTUxYSIsIml0ZW1EYXRhIjp7InR5cGUiOiJhcnRpY2xlLWpvdXJuYWwiLCJpZCI6IjEzNTI2YjJhLWYxZDQtMzE5MS1hYjExLTE4MDAyZThhZTUxYSIsInRpdGxlIjoiVXJnZSBJbnRvbGVyYW5jZSBhbmQgSW1wYWlybWVudCBBbW9uZyBZb3V0aCB3aXRoIFRvdXJldHRlJ3MgYW5kIENocm9uaWMgVGljIERpc29yZGVycyIsImdyb3VwSWQiOiIwN2Q2MmFjMS01YWE4LTM5YWYtYjQ5ZS01MmQyMDg4YWM1NzEiLCJhdXRob3IiOlt7ImZhbWlseSI6IlJhbXNleSIsImdpdmVuIjoiSyBBIiwicGFyc2UtbmFtZXMiOmZhbHNlLCJkcm9wcGluZy1wYXJ0aWNsZSI6IiIsIm5vbi1kcm9wcGluZy1wYXJ0aWNsZSI6IiJ9LHsiZmFtaWx5IjoiRXNzb2UiLCJnaXZlbiI6IkogSyIsInBhcnNlLW5hbWVzIjpmYWxzZSwiZHJvcHBpbmctcGFydGljbGUiOiIiLCJub24tZHJvcHBpbmctcGFydGljbGUiOiIifSx7ImZhbWlseSI6IlN0b3JjaCIsImdpdmVuIjoiRSBBIiwicGFyc2UtbmFtZXMiOmZhbHNlLCJkcm9wcGluZy1wYXJ0aWNsZSI6IiIsIm5vbi1kcm9wcGluZy1wYXJ0aWNsZSI6IiJ9LHsiZmFtaWx5IjoiTGV3aW4iLCJnaXZlbiI6IkEgQiIsInBhcnNlLW5hbWVzIjpmYWxzZSwiZHJvcHBpbmctcGFydGljbGUiOiIiLCJub24tZHJvcHBpbmctcGFydGljbGUiOiIifSx7ImZhbWlseSI6Ik11cnBoeSIsImdpdmVuIjoiVCBLIiwicGFyc2UtbmFtZXMiOmZhbHNlLCJkcm9wcGluZy1wYXJ0aWNsZSI6IiIsIm5vbi1kcm9wcGluZy1wYXJ0aWNsZSI6IiJ9LHsiZmFtaWx5IjoiTWNHdWlyZSIsImdpdmVuIjoiSiBGIiwicGFyc2UtbmFtZXMiOmZhbHNlLCJkcm9wcGluZy1wYXJ0aWNsZSI6IiIsIm5vbi1kcm9wcGluZy1wYXJ0aWNsZSI6IiJ9XSwiY29udGFpbmVyLXRpdGxlIjoiQ2hpbGQgUHN5Y2hpYXRyeSBIdW0gRGV2IiwiRE9JIjoiMTAuMTAwNy9zMTA1NzgtMDIwLTAxMDg1LTMiLCJQTUlEIjoiMzMwOTU0MDYiLCJVUkwiOiJodHRwczovL2xpbmsuc3ByaW5nZXIuY29tL2FydGljbGUvMTAuMTAwNy9zMTA1NzgtMDIwLTAxMDg1LTMiLCJpc3N1ZWQiOnsiZGF0ZS1wYXJ0cyI6W1syMDIxXV19LCJwYWdlIjoiNzYxLTc3MSIsImFic3RyYWN0IjoiSW5kaXZpZHVhbHMgd2l0aCBUb3VyZXR0ZSdzIERpc29yZGVyIGFuZCBQZXJzaXN0ZW50IFRpYyBEaXNvcmRlcnMgKFREKSBvZnRlbiBleHBlcmllbmNlIHByZW1vbml0b3J5IHVyZ2VzLWF2ZXJzaXZlIHNlbnNhdGlvbnMgdGhhdCBwcmVjZWRlIHRpY3MgYW5kIGFyZSByZWxpZXZlZCBieSB0aWMgZXhwcmVzc2lvbi4gR2l2ZW4gaXRzIHJvbGUgaW4gdGhlIG5ldXJvYmVoYXZpb3JhbCBtb2RlbCBvZiBURCwgdW5kZXJzdGFuZGluZyBmYWN0b3JzIHRoYXQgaW5mbHVlbmNlIHByZW1vbml0b3J5IHVyZ2VzIGFuZCBhc3NvY2lhdGVkIHJlbGllZiBjYW4gYWR2YW5jZSB1bmRlcnN0YW5kaW5nIG9mIHVyZ2UgcGhlbm9tZW5vbG9neSBhbmQgb3B0aW1pemUgdHJlYXRtZW50cyBmb3IgaW5kaXZpZHVhbHMgd2l0aCBURC4gVGhpcyBzdHVkeSBleGFtaW5lZCB3aGV0aGVyIHRoZSBub3ZlbCBjb25zdHJ1Y3Qgb2YgdXJnZSBpbnRvbGVyYW5jZS1kaWZmaWN1bHR5IHRvbGVyYXRpbmcgcHJlbW9uaXRvcnkgdXJnZXMtcHJlZGljdGVkIHRpYyBzZXZlcml0eSBhbmQgdGljLXJlbGF0ZWQgZGlzYWJpbGl0eS4gUGFydGljaXBhbnRzIGluY2x1ZGVkIDc1IHlvdXRoIHdpdGggVEQgYW5kIHRoZWlyIGNhcmVnaXZlcnMuIEFzc2Vzc21lbnRzIGNoYXJhY3Rlcml6ZWQgdGljIHNldmVyaXR5LCBwcmVtb25pdG9yeSB1cmdlLCBkaXN0cmVzcyB0b2xlcmFuY2UsIGludGVybmFsaXppbmcgc3ltcHRvbXMsIGFuZCB0aWMtcmVsYXRlZCBkaXNhYmlsaXR5LiBTdHJ1Y3R1cmFsIGVxdWF0aW9uIG1vZGVsaW5nIHJldmVhbGVkIHRoYXQgaGlnaGVyIGxldmVscyBvZiB1cmdlIGludG9sZXJhbmNlIHByZWRpY3RlZCBncmVhdGVyIGxldmVscyBvZiB0aWMtcmVsYXRlZCBkaXNhYmlsaXR5LiBGdXJ0aGVybW9yZSwgdGhlIHJlbGF0aW9uc2hpcCBiZXR3ZWVuIHVyZ2UgaW50b2xlcmFuY2UgYW5kIHRpYy1yZWxhdGVkIGRpc2FiaWxpdHkgd2FzIG1vcmUgcm9idXN0IGZvciB5b3V0aCB3aXRoIGNsaW5pY2FsbHktZWxldmF0ZWQgbGV2ZWxzIG9mIGludGVybmFsaXppbmcgc3ltcHRvbXMuIFdoaWxlIGZ1cnRoZXIgaW52ZXN0aWdhdGlvbiBpcyBuZWVkZWQsIHVyZ2UgaW50b2xlcmFuY2UgcmVwcmVzZW50cyBhIHByb21pc2luZyB0cmVhdG1lbnQgdGFyZ2V0IHRvIGltcHJvdmUgdGljLXJlbGF0ZWQgZGlzYWJpbGl0eSBpbiB5b3V0aCB3aXRoIFRELiIsImlzc3VlIjoiNSIsInZvbHVtZSI6IjUyIiwiY29udGFpbmVyLXRpdGxlLXNob3J0IjoiIn0sImlzVGVtcG9yYXJ5IjpmYWxzZX1dfQ=="/>
                <w:id w:val="348300277"/>
                <w:placeholder>
                  <w:docPart w:val="DefaultPlaceholder_-1854013440"/>
                </w:placeholder>
              </w:sdtPr>
              <w:sdtContent>
                <w:r w:rsidR="00F04E9F" w:rsidRPr="00F04E9F">
                  <w:rPr>
                    <w:rFonts w:eastAsia="Times New Roman" w:cs="Times New Roman"/>
                    <w:color w:val="000000"/>
                    <w:sz w:val="16"/>
                    <w:szCs w:val="16"/>
                  </w:rPr>
                  <w:t>(27)</w:t>
                </w:r>
              </w:sdtContent>
            </w:sdt>
          </w:p>
        </w:tc>
        <w:tc>
          <w:tcPr>
            <w:tcW w:w="0" w:type="auto"/>
            <w:shd w:val="clear" w:color="auto" w:fill="FFFFFF"/>
            <w:hideMark/>
          </w:tcPr>
          <w:p w14:paraId="4805C391"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75 children with any tic disorder</w:t>
            </w:r>
          </w:p>
        </w:tc>
        <w:tc>
          <w:tcPr>
            <w:tcW w:w="0" w:type="auto"/>
            <w:shd w:val="clear" w:color="auto" w:fill="FFFFFF"/>
            <w:hideMark/>
          </w:tcPr>
          <w:p w14:paraId="202C69DE"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Significant positive correlation PUTS and DTS (r = 0.41, p &lt; 0.001) </w:t>
            </w:r>
            <w:r w:rsidRPr="008A1F40">
              <w:rPr>
                <w:rFonts w:cs="Times New Roman"/>
                <w:color w:val="000000" w:themeColor="text1"/>
                <w:sz w:val="16"/>
                <w:szCs w:val="16"/>
              </w:rPr>
              <w:t>such that higher PUTS scores were associated with lower levels of distress tolerance (correlation type unclear from publication)</w:t>
            </w:r>
          </w:p>
        </w:tc>
      </w:tr>
      <w:tr w:rsidR="00986E35" w:rsidRPr="008A1F40" w14:paraId="245EAE45" w14:textId="77777777" w:rsidTr="007F77D2">
        <w:trPr>
          <w:tblCellSpacing w:w="15" w:type="dxa"/>
        </w:trPr>
        <w:tc>
          <w:tcPr>
            <w:tcW w:w="0" w:type="auto"/>
            <w:shd w:val="clear" w:color="auto" w:fill="FFFFFF"/>
            <w:hideMark/>
          </w:tcPr>
          <w:p w14:paraId="358451EC" w14:textId="3D2CCB5B"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lastRenderedPageBreak/>
              <w:t>Ramsey et al (2022)</w:t>
            </w:r>
            <w:r w:rsidR="008102CE">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YmRmN2VhZGMtNmZlNS00ZWE5LTljYzItMzEyNTI2Yjg5NzUwIiwicHJvcGVydGllcyI6eyJub3RlSW5kZXgiOjB9LCJpc0VkaXRlZCI6ZmFsc2UsIm1hbnVhbE92ZXJyaWRlIjp7ImlzTWFudWFsbHlPdmVycmlkZGVuIjpmYWxzZSwiY2l0ZXByb2NUZXh0IjoiKDM4KSIsIm1hbnVhbE92ZXJyaWRlVGV4dCI6IiJ9LCJjaXRhdGlvbkl0ZW1zIjpbeyJpZCI6IjczYzgwM2RkLWIzMDAtM2Q5Zi1hNzk4LWExNWVhZjc0NjBjNSIsIml0ZW1EYXRhIjp7InR5cGUiOiJhcnRpY2xlLWpvdXJuYWwiLCJpZCI6IjczYzgwM2RkLWIzMDAtM2Q5Zi1hNzk4LWExNWVhZjc0NjBjNSIsInRpdGxlIjoiVXJnZSBpbnRvbGVyYW5jZSBwcmVkaWN0cyB0aWMgc2V2ZXJpdHkgYW5kIGltcGFpcm1lbnQgYW1vbmcgYWR1bHRzIHdpdGggVG91cmV0dGUgc3luZHJvbWUgYW5kIGNocm9uaWMgdGljIGRpc29yZGVycyIsImdyb3VwSWQiOiIwN2Q2MmFjMS01YWE4LTM5YWYtYjQ5ZS01MmQyMDg4YWM1NzEiLCJhdXRob3IiOlt7ImZhbWlseSI6IlJhbXNleSIsImdpdmVuIjoiSyBBIiwicGFyc2UtbmFtZXMiOmZhbHNlLCJkcm9wcGluZy1wYXJ0aWNsZSI6IiIsIm5vbi1kcm9wcGluZy1wYXJ0aWNsZSI6IiJ9LHsiZmFtaWx5IjoiTmFkYWkiLCJnaXZlbiI6IkEgUyIsInBhcnNlLW5hbWVzIjpmYWxzZSwiZHJvcHBpbmctcGFydGljbGUiOiIiLCJub24tZHJvcHBpbmctcGFydGljbGUiOiJEZSJ9LHsiZmFtaWx5IjoiRXNwaWwiLCJnaXZlbiI6IkYgTSIsInBhcnNlLW5hbWVzIjpmYWxzZSwiZHJvcHBpbmctcGFydGljbGUiOiIiLCJub24tZHJvcHBpbmctcGFydGljbGUiOiIifSx7ImZhbWlseSI6IlJpY2tldHRzIiwiZ2l2ZW4iOiJFIiwicGFyc2UtbmFtZXMiOmZhbHNlLCJkcm9wcGluZy1wYXJ0aWNsZSI6IiIsIm5vbi1kcm9wcGluZy1wYXJ0aWNsZSI6IiJ9LHsiZmFtaWx5IjoiU3RpZWRlIiwiZ2l2ZW4iOiJKIFQiLCJwYXJzZS1uYW1lcyI6ZmFsc2UsImRyb3BwaW5nLXBhcnRpY2xlIjoiIiwibm9uLWRyb3BwaW5nLXBhcnRpY2xlIjoiIn0seyJmYW1pbHkiOiJTY2hpbGQiLCJnaXZlbiI6IkoiLCJwYXJzZS1uYW1lcyI6ZmFsc2UsImRyb3BwaW5nLXBhcnRpY2xlIjoiIiwibm9uLWRyb3BwaW5nLXBhcnRpY2xlIjoiIn0seyJmYW1pbHkiOiJTcGVjaHQiLCJnaXZlbiI6Ik0gVyIsInBhcnNlLW5hbWVzIjpmYWxzZSwiZHJvcHBpbmctcGFydGljbGUiOiIiLCJub24tZHJvcHBpbmctcGFydGljbGUiOiIifSx7ImZhbWlseSI6Ildvb2RzIiwiZ2l2ZW4iOiJEIFciLCJwYXJzZS1uYW1lcyI6ZmFsc2UsImRyb3BwaW5nLXBhcnRpY2xlIjoiIiwibm9uLWRyb3BwaW5nLXBhcnRpY2xlIjoiIn0seyJmYW1pbHkiOiJCZW5uZXQiLCJnaXZlbiI6IlMiLCJwYXJzZS1uYW1lcyI6ZmFsc2UsImRyb3BwaW5nLXBhcnRpY2xlIjoiIiwibm9uLWRyb3BwaW5nLXBhcnRpY2xlIjoiIn0seyJmYW1pbHkiOiJXYWxrdXAiLCJnaXZlbiI6IkogVCIsInBhcnNlLW5hbWVzIjpmYWxzZSwiZHJvcHBpbmctcGFydGljbGUiOiIiLCJub24tZHJvcHBpbmctcGFydGljbGUiOiIifSx7ImZhbWlseSI6IkNoYW5nIiwiZ2l2ZW4iOiJTIiwicGFyc2UtbmFtZXMiOmZhbHNlLCJkcm9wcGluZy1wYXJ0aWNsZSI6IiIsIm5vbi1kcm9wcGluZy1wYXJ0aWNsZSI6IiJ9LHsiZmFtaWx5IjoiUGlhY2VudGluaSIsImdpdmVuIjoiSiIsInBhcnNlLW5hbWVzIjpmYWxzZSwiZHJvcHBpbmctcGFydGljbGUiOiIiLCJub24tZHJvcHBpbmctcGFydGljbGUiOiIifSx7ImZhbWlseSI6Ik1jR3VpcmUiLCJnaXZlbiI6IkogRiIsInBhcnNlLW5hbWVzIjpmYWxzZSwiZHJvcHBpbmctcGFydGljbGUiOiIiLCJub24tZHJvcHBpbmctcGFydGljbGUiOiIifV0sImNvbnRhaW5lci10aXRsZSI6IkZyb250aWVycyBpbiBQc3ljaGlhdHJ5IiwiRE9JIjoiaHR0cHM6Ly9keC5kb2kub3JnLzEwLjMzODkvZnBzeXQuMjAyMi45Mjk0MTMiLCJVUkwiOiJodHRwOi8vd3d3LmZyb250aWVyc2luLm9yZy9Qc3ljaGlhdHJ5aHR0cDovL292aWRzcC5vdmlkLmNvbS9vdmlkd2ViLmNnaT9UPUpTJlBBR0U9cmVmZXJlbmNlJkQ9ZW1leGImTkVXUz1OJkFOPTIwMTg3NDk4MDMiLCJpc3N1ZWQiOnsiZGF0ZS1wYXJ0cyI6W1syMDIyXV19LCJwYWdlIjoiOTI5NDEzIiwiYWJzdHJhY3QiOiJCYWNrZ3JvdW5kOiBJbmRpdmlkdWFscyB3aXRoIFRvdXJldHRlIFN5bmRyb21lIGFuZCBQZXJzaXN0ZW50IFRpYyBEaXNvcmRlcnMgKGNvbGxlY3RpdmVseSBUUykgb2Z0ZW4gZXhwZXJpZW5jZSBwcmVtb25pdG9yeSB1cmdlcy1hdmVyc2l2ZSBwaHlzaWNhbCBzZW5zYXRpb25zIHRoYXQgcHJlY2VkZSB0aWNzIGFuZCBhcmUgdGVtcG9yYXJpbHkgcmVsaWV2ZWQgYnkgdGljIGV4cHJlc3Npb24uIFRoZSByZWxhdGlvbnNoaXAgYmV0d2VlbiB0aWNzIGFuZCBwcmVtb25pdG9yeSB1cmdlcyBwbGF5cyBhIGtleSByb2xlIGluIHRoZSBuZXVyb2JlaGF2aW9yYWwgdHJlYXRtZW50IG1vZGVsIG9mIFRTLCB3aGljaCB1bmRlcmxpZXMgZmlyc3QtbGluZSB0cmVhdG1lbnRzIHN1Y2ggYXMgdGhlIENvbXByZWhlbnNpdmUgQmVoYXZpb3JhbCBJbnRlcnZlbnRpb24gZm9yIFRpY3MgKENCSVQpLiBEZXNwaXRlIHRoZSBlZmZpY2FjeSBvZiBDQklUIGFuZCByZWxhdGVkIGJlaGF2aW9yYWwgdGhlcmFwaWVzLCBsZXNzIHRoYW4gNDAlIG9mIGFkdWx0cyB3aXRoIFRTIHJlc3BvbmQgdG8gdGhlc2UgdHJlYXRtZW50cy4gRnVydGhlciBleGFtaW5hdGlvbiBvZiB0aGUgcmVsYXRpb25zaGlwIGJldHdlZW4gcHJlbW9uaXRvcnkgdXJnZXMsIHRpYyBzZXZlcml0eSwgYW5kIHRpYyBpbXBhaXJtZW50IGNhbiBwcm92aWRlIG5ldyBpbnNpZ2h0cyBpbnRvIHRoZXJhcGV1dGljIHRhcmdldHMgdG8gb3B0aW1pemUgYmVoYXZpb3JhbCB0cmVhdG1lbnQgb3V0Y29tZXMuIFRoaXMgc3R1ZHkgZXhhbWluZWQgd2hldGhlciB1cmdlIGludG9sZXJhbmNlLWRpZmZpY3VsdHkgdG9sZXJhdGluZyBwcmVtb25pdG9yeSB1cmdlcy1wcmVkaWN0ZWQgdGljIHNldmVyaXR5IGFuZCB0aWMtcmVsYXRlZCBpbXBhaXJtZW50IGFtb25nIGFkdWx0cyB3aXRoIFRTLiBNZXRob2Qocyk6IFBhcnRpY2lwYW50cyB3ZXJlIDgwIGFkdWx0cyB3aXRoIFRTLiBBc3Nlc3NtZW50cyBjaGFyYWN0ZXJpemVkIHByZW1vbml0b3J5IHVyZ2UsIGRpc3RyZXNzIHRvbGVyYW5jZSwgdGljIHNldmVyaXR5LCBhbmQgdGljIGltcGFpcm1lbnQuIFdlIHVzZWQgc3RydWN0dXJhbCBlcXVhdGlvbiBtb2RlbGluZyAoU0VNKSB0byBleGFtaW5lIHRoZSBjb25zdHJ1Y3Qgb2YgdXJnZSBpbnRvbGVyYW5jZS1jb21wcmlzZWQgb2YgcHJlbW9uaXRvcnkgdXJnZSByYXRpbmdzIGFuZCBkaXN0cmVzcyB0b2xlcmFuY2UgcmF0aW5ncy4gV2UgZmlyc3QgZXZhbHVhdGVkIGEgbWVhc3VyZW1lbnQgbW9kZWwgb2YgdXJnZSBpbnRvbGVyYW5jZSB0aHJvdWdoIGJpZmFjdG9yIG1vZGVsaW5nLCBpbmNsdWRpbmcgdGVzdHMgb2YgdGhlIGluY3JlbWVudGFsIHZhbHVlIG9mIHN1YmZhY3RvcnMgdGhhdCByZWZsZWN0IHByZW1vbml0b3J5IHVyZ2Ugc2V2ZXJpdHkgYW5kIGRpc3RyZXNzIHRvbGVyYW5jZSB3aXRoaW4gdGhlIG1vZGVsLiBXZSB0aGVuIGV2YWx1YXRlZCBhIHN0cnVjdHVyYWwgbW9kZWwgd2hlcmUgd2UgcHJlZGljdGVkIGNsaW5pY2lhbi1yYXRlZCB0aWMgc2V2ZXJpdHkgYW5kIHRpYyBpbXBhaXJtZW50IGJ5IHRoZSBsYXRlbnQgdmFyaWFibGUgb2YgdXJnZSBpbnRvbGVyYW5jZSBlc3RhYmxpc2hlZCBpbiBvdXIgbWVhc3VyZW1lbnQgbW9kZWwuIFJlc3VsdChzKTogQW5hbHlzZXMgc3VwcG9ydGVkIGEgYmlmYWN0b3IgbWVhc3VyZW1lbnQgbW9kZWwgb2YgdXJnZSBpbnRvbGVyYW5jZSBhbW9uZyBhZHVsdHMgd2l0aCBUUy4gQ29uc2lzdGVudCB3aXRoIHRoZW9yZXRpY2FsIG1vZGVscywgaGlnaGVyIGxldmVscyBvZiB1cmdlIGludG9sZXJhbmNlIHByZWRpY3RlZCBncmVhdGVyIGxldmVscyBvZiBjbGluaWNpYW4tcmF0ZWQgdGljIHNldmVyaXR5IGFuZCB0aWMgaW1wYWlybWVudC4gQ29uY2x1c2lvbihzKTogVGhpcyBpbnZlc3RpZ2F0aW9uIHN1cHBvcnRzIHRoZSBjb25zdHJ1Y3Qgb2YgdXJnZSBpbnRvbGVyYW5jZSBhbW9uZyBhZHVsdHMgd2l0aCBUUyBhbmQgZGlzdGluZ3Vpc2hlcyBpdCBmcm9tIHN1YmNvbXBvbmVudHMgb2YgdXJnZSBzZXZlcml0eSBhbmQgZGlzdHJlc3MgdG9sZXJhbmNlLiBHaXZlbiBpdHMgcHJlZGljdGl2ZSByZWxhdGlvbnNoaXAgd2l0aCB0aWMgc2V2ZXJpdHkgYW5kIHRpYyBpbXBhaXJtZW50LCB1cmdlIGludG9sZXJhbmNlIHJlcHJlc2VudHMgYSBwcm9taXNpbmcgdHJlYXRtZW50IHRhcmdldCB0byBpbXByb3ZlIHRoZXJhcGV1dGljIG91dGNvbWVzIGluIGFkdWx0cyB3aXRoIFRTLkNvcHlyaWdodCDCqSAyMDIyIFJhbXNleSwgRGUgTmFkYWksIEVzcGlsLCBSaWNrZXR0cywgU3RpZWRlLCBTY2hpbGQsIFNwZWNodCwgV29vZHMsIEJlbm5ldCwgV2Fsa3VwLCBDaGFuZywgUGlhY2VudGluaSBhbmQgTWNHdWlyZS4iLCJ2b2x1bWUiOiIxMyIsImNvbnRhaW5lci10aXRsZS1zaG9ydCI6IkZyb250IFBzeWNoaWF0cnkifSwiaXNUZW1wb3JhcnkiOmZhbHNlfV19"/>
                <w:id w:val="2035605197"/>
                <w:placeholder>
                  <w:docPart w:val="DefaultPlaceholder_-1854013440"/>
                </w:placeholder>
              </w:sdtPr>
              <w:sdtContent>
                <w:r w:rsidR="00F04E9F" w:rsidRPr="00F04E9F">
                  <w:rPr>
                    <w:rFonts w:eastAsia="Times New Roman" w:cs="Times New Roman"/>
                    <w:color w:val="000000"/>
                    <w:sz w:val="16"/>
                    <w:szCs w:val="16"/>
                  </w:rPr>
                  <w:t>(38)</w:t>
                </w:r>
              </w:sdtContent>
            </w:sdt>
          </w:p>
        </w:tc>
        <w:tc>
          <w:tcPr>
            <w:tcW w:w="0" w:type="auto"/>
            <w:shd w:val="clear" w:color="auto" w:fill="FFFFFF"/>
            <w:hideMark/>
          </w:tcPr>
          <w:p w14:paraId="304790B8"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80 adults with TS or chronic motor tic disorder</w:t>
            </w:r>
          </w:p>
        </w:tc>
        <w:tc>
          <w:tcPr>
            <w:tcW w:w="0" w:type="auto"/>
            <w:shd w:val="clear" w:color="auto" w:fill="FFFFFF"/>
            <w:hideMark/>
          </w:tcPr>
          <w:p w14:paraId="4487AF58"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Significant positive correlation between PUTS and DTS (r = 0.39, p = 0.001) </w:t>
            </w:r>
            <w:r w:rsidRPr="008A1F40">
              <w:rPr>
                <w:rFonts w:cs="Times New Roman"/>
                <w:color w:val="000000" w:themeColor="text1"/>
                <w:sz w:val="16"/>
                <w:szCs w:val="16"/>
              </w:rPr>
              <w:t>such that higher PUTS scores were associated with lower levels of distress tolerance (correlation type unclear from publication)</w:t>
            </w:r>
          </w:p>
        </w:tc>
      </w:tr>
      <w:tr w:rsidR="00986E35" w:rsidRPr="008A1F40" w14:paraId="0CE009D8" w14:textId="77777777" w:rsidTr="007F77D2">
        <w:trPr>
          <w:tblCellSpacing w:w="15" w:type="dxa"/>
        </w:trPr>
        <w:tc>
          <w:tcPr>
            <w:tcW w:w="0" w:type="auto"/>
            <w:shd w:val="clear" w:color="auto" w:fill="FFFFFF"/>
            <w:hideMark/>
          </w:tcPr>
          <w:p w14:paraId="5F5044BD" w14:textId="4B7F8D42"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McGuire et al (2016)</w:t>
            </w:r>
            <w:r w:rsidR="008102CE">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ZjVjYzY1NWMtODhmYS00MWEzLTlmYzMtMGY2MmI0YTc1ZjBiIiwicHJvcGVydGllcyI6eyJub3RlSW5kZXgiOjB9LCJpc0VkaXRlZCI6ZmFsc2UsIm1hbnVhbE92ZXJyaWRlIjp7ImlzTWFudWFsbHlPdmVycmlkZGVuIjpmYWxzZSwiY2l0ZXByb2NUZXh0IjoiKDQzKSIsIm1hbnVhbE92ZXJyaWRlVGV4dCI6IiJ9LCJjaXRhdGlvbkl0ZW1zIjpbeyJpZCI6ImIxOGVhNzQxLWVlZjYtMzg5ZC05MDIwLTExMzNhOTlhMzgyNCIsIml0ZW1EYXRhIjp7InR5cGUiOiJhcnRpY2xlLWpvdXJuYWwiLCJpZCI6ImIxOGVhNzQxLWVlZjYtMzg5ZC05MDIwLTExMzNhOTlhMzgyNCIsInRpdGxlIjoiVGhlIHByZW1vbml0b3J5IHVyZ2UgcmV2aXNpdGVkOiBBbiBpbmRpdmlkdWFsaXplZCBwcmVtb25pdG9yeSB1cmdlIGZvciB0aWNzIHNjYWxlIiwiZ3JvdXBJZCI6IjA3ZDYyYWMxLTVhYTgtMzlhZi1iNDllLTUyZDIwODhhYzU3MSIsImF1dGhvciI6W3siZmFtaWx5IjoiTWNHdWlyZSIsImdpdmVuIjoiSiBGIiwicGFyc2UtbmFtZXMiOmZhbHNlLCJkcm9wcGluZy1wYXJ0aWNsZSI6IiIsIm5vbi1kcm9wcGluZy1wYXJ0aWNsZSI6IiJ9LHsiZmFtaWx5IjoiTWNCcmlkZSIsImdpdmVuIjoiTiIsInBhcnNlLW5hbWVzIjpmYWxzZSwiZHJvcHBpbmctcGFydGljbGUiOiIiLCJub24tZHJvcHBpbmctcGFydGljbGUiOiIifSx7ImZhbWlseSI6IlBpYWNlbnRpbmkiLCJnaXZlbiI6IkoiLCJwYXJzZS1uYW1lcyI6ZmFsc2UsImRyb3BwaW5nLXBhcnRpY2xlIjoiIiwibm9uLWRyb3BwaW5nLXBhcnRpY2xlIjoiIn0seyJmYW1pbHkiOiJKb2huY28iLCJnaXZlbiI6IkMiLCJwYXJzZS1uYW1lcyI6ZmFsc2UsImRyb3BwaW5nLXBhcnRpY2xlIjoiIiwibm9uLWRyb3BwaW5nLXBhcnRpY2xlIjoiIn0seyJmYW1pbHkiOiJMZXdpbiIsImdpdmVuIjoiQSBCIiwicGFyc2UtbmFtZXMiOmZhbHNlLCJkcm9wcGluZy1wYXJ0aWNsZSI6IiIsIm5vbi1kcm9wcGluZy1wYXJ0aWNsZSI6IiJ9LHsiZmFtaWx5IjoiTXVycGh5IiwiZ2l2ZW4iOiJUIEsiLCJwYXJzZS1uYW1lcyI6ZmFsc2UsImRyb3BwaW5nLXBhcnRpY2xlIjoiIiwibm9uLWRyb3BwaW5nLXBhcnRpY2xlIjoiIn0seyJmYW1pbHkiOiJTdG9yY2giLCJnaXZlbiI6IkUgQSIsInBhcnNlLW5hbWVzIjpmYWxzZSwiZHJvcHBpbmctcGFydGljbGUiOiIiLCJub24tZHJvcHBpbmctcGFydGljbGUiOiIifV0sImNvbnRhaW5lci10aXRsZSI6IkogUHN5Y2hpYXRyIFJlcyIsIkRPSSI6IjEwLjEwMTYvai5qcHN5Y2hpcmVzLjIwMTYuMDkuMDA3IiwiUE1JRCI6IjI3NjQzNDc2IiwiaXNzdWVkIjp7ImRhdGUtcGFydHMiOltbMjAxNl1dfSwicGFnZSI6IjE3Ni0xODMiLCJhYnN0cmFjdCI6IkJBQ0tHUk9VTkQ6IFByZW1vbml0b3J5IHVyZ2UgcmF0aW5ncyBoYXZlIGFkdmFuY2VkIG91ciB1bmRlcnN0YW5kaW5nIG9mIHVyZ2UgcGhlbm9tZW5vbG9neSBhbW9uZyBpbmRpdmlkdWFscyB3aXRoIHRpYyBkaXNvcmRlcnMgKFREKS4gSG93ZXZlciwgdGhlc2UgcmF0aW5ncyBoYXZlIGJlZW4gbGltaXRlZCBieSB0aGVpciByZWxpYW5jZSBvbiBhIHNpbmdsZSBnbG9iYWwgZGltZW5zaW9uIG9mIHVyZ2Ugc2V2ZXJpdHkuIFRoaXMgc3R1ZHkgZXhhbWluZWQgdGhlIHBzeWNob21ldHJpYyBwcm9wZXJ0aWVzIG9mIGEgbm92ZWwgc2NhbGUgY2FsbGVkIHRoZSBJbmRpdmlkdWFsaXplZCBQcmVtb25pdG9yeSBVcmdlIGZvciBUaWNzIFNjYWxlIChJLVBVVFMpIHRoYXQgYXNzZXNzZXMgdXJnZSBzZXZlcml0eSBhY3Jvc3MgbXVsdGlwbGUgZGltZW5zaW9ucyAobnVtYmVyLCBmcmVxdWVuY3ksIGFuZCBpbnRlbnNpdHkpLiBNRVRIT0Q6IFNldmVudHktZml2ZSB5b3V0aCB3aXRoIGEgVEQgYW5kIHRoZWlyIHBhcmVudHMgcGFydGljaXBhdGVkLiBDbGluaWNpYW5zIGFzc2Vzc2VkIHlvdXRoJ3MgdGljIHNldmVyaXR5LCBkZXByZXNzaW9uIHNldmVyaXR5LCByYWdlcywgYW5kIHByZW1vbml0b3J5IHVyZ2VzLiBQYXJlbnRzIGNvbXBsZXRlZCByYXRpbmdzIG9mIHlvdXRoJ3MgYW54aWV0eSwgYWZmZWN0IGxhYmlsaXR5LCBhbmQgZ2VuZXJhbCBwc3ljaG9wYXRob2xvZ3kuIFlvdXRoIGNvbXBsZXRlZCBzZWxmLXJlcG9ydCByYXRpbmdzIG9mIGFueGlldHksIHVyZ2Ugc2V2ZXJpdHksIGFuZCBkaXN0cmVzcyB0b2xlcmFuY2UuIFJFU1VMVFM6IFRoZSBJLVBVVFMgaWRlbnRpZmllZCB0aGF0IHlvdXRoIGV4cGVyaWVuY2VkIGFuIGF2ZXJhZ2Ugb2YgdGhyZWUgZGlzdGluY3QgdXJnZXMsIGJ1dCBoYWQgYW4gYXZlcmFnZSBvZiBzZXZlbiB0aWNzIG92ZXIgdGhlIHBhc3Qgd2Vlay4gVXJnZXMgd2VyZSBwcmltYXJpbHkgbG9jYWxpemVkIGluIHRoZSBoZWFkL2ZhY2UsIG5lY2svdGhyb2F0LCBhbmQgYXJtIHJlZ2lvbnMuIEFsbCBJLVBVVFMgZGltZW5zaW9ucyBleGhpYml0ZWQgZXhjZWxsZW50IGludGVyLXJhdGVyIHJlbGlhYmlsaXR5LiBUaGUgSS1QVVRTIGRpbWVuc2lvbnMgZXhoaWJpdGVkIGdvb2QgY29udmVyZ2VudCB2YWxpZGl0eSB3aXRoIGdsb2JhbCB1cmdlIHJhdGluZ3MgYW5kIHRpYyBzZXZlcml0eSwgYW5kIGFwcHJvcHJpYXRlIGRpdmVyZ2VudCB2YWxpZGl0eSBmcm9tIG90aGVyIGNsaW5pY2FsIGNvbnN0cnVjdHMuIFlvdXRoIHdobyBleGhpYml0ZWQgZGlzY3JlcGFudCByZXBvcnRzIGJldHdlZW4gY2xpbmljaWFuLWFkbWluaXN0ZXJlZCBhbmQgc2VsZi1yZXBvcnQgdXJnZSByYXRpbmdzIGhhZCBsZXNzIGFueGlldHkgYW5kIHRpYyBzZXZlcml0eSwgYW5kIGdyZWF0ZXIgaW5hdHRlbnRpb24gYW5kIGV4dGVybmFsaXppbmcgcHJvYmxlbXMgY29tcGFyZWQgdG8geW91dGggd2hvIGV4aGliaXRlZCBnb29kIGFncmVlbWVudC4gQ09OQ0xVU0lPTlM6IFRoZSBJLVBVVFMgaXMgYSByZWxpYWJsZSBhbmQgdmFsaWQgYXNzZXNzbWVudCBvZiB1cmdlIHBoZW5vbWVuYSwgd2hpY2ggcHJvdmlkZXMgYWRkaXRpb25hbCBhbmQgY29tcGxlbWVudGFyeSBpbmZvcm1hdGlvbiB0byBleGlzdGluZyB1cmdlIHNjYWxlcy4gSXQgaGlnaGxpZ2h0cyB0aGUgZXhpc3RlbmNlIG9mIG11bHRpcGxlIGRpbWVuc2lvbnMgb2YgdXJnZSBzZXZlcml0eSwgYW5kIHByZXNlbnRzIHBhcnRpY3VsYXIgdXRpbGl0eSB3aGVuIGFzc2Vzc2luZyB1cmdlcyBpbiB5b3V0aCB3aXRoIFREIHdobyBoYXZlIGluYXR0ZW50aW9uIGFuZCBleHRlcm5hbGl6aW5nIHByb2JsZW1zLiIsInZvbHVtZSI6IjgzIiwiY29udGFpbmVyLXRpdGxlLXNob3J0IjoiIn0sImlzVGVtcG9yYXJ5IjpmYWxzZX1dfQ=="/>
                <w:id w:val="697274699"/>
                <w:placeholder>
                  <w:docPart w:val="DefaultPlaceholder_-1854013440"/>
                </w:placeholder>
              </w:sdtPr>
              <w:sdtContent>
                <w:r w:rsidR="00F04E9F" w:rsidRPr="00F04E9F">
                  <w:rPr>
                    <w:rFonts w:eastAsia="Times New Roman" w:cs="Times New Roman"/>
                    <w:color w:val="000000"/>
                    <w:sz w:val="16"/>
                    <w:szCs w:val="16"/>
                  </w:rPr>
                  <w:t>(43)</w:t>
                </w:r>
              </w:sdtContent>
            </w:sdt>
          </w:p>
        </w:tc>
        <w:tc>
          <w:tcPr>
            <w:tcW w:w="0" w:type="auto"/>
            <w:shd w:val="clear" w:color="auto" w:fill="FFFFFF"/>
            <w:hideMark/>
          </w:tcPr>
          <w:p w14:paraId="2569DEED"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75 children with any tic disorder</w:t>
            </w:r>
          </w:p>
        </w:tc>
        <w:tc>
          <w:tcPr>
            <w:tcW w:w="0" w:type="auto"/>
            <w:shd w:val="clear" w:color="auto" w:fill="FFFFFF"/>
            <w:hideMark/>
          </w:tcPr>
          <w:p w14:paraId="699A02E3"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Significant negative correlation between PUTS and DTS (Spearman's r = -0.40, p &lt; 0.001) </w:t>
            </w:r>
            <w:r w:rsidRPr="008A1F40">
              <w:rPr>
                <w:rFonts w:cs="Times New Roman"/>
                <w:color w:val="000000" w:themeColor="text1"/>
                <w:sz w:val="16"/>
                <w:szCs w:val="16"/>
              </w:rPr>
              <w:t>*Note, in this case higher DTS scores were said to correspond to greater distress tolerance</w:t>
            </w:r>
            <w:r w:rsidRPr="008A1F40">
              <w:rPr>
                <w:rFonts w:eastAsia="Times New Roman" w:cs="Times New Roman"/>
                <w:color w:val="000000" w:themeColor="text1"/>
                <w:sz w:val="16"/>
                <w:szCs w:val="16"/>
              </w:rPr>
              <w:t>.</w:t>
            </w:r>
          </w:p>
          <w:p w14:paraId="546DA1AB"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No significant correlations between </w:t>
            </w:r>
            <w:r w:rsidRPr="008A1F40">
              <w:rPr>
                <w:rFonts w:cs="Times New Roman"/>
                <w:color w:val="000000" w:themeColor="text1"/>
                <w:sz w:val="16"/>
                <w:szCs w:val="16"/>
              </w:rPr>
              <w:t>any of the three I-PUTS dimensions and DTS scores (Spearman’s r = 0.03, 0.04, 0.06)</w:t>
            </w:r>
          </w:p>
        </w:tc>
      </w:tr>
      <w:tr w:rsidR="00986E35" w:rsidRPr="008A1F40" w14:paraId="2F9DE886" w14:textId="77777777" w:rsidTr="007F77D2">
        <w:trPr>
          <w:tblCellSpacing w:w="15" w:type="dxa"/>
        </w:trPr>
        <w:tc>
          <w:tcPr>
            <w:tcW w:w="0" w:type="auto"/>
            <w:shd w:val="clear" w:color="auto" w:fill="FFFFFF"/>
            <w:hideMark/>
          </w:tcPr>
          <w:p w14:paraId="09E66C74" w14:textId="770E71ED"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Hagstrøm et al (2021)</w:t>
            </w:r>
            <w:r w:rsidR="008102CE">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OTE5ZWY1NzItMzU2OS00MzUyLWEyMmQtZWViOGQ1OTUxMzc0IiwicHJvcGVydGllcyI6eyJub3RlSW5kZXgiOjB9LCJpc0VkaXRlZCI6ZmFsc2UsIm1hbnVhbE92ZXJyaWRlIjp7ImlzTWFudWFsbHlPdmVycmlkZGVuIjpmYWxzZSwiY2l0ZXByb2NUZXh0IjoiKDU1KSIsIm1hbnVhbE92ZXJyaWRlVGV4dCI6IiJ9LCJjaXRhdGlvbkl0ZW1zIjpbeyJpZCI6Ijc2NWI3MTE2LTdmNWItMzQ1Zi1hZGU4LTAyYTY3NjFjOGMxZCIsIml0ZW1EYXRhIjp7InR5cGUiOiJhcnRpY2xlLWpvdXJuYWwiLCJpZCI6Ijc2NWI3MTE2LTdmNWItMzQ1Zi1hZGU4LTAyYTY3NjFjOGMxZCIsInRpdGxlIjoiQW4gb2JzZXJ2YXRpb25hbCBzdHVkeSBvZiBlbW90aW9uIHJlZ3VsYXRpb24gaW4gY2hpbGRyZW4gd2l0aCBUb3VyZXR0ZSBzeW5kcm9tZSIsImdyb3VwSWQiOiIwN2Q2MmFjMS01YWE4LTM5YWYtYjQ5ZS01MmQyMDg4YWM1NzEiLCJhdXRob3IiOlt7ImZhbWlseSI6IkhhZ3N0csO4bSIsImdpdmVuIjoiSiIsInBhcnNlLW5hbWVzIjpmYWxzZSwiZHJvcHBpbmctcGFydGljbGUiOiIiLCJub24tZHJvcHBpbmctcGFydGljbGUiOiIifSx7ImZhbWlseSI6IlNwYW5nIiwiZ2l2ZW4iOiJLIFMiLCJwYXJzZS1uYW1lcyI6ZmFsc2UsImRyb3BwaW5nLXBhcnRpY2xlIjoiIiwibm9uLWRyb3BwaW5nLXBhcnRpY2xlIjoiIn0seyJmYW1pbHkiOiJWYW5na2lsZGUiLCJnaXZlbiI6IlMiLCJwYXJzZS1uYW1lcyI6ZmFsc2UsImRyb3BwaW5nLXBhcnRpY2xlIjoiIiwibm9uLWRyb3BwaW5nLXBhcnRpY2xlIjoiIn0seyJmYW1pbHkiOiJNYWlnYWFyZCIsImdpdmVuIjoiSyIsInBhcnNlLW5hbWVzIjpmYWxzZSwiZHJvcHBpbmctcGFydGljbGUiOiIiLCJub24tZHJvcHBpbmctcGFydGljbGUiOiIifSx7ImZhbWlseSI6IlNrb3YiLCJnaXZlbiI6IkwiLCJwYXJzZS1uYW1lcyI6ZmFsc2UsImRyb3BwaW5nLXBhcnRpY2xlIjoiIiwibm9uLWRyb3BwaW5nLXBhcnRpY2xlIjoiIn0seyJmYW1pbHkiOiJQYWdzYmVyZyIsImdpdmVuIjoiQSBLIiwicGFyc2UtbmFtZXMiOmZhbHNlLCJkcm9wcGluZy1wYXJ0aWNsZSI6IiIsIm5vbi1kcm9wcGluZy1wYXJ0aWNsZSI6IiJ9LHsiZmFtaWx5IjoiSmVwc2VuIiwiZ2l2ZW4iOiJKIFIgTSIsInBhcnNlLW5hbWVzIjpmYWxzZSwiZHJvcHBpbmctcGFydGljbGUiOiIiLCJub24tZHJvcHBpbmctcGFydGljbGUiOiIifSx7ImZhbWlseSI6IlBsZXNzZW4iLCJnaXZlbiI6IksgSiIsInBhcnNlLW5hbWVzIjpmYWxzZSwiZHJvcHBpbmctcGFydGljbGUiOiIiLCJub24tZHJvcHBpbmctcGFydGljbGUiOiIifV0sImNvbnRhaW5lci10aXRsZSI6IkogQ2hpbGQgUHN5Y2hvbCBQc3ljaGlhdHJ5IiwiRE9JIjoiMTAuMTExMS9qY3BwLjEzMzc1IiwiUE1JRCI6IjMzMzY4MjQ0IiwiVVJMIjoiaHR0cHM6Ly9hY2FtaC1vbmxpbmVsaWJyYXJ5LXdpbGV5LWNvbS5wcm94eS5saWJyYXJ5LnZhbmRlcmJpbHQuZWR1L2RvaS9mdWxsLzEwLjExMTEvamNwcC4xMzM3NSIsImlzc3VlZCI6eyJkYXRlLXBhcnRzIjpbWzIwMjFdXX0sInBhZ2UiOiI3OTAtNzk3IiwiYWJzdHJhY3QiOiJCQUNLR1JPVU5EOiBFeHBsb3NpdmUgb3V0YnVyc3RzIG9jY3VyIGluIDI1JS03MCUgb2YgY2hpbGRyZW4gd2l0aCBUb3VyZXR0ZSBzeW5kcm9tZSAoVFMpIGFuZCBtYXkgY2F1c2UgbW9yZSBkaXN0cmVzcyB0aGFuIHRoZSB0aWNzIHRoZW1zZWx2ZXMuIFByZXZpb3VzIHN0dWRpZXMgaGF2ZSBpbmRpY2F0ZWQgdGhhdCBhIGNvbW9yYmlkIGRpYWdub3NpcyBvZiBhdHRlbnRpb24tZGVmaWNpdC9oeXBlcmFjdGl2aXR5IGRpc29yZGVyIChBREhEKSBpcyBhc3NvY2lhdGVkIHdpdGggZW1vdGlvbmFsIGR5c3JlZ3VsYXRpb24gaW4gVFM7IGhvd2V2ZXIsIHRoaXMgcmVsYXRpb25zaGlwIGhhcyBhbG1vc3QgZXhjbHVzaXZlbHkgYmVlbiBzdHVkaWVkIHVzaW5nIHBhcmVudC1yZXBvcnRlZCBxdWVzdGlvbm5haXJlcy4gTUVUSE9EUzogV2UgZXhhbWluZWQgZW1vdGlvbiByZWd1bGF0aW9uIChFUikgd2l0aCBhbiBvYnNlcnZhdGlvbmFsIG1lYXN1cmUgaW4gMTUwIG1lZGljYXRpb24tbmHDr3ZlIGNoaWxkcmVuIGFnZWQgNy0xMiBhbGxvY2F0ZWQgdG8gZm91ciBncm91cHM6IEZvcnR5LW5pbmUgY2hpbGRyZW4gd2l0aCBUUywgMjMgY2hpbGRyZW4gd2l0aCBBREhELCAxNiBjaGlsZHJlbiB3aXRoIFRTwqArwqBBREhELCBhbmQgNjIgdHlwaWNhbGx5IGRldmVsb3BpbmcgY29udHJvbHMuIFdlIGFzc2Vzc2VkIHBhcnRpY2lwYW50cycgRVIgYWJpbGl0eSwgYXMgd2VsbCBhcyBwYXJlbnQtY2hpbGQgaW50ZXJhY3Rpb25zIGluIHRoZSBjb250ZXh0IG9mIGEgY29tcGxleCBwdXp6bGUgdGFzaywgYW5kIGNvZGVkIHRoZSBvYnNlcnZlZCBiZWhhdmlvciB3aXRoIHRoZSBUYW5ncmFtIEVtb3Rpb24gQ29kaW5nIE1hbnVhbCAoVEVDLU0pLiBXZSBleGFtaW5lZCBncm91cCBkaWZmZXJlbmNlcyBpbiBFUiwgYXMgd2VsbCBhcyBhc3NvY2lhdGlvbnMgYmV0d2VlbiBFUiBhbmQgc2V2ZXJpdHkgb2Ygc3ltcHRvbXMgcGVydGFpbmluZyB0byBUUyBhbmQgQURIRC4gUkVTVUxUUzogQ2hpbGRyZW4gd2l0aCBUUyBkaWQgbm90IGRpZmZlciBmcm9tIGNvbnRyb2xzIGluIHRoZWlyIEVSIGFiaWxpdHkuIEhvd2V2ZXIsIGNoaWxkcmVuIHdpdGggQURIRCBhbmQgVFPCoCvCoEFESEQgaGFkIG1vcmUgcHJvYmxlbXMgd2l0aCBFUiB0aGFuIHRob3NlIHdpdGggVFMgb25seSBhbmQgY29udHJvbHMuIEZpbmFsbHksIHBhcmVudHMgb2YgY2hpbGRyZW4gd2l0aCBBREhEIGRpc3BsYXllZCBtb3JlIHRlbnNpb24gZHVyaW5nIHRoZSBleHBlcmltZW50YWwgdGFzay4gRVIgYWJpbGl0eSB3YXMgbm90IGFzc29jaWF0ZWQgd2l0aCB0aWMgc2V2ZXJpdHkgbm9yIHByZW1vbml0b3J5IHVyZ2VzOyBob3dldmVyLCBiZXR0ZXIgRVIgYWJpbGl0eSB3YXMgYXNzb2NpYXRlZCB3aXRoIGxlc3Mgc2V2ZXJlIHN5bXB0b21zIG9mIEFESEQuIENPTkNMVVNJT05TOiBUaGlzIHN0dWR5IGlzIHRoZSBmaXJzdCB0byBldmFsdWF0ZSBFUiB3aXRoIGFuIG9ic2VydmF0aW9uYWwsIGNsaW5pY2lhbi1yYXRlZCBtZWFzdXJlIGluIGEgY29udHJvbGxlZCBzb2NpYWwgc2V0dGluZyBpbiBjaGlsZHJlbiB3aXRoIFRTLiBPdXIgZmluZGluZ3Mgc3VwcG9ydCBlYXJsaWVyIHF1ZXN0aW9ubmFpcmUtYmFzZWQgc3R1ZGllcyBieSBzaG93aW5nIGltcGFpcmVkIEVSIGluIGNoaWxkcmVuIHdpdGggVFPCoCvCoEFESEQsIGJ1dCBub3QgaW4gY2hpbGRyZW4gd2l0aCBUUyB3aXRob3V0IGNvbW9yYmlkaXR5LiBUaGVzZSBmaW5kaW5ncyBpbmZvcm0gb3VyIHVuZGVyc3RhbmRpbmcgb2YgdGhlIHBoZW5vbWVub2xvZ3kgb2YgZW1vdGlvbmFsIGR5c3JlZ3VsYXRpb24gaW4gVFMgYW5kIHRoZSByb2xlIG9mIGNvbW9yYmlkIGRpc29yZGVycy4iLCJpc3N1ZSI6IjYiLCJ2b2x1bWUiOiI2MiIsImNvbnRhaW5lci10aXRsZS1zaG9ydCI6IiJ9LCJpc1RlbXBvcmFyeSI6ZmFsc2V9XX0="/>
                <w:id w:val="1911966120"/>
                <w:placeholder>
                  <w:docPart w:val="DefaultPlaceholder_-1854013440"/>
                </w:placeholder>
              </w:sdtPr>
              <w:sdtContent>
                <w:r w:rsidR="00F04E9F" w:rsidRPr="00F04E9F">
                  <w:rPr>
                    <w:rFonts w:eastAsia="Times New Roman" w:cs="Times New Roman"/>
                    <w:color w:val="000000"/>
                    <w:sz w:val="16"/>
                    <w:szCs w:val="16"/>
                  </w:rPr>
                  <w:t>(55)</w:t>
                </w:r>
              </w:sdtContent>
            </w:sdt>
          </w:p>
        </w:tc>
        <w:tc>
          <w:tcPr>
            <w:tcW w:w="0" w:type="auto"/>
            <w:shd w:val="clear" w:color="auto" w:fill="FFFFFF"/>
            <w:hideMark/>
          </w:tcPr>
          <w:p w14:paraId="67DB4E78"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65 children with TS</w:t>
            </w:r>
          </w:p>
        </w:tc>
        <w:tc>
          <w:tcPr>
            <w:tcW w:w="0" w:type="auto"/>
            <w:shd w:val="clear" w:color="auto" w:fill="FFFFFF"/>
            <w:hideMark/>
          </w:tcPr>
          <w:p w14:paraId="635E3180" w14:textId="77777777"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shd w:val="clear" w:color="auto" w:fill="FFFFFF"/>
              </w:rPr>
              <w:t>Neither PUTS score nor the presence of premonitory urge (defined as “</w:t>
            </w:r>
            <w:r w:rsidRPr="008A1F40">
              <w:rPr>
                <w:rFonts w:cs="Times New Roman"/>
                <w:color w:val="000000" w:themeColor="text1"/>
                <w:sz w:val="16"/>
                <w:szCs w:val="16"/>
              </w:rPr>
              <w:t xml:space="preserve">a score of 3 or 4 on the PUTS in any of the first six questions”) was associated with emotional regulation scores as assessed by the </w:t>
            </w:r>
            <w:r w:rsidRPr="008A1F40">
              <w:rPr>
                <w:rFonts w:cs="Times New Roman"/>
                <w:color w:val="000000" w:themeColor="text1"/>
                <w:sz w:val="16"/>
                <w:szCs w:val="16"/>
                <w:shd w:val="clear" w:color="auto" w:fill="FFFFFF"/>
              </w:rPr>
              <w:t>“</w:t>
            </w:r>
            <w:r w:rsidRPr="008A1F40">
              <w:rPr>
                <w:rFonts w:cs="Times New Roman"/>
                <w:color w:val="000000" w:themeColor="text1"/>
                <w:sz w:val="16"/>
                <w:szCs w:val="16"/>
              </w:rPr>
              <w:t>The Tangram Emotion Coding Manual” (Pearson’s r = 0.111, p = 0.377, point-biserial r = -0.064, p = 0.612)</w:t>
            </w:r>
          </w:p>
        </w:tc>
      </w:tr>
      <w:tr w:rsidR="00986E35" w:rsidRPr="008A1F40" w14:paraId="1D742463" w14:textId="77777777" w:rsidTr="007F77D2">
        <w:trPr>
          <w:tblCellSpacing w:w="15" w:type="dxa"/>
        </w:trPr>
        <w:tc>
          <w:tcPr>
            <w:tcW w:w="0" w:type="auto"/>
            <w:shd w:val="clear" w:color="auto" w:fill="FFFFFF"/>
            <w:hideMark/>
          </w:tcPr>
          <w:p w14:paraId="57EE1B2B" w14:textId="15547F1D"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Openneer et al (2020)</w:t>
            </w:r>
            <w:r w:rsidR="008102CE">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MjUzYjQwMjQtNGFhYS00Y2UxLTkyZjctZjVhZTk5ZGY2MTZhIiwicHJvcGVydGllcyI6eyJub3RlSW5kZXgiOjB9LCJpc0VkaXRlZCI6ZmFsc2UsIm1hbnVhbE92ZXJyaWRlIjp7ImlzTWFudWFsbHlPdmVycmlkZGVuIjpmYWxzZSwiY2l0ZXByb2NUZXh0IjoiKDcpIiwibWFudWFsT3ZlcnJpZGVUZXh0IjoiIn0sImNpdGF0aW9uSXRlbXMiOlt7ImlkIjoiMjMxMzg1NzUtZDFlNC0zZWFmLWJiM2UtNGRlMTJiNWNmMTBhIiwiaXRlbURhdGEiOnsidHlwZSI6ImFydGljbGUtam91cm5hbCIsImlkIjoiMjMxMzg1NzUtZDFlNC0zZWFmLWJiM2UtNGRlMTJiNWNmMTBhIiwidGl0bGUiOiJUaGUgUHJlbW9uaXRvcnkgVXJnZSBmb3IgVGljcyBTY2FsZSBpbiBhIGxhcmdlIHNhbXBsZSBvZiBjaGlsZHJlbiBhbmQgYWRvbGVzY2VudHM6IHBzeWNob21ldHJpYyBwcm9wZXJ0aWVzIGluIGEgZGV2ZWxvcG1lbnRhbCBjb250ZXh0LiBBbiBFTVRJQ1Mgc3R1ZHkiLCJncm91cElkIjoiMDdkNjJhYzEtNWFhOC0zOWFmLWI0OWUtNTJkMjA4OGFjNTcxIiwiYXV0aG9yIjpbeyJmYW1pbHkiOiJPcGVubmVlciIsImdpdmVuIjoiVCBKIEMiLCJwYXJzZS1uYW1lcyI6ZmFsc2UsImRyb3BwaW5nLXBhcnRpY2xlIjoiIiwibm9uLWRyb3BwaW5nLXBhcnRpY2xlIjoiIn0seyJmYW1pbHkiOiJUw6Fybm9rIiwiZ2l2ZW4iOiJaIiwicGFyc2UtbmFtZXMiOmZhbHNlLCJkcm9wcGluZy1wYXJ0aWNsZSI6IiIsIm5vbi1kcm9wcGluZy1wYXJ0aWNsZSI6IiJ9LHsiZmFtaWx5IjoiQm9nbmFyIiwiZ2l2ZW4iOiJFIiwicGFyc2UtbmFtZXMiOmZhbHNlLCJkcm9wcGluZy1wYXJ0aWNsZSI6IiIsIm5vbi1kcm9wcGluZy1wYXJ0aWNsZSI6IiJ9LHsiZmFtaWx5IjoiQmVuYXJveWEtTWlsc2h0ZWluIiwiZ2l2ZW4iOiJOIiwicGFyc2UtbmFtZXMiOmZhbHNlLCJkcm9wcGluZy1wYXJ0aWNsZSI6IiIsIm5vbi1kcm9wcGluZy1wYXJ0aWNsZSI6IiJ9LHsiZmFtaWx5IjoiR2FyY2lhLURlbGdhciIsImdpdmVuIjoiQiIsInBhcnNlLW5hbWVzIjpmYWxzZSwiZHJvcHBpbmctcGFydGljbGUiOiIiLCJub24tZHJvcHBpbmctcGFydGljbGUiOiIifSx7ImZhbWlseSI6Ik1vcmVyIiwiZ2l2ZW4iOiJBIiwicGFyc2UtbmFtZXMiOmZhbHNlLCJkcm9wcGluZy1wYXJ0aWNsZSI6IiIsIm5vbi1kcm9wcGluZy1wYXJ0aWNsZSI6IiJ9LHsiZmFtaWx5IjoiU3RlaW5iZXJnIiwiZ2l2ZW4iOiJUIiwicGFyc2UtbmFtZXMiOmZhbHNlLCJkcm9wcGluZy1wYXJ0aWNsZSI6IiIsIm5vbi1kcm9wcGluZy1wYXJ0aWNsZSI6IiJ9LHsiZmFtaWx5IjoiSG9la3N0cmEiLCJnaXZlbiI6IlAgSiIsInBhcnNlLW5hbWVzIjpmYWxzZSwiZHJvcHBpbmctcGFydGljbGUiOiIiLCJub24tZHJvcHBpbmctcGFydGljbGUiOiIifSx7ImZhbWlseSI6IkRpZXRyaWNoIiwiZ2l2ZW4iOiJBIiwicGFyc2UtbmFtZXMiOmZhbHNlLCJkcm9wcGluZy1wYXJ0aWNsZSI6IiIsIm5vbi1kcm9wcGluZy1wYXJ0aWNsZSI6IiJ9XSwiY29udGFpbmVyLXRpdGxlIjoiRXVyIENoaWxkIEFkb2xlc2MgUHN5Y2hpYXRyeSIsIkRPSSI6IjEwLjEwMDcvczAwNzg3LTAxOS0wMTQ1MC0xIiwiUE1JRCI6IjMxODAyMjcxIiwiVVJMIjoiaHR0cHM6Ly9saW5rLnNwcmluZ2VyLmNvbS9jb250ZW50L3BkZi8xMC4xMDA3L3MwMDc4Ny0wMTktMDE0NTAtMS5wZGYiLCJpc3N1ZWQiOnsiZGF0ZS1wYXJ0cyI6W1syMDIwXV19LCJwYWdlIjoiMTQxMS0xNDI0IiwiYWJzdHJhY3QiOiJQcmVtb25pdG9yeSB1cmdlcyBhcmUgdW5jb21mb3J0YWJsZSBwaHlzaWNhbCBzZW5zYXRpb25zIHByZWNlZGluZyB0aWNzIHRoYXQgb2NjdXIgaW4gbW9zdCBpbmRpdmlkdWFscyB3aXRoIGEgY2hyb25pYyB0aWMgZGlzb3JkZXIuIFRoZSBQcmVtb25pdG9yeSBVcmdlIGZvciBUaWNzIFNjYWxlIChQVVRTKSBpcyB0aGUgbW9zdCBmcmVxdWVudGx5IHVzZWQgc2VsZi1yZXBvcnQgbWVhc3VyZSB0byBhc3Nlc3MgdGhlIHNldmVyaXR5IG9mIHByZW1vbml0b3J5IHVyZ2VzLiBXZSBhaW1lZCB0byBldmFsdWF0ZSB0aGUgcHN5Y2hvbWV0cmljIHByb3BlcnRpZXMgb2YgdGhlIFBVVFMgaW4gdGhlIGxhcmdlc3Qgc2FtcGxlIHNpemUgdG8gZGF0ZSAobuKAiT3igIk2NTYpLCBpbiBjaGlsZHJlbiBhZ2VkIDMtMTbCoHllYXJzLCBmcm9tIHRoZSBiYXNlbGluZSBtZWFzdXJlbWVudCBvZiB0aGUgbG9uZ2l0dWRpbmFsIEV1cm9wZWFuIE11bHRpY2VudGVyIFRpY3MgaW4gQ2hpbGRyZW4gU3R1ZHkgKEVNVElDUykuIE91ciBwc3ljaG9tZXRyaWMgZXZhbHVhdGlvbiB3YXMgZG9uZSBpbiB0aHJlZSBhZ2UtZ3JvdXBzOiBjaGlsZHJlbiBhZ2VkIDMtN8KgeWVhcnMgKG7igIk94oCJMTAzKSwgY2hpbGRyZW4gYmV0d2VlbiA4IGFuZCAxMMKgeWVhcnMgKG7igIk94oCJMjUzKSwgYW5kIGNoaWxkcmVuIGFnZWQgMTEtMTbCoHllYXJzIChu4oCJPeKAiTMwMCkuIFRoZSBQVVRTIGV4aGliaXRlZCBnb29kIGludGVybmFsIHJlbGlhYmlsaXR5IGluIGNoaWxkcmVuIGFuZCBhZG9sZXNjZW50cywgYWxzbyB1bmRlciB0aGUgYWdlIG9mIDEwLCB3aGljaCBpcyB5b3VuZ2VyIHRoYW4gcHJldmlvdXNseSB0aG91Z2h0LiBXZSBvYnNlcnZlZCBzaWduaWZpY2FudCBidXQgc21hbGwgY29ycmVsYXRpb25zIGJldHdlZW4gdGhlIHNldmVyaXR5IG9mIHVyZ2VzIGFuZCBzZXZlcml0eSBvZiB0aWNzIGFuZCBvYnNlc3NpdmUtY29tcHVsc2l2ZSBzeW1wdG9tcywgYW5kIGJldHdlZW4gc2V2ZXJpdHkgb2YgdXJnZXMgYW5kIHJhdGluZ3Mgb2YgYXR0ZW50aW9uLWRlZmljaXQvaHlwZXJhY3Rpdml0eSBkaXNvcmRlciBhbmQgaW50ZXJuYWxpemluZyBhbmQgZXh0ZXJuYWxpemluZyBiZWhhdmlvcnMsIGhvd2V2ZXIsIG9ubHkgaW4gY2hpbGRyZW4gb2YgOC0xMMKgeWVhcnMuIENvbnNpc3RlbnQgd2l0aCBwcmV2aW91cyByZXN1bHRzLCB0aGUgMTB0aCBpdGVtIG9mIHRoZSBQVVRTIGNvcnJlbGF0ZWQgbGVzcyB3aXRoIHRoZSByZXN0IG9mIHRoZSBzY2FsZSBjb21wYXJlZCB0byB0aGUgb3RoZXIgaXRlbXMgYW5kLCB0aGVyZWZvcmUsIHNob3VsZCBub3QgYmUgdXNlZCBhcyBwYXJ0IG9mIHRoZSBxdWVzdGlvbm5haXJlLiBXZSBmb3VuZCBhIHR3by1mYWN0b3Igc3RydWN0dXJlIG9mIHRoZSBQVVRTIGluIGNoaWxkcmVuIG9mIDExwqB5ZWFycyBhbmQgb2xkZXIsIGRpc3Rpbmd1aXNoaW5nIGJldHdlZW4gc2Vuc29yeSBwaGVub21lbmEgcmVsYXRlZCB0byB0aWNzLCBhbmQgbWVudGFsIHBoZW5vbWVuYSBhcyBvZnRlbiBmb3VuZCBpbiBvYnNlc3NpdmUtY29tcHVsc2l2ZSBkaXNvcmRlci4gVGhlIGFnZS1yZWxhdGVkIGRpZmZlcmVuY2VzIG9ic2VydmVkIGluIHRoaXMgc3R1ZHkgbWF5IGluZGljYXRlIHRoZSBuZWVkIGZvciB0aGUgZGV2ZWxvcG1lbnQgb2YgYW4gYWdlLXNwZWNpZmljIHF1ZXN0aW9ubmFpcmUgdG8gYXNzZXNzIHByZW1vbml0b3J5IHVyZ2VzLiIsImlzc3VlIjoiMTAiLCJ2b2x1bWUiOiIyOSIsImNvbnRhaW5lci10aXRsZS1zaG9ydCI6IiJ9LCJpc1RlbXBvcmFyeSI6ZmFsc2V9XX0="/>
                <w:id w:val="608236552"/>
                <w:placeholder>
                  <w:docPart w:val="DefaultPlaceholder_-1854013440"/>
                </w:placeholder>
              </w:sdtPr>
              <w:sdtContent>
                <w:r w:rsidR="00F04E9F" w:rsidRPr="00F04E9F">
                  <w:rPr>
                    <w:rFonts w:eastAsia="Times New Roman" w:cs="Times New Roman"/>
                    <w:color w:val="000000"/>
                    <w:sz w:val="16"/>
                    <w:szCs w:val="16"/>
                  </w:rPr>
                  <w:t>(7)</w:t>
                </w:r>
              </w:sdtContent>
            </w:sdt>
          </w:p>
        </w:tc>
        <w:tc>
          <w:tcPr>
            <w:tcW w:w="0" w:type="auto"/>
            <w:shd w:val="clear" w:color="auto" w:fill="FFFFFF"/>
            <w:hideMark/>
          </w:tcPr>
          <w:p w14:paraId="64952D31"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656 youth with CTDs</w:t>
            </w:r>
          </w:p>
        </w:tc>
        <w:tc>
          <w:tcPr>
            <w:tcW w:w="0" w:type="auto"/>
            <w:shd w:val="clear" w:color="auto" w:fill="FFFFFF"/>
            <w:hideMark/>
          </w:tcPr>
          <w:p w14:paraId="49F39235" w14:textId="3D4D1910"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No correlation found between externalizing symptom severity (measured by hyperactivity and conduct subscales of SDQ) and PUTS </w:t>
            </w:r>
            <w:r w:rsidR="00F81B7C">
              <w:rPr>
                <w:rFonts w:eastAsia="Times New Roman" w:cs="Times New Roman"/>
                <w:color w:val="000000" w:themeColor="text1"/>
                <w:sz w:val="16"/>
                <w:szCs w:val="16"/>
              </w:rPr>
              <w:t xml:space="preserve">scores </w:t>
            </w:r>
            <w:r w:rsidRPr="008A1F40">
              <w:rPr>
                <w:rFonts w:eastAsia="Times New Roman" w:cs="Times New Roman"/>
                <w:color w:val="000000" w:themeColor="text1"/>
                <w:sz w:val="16"/>
                <w:szCs w:val="16"/>
              </w:rPr>
              <w:t>(Pearson's r = 0.047, p &gt; 0.05).</w:t>
            </w:r>
          </w:p>
          <w:p w14:paraId="598B4298" w14:textId="30B191B6"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After dividing the sample into children 7 years and younger, 8-10</w:t>
            </w:r>
            <w:r w:rsidR="00B22DC6">
              <w:rPr>
                <w:rFonts w:cs="Times New Roman"/>
                <w:color w:val="000000" w:themeColor="text1"/>
                <w:sz w:val="16"/>
                <w:szCs w:val="16"/>
              </w:rPr>
              <w:t>-</w:t>
            </w:r>
            <w:r w:rsidRPr="008A1F40">
              <w:rPr>
                <w:rFonts w:cs="Times New Roman"/>
                <w:color w:val="000000" w:themeColor="text1"/>
                <w:sz w:val="16"/>
                <w:szCs w:val="16"/>
              </w:rPr>
              <w:t>years</w:t>
            </w:r>
            <w:r w:rsidR="00B22DC6">
              <w:rPr>
                <w:rFonts w:cs="Times New Roman"/>
                <w:color w:val="000000" w:themeColor="text1"/>
                <w:sz w:val="16"/>
                <w:szCs w:val="16"/>
              </w:rPr>
              <w:t>-</w:t>
            </w:r>
            <w:r w:rsidRPr="008A1F40">
              <w:rPr>
                <w:rFonts w:cs="Times New Roman"/>
                <w:color w:val="000000" w:themeColor="text1"/>
                <w:sz w:val="16"/>
                <w:szCs w:val="16"/>
              </w:rPr>
              <w:t>old</w:t>
            </w:r>
            <w:r w:rsidR="0077791D">
              <w:rPr>
                <w:rFonts w:cs="Times New Roman"/>
                <w:color w:val="000000" w:themeColor="text1"/>
                <w:sz w:val="16"/>
                <w:szCs w:val="16"/>
              </w:rPr>
              <w:t>,</w:t>
            </w:r>
            <w:r w:rsidRPr="008A1F40">
              <w:rPr>
                <w:rFonts w:cs="Times New Roman"/>
                <w:color w:val="000000" w:themeColor="text1"/>
                <w:sz w:val="16"/>
                <w:szCs w:val="16"/>
              </w:rPr>
              <w:t xml:space="preserve"> and older than 10 years</w:t>
            </w:r>
            <w:r w:rsidR="0077791D">
              <w:rPr>
                <w:rFonts w:cs="Times New Roman"/>
                <w:color w:val="000000" w:themeColor="text1"/>
                <w:sz w:val="16"/>
                <w:szCs w:val="16"/>
              </w:rPr>
              <w:t>,</w:t>
            </w:r>
            <w:r w:rsidRPr="008A1F40">
              <w:rPr>
                <w:rFonts w:cs="Times New Roman"/>
                <w:color w:val="000000" w:themeColor="text1"/>
                <w:sz w:val="16"/>
                <w:szCs w:val="16"/>
              </w:rPr>
              <w:t xml:space="preserve"> this correlation became significant only in 8-10</w:t>
            </w:r>
            <w:r w:rsidR="00C20FD6">
              <w:rPr>
                <w:rFonts w:cs="Times New Roman"/>
                <w:color w:val="000000" w:themeColor="text1"/>
                <w:sz w:val="16"/>
                <w:szCs w:val="16"/>
              </w:rPr>
              <w:t>-</w:t>
            </w:r>
            <w:r w:rsidRPr="008A1F40">
              <w:rPr>
                <w:rFonts w:cs="Times New Roman"/>
                <w:color w:val="000000" w:themeColor="text1"/>
                <w:sz w:val="16"/>
                <w:szCs w:val="16"/>
              </w:rPr>
              <w:t>years</w:t>
            </w:r>
            <w:r w:rsidR="00C20FD6">
              <w:rPr>
                <w:rFonts w:cs="Times New Roman"/>
                <w:color w:val="000000" w:themeColor="text1"/>
                <w:sz w:val="16"/>
                <w:szCs w:val="16"/>
              </w:rPr>
              <w:t>-</w:t>
            </w:r>
            <w:r w:rsidRPr="008A1F40">
              <w:rPr>
                <w:rFonts w:cs="Times New Roman"/>
                <w:color w:val="000000" w:themeColor="text1"/>
                <w:sz w:val="16"/>
                <w:szCs w:val="16"/>
              </w:rPr>
              <w:t xml:space="preserve">old </w:t>
            </w:r>
            <w:r w:rsidR="00B22DC6">
              <w:rPr>
                <w:rFonts w:cs="Times New Roman"/>
                <w:color w:val="000000" w:themeColor="text1"/>
                <w:sz w:val="16"/>
                <w:szCs w:val="16"/>
              </w:rPr>
              <w:t xml:space="preserve">group </w:t>
            </w:r>
            <w:r w:rsidRPr="008A1F40">
              <w:rPr>
                <w:rFonts w:cs="Times New Roman"/>
                <w:color w:val="000000" w:themeColor="text1"/>
                <w:sz w:val="16"/>
                <w:szCs w:val="16"/>
              </w:rPr>
              <w:t>(n = 253, Pearson’s r = 0.149, p &lt; 0.05)</w:t>
            </w:r>
          </w:p>
          <w:p w14:paraId="4E86B548" w14:textId="7610AEAD"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Small positive correlation found between internalizing symptom severity (measured by emotional problems and peer problems subscales of SDQ) and PUTS </w:t>
            </w:r>
            <w:r w:rsidR="00F27845">
              <w:rPr>
                <w:rFonts w:eastAsia="Times New Roman" w:cs="Times New Roman"/>
                <w:color w:val="000000" w:themeColor="text1"/>
                <w:sz w:val="16"/>
                <w:szCs w:val="16"/>
              </w:rPr>
              <w:t xml:space="preserve">scores </w:t>
            </w:r>
            <w:r w:rsidRPr="008A1F40">
              <w:rPr>
                <w:rFonts w:eastAsia="Times New Roman" w:cs="Times New Roman"/>
                <w:color w:val="000000" w:themeColor="text1"/>
                <w:sz w:val="16"/>
                <w:szCs w:val="16"/>
              </w:rPr>
              <w:t>(Pearson's r = 0.084, p &lt; 0.05).</w:t>
            </w:r>
          </w:p>
          <w:p w14:paraId="20E572DC" w14:textId="621C6556"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After </w:t>
            </w:r>
            <w:r w:rsidRPr="008A1F40">
              <w:rPr>
                <w:rFonts w:cs="Times New Roman"/>
                <w:color w:val="000000" w:themeColor="text1"/>
                <w:sz w:val="16"/>
                <w:szCs w:val="16"/>
              </w:rPr>
              <w:t>dividing the sample into children 7 years and younger, 8-10</w:t>
            </w:r>
            <w:r w:rsidR="00456AB5">
              <w:rPr>
                <w:rFonts w:cs="Times New Roman"/>
                <w:color w:val="000000" w:themeColor="text1"/>
                <w:sz w:val="16"/>
                <w:szCs w:val="16"/>
              </w:rPr>
              <w:t>-</w:t>
            </w:r>
            <w:r w:rsidRPr="008A1F40">
              <w:rPr>
                <w:rFonts w:cs="Times New Roman"/>
                <w:color w:val="000000" w:themeColor="text1"/>
                <w:sz w:val="16"/>
                <w:szCs w:val="16"/>
              </w:rPr>
              <w:t>years</w:t>
            </w:r>
            <w:r w:rsidR="00456AB5">
              <w:rPr>
                <w:rFonts w:cs="Times New Roman"/>
                <w:color w:val="000000" w:themeColor="text1"/>
                <w:sz w:val="16"/>
                <w:szCs w:val="16"/>
              </w:rPr>
              <w:t>-</w:t>
            </w:r>
            <w:r w:rsidRPr="008A1F40">
              <w:rPr>
                <w:rFonts w:cs="Times New Roman"/>
                <w:color w:val="000000" w:themeColor="text1"/>
                <w:sz w:val="16"/>
                <w:szCs w:val="16"/>
              </w:rPr>
              <w:t>old</w:t>
            </w:r>
            <w:r w:rsidR="0058065D">
              <w:rPr>
                <w:rFonts w:cs="Times New Roman"/>
                <w:color w:val="000000" w:themeColor="text1"/>
                <w:sz w:val="16"/>
                <w:szCs w:val="16"/>
              </w:rPr>
              <w:t>,</w:t>
            </w:r>
            <w:r w:rsidRPr="008A1F40">
              <w:rPr>
                <w:rFonts w:cs="Times New Roman"/>
                <w:color w:val="000000" w:themeColor="text1"/>
                <w:sz w:val="16"/>
                <w:szCs w:val="16"/>
              </w:rPr>
              <w:t xml:space="preserve"> and older than 10 years</w:t>
            </w:r>
            <w:r w:rsidR="0033664E">
              <w:rPr>
                <w:rFonts w:cs="Times New Roman"/>
                <w:color w:val="000000" w:themeColor="text1"/>
                <w:sz w:val="16"/>
                <w:szCs w:val="16"/>
              </w:rPr>
              <w:t>,</w:t>
            </w:r>
            <w:r w:rsidRPr="008A1F40">
              <w:rPr>
                <w:rFonts w:cs="Times New Roman"/>
                <w:color w:val="000000" w:themeColor="text1"/>
                <w:sz w:val="16"/>
                <w:szCs w:val="16"/>
              </w:rPr>
              <w:t xml:space="preserve"> this correlation only remained significant in the 8-10</w:t>
            </w:r>
            <w:r w:rsidR="00CA0455">
              <w:rPr>
                <w:rFonts w:cs="Times New Roman"/>
                <w:color w:val="000000" w:themeColor="text1"/>
                <w:sz w:val="16"/>
                <w:szCs w:val="16"/>
              </w:rPr>
              <w:t>-</w:t>
            </w:r>
            <w:r w:rsidRPr="008A1F40">
              <w:rPr>
                <w:rFonts w:cs="Times New Roman"/>
                <w:color w:val="000000" w:themeColor="text1"/>
                <w:sz w:val="16"/>
                <w:szCs w:val="16"/>
              </w:rPr>
              <w:t>years</w:t>
            </w:r>
            <w:r w:rsidR="00CA0455">
              <w:rPr>
                <w:rFonts w:cs="Times New Roman"/>
                <w:color w:val="000000" w:themeColor="text1"/>
                <w:sz w:val="16"/>
                <w:szCs w:val="16"/>
              </w:rPr>
              <w:t>-</w:t>
            </w:r>
            <w:r w:rsidRPr="008A1F40">
              <w:rPr>
                <w:rFonts w:cs="Times New Roman"/>
                <w:color w:val="000000" w:themeColor="text1"/>
                <w:sz w:val="16"/>
                <w:szCs w:val="16"/>
              </w:rPr>
              <w:t xml:space="preserve">old </w:t>
            </w:r>
            <w:r w:rsidR="00CA0455">
              <w:rPr>
                <w:rFonts w:cs="Times New Roman"/>
                <w:color w:val="000000" w:themeColor="text1"/>
                <w:sz w:val="16"/>
                <w:szCs w:val="16"/>
              </w:rPr>
              <w:t xml:space="preserve">group </w:t>
            </w:r>
            <w:r w:rsidRPr="008A1F40">
              <w:rPr>
                <w:rFonts w:cs="Times New Roman"/>
                <w:color w:val="000000" w:themeColor="text1"/>
                <w:sz w:val="16"/>
                <w:szCs w:val="16"/>
              </w:rPr>
              <w:t>(n = 253, Pearson’s r = 0.177, p &lt; 0.001)</w:t>
            </w:r>
          </w:p>
        </w:tc>
      </w:tr>
    </w:tbl>
    <w:p w14:paraId="7E1E12C4" w14:textId="2359DE78" w:rsidR="00986E35" w:rsidRDefault="00986E35" w:rsidP="00986E35">
      <w:pPr>
        <w:rPr>
          <w:rFonts w:cs="Times New Roman"/>
          <w:sz w:val="16"/>
          <w:szCs w:val="16"/>
        </w:rPr>
      </w:pPr>
      <w:r w:rsidRPr="008A1F40">
        <w:rPr>
          <w:rFonts w:cs="Times New Roman"/>
          <w:color w:val="000000" w:themeColor="text1"/>
          <w:sz w:val="16"/>
          <w:szCs w:val="16"/>
        </w:rPr>
        <w:t xml:space="preserve">AQC = Alexithymia Questionnaire for Children, DIF = Difficult Identifying Feelings, DTS = Distress Tolerance Scale, SDQ = Strengths and Difficulties Questionnaire, CBCL = </w:t>
      </w:r>
      <w:r w:rsidRPr="008A1F40">
        <w:rPr>
          <w:rFonts w:cs="Times New Roman"/>
          <w:sz w:val="16"/>
          <w:szCs w:val="16"/>
        </w:rPr>
        <w:t xml:space="preserve">Child Behavior Checklist, </w:t>
      </w:r>
      <w:r w:rsidRPr="008A1F40">
        <w:rPr>
          <w:rFonts w:cs="Times New Roman"/>
          <w:color w:val="000000" w:themeColor="text1"/>
          <w:sz w:val="16"/>
          <w:szCs w:val="16"/>
        </w:rPr>
        <w:t xml:space="preserve">CTD = Chronic Tic Disorder, </w:t>
      </w:r>
      <w:r w:rsidRPr="008A1F40">
        <w:rPr>
          <w:rFonts w:cs="Times New Roman"/>
          <w:sz w:val="16"/>
          <w:szCs w:val="16"/>
        </w:rPr>
        <w:t>PUTS = Premonitory Urge for Tics Scale, I-PUTS = Individualized Premonitory Urge for Tics Scale, TS = Tourette Syndrome</w:t>
      </w:r>
    </w:p>
    <w:p w14:paraId="0D612220" w14:textId="77777777" w:rsidR="00986E35" w:rsidRPr="00986E35" w:rsidRDefault="00986E35" w:rsidP="00986E35">
      <w:pPr>
        <w:rPr>
          <w:rFonts w:eastAsia="Times New Roman" w:cs="Times New Roman"/>
          <w:color w:val="0D0D0D"/>
          <w:sz w:val="16"/>
          <w:szCs w:val="16"/>
        </w:rPr>
      </w:pPr>
    </w:p>
    <w:p w14:paraId="6BC01E18" w14:textId="0227A613" w:rsidR="00986E35" w:rsidRPr="00986E35" w:rsidRDefault="00986E35" w:rsidP="00986E35">
      <w:pPr>
        <w:rPr>
          <w:rFonts w:cs="Times New Roman"/>
          <w:b/>
          <w:bCs/>
          <w:color w:val="000000" w:themeColor="text1"/>
        </w:rPr>
      </w:pPr>
      <w:r w:rsidRPr="008A1F40">
        <w:rPr>
          <w:rFonts w:cs="Times New Roman"/>
          <w:sz w:val="16"/>
          <w:szCs w:val="16"/>
        </w:rPr>
        <w:t>T</w:t>
      </w:r>
      <w:r w:rsidRPr="008A1F40">
        <w:rPr>
          <w:rFonts w:cs="Times New Roman"/>
          <w:color w:val="000000" w:themeColor="text1"/>
          <w:sz w:val="16"/>
          <w:szCs w:val="16"/>
        </w:rPr>
        <w:t>able 9: Associations with Quality of Life and Global Functioning</w:t>
      </w:r>
    </w:p>
    <w:tbl>
      <w:tblPr>
        <w:tblW w:w="9210" w:type="dxa"/>
        <w:tblCellSpacing w:w="15" w:type="dxa"/>
        <w:tblBorders>
          <w:top w:val="thinThickSmallGap" w:sz="24" w:space="0" w:color="C4BC96" w:themeColor="background2" w:themeShade="BF"/>
          <w:left w:val="thinThickSmallGap" w:sz="24" w:space="0" w:color="C4BC96" w:themeColor="background2" w:themeShade="BF"/>
          <w:bottom w:val="thickThinSmallGap" w:sz="24" w:space="0" w:color="C4BC96" w:themeColor="background2" w:themeShade="BF"/>
          <w:right w:val="thickThinSmallGap" w:sz="24" w:space="0" w:color="C4BC96" w:themeColor="background2" w:themeShade="BF"/>
          <w:insideH w:val="single" w:sz="6" w:space="0" w:color="C4BC96" w:themeColor="background2" w:themeShade="BF"/>
          <w:insideV w:val="single" w:sz="6" w:space="0" w:color="C4BC96" w:themeColor="background2"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1240"/>
        <w:gridCol w:w="2262"/>
        <w:gridCol w:w="5708"/>
      </w:tblGrid>
      <w:tr w:rsidR="006B32FB" w:rsidRPr="008A1F40" w14:paraId="603D6CE6" w14:textId="77777777" w:rsidTr="007F77D2">
        <w:trPr>
          <w:tblHeader/>
          <w:tblCellSpacing w:w="15" w:type="dxa"/>
        </w:trPr>
        <w:tc>
          <w:tcPr>
            <w:tcW w:w="0" w:type="auto"/>
            <w:shd w:val="clear" w:color="auto" w:fill="FFFFFF"/>
            <w:hideMark/>
          </w:tcPr>
          <w:p w14:paraId="444F8165"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Study</w:t>
            </w:r>
          </w:p>
        </w:tc>
        <w:tc>
          <w:tcPr>
            <w:tcW w:w="0" w:type="auto"/>
            <w:shd w:val="clear" w:color="auto" w:fill="FFFFFF"/>
            <w:hideMark/>
          </w:tcPr>
          <w:p w14:paraId="3923D124"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Sample Size/Demographics</w:t>
            </w:r>
          </w:p>
        </w:tc>
        <w:tc>
          <w:tcPr>
            <w:tcW w:w="0" w:type="auto"/>
            <w:shd w:val="clear" w:color="auto" w:fill="FFFFFF"/>
            <w:hideMark/>
          </w:tcPr>
          <w:p w14:paraId="2E1B1690"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Findings</w:t>
            </w:r>
          </w:p>
        </w:tc>
      </w:tr>
      <w:tr w:rsidR="006B32FB" w:rsidRPr="008A1F40" w14:paraId="4F266D2D" w14:textId="77777777" w:rsidTr="007F77D2">
        <w:trPr>
          <w:tblCellSpacing w:w="15" w:type="dxa"/>
        </w:trPr>
        <w:tc>
          <w:tcPr>
            <w:tcW w:w="0" w:type="auto"/>
            <w:shd w:val="clear" w:color="auto" w:fill="FFFFFF"/>
            <w:hideMark/>
          </w:tcPr>
          <w:p w14:paraId="2F87A48C" w14:textId="4AE87013"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Ramsey et al (2021)</w:t>
            </w:r>
            <w:r w:rsidR="002C2BC1">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zU3YjQzYTgtNmQ5OS00OGVkLWFiZDMtNWVlNTE3ZmM1YTIyIiwicHJvcGVydGllcyI6eyJub3RlSW5kZXgiOjB9LCJpc0VkaXRlZCI6ZmFsc2UsIm1hbnVhbE92ZXJyaWRlIjp7ImlzTWFudWFsbHlPdmVycmlkZGVuIjpmYWxzZSwiY2l0ZXByb2NUZXh0IjoiKDI3KSIsIm1hbnVhbE92ZXJyaWRlVGV4dCI6IiJ9LCJjaXRhdGlvbkl0ZW1zIjpbeyJpZCI6IjEzNTI2YjJhLWYxZDQtMzE5MS1hYjExLTE4MDAyZThhZTUxYSIsIml0ZW1EYXRhIjp7InR5cGUiOiJhcnRpY2xlLWpvdXJuYWwiLCJpZCI6IjEzNTI2YjJhLWYxZDQtMzE5MS1hYjExLTE4MDAyZThhZTUxYSIsInRpdGxlIjoiVXJnZSBJbnRvbGVyYW5jZSBhbmQgSW1wYWlybWVudCBBbW9uZyBZb3V0aCB3aXRoIFRvdXJldHRlJ3MgYW5kIENocm9uaWMgVGljIERpc29yZGVycyIsImdyb3VwSWQiOiIwN2Q2MmFjMS01YWE4LTM5YWYtYjQ5ZS01MmQyMDg4YWM1NzEiLCJhdXRob3IiOlt7ImZhbWlseSI6IlJhbXNleSIsImdpdmVuIjoiSyBBIiwicGFyc2UtbmFtZXMiOmZhbHNlLCJkcm9wcGluZy1wYXJ0aWNsZSI6IiIsIm5vbi1kcm9wcGluZy1wYXJ0aWNsZSI6IiJ9LHsiZmFtaWx5IjoiRXNzb2UiLCJnaXZlbiI6IkogSyIsInBhcnNlLW5hbWVzIjpmYWxzZSwiZHJvcHBpbmctcGFydGljbGUiOiIiLCJub24tZHJvcHBpbmctcGFydGljbGUiOiIifSx7ImZhbWlseSI6IlN0b3JjaCIsImdpdmVuIjoiRSBBIiwicGFyc2UtbmFtZXMiOmZhbHNlLCJkcm9wcGluZy1wYXJ0aWNsZSI6IiIsIm5vbi1kcm9wcGluZy1wYXJ0aWNsZSI6IiJ9LHsiZmFtaWx5IjoiTGV3aW4iLCJnaXZlbiI6IkEgQiIsInBhcnNlLW5hbWVzIjpmYWxzZSwiZHJvcHBpbmctcGFydGljbGUiOiIiLCJub24tZHJvcHBpbmctcGFydGljbGUiOiIifSx7ImZhbWlseSI6Ik11cnBoeSIsImdpdmVuIjoiVCBLIiwicGFyc2UtbmFtZXMiOmZhbHNlLCJkcm9wcGluZy1wYXJ0aWNsZSI6IiIsIm5vbi1kcm9wcGluZy1wYXJ0aWNsZSI6IiJ9LHsiZmFtaWx5IjoiTWNHdWlyZSIsImdpdmVuIjoiSiBGIiwicGFyc2UtbmFtZXMiOmZhbHNlLCJkcm9wcGluZy1wYXJ0aWNsZSI6IiIsIm5vbi1kcm9wcGluZy1wYXJ0aWNsZSI6IiJ9XSwiY29udGFpbmVyLXRpdGxlIjoiQ2hpbGQgUHN5Y2hpYXRyeSBIdW0gRGV2IiwiRE9JIjoiMTAuMTAwNy9zMTA1NzgtMDIwLTAxMDg1LTMiLCJQTUlEIjoiMzMwOTU0MDYiLCJVUkwiOiJodHRwczovL2xpbmsuc3ByaW5nZXIuY29tL2FydGljbGUvMTAuMTAwNy9zMTA1NzgtMDIwLTAxMDg1LTMiLCJpc3N1ZWQiOnsiZGF0ZS1wYXJ0cyI6W1syMDIxXV19LCJwYWdlIjoiNzYxLTc3MSIsImFic3RyYWN0IjoiSW5kaXZpZHVhbHMgd2l0aCBUb3VyZXR0ZSdzIERpc29yZGVyIGFuZCBQZXJzaXN0ZW50IFRpYyBEaXNvcmRlcnMgKFREKSBvZnRlbiBleHBlcmllbmNlIHByZW1vbml0b3J5IHVyZ2VzLWF2ZXJzaXZlIHNlbnNhdGlvbnMgdGhhdCBwcmVjZWRlIHRpY3MgYW5kIGFyZSByZWxpZXZlZCBieSB0aWMgZXhwcmVzc2lvbi4gR2l2ZW4gaXRzIHJvbGUgaW4gdGhlIG5ldXJvYmVoYXZpb3JhbCBtb2RlbCBvZiBURCwgdW5kZXJzdGFuZGluZyBmYWN0b3JzIHRoYXQgaW5mbHVlbmNlIHByZW1vbml0b3J5IHVyZ2VzIGFuZCBhc3NvY2lhdGVkIHJlbGllZiBjYW4gYWR2YW5jZSB1bmRlcnN0YW5kaW5nIG9mIHVyZ2UgcGhlbm9tZW5vbG9neSBhbmQgb3B0aW1pemUgdHJlYXRtZW50cyBmb3IgaW5kaXZpZHVhbHMgd2l0aCBURC4gVGhpcyBzdHVkeSBleGFtaW5lZCB3aGV0aGVyIHRoZSBub3ZlbCBjb25zdHJ1Y3Qgb2YgdXJnZSBpbnRvbGVyYW5jZS1kaWZmaWN1bHR5IHRvbGVyYXRpbmcgcHJlbW9uaXRvcnkgdXJnZXMtcHJlZGljdGVkIHRpYyBzZXZlcml0eSBhbmQgdGljLXJlbGF0ZWQgZGlzYWJpbGl0eS4gUGFydGljaXBhbnRzIGluY2x1ZGVkIDc1IHlvdXRoIHdpdGggVEQgYW5kIHRoZWlyIGNhcmVnaXZlcnMuIEFzc2Vzc21lbnRzIGNoYXJhY3Rlcml6ZWQgdGljIHNldmVyaXR5LCBwcmVtb25pdG9yeSB1cmdlLCBkaXN0cmVzcyB0b2xlcmFuY2UsIGludGVybmFsaXppbmcgc3ltcHRvbXMsIGFuZCB0aWMtcmVsYXRlZCBkaXNhYmlsaXR5LiBTdHJ1Y3R1cmFsIGVxdWF0aW9uIG1vZGVsaW5nIHJldmVhbGVkIHRoYXQgaGlnaGVyIGxldmVscyBvZiB1cmdlIGludG9sZXJhbmNlIHByZWRpY3RlZCBncmVhdGVyIGxldmVscyBvZiB0aWMtcmVsYXRlZCBkaXNhYmlsaXR5LiBGdXJ0aGVybW9yZSwgdGhlIHJlbGF0aW9uc2hpcCBiZXR3ZWVuIHVyZ2UgaW50b2xlcmFuY2UgYW5kIHRpYy1yZWxhdGVkIGRpc2FiaWxpdHkgd2FzIG1vcmUgcm9idXN0IGZvciB5b3V0aCB3aXRoIGNsaW5pY2FsbHktZWxldmF0ZWQgbGV2ZWxzIG9mIGludGVybmFsaXppbmcgc3ltcHRvbXMuIFdoaWxlIGZ1cnRoZXIgaW52ZXN0aWdhdGlvbiBpcyBuZWVkZWQsIHVyZ2UgaW50b2xlcmFuY2UgcmVwcmVzZW50cyBhIHByb21pc2luZyB0cmVhdG1lbnQgdGFyZ2V0IHRvIGltcHJvdmUgdGljLXJlbGF0ZWQgZGlzYWJpbGl0eSBpbiB5b3V0aCB3aXRoIFRELiIsImlzc3VlIjoiNSIsInZvbHVtZSI6IjUyIiwiY29udGFpbmVyLXRpdGxlLXNob3J0IjoiIn0sImlzVGVtcG9yYXJ5IjpmYWxzZX1dfQ=="/>
                <w:id w:val="584419555"/>
                <w:placeholder>
                  <w:docPart w:val="DefaultPlaceholder_-1854013440"/>
                </w:placeholder>
              </w:sdtPr>
              <w:sdtContent>
                <w:r w:rsidR="00F04E9F" w:rsidRPr="00F04E9F">
                  <w:rPr>
                    <w:rFonts w:eastAsia="Times New Roman" w:cs="Times New Roman"/>
                    <w:color w:val="000000"/>
                    <w:sz w:val="16"/>
                    <w:szCs w:val="16"/>
                  </w:rPr>
                  <w:t>(27)</w:t>
                </w:r>
              </w:sdtContent>
            </w:sdt>
          </w:p>
        </w:tc>
        <w:tc>
          <w:tcPr>
            <w:tcW w:w="0" w:type="auto"/>
            <w:shd w:val="clear" w:color="auto" w:fill="FFFFFF"/>
            <w:hideMark/>
          </w:tcPr>
          <w:p w14:paraId="01C06568"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75 children and adolescents with any tic disorder</w:t>
            </w:r>
          </w:p>
        </w:tc>
        <w:tc>
          <w:tcPr>
            <w:tcW w:w="0" w:type="auto"/>
            <w:shd w:val="clear" w:color="auto" w:fill="FFFFFF"/>
            <w:hideMark/>
          </w:tcPr>
          <w:p w14:paraId="4CFEF264" w14:textId="2B7A3E6D" w:rsidR="00986E35" w:rsidRPr="008A1F40" w:rsidRDefault="00986E35" w:rsidP="007F77D2">
            <w:pPr>
              <w:rPr>
                <w:rFonts w:cs="Times New Roman"/>
                <w:color w:val="000000" w:themeColor="text1"/>
                <w:sz w:val="16"/>
                <w:szCs w:val="16"/>
              </w:rPr>
            </w:pPr>
            <w:r w:rsidRPr="008A1F40">
              <w:rPr>
                <w:rFonts w:eastAsia="Times New Roman" w:cs="Times New Roman"/>
                <w:color w:val="0D0D0D"/>
                <w:sz w:val="16"/>
                <w:szCs w:val="16"/>
              </w:rPr>
              <w:t>Significant correlations between PUTS scores and CSDS-P (r = 0.32, p = 0.006) and CSDS-C</w:t>
            </w:r>
            <w:r w:rsidR="00444007">
              <w:rPr>
                <w:rFonts w:eastAsia="Times New Roman" w:cs="Times New Roman"/>
                <w:color w:val="0D0D0D"/>
                <w:sz w:val="16"/>
                <w:szCs w:val="16"/>
              </w:rPr>
              <w:t xml:space="preserve"> scores</w:t>
            </w:r>
            <w:r w:rsidRPr="008A1F40">
              <w:rPr>
                <w:rFonts w:eastAsia="Times New Roman" w:cs="Times New Roman"/>
                <w:color w:val="0D0D0D"/>
                <w:sz w:val="16"/>
                <w:szCs w:val="16"/>
              </w:rPr>
              <w:t xml:space="preserve"> (r = 0.35, p = 0.002) </w:t>
            </w:r>
            <w:r w:rsidRPr="008A1F40">
              <w:rPr>
                <w:rFonts w:cs="Times New Roman"/>
                <w:color w:val="000000" w:themeColor="text1"/>
                <w:sz w:val="16"/>
                <w:szCs w:val="16"/>
              </w:rPr>
              <w:t>(correlation type unclear from publication)</w:t>
            </w:r>
          </w:p>
          <w:p w14:paraId="6BA5B53A" w14:textId="029471F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 xml:space="preserve">Additionally, </w:t>
            </w:r>
            <w:r w:rsidR="00476552">
              <w:rPr>
                <w:rFonts w:cs="Times New Roman"/>
                <w:color w:val="000000" w:themeColor="text1"/>
                <w:sz w:val="16"/>
                <w:szCs w:val="16"/>
              </w:rPr>
              <w:t xml:space="preserve">the authors </w:t>
            </w:r>
            <w:r w:rsidRPr="008A1F40">
              <w:rPr>
                <w:rFonts w:cs="Times New Roman"/>
                <w:color w:val="000000" w:themeColor="text1"/>
                <w:sz w:val="16"/>
                <w:szCs w:val="16"/>
              </w:rPr>
              <w:t xml:space="preserve">used </w:t>
            </w:r>
            <w:r w:rsidR="00476552">
              <w:rPr>
                <w:rFonts w:cs="Times New Roman"/>
                <w:color w:val="000000" w:themeColor="text1"/>
                <w:sz w:val="16"/>
                <w:szCs w:val="16"/>
              </w:rPr>
              <w:t>s</w:t>
            </w:r>
            <w:r w:rsidRPr="008A1F40">
              <w:rPr>
                <w:rFonts w:cs="Times New Roman"/>
                <w:color w:val="000000" w:themeColor="text1"/>
                <w:sz w:val="16"/>
                <w:szCs w:val="16"/>
              </w:rPr>
              <w:t xml:space="preserve">tructural equation modeling to </w:t>
            </w:r>
            <w:r w:rsidR="00476552">
              <w:rPr>
                <w:rFonts w:cs="Times New Roman"/>
                <w:color w:val="000000" w:themeColor="text1"/>
                <w:sz w:val="16"/>
                <w:szCs w:val="16"/>
              </w:rPr>
              <w:t xml:space="preserve">examine </w:t>
            </w:r>
            <w:r w:rsidRPr="008A1F40">
              <w:rPr>
                <w:rFonts w:cs="Times New Roman"/>
                <w:color w:val="000000" w:themeColor="text1"/>
                <w:sz w:val="16"/>
                <w:szCs w:val="16"/>
              </w:rPr>
              <w:t>the theoretical construct of urge intolerance, a construct derived from items on the PUTS and DTS. Higher levels of urge intolerance predicted both parent</w:t>
            </w:r>
            <w:r w:rsidR="004C028E">
              <w:rPr>
                <w:rFonts w:cs="Times New Roman"/>
                <w:color w:val="000000" w:themeColor="text1"/>
                <w:sz w:val="16"/>
                <w:szCs w:val="16"/>
              </w:rPr>
              <w:t>-</w:t>
            </w:r>
            <w:r w:rsidRPr="008A1F40">
              <w:rPr>
                <w:rFonts w:cs="Times New Roman"/>
                <w:color w:val="000000" w:themeColor="text1"/>
                <w:sz w:val="16"/>
                <w:szCs w:val="16"/>
              </w:rPr>
              <w:t xml:space="preserve"> and child</w:t>
            </w:r>
            <w:r w:rsidR="004C028E">
              <w:rPr>
                <w:rFonts w:cs="Times New Roman"/>
                <w:color w:val="000000" w:themeColor="text1"/>
                <w:sz w:val="16"/>
                <w:szCs w:val="16"/>
              </w:rPr>
              <w:t>-</w:t>
            </w:r>
            <w:r w:rsidRPr="008A1F40">
              <w:rPr>
                <w:rFonts w:cs="Times New Roman"/>
                <w:color w:val="000000" w:themeColor="text1"/>
                <w:sz w:val="16"/>
                <w:szCs w:val="16"/>
              </w:rPr>
              <w:t xml:space="preserve"> rated disability (</w:t>
            </w:r>
            <w:r w:rsidRPr="008A1F40">
              <w:rPr>
                <w:rFonts w:cs="Times New Roman"/>
                <w:color w:val="000000" w:themeColor="text1"/>
                <w:sz w:val="16"/>
                <w:szCs w:val="16"/>
                <w:shd w:val="clear" w:color="auto" w:fill="FFFFFF"/>
              </w:rPr>
              <w:t>β = 2.65, p = 0.008 and β = 4.21, p &lt; 0.001 respectively)</w:t>
            </w:r>
          </w:p>
        </w:tc>
      </w:tr>
      <w:tr w:rsidR="006B32FB" w:rsidRPr="008A1F40" w14:paraId="7304DEF4" w14:textId="77777777" w:rsidTr="007F77D2">
        <w:trPr>
          <w:tblCellSpacing w:w="15" w:type="dxa"/>
        </w:trPr>
        <w:tc>
          <w:tcPr>
            <w:tcW w:w="0" w:type="auto"/>
            <w:shd w:val="clear" w:color="auto" w:fill="FFFFFF"/>
            <w:hideMark/>
          </w:tcPr>
          <w:p w14:paraId="103741F9" w14:textId="193D579C"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lastRenderedPageBreak/>
              <w:t>Crossley and Cavanna (2013)</w:t>
            </w:r>
            <w:r w:rsidR="00C656C9">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GU3YzM0NTItZjU0Yy00MWUwLTgyZDUtZDA3NjM4OWE0NGQ2IiwicHJvcGVydGllcyI6eyJub3RlSW5kZXgiOjB9LCJpc0VkaXRlZCI6ZmFsc2UsIm1hbnVhbE92ZXJyaWRlIjp7ImlzTWFudWFsbHlPdmVycmlkZGVuIjpmYWxzZSwiY2l0ZXByb2NUZXh0IjoiKDUxKSIsIm1hbnVhbE92ZXJyaWRlVGV4dCI6IiJ9LCJjaXRhdGlvbkl0ZW1zIjpbeyJpZCI6IjNmZjIxZTE0LWQ0NDEtM2FlMy1iOTc4LWVhYjBkN2I2YjNjYyIsIml0ZW1EYXRhIjp7InR5cGUiOiJhcnRpY2xlLWpvdXJuYWwiLCJpZCI6IjNmZjIxZTE0LWQ0NDEtM2FlMy1iOTc4LWVhYjBkN2I2YjNjYyIsInRpdGxlIjoiU2Vuc29yeSBwaGVub21lbmE6IGNsaW5pY2FsIGNvcnJlbGF0ZXMgYW5kIGltcGFjdCBvbiBxdWFsaXR5IG9mIGxpZmUgaW4gYWR1bHQgcGF0aWVudHMgd2l0aCBUb3VyZXR0ZSBzeW5kcm9tZSIsImdyb3VwSWQiOiIwN2Q2MmFjMS01YWE4LTM5YWYtYjQ5ZS01MmQyMDg4YWM1NzEiLCJhdXRob3IiOlt7ImZhbWlseSI6IkNyb3NzbGV5IiwiZ2l2ZW4iOiJFIiwicGFyc2UtbmFtZXMiOmZhbHNlLCJkcm9wcGluZy1wYXJ0aWNsZSI6IiIsIm5vbi1kcm9wcGluZy1wYXJ0aWNsZSI6IiJ9LHsiZmFtaWx5IjoiQ2F2YW5uYSIsImdpdmVuIjoiQSBFIiwicGFyc2UtbmFtZXMiOmZhbHNlLCJkcm9wcGluZy1wYXJ0aWNsZSI6IiIsIm5vbi1kcm9wcGluZy1wYXJ0aWNsZSI6IiJ9XSwiY29udGFpbmVyLXRpdGxlIjoiUHN5Y2hpYXRyeSBSZXMiLCJET0kiOiIxMC4xMDE2L2oucHN5Y2hyZXMuMjAxMy4wNC4wMTkiLCJQTUlEIjoiMjM2ODQwNTEiLCJpc3N1ZWQiOnsiZGF0ZS1wYXJ0cyI6W1syMDEzXV19LCJwYWdlIjoiNzA1LTcxMCIsImFic3RyYWN0IjoiVG91cmV0dGUgc3luZHJvbWUgKFRTKSBpcyBhIG5ldXJvZGV2ZWxvcG1lbnRhbCBjb25kaXRpb24gY2hhcmFjdGVyaXNlZCBieSBtdWx0aXBsZSB0aWNzLCB3aXRoIGZyZXF1ZW50IGJlaGF2aW91cmFsIGNvLW1vcmJpZGl0eS4gU2Vuc29yeSBwaGVub21lbmEgKFNQKSBhcmUgdW5wbGVhc2FudCBzZW5zYXRpb25zIHdoaWNoIHByb3ZpZGUgaW52b2x1bnRhcnkgdXJnZXMgdG8gdGljIGluIHBhdGllbnRzIHdpdGggVFMuIFdoaWxlIFNQIGhhdmUgYSBjZW50cmFsIHJvbGUgaW4gdGljIGV4cHJlc3Npb24sIGxpdHRsZSBpcyBrbm93biBhYm91dCB0aGVpciBjbGluaWNhbCBjb3JyZWxhdGVzIG9yIGFzc29jaWF0aW9uIHdpdGggaGVhbHRoLXJlbGF0ZWQgcXVhbGl0eSBvZiBsaWZlIChIUi1RT0wpIGluIFRTLiBXZSBjb25kdWN0ZWQgYSBjcm9zcy1zZWN0aW9uYWwgc3R1ZHkgb24gNzIgYWR1bHQgb3V0cGF0aWVudHMgd2l0aCBUUywgcmVjcnVpdGVkIGF0IGEgc3BlY2lhbGlzdCBjbGluaWMuIEFsbCBwYXJ0aWNpcGFudHMgY29tcGxldGVkIGEgY29tcHJlaGVuc2l2ZSBiYXR0ZXJ5IG9mIHBzeWNob21ldHJpYyBtZWFzdXJlcywgaW5jbHVkaW5nIHRoZSBQcmVtb25pdG9yeSBVcmdlcyBmb3IgVGljcyBTY2FsZSAoUFVUUykgdG8gYXNzZXNzIFNQIGFuZCBhIGRpc2Vhc2Utc3BlY2lmaWMgcXVhbGl0eSBvZiBsaWZlIHNjYWxlIChHVFMtUU9MKSB0byBhc3Nlc3MgSFItUU9MLiBTUCB3ZXJlIHZlcnkgY29tbW9uICg5Ny4yJSBvZiBwYXRpZW50cyksIHdpdGggYSBtZWRpYW4gUFVUUyB0b3RhbCBzY29yZSBvZiAyOC80MC4gQml2YXJpYXRlIGFuYWx5c2VzIHNob3dlZCB0aGF0IFBVVFMgc2NvcmVzIHdlcmUgbW9zdCBzaWduaWZpY2FudGx5IGNvcnJlbGF0ZWQgd2l0aCBzZWxmLXJlcG9ydCBtZWFzdXJlcyBvZiB2b2NhbCB0aWMgc2V2ZXJpdHkgYW5kIGNvbXB1bHNpdml0eS4gUFVUUyBzY29yZXMgd2VyZSBhbHNvIHNpZ25pZmljYW50bHkgY29ycmVsYXRlZCB3aXRoIEdUUy1RT0wgc2NvcmVzLCBtb3N0IG5vdGFibHkgd2l0aCB0aGUgcHN5Y2hvbG9naWNhbCBzdWJzY2FsZS4gU1AgYXJlIGZyZXF1ZW50bHkgcmVwb3J0ZWQgYnkgYWR1bHRzIHdpdGggVFMsIGFyZSBhc3NvY2lhdGVkIHdpdGggcGVyY2VpdmVkIHRpYyBzZXZlcml0eSBhbmQgY29tcHVsc2l2aXR5LCBhbmQgY2FuIHNpZ25pZmljYW50bHkgYWZmZWN0IHBzeWNob2xvZ2ljYWwgd2VsbC1iZWluZy4gU3RhbmRhcmRpc2VkIG1lYXN1cmVtZW50IG9mIFNQIHNob3VsZCBiZSBpbmNvcnBvcmF0ZWQgaW50byByb3V0aW5lIGFzc2Vzc21lbnQgb2YgcGF0aWVudHMgd2l0aCBUUyB0byBvcHRpbWlzZSB0aGVpciBjbGluaWNhbCBtYW5hZ2VtZW50LiIsImlzc3VlIjoiMyIsInZvbHVtZSI6IjIwOSIsImNvbnRhaW5lci10aXRsZS1zaG9ydCI6IiJ9LCJpc1RlbXBvcmFyeSI6ZmFsc2V9XX0="/>
                <w:id w:val="844522931"/>
                <w:placeholder>
                  <w:docPart w:val="DefaultPlaceholder_-1854013440"/>
                </w:placeholder>
              </w:sdtPr>
              <w:sdtContent>
                <w:r w:rsidR="00F04E9F" w:rsidRPr="00F04E9F">
                  <w:rPr>
                    <w:rFonts w:eastAsia="Times New Roman" w:cs="Times New Roman"/>
                    <w:color w:val="000000"/>
                    <w:sz w:val="16"/>
                    <w:szCs w:val="16"/>
                  </w:rPr>
                  <w:t>(51)</w:t>
                </w:r>
              </w:sdtContent>
            </w:sdt>
          </w:p>
        </w:tc>
        <w:tc>
          <w:tcPr>
            <w:tcW w:w="0" w:type="auto"/>
            <w:shd w:val="clear" w:color="auto" w:fill="FFFFFF"/>
            <w:hideMark/>
          </w:tcPr>
          <w:p w14:paraId="32EAB324"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72 adolescents and adults with TS </w:t>
            </w:r>
          </w:p>
        </w:tc>
        <w:tc>
          <w:tcPr>
            <w:tcW w:w="0" w:type="auto"/>
            <w:shd w:val="clear" w:color="auto" w:fill="FFFFFF"/>
            <w:hideMark/>
          </w:tcPr>
          <w:p w14:paraId="70E74311" w14:textId="04880EE4"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Significant correlation between PUTS and GTS-QoL (</w:t>
            </w:r>
            <w:r w:rsidRPr="008A1F40">
              <w:rPr>
                <w:rFonts w:cs="Times New Roman"/>
                <w:color w:val="000000" w:themeColor="text1"/>
                <w:sz w:val="16"/>
                <w:szCs w:val="16"/>
              </w:rPr>
              <w:t xml:space="preserve">higher scores indicate poorer health-related </w:t>
            </w:r>
            <w:r w:rsidR="000E5647">
              <w:rPr>
                <w:rFonts w:cs="Times New Roman"/>
                <w:color w:val="000000" w:themeColor="text1"/>
                <w:sz w:val="16"/>
                <w:szCs w:val="16"/>
              </w:rPr>
              <w:t>QoL</w:t>
            </w:r>
            <w:r w:rsidRPr="008A1F40">
              <w:rPr>
                <w:rFonts w:cs="Times New Roman"/>
                <w:color w:val="000000" w:themeColor="text1"/>
                <w:sz w:val="16"/>
                <w:szCs w:val="16"/>
              </w:rPr>
              <w:t>)</w:t>
            </w:r>
            <w:r w:rsidRPr="008A1F40">
              <w:rPr>
                <w:rFonts w:eastAsia="Times New Roman" w:cs="Times New Roman"/>
                <w:color w:val="0D0D0D"/>
                <w:sz w:val="16"/>
                <w:szCs w:val="16"/>
              </w:rPr>
              <w:t xml:space="preserve"> scores (Spearman's r = 0.41, p &lt; 0.001)</w:t>
            </w:r>
          </w:p>
        </w:tc>
      </w:tr>
      <w:tr w:rsidR="006B32FB" w:rsidRPr="008A1F40" w14:paraId="1AA2BF03" w14:textId="77777777" w:rsidTr="007F77D2">
        <w:trPr>
          <w:tblCellSpacing w:w="15" w:type="dxa"/>
        </w:trPr>
        <w:tc>
          <w:tcPr>
            <w:tcW w:w="0" w:type="auto"/>
            <w:shd w:val="clear" w:color="auto" w:fill="FFFFFF"/>
            <w:hideMark/>
          </w:tcPr>
          <w:p w14:paraId="1CEA398B" w14:textId="7CE19E05"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Eddy and Cavanna (2014)</w:t>
            </w:r>
            <w:r w:rsidR="00C656C9">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jcxZGQ0NTItZmM4Ny00MTFmLWIzYzYtNGVkOWIxNTEzNmFkIiwicHJvcGVydGllcyI6eyJub3RlSW5kZXgiOjB9LCJpc0VkaXRlZCI6ZmFsc2UsIm1hbnVhbE92ZXJyaWRlIjp7ImlzTWFudWFsbHlPdmVycmlkZGVuIjpmYWxzZSwiY2l0ZXByb2NUZXh0IjoiKDI2KSIsIm1hbnVhbE92ZXJyaWRlVGV4dCI6IiJ9LCJjaXRhdGlvbkl0ZW1zIjpbeyJpZCI6ImJiM2Q3NWY1LTU0MTctMzhmZC04NDIxLTZlYmEzZjE5MzVmYSIsIml0ZW1EYXRhIjp7InR5cGUiOiJhcnRpY2xlLWpvdXJuYWwiLCJpZCI6ImJiM2Q3NWY1LTU0MTctMzhmZC04NDIxLTZlYmEzZjE5MzVmYSIsInRpdGxlIjoiUHJlbW9uaXRvcnkgVXJnZXMgaW4gQWR1bHRzIFdpdGggQ29tcGxpY2F0ZWQgYW5kIFVuY29tcGxpY2F0ZWQgVG91cmV0dGUgU3luZHJvbWUiLCJncm91cElkIjoiMDdkNjJhYzEtNWFhOC0zOWFmLWI0OWUtNTJkMjA4OGFjNTcxIiwiYXV0aG9yIjpbeyJmYW1pbHkiOiJFZGR5IiwiZ2l2ZW4iOiJDIE0iLCJwYXJzZS1uYW1lcyI6ZmFsc2UsImRyb3BwaW5nLXBhcnRpY2xlIjoiIiwibm9uLWRyb3BwaW5nLXBhcnRpY2xlIjoiIn0seyJmYW1pbHkiOiJDYXZhbm5hIiwiZ2l2ZW4iOiJBIEUiLCJwYXJzZS1uYW1lcyI6ZmFsc2UsImRyb3BwaW5nLXBhcnRpY2xlIjoiIiwibm9uLWRyb3BwaW5nLXBhcnRpY2xlIjoiIn1dLCJjb250YWluZXItdGl0bGUiOiJCZWhhdmlvciBtb2RpZmljYXRpb24iLCJET0kiOiJodHRwczovL2R4LmRvaS5vcmcvMTAuMTE3Ny8wMTQ1NDQ1NTEzNTA0NDMyIiwiVVJMIjoiaHR0cDovL292aWRzcC5vdmlkLmNvbS9vdmlkd2ViLmNnaT9UPUpTJlBBR0U9cmVmZXJlbmNlJkQ9ZW1lZDE1Jk5FV1M9TiZBTj02MTE0MjU3MjIiLCJpc3N1ZWQiOnsiZGF0ZS1wYXJ0cyI6W1syMDE0XV19LCJwYWdlIjoiMjY0LTI3NSIsImFic3RyYWN0IjoiTW9zdCBwYXRpZW50cyB3aXRoIFRvdXJldHRlIHN5bmRyb21lIChUUykgcmVwb3J0IGV4cGVyaWVuY2luZyBzdWJqZWN0aXZlIGJvZGlseSBzZW5zYXRpb25zIHRlcm1lZCBwcmVtb25pdG9yeSB1cmdlcywgYmVmb3JlIHRoZXkgaGF2ZSBhIHRpYy4gVGhpcyBzdHVkeSBpbnZlc3RpZ2F0ZWQgcmVsYXRpb25zaGlwcyBiZXR3ZWVuIHByZW1vbml0b3J5IHVyZ2VzIGFuZCB0aWMgc2V2ZXJpdHksIGRlcHJlc3Npb24sIGFueGlldHksIG9ic2Vzc2lvbnMsIGNvbXB1bHNpb25zLCBhbmQgYXR0ZW50aW9uIHByb2JsZW1zLiBXZSBhbHNvIGV4cGxvcmVkIHBvc3NpYmxlIGRpZmZlcmVuY2VzIGJldHdlZW4gcGF0aWVudHMgd2l0aCBhbmQgd2l0aG91dCBjb21vcmJpZCBjb25kaXRpb25zLiBGaW5hbGx5LCB3ZSBleHBsb3JlZCB3aGV0aGVyIHByZW1vbml0b3J5IHVyZ2VzIGltcGFjdGVkIG9uIHBlcmNlaXZlZCBxdWFsaXR5IG9mIGxpZmUgKFFvTCkuIE9uZSBodW5kcmVkIGFkdWx0IG91dHBhdGllbnRzICg3MCBtYWxlczsgbWVhbiBhZ2UgMzIgeWVhcnMpIHdlcmUgcmVjcnVpdGVkIGZyb20gYSBzcGVjaWFsaXN0IFRTIGNsaW5pYy4gRmlmdHkgcGVyY2VudCBleGhpYml0ZWQgY29tb3JiaWQgZGlhZ25vc2VzLCB0aGUgbW9zdCBjb21tb24gb2Ygd2hpY2ggd2VyZSBvYnNlc3NpdmUtY29tcHVsc2l2ZSBkaXNvcmRlciAoMjMlKSwgYXR0ZW50aW9uLWRlZmljaXQgaHlwZXJhY3Rpdml0eSBkaXNvcmRlciAoMTUlKSwgYW54aWV0eSAoNiUpLCBhbmQgZGVwcmVzc2lvbiAoNSUpLiBGb3IgdGhlIGVudGlyZSBzYW1wbGUsIHByZW1vbml0b3J5IHVyZ2VzIHdlcmUgc2lnbmlmaWNhbnRseSByZWxhdGVkIHRvIGNsaW5pY2FsIHN5bXB0b21zLCBlc3BlY2lhbGx5IG9ic2Vzc2l2ZS1jb21wdWxzaXZlIHN5bXB0b21zIGFuZCBhbnhpZXR5LCBhbmQgd2VyZSBzaWduaWZpY2FudGx5IG5lZ2F0aXZlbHkgcmVsYXRlZCB0byBRb0wgc2NvcmVzLiBQcmVtb25pdG9yeSB1cmdlcyBoYWQgYSBzdHJvbmcgbmVnYXRpdmUgY29ycmVsYXRpb24gd2l0aCBRb0wgaW4gcGF0aWVudHMgd2l0aCBcInB1cmVcIiBUUyAobm8gY29tb3JiaWRpdGllcyksIHdoaWxlIHRoaXMgcmVsYXRpb25zaGlwIHdhcyB3ZWFrZXIgZm9yIHBhdGllbnRzIHdpdGggY29tb3JiaWQgY29uZGl0aW9ucywgd2hvIHJlcG9ydGVkIHN0cm9uZ2VyIG9yIG1vcmUgZnJlcXVlbnQgcHJlbW9uaXRvcnkgdXJnZXMgaW4gYXNzb2NpYXRpb24gd2l0aCBncmVhdGVyIGFueGlldHkuIFRoZXNlIGZpbmRpbmdzIG1heSBpbXBseSB0aGF0IHNsaWdodGx5IGRpZmZlcmVudCBwc3ljaG9sb2dpY2FsIGZhY3RvcnMgZHJpdmUgc2VsZi1yZXBvcnRlZCBwcmVtb25pdG9yeSB1cmdlIHJhdGluZ3MgaW4gcGF0aWVudHMgd2l0aCBhbmQgd2l0aG91dCBjb21vcmJpZGl0aWVzIGFuZCB0aGF0IHRoZSBwZXJjZWl2ZWQgaW5mbHVlbmNlIG9mIGRpc3RyZXNzaW5nIHByZW1vbml0b3J5IHVyZ2VzIG9uIHdlbGxiZWluZyBpcyBsZXNzIGltcG9ydGFudCBpbiB0aGUgY29udGV4dCBvZiBjb21vcmJpZCBzeW1wdG9tYXRvbG9neS4gQXMgcHJlbW9uaXRvcnkgdXJnZXMgYXJlIHJlbGF0ZWQgdG8gUW9MLCB0aGV5IHNob3VsZCBiZSB0YWtlbiBpbnRvIGFjY291bnQgZHVyaW5nIGV2YWx1YXRpb24gb2YgdHJlYXRtZW50IGVmZmljYWN5LCBlc3BlY2lhbGx5IGluIGNhc2VzIHdpdGggXCJwdXJlXCIgVFMuIENvcHlyaWdodCDCqSBUaGUgQXV0aG9yKHMpIDIwMTMuIiwiaXNzdWUiOiIyIiwidm9sdW1lIjoiMzgiLCJjb250YWluZXItdGl0bGUtc2hvcnQiOiJCZWhhdiBNb2RpZiJ9LCJpc1RlbXBvcmFyeSI6ZmFsc2V9XX0="/>
                <w:id w:val="-1930336336"/>
                <w:placeholder>
                  <w:docPart w:val="DefaultPlaceholder_-1854013440"/>
                </w:placeholder>
              </w:sdtPr>
              <w:sdtContent>
                <w:r w:rsidR="00F04E9F" w:rsidRPr="00F04E9F">
                  <w:rPr>
                    <w:rFonts w:eastAsia="Times New Roman" w:cs="Times New Roman"/>
                    <w:color w:val="000000"/>
                    <w:sz w:val="16"/>
                    <w:szCs w:val="16"/>
                  </w:rPr>
                  <w:t>(26)</w:t>
                </w:r>
              </w:sdtContent>
            </w:sdt>
          </w:p>
        </w:tc>
        <w:tc>
          <w:tcPr>
            <w:tcW w:w="0" w:type="auto"/>
            <w:shd w:val="clear" w:color="auto" w:fill="FFFFFF"/>
            <w:hideMark/>
          </w:tcPr>
          <w:p w14:paraId="60AE498F"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100 adolescents and adults with TS </w:t>
            </w:r>
          </w:p>
        </w:tc>
        <w:tc>
          <w:tcPr>
            <w:tcW w:w="0" w:type="auto"/>
            <w:shd w:val="clear" w:color="auto" w:fill="FFFFFF"/>
            <w:hideMark/>
          </w:tcPr>
          <w:p w14:paraId="1948D86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Significant correlation between PUTS and GTS-QoL scores (Pearson's r = 0.367, p &lt; 0.001)</w:t>
            </w:r>
          </w:p>
        </w:tc>
      </w:tr>
      <w:tr w:rsidR="006B32FB" w:rsidRPr="008A1F40" w14:paraId="0D5F4676" w14:textId="77777777" w:rsidTr="007F77D2">
        <w:trPr>
          <w:tblCellSpacing w:w="15" w:type="dxa"/>
        </w:trPr>
        <w:tc>
          <w:tcPr>
            <w:tcW w:w="0" w:type="auto"/>
            <w:shd w:val="clear" w:color="auto" w:fill="FFFFFF"/>
            <w:hideMark/>
          </w:tcPr>
          <w:p w14:paraId="70869687" w14:textId="7AFC6928"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Langelage et al (2022)</w:t>
            </w:r>
            <w:r w:rsidR="00C656C9">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TgxYWFiNmMtYWNkOS00NDcxLThhOTUtYjVhZjg0MjUwZTdiIiwicHJvcGVydGllcyI6eyJub3RlSW5kZXgiOjB9LCJpc0VkaXRlZCI6ZmFsc2UsIm1hbnVhbE92ZXJyaWRlIjp7ImlzTWFudWFsbHlPdmVycmlkZGVuIjpmYWxzZSwiY2l0ZXByb2NUZXh0IjoiKDUzKSIsIm1hbnVhbE92ZXJyaWRlVGV4dCI6IiJ9LCJjaXRhdGlvbkl0ZW1zIjpbeyJpZCI6ImMwODUyMGM3LWMzZGItMzA3YS1hNjkwLWE5ZDU2OGRhZDVmMyIsIml0ZW1EYXRhIjp7InR5cGUiOiJhcnRpY2xlLWpvdXJuYWwiLCJpZCI6ImMwODUyMGM3LWMzZGItMzA3YS1hNjkwLWE5ZDU2OGRhZDVmMyIsInRpdGxlIjoiVXJnZS10aWMgYXNzb2NpYXRpb25zIGluIGNoaWxkcmVuIGFuZCBhZG9sZXNjZW50cyB3aXRoIFRvdXJldHRlIHN5bmRyb21lIiwiZ3JvdXBJZCI6IjA3ZDYyYWMxLTVhYTgtMzlhZi1iNDllLTUyZDIwODhhYzU3MSIsImF1dGhvciI6W3siZmFtaWx5IjoiTGFuZ2VsYWdlIiwiZ2l2ZW4iOiJKZW5uaWZlciIsInBhcnNlLW5hbWVzIjpmYWxzZSwiZHJvcHBpbmctcGFydGljbGUiOiIiLCJub24tZHJvcHBpbmctcGFydGljbGUiOiIifSx7ImZhbWlseSI6IlZlcnJlbCIsImdpdmVuIjoiSnVsaXVzIiwicGFyc2UtbmFtZXMiOmZhbHNlLCJkcm9wcGluZy1wYXJ0aWNsZSI6IiIsIm5vbi1kcm9wcGluZy1wYXJ0aWNsZSI6IiJ9LHsiZmFtaWx5IjoiRnJpZWRyaWNoIiwiZ2l2ZW4iOiJKdWxpYSIsInBhcnNlLW5hbWVzIjpmYWxzZSwiZHJvcHBpbmctcGFydGljbGUiOiIiLCJub24tZHJvcHBpbmctcGFydGljbGUiOiIifSx7ImZhbWlseSI6IlNpZWttYW5uIiwiZ2l2ZW4iOiJBbGluYSIsInBhcnNlLW5hbWVzIjpmYWxzZSwiZHJvcHBpbmctcGFydGljbGUiOiIiLCJub24tZHJvcHBpbmctcGFydGljbGUiOiIifSx7ImZhbWlseSI6IlNjaGFwcGVydCIsImdpdmVuIjoiUm9uamEiLCJwYXJzZS1uYW1lcyI6ZmFsc2UsImRyb3BwaW5nLXBhcnRpY2xlIjoiIiwibm9uLWRyb3BwaW5nLXBhcnRpY2xlIjoiIn0seyJmYW1pbHkiOiJCbHVzY2hrZSIsImdpdmVuIjoiQW5uZXQiLCJwYXJzZS1uYW1lcyI6ZmFsc2UsImRyb3BwaW5nLXBhcnRpY2xlIjoiIiwibm9uLWRyb3BwaW5nLXBhcnRpY2xlIjoiIn0seyJmYW1pbHkiOiJSb2Vzc25lciIsImdpdmVuIjoiVmVpdCIsInBhcnNlLW5hbWVzIjpmYWxzZSwiZHJvcHBpbmctcGFydGljbGUiOiIiLCJub24tZHJvcHBpbmctcGFydGljbGUiOiIifSx7ImZhbWlseSI6IlBhdWx1cyIsImdpdmVuIjoiVGhlcmVzYSIsInBhcnNlLW5hbWVzIjpmYWxzZSwiZHJvcHBpbmctcGFydGljbGUiOiIiLCJub24tZHJvcHBpbmctcGFydGljbGUiOiIifSx7ImZhbWlseSI6IkLDpHVtZXIiLCJnaXZlbiI6IlRvYmlhcyIsInBhcnNlLW5hbWVzIjpmYWxzZSwiZHJvcHBpbmctcGFydGljbGUiOiIiLCJub24tZHJvcHBpbmctcGFydGljbGUiOiIifSx7ImZhbWlseSI6IkZyaW5ncyIsImdpdmVuIjoiQ2hyaXN0aWFuIiwicGFyc2UtbmFtZXMiOmZhbHNlLCJkcm9wcGluZy1wYXJ0aWNsZSI6IiIsIm5vbi1kcm9wcGluZy1wYXJ0aWNsZSI6IiJ9LHsiZmFtaWx5IjoiQmVzdGUiLCJnaXZlbiI6IkNocmlzdGlhbiIsInBhcnNlLW5hbWVzIjpmYWxzZSwiZHJvcHBpbmctcGFydGljbGUiOiIiLCJub24tZHJvcHBpbmctcGFydGljbGUiOiIifSx7ImZhbWlseSI6Ik3DvG5jaGF1IiwiZ2l2ZW4iOiJBbGV4YW5kZXIiLCJwYXJzZS1uYW1lcyI6ZmFsc2UsImRyb3BwaW5nLXBhcnRpY2xlIjoiIiwibm9uLWRyb3BwaW5nLXBhcnRpY2xlIjoiIn1dLCJjb250YWluZXItdGl0bGUiOiJTY2llbnRpZmljIFJlcG9ydHMiLCJET0kiOiIxMC4xMDM4L3M0MTU5OC0wMjItMTk2ODUtNSIsIklTU04iOiIyMDQ1MjMyMiIsIlBNSUQiOiIzNjE2MzQ4MiIsImlzc3VlZCI6eyJkYXRlLXBhcnRzIjpbWzIwMjIsMTIsMV1dfSwiYWJzdHJhY3QiOiJQcmVtb25pdG9yeSB1cmdlcyBwcmVjZWRpbmcgdGljcyBhcmUgYSBjYXJkaW5hbCBmZWF0dXJlIG9mIEdpbGxlcyBkZSBsYSBUb3VyZXR0ZSBzeW5kcm9tZSAoR1RTKSwgYSBkZXZlbG9wbWVudGFsIGRpc29yZGVyIHVzdWFsbHkgc3RhcnRpbmcgZHVyaW5nIG1pZGRsZSBjaGlsZGhvb2QuIEhvd2V2ZXIsIHRoZSB0ZW1wb3JhbCByZWxhdGlvbiBiZXR3ZWVuIHVyZ2VzIGFuZCB0aWNzIGhhcyBvbmx5IGJlZW4gaW52ZXN0aWdhdGVkIGluIGFkdWx0cy4gSW4gMjUgY2hpbGRyZW4gYW5kIGFkb2xlc2NlbnRzIHdpdGggR1RTICg44oCTMTjCoHllYXJzKSwgd2UgYXNzZXNzIHVyZ2UtdGljIGFzc29jaWF0aW9ucywgaW5jbHVkaW5nIGludGVyLWluZGl2aWR1YWwgZGlmZmVyZW5jZXMsIGNvcnJlbGF0aW9uIHRvIGNsaW5pY2FsIG1lYXN1cmVzLCBhbmQgaW4gY29tcGFyaXNvbiB0byBhIHByZXZpb3VzbHkgcmVwb3J0ZWQgc2FtcGxlIG9mIGFkdWx0IEdUUyBwYXRpZW50cy4gR3JvdXAtbGV2ZWwgYW5hbHlzZXMgY29uZmlybWVkIHBvc2l0aXZlIGFzc29jaWF0aW9ucyBiZXR3ZWVuIHVyZ2VzIGFuZCB0aWNzLiBIb3dldmVyLCBhdCB0aGUgaW5kaXZpZHVhbCBsZXZlbCwgbGVzcyB0aGFuIGhhbGYgb2YgcGFydGljaXBhbnRzIHNob3dlZCBwb3NpdGl2ZSBhc3NvY2lhdGlvbnMsIGEgc2ltaWxhciBwcm9wb3J0aW9uIGRpZCBub3QsIGFuZCBpbiB0d28gcGFydGljaXBhbnRzLCB0aGUgYXNzb2NpYXRpb24gd2FzIHJldmVyc2VkLiBUaWMgZXhwcmVzc2lvbiBhbmQgc3ViamVjdGl2ZSB1cmdlIGxldmVscyBjb3JyZWxhdGVkIHdpdGggY29ycmVzcG9uZGluZyBjbGluaWNhbCBzY29yZXMgYW5kIHBhcnRpY2lwYW50cyB3aXRoIG1vcmUgc2V2ZXJlIHRpY3MgZHVyaW5nIHRoZSB1cmdlIG1vbml0b3IgZXhoaWJpdGVkIHN0cm9uZ2VyIHVyZ2UtdGljIGFzc29jaWF0aW9ucy4gQXNzb2NpYXRpb25zIGJldHdlZW4gcmVwb3J0ZWQgdXJnZSBsZXZlbHMgYW5kIGluc3RhbnRhbmVvdXMgdGljIGludGVuc2l0eSB0ZW5kZWQgdG8gYmUgbGVzcyBwcm9ub3VuY2VkIGluIGNoaWxkcmVuIGFuZCBhZG9sZXNjZW50cyB0aGFuIGluIGFkdWx0IEdUUyBwYXRpZW50cy4gVGhlIG9ic2VydmVkIGhldGVyb2dlbmVpdHkgb2YgdXJnZS10aWMgYXNzb2NpYXRpb25zIGNhc3QgZG91YnQgb24gdGhlIG5vdGlvbiB0aGF0IHRpY3MgYXJlIGRpcmVjdGx5IGNhdXNlZCBieSB1cmdlcy4gTW9yZSBzZXZlcmUgdGljcyBtYXkgZmFjaWxpdGF0ZSBhbnRpY2lwYXRpb24gb2YgdGljcyBhbmQgdGhlcmVieSBsZWFkIHRvIG1vcmUgcHJvbm91bmNlZCB1cmdlLXRpYyBhc3NvY2lhdGlvbnMsIGNvbnNpc3RlbnQgd2l0aCBhIGh5cG90aGVzaXMgb2YgdXJnZXMgYXMgYSBieXByb2R1Y3Qgb2YgdGljcy4iLCJwdWJsaXNoZXIiOiJOYXR1cmUgUmVzZWFyY2giLCJpc3N1ZSI6IjEiLCJ2b2x1bWUiOiIxMiIsImNvbnRhaW5lci10aXRsZS1zaG9ydCI6IlNjaSBSZXAifSwiaXNUZW1wb3JhcnkiOmZhbHNlfV19"/>
                <w:id w:val="-262688072"/>
                <w:placeholder>
                  <w:docPart w:val="DefaultPlaceholder_-1854013440"/>
                </w:placeholder>
              </w:sdtPr>
              <w:sdtContent>
                <w:r w:rsidR="00F04E9F" w:rsidRPr="00F04E9F">
                  <w:rPr>
                    <w:rFonts w:eastAsia="Times New Roman" w:cs="Times New Roman"/>
                    <w:color w:val="000000"/>
                    <w:sz w:val="16"/>
                    <w:szCs w:val="16"/>
                  </w:rPr>
                  <w:t>(53)</w:t>
                </w:r>
              </w:sdtContent>
            </w:sdt>
          </w:p>
        </w:tc>
        <w:tc>
          <w:tcPr>
            <w:tcW w:w="0" w:type="auto"/>
            <w:shd w:val="clear" w:color="auto" w:fill="FFFFFF"/>
            <w:hideMark/>
          </w:tcPr>
          <w:p w14:paraId="76499AF9"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25 children and adolescents with TS</w:t>
            </w:r>
          </w:p>
        </w:tc>
        <w:tc>
          <w:tcPr>
            <w:tcW w:w="0" w:type="auto"/>
            <w:shd w:val="clear" w:color="auto" w:fill="FFFFFF"/>
            <w:hideMark/>
          </w:tcPr>
          <w:p w14:paraId="00CB2BE3" w14:textId="24BBB5F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GTS-QoL scores correlated with mean urge intensity reported during </w:t>
            </w:r>
            <w:r w:rsidR="00F86CA8">
              <w:rPr>
                <w:rFonts w:eastAsia="Times New Roman" w:cs="Times New Roman"/>
                <w:color w:val="0D0D0D"/>
                <w:sz w:val="16"/>
                <w:szCs w:val="16"/>
              </w:rPr>
              <w:t>five</w:t>
            </w:r>
            <w:r w:rsidRPr="008A1F40">
              <w:rPr>
                <w:rFonts w:eastAsia="Times New Roman" w:cs="Times New Roman"/>
                <w:color w:val="0D0D0D"/>
                <w:sz w:val="16"/>
                <w:szCs w:val="16"/>
              </w:rPr>
              <w:t xml:space="preserve"> minutes of a live urge monitor assessment (Pearson's r = 0.50, p = 0.036)</w:t>
            </w:r>
          </w:p>
        </w:tc>
      </w:tr>
      <w:tr w:rsidR="006B32FB" w:rsidRPr="008A1F40" w14:paraId="5B98C6E0" w14:textId="77777777" w:rsidTr="007F77D2">
        <w:trPr>
          <w:trHeight w:val="2088"/>
          <w:tblCellSpacing w:w="15" w:type="dxa"/>
        </w:trPr>
        <w:tc>
          <w:tcPr>
            <w:tcW w:w="0" w:type="auto"/>
            <w:shd w:val="clear" w:color="auto" w:fill="FFFFFF"/>
            <w:hideMark/>
          </w:tcPr>
          <w:p w14:paraId="1B1EC9AE" w14:textId="10667E9A"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Cavanna et al (2012)</w:t>
            </w:r>
            <w:r w:rsidR="00C656C9">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2U3YzFmNTMtMTJkOC00MGVlLWE3ZTctNTZjNDg0YmI4NTRkIiwicHJvcGVydGllcyI6eyJub3RlSW5kZXgiOjB9LCJpc0VkaXRlZCI6ZmFsc2UsIm1hbnVhbE92ZXJyaWRlIjp7ImlzTWFudWFsbHlPdmVycmlkZGVuIjpmYWxzZSwiY2l0ZXByb2NUZXh0IjoiKDU2KSIsIm1hbnVhbE92ZXJyaWRlVGV4dCI6IiJ9LCJjaXRhdGlvbkl0ZW1zIjpbeyJpZCI6IjQ1MzE5OTcxLWE0ZmUtMzc4MC1iNWRhLTQyYWU4YTU1NjExYiIsIml0ZW1EYXRhIjp7InR5cGUiOiJhcnRpY2xlLWpvdXJuYWwiLCJpZCI6IjQ1MzE5OTcxLWE0ZmUtMzc4MC1iNWRhLTQyYWU4YTU1NjExYiIsInRpdGxlIjoiUHJlZGljdG9ycyBkdXJpbmcgY2hpbGRob29kIG9mIGZ1dHVyZSBoZWFsdGgtcmVsYXRlZCBxdWFsaXR5IG9mIGxpZmUgaW4gYWR1bHRzIHdpdGggR2lsbGVzIGRlIGxhIFRvdXJldHRlIHN5bmRyb21lIiwiZ3JvdXBJZCI6IjA3ZDYyYWMxLTVhYTgtMzlhZi1iNDllLTUyZDIwODhhYzU3MSIsImF1dGhvciI6W3siZmFtaWx5IjoiQ2F2YW5uYSIsImdpdmVuIjoiQSBFIiwicGFyc2UtbmFtZXMiOmZhbHNlLCJkcm9wcGluZy1wYXJ0aWNsZSI6IiIsIm5vbi1kcm9wcGluZy1wYXJ0aWNsZSI6IiJ9LHsiZmFtaWx5IjoiRGF2aWQiLCJnaXZlbiI6IksiLCJwYXJzZS1uYW1lcyI6ZmFsc2UsImRyb3BwaW5nLXBhcnRpY2xlIjoiIiwibm9uLWRyb3BwaW5nLXBhcnRpY2xlIjoiIn0seyJmYW1pbHkiOiJPcnRoIiwiZ2l2ZW4iOiJNIiwicGFyc2UtbmFtZXMiOmZhbHNlLCJkcm9wcGluZy1wYXJ0aWNsZSI6IiIsIm5vbi1kcm9wcGluZy1wYXJ0aWNsZSI6IiJ9LHsiZmFtaWx5IjoiUm9iZXJ0c29uIiwiZ2l2ZW4iOiJNIE0iLCJwYXJzZS1uYW1lcyI6ZmFsc2UsImRyb3BwaW5nLXBhcnRpY2xlIjoiIiwibm9uLWRyb3BwaW5nLXBhcnRpY2xlIjoiIn1dLCJjb250YWluZXItdGl0bGUiOiJFdXJvcGVhbiBKb3VybmFsIG9mIFBhZWRpYXRyaWMgTmV1cm9sb2d5IiwiRE9JIjoiaHR0cHM6Ly9keC5kb2kub3JnLzEwLjEwMTYvai5lanBuLjIwMTIuMDIuMDA0IiwiVVJMIjoiaHR0cDovL292aWRzcC5vdmlkLmNvbS9vdmlkd2ViLmNnaT9UPUpTJlBBR0U9cmVmZXJlbmNlJkQ9ZW1lZDEzJk5FV1M9TiZBTj01MTg4NTI2OSIsImlzc3VlZCI6eyJkYXRlLXBhcnRzIjpbWzIwMTJdXX0sInBhZ2UiOiI2MDUtNjEyIiwiYWJzdHJhY3QiOiJCYWNrZ3JvdW5kOiBHaWxsZXMgZGUgbGEgVG91cmV0dGUgc3luZHJvbWUgKEdUUykgaXMgYSBjaHJvbmljIG5ldXJvZGV2ZWxvcG1lbnRhbCBkaXNvcmRlciBjaGFyYWN0ZXJpc2VkIGJ5IG11bHRpcGxlIG1vdG9yIGFuZCBwaG9uaWMgdGljcyBhbmQgYmVoYXZpb3VyYWwgcHJvYmxlbXMuIFBhdGllbnRzIHdpdGggR1RTIG9mIGFsbCBhZ2VzIG9mdGVuIHJlcG9ydCBhIHBvb3IgaGVhbHRoLXJlbGF0ZWQgcXVhbGl0eSBvZiBsaWZlIChIUi1RT0wpLiBUaGUgZGlhZ25vc2lzIG9mIEdUUyBpcyB1c3VhbGx5IGVzdGFibGlzaGVkIGluIGNoaWxkaG9vZCBidXQgbGl0dGxlIGlzIGtub3duIGFib3V0IGZhY3RvcnMgdGhhdCBwcmVkaWN0IHRoZSBsb25nLXRlcm0gd2VsbC1iZWluZyBvZiBwYXRpZW50cywgZXNwZWNpYWxseSBpbiB0aGUgcHJlc2VuY2Ugb2YgY28tbW9yYmlkIGJlaGF2aW91cmFsIHByb2JsZW1zLiBBaW0ocyk6IFRvIGludmVzdGlnYXRlIHRoZSBjaGlsZGhvb2QgcHJlZGljdG9ycyBvZiBIUi1RT0wgaW4gYSBjb2hvcnQgb2YgYWR1bHQgcGF0aWVudHMgd2l0aCBHVFMuIE1ldGhvZChzKTogRm9ydHktc2l4IHBhdGllbnRzIHdpdGggR1RTIGFnZWQgNi0xNiB5ZWFycyB1bmRlcndlbnQgYSBiYXNlbGluZSBzdGFuZGFyZGlzZWQgY2xpbmljYWwgYXNzZXNzbWVudCBvZiBib3RoIHRpY3MgYW5kIGJlaGF2aW91cmFsIHN5bXB0b21zIGF0IGEgc3BlY2lhbGlzdCBHVFMgY2xpbmljLiBUaGUgc2FtZSBwYXRpZW50cyB3ZXJlIHJlLWFzc2Vzc2VkIGFnZWQgMTYgeWVhcnMgYW5kIGFib3ZlLCB3aXRoIGEgbWVhbiBmb2xsb3ctdXAgcGVyaW9kIG9mIDEzIHllYXJzIChyYW5nZSAzLTI1IHllYXJzKSwgd2hlbiB0aGV5IGNvbXBsZXRlZCB0aGUgR2lsbGVzIGRlIGxhIFRvdXJldHRlIFN5bmRyb21lLVF1YWxpdHkgb2YgTGlmZSBTY2FsZSAoR1RTLVFPTCksIGEgZGlzZWFzZS1zcGVjaWZpYyBtZWFzdXJlIG9mIEhSLVFPTC4gUmVzdWx0KHMpOiBUaWMgc2V2ZXJpdHksIHByZW1vbml0b3J5IHVyZ2VzIGFuZCBmYW1pbHkgaGlzdG9yeSBvZiBHVFMgd2VyZSBpZGVudGlmaWVkIGFzIHByZWRpY3RvcnMgZHVyaW5nIGNoaWxkaG9vZCBvZiBhIHBvb3JlciBIUi1RT0wgaW4gYWR1bHRzIHdpdGggR1RTIGJ5IG11bHRpcGxlIGxpbmVhciByZWdyZXNzaW9uIGFuYWx5c2lzLiBTcGVjaWZpY2FsbHksIHRpYyBzZXZlcml0eSBzaWduaWZpY2FudGx5IHByZWRpY3RlZCBwb29yIG91dGNvbWUgYWNyb3NzIHBoeXNpY2FsLCBwc3ljaG9sb2dpY2FsIGFuZCBjb2duaXRpdmUgZG9tYWlucyBvZiB0aGUgR1RTLVFPTCwgcmVmbGVjdGluZyB3aWRlc3ByZWFkIGVmZmVjdHMgb24gSFItUU9MLiBDb25jbHVzaW9uKHMpOiBZb3VuZyBwYXRpZW50cyB3aXRoIHNldmVyZSB0aWNzIGFzc29jaWF0ZWQgd2l0aCBjaGFyYWN0ZXJpc3RpYyBwcmVtb25pdG9yeSB1cmdlcyBhbmQgYSBmYW1pbHkgaGlzdG9yeSBvZiB0aWMgZGlzb3JkZXJzIGFwcGVhciB0byBiZSBhdCBoaWdoZXIgcmlzayBmb3IgcG9vcmVyIEhSLVFPTCBhcyBhZHVsdHMuIEZ1cnRoZXIgcHJvc3BlY3RpdmUgcmVzZWFyY2ggaW50byBIUi1RT0wgaW4gR1RTIGlzIHJlcXVpcmVkIGluIG9yZGVyIHRvIGluZm9ybSBsb25nLXRlcm0gc3RyYXRlZ2ljIHJlc291cmNlIGFsbG9jYXRpb24uIMKpIDIwMTIgRXVyb3BlYW4gUGFlZGlhdHJpYyBOZXVyb2xvZ3kgU29jaWV0eS4gUHVibGlzaGVkIGJ5IEVsc2V2aWVyIEx0ZC4gQWxsIHJpZ2h0cyByZXNlcnZlZC4iLCJpc3N1ZSI6IjYiLCJ2b2x1bWUiOiIxNiIsImNvbnRhaW5lci10aXRsZS1zaG9ydCI6IiJ9LCJpc1RlbXBvcmFyeSI6ZmFsc2V9XX0="/>
                <w:id w:val="93828320"/>
                <w:placeholder>
                  <w:docPart w:val="DefaultPlaceholder_-1854013440"/>
                </w:placeholder>
              </w:sdtPr>
              <w:sdtContent>
                <w:r w:rsidR="00F04E9F" w:rsidRPr="00F04E9F">
                  <w:rPr>
                    <w:rFonts w:eastAsia="Times New Roman" w:cs="Times New Roman"/>
                    <w:color w:val="000000"/>
                    <w:sz w:val="16"/>
                    <w:szCs w:val="16"/>
                  </w:rPr>
                  <w:t>(56)</w:t>
                </w:r>
              </w:sdtContent>
            </w:sdt>
          </w:p>
        </w:tc>
        <w:tc>
          <w:tcPr>
            <w:tcW w:w="0" w:type="auto"/>
            <w:shd w:val="clear" w:color="auto" w:fill="FFFFFF"/>
            <w:hideMark/>
          </w:tcPr>
          <w:p w14:paraId="072BC8A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46 individuals with TS (Baseline: mean age = 10.8, Follow-up: mean age = 23.9)</w:t>
            </w:r>
          </w:p>
        </w:tc>
        <w:tc>
          <w:tcPr>
            <w:tcW w:w="0" w:type="auto"/>
            <w:shd w:val="clear" w:color="auto" w:fill="FFFFFF"/>
            <w:hideMark/>
          </w:tcPr>
          <w:p w14:paraId="35BD85D9" w14:textId="73F73E46"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 xml:space="preserve">Presence of premonitory urges in childhood </w:t>
            </w:r>
            <w:r w:rsidR="006C7270">
              <w:rPr>
                <w:rFonts w:eastAsia="Times New Roman" w:cs="Times New Roman"/>
                <w:color w:val="000000" w:themeColor="text1"/>
                <w:sz w:val="16"/>
                <w:szCs w:val="16"/>
              </w:rPr>
              <w:t xml:space="preserve">was </w:t>
            </w:r>
            <w:r w:rsidRPr="008A1F40">
              <w:rPr>
                <w:rFonts w:eastAsia="Times New Roman" w:cs="Times New Roman"/>
                <w:color w:val="000000" w:themeColor="text1"/>
                <w:sz w:val="16"/>
                <w:szCs w:val="16"/>
              </w:rPr>
              <w:t xml:space="preserve">associated with higher GTS-QoL scores </w:t>
            </w:r>
            <w:r w:rsidR="00364AE7">
              <w:rPr>
                <w:rFonts w:eastAsia="Times New Roman" w:cs="Times New Roman"/>
                <w:color w:val="000000" w:themeColor="text1"/>
                <w:sz w:val="16"/>
                <w:szCs w:val="16"/>
              </w:rPr>
              <w:t xml:space="preserve">(i.e., </w:t>
            </w:r>
            <w:r w:rsidR="00011682">
              <w:rPr>
                <w:rFonts w:eastAsia="Times New Roman" w:cs="Times New Roman"/>
                <w:color w:val="000000" w:themeColor="text1"/>
                <w:sz w:val="16"/>
                <w:szCs w:val="16"/>
              </w:rPr>
              <w:t xml:space="preserve">poorer </w:t>
            </w:r>
            <w:r w:rsidR="00364AE7">
              <w:rPr>
                <w:rFonts w:eastAsia="Times New Roman" w:cs="Times New Roman"/>
                <w:color w:val="000000" w:themeColor="text1"/>
                <w:sz w:val="16"/>
                <w:szCs w:val="16"/>
              </w:rPr>
              <w:t xml:space="preserve">health-related QoL) </w:t>
            </w:r>
            <w:r w:rsidRPr="008A1F40">
              <w:rPr>
                <w:rFonts w:eastAsia="Times New Roman" w:cs="Times New Roman"/>
                <w:color w:val="000000" w:themeColor="text1"/>
                <w:sz w:val="16"/>
                <w:szCs w:val="16"/>
              </w:rPr>
              <w:t>in adulthood (t(44) = 2.14, p = 0.038)</w:t>
            </w:r>
          </w:p>
          <w:p w14:paraId="42C4A97D" w14:textId="3748980F"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rPr>
              <w:t xml:space="preserve">Additionally, the following independent variables (all at baseline) were entered into a stepwise multiple linear regression model predicting GTS-QoL total scores in adulthood: </w:t>
            </w:r>
            <w:r w:rsidRPr="008A1F40">
              <w:rPr>
                <w:rFonts w:cs="Times New Roman"/>
                <w:color w:val="000000" w:themeColor="text1"/>
                <w:sz w:val="16"/>
                <w:szCs w:val="16"/>
                <w:shd w:val="clear" w:color="auto" w:fill="FFFFFF"/>
              </w:rPr>
              <w:t xml:space="preserve">family history of tics, </w:t>
            </w:r>
            <w:r w:rsidR="008D2583">
              <w:rPr>
                <w:rFonts w:cs="Times New Roman"/>
                <w:color w:val="000000" w:themeColor="text1"/>
                <w:sz w:val="16"/>
                <w:szCs w:val="16"/>
                <w:shd w:val="clear" w:color="auto" w:fill="FFFFFF"/>
              </w:rPr>
              <w:t xml:space="preserve">presence of </w:t>
            </w:r>
            <w:r w:rsidRPr="008A1F40">
              <w:rPr>
                <w:rFonts w:cs="Times New Roman"/>
                <w:color w:val="000000" w:themeColor="text1"/>
                <w:sz w:val="16"/>
                <w:szCs w:val="16"/>
                <w:shd w:val="clear" w:color="auto" w:fill="FFFFFF"/>
              </w:rPr>
              <w:t>premonitory urge</w:t>
            </w:r>
            <w:r w:rsidR="00F5084C">
              <w:rPr>
                <w:rFonts w:cs="Times New Roman"/>
                <w:color w:val="000000" w:themeColor="text1"/>
                <w:sz w:val="16"/>
                <w:szCs w:val="16"/>
                <w:shd w:val="clear" w:color="auto" w:fill="FFFFFF"/>
              </w:rPr>
              <w:t>s</w:t>
            </w:r>
            <w:r w:rsidRPr="008A1F40">
              <w:rPr>
                <w:rFonts w:cs="Times New Roman"/>
                <w:color w:val="000000" w:themeColor="text1"/>
                <w:sz w:val="16"/>
                <w:szCs w:val="16"/>
                <w:shd w:val="clear" w:color="auto" w:fill="FFFFFF"/>
              </w:rPr>
              <w:t xml:space="preserve">, coprolalia, echopraxia, echolalia, </w:t>
            </w:r>
            <w:r w:rsidR="00B85D3F">
              <w:rPr>
                <w:rFonts w:cs="Times New Roman"/>
                <w:color w:val="000000" w:themeColor="text1"/>
                <w:sz w:val="16"/>
                <w:szCs w:val="16"/>
                <w:shd w:val="clear" w:color="auto" w:fill="FFFFFF"/>
              </w:rPr>
              <w:t xml:space="preserve">and </w:t>
            </w:r>
            <w:r w:rsidRPr="008A1F40">
              <w:rPr>
                <w:rFonts w:cs="Times New Roman"/>
                <w:color w:val="000000" w:themeColor="text1"/>
                <w:sz w:val="16"/>
                <w:szCs w:val="16"/>
                <w:shd w:val="clear" w:color="auto" w:fill="FFFFFF"/>
              </w:rPr>
              <w:t>self-injurious behaviors, and diagnoses of OCD and ADHD. Presence of premonitory urges at baseline significantly predicted GTS-QoL scores in adulthood (β = 0.34, p = 0.008)</w:t>
            </w:r>
          </w:p>
          <w:p w14:paraId="0DA705DE" w14:textId="14BDDE5A" w:rsidR="00986E35" w:rsidRPr="008A1F40" w:rsidRDefault="006B32FB" w:rsidP="007F77D2">
            <w:pPr>
              <w:rPr>
                <w:rFonts w:cs="Times New Roman"/>
                <w:color w:val="000000" w:themeColor="text1"/>
                <w:sz w:val="16"/>
                <w:szCs w:val="16"/>
                <w:shd w:val="clear" w:color="auto" w:fill="FFFFFF"/>
              </w:rPr>
            </w:pPr>
            <w:r>
              <w:rPr>
                <w:rFonts w:cs="Times New Roman"/>
                <w:color w:val="000000" w:themeColor="text1"/>
                <w:sz w:val="16"/>
                <w:szCs w:val="16"/>
                <w:shd w:val="clear" w:color="auto" w:fill="FFFFFF"/>
              </w:rPr>
              <w:t>Presence of p</w:t>
            </w:r>
            <w:r w:rsidR="00986E35" w:rsidRPr="008A1F40">
              <w:rPr>
                <w:rFonts w:cs="Times New Roman"/>
                <w:color w:val="000000" w:themeColor="text1"/>
                <w:sz w:val="16"/>
                <w:szCs w:val="16"/>
                <w:shd w:val="clear" w:color="auto" w:fill="FFFFFF"/>
              </w:rPr>
              <w:t>remonitory urges at baseline also predicted GTS-QoL obsessive-compulsive domain scores (β = 0.35, p = 0.008) and physical domain scores (β = 0.35, p = 0.008) in similar multiple linear regression models</w:t>
            </w:r>
          </w:p>
        </w:tc>
      </w:tr>
      <w:tr w:rsidR="006B32FB" w:rsidRPr="008A1F40" w14:paraId="4E2324C1" w14:textId="77777777" w:rsidTr="007F77D2">
        <w:trPr>
          <w:tblCellSpacing w:w="15" w:type="dxa"/>
        </w:trPr>
        <w:tc>
          <w:tcPr>
            <w:tcW w:w="0" w:type="auto"/>
            <w:shd w:val="clear" w:color="auto" w:fill="FFFFFF"/>
            <w:hideMark/>
          </w:tcPr>
          <w:p w14:paraId="0F12662E" w14:textId="067387AA"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Capriotti et al (2013)</w:t>
            </w:r>
            <w:r w:rsidR="00C656C9">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WI0MGViZDEtNTM0Zi00YzU4LTk2ZDYtNGQ2NzBhOGI2NTJhIiwicHJvcGVydGllcyI6eyJub3RlSW5kZXgiOjB9LCJpc0VkaXRlZCI6ZmFsc2UsIm1hbnVhbE92ZXJyaWRlIjp7ImlzTWFudWFsbHlPdmVycmlkZGVuIjpmYWxzZSwiY2l0ZXByb2NUZXh0IjoiKDM5KSIsIm1hbnVhbE92ZXJyaWRlVGV4dCI6IiJ9LCJjaXRhdGlvbkl0ZW1zIjpbeyJpZCI6IjkwNGI1ZjVjLTJkYTMtMzUyOS04M2Y2LTUwODg4ZjRhNWM1YiIsIml0ZW1EYXRhIjp7InR5cGUiOiJhcnRpY2xlLWpvdXJuYWwiLCJpZCI6IjkwNGI1ZjVjLTJkYTMtMzUyOS04M2Y2LTUwODg4ZjRhNWM1YiIsInRpdGxlIjoiRW52aXJvbm1lbnRhbCBmYWN0b3JzIGFzIHBvdGVudGlhbCBkZXRlcm1pbmFudHMgb2YgcHJlbW9uaXRvcnkgdXJnZSBzZXZlcml0eSBpbiB5b3V0aCB3aXRoIFRvdXJldHRlIHN5bmRyb21lIiwiZ3JvdXBJZCI6IjA3ZDYyYWMxLTVhYTgtMzlhZi1iNDllLTUyZDIwODhhYzU3MSIsImF1dGhvciI6W3siZmFtaWx5IjoiQ2FwcmlvdHRpIiwiZ2l2ZW4iOiJNIFIiLCJwYXJzZS1uYW1lcyI6ZmFsc2UsImRyb3BwaW5nLXBhcnRpY2xlIjoiIiwibm9uLWRyb3BwaW5nLXBhcnRpY2xlIjoiIn0seyJmYW1pbHkiOiJFc3BpbCIsImdpdmVuIjoiRiBNIiwicGFyc2UtbmFtZXMiOmZhbHNlLCJkcm9wcGluZy1wYXJ0aWNsZSI6IiIsIm5vbi1kcm9wcGluZy1wYXJ0aWNsZSI6IiJ9LHsiZmFtaWx5IjoiQ29uZWxlYSIsImdpdmVuIjoiQyBBIiwicGFyc2UtbmFtZXMiOmZhbHNlLCJkcm9wcGluZy1wYXJ0aWNsZSI6IiIsIm5vbi1kcm9wcGluZy1wYXJ0aWNsZSI6IiJ9LHsiZmFtaWx5IjoiV29vZHMiLCJnaXZlbiI6IkQgVyIsInBhcnNlLW5hbWVzIjpmYWxzZSwiZHJvcHBpbmctcGFydGljbGUiOiIiLCJub24tZHJvcHBpbmctcGFydGljbGUiOiIifV0sImNvbnRhaW5lci10aXRsZSI6IkpvdXJuYWwgb2YgT2JzZXNzaXZlLUNvbXB1bHNpdmUgYW5kIFJlbGF0ZWQgRGlzb3JkZXJzIiwiRE9JIjoiaHR0cHM6Ly9keC5kb2kub3JnLzEwLjEwMTYvai5qb2NyZC4yMDEyLjEwLjAwNCIsIlVSTCI6Imh0dHA6Ly93d3cuam91cm5hbHMuZWxzZXZpZXIuY29tL2pvdXJuYWwtb2Ytb2JzZXNzaXZlLWNvbXB1bHNpdmUtYW5kLXJlbGF0ZWQtZGlzb3JkZXJzaHR0cDovL292aWRzcC5vdmlkLmNvbS9vdmlkd2ViLmNnaT9UPUpTJlBBR0U9cmVmZXJlbmNlJkQ9ZW1lZDE0Jk5FV1M9TiZBTj0zNjgxMjQ5MDciLCJpc3N1ZWQiOnsiZGF0ZS1wYXJ0cyI6W1syMDEzXV19LCJwYWdlIjoiMzctNDIiLCJhYnN0cmFjdCI6IlRpY3MgYXNzb2NpYXRlZCB3aXRoIFRvdXJldHRlIHN5bmRyb21lIChUUykgYXJlIG9mdGVuIHByZWNlZGVkIGJ5IGF2ZXJzaXZlIHNvbWF0b3NlbnNvcnkgZXhwZXJpZW5jZXMga25vd24gYXMgcHJlbW9uaXRvcnkgdXJnZXMuIFRoZXNlIHVyZ2VzIGFyZSBoaWdobHkgcHJldmFsZW50IGFtb25nIGluZGl2aWR1YWxzIHdpdGggVFMgYW5kIGFwcGVhciB0byBwbGF5IGEga2V5IHJvbGUgaW4gdGljIGV4cHJlc3Npb24uIERlc3BpdGUgdGhlIGltcG9ydGFuY2Ugb2YgcHJlbW9uaXRvcnkgdXJnZXMsIHJlbGF0aXZlbHkgbGl0dGxlIGlzIGtub3duIGFib3V0IGVudmlyb25tZW50YWwgZmFjdG9ycyB0aGF0IG1heSBpbmZsdWVuY2UgdGhlaXIgc2V2ZXJpdHkuIFNvbWUgZGF0YSBzdWdnZXN0IHRoYXQgZXhwZXJpZW5jaW5nIGVudmlyb25tZW50YWwgY29uc2VxdWVuY2VzIGZvciB0aWNjaW5nIG1heSBpbmNyZWFzZSB0aGUgc2V2ZXJpdHkgb2YgcHJlbW9uaXRvcnkgdXJnZXMsIGFsdGhvdWdoIGV2aWRlbmNlIGZvciB0aGlzIGNsYWltIGlzIGxpbWl0ZWQuIFRoZSBwcmVzZW50IHN0dWR5IHRlc3RlZCB0aGlzIHBvc3NpYmlsaXR5IHVzaW5nIGRhdGEgZnJvbSBhbiBJbnRlcm5ldC1iYXNlZCBzdXJ2ZXkgb2YgMTE4IHlvdXRoIHdpdGggVFMgYW5kIHRoZWlyIHBhcmVudHMuIFJlc3VsdHMgaW5kaWNhdGVkIHRoYXQgdGljIHNldmVyaXR5IGFuZCB1cmdlIHNldmVyaXR5IHdlcmUgcG9zaXRpdmVseSBjb3JyZWxhdGVkIHdpdGggZWFjaCBvdGhlciBhbmQgd2l0aCBpdGVtcyBtZWFzdXJpbmcgdGljLXJlbGF0ZWQgaW1wYWN0LiBIaWVyYXJjaGljYWwgbGluZWFyIHJlZ3Jlc3Npb24gYW5hbHlzZXMgc2hvd2VkIHRoYXQgdGhlIHJlbGF0aW9uc2hpcCBiZXR3ZWVuIHVyZ2Ugc2V2ZXJpdHkgYW5kIHRpYy1yZWxhdGVkIGltcGFjdCBwZXJzaXN0ZWQgd2hlbiBhY2NvdW50aW5nIGZvciBjb21vcmJpZCBwc3ljaGlhdHJpYyBkaWFnbm9zZXMgYW5kIHRpYyBzZXZlcml0eS4gVGhlc2UgcmVzdWx0cyBhcmUgY29uc2lzdGVudCB3aXRoIGEgYmVoYXZpb3JhbCBtb2RlbCBvZiBUUyBhbmQgc3VnZ2VzdCB0aGF0IGV4cGVyaWVuY2luZyBhdmVyc2l2ZSBjb25zZXF1ZW5jZXMgZm9yIHRpY2NpbmcgbWF5IGluY3JlYXNlIHRoZSBzZXZlcml0eSBvZiBwcmVtb25pdG9yeSB1cmdlcy4gRnV0dXJlIHJlc2VhcmNoIHNob3VsZCBmdXJ0aGVyIGV4YW1pbmUgZmFjdG9ycyB0aGF0IGluZmx1ZW5jZSBwcmVtb25pdG9yeSB1cmdlcyBhbmQgbW9yZSBjb21wbGV0ZWx5IHRlc3QgdGhlIGJlaGF2aW9yYWwgbW9kZWwgb2YgVFMuIMKpIDIwMTIgRWxzZXZpZXIgTHRkLiIsImlzc3VlIjoiMSIsInZvbHVtZSI6IjIiLCJjb250YWluZXItdGl0bGUtc2hvcnQiOiJKIE9ic2Vzc2l2ZSBDb21wdWxzIFJlbGF0IERpc29yZCJ9LCJpc1RlbXBvcmFyeSI6ZmFsc2V9XX0="/>
                <w:id w:val="-1821955267"/>
                <w:placeholder>
                  <w:docPart w:val="DefaultPlaceholder_-1854013440"/>
                </w:placeholder>
              </w:sdtPr>
              <w:sdtContent>
                <w:r w:rsidR="00F04E9F" w:rsidRPr="00F04E9F">
                  <w:rPr>
                    <w:rFonts w:eastAsia="Times New Roman" w:cs="Times New Roman"/>
                    <w:color w:val="000000"/>
                    <w:sz w:val="16"/>
                    <w:szCs w:val="16"/>
                  </w:rPr>
                  <w:t>(39)</w:t>
                </w:r>
              </w:sdtContent>
            </w:sdt>
          </w:p>
        </w:tc>
        <w:tc>
          <w:tcPr>
            <w:tcW w:w="0" w:type="auto"/>
            <w:shd w:val="clear" w:color="auto" w:fill="FFFFFF"/>
            <w:hideMark/>
          </w:tcPr>
          <w:p w14:paraId="4FE6AE47"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118 youth with CTDs</w:t>
            </w:r>
          </w:p>
        </w:tc>
        <w:tc>
          <w:tcPr>
            <w:tcW w:w="0" w:type="auto"/>
            <w:shd w:val="clear" w:color="auto" w:fill="FFFFFF"/>
            <w:hideMark/>
          </w:tcPr>
          <w:p w14:paraId="5FB8C324" w14:textId="00989AF9"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Positive correlation between PUTS scores and 12 of 15 tic-related impact items (assessed by </w:t>
            </w:r>
            <w:r w:rsidRPr="008A1F40">
              <w:rPr>
                <w:rFonts w:cs="Times New Roman"/>
                <w:color w:val="000000" w:themeColor="text1"/>
                <w:sz w:val="16"/>
                <w:szCs w:val="16"/>
                <w:shd w:val="clear" w:color="auto" w:fill="FFFFFF"/>
              </w:rPr>
              <w:t>questionnaire including both Likert-type items and dichotomous (yes/no) questions) - private leisure, social life, friend relationships, family relationships, home chores, classes, study, school general, feel abnormal, picked on, gossip, and exclude</w:t>
            </w:r>
            <w:r w:rsidR="003F4F66">
              <w:rPr>
                <w:rFonts w:cs="Times New Roman"/>
                <w:color w:val="000000" w:themeColor="text1"/>
                <w:sz w:val="16"/>
                <w:szCs w:val="16"/>
                <w:shd w:val="clear" w:color="auto" w:fill="FFFFFF"/>
              </w:rPr>
              <w:t>d</w:t>
            </w:r>
          </w:p>
        </w:tc>
      </w:tr>
      <w:tr w:rsidR="006B32FB" w:rsidRPr="008A1F40" w14:paraId="6411539D" w14:textId="77777777" w:rsidTr="007F77D2">
        <w:trPr>
          <w:tblCellSpacing w:w="15" w:type="dxa"/>
        </w:trPr>
        <w:tc>
          <w:tcPr>
            <w:tcW w:w="0" w:type="auto"/>
            <w:shd w:val="clear" w:color="auto" w:fill="FFFFFF"/>
            <w:hideMark/>
          </w:tcPr>
          <w:p w14:paraId="3545D070" w14:textId="73CF766C"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Kano et al (2015)</w:t>
            </w:r>
            <w:r w:rsidR="00C656C9">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DI2YjY3M2ItZjBmOS00YjMwLWI5OGItNmM5MWU4NWRiMGI1IiwicHJvcGVydGllcyI6eyJub3RlSW5kZXgiOjB9LCJpc0VkaXRlZCI6ZmFsc2UsIm1hbnVhbE92ZXJyaWRlIjp7ImlzTWFudWFsbHlPdmVycmlkZGVuIjpmYWxzZSwiY2l0ZXByb2NUZXh0IjoiKDM0KSIsIm1hbnVhbE92ZXJyaWRlVGV4dCI6IiJ9LCJjaXRhdGlvbkl0ZW1zIjpbeyJpZCI6ImRjODk3YzhiLTQ1YjQtMzk4My04NTliLTEzMTE1MmFjYWU3MyIsIml0ZW1EYXRhIjp7InR5cGUiOiJhcnRpY2xlLWpvdXJuYWwiLCJpZCI6ImRjODk3YzhiLTQ1YjQtMzk4My04NTliLTEzMTE1MmFjYWU3MyIsInRpdGxlIjoiU2Vuc29yeSBwaGVub21lbmEgcmVsYXRlZCB0byB0aWNzLCBvYnNlc3NpdmUtY29tcHVsc2l2ZSBzeW1wdG9tcywgYW5kIGdsb2JhbCBmdW5jdGlvbmluZyBpbiBUb3VyZXR0ZSBzeW5kcm9tZSIsImdyb3VwSWQiOiIwN2Q2MmFjMS01YWE4LTM5YWYtYjQ5ZS01MmQyMDg4YWM1NzEiLCJhdXRob3IiOlt7ImZhbWlseSI6Ikthbm8iLCJnaXZlbiI6IlkiLCJwYXJzZS1uYW1lcyI6ZmFsc2UsImRyb3BwaW5nLXBhcnRpY2xlIjoiIiwibm9uLWRyb3BwaW5nLXBhcnRpY2xlIjoiIn0seyJmYW1pbHkiOiJNYXRzdWRhIiwiZ2l2ZW4iOiJOIiwicGFyc2UtbmFtZXMiOmZhbHNlLCJkcm9wcGluZy1wYXJ0aWNsZSI6IiIsIm5vbi1kcm9wcGluZy1wYXJ0aWNsZSI6IiJ9LHsiZmFtaWx5IjoiTm9uYWthIiwiZ2l2ZW4iOiJNIiwicGFyc2UtbmFtZXMiOmZhbHNlLCJkcm9wcGluZy1wYXJ0aWNsZSI6IiIsIm5vbi1kcm9wcGluZy1wYXJ0aWNsZSI6IiJ9LHsiZmFtaWx5IjoiRnVqaW8iLCJnaXZlbiI6Ik0iLCJwYXJzZS1uYW1lcyI6ZmFsc2UsImRyb3BwaW5nLXBhcnRpY2xlIjoiIiwibm9uLWRyb3BwaW5nLXBhcnRpY2xlIjoiIn0seyJmYW1pbHkiOiJLdXdhYmFyYSIsImdpdmVuIjoiSCIsInBhcnNlLW5hbWVzIjpmYWxzZSwiZHJvcHBpbmctcGFydGljbGUiOiIiLCJub24tZHJvcHBpbmctcGFydGljbGUiOiIifSx7ImZhbWlseSI6Iktvbm8iLCJnaXZlbiI6IlQiLCJwYXJzZS1uYW1lcyI6ZmFsc2UsImRyb3BwaW5nLXBhcnRpY2xlIjoiIiwibm9uLWRyb3BwaW5nLXBhcnRpY2xlIjoiIn1dLCJjb250YWluZXItdGl0bGUiOiJDb21wciBQc3ljaGlhdHJ5IiwiRE9JIjoiMTAuMTAxNi9qLmNvbXBwc3ljaC4yMDE1LjA3LjAwNiIsIlBNSUQiOiIyNjM0MzQ3OCIsImlzc3VlZCI6eyJkYXRlLXBhcnRzIjpbWzIwMTVdXX0sInBhZ2UiOiIxNDEtMTQ2IiwiYWJzdHJhY3QiOiJPQkpFQ1RJVkVTOiBTZW5zb3J5IHBoZW5vbWVuYSwgaW5jbHVkaW5nIHByZW1vbml0b3J5IHVyZ2VzLCBhcmUgZXhwZXJpZW5jZWQgYnkgcGF0aWVudHMgd2l0aCBUb3VyZXR0ZSBzeW5kcm9tZSAoVFMpIGFuZCBvYnNlc3NpdmUtY29tcHVsc2l2ZSBkaXNvcmRlciAoT0NEKS4gVGhlIGdvYWwgb2YgdGhlIHByZXNlbnQgc3R1ZHkgd2FzIHRvIGludmVzdGlnYXRlIHN1Y2ggcGhlbm9tZW5hIHJlbGF0ZWQgdG8gdGljcywgb2JzZXNzaXZlLWNvbXB1bHNpdmUgc3ltcHRvbXMgKE9DUyksIGFuZCBnbG9iYWwgZnVuY3Rpb25pbmcgaW4gSmFwYW5lc2UgcGF0aWVudHMgd2l0aCBUUy4gTUVUSE9EUzogRm9ydHktb25lIHBhdGllbnRzIHdpdGggVFMgd2VyZSBhc3Nlc3NlZCB1c2luZyB0aGUgVW5pdmVyc2l0eSBvZiBTw6NvIFBhdWxvIFNlbnNvcnkgUGhlbm9tZW5hIFNjYWxlIChVU1AtU1BTKSwgdGhlIFByZW1vbml0b3J5IFVyZ2UgZm9yIFRpY3MgU2NhbGUgKFBVVFMpLCB0aGUgWWFsZSBHbG9iYWwgVGljIFNldmVyaXR5IFNjYWxlIChZR1RTUyksIHRoZSBEaW1lbnNpb25hbCBZYWxlLUJyb3duIE9ic2Vzc2l2ZS1Db21wdWxzaXZlIFNjYWxlIChEWS1CT0NTKSwgYW5kIHRoZSBHbG9iYWwgQXNzZXNzbWVudCBvZiBGdW5jdGlvbmluZyAoR0FGKSBTY2FsZS4gUkVTVUxUUzogVVNQLVNQUyBhbmQgUFVUUyB0b3RhbCBzY29yZXMgd2VyZSBzaWduaWZpY2FudGx5IGNvcnJlbGF0ZWQgd2l0aCBZR1RTUyB0b3RhbCBhbmQgdm9jYWwgdGljcyBzY29yZXMuIEFkZGl0aW9uYWxseSwgYm90aCBzZW5zb3J5IHBoZW5vbWVuYSBzZXZlcml0eSBzY29yZXMgd2VyZSBzaWduaWZpY2FudGx5IGNvcnJlbGF0ZWQgd2l0aCBEWS1CT0NTIHRvdGFsIE9DUyBzY29yZXMuIE9mIHRoZSBzaXggZGltZW5zaW9uYWwgT0NTIHNjb3JlcywgdGhlIFVTUC1TUFMgc2NvcmVzIHdlcmUgc2lnbmlmaWNhbnRseSBjb3JyZWxhdGVkIHdpdGggbWVhc3VyZXMgb2YgYWdncmVzc2lvbiBhbmQgc2V4dWFsL3JlbGlnaW91cyBkaW1lbnNpb25zLiBGaW5hbGx5LCB0aGUgUFVUUyB0b3RhbCBzY29yZXMgd2VyZSBzaWduaWZpY2FudGx5IGFuZCBuZWdhdGl2ZWx5IGNvcnJlbGF0ZWQgd2l0aCBHQUYgc2NvcmVzLiBDT05DTFVTSU9OUzogQnkgYXNzZXNzaW5nIHByZW1vbml0b3J5IHVyZ2VzIGFuZCBicm9hZGVyIHNlbnNvcnkgcGhlbm9tZW5hLCBhbmQgYnkgdmlld2luZyBPQ1MgZnJvbSBhIGRpbWVuc2lvbmFsIGFwcHJvYWNoLCB0aGlzIHN0dWR5IHByb3ZpZGVzIHNpZ25pZmljYW50IGluc2lnaHQgaW50byBzZW5zb3J5IHBoZW5vbWVuYSByZWxhdGVkIHRvIHRpY3MsIE9DUywgYW5kIGdsb2JhbCBmdW5jdGlvbmluZyBpbiBwYXRpZW50cyB3aXRoIFRTLiIsInZvbHVtZSI6IjYyIiwiY29udGFpbmVyLXRpdGxlLXNob3J0IjoiIn0sImlzVGVtcG9yYXJ5IjpmYWxzZX1dfQ=="/>
                <w:id w:val="1803730089"/>
                <w:placeholder>
                  <w:docPart w:val="DefaultPlaceholder_-1854013440"/>
                </w:placeholder>
              </w:sdtPr>
              <w:sdtContent>
                <w:r w:rsidR="00F04E9F" w:rsidRPr="00F04E9F">
                  <w:rPr>
                    <w:rFonts w:eastAsia="Times New Roman" w:cs="Times New Roman"/>
                    <w:color w:val="000000"/>
                    <w:sz w:val="16"/>
                    <w:szCs w:val="16"/>
                  </w:rPr>
                  <w:t>(34)</w:t>
                </w:r>
              </w:sdtContent>
            </w:sdt>
          </w:p>
        </w:tc>
        <w:tc>
          <w:tcPr>
            <w:tcW w:w="0" w:type="auto"/>
            <w:shd w:val="clear" w:color="auto" w:fill="FFFFFF"/>
            <w:hideMark/>
          </w:tcPr>
          <w:p w14:paraId="525A27BC"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41 children and adults with TS</w:t>
            </w:r>
          </w:p>
        </w:tc>
        <w:tc>
          <w:tcPr>
            <w:tcW w:w="0" w:type="auto"/>
            <w:shd w:val="clear" w:color="auto" w:fill="FFFFFF"/>
            <w:hideMark/>
          </w:tcPr>
          <w:p w14:paraId="67B34956" w14:textId="1BEB99FE"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PUTS </w:t>
            </w:r>
            <w:r w:rsidR="007D2CE4">
              <w:rPr>
                <w:rFonts w:eastAsia="Times New Roman" w:cs="Times New Roman"/>
                <w:color w:val="0D0D0D"/>
                <w:sz w:val="16"/>
                <w:szCs w:val="16"/>
              </w:rPr>
              <w:t xml:space="preserve">scores </w:t>
            </w:r>
            <w:r w:rsidRPr="008A1F40">
              <w:rPr>
                <w:rFonts w:eastAsia="Times New Roman" w:cs="Times New Roman"/>
                <w:color w:val="0D0D0D"/>
                <w:sz w:val="16"/>
                <w:szCs w:val="16"/>
              </w:rPr>
              <w:t xml:space="preserve">negatively correlated with GAF </w:t>
            </w:r>
            <w:r w:rsidR="009129EE">
              <w:rPr>
                <w:rFonts w:eastAsia="Times New Roman" w:cs="Times New Roman"/>
                <w:color w:val="0D0D0D"/>
                <w:sz w:val="16"/>
                <w:szCs w:val="16"/>
              </w:rPr>
              <w:t xml:space="preserve">scores </w:t>
            </w:r>
            <w:r w:rsidRPr="008A1F40">
              <w:rPr>
                <w:rFonts w:eastAsia="Times New Roman" w:cs="Times New Roman"/>
                <w:color w:val="0D0D0D"/>
                <w:sz w:val="16"/>
                <w:szCs w:val="16"/>
              </w:rPr>
              <w:t>(</w:t>
            </w:r>
            <w:r w:rsidRPr="008A1F40">
              <w:rPr>
                <w:rFonts w:cs="Times New Roman"/>
                <w:color w:val="000000" w:themeColor="text1"/>
                <w:sz w:val="16"/>
                <w:szCs w:val="16"/>
              </w:rPr>
              <w:t>higher scores indicate greater global functioning)</w:t>
            </w:r>
            <w:r w:rsidRPr="008A1F40">
              <w:rPr>
                <w:rFonts w:eastAsia="Times New Roman" w:cs="Times New Roman"/>
                <w:color w:val="0D0D0D"/>
                <w:sz w:val="16"/>
                <w:szCs w:val="16"/>
              </w:rPr>
              <w:t xml:space="preserve"> (Pearson’s r = -0.38, p = 0.015)</w:t>
            </w:r>
          </w:p>
        </w:tc>
      </w:tr>
      <w:tr w:rsidR="006B32FB" w:rsidRPr="008A1F40" w14:paraId="18269131" w14:textId="77777777" w:rsidTr="007F77D2">
        <w:trPr>
          <w:tblCellSpacing w:w="15" w:type="dxa"/>
        </w:trPr>
        <w:tc>
          <w:tcPr>
            <w:tcW w:w="0" w:type="auto"/>
            <w:shd w:val="clear" w:color="auto" w:fill="FFFFFF"/>
            <w:hideMark/>
          </w:tcPr>
          <w:p w14:paraId="07C1930B" w14:textId="34F575ED"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Kano et al (2020)</w:t>
            </w:r>
            <w:r w:rsidR="00C656C9">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jZlMjdkNWUtMzlkNS00OGY5LTg1NDUtY2M4MDI1OTY5Mzg0IiwicHJvcGVydGllcyI6eyJub3RlSW5kZXgiOjB9LCJpc0VkaXRlZCI6ZmFsc2UsIm1hbnVhbE92ZXJyaWRlIjp7ImlzTWFudWFsbHlPdmVycmlkZGVuIjpmYWxzZSwiY2l0ZXByb2NUZXh0IjoiKDQxKSIsIm1hbnVhbE92ZXJyaWRlVGV4dCI6IiJ9LCJjaXRhdGlvbkl0ZW1zIjpbeyJpZCI6ImJmZDU3MzgxLTZlOWEtMzNhZS04N2MxLTRiNTdiMGM2YzNhOSIsIml0ZW1EYXRhIjp7InR5cGUiOiJhcnRpY2xlLWpvdXJuYWwiLCJpZCI6ImJmZDU3MzgxLTZlOWEtMzNhZS04N2MxLTRiNTdiMGM2YzNhOSIsInRpdGxlIjoiQ2hhbmdlcyBpbiBTZW5zb3J5IFBoZW5vbWVuYSwgVGljcywgT2JzZXNzaXZlLUNvbXB1bHNpdmUgU3ltcHRvbXMsIGFuZCBHbG9iYWwgRnVuY3Rpb25pbmcgb2YgVG91cmV0dGUgU3luZHJvbWU6IEEgRm9sbG93LVVwIEFmdGVyIEZvdXIgWWVhcnMiLCJncm91cElkIjoiMDdkNjJhYzEtNWFhOC0zOWFmLWI0OWUtNTJkMjA4OGFjNTcxIiwiYXV0aG9yIjpbeyJmYW1pbHkiOiJLYW5vIiwiZ2l2ZW4iOiJZIiwicGFyc2UtbmFtZXMiOmZhbHNlLCJkcm9wcGluZy1wYXJ0aWNsZSI6IiIsIm5vbi1kcm9wcGluZy1wYXJ0aWNsZSI6IiJ9LHsiZmFtaWx5IjoiRnVqaW8iLCJnaXZlbiI6Ik0iLCJwYXJzZS1uYW1lcyI6ZmFsc2UsImRyb3BwaW5nLXBhcnRpY2xlIjoiIiwibm9uLWRyb3BwaW5nLXBhcnRpY2xlIjoiIn0seyJmYW1pbHkiOiJLYWppIiwiZ2l2ZW4iOiJOIiwicGFyc2UtbmFtZXMiOmZhbHNlLCJkcm9wcGluZy1wYXJ0aWNsZSI6IiIsIm5vbi1kcm9wcGluZy1wYXJ0aWNsZSI6IiJ9LHsiZmFtaWx5IjoiTWF0c3VkYSIsImdpdmVuIjoiTiIsInBhcnNlLW5hbWVzIjpmYWxzZSwiZHJvcHBpbmctcGFydGljbGUiOiIiLCJub24tZHJvcHBpbmctcGFydGljbGUiOiIifSx7ImZhbWlseSI6Ik5vbmFrYSIsImdpdmVuIjoiTSIsInBhcnNlLW5hbWVzIjpmYWxzZSwiZHJvcHBpbmctcGFydGljbGUiOiIiLCJub24tZHJvcHBpbmctcGFydGljbGUiOiIifSx7ImZhbWlseSI6Iktvbm8iLCJnaXZlbiI6IlQiLCJwYXJzZS1uYW1lcyI6ZmFsc2UsImRyb3BwaW5nLXBhcnRpY2xlIjoiIiwibm9uLWRyb3BwaW5nLXBhcnRpY2xlIjoiIn1dLCJjb250YWluZXItdGl0bGUiOiJGcm9udCBQc3ljaGlhdHJ5IiwiRE9JIjoiMTAuMzM4OS9mcHN5dC4yMDIwLjAwNjE5IiwiUE1JRCI6IjMyNjk1MDMzIiwiaXNzdWVkIjp7ImRhdGUtcGFydHMiOltbMjAyMF1dfSwicGFnZSI6IjYxOSIsImFic3RyYWN0IjoiU2Vuc29yeSBwaGVub21lbmEgYW5kIHJlbGF0ZWQgZmVhdHVyZXMgb2YgVG91cmV0dGUgc3luZHJvbWUgYXJlIHJlbGF0ZWQgdG8gcG9vcmVyIHF1YWxpdHkgb2YgbGlmZS4gVGhlcmVmb3JlLCBzZW5zb3J5IHBoZW5vbWVuYSBtaWdodCBhbHNvIGhhdmUgYSBuZWdhdGl2ZSBpbXBhY3Qgb24gZ2xvYmFsIGZ1bmN0aW9uaW5nLiBIb3dldmVyLCB0aGUgaW5mbHVlbmNlIG9mIHNlbnNvcnkgcGhlbm9tZW5hLCB0aWNzLCBhbmQgb2JzZXNzaXZlLWNvbXB1bHNpdmUgc3ltcHRvbXMgKE9DUykgb24gZ2xvYmFsIGZ1bmN0aW9uaW5nIGFmdGVyIHNldmVyYWwgeWVhcnMgb2YgdXN1YWwgdHJlYXRtZW50IGhhcyBub3QgYmVlbiBpbnZlc3RpZ2F0ZWQuIFR3ZW50eSBvdXQgb2YgNDUgSmFwYW5lc2UgcGF0aWVudHMgd2l0aCBUb3VyZXR0ZSBzeW5kcm9tZSB3aG8gaGFkIHByZXZpb3VzbHkgdW5kZXJnb25lIGFuIGV2YWx1YXRpb24gb2YgdGhlc2UgY2xpbmljYWwgZmVhdHVyZXMgd2VyZSBhc3Nlc3NlZCBhZ2FpbiBhZnRlciBhbiBhdmVyYWdlIG9mIGZvdXIgeWVhcnMuIFdlIGNvbmR1Y3RlZCBhIHBhbmVsIG9mIGFzc2Vzc21lbnRzIGZvciBwcmVtb25pdG9yeSB1cmdlcywgYnJvYWRlciBzZW5zb3J5IHBoZW5vbWVuYSwgdGljIHNldmVyaXR5LCBPQ1MsIGFuZCBnbG9iYWwgZnVuY3Rpb25pbmcuIEJhc2VkIG9uIFBlYXJzb24ncyBjb3JyZWxhdGlvbiBjb2VmZmljaWVudCwgY3VycmVudCBnbG9iYWwgZnVuY3Rpb25pbmcgd2FzIHNpZ25pZmljYW50bHkgbmVnYXRpdmVseSBjb3JyZWxhdGVkIHdpdGggcHJldmlvdXMgdGljcyBhbmQgbWFyZ2luYWxseSBuZWdhdGl2ZWx5IGNvcnJlbGF0ZWQgd2l0aCBwcmV2aW91cyBicm9hZGVyIHNlbnNvcnkgcGhlbm9tZW5hLiBDdXJyZW50IGdsb2JhbCBmdW5jdGlvbmluZyB3YXMgbWFyZ2luYWxseSBjb3JyZWxhdGVkIHdpdGggY2hhbmdlIGluIHRpY3MuIENoYW5nZSBpbiBnbG9iYWwgZnVuY3Rpb25pbmcgd2FzIHNpZ25pZmljYW50bHkgY29ycmVsYXRlZCB3aXRoIGNoYW5nZSBpbiBPQ1MgYW5kIG1hcmdpbmFsbHkgY29ycmVsYXRlZCB3aXRoIGNoYW5nZSBpbiBwcmVtb25pdG9yeSB1cmdlcy4gRHVlIHRvIHRoZSBzbWFsbCBzYW1wbGUgc2l6ZSwgaXQgd2FzIG5vdCBwb3NzaWJsZSB0byB1c2UgYSBtdWx0aXBsZSByZWdyZXNzaW9uIGFuYWx5c2lzIHRvIGNvbmNsdWRlIHRoYXQgc2Vuc29yeSBwaGVub21lbmEsIHRpY3MsIGFuZCBPQ1MgcHJlZGljdCBnbG9iYWwgZnVuY3Rpb25pbmcgaW4gYWRvbGVzY2VudHMgYW5kIGFkdWx0cyB3aXRoIFRTLiBIb3dldmVyLCBpdCB3YXMgc3VnZ2VzdGVkIHRoYXQgZnVydGhlciBpbnZlc3RpZ2F0aW9uIG9mIHRoaXMgcmVsYXRpb25zaGlwIHdvdWxkIGJlIG1lYW5pbmdmdWwuIiwidm9sdW1lIjoiMTEiLCJjb250YWluZXItdGl0bGUtc2hvcnQiOiIifSwiaXNUZW1wb3JhcnkiOmZhbHNlfV19"/>
                <w:id w:val="-1243017205"/>
                <w:placeholder>
                  <w:docPart w:val="DefaultPlaceholder_-1854013440"/>
                </w:placeholder>
              </w:sdtPr>
              <w:sdtContent>
                <w:r w:rsidR="00F04E9F" w:rsidRPr="00F04E9F">
                  <w:rPr>
                    <w:rFonts w:eastAsia="Times New Roman" w:cs="Times New Roman"/>
                    <w:color w:val="000000"/>
                    <w:sz w:val="16"/>
                    <w:szCs w:val="16"/>
                  </w:rPr>
                  <w:t>(41)</w:t>
                </w:r>
              </w:sdtContent>
            </w:sdt>
          </w:p>
        </w:tc>
        <w:tc>
          <w:tcPr>
            <w:tcW w:w="0" w:type="auto"/>
            <w:shd w:val="clear" w:color="auto" w:fill="FFFFFF"/>
            <w:hideMark/>
          </w:tcPr>
          <w:p w14:paraId="2832BAC7"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20 adolescents and adults with TS (participants had also been assessed an average of 4.0 years prior)</w:t>
            </w:r>
          </w:p>
        </w:tc>
        <w:tc>
          <w:tcPr>
            <w:tcW w:w="0" w:type="auto"/>
            <w:shd w:val="clear" w:color="auto" w:fill="FFFFFF"/>
            <w:hideMark/>
          </w:tcPr>
          <w:p w14:paraId="3D343D75" w14:textId="42DCF37B"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Previous PUTS scores were not significantly correlated with current GAF scores (Pearson’s r = -0.327, p = 0.186), but change in PUTS scores between baseline and follow</w:t>
            </w:r>
            <w:r w:rsidR="003B2A96">
              <w:rPr>
                <w:rFonts w:cs="Times New Roman"/>
                <w:color w:val="000000" w:themeColor="text1"/>
                <w:sz w:val="16"/>
                <w:szCs w:val="16"/>
              </w:rPr>
              <w:t>-</w:t>
            </w:r>
            <w:r w:rsidRPr="008A1F40">
              <w:rPr>
                <w:rFonts w:cs="Times New Roman"/>
                <w:color w:val="000000" w:themeColor="text1"/>
                <w:sz w:val="16"/>
                <w:szCs w:val="16"/>
              </w:rPr>
              <w:t>up was correlated with change in GAF scores between baseline and follow</w:t>
            </w:r>
            <w:r w:rsidR="009000E5">
              <w:rPr>
                <w:rFonts w:cs="Times New Roman"/>
                <w:color w:val="000000" w:themeColor="text1"/>
                <w:sz w:val="16"/>
                <w:szCs w:val="16"/>
              </w:rPr>
              <w:t>-</w:t>
            </w:r>
            <w:r w:rsidRPr="008A1F40">
              <w:rPr>
                <w:rFonts w:cs="Times New Roman"/>
                <w:color w:val="000000" w:themeColor="text1"/>
                <w:sz w:val="16"/>
                <w:szCs w:val="16"/>
              </w:rPr>
              <w:t>up (Pearson’s r = 0.518, p = 0.023)</w:t>
            </w:r>
          </w:p>
        </w:tc>
      </w:tr>
      <w:tr w:rsidR="006B32FB" w:rsidRPr="008A1F40" w14:paraId="35DE1853" w14:textId="77777777" w:rsidTr="007F77D2">
        <w:trPr>
          <w:tblCellSpacing w:w="15" w:type="dxa"/>
        </w:trPr>
        <w:tc>
          <w:tcPr>
            <w:tcW w:w="0" w:type="auto"/>
            <w:shd w:val="clear" w:color="auto" w:fill="FFFFFF"/>
            <w:hideMark/>
          </w:tcPr>
          <w:p w14:paraId="1A9CB68E" w14:textId="2BE6C54B"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Brandt et al (2023)</w:t>
            </w:r>
            <w:r w:rsidR="00C656C9">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TFkZjk4OTUtMzgwMS00NmQwLTlhMGItZDQyYjcwMmY5N2EwIiwicHJvcGVydGllcyI6eyJub3RlSW5kZXgiOjB9LCJpc0VkaXRlZCI6ZmFsc2UsIm1hbnVhbE92ZXJyaWRlIjp7ImlzTWFudWFsbHlPdmVycmlkZGVuIjpmYWxzZSwiY2l0ZXByb2NUZXh0IjoiKDUyKSIsIm1hbnVhbE92ZXJyaWRlVGV4dCI6IiJ9LCJjaXRhdGlvbkl0ZW1zIjpbeyJpZCI6IjgwMWY2OWY4LWY1ZjQtMzdlMS1iODgyLTNiYzE4MDk0NjE4NiIsIml0ZW1EYXRhIjp7InR5cGUiOiJhcnRpY2xlLWpvdXJuYWwiLCJpZCI6IjgwMWY2OWY4LWY1ZjQtMzdlMS1iODgyLTNiYzE4MDk0NjE4NiIsInRpdGxlIjoiUHJlbW9uaXRvcnkgVXJnZSBhbmQgVGljIFNldmVyaXR5LCBDb21vcmJpZGl0aWVzLCBhbmQgUXVhbGl0eSBvZiBMaWZlIGluIENocm9uaWMgVGljIERpc29yZGVycyIsImdyb3VwSWQiOiIwN2Q2MmFjMS01YWE4LTM5YWYtYjQ5ZS01MmQyMDg4YWM1NzEiLCJhdXRob3IiOlt7ImZhbWlseSI6IkJyYW5kdCIsImdpdmVuIjoiViIsInBhcnNlLW5hbWVzIjpmYWxzZSwiZHJvcHBpbmctcGFydGljbGUiOiIiLCJub24tZHJvcHBpbmctcGFydGljbGUiOiIifSx7ImZhbWlseSI6IkVzc2luZyIsImdpdmVuIjoiSiIsInBhcnNlLW5hbWVzIjpmYWxzZSwiZHJvcHBpbmctcGFydGljbGUiOiIiLCJub24tZHJvcHBpbmctcGFydGljbGUiOiIifSx7ImZhbWlseSI6Ikpha3Vib3Zza2kiLCJnaXZlbiI6IkUiLCJwYXJzZS1uYW1lcyI6ZmFsc2UsImRyb3BwaW5nLXBhcnRpY2xlIjoiIiwibm9uLWRyb3BwaW5nLXBhcnRpY2xlIjoiIn0seyJmYW1pbHkiOiJNw7xsbGVyLVZhaGwiLCJnaXZlbiI6IksiLCJwYXJzZS1uYW1lcyI6ZmFsc2UsImRyb3BwaW5nLXBhcnRpY2xlIjoiIiwibm9uLWRyb3BwaW5nLXBhcnRpY2xlIjoiIn1dLCJjb250YWluZXItdGl0bGUiOiJNb3YgRGlzb3JkIENsaW4gUHJhY3QiLCJET0kiOiIxMC4xMDAyL21kYzMuMTM3NDIiLCJQTUlEIjoiMzczMzI2MzMiLCJpc3N1ZWQiOnsiZGF0ZS1wYXJ0cyI6W1syMDIzXV19LCJwYWdlIjoiOTIyLTkzMiIsImFic3RyYWN0IjoiQkFDS0dST1VORDogVGljcyBhcmUgaW50aW1hdGVseSBhc3NvY2lhdGVkIHdpdGggcHJlbW9uaXRvcnkgdXJnZXMgKFBVKSBidXQga25vd2xlZGdlIGFib3V0IHVyZ2VzIGlzIHN0aWxsIGxpbWl0ZWQsIHdpdGggc21hbGwgc2FtcGxlIHNpemVzIG9mdGVuIGxpbWl0aW5nIHRoZSBnZW5lcmFsaXphYmlsaXR5IG9mIGZpbmRpbmdzLiBPQkpFQ1RJVkVTOiBUaGlzIHN0dWR5IGFkZHJlc3NlZCB0aGUgZm9sbG93aW5nIG9wZW4gcXVlc3Rpb25zOiAoMSkgaXMgdGljIHNldmVyaXR5IGFzc29jaWF0ZWQgd2l0aCB1cmdlIHNldmVyaXR5LCAoMikgaG93IGNvbW1vbiBpcyByZWxpZWYsICgzKSB3aGljaCBjb21vcmJpZGl0aWVzIGFyZSBhc3NvY2lhdGVkIHdpdGggdXJnZXMsICg0KSBhcmUgdXJnZXMsIHRpY3MsIGFuZCBjb21vcmJpZGl0aWVzIGFzc29jaWF0ZWQgd2l0aCBsb3dlciBxdWFsaXR5IG9mIGxpZmUsIGFuZCAoNSkgY2FuIGNvbXBsZXggYW5kIHNpbXBsZSwgbW90b3IgYW5kIHZvY2FsIHRpY3MgYmUgZGlmZmVyZW50aWF0ZWQgYmFzZWQgb24gUFU/IE1FVEhPRFM6IE7igIk94oCJMjkxIHBhdGllbnRzIHdobyByZXBvcnRlZCBhIGNvbmZpcm1lZCBkaWFnbm9zaXMgb2YgY2hyb25pYyBwcmltYXJ5IHRpYyBkaXNvcmRlciAoYWdl4oCJPeKAiTE4LTY1LCAyNCUgZmVtYWxlKSBmaWxsZWQgb3V0IGFuIG9ubGluZSBzdXJ2ZXkgYXNzZXNzaW5nIGRlbW9ncmFwaGljIGRhdGEsIGNvbW9yYmlkIGNvbmRpdGlvbnMsIGxvY2F0aW9uLCBxdWFsaXR5IGFuZCBpbnRlbnNpdHkgb2YgUFUsIGFzIHdlbGwgYXMgcXVhbGl0eSBvZiBsaWZlLiBFdmVyeSB0aWMgd2FzIHJlY29yZGVkLCBhbmQgd2hldGhlciB0aGUgcGF0aWVudCBleHBlcmllbmNlZCBhIFBVLCB0aGUgZnJlcXVlbmN5LCBpbnRlbnNpdHksIGFuZCBxdWFsaXR5IG9mIHRoYXQgdXJnZS4gUkVTVUxUUzogUFUgYW5kIHRpYyBzZXZlcml0eSB3ZXJlIHNpZ25pZmljYW50bHkgYXNzb2NpYXRlZCwgYW5kIDg1JSBvZiB1cmdlLXJlbGF0ZWQgdGljcyB3ZXJlIGZvbGxvd2VkIGJ5IHJlbGllZi4gQSBkaWFnbm9zaXMgb2YgYXR0ZW50aW9uIGRlZmljaXQvaHlwZXJhY3Rpdml0eSBkaXNvcmRlciAoQURIRCkgb3IgZGVwcmVzc2lvbiwgZmVtYWxlIGdlbmRlciwgYW5kIG9sZGVyIGFnZSBpbmNyZWFzZWQgdGhlIGxpa2VsaWhvb2Qgb2YgZXhwZXJpZW5jaW5nIFBVLCB3aGlsZSBtb3JlIG9ic2Vzc2l2ZSBjb21wdWxzaXZlIChPQ0QpIHN5bXB0b21zIGFuZCB5b3VuZ2VyIGFnZSB3ZXJlIGFzc29jaWF0ZWQgd2l0aCBoaWdoZXIgdXJnZSBpbnRlbnNpdGllcy4gUFUsIGNvbXBsZXggdm9jYWwgdGljcywgQURIRCwgT0NELCBhbnhpZXR5LCBhbmQgZGVwcmVzc2lvbiB3ZXJlIHJlbGF0ZWQgdG8gbG93ZXIgcXVhbGl0eSBvZiBsaWZlLiBNb3RvciBhbmQgdm9jYWwsIGNvbXBsZXggYW5kIHNpbXBsZSB0aWNzIGRpZCBub3QgZGlmZmVyIHJlZ2FyZGluZyBQVSBpbnRlbnNpdHksIGZyZXF1ZW5jeSwgYW5kIHF1YWxpdHksIG9yIHJlbGllZi4gQ09OQ0xVU0lPTlM6IFRoZSByZXN1bHRzIHNoZWQgbGlnaHQgb24gdGhlIHJlbGF0aW9uc2hpcCBiZXR3ZWVuIFBVLCB0aWNzLCBjb21vcmJpZGl0aWVzLCBhZ2UsIGdlbmRlciwgYW5kIHF1YWxpdHkgb2YgbGlmZSBpbiB0aWMgZGlzb3JkZXJzLiIsImlzc3VlIjoiNiIsInZvbHVtZSI6IjEwIiwiY29udGFpbmVyLXRpdGxlLXNob3J0IjoiIn0sImlzVGVtcG9yYXJ5IjpmYWxzZX1dfQ=="/>
                <w:id w:val="887680687"/>
                <w:placeholder>
                  <w:docPart w:val="DefaultPlaceholder_-1854013440"/>
                </w:placeholder>
              </w:sdtPr>
              <w:sdtContent>
                <w:r w:rsidR="00F04E9F" w:rsidRPr="00F04E9F">
                  <w:rPr>
                    <w:rFonts w:eastAsia="Times New Roman" w:cs="Times New Roman"/>
                    <w:color w:val="000000"/>
                    <w:sz w:val="16"/>
                    <w:szCs w:val="16"/>
                  </w:rPr>
                  <w:t>(52)</w:t>
                </w:r>
              </w:sdtContent>
            </w:sdt>
          </w:p>
        </w:tc>
        <w:tc>
          <w:tcPr>
            <w:tcW w:w="0" w:type="auto"/>
            <w:shd w:val="clear" w:color="auto" w:fill="FFFFFF"/>
            <w:hideMark/>
          </w:tcPr>
          <w:p w14:paraId="09143071"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291 adults with CTDs</w:t>
            </w:r>
          </w:p>
        </w:tc>
        <w:tc>
          <w:tcPr>
            <w:tcW w:w="0" w:type="auto"/>
            <w:shd w:val="clear" w:color="auto" w:fill="FFFFFF"/>
            <w:hideMark/>
          </w:tcPr>
          <w:p w14:paraId="66932422" w14:textId="3A228945"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Higher urge intensity (</w:t>
            </w:r>
            <w:r w:rsidRPr="008A1F40">
              <w:rPr>
                <w:rFonts w:cs="Times New Roman"/>
                <w:color w:val="000000"/>
                <w:sz w:val="16"/>
                <w:szCs w:val="16"/>
                <w:shd w:val="clear" w:color="auto" w:fill="FFFFFF"/>
              </w:rPr>
              <w:t>measured on 1–11-point scale)</w:t>
            </w:r>
            <w:r w:rsidRPr="008A1F40">
              <w:rPr>
                <w:rFonts w:eastAsia="Times New Roman" w:cs="Times New Roman"/>
                <w:color w:val="0D0D0D"/>
                <w:sz w:val="16"/>
                <w:szCs w:val="16"/>
              </w:rPr>
              <w:t xml:space="preserve"> correlated with lower quality of life</w:t>
            </w:r>
            <w:r w:rsidRPr="008A1F40">
              <w:rPr>
                <w:rFonts w:cs="Times New Roman"/>
                <w:sz w:val="16"/>
                <w:szCs w:val="16"/>
              </w:rPr>
              <w:t xml:space="preserve"> (Pearson’s r = 0.28, p &lt; 0.001) (Health</w:t>
            </w:r>
            <w:r w:rsidR="00C50BEC">
              <w:rPr>
                <w:rFonts w:cs="Times New Roman"/>
                <w:sz w:val="16"/>
                <w:szCs w:val="16"/>
              </w:rPr>
              <w:t>-</w:t>
            </w:r>
            <w:r w:rsidRPr="008A1F40">
              <w:rPr>
                <w:rFonts w:cs="Times New Roman"/>
                <w:sz w:val="16"/>
                <w:szCs w:val="16"/>
              </w:rPr>
              <w:t xml:space="preserve">related </w:t>
            </w:r>
            <w:r w:rsidR="00C50BEC">
              <w:rPr>
                <w:rFonts w:cs="Times New Roman"/>
                <w:sz w:val="16"/>
                <w:szCs w:val="16"/>
              </w:rPr>
              <w:t xml:space="preserve">QoL </w:t>
            </w:r>
            <w:r w:rsidRPr="008A1F40">
              <w:rPr>
                <w:rFonts w:cs="Times New Roman"/>
                <w:sz w:val="16"/>
                <w:szCs w:val="16"/>
              </w:rPr>
              <w:t xml:space="preserve">assessed with </w:t>
            </w:r>
            <w:r w:rsidRPr="008A1F40">
              <w:rPr>
                <w:rFonts w:cs="Times New Roman"/>
                <w:color w:val="000000"/>
                <w:sz w:val="16"/>
                <w:szCs w:val="16"/>
              </w:rPr>
              <w:t>GTS-Q</w:t>
            </w:r>
            <w:r w:rsidR="00C50BEC">
              <w:rPr>
                <w:rFonts w:cs="Times New Roman"/>
                <w:color w:val="000000"/>
                <w:sz w:val="16"/>
                <w:szCs w:val="16"/>
              </w:rPr>
              <w:t>o</w:t>
            </w:r>
            <w:r w:rsidRPr="008A1F40">
              <w:rPr>
                <w:rFonts w:cs="Times New Roman"/>
                <w:color w:val="000000"/>
                <w:sz w:val="16"/>
                <w:szCs w:val="16"/>
              </w:rPr>
              <w:t>L, though it is unclear precisely which components of the GTS-Q</w:t>
            </w:r>
            <w:r w:rsidR="00C50BEC">
              <w:rPr>
                <w:rFonts w:cs="Times New Roman"/>
                <w:color w:val="000000"/>
                <w:sz w:val="16"/>
                <w:szCs w:val="16"/>
              </w:rPr>
              <w:t>o</w:t>
            </w:r>
            <w:r w:rsidRPr="008A1F40">
              <w:rPr>
                <w:rFonts w:cs="Times New Roman"/>
                <w:color w:val="000000"/>
                <w:sz w:val="16"/>
                <w:szCs w:val="16"/>
              </w:rPr>
              <w:t>L were used based on the information provided)</w:t>
            </w:r>
          </w:p>
        </w:tc>
      </w:tr>
      <w:tr w:rsidR="006B32FB" w:rsidRPr="008A1F40" w14:paraId="29C0AB00" w14:textId="77777777" w:rsidTr="007F77D2">
        <w:trPr>
          <w:tblCellSpacing w:w="15" w:type="dxa"/>
        </w:trPr>
        <w:tc>
          <w:tcPr>
            <w:tcW w:w="0" w:type="auto"/>
            <w:shd w:val="clear" w:color="auto" w:fill="FFFFFF"/>
            <w:hideMark/>
          </w:tcPr>
          <w:p w14:paraId="2457F82E" w14:textId="49A3F3FA"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Brandt et al (2023)</w:t>
            </w:r>
            <w:r w:rsidR="00C656C9">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TU3YzQ4NDEtNzk5ZC00ZmQ1LWE2ZTAtNTllNjZhNDZmMTA1IiwicHJvcGVydGllcyI6eyJub3RlSW5kZXgiOjB9LCJpc0VkaXRlZCI6ZmFsc2UsIm1hbnVhbE92ZXJyaWRlIjp7ImlzTWFudWFsbHlPdmVycmlkZGVuIjpmYWxzZSwiY2l0ZXByb2NUZXh0IjoiKDQwKSIsIm1hbnVhbE92ZXJyaWRlVGV4dCI6IiJ9LCJjaXRhdGlvbkl0ZW1zIjpbeyJpZCI6IjliMzhmZmQ3LTc1NjAtMzcwNS1hOWY0LTUyOWNiYWI2NTQ2ZiIsIml0ZW1EYXRhIjp7InR5cGUiOiJhcnRpY2xlLWpvdXJuYWwiLCJpZCI6IjliMzhmZmQ3LTc1NjAtMzcwNS1hOWY0LTUyOWNiYWI2NTQ2ZiIsInRpdGxlIjoiTm9uLWp1c3QtcmlnaHQgZXhwZXJpZW5jZXMgYXJlIG1vcmUgY2xvc2VseSByZWxhdGVkIHRvIE9DRCB0aGFuIHRpY3MgaW4gVG91cmV0dGUgcGF0aWVudHMiLCJncm91cElkIjoiMDdkNjJhYzEtNWFhOC0zOWFmLWI0OWUtNTJkMjA4OGFjNTcxIiwiYXV0aG9yIjpbeyJmYW1pbHkiOiJCcmFuZHQiLCJnaXZlbiI6IlYiLCJwYXJzZS1uYW1lcyI6ZmFsc2UsImRyb3BwaW5nLXBhcnRpY2xlIjoiIiwibm9uLWRyb3BwaW5nLXBhcnRpY2xlIjoiIn0seyJmYW1pbHkiOiJPdHRlIiwiZ2l2ZW4iOiJKIEgiLCJwYXJzZS1uYW1lcyI6ZmFsc2UsImRyb3BwaW5nLXBhcnRpY2xlIjoiIiwibm9uLWRyb3BwaW5nLXBhcnRpY2xlIjoiIn0seyJmYW1pbHkiOiJGcmVtZXIiLCJnaXZlbiI6IkMiLCJwYXJzZS1uYW1lcyI6ZmFsc2UsImRyb3BwaW5nLXBhcnRpY2xlIjoiIiwibm9uLWRyb3BwaW5nLXBhcnRpY2xlIjoiIn0seyJmYW1pbHkiOiJKYWt1Ym92c2tpIiwiZ2l2ZW4iOiJFIiwicGFyc2UtbmFtZXMiOmZhbHNlLCJkcm9wcGluZy1wYXJ0aWNsZSI6IiIsIm5vbi1kcm9wcGluZy1wYXJ0aWNsZSI6IiJ9LHsiZmFtaWx5IjoiTcO8bGxlci1WYWhsIiwiZ2l2ZW4iOiJLIiwicGFyc2UtbmFtZXMiOmZhbHNlLCJkcm9wcGluZy1wYXJ0aWNsZSI6IiIsIm5vbi1kcm9wcGluZy1wYXJ0aWNsZSI6IiJ9XSwiY29udGFpbmVyLXRpdGxlIjoiU2NpIFJlcCIsIkRPSSI6IjEwLjEwMzgvczQxNTk4LTAyMy0zNzY1OC0wIiwiUE1JRCI6IjM3OTQ5OTMzIiwiaXNzdWVkIjp7ImRhdGUtcGFydHMiOltbMjAyM11dfSwicGFnZSI6IjE5NjI3IiwiYWJzdHJhY3QiOiJDb21wbGV4IHRpY3MgYW5kIG9ic2Vzc2l2ZSBvciBjb21wdWxzaXZlIGJlaGF2aW91ciBjYW4gYmUgZGlmZmljdWx0IHRvIGRpZmZlcmVudGlhdGUgZGlhZ25vc3RpY2FsbHkuIFRoZSBtYWpvcml0eSBvZiBhZHVsdCBwYXRpZW50cyB3aXRoIFRvdXJldHRlIHN5bmRyb21lIHJlcG9ydCBleHBlcmllbmNpbmcgcHJlbW9uaXRvcnkgdXJnZXMgYmVmb3JlIHRpY3MuIFNvbWUgb2YgdGhlc2UgZXhwZXJpZW5jZXMgaGF2ZSBiZWVuIGxpbmtlZCB0byBub24tanVzdC1yaWdodCBleHBlcmllbmNlcyAoTkpSRSksIHdoaWNoIGFyZSBmcmVxdWVudGx5IHJlcG9ydGVkIGJ5IHBhdGllbnRzIHdpdGggb2JzZXNzaXZlLWNvbXB1bHNpdmUgZGlzb3JkZXIgb3IgYmVoYXZpb3VycyAoT0NEL09DQikuIFdlIGFpbWVkIHRvIGFzc2VzcyB3aGV0aGVyIE5KUkUgYXJlIG1vcmUgY2xvc2VseSByZWxhdGVkIHRvIHRpY3MgYW5kIHRpYy1hc3NvY2lhdGVkIHByZW1vbml0b3J5IHVyZ2VzIG9yIHdoZXRoZXIgdGhleSBhcmUgbW9yZSBjbG9zZWx5IGFzc29jaWF0ZWQgd2l0aCBPQ0QuIEEgdG90YWwgb2YgTuKAiT3igIkxMTEgcGF0aWVudHMgKG1lYW4gYWdl4oCJPeKAiTM0Ljc34oCJK+KAiS8tMTIuOTM7IE7igIk94oCJMzcgZmVtYWxlKSB3aXRoIGEgY29uZmlybWVkIGRpYWdub3NpcyBvZiBUb3VyZXR0ZSBzeW5kcm9tZSBjb21wbGV0ZWQgdGhlIHByZW1vbml0b3J5IHVyZ2VzIGZvciB0aWMgZGlzb3JkZXJzIHNjYWxlIChQVVRTKSwgdGhlIHJldmlzZWQgbm9uLWp1c3QtcmlnaHQgZXhwZXJpZW5jZXMgc2NhbGUgKE5KUkUtUVIpLCBhbmQgcXVlc3Rpb25uYWlyZXMgcmVnYXJkaW5nIHRoZWlyIHRpYyBzZXZlcml0eSwgYW5kIGNvbW9yYmlkIE9DRC9PQ0IuIEEgbXVsdGktdHJhaXQtbXVsdGktbWV0aG9kcyBtYXRyaXggd2FzIGNhbGN1bGF0ZWQgdG8gZXhhbWluZSBhc3NvY2lhdGlvbnMgYW1vbmdzdCBzY2FsZXMgbWVhc3VyaW5nIHRpYy1yZWxhdGVkIGFuZCBPQ0ItcmVsYXRlZCBwaGVub21lbmEuIFRoZSBQVVRTIGNvcnJlbGF0ZWQgb3ZlcmFsbCBoaWdoZXIgd2l0aCB0aWMgcXVlc3Rpb25uYWlyZXMgdGhhbiB3aXRoIE9DRC9PQ0IgcXVlc3Rpb25uYWlyZXMuIFRoZSBOSlJFIGNvcnJlbGF0ZWQgaGlnaGVyIHdpdGggT0NEIHN5bXB0b21zIHRoYW4gd2l0aCB0aWMgc2V2ZXJpdHkuIFRoZSByZXN1bHRzIGluZGljYXRlIHRoYXQgbm9uLWp1c3QtcmlnaHQgZXhwZXJpZW5jZXMgYXJlIG1vcmUgY2xvc2VseSBhc3NvY2lhdGVkIHdpdGggY29tb3JiaWQgT0NCIHRoYW4gd2l0aCB0aWNzIGluIHBhdGllbnRzIHdpdGggVG91cmV0dGUgc3luZHJvbWUuIiwiaXNzdWUiOiIxIiwidm9sdW1lIjoiMTMiLCJjb250YWluZXItdGl0bGUtc2hvcnQiOiIifSwiaXNUZW1wb3JhcnkiOmZhbHNlfV19"/>
                <w:id w:val="815768146"/>
                <w:placeholder>
                  <w:docPart w:val="DefaultPlaceholder_-1854013440"/>
                </w:placeholder>
              </w:sdtPr>
              <w:sdtContent>
                <w:r w:rsidR="00F04E9F" w:rsidRPr="00F04E9F">
                  <w:rPr>
                    <w:rFonts w:eastAsia="Times New Roman" w:cs="Times New Roman"/>
                    <w:color w:val="000000"/>
                    <w:sz w:val="16"/>
                    <w:szCs w:val="16"/>
                  </w:rPr>
                  <w:t>(40)</w:t>
                </w:r>
              </w:sdtContent>
            </w:sdt>
          </w:p>
        </w:tc>
        <w:tc>
          <w:tcPr>
            <w:tcW w:w="0" w:type="auto"/>
            <w:shd w:val="clear" w:color="auto" w:fill="FFFFFF"/>
            <w:hideMark/>
          </w:tcPr>
          <w:p w14:paraId="5DD8AFE3"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111 adults with TS</w:t>
            </w:r>
          </w:p>
        </w:tc>
        <w:tc>
          <w:tcPr>
            <w:tcW w:w="0" w:type="auto"/>
            <w:shd w:val="clear" w:color="auto" w:fill="FFFFFF"/>
            <w:hideMark/>
          </w:tcPr>
          <w:p w14:paraId="5CE073A0" w14:textId="7C1F6E66"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Significant correlation between PUTS and GTS-QoL scores (Spearman’s r = 0.44, p &lt; 0.001)</w:t>
            </w:r>
          </w:p>
        </w:tc>
      </w:tr>
      <w:tr w:rsidR="006B32FB" w:rsidRPr="008A1F40" w14:paraId="41C03C51" w14:textId="77777777" w:rsidTr="007F77D2">
        <w:trPr>
          <w:tblCellSpacing w:w="15" w:type="dxa"/>
        </w:trPr>
        <w:tc>
          <w:tcPr>
            <w:tcW w:w="0" w:type="auto"/>
            <w:shd w:val="clear" w:color="auto" w:fill="FFFFFF"/>
            <w:hideMark/>
          </w:tcPr>
          <w:p w14:paraId="5F6CEBBA" w14:textId="11E71839"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Isaacs et al (2021)</w:t>
            </w:r>
            <w:r w:rsidR="00C656C9">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2Y1YzhhZTItYzY1Ny00MDg4LTlmYmUtZWE4NjJmYWI0ODFjIiwicHJvcGVydGllcyI6eyJub3RlSW5kZXgiOjB9LCJpc0VkaXRlZCI6ZmFsc2UsIm1hbnVhbE92ZXJyaWRlIjp7ImlzTWFudWFsbHlPdmVycmlkZGVuIjpmYWxzZSwiY2l0ZXByb2NUZXh0IjoiKDMxKSIsIm1hbnVhbE92ZXJyaWRlVGV4dCI6IiJ9LCJjaXRhdGlvbkl0ZW1zIjpbeyJpZCI6ImIwMGNmYjcwLWQ4ZTItM2U4Yi1hZmQxLWRmZjAyYjRkMDEwMCIsIml0ZW1EYXRhIjp7InR5cGUiOiJhcnRpY2xlLWpvdXJuYWwiLCJpZCI6ImIwMGNmYjcwLWQ4ZTItM2U4Yi1hZmQxLWRmZjAyYjRkMDEwMCIsInRpdGxlIjoiQ2xpbmljYWwgQ29ycmVsYXRlcyBvZiBIZWFsdGgtUmVsYXRlZCBRdWFsaXR5IG9mIExpZmUgaW4gQWR1bHRzIFdpdGggQ2hyb25pYyBUaWMgRGlzb3JkZXIiLCJncm91cElkIjoiMDdkNjJhYzEtNWFhOC0zOWFmLWI0OWUtNTJkMjA4OGFjNTcxIiwiYXV0aG9yIjpbeyJmYW1pbHkiOiJJc2FhY3MiLCJnaXZlbiI6IkQgQSIsInBhcnNlLW5hbWVzIjpmYWxzZSwiZHJvcHBpbmctcGFydGljbGUiOiIiLCJub24tZHJvcHBpbmctcGFydGljbGUiOiIifSx7ImZhbWlseSI6IlJpb3JkYW4iLCJnaXZlbiI6IkggUiIsInBhcnNlLW5hbWVzIjpmYWxzZSwiZHJvcHBpbmctcGFydGljbGUiOiIiLCJub24tZHJvcHBpbmctcGFydGljbGUiOiIifSx7ImZhbWlseSI6IkNsYWFzc2VuIiwiZ2l2ZW4iOiJEIE8iLCJwYXJzZS1uYW1lcyI6ZmFsc2UsImRyb3BwaW5nLXBhcnRpY2xlIjoiIiwibm9uLWRyb3BwaW5nLXBhcnRpY2xlIjoiIn1dLCJjb250YWluZXItdGl0bGUiOiJGcm9udGllcnMgaW4gUHN5Y2hpYXRyeSIsIkRPSSI6Imh0dHBzOi8vZHguZG9pLm9yZy8xMC4zMzg5L2Zwc3l0LjIwMjEuNjE5ODU0IiwiVVJMIjoiaHR0cDovL3d3dy5mcm9udGllcnNpbi5vcmcvUHN5Y2hpYXRyeWh0dHA6Ly9vdmlkc3Aub3ZpZC5jb20vb3ZpZHdlYi5jZ2k/VD1KUyZQQUdFPXJlZmVyZW5jZSZEPWVtZWQyMiZORVdTPU4mQU49NjM0NTY3MTM2IiwiaXNzdWVkIjp7ImRhdGUtcGFydHMiOltbMjAyMV1dfSwicGFnZSI6IjYxOTg1NCIsImFic3RyYWN0IjoiVGljcyBhcmUgdGhlIGhhbGxtYXJrIGZlYXR1cmUgb2YgVG91cmV0dGUgc3luZHJvbWUgKFRTKSwgYnV0IHBzeWNoaWF0cmljIGFuZCBzZW5zb3J5IHN5bXB0b21zIGFyZSB3aWRlbHkgcHJldmFsZW50IGFuZCBpbmNyZWFzaW5nbHkgcmVjb2duaXplZCBhcyBjb3JlIG1hbmlmZXN0YXRpb25zIG9mIHRoZSBkaXNvcmRlci4gQWNjdW11bGF0aW5nIGV2aWRlbmNlIHN1Z2dlc3RzIHRoYXQgdGhlc2UgcHN5Y2hpYXRyaWMgYW5kIHNlbnNvcnkgc3ltcHRvbXMgZXhlcnQgZ3JlYXRlciBpbmZsdWVuY2Ugb24gcXVhbGl0eSBvZiBsaWZlIChRT0wpIHRoYW4gdGljcyB0aGVtc2VsdmVzLiBIb3dldmVyLCBtdWNoIHJlbWFpbnMgdW5jZXJ0YWluIGFib3V0IGRldGVybWluYW50cyBvZiBRT0wgaW4gVFMgZHVlIHRvIHRoZSBjb21wbGV4aXR5IG9mIHRoZSBjbGluaWNhbCBwcmVzZW50YXRpb24uIEhlcmUsIHdlIHNvdWdodCB0byBjbGFyaWZ5IHRoZSBhc3NvY2lhdGlvbiBiZXR3ZWVuIGhlYWx0aC1yZWxhdGVkIFFPTCAoSFJRT0wpIGFuZCBjb21tb24gcHN5Y2hpYXRyaWMgYW5kIHNlbnNvcnkgc3ltcHRvbXMgaW4gYWR1bHRzIHdpdGggVFMgYW5kIG90aGVyIGNocm9uaWMgdGljIGRpc29yZGVycy4gVG8gZG8gc28sIHdlIHByb3NwZWN0aXZlbHkgcmVjcnVpdGVkIDUyIHBhdGllbnRzIGZyb20gYSB0ZXJ0aWFyeSBjYXJlIGNsaW5pYyB0byBjb21wbGV0ZSBzZWxmLXJlcG9ydCBtZWFzdXJlcyBhc3Nlc3NpbmcgSFJRT0wgKEdpbGxlcyBkZSBsYSBUb3VyZXR0ZS1RdWFsaXR5IG9mIExpZmUgU2NhbGUsIEdUUy1RT0wpLCBkZXByZXNzaW9uIChQYXRpZW50IEhlYWx0aCBRdWVzdGlvbm5haXJlLTksIFBIUS05KSwgYW54aWV0eSAoR2VuZXJhbGl6ZWQgQW54aWV0eSBEaXNvcmRlciBTY2FsZS03LCBHQUQtNyksIG9ic2Vzc2l2ZS1jb21wdWxzaXZlIHN5bXB0b21zIChEaW1lbnNpb25hbCBPYnNlc3NpdmUtQ29tcHVsc2l2ZSBTY2FsZSwgRE9DUyksIGF0dGVudGlvbiBkZWZpY2l0IGh5cGVyYWN0aXZpdHkgZGlzb3JkZXIgc3ltcHRvbXMgKEFkdWx0IEFESEQgU2VsZi1SZXBvcnQgU2NyZWVuaW5nIFNjYWxlIGZvciBEU00tNSwgQVNSUy1WKSwgYW5kIHByZW1vbml0b3J5IHVyZ2UgKFByZW1vbml0b3J5IFVyZ2UgdG8gVGljIFNjYWxlLCBQVVRTKS4gQWxsIHBhcnRpY2lwYW50cyB3ZXJlIGFsc28gYWRtaW5pc3RlcmVkIHRoZSBZYWxlIEdsb2JhbCBUaWMgU2V2ZXJpdHkgU2NhbGUgKFlHVFNTKSB0byBxdWFudGlmeSB0aWMgc2V2ZXJpdHkuIFVzaW5nIGNvcnJlbGF0aW9uYWwgYW5hbHlzaXMgYW5kIG11bHRpdmFyaWFibGUgbGluZWFyIHJlZ3Jlc3Npb24gbW9kZWxpbmcsIHdlIGZvdW5kIHRoYXQgR1RTLVFPTCBzY29yZSB3YXMgc2lnbmlmaWNhbnRseSBhc3NvY2lhdGVkIHdpdGggc2NvcmVzIGZyb20gYWxsIG90aGVyIHJhdGluZyBzY2FsZXMsIHdpdGggdGhlIGV4Y2VwdGlvbiBvZiB0aGUgUFVUUy4gR1RTLVFPTCB3YXMgbW9zdCBzdHJvbmdseSBhc3NvY2lhdGVkIHdpdGggUEhRLTksIGZvbGxvd2VkIGJ5IEFTUlMtViwgR0FELTcsIERPQ1MsIGFuZCBZR1RTUyB0b3RhbCB0aWMgc2NvcmUuIFRoZSByZWdyZXNzaW9uIG1vZGVsIGluY2x1ZGluZyB0aGVzZSBmaXZlIGluZGVwZW5kZW50IHZhcmlhYmxlcywgYXMgd2VsbCBhcyBzZXgsIGV4cGxhaW5lZCA3OSUgb2YgR1RTLVFPTCBzY29yZSB2YXJpYW5jZSBbRig2LDQwKSA9IDI5LjYsIHAgPCAwLjAwMV0uIFNwZWNpZmljIHBzeWNoaWF0cmljIHN5bXB0b21zIGRpZmZlcmVudGlhbGx5IGltcGFjdGVkIHBoeXNpY2FsLCBwc3ljaG9sb2dpY2FsLCBhbmQgY29nbml0aXZlIEhSUU9MLiBTeXN0ZW1hdGljIGFzc2Vzc21lbnQgb2YgcHN5Y2hpYXRyaWMgY29tb3JiaWRpdGllcyBpcyBpbXBlcmF0aXZlIGZvciBjbGluaWNhbCBjYXJlIGFuZCBjbGluaWNhbCByZXNlYXJjaCBlZmZvcnRzIGRpcmVjdGVkIGF0IGltcHJvdmluZyBRT0wgaW4gYWR1bHRzIHdpdGggY2hyb25pYyB0aWMgZGlzb3JkZXJzLsKpIENvcHlyaWdodCDCqSAyMDIxIElzYWFjcywgUmlvcmRhbiBhbmQgQ2xhYXNzZW4uIiwidm9sdW1lIjoiMTIiLCJjb250YWluZXItdGl0bGUtc2hvcnQiOiJGcm9udCBQc3ljaGlhdHJ5In0sImlzVGVtcG9yYXJ5IjpmYWxzZX1dfQ=="/>
                <w:id w:val="1945411750"/>
                <w:placeholder>
                  <w:docPart w:val="DefaultPlaceholder_-1854013440"/>
                </w:placeholder>
              </w:sdtPr>
              <w:sdtContent>
                <w:r w:rsidR="00F04E9F" w:rsidRPr="00F04E9F">
                  <w:rPr>
                    <w:rFonts w:eastAsia="Times New Roman" w:cs="Times New Roman"/>
                    <w:color w:val="000000"/>
                    <w:sz w:val="16"/>
                    <w:szCs w:val="16"/>
                  </w:rPr>
                  <w:t>(31)</w:t>
                </w:r>
              </w:sdtContent>
            </w:sdt>
          </w:p>
        </w:tc>
        <w:tc>
          <w:tcPr>
            <w:tcW w:w="0" w:type="auto"/>
            <w:shd w:val="clear" w:color="auto" w:fill="FFFFFF"/>
            <w:hideMark/>
          </w:tcPr>
          <w:p w14:paraId="709C186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52 adults with CTDs</w:t>
            </w:r>
          </w:p>
        </w:tc>
        <w:tc>
          <w:tcPr>
            <w:tcW w:w="0" w:type="auto"/>
            <w:shd w:val="clear" w:color="auto" w:fill="FFFFFF"/>
            <w:hideMark/>
          </w:tcPr>
          <w:p w14:paraId="2F6145D1" w14:textId="391CEB54"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PUTS scores did not significantly correlate with GTS-QoL scores after correction for multiple comparisons (Spearman's r = 0.36, p &gt; 0.001)</w:t>
            </w:r>
          </w:p>
        </w:tc>
      </w:tr>
      <w:tr w:rsidR="006B32FB" w:rsidRPr="008A1F40" w14:paraId="5973BA80" w14:textId="77777777" w:rsidTr="007F77D2">
        <w:trPr>
          <w:trHeight w:val="378"/>
          <w:tblCellSpacing w:w="15" w:type="dxa"/>
        </w:trPr>
        <w:tc>
          <w:tcPr>
            <w:tcW w:w="0" w:type="auto"/>
            <w:shd w:val="clear" w:color="auto" w:fill="FFFFFF"/>
            <w:hideMark/>
          </w:tcPr>
          <w:p w14:paraId="06D6BDA8" w14:textId="77604578"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lastRenderedPageBreak/>
              <w:t>Narapareddy et al (2022)</w:t>
            </w:r>
            <w:r w:rsidR="00C656C9">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Dk1OWVlYjktNjc0ZC00YjcxLWIwNmEtOTMxZGU0MTI4Y2ZmIiwicHJvcGVydGllcyI6eyJub3RlSW5kZXgiOjB9LCJpc0VkaXRlZCI6ZmFsc2UsIm1hbnVhbE92ZXJyaWRlIjp7ImlzTWFudWFsbHlPdmVycmlkZGVuIjpmYWxzZSwiY2l0ZXByb2NUZXh0IjoiKDMyKSIsIm1hbnVhbE92ZXJyaWRlVGV4dCI6IiJ9LCJjaXRhdGlvbkl0ZW1zIjpbeyJpZCI6IjYxMWRmMGE3LTJlN2QtM2JiYy05ZjRhLWNlYzA2MTBlMDQ2NSIsIml0ZW1EYXRhIjp7InR5cGUiOiJhcnRpY2xlLWpvdXJuYWwiLCJpZCI6IjYxMWRmMGE3LTJlN2QtM2JiYy05ZjRhLWNlYzA2MTBlMDQ2NSIsInRpdGxlIjoiQWx0ZXJlZCBJbnRlcm9jZXB0aXZlIFNlbnNpYmlsaXR5IGluIEFkdWx0cyBXaXRoIENocm9uaWMgVGljIERpc29yZGVyIiwiZ3JvdXBJZCI6IjA3ZDYyYWMxLTVhYTgtMzlhZi1iNDllLTUyZDIwODhhYzU3MSIsImF1dGhvciI6W3siZmFtaWx5IjoiTmFyYXBhcmVkZHkiLCJnaXZlbiI6IkEiLCJwYXJzZS1uYW1lcyI6ZmFsc2UsImRyb3BwaW5nLXBhcnRpY2xlIjoiIiwibm9uLWRyb3BwaW5nLXBhcnRpY2xlIjoiIn0seyJmYW1pbHkiOiJFY2tsYW5kIiwiZ2l2ZW4iOiJNIFIiLCJwYXJzZS1uYW1lcyI6ZmFsc2UsImRyb3BwaW5nLXBhcnRpY2xlIjoiIiwibm9uLWRyb3BwaW5nLXBhcnRpY2xlIjoiIn0seyJmYW1pbHkiOiJSaW9yZGFuIiwiZ2l2ZW4iOiJIIFIiLCJwYXJzZS1uYW1lcyI6ZmFsc2UsImRyb3BwaW5nLXBhcnRpY2xlIjoiIiwibm9uLWRyb3BwaW5nLXBhcnRpY2xlIjoiIn0seyJmYW1pbHkiOiJDYXNjaW8iLCJnaXZlbiI6IkMgSiIsInBhcnNlLW5hbWVzIjpmYWxzZSwiZHJvcHBpbmctcGFydGljbGUiOiIiLCJub24tZHJvcHBpbmctcGFydGljbGUiOiIifSx7ImZhbWlseSI6IklzYWFjcyIsImdpdmVuIjoiRCBBIiwicGFyc2UtbmFtZXMiOmZhbHNlLCJkcm9wcGluZy1wYXJ0aWNsZSI6IiIsIm5vbi1kcm9wcGluZy1wYXJ0aWNsZSI6IiJ9XSwiY29udGFpbmVyLXRpdGxlIjoiRnJvbnRpZXJzIGluIFBzeWNoaWF0cnkiLCJET0kiOiIxMC4zMzg5L2Zwc3l0LjIwMjIuOTE0ODk3IiwiVVJMIjoiaHR0cHM6Ly93d3cuc2NvcHVzLmNvbS9pbndhcmQvcmVjb3JkLnVyaT9laWQ9Mi1zMi4wLTg1MTMzNjY0NzU5JmRvaT0xMC4zMzg5JTJmZnBzeXQuMjAyMi45MTQ4OTcmcGFydG5lcklEPTQwJm1kNT1jZThmNDc3MjFjMGE2MDNiNWMzMTg0ZmIyNzdjNDBiNCIsImlzc3VlZCI6eyJkYXRlLXBhcnRzIjpbWzIwMjJdXX0sInBhZ2UiOiItIiwidm9sdW1lIjoiMTMiLCJjb250YWluZXItdGl0bGUtc2hvcnQiOiJGcm9udCBQc3ljaGlhdHJ5In0sImlzVGVtcG9yYXJ5IjpmYWxzZX1dfQ=="/>
                <w:id w:val="563691367"/>
                <w:placeholder>
                  <w:docPart w:val="DefaultPlaceholder_-1854013440"/>
                </w:placeholder>
              </w:sdtPr>
              <w:sdtContent>
                <w:r w:rsidR="00F04E9F" w:rsidRPr="00F04E9F">
                  <w:rPr>
                    <w:rFonts w:eastAsia="Times New Roman" w:cs="Times New Roman"/>
                    <w:color w:val="000000"/>
                    <w:sz w:val="16"/>
                    <w:szCs w:val="16"/>
                  </w:rPr>
                  <w:t>(32)</w:t>
                </w:r>
              </w:sdtContent>
            </w:sdt>
          </w:p>
        </w:tc>
        <w:tc>
          <w:tcPr>
            <w:tcW w:w="0" w:type="auto"/>
            <w:shd w:val="clear" w:color="auto" w:fill="FFFFFF"/>
            <w:hideMark/>
          </w:tcPr>
          <w:p w14:paraId="77367B6B"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48 adults with CTDs</w:t>
            </w:r>
          </w:p>
        </w:tc>
        <w:tc>
          <w:tcPr>
            <w:tcW w:w="0" w:type="auto"/>
            <w:shd w:val="clear" w:color="auto" w:fill="FFFFFF"/>
            <w:hideMark/>
          </w:tcPr>
          <w:p w14:paraId="0029AA37"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GTS-QoL scores did not significantly correlate with PUTS scores after correction for multiple comparisons (</w:t>
            </w:r>
            <w:r w:rsidRPr="008A1F40">
              <w:rPr>
                <w:rFonts w:eastAsia="Times New Roman" w:cs="Times New Roman"/>
                <w:color w:val="000000" w:themeColor="text1"/>
                <w:sz w:val="16"/>
                <w:szCs w:val="16"/>
              </w:rPr>
              <w:t xml:space="preserve">Spearman's r = 0.22, </w:t>
            </w:r>
            <w:r w:rsidRPr="008A1F40">
              <w:rPr>
                <w:rFonts w:cs="Times New Roman"/>
                <w:color w:val="000000" w:themeColor="text1"/>
                <w:sz w:val="16"/>
                <w:szCs w:val="16"/>
              </w:rPr>
              <w:t>p-value not reported but above the significance threshold established by Benjamini et al’s false discovery rate-controlling procedure)</w:t>
            </w:r>
          </w:p>
        </w:tc>
      </w:tr>
      <w:tr w:rsidR="006B32FB" w:rsidRPr="008A1F40" w14:paraId="79FC63E8" w14:textId="77777777" w:rsidTr="007F77D2">
        <w:trPr>
          <w:tblCellSpacing w:w="15" w:type="dxa"/>
        </w:trPr>
        <w:tc>
          <w:tcPr>
            <w:tcW w:w="0" w:type="auto"/>
            <w:shd w:val="clear" w:color="auto" w:fill="FFFFFF"/>
            <w:hideMark/>
          </w:tcPr>
          <w:p w14:paraId="47C69505" w14:textId="27B9BDC4"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Ganos et al (2012)</w:t>
            </w:r>
            <w:r w:rsidR="00C656C9">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WM5YzUzMDUtZmJkOC00MWFmLWE5NGQtZTE3ZDNmNDY5ZjA0IiwicHJvcGVydGllcyI6eyJub3RlSW5kZXgiOjB9LCJpc0VkaXRlZCI6ZmFsc2UsIm1hbnVhbE92ZXJyaWRlIjp7ImlzTWFudWFsbHlPdmVycmlkZGVuIjpmYWxzZSwiY2l0ZXByb2NUZXh0IjoiKDMzKSIsIm1hbnVhbE92ZXJyaWRlVGV4dCI6IiJ9LCJjaXRhdGlvbkl0ZW1zIjpbeyJpZCI6IjI2ZTllODZhLTRmNTMtM2Q5Ny04NWQxLTVkZTdhMDcyODI2NSIsIml0ZW1EYXRhIjp7InR5cGUiOiJhcnRpY2xlLWpvdXJuYWwiLCJpZCI6IjI2ZTllODZhLTRmNTMtM2Q5Ny04NWQxLTVkZTdhMDcyODI2NSIsInRpdGxlIjoiQXJlIHByZW1vbml0b3J5IHVyZ2VzIGEgcHJlcmVxdWlzaXRlIG9mIHRpYyBpbmhpYml0aW9uIGluIEdpbGxlcyBkZSBsYSBUb3VyZXR0ZSBzeW5kcm9tZT8iLCJncm91cElkIjoiMDdkNjJhYzEtNWFhOC0zOWFmLWI0OWUtNTJkMjA4OGFjNTcxIiwiYXV0aG9yIjpbeyJmYW1pbHkiOiJHYW5vcyIsImdpdmVuIjoiQyIsInBhcnNlLW5hbWVzIjpmYWxzZSwiZHJvcHBpbmctcGFydGljbGUiOiIiLCJub24tZHJvcHBpbmctcGFydGljbGUiOiIifSx7ImZhbWlseSI6IkthaGwiLCJnaXZlbiI6IlUiLCJwYXJzZS1uYW1lcyI6ZmFsc2UsImRyb3BwaW5nLXBhcnRpY2xlIjoiIiwibm9uLWRyb3BwaW5nLXBhcnRpY2xlIjoiIn0seyJmYW1pbHkiOiJTY2h1bmtlIiwiZ2l2ZW4iOiJPIiwicGFyc2UtbmFtZXMiOmZhbHNlLCJkcm9wcGluZy1wYXJ0aWNsZSI6IiIsIm5vbi1kcm9wcGluZy1wYXJ0aWNsZSI6IiJ9LHsiZmFtaWx5IjoiS8O8aG4iLCJnaXZlbiI6IlMiLCJwYXJzZS1uYW1lcyI6ZmFsc2UsImRyb3BwaW5nLXBhcnRpY2xlIjoiIiwibm9uLWRyb3BwaW5nLXBhcnRpY2xlIjoiIn0seyJmYW1pbHkiOiJIYWdnYXJkIiwiZ2l2ZW4iOiJQIiwicGFyc2UtbmFtZXMiOmZhbHNlLCJkcm9wcGluZy1wYXJ0aWNsZSI6IiIsIm5vbi1kcm9wcGluZy1wYXJ0aWNsZSI6IiJ9LHsiZmFtaWx5IjoiR2VybG9mZiIsImdpdmVuIjoiQyIsInBhcnNlLW5hbWVzIjpmYWxzZSwiZHJvcHBpbmctcGFydGljbGUiOiIiLCJub24tZHJvcHBpbmctcGFydGljbGUiOiIifSx7ImZhbWlseSI6IlJvZXNzbmVyIiwiZ2l2ZW4iOiJWIiwicGFyc2UtbmFtZXMiOmZhbHNlLCJkcm9wcGluZy1wYXJ0aWNsZSI6IiIsIm5vbi1kcm9wcGluZy1wYXJ0aWNsZSI6IiJ9LHsiZmFtaWx5IjoiVGhvbWFsbGEiLCJnaXZlbiI6IkciLCJwYXJzZS1uYW1lcyI6ZmFsc2UsImRyb3BwaW5nLXBhcnRpY2xlIjoiIiwibm9uLWRyb3BwaW5nLXBhcnRpY2xlIjoiIn0seyJmYW1pbHkiOiJNw7xuY2hhdSIsImdpdmVuIjoiQSIsInBhcnNlLW5hbWVzIjpmYWxzZSwiZHJvcHBpbmctcGFydGljbGUiOiIiLCJub24tZHJvcHBpbmctcGFydGljbGUiOiIifV0sImNvbnRhaW5lci10aXRsZSI6IkogTmV1cm9sIE5ldXJvc3VyZyBQc3ljaGlhdHJ5IiwiRE9JIjoiMTAuMTEzNi9qbm5wLTIwMTItMzAzMDMzIiwiUE1JRCI6IjIyODQyNzEzIiwiVVJMIjoiaHR0cHM6Ly9qbm5wLmJtai5jb20vY29udGVudC84My8xMC85NzUiLCJpc3N1ZWQiOnsiZGF0ZS1wYXJ0cyI6W1syMDEyXV19LCJwYWdlIjoiOTc1LTk3OCIsImFic3RyYWN0IjoiQkFDS0dST1VORDogRGVzcGl0ZSB0aGUgY29tbW9uIG5vdGlvbiB0aGF0IHByZW1vbml0b3J5IHVyZ2VzIGZhY2lsaXRhdGUgdGljIGluaGliaXRpb24sIG5vIHN0dWRpZXMgaGF2ZSBpbnZlc3RpZ2F0ZWQgdGhpcyBxdWVzdGlvbiBzeXN0ZW1hdGljYWxseS4gV2UgZXhhbWluZWQgdGhlIHJlbGF0aW9uIG9mIHRoZSB0cmFpdCBvZiBwcmVtb25pdG9yeSB1cmdlcyB3aXRoIHRpY3MgYW5kIHRpYyBzdXBwcmVzc2lvbi4gV2UgaHlwb3RoZXNpc2VkIHRoYXQgcGF0aWVudHMgd2l0aCBtb3JlIHVyZ2VzIHdvdWxkIGJlIG1vcmUgZWZmaWNpZW50IGF0IGluaGliaXRpbmcgdGljcy4gTUVUSE9EUzogMTUgYWR1bHQgKDE0IG1lbiwgbWVhbiBhZ2UgMzIuMsKxNy45IHllYXJzKSBwdXJlIEdpbGxlcyBkZSBsYSBUb3VyZXR0ZSBzeW5kcm9tZSBwYXRpZW50cyBwYXJ0aWNpcGF0ZWQuIFRpYyBzZXZlcml0eSB3YXMgZXZhbHVhdGVkIHVzaW5nIHRoZSBtb2RpZmllZCBSdXNoIFZpZGVvIFNjYWxlIGFuZCBieSBlbXBsb3lpbmcgdGhlIFlhbGUgR2xvYmFsIFRpYyBTZXZlcml0eSBTY2FsZS4gVGljIHN1cHByZXNzaWJpbGl0eSB3YXMgYXNzZXNzZWQgZnJvbSB2aWRlb3Mgb2YgYWRkaXRpb25hbCBwZXJpb2RzIHdoZXJlIHBhdGllbnRzIHdlcmUgaW5zdHJ1Y3RlZCB0byBtYXhpbWFsbHkgc3VwcHJlc3MgdGhlaXIgdGljcy4gUnVzaCBzY29yZSBiYXNlZCBpbmhpYml0aW9uIHBvdGVuY3kgd2FzIHN5bnRoZXNpc2VkIGJ5IGNvbWJpbmluZyB0aGUgc2NvcmVzIGluIHRoZSB0d28gY29uZGl0aW9ucy4gQSBtZWFzdXJlIG9mIHB1cmUgbW90b3IgdGljIGluaGliaXRpb24gcG90ZW5jeSB3YXMgYWxzbyBnZW5lcmF0ZWQgYmFzZWQgb24gdGhlIG51bWJlciBvZiBtb3RvciB0aWNzIGFsb25lLiBQcmVtb25pdG9yeSB1cmdlcyB3ZXJlIGFzc2Vzc2VkIGJ5IHRoZSBQcmVtb25pdG9yeSBVcmdlIGZvciBUaWNzIFNjYWxlLiBSRVNVTFRTOiBBbGwgcGFydGljaXBhbnRzIHJlcG9ydGVkIHVyZ2VzIHByZWNlZGluZyB0aGVpciB0aWNzIGFuZCB3ZXJlIGFibGUgdG8gdm9sdW50YXJpbHkgc3VwcHJlc3MgdGhlaXIgdGljcy4gSG93ZXZlciwgdGhlcmUgd2FzIG5vIGNvcnJlbGF0aW9uIGJldHdlZW4gdXJnZSBzY29yZXMgYW5kIHRoZSBSdXNoIHNjb3JlIGJhc2VkIGluaGliaXRpb24gcG90ZW5jeSBvciB0aGUgcHVyZSBtb3RvciB0aWMgaW5oaWJpdGlvbiBwb3RlbmN5LiBTY29yZXMgb2YgdGhlIFByZW1vbml0b3J5IFVyZ2UgZm9yIFRpY3MgU2NhbGUgY29ycmVsYXRlZCB3aXRoIHRoZSBpbnRlcmZlcmVuY2Ugc3Vic2NhbGUgaXRlbSBvZiB0aGUgWWFsZSBHbG9iYWwgVGljIFNldmVyaXR5IFNjYWxlLiBDT05DTFVTSU9OUzogVXJnZXMgYW5kIHRpYyBpbmhpYml0aW9uIGFyZSBub3QgZGlyZWN0bHkgcmVsYXRlZC4gVGhlcmUgc2VlbSB0byBleGlzdCBhdCBsZWFzdCB0d28gZGlzdGluY3QgbmV1cm9waHlzaW9sb2dpY2FsIHN5c3RlbXMgb2YgdXJnZS90aWMgZ2VuZXJhdGlvbiBhbmQgdGljIGNvbnRyb2wgaW4gYWR1bHQgR2lsbGVzIGRlIGxhIFRvdXJldHRlIHN5bmRyb21lIHBhdGllbnRzLiIsImlzc3VlIjoiMTAiLCJ2b2x1bWUiOiI4MyIsImNvbnRhaW5lci10aXRsZS1zaG9ydCI6IiJ9LCJpc1RlbXBvcmFyeSI6ZmFsc2V9XX0="/>
                <w:id w:val="2076621182"/>
                <w:placeholder>
                  <w:docPart w:val="DefaultPlaceholder_-1854013440"/>
                </w:placeholder>
              </w:sdtPr>
              <w:sdtContent>
                <w:r w:rsidR="00F04E9F" w:rsidRPr="00F04E9F">
                  <w:rPr>
                    <w:rFonts w:eastAsia="Times New Roman" w:cs="Times New Roman"/>
                    <w:color w:val="000000"/>
                    <w:sz w:val="16"/>
                    <w:szCs w:val="16"/>
                  </w:rPr>
                  <w:t>(33)</w:t>
                </w:r>
              </w:sdtContent>
            </w:sdt>
          </w:p>
        </w:tc>
        <w:tc>
          <w:tcPr>
            <w:tcW w:w="0" w:type="auto"/>
            <w:shd w:val="clear" w:color="auto" w:fill="FFFFFF"/>
            <w:hideMark/>
          </w:tcPr>
          <w:p w14:paraId="284FC4D9"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15 adults with TS</w:t>
            </w:r>
          </w:p>
        </w:tc>
        <w:tc>
          <w:tcPr>
            <w:tcW w:w="0" w:type="auto"/>
            <w:shd w:val="clear" w:color="auto" w:fill="FFFFFF"/>
            <w:hideMark/>
          </w:tcPr>
          <w:p w14:paraId="173F7F1E" w14:textId="3BED7E28"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No significant correlation between PUTS and GTS-QoL scores (Pearson’s r = 0.322, p = 0.242)</w:t>
            </w:r>
          </w:p>
        </w:tc>
      </w:tr>
    </w:tbl>
    <w:p w14:paraId="0181280B" w14:textId="52E9F0D5" w:rsidR="00986E35" w:rsidRDefault="00986E35" w:rsidP="00986E35">
      <w:pPr>
        <w:rPr>
          <w:rFonts w:cs="Times New Roman"/>
          <w:sz w:val="16"/>
          <w:szCs w:val="16"/>
        </w:rPr>
      </w:pPr>
      <w:r w:rsidRPr="008A1F40">
        <w:rPr>
          <w:rFonts w:eastAsia="Times New Roman" w:cs="Times New Roman"/>
          <w:color w:val="0D0D0D"/>
          <w:sz w:val="16"/>
          <w:szCs w:val="16"/>
        </w:rPr>
        <w:t xml:space="preserve">CSDS-P = Child Sheehan Disability Inventory – Parent Rated, CSDS-C = Child Sheehan Disability Inventory – Child Rated, GTS-QoL = Gilles de la Tourette syndrome-quality of life scale, GAF = </w:t>
      </w:r>
      <w:r w:rsidRPr="008A1F40">
        <w:rPr>
          <w:rFonts w:cs="Times New Roman"/>
          <w:color w:val="000000" w:themeColor="text1"/>
          <w:sz w:val="16"/>
          <w:szCs w:val="16"/>
        </w:rPr>
        <w:t xml:space="preserve">Global Assessment of Functioning, DTS = Distress Tolerance Scale, OCD = </w:t>
      </w:r>
      <w:r w:rsidRPr="008A1F40">
        <w:rPr>
          <w:rFonts w:cs="Times New Roman"/>
          <w:color w:val="000000" w:themeColor="text1"/>
          <w:sz w:val="16"/>
          <w:szCs w:val="16"/>
          <w:shd w:val="clear" w:color="auto" w:fill="FFFFFF"/>
        </w:rPr>
        <w:t>obsessive-compulsive disorder, ADHD = attention-deficit/hyperactivity disorder</w:t>
      </w:r>
      <w:r w:rsidRPr="008A1F40">
        <w:rPr>
          <w:rFonts w:cs="Times New Roman"/>
          <w:color w:val="000000" w:themeColor="text1"/>
          <w:sz w:val="16"/>
          <w:szCs w:val="16"/>
        </w:rPr>
        <w:t xml:space="preserve">, CTD = Chronic Tic Disorder, </w:t>
      </w:r>
      <w:r w:rsidRPr="008A1F40">
        <w:rPr>
          <w:rFonts w:cs="Times New Roman"/>
          <w:sz w:val="16"/>
          <w:szCs w:val="16"/>
        </w:rPr>
        <w:t>PUTS = Premonitory Urge for Tics Scale, TS = Tourette Syndrome</w:t>
      </w:r>
    </w:p>
    <w:p w14:paraId="7F96C0ED" w14:textId="77777777" w:rsidR="00986E35" w:rsidRPr="00986E35" w:rsidRDefault="00986E35" w:rsidP="00986E35">
      <w:pPr>
        <w:rPr>
          <w:rFonts w:cs="Times New Roman"/>
          <w:sz w:val="16"/>
          <w:szCs w:val="16"/>
        </w:rPr>
      </w:pPr>
    </w:p>
    <w:p w14:paraId="528B9A94" w14:textId="7924A77E" w:rsidR="00986E35" w:rsidRPr="008A1F40" w:rsidRDefault="00986E35" w:rsidP="00986E35">
      <w:pPr>
        <w:rPr>
          <w:rFonts w:cs="Times New Roman"/>
          <w:color w:val="000000" w:themeColor="text1"/>
          <w:sz w:val="16"/>
          <w:szCs w:val="16"/>
        </w:rPr>
      </w:pPr>
      <w:r w:rsidRPr="008A1F40">
        <w:rPr>
          <w:rFonts w:cs="Times New Roman"/>
          <w:color w:val="000000" w:themeColor="text1"/>
          <w:sz w:val="16"/>
          <w:szCs w:val="16"/>
        </w:rPr>
        <w:t>Table 10: Premonitory Urge Response to Behavioral Interventions</w:t>
      </w:r>
    </w:p>
    <w:tbl>
      <w:tblPr>
        <w:tblW w:w="9210" w:type="dxa"/>
        <w:tblCellSpacing w:w="15" w:type="dxa"/>
        <w:tblBorders>
          <w:top w:val="thinThickSmallGap" w:sz="24" w:space="0" w:color="C4BC96" w:themeColor="background2" w:themeShade="BF"/>
          <w:left w:val="thinThickSmallGap" w:sz="24" w:space="0" w:color="C4BC96" w:themeColor="background2" w:themeShade="BF"/>
          <w:bottom w:val="thickThinSmallGap" w:sz="24" w:space="0" w:color="C4BC96" w:themeColor="background2" w:themeShade="BF"/>
          <w:right w:val="thickThinSmallGap" w:sz="24" w:space="0" w:color="C4BC96" w:themeColor="background2" w:themeShade="BF"/>
          <w:insideH w:val="single" w:sz="6" w:space="0" w:color="C4BC96" w:themeColor="background2" w:themeShade="BF"/>
          <w:insideV w:val="single" w:sz="6" w:space="0" w:color="C4BC96" w:themeColor="background2"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1220"/>
        <w:gridCol w:w="1741"/>
        <w:gridCol w:w="2194"/>
        <w:gridCol w:w="4055"/>
      </w:tblGrid>
      <w:tr w:rsidR="009E1D7E" w:rsidRPr="008A1F40" w14:paraId="7C49322E" w14:textId="77777777" w:rsidTr="007F77D2">
        <w:trPr>
          <w:tblHeader/>
          <w:tblCellSpacing w:w="15" w:type="dxa"/>
        </w:trPr>
        <w:tc>
          <w:tcPr>
            <w:tcW w:w="0" w:type="auto"/>
            <w:shd w:val="clear" w:color="auto" w:fill="FFFFFF"/>
            <w:hideMark/>
          </w:tcPr>
          <w:p w14:paraId="50B5F8C8" w14:textId="77777777" w:rsidR="00986E35" w:rsidRPr="008A1F40" w:rsidRDefault="00986E35" w:rsidP="007F77D2">
            <w:pPr>
              <w:rPr>
                <w:rFonts w:eastAsia="Times New Roman" w:cs="Times New Roman"/>
                <w:b/>
                <w:bCs/>
                <w:color w:val="000000" w:themeColor="text1"/>
                <w:sz w:val="16"/>
                <w:szCs w:val="16"/>
              </w:rPr>
            </w:pPr>
            <w:r w:rsidRPr="008A1F40">
              <w:rPr>
                <w:rFonts w:eastAsia="Times New Roman" w:cs="Times New Roman"/>
                <w:b/>
                <w:bCs/>
                <w:color w:val="000000" w:themeColor="text1"/>
                <w:sz w:val="16"/>
                <w:szCs w:val="16"/>
              </w:rPr>
              <w:t>Study</w:t>
            </w:r>
          </w:p>
        </w:tc>
        <w:tc>
          <w:tcPr>
            <w:tcW w:w="0" w:type="auto"/>
            <w:shd w:val="clear" w:color="auto" w:fill="FFFFFF"/>
            <w:hideMark/>
          </w:tcPr>
          <w:p w14:paraId="7015E267" w14:textId="77777777" w:rsidR="00986E35" w:rsidRPr="008A1F40" w:rsidRDefault="00986E35" w:rsidP="007F77D2">
            <w:pPr>
              <w:rPr>
                <w:rFonts w:eastAsia="Times New Roman" w:cs="Times New Roman"/>
                <w:b/>
                <w:bCs/>
                <w:color w:val="000000" w:themeColor="text1"/>
                <w:sz w:val="16"/>
                <w:szCs w:val="16"/>
              </w:rPr>
            </w:pPr>
            <w:r w:rsidRPr="008A1F40">
              <w:rPr>
                <w:rFonts w:eastAsia="Times New Roman" w:cs="Times New Roman"/>
                <w:b/>
                <w:bCs/>
                <w:color w:val="000000" w:themeColor="text1"/>
                <w:sz w:val="16"/>
                <w:szCs w:val="16"/>
              </w:rPr>
              <w:t>Sample Size/Demographics</w:t>
            </w:r>
          </w:p>
        </w:tc>
        <w:tc>
          <w:tcPr>
            <w:tcW w:w="0" w:type="auto"/>
            <w:shd w:val="clear" w:color="auto" w:fill="FFFFFF"/>
            <w:hideMark/>
          </w:tcPr>
          <w:p w14:paraId="129B69C7" w14:textId="77777777" w:rsidR="00986E35" w:rsidRPr="008A1F40" w:rsidRDefault="00986E35" w:rsidP="007F77D2">
            <w:pPr>
              <w:rPr>
                <w:rFonts w:eastAsia="Times New Roman" w:cs="Times New Roman"/>
                <w:b/>
                <w:bCs/>
                <w:color w:val="000000" w:themeColor="text1"/>
                <w:sz w:val="16"/>
                <w:szCs w:val="16"/>
              </w:rPr>
            </w:pPr>
            <w:r w:rsidRPr="008A1F40">
              <w:rPr>
                <w:rFonts w:eastAsia="Times New Roman" w:cs="Times New Roman"/>
                <w:b/>
                <w:bCs/>
                <w:color w:val="000000" w:themeColor="text1"/>
                <w:sz w:val="16"/>
                <w:szCs w:val="16"/>
              </w:rPr>
              <w:t>Type of Intervention</w:t>
            </w:r>
          </w:p>
        </w:tc>
        <w:tc>
          <w:tcPr>
            <w:tcW w:w="0" w:type="auto"/>
            <w:shd w:val="clear" w:color="auto" w:fill="FFFFFF"/>
            <w:hideMark/>
          </w:tcPr>
          <w:p w14:paraId="6F35C165" w14:textId="77777777" w:rsidR="00986E35" w:rsidRPr="008A1F40" w:rsidRDefault="00986E35" w:rsidP="007F77D2">
            <w:pPr>
              <w:rPr>
                <w:rFonts w:eastAsia="Times New Roman" w:cs="Times New Roman"/>
                <w:b/>
                <w:bCs/>
                <w:color w:val="000000" w:themeColor="text1"/>
                <w:sz w:val="16"/>
                <w:szCs w:val="16"/>
              </w:rPr>
            </w:pPr>
            <w:r w:rsidRPr="008A1F40">
              <w:rPr>
                <w:rFonts w:eastAsia="Times New Roman" w:cs="Times New Roman"/>
                <w:b/>
                <w:bCs/>
                <w:color w:val="000000" w:themeColor="text1"/>
                <w:sz w:val="16"/>
                <w:szCs w:val="16"/>
              </w:rPr>
              <w:t>Findings</w:t>
            </w:r>
          </w:p>
        </w:tc>
      </w:tr>
      <w:tr w:rsidR="009E1D7E" w:rsidRPr="008A1F40" w14:paraId="0CF0C456" w14:textId="77777777" w:rsidTr="007F77D2">
        <w:trPr>
          <w:tblCellSpacing w:w="15" w:type="dxa"/>
        </w:trPr>
        <w:tc>
          <w:tcPr>
            <w:tcW w:w="0" w:type="auto"/>
            <w:shd w:val="clear" w:color="auto" w:fill="FFFFFF"/>
            <w:hideMark/>
          </w:tcPr>
          <w:p w14:paraId="1F16FD88" w14:textId="461D55F2"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Kang et al (2022)</w:t>
            </w:r>
            <w:r w:rsidR="00DD1A99">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NjJlMDk3ODQtYjE2OS00YjQ0LWJlZDMtZTI4OGQ1ODUwNjM1IiwicHJvcGVydGllcyI6eyJub3RlSW5kZXgiOjB9LCJpc0VkaXRlZCI6ZmFsc2UsIm1hbnVhbE92ZXJyaWRlIjp7ImlzTWFudWFsbHlPdmVycmlkZGVuIjpmYWxzZSwiY2l0ZXByb2NUZXh0IjoiKDU3KSIsIm1hbnVhbE92ZXJyaWRlVGV4dCI6IiJ9LCJjaXRhdGlvbkl0ZW1zIjpbeyJpZCI6IjFmNGM3NjhhLTVlZGUtMzVjZS04ZjYzLTZiNGFhOTIzNDk2ZiIsIml0ZW1EYXRhIjp7InR5cGUiOiJhcnRpY2xlLWpvdXJuYWwiLCJpZCI6IjFmNGM3NjhhLTVlZGUtMzVjZS04ZjYzLTZiNGFhOTIzNDk2ZiIsInRpdGxlIjoiRWZmZWN0cyBvZiBHcm91cCBDb21wcmVoZW5zaXZlIEJlaGF2aW9yYWwgSW50ZXJ2ZW50aW9uIGZvciBUaWNzIGluIENoaWxkcmVuIFdpdGggVG91cmV0dGUncyBEaXNvcmRlciBhbmQgQ2hyb25pYyBUaWMgRGlzb3JkZXIiLCJncm91cElkIjoiMDdkNjJhYzEtNWFhOC0zOWFmLWI0OWUtNTJkMjA4OGFjNTcxIiwiYXV0aG9yIjpbeyJmYW1pbHkiOiJLYW5nIiwiZ2l2ZW4iOiJOIFIiLCJwYXJzZS1uYW1lcyI6ZmFsc2UsImRyb3BwaW5nLXBhcnRpY2xlIjoiIiwibm9uLWRyb3BwaW5nLXBhcnRpY2xlIjoiIn0seyJmYW1pbHkiOiJLaW0iLCJnaXZlbiI6IkggSiIsInBhcnNlLW5hbWVzIjpmYWxzZSwiZHJvcHBpbmctcGFydGljbGUiOiIiLCJub24tZHJvcHBpbmctcGFydGljbGUiOiIifSx7ImZhbWlseSI6Ik1vb24iLCJnaXZlbiI6IkQgUyIsInBhcnNlLW5hbWVzIjpmYWxzZSwiZHJvcHBpbmctcGFydGljbGUiOiIiLCJub24tZHJvcHBpbmctcGFydGljbGUiOiIifSx7ImZhbWlseSI6Ikt3YWNrIiwiZ2l2ZW4iOiJZIFMiLCJwYXJzZS1uYW1lcyI6ZmFsc2UsImRyb3BwaW5nLXBhcnRpY2xlIjoiIiwibm9uLWRyb3BwaW5nLXBhcnRpY2xlIjoiIn1dLCJjb250YWluZXItdGl0bGUiOiJTb2EgQ2hvbmdzb255b24gQ2hvbmdzaW4gVWloYWsiLCJET0kiOiIxMC41NzY1L2prYWNhcC4yMjAwMTMiLCJQTUlEIjoiMzYyMDM4ODMiLCJVUkwiOiJodHRwczovL3d3dy5uY2JpLm5sbS5uaWguZ292L3BtYy9hcnRpY2xlcy9QTUM5NTEzNDA4L3BkZi9qa2FjYXAtMzMtNC05MS5wZGYiLCJpc3N1ZWQiOnsiZGF0ZS1wYXJ0cyI6W1syMDIyXV19LCJwYWdlIjoiOTEtOTgiLCJhYnN0cmFjdCI6Ik9CSkVDVElWRVM6IENvbXByZWhlbnNpdmUgYmVoYXZpb3JhbCBpbnRlcnZlbnRpb24gZm9yIHRpY3MgKENCSVQpIGlzIGVmZmVjdGl2ZSBpbiBjaGlsZHJlbiB3aXRoIGNocm9uaWMgdGljIGRpc29yZGVycy4gVGhpcyBzdHVkeSBhaW1lZCB0byBhc3Nlc3MgdGhlIGVmZmVjdCBvZiBncm91cC1iYXNlZCBDQklUIChncm91cC1DQklUKSBvbiB0aWMgc2V2ZXJpdHkgYW5kIGNvbW9yYmlkIHN5bXB0b21zLiBXZSBjb21wYXJlZCB0aGUgZWZmaWNhY3kgb2YgZ3JvdXAgQ0JJVCB3aXRoIHRoYXQgb2YgYSBjb250cm9sLiBNRVRIT0RTOiBUaGlydHkgY2hpbGRyZW4gd2l0aCBjaHJvbmljIHRpYyBkaXNvcmRlciBvciBUb3VyZXR0ZSdzIGRpc29yZGVyIHdlcmUgZW5yb2xsZWQgaW4gdGhpcyBzdHVkeS4gRWlnaHRlZW4gd2VyZSBhc3NpZ25lZCB0byB0aGUgZ3JvdXAtQ0JJVCBmb3IgZWlnaHQgc2Vzc2lvbnMsIGFuZCAxMiB3ZXJlIGFzc2lnbmVkIHRvIHRoZSBjb250cm9sIGdyb3VwLiBUaWNzIGFuZCBjb21vcmJpZCBzeW1wdG9tcyB3ZXJlIGFzc2Vzc2VkIHByZS0gYW5kIHBvc3QtaW50ZXJ2ZW50aW9uIHVzaW5nIHRoZSBZYWxlIEdsb2JhbCBUaWMgU2V2ZXJpdHkgU2NhbGUgKFlHVFNTKSwgUHJlbW9uaXRvcnkgVXJnZSBmb3IgVGljcyBTY2FsZSwgYXR0ZW50aW9uLWRlZmljaXQgaHlwZXJhY3Rpdml0eSBkaXNvcmRlciBSYXRpbmcgU2NhbGUtSVYsIENoaWxkcmVuJ3MgWWFsZS1Ccm93biBPYnNlc3NpdmUtQ29tcHVsc2l2ZSBTY2FsZSwgYW5kIHRoZSBLb3JlYW4tQ2hpbGRyZW4gQmVoYXZpb3JhbCBDaGVja2xpc3QuIFdlIGNvbXBhcmVkIHRoZSBwcmUtIGFuZCBwb3N0LWludGVydmVudGlvbiByZXN1bHRzIG9mIGVhY2ggZ3JvdXAgYW5kIGRldGVybWluZWQgdGhlIGRpZmZlcmVuY2UgaW4gdGhlIHByZS0gYW5kIHBvc3QtaW50ZXJ2ZW50aW9uIHJlc3VsdHMgYmV0d2VlbiBpbnRlcnZlbnRpb24gYW5kIHRoZSBjb250cm9sIGdyb3VwLiBSRVNVTFRTOiBUaGUgWUdUU1MgbW90b3IgYW5kIHZvY2FsIHRpYyBpbnRlcmZlcmVuY2UsIGdsb2JhbCBpbXBhaXJtZW50LCBhbmQgZ2xvYmFsIHNldmVyaXR5IHNjb3JlcyBkZWNyZWFzZWQgaW4gdGhlIGludGVydmVudGlvbiBncm91cCBvbmx5LiBHcm91cCBDQklUIHdhcyBzdXBlcmlvciBpbiByZWR1Y2luZyB0aGUgbW90b3IgdGljIGludGVyZmVyZW5jZSwgaW1wYWlybWVudCBzY29yZSwgYW5kIGdsb2JhbCBzZXZlcml0eSBzY29yZSB0byB0aGUgY29udHJvbCBncm91cC4gQ09OQ0xVU0lPTjogVGhlIGdyb3VwLUNCSVQgc2hvd2VkIGFuIGltcHJvdmVtZW50IGluIHRpYyBzeW1wdG9tcywgZXNwZWNpYWxseSBpbiByZWR1Y2luZyB0aGUgbGV2ZWwgb2YgaW50ZXJmZXJlbmNlIGFuZCBpbXBhaXJtZW50IG9mIHRpY3MuIiwiaXNzdWUiOiI0Iiwidm9sdW1lIjoiMzMiLCJjb250YWluZXItdGl0bGUtc2hvcnQiOiIifSwiaXNUZW1wb3JhcnkiOmZhbHNlfV19"/>
                <w:id w:val="1570372377"/>
                <w:placeholder>
                  <w:docPart w:val="DefaultPlaceholder_-1854013440"/>
                </w:placeholder>
              </w:sdtPr>
              <w:sdtContent>
                <w:r w:rsidR="00F04E9F" w:rsidRPr="00F04E9F">
                  <w:rPr>
                    <w:rFonts w:eastAsia="Times New Roman" w:cs="Times New Roman"/>
                    <w:color w:val="000000"/>
                    <w:sz w:val="16"/>
                    <w:szCs w:val="16"/>
                  </w:rPr>
                  <w:t>(57)</w:t>
                </w:r>
              </w:sdtContent>
            </w:sdt>
          </w:p>
        </w:tc>
        <w:tc>
          <w:tcPr>
            <w:tcW w:w="0" w:type="auto"/>
            <w:shd w:val="clear" w:color="auto" w:fill="FFFFFF"/>
            <w:hideMark/>
          </w:tcPr>
          <w:p w14:paraId="500916C2"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30 children with CTDs</w:t>
            </w:r>
          </w:p>
        </w:tc>
        <w:tc>
          <w:tcPr>
            <w:tcW w:w="0" w:type="auto"/>
            <w:shd w:val="clear" w:color="auto" w:fill="FFFFFF"/>
            <w:hideMark/>
          </w:tcPr>
          <w:p w14:paraId="07BAEDD7"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CBIT (eight</w:t>
            </w:r>
            <w:r w:rsidRPr="008A1F40">
              <w:rPr>
                <w:rFonts w:cs="Times New Roman"/>
                <w:color w:val="000000" w:themeColor="text1"/>
                <w:sz w:val="16"/>
                <w:szCs w:val="16"/>
              </w:rPr>
              <w:t xml:space="preserve"> weekly sessions, 90 minutes each) </w:t>
            </w:r>
            <w:r w:rsidRPr="008A1F40">
              <w:rPr>
                <w:rFonts w:eastAsia="Times New Roman" w:cs="Times New Roman"/>
                <w:color w:val="000000" w:themeColor="text1"/>
                <w:sz w:val="16"/>
                <w:szCs w:val="16"/>
              </w:rPr>
              <w:t>vs supportive psychotherapy</w:t>
            </w:r>
          </w:p>
        </w:tc>
        <w:tc>
          <w:tcPr>
            <w:tcW w:w="0" w:type="auto"/>
            <w:shd w:val="clear" w:color="auto" w:fill="FFFFFF"/>
            <w:hideMark/>
          </w:tcPr>
          <w:p w14:paraId="29431105" w14:textId="6E0E2797" w:rsidR="00986E35" w:rsidRPr="008A1F40" w:rsidRDefault="00986E35" w:rsidP="007F77D2">
            <w:pPr>
              <w:rPr>
                <w:rFonts w:cs="Times New Roman"/>
                <w:color w:val="000000" w:themeColor="text1"/>
              </w:rPr>
            </w:pPr>
            <w:r w:rsidRPr="008A1F40">
              <w:rPr>
                <w:rFonts w:eastAsia="Times New Roman" w:cs="Times New Roman"/>
                <w:color w:val="000000" w:themeColor="text1"/>
                <w:sz w:val="16"/>
                <w:szCs w:val="16"/>
              </w:rPr>
              <w:t xml:space="preserve">No significant </w:t>
            </w:r>
            <w:r w:rsidR="00B23B3D">
              <w:rPr>
                <w:rFonts w:eastAsia="Times New Roman" w:cs="Times New Roman"/>
                <w:color w:val="000000" w:themeColor="text1"/>
                <w:sz w:val="16"/>
                <w:szCs w:val="16"/>
              </w:rPr>
              <w:t xml:space="preserve">between-group </w:t>
            </w:r>
            <w:r w:rsidRPr="008A1F40">
              <w:rPr>
                <w:rFonts w:eastAsia="Times New Roman" w:cs="Times New Roman"/>
                <w:color w:val="000000" w:themeColor="text1"/>
                <w:sz w:val="16"/>
                <w:szCs w:val="16"/>
              </w:rPr>
              <w:t xml:space="preserve">difference in PUTS score change </w:t>
            </w:r>
            <w:r w:rsidR="00A54356">
              <w:rPr>
                <w:rFonts w:eastAsia="Times New Roman" w:cs="Times New Roman"/>
                <w:color w:val="000000" w:themeColor="text1"/>
                <w:sz w:val="16"/>
                <w:szCs w:val="16"/>
              </w:rPr>
              <w:t xml:space="preserve">from pre- to post-intervention (CBIT group </w:t>
            </w:r>
            <w:r w:rsidRPr="008A1F40">
              <w:rPr>
                <w:rFonts w:eastAsia="Times New Roman" w:cs="Times New Roman"/>
                <w:color w:val="000000" w:themeColor="text1"/>
                <w:sz w:val="16"/>
                <w:szCs w:val="16"/>
              </w:rPr>
              <w:t>n = 18</w:t>
            </w:r>
            <w:r w:rsidR="00A54356">
              <w:rPr>
                <w:rFonts w:eastAsia="Times New Roman" w:cs="Times New Roman"/>
                <w:color w:val="000000" w:themeColor="text1"/>
                <w:sz w:val="16"/>
                <w:szCs w:val="16"/>
              </w:rPr>
              <w:t>;</w:t>
            </w:r>
            <w:r w:rsidRPr="008A1F40">
              <w:rPr>
                <w:rFonts w:eastAsia="Times New Roman" w:cs="Times New Roman"/>
                <w:color w:val="000000" w:themeColor="text1"/>
                <w:sz w:val="16"/>
                <w:szCs w:val="16"/>
              </w:rPr>
              <w:t xml:space="preserve"> supportive psychotherapy </w:t>
            </w:r>
            <w:r w:rsidR="00A54356">
              <w:rPr>
                <w:rFonts w:eastAsia="Times New Roman" w:cs="Times New Roman"/>
                <w:color w:val="000000" w:themeColor="text1"/>
                <w:sz w:val="16"/>
                <w:szCs w:val="16"/>
              </w:rPr>
              <w:t xml:space="preserve">group </w:t>
            </w:r>
            <w:r w:rsidRPr="008A1F40">
              <w:rPr>
                <w:rFonts w:eastAsia="Times New Roman" w:cs="Times New Roman"/>
                <w:color w:val="000000" w:themeColor="text1"/>
                <w:sz w:val="16"/>
                <w:szCs w:val="16"/>
              </w:rPr>
              <w:t>n = 12</w:t>
            </w:r>
            <w:r w:rsidR="00A54356">
              <w:rPr>
                <w:rFonts w:eastAsia="Times New Roman" w:cs="Times New Roman"/>
                <w:color w:val="000000" w:themeColor="text1"/>
                <w:sz w:val="16"/>
                <w:szCs w:val="16"/>
              </w:rPr>
              <w:t>;</w:t>
            </w:r>
            <w:r w:rsidRPr="008A1F40">
              <w:rPr>
                <w:rFonts w:eastAsia="Times New Roman" w:cs="Times New Roman"/>
                <w:color w:val="000000" w:themeColor="text1"/>
                <w:sz w:val="16"/>
                <w:szCs w:val="16"/>
              </w:rPr>
              <w:t xml:space="preserve"> Mann-Whitney U = 88.50, p = 0.415)</w:t>
            </w:r>
            <w:r w:rsidRPr="008A1F40">
              <w:rPr>
                <w:rFonts w:cs="Times New Roman"/>
                <w:color w:val="000000" w:themeColor="text1"/>
                <w:sz w:val="16"/>
                <w:szCs w:val="16"/>
              </w:rPr>
              <w:t xml:space="preserve">. </w:t>
            </w:r>
            <w:r w:rsidR="00B563AA">
              <w:rPr>
                <w:rFonts w:cs="Times New Roman"/>
                <w:color w:val="000000" w:themeColor="text1"/>
                <w:sz w:val="16"/>
                <w:szCs w:val="16"/>
              </w:rPr>
              <w:t>Pre- to post-intervention c</w:t>
            </w:r>
            <w:r w:rsidRPr="008A1F40">
              <w:rPr>
                <w:rFonts w:cs="Times New Roman"/>
                <w:color w:val="000000" w:themeColor="text1"/>
                <w:sz w:val="16"/>
                <w:szCs w:val="16"/>
              </w:rPr>
              <w:t xml:space="preserve">hange in PUTS scores was </w:t>
            </w:r>
            <w:r w:rsidR="00421E6A">
              <w:rPr>
                <w:rFonts w:cs="Times New Roman"/>
                <w:color w:val="000000" w:themeColor="text1"/>
                <w:sz w:val="16"/>
                <w:szCs w:val="16"/>
              </w:rPr>
              <w:t xml:space="preserve">also </w:t>
            </w:r>
            <w:r w:rsidRPr="008A1F40">
              <w:rPr>
                <w:rFonts w:cs="Times New Roman"/>
                <w:color w:val="000000" w:themeColor="text1"/>
                <w:sz w:val="16"/>
                <w:szCs w:val="16"/>
              </w:rPr>
              <w:t xml:space="preserve">not significant </w:t>
            </w:r>
            <w:r w:rsidR="00F45AC1">
              <w:rPr>
                <w:rFonts w:cs="Times New Roman"/>
                <w:color w:val="000000" w:themeColor="text1"/>
                <w:sz w:val="16"/>
                <w:szCs w:val="16"/>
              </w:rPr>
              <w:t xml:space="preserve">for </w:t>
            </w:r>
            <w:r w:rsidRPr="008A1F40">
              <w:rPr>
                <w:rFonts w:cs="Times New Roman"/>
                <w:color w:val="000000" w:themeColor="text1"/>
                <w:sz w:val="16"/>
                <w:szCs w:val="16"/>
              </w:rPr>
              <w:t>either group.</w:t>
            </w:r>
          </w:p>
        </w:tc>
      </w:tr>
      <w:tr w:rsidR="009E1D7E" w:rsidRPr="008A1F40" w14:paraId="2E3DA059" w14:textId="77777777" w:rsidTr="007F77D2">
        <w:trPr>
          <w:tblCellSpacing w:w="15" w:type="dxa"/>
        </w:trPr>
        <w:tc>
          <w:tcPr>
            <w:tcW w:w="0" w:type="auto"/>
            <w:shd w:val="clear" w:color="auto" w:fill="FFFFFF"/>
            <w:hideMark/>
          </w:tcPr>
          <w:p w14:paraId="0BA8D0B7" w14:textId="303B3F8C"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Houghton et al (2017)</w:t>
            </w:r>
            <w:r w:rsidR="00DD1A99">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MGMyNDM2NWUtYjAwYy00MGY0LWEyM2UtY2FlYTI3NWM3ODZiIiwicHJvcGVydGllcyI6eyJub3RlSW5kZXgiOjB9LCJpc0VkaXRlZCI6ZmFsc2UsIm1hbnVhbE92ZXJyaWRlIjp7ImlzTWFudWFsbHlPdmVycmlkZGVuIjpmYWxzZSwiY2l0ZXByb2NUZXh0IjoiKDU4KSIsIm1hbnVhbE92ZXJyaWRlVGV4dCI6IiJ9LCJjaXRhdGlvbkl0ZW1zIjpbeyJpZCI6ImUxNGZhMGNkLTcyNTgtM2M2YS1iYTA5LTcyYWYwNjZlNmRmZCIsIml0ZW1EYXRhIjp7InR5cGUiOiJhcnRpY2xlLWpvdXJuYWwiLCJpZCI6ImUxNGZhMGNkLTcyNTgtM2M2YS1iYTA5LTcyYWYwNjZlNmRmZCIsInRpdGxlIjoiSW52ZXN0aWdhdGluZyBIYWJpdHVhdGlvbiB0byBQcmVtb25pdG9yeSBVcmdlcyBpbiBCZWhhdmlvciBUaGVyYXB5IGZvciBUaWMgRGlzb3JkZXJzIiwiZ3JvdXBJZCI6IjA3ZDYyYWMxLTVhYTgtMzlhZi1iNDllLTUyZDIwODhhYzU3MSIsImF1dGhvciI6W3siZmFtaWx5IjoiSG91Z2h0b24iLCJnaXZlbiI6IkQgQyIsInBhcnNlLW5hbWVzIjpmYWxzZSwiZHJvcHBpbmctcGFydGljbGUiOiIiLCJub24tZHJvcHBpbmctcGFydGljbGUiOiIifSx7ImZhbWlseSI6IkNhcHJpb3R0aSIsImdpdmVuIjoiTSBSIiwicGFyc2UtbmFtZXMiOmZhbHNlLCJkcm9wcGluZy1wYXJ0aWNsZSI6IiIsIm5vbi1kcm9wcGluZy1wYXJ0aWNsZSI6IiJ9LHsiZmFtaWx5IjoiU2NhaGlsbCIsImdpdmVuIjoiTCBEIiwicGFyc2UtbmFtZXMiOmZhbHNlLCJkcm9wcGluZy1wYXJ0aWNsZSI6IiIsIm5vbi1kcm9wcGluZy1wYXJ0aWNsZSI6IiJ9LHsiZmFtaWx5IjoiV2lsaGVsbSIsImdpdmVuIjoiUyIsInBhcnNlLW5hbWVzIjpmYWxzZSwiZHJvcHBpbmctcGFydGljbGUiOiIiLCJub24tZHJvcHBpbmctcGFydGljbGUiOiIifSx7ImZhbWlseSI6IlBldGVyc29uIiwiZ2l2ZW4iOiJBIEwiLCJwYXJzZS1uYW1lcyI6ZmFsc2UsImRyb3BwaW5nLXBhcnRpY2xlIjoiIiwibm9uLWRyb3BwaW5nLXBhcnRpY2xlIjoiIn0seyJmYW1pbHkiOiJXYWxrdXAiLCJnaXZlbiI6IkogVCIsInBhcnNlLW5hbWVzIjpmYWxzZSwiZHJvcHBpbmctcGFydGljbGUiOiIiLCJub24tZHJvcHBpbmctcGFydGljbGUiOiIifSx7ImZhbWlseSI6IlBpYWNlbnRpbmkiLCJnaXZlbiI6IkoiLCJwYXJzZS1uYW1lcyI6ZmFsc2UsImRyb3BwaW5nLXBhcnRpY2xlIjoiIiwibm9uLWRyb3BwaW5nLXBhcnRpY2xlIjoiIn0seyJmYW1pbHkiOiJXb29kcyIsImdpdmVuIjoiRCBXIiwicGFyc2UtbmFtZXMiOmZhbHNlLCJkcm9wcGluZy1wYXJ0aWNsZSI6IiIsIm5vbi1kcm9wcGluZy1wYXJ0aWNsZSI6IiJ9XSwiY29udGFpbmVyLXRpdGxlIjoiQmVoYXZpb3IgVGhlcmFweSIsIkRPSSI6Imh0dHBzOi8vZHguZG9pLm9yZy8xMC4xMDE2L2ouYmV0aC4yMDE3LjA4LjAwNCIsIlVSTCI6Imh0dHA6Ly93d3cuam91cm5hbHMuZWxzZXZpZXIuY29tL2JlaGF2aW9yLXRoZXJhcHkvaHR0cDovL292aWRzcC5vdmlkLmNvbS9vdmlkd2ViLmNnaT9UPUpTJlBBR0U9cmVmZXJlbmNlJkQ9ZW1lZDE4Jk5FV1M9TiZBTj02MTgyMTIxNTMiLCJpc3N1ZWQiOnsiZGF0ZS1wYXJ0cyI6W1syMDE3XV19LCJwYWdlIjoiODM0LTg0NiIsImFic3RyYWN0IjoiQmVoYXZpb3IgdGhlcmFweSBpcyBlZmZlY3RpdmUgZm9yIFBlcnNpc3RlbnQgVGljIERpc29yZGVycyAoUFREcyksIGJ1dCBiZWhhdmlvcmFsIHByb2Nlc3NlcyBmYWNpbGl0YXRpbmcgdGljIHJlZHVjdGlvbiBhcmUgbm90IHdlbGwgdW5kZXJzdG9vZC4gT25lIHByb2Nlc3MsIGhhYml0dWF0aW9uLCBpcyB0aG91Z2h0IHRvIGNyZWF0ZSB0aWMgcmVkdWN0aW9uIHRocm91Z2ggZGVjcmVhc2VzIGluIHByZW1vbml0b3J5IHVyZ2Ugc2V2ZXJpdHkuIFRoZSBjdXJyZW50IHN0dWR5IHRlc3RlZCB3aGV0aGVyIHByZW1vbml0b3J5IHVyZ2VzIGRlY3JlYXNlZCBpbiB5b3V0aCB3aXRoIFBURHMgKE4gPSAxMjYpIGFuZCBhZHVsdHMgd2l0aCBQVERzIChOID0gMTIyKSB3aG8gcGFydGljaXBhdGVkIGluIHBhcmFsbGVsIHJhbmRvbWl6ZWQgY2xpbmljYWwgdHJpYWxzIGNvbXBhcmluZyBiZWhhdmlvciB0aGVyYXB5IHRvIHBzeWNob2VkdWNhdGlvbiBhbmQgc3VwcG9ydGl2ZSB0aGVyYXB5IChQU1QpLiBUcmVuZHMgaW4gcHJlbW9uaXRvcnkgdXJnZXMsIHRpYyBzZXZlcml0eSwgYW5kIHRyZWF0bWVudCBvdXRjb21lIHdlcmUgYW5hbHl6ZWQgYWNjb3JkaW5nIHRvIHRoZSBwcmVkaWN0aW9ucyBvZiBhIGhhYml0dWF0aW9uIG1vZGVsLCB3aGVyZWJ5IHVyZ2Ugc2V2ZXJpdHkgd291bGQgYmUgZXhwZWN0ZWQgdG8gZGVjcmVhc2UgaW4gdGhvc2Ugd2hvIHJlc3BvbmRlZCB0byBiZWhhdmlvciB0aGVyYXB5LiBBbHRob3VnaCBhZHVsdHMgd2hvIHJlc3BvbmRlZCB0byBiZWhhdmlvciB0aGVyYXB5IHNob3dlZCBhIHNpZ25pZmljYW50IHRyZW5kIG9mIGRlY2xpbmluZyBwcmVtb25pdG9yeSB1cmdlIHNldmVyaXR5IGFjcm9zcyB0cmVhdG1lbnQsIHJlc3VsdHMgZmFpbGVkIHRvIGRlbW9uc3RyYXRlIHRoYXQgYmVoYXZpb3IgdGhlcmFweSBzcGVjaWZpY2FsbHkgY2F1c2VkIGNoYW5nZXMgaW4gcHJlbW9uaXRvcnkgdXJnZSBzZXZlcml0eS4gSW4gYWRkaXRpb24sIHJlZHVjdGlvbnMgaW4gcHJlbW9uaXRvcnkgdXJnZSBzZXZlcml0eSBpbiB0aG9zZSB3aG8gcmVzcG9uZGVkIHRvIGJlaGF2aW9yIHRoZXJhcHkgd2VyZSBzaWduaWZpY2FudCBncmVhdGVyIHRoYW4gdGhvc2Ugd2hvIGRpZCBub3QgcmVzcG9uZCB0byBiZWhhdmlvciB0aGVyYXB5IGJ1dCBubyBkaWZmZXJlbnQgdGhhbiB0aG9zZSB3aG8gcmVzcG9uZGVkIG9yIGRpZCBub3QgcmVzcG9uZCB0byBQU1QuIENoaWxkcmVuIHdpdGggUFREcyBmYWlsZWQgdG8gc2hvdyBhbnkgc2lnbmlmaWNhbnQgY2hhbmdlcyBpbiBwcmVtb25pdG9yeSB1cmdlcy4gUmVkdWN0aW9ucyBpbiBwcmVtb25pdG9yeSB1cmdlIHNldmVyaXR5IGRpZCBub3QgbWVkaWF0ZSB0aGUgcmVsYXRpb25zaGlwIGJldHdlZW4gdHJlYXRtZW50IGFuZCBvdXRjb21lIGluIGVpdGhlciBhZHVsdHMgb3IgY2hpbGRyZW4uIFRoZXNlIHJlc3VsdHMgY2FzdCBkb3VidCBvbiB0aGUgbm90aW9uIHRoYXQgaGFiaXR1YXRpb24gaXMgdGhlIHRoZXJhcGV1dGljIHByb2Nlc3MgdW5kZXJseWluZyB0aGUgZWZmZWN0aXZlbmVzcyBvZiBiZWhhdmlvciB0aGVyYXB5LCB3aGljaCBoYXMgaW1tZWRpYXRlIGltcGxpY2F0aW9ucyBmb3IgdGhlIHBzeWNob2VkdWNhdGlvbiBhbmQgdGhlcmFwZXV0aWMgcmF0aW9uYWxlIHByZXNlbnRlZCBpbiBjbGluaWNhbCBwcmFjdGljZS4gTW9yZW92ZXIsIHRoZXJlIG1heSBiZSBpbXBvcnRhbnQgZGV2ZWxvcG1lbnRhbCBjaGFuZ2VzIGluIHByZW1vbml0b3J5IHVyZ2VzIGluIFBURHMsIGFuZCBhbHRlcm5hdGl2ZSBtb2RlbHMgb2YgdGhlcmFwZXV0aWMgY2hhbmdlIHdhcnJhbnQgaW52ZXN0aWdhdGlvbi5Db3B5cmlnaHQgwqkgMjAxNyIsImlzc3VlIjoiNiIsInZvbHVtZSI6IjQ4IiwiY29udGFpbmVyLXRpdGxlLXNob3J0IjoiQmVoYXYgVGhlciJ9LCJpc1RlbXBvcmFyeSI6ZmFsc2V9XX0="/>
                <w:id w:val="-452865322"/>
                <w:placeholder>
                  <w:docPart w:val="DefaultPlaceholder_-1854013440"/>
                </w:placeholder>
              </w:sdtPr>
              <w:sdtContent>
                <w:r w:rsidR="00F04E9F" w:rsidRPr="00F04E9F">
                  <w:rPr>
                    <w:rFonts w:eastAsia="Times New Roman" w:cs="Times New Roman"/>
                    <w:color w:val="000000"/>
                    <w:sz w:val="16"/>
                    <w:szCs w:val="16"/>
                  </w:rPr>
                  <w:t>(58)</w:t>
                </w:r>
              </w:sdtContent>
            </w:sdt>
          </w:p>
        </w:tc>
        <w:tc>
          <w:tcPr>
            <w:tcW w:w="0" w:type="auto"/>
            <w:shd w:val="clear" w:color="auto" w:fill="FFFFFF"/>
            <w:hideMark/>
          </w:tcPr>
          <w:p w14:paraId="665BBC2B"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126 children and 122 adults with CTDs</w:t>
            </w:r>
          </w:p>
        </w:tc>
        <w:tc>
          <w:tcPr>
            <w:tcW w:w="0" w:type="auto"/>
            <w:shd w:val="clear" w:color="auto" w:fill="FFFFFF"/>
            <w:hideMark/>
          </w:tcPr>
          <w:p w14:paraId="684EA698"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CBIT vs PST (eight sessions over 10 weeks)</w:t>
            </w:r>
          </w:p>
        </w:tc>
        <w:tc>
          <w:tcPr>
            <w:tcW w:w="0" w:type="auto"/>
            <w:shd w:val="clear" w:color="auto" w:fill="FFFFFF"/>
            <w:hideMark/>
          </w:tcPr>
          <w:p w14:paraId="2C5A016B" w14:textId="2F40D550"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shd w:val="clear" w:color="auto" w:fill="FFFFFF"/>
              </w:rPr>
              <w:t>A 2x2x3 (</w:t>
            </w:r>
            <w:r w:rsidRPr="008A1F40">
              <w:rPr>
                <w:rFonts w:cs="Times New Roman"/>
                <w:color w:val="000000" w:themeColor="text1"/>
                <w:sz w:val="16"/>
                <w:szCs w:val="16"/>
              </w:rPr>
              <w:t>treatment condition × response status × time) repeated measures ANOVA was conducted to assess factors that contributed to the change in PUTS scores over the trial</w:t>
            </w:r>
            <w:r w:rsidR="00D4611F">
              <w:rPr>
                <w:rFonts w:cs="Times New Roman"/>
                <w:color w:val="000000" w:themeColor="text1"/>
                <w:sz w:val="16"/>
                <w:szCs w:val="16"/>
              </w:rPr>
              <w:t>.</w:t>
            </w:r>
          </w:p>
          <w:p w14:paraId="13F52470" w14:textId="2E936B4A"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 xml:space="preserve">In the </w:t>
            </w:r>
            <w:r w:rsidR="001A7939">
              <w:rPr>
                <w:rFonts w:cs="Times New Roman"/>
                <w:color w:val="000000" w:themeColor="text1"/>
                <w:sz w:val="16"/>
                <w:szCs w:val="16"/>
              </w:rPr>
              <w:t xml:space="preserve">pediatric </w:t>
            </w:r>
            <w:r w:rsidRPr="008A1F40">
              <w:rPr>
                <w:rFonts w:cs="Times New Roman"/>
                <w:color w:val="000000" w:themeColor="text1"/>
                <w:sz w:val="16"/>
                <w:szCs w:val="16"/>
              </w:rPr>
              <w:t xml:space="preserve">trial, there were no significant main effects (time: F(2, 204) = 1.59, p = 0.21, treatment condition: F(1, 102) = 0.52, p = 0.47, response status: , F(1, 102) = 0.69, p = 0.41) or interactions. </w:t>
            </w:r>
          </w:p>
          <w:p w14:paraId="3E83A9DD" w14:textId="3B61665F"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In the adult trial, there were no significant main effects of treatment condition or response status (treatment condition: F(1, 95) = 0.003, p = 0.96, response status: F(1, 95) = 0.30, p = 0.59)</w:t>
            </w:r>
            <w:r w:rsidR="006E6F2B">
              <w:rPr>
                <w:rFonts w:cs="Times New Roman"/>
                <w:color w:val="000000" w:themeColor="text1"/>
                <w:sz w:val="16"/>
                <w:szCs w:val="16"/>
              </w:rPr>
              <w:t>,</w:t>
            </w:r>
            <w:r w:rsidRPr="008A1F40">
              <w:rPr>
                <w:rFonts w:cs="Times New Roman"/>
                <w:color w:val="000000" w:themeColor="text1"/>
                <w:sz w:val="16"/>
                <w:szCs w:val="16"/>
              </w:rPr>
              <w:t xml:space="preserve"> but there was a significant main effect of time (F(2, 190) = 4.55, p = 0.012), such that PUTS scores decreased over time across all participants</w:t>
            </w:r>
            <w:r w:rsidR="00FA4D61">
              <w:rPr>
                <w:rFonts w:cs="Times New Roman"/>
                <w:color w:val="000000" w:themeColor="text1"/>
                <w:sz w:val="16"/>
                <w:szCs w:val="16"/>
              </w:rPr>
              <w:t>.</w:t>
            </w:r>
          </w:p>
          <w:p w14:paraId="5C186092" w14:textId="00947466" w:rsidR="00986E35" w:rsidRPr="00413781" w:rsidRDefault="00986E35" w:rsidP="007F77D2">
            <w:pPr>
              <w:rPr>
                <w:rFonts w:cs="Times New Roman"/>
                <w:color w:val="000000" w:themeColor="text1"/>
                <w:sz w:val="16"/>
                <w:szCs w:val="16"/>
              </w:rPr>
            </w:pPr>
            <w:r w:rsidRPr="008A1F40">
              <w:rPr>
                <w:rFonts w:cs="Times New Roman"/>
                <w:color w:val="000000" w:themeColor="text1"/>
                <w:sz w:val="16"/>
                <w:szCs w:val="16"/>
              </w:rPr>
              <w:t>A bootstrapping regression technique investigated whether reduction in premonitory urges mediated the relationship between treatment condition and reduction in YGTSS total tic score</w:t>
            </w:r>
            <w:r w:rsidR="003B3259">
              <w:rPr>
                <w:rFonts w:cs="Times New Roman"/>
                <w:color w:val="000000" w:themeColor="text1"/>
                <w:sz w:val="16"/>
                <w:szCs w:val="16"/>
              </w:rPr>
              <w:t>:</w:t>
            </w:r>
            <w:r w:rsidRPr="008A1F40">
              <w:rPr>
                <w:rFonts w:cs="Times New Roman"/>
                <w:color w:val="000000" w:themeColor="text1"/>
                <w:sz w:val="16"/>
                <w:szCs w:val="16"/>
              </w:rPr>
              <w:t xml:space="preserve"> </w:t>
            </w:r>
            <w:r w:rsidR="009E1D7E" w:rsidRPr="009E1D7E">
              <w:rPr>
                <w:rFonts w:cs="Times New Roman"/>
                <w:color w:val="000000" w:themeColor="text1"/>
                <w:sz w:val="16"/>
                <w:szCs w:val="16"/>
              </w:rPr>
              <w:t xml:space="preserve">reductions in </w:t>
            </w:r>
            <w:r w:rsidR="009E1D7E">
              <w:rPr>
                <w:rFonts w:cs="Times New Roman"/>
                <w:color w:val="000000" w:themeColor="text1"/>
                <w:sz w:val="16"/>
                <w:szCs w:val="16"/>
              </w:rPr>
              <w:t xml:space="preserve">premonitory urge </w:t>
            </w:r>
            <w:r w:rsidR="009E1D7E" w:rsidRPr="009E1D7E">
              <w:rPr>
                <w:rFonts w:cs="Times New Roman"/>
                <w:color w:val="000000" w:themeColor="text1"/>
                <w:sz w:val="16"/>
                <w:szCs w:val="16"/>
              </w:rPr>
              <w:t>severity did not mediate the</w:t>
            </w:r>
            <w:r w:rsidR="009E1D7E">
              <w:rPr>
                <w:rFonts w:cs="Times New Roman"/>
                <w:color w:val="000000" w:themeColor="text1"/>
                <w:sz w:val="16"/>
                <w:szCs w:val="16"/>
              </w:rPr>
              <w:t xml:space="preserve"> </w:t>
            </w:r>
            <w:r w:rsidR="009E1D7E" w:rsidRPr="009E1D7E">
              <w:rPr>
                <w:rFonts w:cs="Times New Roman"/>
                <w:color w:val="000000" w:themeColor="text1"/>
                <w:sz w:val="16"/>
                <w:szCs w:val="16"/>
              </w:rPr>
              <w:t>relationship between treatment and outcome</w:t>
            </w:r>
            <w:r w:rsidRPr="008A1F40">
              <w:rPr>
                <w:rFonts w:cs="Times New Roman"/>
                <w:color w:val="000000" w:themeColor="text1"/>
                <w:sz w:val="16"/>
                <w:szCs w:val="16"/>
              </w:rPr>
              <w:t xml:space="preserve"> (child trial: effect = 0.003, adult trial: effect = -0.03).</w:t>
            </w:r>
          </w:p>
        </w:tc>
      </w:tr>
      <w:tr w:rsidR="009E1D7E" w:rsidRPr="008A1F40" w14:paraId="7538A77A" w14:textId="77777777" w:rsidTr="007F77D2">
        <w:trPr>
          <w:tblCellSpacing w:w="15" w:type="dxa"/>
        </w:trPr>
        <w:tc>
          <w:tcPr>
            <w:tcW w:w="0" w:type="auto"/>
            <w:shd w:val="clear" w:color="auto" w:fill="FFFFFF"/>
            <w:hideMark/>
          </w:tcPr>
          <w:p w14:paraId="0D3D51F9" w14:textId="7A3CF393"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Deckersbach et al (2014)</w:t>
            </w:r>
            <w:r w:rsidR="00DD1A99">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NzFlODcyODctMzQ0Yy00YjRhLThjYjgtMWZhZWM5ZjIxZDkzIiwicHJvcGVydGllcyI6eyJub3RlSW5kZXgiOjB9LCJpc0VkaXRlZCI6ZmFsc2UsIm1hbnVhbE92ZXJyaWRlIjp7ImlzTWFudWFsbHlPdmVycmlkZGVuIjpmYWxzZSwiY2l0ZXByb2NUZXh0IjoiKDU5KSIsIm1hbnVhbE92ZXJyaWRlVGV4dCI6IiJ9LCJjaXRhdGlvbkl0ZW1zIjpbeyJpZCI6IjAyOTc5MDNlLWMxNzEtMzI4OS1hODcxLTk2MWQ1ZTYzMGIwMyIsIml0ZW1EYXRhIjp7InR5cGUiOiJhcnRpY2xlLWpvdXJuYWwiLCJpZCI6IjAyOTc5MDNlLWMxNzEtMzI4OS1hODcxLTk2MWQ1ZTYzMGIwMyIsInRpdGxlIjoiTmV1cmFsIGNvcnJlbGF0ZXMgb2YgYmVoYXZpb3IgdGhlcmFweSBmb3IgVG91cmV0dGUncyBkaXNvcmRlciIsImdyb3VwSWQiOiIwN2Q2MmFjMS01YWE4LTM5YWYtYjQ5ZS01MmQyMDg4YWM1NzEiLCJhdXRob3IiOlt7ImZhbWlseSI6IkRlY2tlcnNiYWNoIiwiZ2l2ZW4iOiJUIiwicGFyc2UtbmFtZXMiOmZhbHNlLCJkcm9wcGluZy1wYXJ0aWNsZSI6IiIsIm5vbi1kcm9wcGluZy1wYXJ0aWNsZSI6IiJ9LHsiZmFtaWx5IjoiQ2hvdSIsImdpdmVuIjoiVCIsInBhcnNlLW5hbWVzIjpmYWxzZSwiZHJvcHBpbmctcGFydGljbGUiOiIiLCJub24tZHJvcHBpbmctcGFydGljbGUiOiIifSx7ImZhbWlseSI6IkJyaXR0b24iLCJnaXZlbiI6IkogQyIsInBhcnNlLW5hbWVzIjpmYWxzZSwiZHJvcHBpbmctcGFydGljbGUiOiIiLCJub24tZHJvcHBpbmctcGFydGljbGUiOiIifSx7ImZhbWlseSI6IkNhcmxzb24iLCJnaXZlbiI6IkwgRSIsInBhcnNlLW5hbWVzIjpmYWxzZSwiZHJvcHBpbmctcGFydGljbGUiOiIiLCJub24tZHJvcHBpbmctcGFydGljbGUiOiIifSx7ImZhbWlseSI6IlJlZXNlIiwiZ2l2ZW4iOiJIIEUiLCJwYXJzZS1uYW1lcyI6ZmFsc2UsImRyb3BwaW5nLXBhcnRpY2xlIjoiIiwibm9uLWRyb3BwaW5nLXBhcnRpY2xlIjoiIn0seyJmYW1pbHkiOiJTaWV2IiwiZ2l2ZW4iOiJKIiwicGFyc2UtbmFtZXMiOmZhbHNlLCJkcm9wcGluZy1wYXJ0aWNsZSI6IiIsIm5vbi1kcm9wcGluZy1wYXJ0aWNsZSI6IiJ9LHsiZmFtaWx5IjoiU2NhaGlsbCIsImdpdmVuIjoiTCIsInBhcnNlLW5hbWVzIjpmYWxzZSwiZHJvcHBpbmctcGFydGljbGUiOiIiLCJub24tZHJvcHBpbmctcGFydGljbGUiOiIifSx7ImZhbWlseSI6IlBpYWNlbnRpbmkiLCJnaXZlbiI6IkogQyIsInBhcnNlLW5hbWVzIjpmYWxzZSwiZHJvcHBpbmctcGFydGljbGUiOiIiLCJub24tZHJvcHBpbmctcGFydGljbGUiOiIifSx7ImZhbWlseSI6Ildvb2RzIiwiZ2l2ZW4iOiJEIFciLCJwYXJzZS1uYW1lcyI6ZmFsc2UsImRyb3BwaW5nLXBhcnRpY2xlIjoiIiwibm9uLWRyb3BwaW5nLXBhcnRpY2xlIjoiIn0seyJmYW1pbHkiOiJXYWxrdXAiLCJnaXZlbiI6IkogVCIsInBhcnNlLW5hbWVzIjpmYWxzZSwiZHJvcHBpbmctcGFydGljbGUiOiIiLCJub24tZHJvcHBpbmctcGFydGljbGUiOiIifSx7ImZhbWlseSI6IlBldGVyc29uIiwiZ2l2ZW4iOiJBIEwiLCJwYXJzZS1uYW1lcyI6ZmFsc2UsImRyb3BwaW5nLXBhcnRpY2xlIjoiIiwibm9uLWRyb3BwaW5nLXBhcnRpY2xlIjoiIn0seyJmYW1pbHkiOiJEb3VnaGVydHkiLCJnaXZlbiI6IkQgRCIsInBhcnNlLW5hbWVzIjpmYWxzZSwiZHJvcHBpbmctcGFydGljbGUiOiIiLCJub24tZHJvcHBpbmctcGFydGljbGUiOiIifSx7ImZhbWlseSI6IldpbGhlbG0iLCJnaXZlbiI6IlMiLCJwYXJzZS1uYW1lcyI6ZmFsc2UsImRyb3BwaW5nLXBhcnRpY2xlIjoiIiwibm9uLWRyb3BwaW5nLXBhcnRpY2xlIjoiIn1dLCJjb250YWluZXItdGl0bGUiOiJQc3ljaGlhdHJ5IFJlcyIsIkRPSSI6IjEwLjEwMTYvai5wc2N5Y2hyZXNucy4yMDE0LjA5LjAwMyIsIlBNSUQiOiIyNTQ0NDUzNSIsImlzc3VlZCI6eyJkYXRlLXBhcnRzIjpbWzIwMTRdXX0sInBhZ2UiOiIyNjktMjc0IiwiYWJzdHJhY3QiOiJUb3VyZXR0ZSdzIGRpc29yZGVyLCBhbHNvIGNhbGxlZCBUb3VyZXR0ZSBzeW5kcm9tZSAoVFMpLCBpcyBjaGFyYWN0ZXJpemVkIGJ5IG1vdG9yIGFuZCB2b2NhbCB0aWNzIHRoYXQgY2FuIGNhdXNlIHNpZ25pZmljYW50IGltcGFpcm1lbnQgaW4gZGFpbHkgZnVuY3Rpb25pbmcuIFRpY3MgYXJlIGJlbGlldmVkIHRvIGJlIGR1ZSB0byBmYWlsZWQgaW5oaWJpdGlvbiBvZiBib3RoIGFzc29jaWF0aXZlIGFuZCBtb3RvciBjb3J0aWNvLXN0cmlhdG8tdGhhbGFtby1jb3J0aWNhbCBwYXRod2F5cy4gQ29tcHJlaGVuc2l2ZSBCZWhhdmlvcmFsIEludGVydmVudGlvbiBmb3IgVGljcyAoQ0JJVCksIHdoaWNoIGlzIGFuIGV4dGVuc2lvbiBvZiBIYWJpdCBSZXZlcnNhbCBUaGVyYXB5IChIUlQpLCB0ZWFjaGVzIHBhdGllbnRzIHRvIGJlY29tZSBtb3JlIGF3YXJlIG9mIHNlbnNhdGlvbnMgdGhhdCByZWxpYWJseSBwcmVjZWRlIHRpY3MgKHByZW1vbml0b3J5IHVyZ2VzKSBhbmQgdG8gaW5pdGlhdGUgY29tcGV0aW5nIG1vdmVtZW50cyB0aGF0IGluaGliaXQgdGhlIG9jY3VycmVuY2Ugb2YgdGljcy4gSW4gdGhpcyBzdHVkeSwgd2UgdXNlZCBmdW5jdGlvbmFsIG1hZ25ldGljIHJlc29uYW5jZSBpbWFnaW5nIChmTVJJKSB0byBpbnZlc3RpZ2F0ZSB0aGUgbmV1cmFsIGNoYW5nZXMgYXNzb2NpYXRlZCB3aXRoIENCSVQgdHJlYXRtZW50IGluIHN1YmplY3RzIHdpdGggVFMuIEVpZ2h0IHN1YmplY3RzIHdpdGggVFMgd2VyZSBtYXRjaGVkIHdpdGggZWlnaHQgaGVhbHRoeSBjb250cm9scyBpbiBnZW5kZXIsIGVkdWNhdGlvbiwgYWdlLCBhbmQgaGFuZGVkbmVzcy4gU3ViamVjdHMgY29tcGxldGVkIHRoZSBWaXN1b3NwYXRpYWwgUHJpbWluZyAoVlNQKSB0YXNrLCBhIG1lYXN1cmUgb2YgcmVzcG9uc2UgaW5oaWJpdGlvbiwgZHVyaW5nIGZNUkkgc2Nhbm5pbmcgYmVmb3JlIGFuZCBhZnRlciBDQklUIHRyZWF0bWVudCAob3Igd2FpdGluZyBwZXJpb2QgZm9yIGNvbnRyb2xzKS4gRm9yIFRTIHN1YmplY3RzLCB3ZSBmb3VuZCBhIHNpZ25pZmljYW50IGRlY3JlYXNlIGluIHN0cmlhdGFsIChwdXRhbWVuKSBhY3RpdmF0aW9uIGZyb20gcHJlLSB0byBwb3N0LXRyZWF0bWVudC4gQ2hhbmdlIGluIFZTUCB0YXNrLXJlbGF0ZWQgYWN0aXZhdGlvbiBmcm9tIHByZS0gdG8gcG9zdC10cmVhdG1lbnQgaW4gQnJvZG1hbm4ncyBhcmVhIDQ3ICh0aGUgaW5mZXJpb3IgZnJvbnRhbCBneXJ1cykgd2FzIG5lZ2F0aXZlbHkgY29ycmVsYXRlZCB3aXRoIGNoYW5nZXMgaW4gdGljIHNldmVyaXR5LiBDQklUIG1heSBwcm9tb3RlIG5vcm1hbGl6YXRpb24gb2YgYWJlcnJhbnQgY29ydGljby1zdHJpYXRvLXRoYWxhbW8tY29ydGljYWwgYXNzb2NpYXRpdmUgYW5kIG1vdG9yIHBhdGh3YXlzIGluIGluZGl2aWR1YWxzIHdpdGggVFMuIiwiaXNzdWUiOiIzIiwidm9sdW1lIjoiMjI0IiwiY29udGFpbmVyLXRpdGxlLXNob3J0IjoiIn0sImlzVGVtcG9yYXJ5IjpmYWxzZX1dfQ=="/>
                <w:id w:val="1549109707"/>
                <w:placeholder>
                  <w:docPart w:val="DefaultPlaceholder_-1854013440"/>
                </w:placeholder>
              </w:sdtPr>
              <w:sdtContent>
                <w:r w:rsidR="00F04E9F" w:rsidRPr="00F04E9F">
                  <w:rPr>
                    <w:rFonts w:eastAsia="Times New Roman" w:cs="Times New Roman"/>
                    <w:color w:val="000000"/>
                    <w:sz w:val="16"/>
                    <w:szCs w:val="16"/>
                  </w:rPr>
                  <w:t>(59)</w:t>
                </w:r>
              </w:sdtContent>
            </w:sdt>
          </w:p>
        </w:tc>
        <w:tc>
          <w:tcPr>
            <w:tcW w:w="0" w:type="auto"/>
            <w:shd w:val="clear" w:color="auto" w:fill="FFFFFF"/>
            <w:hideMark/>
          </w:tcPr>
          <w:p w14:paraId="047E768E"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eight adults with CTDs</w:t>
            </w:r>
          </w:p>
        </w:tc>
        <w:tc>
          <w:tcPr>
            <w:tcW w:w="0" w:type="auto"/>
            <w:shd w:val="clear" w:color="auto" w:fill="FFFFFF"/>
            <w:hideMark/>
          </w:tcPr>
          <w:p w14:paraId="0296E8CD"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CBIT for all participants (10 weeks)</w:t>
            </w:r>
          </w:p>
        </w:tc>
        <w:tc>
          <w:tcPr>
            <w:tcW w:w="0" w:type="auto"/>
            <w:shd w:val="clear" w:color="auto" w:fill="FFFFFF"/>
            <w:hideMark/>
          </w:tcPr>
          <w:p w14:paraId="726DB153"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Mean PUTS scores at baseline were 26.00 and post-treatment were 25.57</w:t>
            </w:r>
          </w:p>
        </w:tc>
      </w:tr>
      <w:tr w:rsidR="009E1D7E" w:rsidRPr="008A1F40" w14:paraId="3E565C0E" w14:textId="77777777" w:rsidTr="007F77D2">
        <w:trPr>
          <w:tblCellSpacing w:w="15" w:type="dxa"/>
        </w:trPr>
        <w:tc>
          <w:tcPr>
            <w:tcW w:w="0" w:type="auto"/>
            <w:shd w:val="clear" w:color="auto" w:fill="FFFFFF"/>
          </w:tcPr>
          <w:p w14:paraId="197DDA80" w14:textId="552CF274"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lastRenderedPageBreak/>
              <w:t>Nonaka et al (2015)</w:t>
            </w:r>
            <w:r w:rsidR="00DD1A99">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YWE1Yjc2NTgtZGIwZS00NDgwLTg4MmEtMDljNTAxYzZhZWVjIiwicHJvcGVydGllcyI6eyJub3RlSW5kZXgiOjB9LCJpc0VkaXRlZCI6ZmFsc2UsIm1hbnVhbE92ZXJyaWRlIjp7ImlzTWFudWFsbHlPdmVycmlkZGVuIjpmYWxzZSwiY2l0ZXByb2NUZXh0IjoiKDYwKSIsIm1hbnVhbE92ZXJyaWRlVGV4dCI6IiJ9LCJjaXRhdGlvbkl0ZW1zIjpbeyJpZCI6IjI2MzM1MzQ3LTFhNDItM2NkZC04YmNhLTYwM2FkODJiNTZlYiIsIml0ZW1EYXRhIjp7InR5cGUiOiJhcnRpY2xlLWpvdXJuYWwiLCJpZCI6IjI2MzM1MzQ3LTFhNDItM2NkZC04YmNhLTYwM2FkODJiNTZlYiIsInRpdGxlIjoiUHJlbGltaW5hcnkgU3R1ZHkgb2YgQmVoYXZpb3JhbCBUaGVyYXB5IGZvciBUb3VyZXR0ZSBTeW5kcm9tZSBQYXRpZW50cyBpbiBKYXBhbiIsImdyb3VwSWQiOiIwN2Q2MmFjMS01YWE4LTM5YWYtYjQ5ZS01MmQyMDg4YWM1NzEiLCJhdXRob3IiOlt7ImZhbWlseSI6Ik5vbmFrYSIsImdpdmVuIjoiTSIsInBhcnNlLW5hbWVzIjpmYWxzZSwiZHJvcHBpbmctcGFydGljbGUiOiIiLCJub24tZHJvcHBpbmctcGFydGljbGUiOiIifSx7ImZhbWlseSI6Ik1hdHN1ZGEiLCJnaXZlbiI6Ik4iLCJwYXJzZS1uYW1lcyI6ZmFsc2UsImRyb3BwaW5nLXBhcnRpY2xlIjoiIiwibm9uLWRyb3BwaW5nLXBhcnRpY2xlIjoiIn0seyJmYW1pbHkiOiJLb25vIiwiZ2l2ZW4iOiJUIiwicGFyc2UtbmFtZXMiOmZhbHNlLCJkcm9wcGluZy1wYXJ0aWNsZSI6IiIsIm5vbi1kcm9wcGluZy1wYXJ0aWNsZSI6IiJ9LHsiZmFtaWx5IjoiRnVqaW8iLCJnaXZlbiI6Ik0iLCJwYXJzZS1uYW1lcyI6ZmFsc2UsImRyb3BwaW5nLXBhcnRpY2xlIjoiIiwibm9uLWRyb3BwaW5nLXBhcnRpY2xlIjoiIn0seyJmYW1pbHkiOiJTY2FoaWxsIiwiZ2l2ZW4iOiJMIiwicGFyc2UtbmFtZXMiOmZhbHNlLCJkcm9wcGluZy1wYXJ0aWNsZSI6IiIsIm5vbi1kcm9wcGluZy1wYXJ0aWNsZSI6IiJ9LHsiZmFtaWx5IjoiS2FubyIsImdpdmVuIjoiWSIsInBhcnNlLW5hbWVzIjpmYWxzZSwiZHJvcHBpbmctcGFydGljbGUiOiIiLCJub24tZHJvcHBpbmctcGFydGljbGUiOiIifV0sImNvbnRhaW5lci10aXRsZSI6IkNoaWxkcmVuJ3MgSGVhbHRoIENhcmUiLCJET0kiOiJodHRwczovL2R4LmRvaS5vcmcvMTAuMTA4MC8wMjczOTYxNS4yMDE0Ljk3OTkyMiIsIlVSTCI6Imh0dHA6Ly93d3cudGFuZGZvbmxpbmUuY29tL3RvYy9oY2hjMjAvY3VycmVudGh0dHA6Ly9vdmlkc3Aub3ZpZC5jb20vb3ZpZHdlYi5jZ2k/VD1KUyZQQUdFPXJlZmVyZW5jZSZEPWVtZWQxNiZORVdTPU4mQU49NjA2MDI4MDI0IiwiaXNzdWVkIjp7ImRhdGUtcGFydHMiOltbMjAxNV1dfSwicGFnZSI6IjI5My0zMDYiLCJhYnN0cmFjdCI6IlRvdXJldHRlIHN5bmRyb21lIChUUykgaXMgYSBjaHJvbmljIG5ldXJvYmVoYXZpb3JhbCBkaXNvcmRlciBvZiBjaGlsZGhvb2QgY2hhcmFjdGVyaXplZCBieSBtb3RvciBhbmQgdm9jYWwgdGljcy4gVGhlIGF1dGhvcnMgYWltZWQgdG8gc2hvdyB0aGUgZmVhc2liaWxpdHkgb2YgQ29tcHJlaGVuc2l2ZSBCZWhhdmlvcmFsIEludGVydmVudGlvbiBmb3IgVGljcyAoQ0JJVCkgZm9yIHBlZGlhdHJpYyBUb3VyZXR0ZSBzeW5kcm9tZSBwYXRpZW50cyBpbiBKYXBhbi4gU2V2ZW4gc3ViamVjdHMgKGFnZSA5IHRvIDIwIHllYXJzKSB3ZXJlIHRyZWF0ZWQgd2l0aCBDQklULiBDaGFuZ2VzIGluIHRpYyBzZXZlcml0eSwgcHJlbW9uaXRvcnkgdXJnZXMsIGFuZCBzdWJqZWN0aXZlIGRpc3RyZXNzIGFzc29jaWF0ZWQgd2l0aCB0aWNzIHdlcmUgaW52ZXN0aWdhdGVkIG92ZXIgdGhlIGNvdXJzZSBvZiA5IHRyZWF0bWVudCBzZXNzaW9ucy4gUmVzdWx0cyBzaG93ZWQgdGhhdCBzaWduaWZpY2FudCBkZWNyZWFzZSBvZiB0aWMgc2V2ZXJpdHkgYW5kIGltcHJvdmVtZW50IG9mIHRoZWlyIHN1YmplY3RpdmUgZGlzdHJlc3Mgb2YgdGljcy4gSG93ZXZlciwgdGhlIHN1YmplY3RpdmUgZGlzdHJlc3MgZnJvbSBjb3Byb2xhbGlhIHdhcyBkaWZmaWN1bHQgdG8gY2hhbmdlLiBUaGUgdHJlYXRtZW50IGZvciBvdXRidXJzdCBvZiBjb3Byb2xhbGlhIHNob3VsZCBiZSBpbnZlc3RpZ2F0ZWQgbW9yZS5Db3B5cmlnaHQgwqkgVGF5bG9yICYgRnJhbmNpcyBHcm91cCwgTExDLiIsImlzc3VlIjoiMyIsInZvbHVtZSI6IjQ0IiwiY29udGFpbmVyLXRpdGxlLXNob3J0IjoiIn0sImlzVGVtcG9yYXJ5IjpmYWxzZX1dfQ=="/>
                <w:id w:val="1817532477"/>
                <w:placeholder>
                  <w:docPart w:val="DefaultPlaceholder_-1854013440"/>
                </w:placeholder>
              </w:sdtPr>
              <w:sdtContent>
                <w:r w:rsidR="00F04E9F" w:rsidRPr="00F04E9F">
                  <w:rPr>
                    <w:rFonts w:eastAsia="Times New Roman" w:cs="Times New Roman"/>
                    <w:color w:val="000000"/>
                    <w:sz w:val="16"/>
                    <w:szCs w:val="16"/>
                  </w:rPr>
                  <w:t>(60)</w:t>
                </w:r>
              </w:sdtContent>
            </w:sdt>
          </w:p>
        </w:tc>
        <w:tc>
          <w:tcPr>
            <w:tcW w:w="0" w:type="auto"/>
            <w:shd w:val="clear" w:color="auto" w:fill="FFFFFF"/>
          </w:tcPr>
          <w:p w14:paraId="0C3418A0"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six participants aged 9-20 with TS</w:t>
            </w:r>
          </w:p>
        </w:tc>
        <w:tc>
          <w:tcPr>
            <w:tcW w:w="0" w:type="auto"/>
            <w:shd w:val="clear" w:color="auto" w:fill="FFFFFF"/>
          </w:tcPr>
          <w:p w14:paraId="45A16779"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CBIT for all participants (10 weeks)</w:t>
            </w:r>
          </w:p>
        </w:tc>
        <w:tc>
          <w:tcPr>
            <w:tcW w:w="0" w:type="auto"/>
            <w:shd w:val="clear" w:color="auto" w:fill="FFFFFF"/>
          </w:tcPr>
          <w:p w14:paraId="5C0B7362" w14:textId="566E9A56"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rPr>
              <w:t xml:space="preserve">Mean PUTS scores did not significantly change, while paired sample t-tests showed that YGTSS-TTS (t = 2.8, p = 0.04) and YGTSS </w:t>
            </w:r>
            <w:r w:rsidR="003732AC">
              <w:rPr>
                <w:rFonts w:cs="Times New Roman"/>
                <w:color w:val="000000" w:themeColor="text1"/>
                <w:sz w:val="16"/>
                <w:szCs w:val="16"/>
              </w:rPr>
              <w:t>I</w:t>
            </w:r>
            <w:r w:rsidRPr="008A1F40">
              <w:rPr>
                <w:rFonts w:cs="Times New Roman"/>
                <w:color w:val="000000" w:themeColor="text1"/>
                <w:sz w:val="16"/>
                <w:szCs w:val="16"/>
              </w:rPr>
              <w:t xml:space="preserve">mpairment </w:t>
            </w:r>
            <w:r w:rsidR="003732AC">
              <w:rPr>
                <w:rFonts w:cs="Times New Roman"/>
                <w:color w:val="000000" w:themeColor="text1"/>
                <w:sz w:val="16"/>
                <w:szCs w:val="16"/>
              </w:rPr>
              <w:t>S</w:t>
            </w:r>
            <w:r w:rsidRPr="008A1F40">
              <w:rPr>
                <w:rFonts w:cs="Times New Roman"/>
                <w:color w:val="000000" w:themeColor="text1"/>
                <w:sz w:val="16"/>
                <w:szCs w:val="16"/>
              </w:rPr>
              <w:t xml:space="preserve">cores (t = 3.8, p = 0.01) significantly </w:t>
            </w:r>
            <w:r w:rsidR="00A154D1">
              <w:rPr>
                <w:rFonts w:cs="Times New Roman"/>
                <w:color w:val="000000" w:themeColor="text1"/>
                <w:sz w:val="16"/>
                <w:szCs w:val="16"/>
              </w:rPr>
              <w:t>improved</w:t>
            </w:r>
          </w:p>
        </w:tc>
      </w:tr>
      <w:tr w:rsidR="009E1D7E" w:rsidRPr="008A1F40" w14:paraId="2A12CBFD" w14:textId="77777777" w:rsidTr="007F77D2">
        <w:trPr>
          <w:tblCellSpacing w:w="15" w:type="dxa"/>
        </w:trPr>
        <w:tc>
          <w:tcPr>
            <w:tcW w:w="0" w:type="auto"/>
            <w:shd w:val="clear" w:color="auto" w:fill="FFFFFF"/>
            <w:hideMark/>
          </w:tcPr>
          <w:p w14:paraId="12165CAE" w14:textId="1D310DF5"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Verdellen et al (2008)</w:t>
            </w:r>
            <w:r w:rsidR="00DD1A99">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YjAwM2E4ZTAtNzBhYi00OTg3LWFkZjUtMzc1MzE5Yjg0YWQ5IiwicHJvcGVydGllcyI6eyJub3RlSW5kZXgiOjB9LCJpc0VkaXRlZCI6ZmFsc2UsIm1hbnVhbE92ZXJyaWRlIjp7ImlzTWFudWFsbHlPdmVycmlkZGVuIjpmYWxzZSwiY2l0ZXByb2NUZXh0IjoiKDYxKSIsIm1hbnVhbE92ZXJyaWRlVGV4dCI6IiJ9LCJjaXRhdGlvbkl0ZW1zIjpbeyJpZCI6IjQxNTYyMmY1LWI0OWItMzk0My1hNzhhLWI5YzBjZmE3NDhiNyIsIml0ZW1EYXRhIjp7InR5cGUiOiJhcnRpY2xlLWpvdXJuYWwiLCJpZCI6IjQxNTYyMmY1LWI0OWItMzk0My1hNzhhLWI5YzBjZmE3NDhiNyIsInRpdGxlIjoiSGFiaXR1YXRpb24gb2YgcHJlbW9uaXRvcnkgc2Vuc2F0aW9ucyBkdXJpbmcgZXhwb3N1cmUgYW5kIHJlc3BvbnNlIHByZXZlbnRpb24gdHJlYXRtZW50IGluIFRvdXJldHRlJ3Mgc3luZHJvbWUiLCJncm91cElkIjoiMDdkNjJhYzEtNWFhOC0zOWFmLWI0OWUtNTJkMjA4OGFjNTcxIiwiYXV0aG9yIjpbeyJmYW1pbHkiOiJWZXJkZWxsZW4iLCJnaXZlbiI6IkMgVyIsInBhcnNlLW5hbWVzIjpmYWxzZSwiZHJvcHBpbmctcGFydGljbGUiOiIiLCJub24tZHJvcHBpbmctcGFydGljbGUiOiIifSx7ImZhbWlseSI6Ikhvb2dkdWluIiwiZ2l2ZW4iOiJDIEEiLCJwYXJzZS1uYW1lcyI6ZmFsc2UsImRyb3BwaW5nLXBhcnRpY2xlIjoiIiwibm9uLWRyb3BwaW5nLXBhcnRpY2xlIjoiIn0seyJmYW1pbHkiOiJLYXRvIiwiZ2l2ZW4iOiJCIFMiLCJwYXJzZS1uYW1lcyI6ZmFsc2UsImRyb3BwaW5nLXBhcnRpY2xlIjoiIiwibm9uLWRyb3BwaW5nLXBhcnRpY2xlIjoiIn0seyJmYW1pbHkiOiJLZWlqc2VycyIsImdpdmVuIjoiRyBQIiwicGFyc2UtbmFtZXMiOmZhbHNlLCJkcm9wcGluZy1wYXJ0aWNsZSI6IiIsIm5vbi1kcm9wcGluZy1wYXJ0aWNsZSI6IiJ9LHsiZmFtaWx5IjoiQ2F0aCIsImdpdmVuIjoiRCBDIiwicGFyc2UtbmFtZXMiOmZhbHNlLCJkcm9wcGluZy1wYXJ0aWNsZSI6IiIsIm5vbi1kcm9wcGluZy1wYXJ0aWNsZSI6IiJ9LHsiZmFtaWx5IjoiSG9panRpbmsiLCJnaXZlbiI6IkggQiIsInBhcnNlLW5hbWVzIjpmYWxzZSwiZHJvcHBpbmctcGFydGljbGUiOiIiLCJub24tZHJvcHBpbmctcGFydGljbGUiOiIifV0sImNvbnRhaW5lci10aXRsZSI6IkJlaGF2IE1vZGlmIiwiRE9JIjoiMTAuMTE3Ny8wMTQ1NDQ1NTA3MzA5MDIwIiwiUE1JRCI6IjE4Mjg1NTA3IiwiaXNzdWVkIjp7ImRhdGUtcGFydHMiOltbMjAwOF1dfSwicGFnZSI6IjIxNS0yMjciLCJhYnN0cmFjdCI6IkV4cG9zdXJlIHRvIHByZW1vbml0b3J5IHNlbnNhdGlvbnMgYW5kIHJlc3BvbnNlIHByZXZlbnRpb24gb2YgdGljcyAoRVIpIGhhcyBiZWVuIHNob3duIHRvIGJlIGEgcHJvbWlzaW5nIG5ldyB0cmVhdG1lbnQgZm9yIFRvdXJldHRlJ3Mgc3luZHJvbWUgKFRTKS4gVGhlIHByZXNlbnQgc3R1ZHkgdGVzdGVkIHRoZSBoeXBvdGhlc2lzIHRoYXQgaGFiaXR1YXRpb24gdG8gdW5wbGVhc2FudCBwcmVtb25pdG9yeSBzZW5zYXRpb25zIGFzc29jaWF0ZWQgd2l0aCB0aGUgdGljIGlzIGFuIHVuZGVybHlpbmcgbWVjaGFuaXNtIG9mIGNoYW5nZSBpbiBFUi4gUGF0aWVudHMgcmF0ZWQgdGhlIHNldmVyaXR5IG9mIHNlbnNhdGlvbnMgYW5kIHVyZ2VzIGF0IDE1LW1pbnV0ZSBpbnRlcnZhbHMgZHVyaW5nIHRlbiAyLWhvdXIgRVIgc2Vzc2lvbnMuIE11bHRpbGV2ZWwgbW9kZWxzIHVzaW5nIG11bHRpcGxlIHRpbWUgdHJlbmQgYW5hbHlzZXMgc2hvd2VkIHNpZ25pZmljYW50IHJlZHVjdGlvbnMgb2YgdGhlIHNlbnNvcnkgc2V2ZXJpdHkgcmF0aW5ncyBib3RoIHdpdGhpbiBhbmQgYmV0d2VlbiBzZXNzaW9ucy4gVGhlIGRlY3JlYXNlIG9mIHRoZXNlIHNldmVyaXR5IHJhdGluZ3Mgd2FzIHJlbGF0ZWQgdG8gdGhlIGZyZXF1ZW5jeSBvZiB0aWNzIGV4aGliaXRlZCBkdXJpbmcgc2Vzc2lvbnMsIHJlZ2FyZGxlc3Mgb2YgdGljIHNldmVyaXR5IGF0IGJhc2VsaW5lLiBUaGVzZSByZXN1bHRzIHN1cHBvcnQgdGhlIGh5cG90aGVzaXMgdGhhdCBoYWJpdHVhdGlvbiBtYXkgYmUgYXQgbGVhc3QgcGFydCBvZiB0aGUgdW5kZXJseWluZyB3b3JraW5nIG1lY2hhbmlzbSBvZiBleHBvc3VyZSBpbiB0aGUgdHJlYXRtZW50IG9mIHRpY3MgaW4gVFMgYW5kIHRoYXQgZWZmZWN0aXZlIHRpYyBzdXBwcmVzc2lvbiBkdXJpbmcgc2Vzc2lvbnMgaXMgYW4gaW1wb3J0YW50IGZhY3RvciBpbiB0aGlzIGhhYml0dWF0aW9uIHByb2Nlc3MuIiwiaXNzdWUiOiIyIiwidm9sdW1lIjoiMzIiLCJjb250YWluZXItdGl0bGUtc2hvcnQiOiIifSwiaXNUZW1wb3JhcnkiOmZhbHNlfV19"/>
                <w:id w:val="482825214"/>
                <w:placeholder>
                  <w:docPart w:val="DefaultPlaceholder_-1854013440"/>
                </w:placeholder>
              </w:sdtPr>
              <w:sdtContent>
                <w:r w:rsidR="00F04E9F" w:rsidRPr="00F04E9F">
                  <w:rPr>
                    <w:rFonts w:eastAsia="Times New Roman" w:cs="Times New Roman"/>
                    <w:color w:val="000000"/>
                    <w:sz w:val="16"/>
                    <w:szCs w:val="16"/>
                  </w:rPr>
                  <w:t>(61)</w:t>
                </w:r>
              </w:sdtContent>
            </w:sdt>
          </w:p>
        </w:tc>
        <w:tc>
          <w:tcPr>
            <w:tcW w:w="0" w:type="auto"/>
            <w:shd w:val="clear" w:color="auto" w:fill="FFFFFF"/>
            <w:hideMark/>
          </w:tcPr>
          <w:p w14:paraId="7EEE3FA5"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18 children and adults with TS</w:t>
            </w:r>
          </w:p>
        </w:tc>
        <w:tc>
          <w:tcPr>
            <w:tcW w:w="0" w:type="auto"/>
            <w:shd w:val="clear" w:color="auto" w:fill="FFFFFF"/>
            <w:hideMark/>
          </w:tcPr>
          <w:p w14:paraId="150CA53D" w14:textId="532F1D12"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shd w:val="clear" w:color="auto" w:fill="FFFFFF"/>
              </w:rPr>
              <w:t>two training sessions (two hours each) followed by 10 weekly</w:t>
            </w:r>
            <w:r w:rsidR="00A42D73">
              <w:rPr>
                <w:rFonts w:cs="Times New Roman"/>
                <w:color w:val="000000" w:themeColor="text1"/>
                <w:sz w:val="16"/>
                <w:szCs w:val="16"/>
                <w:shd w:val="clear" w:color="auto" w:fill="FFFFFF"/>
              </w:rPr>
              <w:t>,</w:t>
            </w:r>
            <w:r w:rsidRPr="008A1F40">
              <w:rPr>
                <w:rFonts w:cs="Times New Roman"/>
                <w:color w:val="000000" w:themeColor="text1"/>
                <w:sz w:val="16"/>
                <w:szCs w:val="16"/>
                <w:shd w:val="clear" w:color="auto" w:fill="FFFFFF"/>
              </w:rPr>
              <w:t xml:space="preserve"> two hour ERP treatment sessions</w:t>
            </w:r>
          </w:p>
        </w:tc>
        <w:tc>
          <w:tcPr>
            <w:tcW w:w="0" w:type="auto"/>
            <w:shd w:val="clear" w:color="auto" w:fill="FFFFFF"/>
            <w:hideMark/>
          </w:tcPr>
          <w:p w14:paraId="212BD839" w14:textId="198791EF"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rPr>
              <w:t xml:space="preserve">Across participants SUD-score tended to decrease both within sessions (p &lt; 0.001) and across the 10 sessions (p &lt; 0.001). </w:t>
            </w:r>
            <w:r w:rsidR="00923B74">
              <w:rPr>
                <w:rFonts w:cs="Times New Roman"/>
                <w:color w:val="000000" w:themeColor="text1"/>
                <w:sz w:val="16"/>
                <w:szCs w:val="16"/>
              </w:rPr>
              <w:t>A</w:t>
            </w:r>
            <w:r w:rsidRPr="008A1F40">
              <w:rPr>
                <w:rFonts w:cs="Times New Roman"/>
                <w:color w:val="000000" w:themeColor="text1"/>
                <w:sz w:val="16"/>
                <w:szCs w:val="16"/>
              </w:rPr>
              <w:t>lso</w:t>
            </w:r>
            <w:r w:rsidR="00923B74">
              <w:rPr>
                <w:rFonts w:cs="Times New Roman"/>
                <w:color w:val="000000" w:themeColor="text1"/>
                <w:sz w:val="16"/>
                <w:szCs w:val="16"/>
              </w:rPr>
              <w:t>,</w:t>
            </w:r>
            <w:r w:rsidRPr="008A1F40">
              <w:rPr>
                <w:rFonts w:cs="Times New Roman"/>
                <w:color w:val="000000" w:themeColor="text1"/>
                <w:sz w:val="16"/>
                <w:szCs w:val="16"/>
              </w:rPr>
              <w:t xml:space="preserve"> greater tic frequency (as counted by the therapist) during a session was associated with a lesser reduction in SUD-score within that session. The reduction in SUD-score within a session was found to be independent of session number (p = 0.48).</w:t>
            </w:r>
          </w:p>
        </w:tc>
      </w:tr>
      <w:tr w:rsidR="009E1D7E" w:rsidRPr="008A1F40" w14:paraId="1DA9304B" w14:textId="77777777" w:rsidTr="007F77D2">
        <w:trPr>
          <w:tblCellSpacing w:w="15" w:type="dxa"/>
        </w:trPr>
        <w:tc>
          <w:tcPr>
            <w:tcW w:w="0" w:type="auto"/>
            <w:shd w:val="clear" w:color="auto" w:fill="FFFFFF"/>
            <w:hideMark/>
          </w:tcPr>
          <w:p w14:paraId="2E28751D" w14:textId="19415681"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Van de Griendt et al (2023)</w:t>
            </w:r>
            <w:r w:rsidR="00DD1A99">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YmM5M2FiYmEtYzY0Mi00NWEyLTlmOWUtYjNhMGZlY2Y2Mjg3IiwicHJvcGVydGllcyI6eyJub3RlSW5kZXgiOjB9LCJpc0VkaXRlZCI6ZmFsc2UsIm1hbnVhbE92ZXJyaWRlIjp7ImlzTWFudWFsbHlPdmVycmlkZGVuIjpmYWxzZSwiY2l0ZXByb2NUZXh0IjoiKDYyKSIsIm1hbnVhbE92ZXJyaWRlVGV4dCI6IiJ9LCJjaXRhdGlvbkl0ZW1zIjpbeyJpZCI6IjNhY2VmMTExLTY4NjAtM2ZhMS1iYTMxLTU3N2I4NjRiYzgzOSIsIml0ZW1EYXRhIjp7InR5cGUiOiJhcnRpY2xlLWpvdXJuYWwiLCJpZCI6IjNhY2VmMTExLTY4NjAtM2ZhMS1iYTMxLTU3N2I4NjRiYzgzOSIsInRpdGxlIjoiV29ya2luZyBNZWNoYW5pc21zIG9mIEV4cG9zdXJlIGFuZCBSZXNwb25zZSBQcmV2ZW50aW9uIGluIHRoZSBUcmVhdG1lbnQgb2YgVG91cmV0dGUgU3luZHJvbWUgYW5kIFRpYyBEaXNvcmRlcnMgUmV2aXNpdGVkOiBObyBFdmlkZW5jZSBmb3Igd2l0aGluLVNlc3Npb24gSGFiaXR1YXRpb24gdG8gUHJlbW9uaXRvcnkgVXJnZXMiLCJncm91cElkIjoiMDdkNjJhYzEtNWFhOC0zOWFmLWI0OWUtNTJkMjA4OGFjNTcxIiwiYXV0aG9yIjpbeyJmYW1pbHkiOiJHcmllbmR0IiwiZ2l2ZW4iOiJKbXRtIiwicGFyc2UtbmFtZXMiOmZhbHNlLCJkcm9wcGluZy1wYXJ0aWNsZSI6IiIsIm5vbi1kcm9wcGluZy1wYXJ0aWNsZSI6InZhbiBkZSJ9LHsiZmFtaWx5IjoiQmVyZyIsImdpdmVuIjoiTiBNIEUiLCJwYXJzZS1uYW1lcyI6ZmFsc2UsImRyb3BwaW5nLXBhcnRpY2xlIjoiIiwibm9uLWRyb3BwaW5nLXBhcnRpY2xlIjoidmFuIGRlbiJ9LHsiZmFtaWx5IjoiVmVyZGVsbGVuIiwiZ2l2ZW4iOiJDIFcgSiIsInBhcnNlLW5hbWVzIjpmYWxzZSwiZHJvcHBpbmctcGFydGljbGUiOiIiLCJub24tZHJvcHBpbmctcGFydGljbGUiOiIifSx7ImZhbWlseSI6IkNhdGgiLCJnaXZlbiI6IkQgQyIsInBhcnNlLW5hbWVzIjpmYWxzZSwiZHJvcHBpbmctcGFydGljbGUiOiIiLCJub24tZHJvcHBpbmctcGFydGljbGUiOiIifSx7ImZhbWlseSI6IlZlcmJyYWFrIiwiZ2l2ZW4iOiJNanBtIiwicGFyc2UtbmFtZXMiOmZhbHNlLCJkcm9wcGluZy1wYXJ0aWNsZSI6IiIsIm5vbi1kcm9wcGluZy1wYXJ0aWNsZSI6IiJ9XSwiY29udGFpbmVyLXRpdGxlIjoiSiBDbGluIE1lZCIsIkRPSSI6IjEwLjMzOTAvamNtMTIyMjcwODciLCJQTUlEIjoiMzgwMDI3MDAiLCJpc3N1ZWQiOnsiZGF0ZS1wYXJ0cyI6W1syMDIzXV19LCJwYWdlIjoiLSIsImFic3RyYWN0IjoiQkFDS0dST1VORDogRXhwb3N1cmUgYW5kIHJlc3BvbnNlIHByZXZlbnRpb24gKEVSUCkgaGFzIGJlZW4gc2hvd24gdG8gYmUgYW4gZWZmZWN0aXZlIHRyZWF0bWVudCBmb3IgVG91cmV0dGUgc3luZHJvbWUgKFRTKSBhbmQgY2hyb25pYyB0aWMgZGlzb3JkZXJzIChDVEQpLiBFUlAgaXMgYmFzZWQgb24gdm9sdW50YXJ5IHRpYyBzdXBwcmVzc2lvbiBpbiBjb21iaW5hdGlvbiB3aXRoIHByb2xvbmdlZCBleHBvc3VyZSB0byBwcmVtb25pdG9yeSB1cmdlcyBwcmVjZWRpbmcgdGljcy4gQSBwcmV2YWlsaW5nIGh5cG90aGVzaXMgb2YgdGhlIHdvcmtpbmcgbWVjaGFuaXNtIHVuZGVybHlpbmcgRVJQIGluIHRpY3MgaXMgaGFiaXR1YXRpb24gdG8gdGhlIHByZW1vbml0b3J5IHVyZ2VzIGFzIGEgcmVzdWx0IG9mIHByb2xvbmdlZCBleHBvc3VyZS4gSG93ZXZlciwgcmVzdWx0cyBzbyBmYXIgYXJlIGVxdWl2b2NhbC4gVGhpcyBzdHVkeSBhaW1zIHRvIGZ1cnRoZXIgZXhwbG9yZSB0aGUgcmVsYXRpb24gYmV0d2VlbiB1cmdlcyBhbmQgRVJQIGluIHRpY3MsIGJ5IGludmVzdGlnYXRpbmcgdGhlIGNvdXJzZSBvZiBwcmVtb25pdG9yeSB1cmdlcyBkdXJpbmcgRVJQIHNlc3Npb25zLiBNRVRIT0RTOiBVc2luZyBhIGRhdGEtZHJpdmVuIGFwcHJvYWNoLCB3aXRoaW4tc2Vzc2lvbiBoYWJpdHVhdGlvbiB0byBwcmVtb25pdG9yeSB1cmdlIGludGVuc2l0eSB3YXMgaW52ZXN0aWdhdGVkLiBJbiB0b3RhbCwgMjkgVFMgcGF0aWVudHMgcmF0ZWQgdXJnZSBpbnRlbnNpdHkgYXQgc2V2ZW4gdGltZXBvaW50cyBkdXJpbmcgdGVuIDEgaCBFUlAgc2Vzc2lvbnMuIFJFU1VMVFMvQ09OQ0xVU0lPTlM6IExhdGVudCBncm93dGggbW9kZWxpbmcgc2hvd2VkIGFuIGluY3JlYXNlIGluIHVyZ2UgaW50ZW5zaXR5IGR1cmluZyB0aGUgZmlyc3QgMTUgbWluIG9mIGVhY2ggc2Vzc2lvbiBmb2xsb3dlZCBieSBhIHBsYXRlYXUgaW4gdGhlIHJlbWFpbmluZyA0NSBtaW4gb2YgdGhlIHNlc3Npb24uIFRoaXMgZG9lcyBub3Qgc3VwcG9ydCB0aGUgaWRlYSBvZiB3aXRoaW4tc2Vzc2lvbiBoYWJpdHVhdGlvbiB0byBwcmVtb25pdG9yeSB1cmdlcyBhcyBhIHdvcmtpbmcgbWVjaGFuaXNtIG9mIEVSUC4gT3RoZXIgcG90ZW50aWFsIHVuZGVybHlpbmcgd29ya2luZyBtZWNoYW5pc21zIGFyZSBkaXNjdXNzZWQgYW5kIHNob3VsZCBiZSB0ZXN0ZWQgaW4gZnV0dXJlIHJlc2VhcmNoLiIsImlzc3VlIjoiMjIiLCJ2b2x1bWUiOiIxMiIsImNvbnRhaW5lci10aXRsZS1zaG9ydCI6IiJ9LCJpc1RlbXBvcmFyeSI6ZmFsc2V9XX0="/>
                <w:id w:val="-2078964766"/>
                <w:placeholder>
                  <w:docPart w:val="DefaultPlaceholder_-1854013440"/>
                </w:placeholder>
              </w:sdtPr>
              <w:sdtContent>
                <w:r w:rsidR="00F04E9F" w:rsidRPr="00F04E9F">
                  <w:rPr>
                    <w:rFonts w:eastAsia="Times New Roman" w:cs="Times New Roman"/>
                    <w:color w:val="000000"/>
                    <w:sz w:val="16"/>
                    <w:szCs w:val="16"/>
                  </w:rPr>
                  <w:t>(62)</w:t>
                </w:r>
              </w:sdtContent>
            </w:sdt>
          </w:p>
        </w:tc>
        <w:tc>
          <w:tcPr>
            <w:tcW w:w="0" w:type="auto"/>
            <w:shd w:val="clear" w:color="auto" w:fill="FFFFFF"/>
            <w:hideMark/>
          </w:tcPr>
          <w:p w14:paraId="6121A8F5"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29 children and adults with CTDs</w:t>
            </w:r>
          </w:p>
        </w:tc>
        <w:tc>
          <w:tcPr>
            <w:tcW w:w="0" w:type="auto"/>
            <w:shd w:val="clear" w:color="auto" w:fill="FFFFFF"/>
            <w:hideMark/>
          </w:tcPr>
          <w:p w14:paraId="635BAD85" w14:textId="1696789A"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shd w:val="clear" w:color="auto" w:fill="FFFFFF"/>
              </w:rPr>
              <w:t>two training sessions and 10 weekly</w:t>
            </w:r>
            <w:r w:rsidR="0014252E">
              <w:rPr>
                <w:rFonts w:cs="Times New Roman"/>
                <w:color w:val="000000" w:themeColor="text1"/>
                <w:sz w:val="16"/>
                <w:szCs w:val="16"/>
                <w:shd w:val="clear" w:color="auto" w:fill="FFFFFF"/>
              </w:rPr>
              <w:t>,</w:t>
            </w:r>
            <w:r w:rsidRPr="008A1F40">
              <w:rPr>
                <w:rFonts w:cs="Times New Roman"/>
                <w:color w:val="000000" w:themeColor="text1"/>
                <w:sz w:val="16"/>
                <w:szCs w:val="16"/>
                <w:shd w:val="clear" w:color="auto" w:fill="FFFFFF"/>
              </w:rPr>
              <w:t xml:space="preserve"> one hour sessions of ERP</w:t>
            </w:r>
          </w:p>
        </w:tc>
        <w:tc>
          <w:tcPr>
            <w:tcW w:w="0" w:type="auto"/>
            <w:shd w:val="clear" w:color="auto" w:fill="FFFFFF"/>
            <w:hideMark/>
          </w:tcPr>
          <w:p w14:paraId="4F1CC472" w14:textId="77777777"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rPr>
              <w:t>Urge ratings tended to increase during each session, with a repeated measures analysis showing an increase in urge intensity within sessions (</w:t>
            </w:r>
            <w:r w:rsidRPr="008A1F40">
              <w:rPr>
                <w:rFonts w:cs="Times New Roman"/>
                <w:color w:val="000000" w:themeColor="text1"/>
                <w:sz w:val="16"/>
                <w:szCs w:val="16"/>
                <w:shd w:val="clear" w:color="auto" w:fill="FFFFFF"/>
              </w:rPr>
              <w:t>F (1.49, 41.63) = 5.81, p &lt; 0.05</w:t>
            </w:r>
            <w:r w:rsidRPr="008A1F40">
              <w:rPr>
                <w:rFonts w:cs="Times New Roman"/>
                <w:color w:val="000000" w:themeColor="text1"/>
                <w:sz w:val="16"/>
                <w:szCs w:val="16"/>
              </w:rPr>
              <w:t>). A piecewise model showed that this increase tended to occur during the first 15 minutes of each session, followed by stability in the remainder of each session</w:t>
            </w:r>
          </w:p>
        </w:tc>
      </w:tr>
      <w:tr w:rsidR="009E1D7E" w:rsidRPr="008A1F40" w14:paraId="23CB37CB" w14:textId="77777777" w:rsidTr="007F77D2">
        <w:trPr>
          <w:tblCellSpacing w:w="15" w:type="dxa"/>
        </w:trPr>
        <w:tc>
          <w:tcPr>
            <w:tcW w:w="0" w:type="auto"/>
            <w:shd w:val="clear" w:color="auto" w:fill="FFFFFF"/>
            <w:hideMark/>
          </w:tcPr>
          <w:p w14:paraId="7EAE6FC7" w14:textId="660E579F"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Heijerman-Holtgrefe et al (2021)</w:t>
            </w:r>
            <w:r w:rsidR="00DD1A99">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ZTMzODNhZDItOGQ5OS00YTZiLWIwYjAtZGZhMjhiZWMyZmE3IiwicHJvcGVydGllcyI6eyJub3RlSW5kZXgiOjB9LCJpc0VkaXRlZCI6ZmFsc2UsIm1hbnVhbE92ZXJyaWRlIjp7ImlzTWFudWFsbHlPdmVycmlkZGVuIjpmYWxzZSwiY2l0ZXByb2NUZXh0IjoiKDYzKSIsIm1hbnVhbE92ZXJyaWRlVGV4dCI6IiJ9LCJjaXRhdGlvbkl0ZW1zIjpbeyJpZCI6ImQ4NTcwMTZlLTEyYzAtMzQwMy1iYmZhLTg1MjQ4NDIxYWU3NCIsIml0ZW1EYXRhIjp7InR5cGUiOiJhcnRpY2xlLWpvdXJuYWwiLCJpZCI6ImQ4NTcwMTZlLTEyYzAtMzQwMy1iYmZhLTg1MjQ4NDIxYWU3NCIsInRpdGxlIjoiVGFja2xlIHlvdXIgVGljczogcGlsb3QgZmluZGluZ3Mgb2YgYSBicmllZiwgaW50ZW5zaXZlIGdyb3VwLWJhc2VkIGV4cG9zdXJlIHRoZXJhcHkgcHJvZ3JhbSBmb3IgY2hpbGRyZW4gd2l0aCB0aWMgZGlzb3JkZXJzIiwiZ3JvdXBJZCI6IjA3ZDYyYWMxLTVhYTgtMzlhZi1iNDllLTUyZDIwODhhYzU3MSIsImF1dGhvciI6W3siZmFtaWx5IjoiSGVpamVybWFuLUhvbHRncmVmZSIsImdpdmVuIjoiQSBQIiwicGFyc2UtbmFtZXMiOmZhbHNlLCJkcm9wcGluZy1wYXJ0aWNsZSI6IiIsIm5vbi1kcm9wcGluZy1wYXJ0aWNsZSI6IiJ9LHsiZmFtaWx5IjoiVmVyZGVsbGVuIiwiZ2l2ZW4iOiJDIFcgSiIsInBhcnNlLW5hbWVzIjpmYWxzZSwiZHJvcHBpbmctcGFydGljbGUiOiIiLCJub24tZHJvcHBpbmctcGFydGljbGUiOiIifSx7ImZhbWlseSI6IkdyaWVuZHQiLCJnaXZlbiI6IkogTSBUIE0iLCJwYXJzZS1uYW1lcyI6ZmFsc2UsImRyb3BwaW5nLXBhcnRpY2xlIjoiIiwibm9uLWRyb3BwaW5nLXBhcnRpY2xlIjoidmFuIGRlIn0seyJmYW1pbHkiOiJCZWxqYWFycyIsImdpdmVuIjoiTCBQIEwiLCJwYXJzZS1uYW1lcyI6ZmFsc2UsImRyb3BwaW5nLXBhcnRpY2xlIjoiIiwibm9uLWRyb3BwaW5nLXBhcnRpY2xlIjoiIn0seyJmYW1pbHkiOiJLYW4iLCJnaXZlbiI6IksgSiIsInBhcnNlLW5hbWVzIjpmYWxzZSwiZHJvcHBpbmctcGFydGljbGUiOiIiLCJub24tZHJvcHBpbmctcGFydGljbGUiOiIifSx7ImZhbWlseSI6IkNhdGgiLCJnaXZlbiI6IkQiLCJwYXJzZS1uYW1lcyI6ZmFsc2UsImRyb3BwaW5nLXBhcnRpY2xlIjoiIiwibm9uLWRyb3BwaW5nLXBhcnRpY2xlIjoiIn0seyJmYW1pbHkiOiJIb2Vrc3RyYSIsImdpdmVuIjoiUCBKIiwicGFyc2UtbmFtZXMiOmZhbHNlLCJkcm9wcGluZy1wYXJ0aWNsZSI6IiIsIm5vbi1kcm9wcGluZy1wYXJ0aWNsZSI6IiJ9LHsiZmFtaWx5IjoiSHV5c2VyIiwiZ2l2ZW4iOiJDIiwicGFyc2UtbmFtZXMiOmZhbHNlLCJkcm9wcGluZy1wYXJ0aWNsZSI6IiIsIm5vbi1kcm9wcGluZy1wYXJ0aWNsZSI6IiJ9LHsiZmFtaWx5IjoiVXRlbnMiLCJnaXZlbiI6IkUgTSBXIEoiLCJwYXJzZS1uYW1lcyI6ZmFsc2UsImRyb3BwaW5nLXBhcnRpY2xlIjoiIiwibm9uLWRyb3BwaW5nLXBhcnRpY2xlIjoiIn1dLCJjb250YWluZXItdGl0bGUiOiJFdXJvcGVhbiBDaGlsZCBhbmQgQWRvbGVzY2VudCBQc3ljaGlhdHJ5IiwiRE9JIjoiaHR0cHM6Ly9keC5kb2kub3JnLzEwLjEwMDcvczAwNzg3LTAyMC0wMTUzMi01IiwiVVJMIjoiaHR0cDovL3d3dy5zcHJpbmdlcmxpbmsuY29tL2NvbnRlbnQvMTAxOC04ODI3aHR0cDovL292aWRzcC5vdmlkLmNvbS9vdmlkd2ViLmNnaT9UPUpTJlBBR0U9cmVmZXJlbmNlJkQ9ZW1lZDIyJk5FV1M9TiZBTj0yMDA1MDA2OTQ3IiwiaXNzdWVkIjp7ImRhdGUtcGFydHMiOltbMjAyMV1dfSwicGFnZSI6IjQ2MS00NzMiLCJhYnN0cmFjdCI6IlRvdXJldHRlIHN5bmRyb21lIChUUykgYW5kIG90aGVyIGNocm9uaWMgdGljIGRpc29yZGVycyAoQ1REKSBhcmUgcHJldmFsZW50IG5ldXJvZGV2ZWxvcG1lbnRhbCBkaXNvcmRlcnMsIHdoaWNoIGNhbiBoYXZlIGEgaHVnZSBidXJkZW4gb24gZmFtaWxpZXMgYW5kIHNvY2lldHkuIEJlaGF2aW9yYWwgdHJlYXRtZW50IGlzIGEgZmlyc3QtbGluZSBpbnRlcnZlbnRpb24gZm9yIHRpYyBkaXNvcmRlcnMuIERlc3BpdGUgZGVtb25zdHJhdGVkIGVmZmljYWN5LCB0aWMgcmVkdWN0aW9uIGFuZCB1dGlsaXphdGlvbiByYXRlcyBvZiBiZWhhdmlvcmFsIHRyZWF0bWVudCByZW1haW4gcmVsYXRpdmVseSBsb3cuIFBhdGllbnQgYXNzb2NpYXRpb25zIHBvaW50IHRvIGFuIHVyZ2VudCBuZWVkIGZvciBlYXN5LXRvLXVuZGVyZ28gdHJlYXRtZW50cyB0aGF0IGZvY3VzIGJvdGggb24gdGljIHJlZHVjdGlvbiBhbmQgaW1wcm92ZW1lbnQgb2YgcXVhbGl0eSBvZiBsaWZlLiBUbyBlbmhhbmNlIHRyZWF0bWVudCBvdXRjb21lIGFuZCBvdmVyY29tZSB0cmVhdG1lbnQgYmFycmllcnMsIHRoaXMgcGlsb3Qgc3R1ZHkncyBhaW0gd2FzIHRvIGludmVzdGlnYXRlIHRoZSBmZWFzaWJpbGl0eSBhbmQgcHJlbGltaW5hcnkgcmVzdWx0cyBvZiBhIGJyaWVmLCBpbnRlbnNpdmUgZ3JvdXAtYmFzZWQgdHJlYXRtZW50LiBUYWNrbGUgeW91ciBUaWNzIGlzIGEgNC1kYXkgaW50ZW5zaXZlIGFuZCBjb21wcmVoZW5zaXZlIGdyb3VwLWJhc2VkIHByb2dyYW0gZm9yIGNoaWxkcmVuIGFuZCBhZG9sZXNjZW50cyAoOS0xNyB5ZWFycykgd2l0aCBhIHRpYyBkaXNvcmRlciwgY29uc2lzdGluZyBvZiBleHBvc3VyZSBhbmQgcmVzcG9uc2UgcHJldmVudGlvbiAoRVJQKSB0cmVhdG1lbnQgYW5kIGFkZGl0aW9uYWwgc3VwcG9ydGluZyBjb21wb25lbnRzLCBzdWNoIGFzIGNvcGluZyBzdHJhdGVnaWVzLCByZWxheGluZyBhY3Rpdml0aWVzIGFuZCBwYXJlbnQgc3VwcG9ydC4gQXNzZXNzbWVudHMgd2VyZSBwZXJmb3JtZWQgcHJlLSBhbmQgcG9zdC10cmVhdG1lbnQgYW5kIGF0IDIgbW9udGhzIGZvbGxvdy11cCwgdG8gdGVzdCBvdXRjb21lcyBvbiB0aWMgc2V2ZXJpdHkgYW5kIHF1YWxpdHkgb2YgbGlmZSwgYW5kIGV4cGxvcmUgcHJlbW9uaXRvcnkgdXJnZXMsIGVtb3Rpb25hbCBhbmQgYmVoYXZpb3JhbCBmdW5jdGlvbmluZyBhbmQgdHJlYXRtZW50IHNhdGlzZmFjdGlvbiAoTiA9IDE0LCBvZiB3aG9tIDEzIGNvbXBsZXRlZCB0aGUgdHJlYXRtZW50KS4gUGFyZW50cyBhbmQgY2hpbGRyZW4gcmF0ZWQgdGhpcyB0cmVhdG1lbnQgcG9zaXRpdmUgb24gYSB0cmVhdG1lbnQgc2F0aXNmYWN0aW9uIHF1ZXN0aW9ubmFpcmUuIE9uIHRpYyBzZXZlcml0eSAoWWFsZSBHbG9iYWwgVGljIFNldmVyaXR5IFNjYWxlKSBhbmQgcXVhbGl0eSBvZiBsaWZlIChHaWxsZXMgZGUgbGEgVG91cmV0dGUgU3luZHJvbWUgUXVhbGl0eSBvZiBMaWZlIFNjYWxlIGZvciBjaGlsZHJlbiBhbmQgYWRvbGVzY2VudHMpLCBpbXByb3ZlbWVudHMgYmV0d2VlbiBwcmUtdHJlYXRtZW50IGFuZCBmb2xsb3ctdXAgd2VyZSBmb3VuZC4gSW50ZW5zaXZlIEVSUCBpbiBncm91cCBmb3JtYXQgaXMgcHJvbWlzaW5nIGFzIGEgZmVhc2libGUgdHJlYXRtZW50IHRvIGltcHJvdmUgYm90aCB0aWMgc2V2ZXJpdHkgYXMgd2VsbCBhcyBxdWFsaXR5IG9mIGxpZmUuIExhcmdlciBjb250cm9sbGVkIHRyaWFscyBhcmUgbmVlZGVkIHRvIGVzdGFibGlzaCBpdHMgZWZmZWN0aXZlbmVzcy5Db3B5cmlnaHQgwqkgMjAyMCwgVGhlIEF1dGhvcihzKS4iLCJpc3N1ZSI6IjMiLCJ2b2x1bWUiOiIzMCIsImNvbnRhaW5lci10aXRsZS1zaG9ydCI6IkV1ciBDaGlsZCBBZG9sZXNjIFBzeWNoaWF0cnkifSwiaXNUZW1wb3JhcnkiOmZhbHNlfV19"/>
                <w:id w:val="1137840390"/>
                <w:placeholder>
                  <w:docPart w:val="DefaultPlaceholder_-1854013440"/>
                </w:placeholder>
              </w:sdtPr>
              <w:sdtContent>
                <w:r w:rsidR="00F04E9F" w:rsidRPr="00F04E9F">
                  <w:rPr>
                    <w:rFonts w:eastAsia="Times New Roman" w:cs="Times New Roman"/>
                    <w:color w:val="000000"/>
                    <w:sz w:val="16"/>
                    <w:szCs w:val="16"/>
                  </w:rPr>
                  <w:t>(63)</w:t>
                </w:r>
              </w:sdtContent>
            </w:sdt>
          </w:p>
        </w:tc>
        <w:tc>
          <w:tcPr>
            <w:tcW w:w="0" w:type="auto"/>
            <w:shd w:val="clear" w:color="auto" w:fill="FFFFFF"/>
            <w:hideMark/>
          </w:tcPr>
          <w:p w14:paraId="050330E3"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14 children with TS (13 completed the study)</w:t>
            </w:r>
          </w:p>
        </w:tc>
        <w:tc>
          <w:tcPr>
            <w:tcW w:w="0" w:type="auto"/>
            <w:shd w:val="clear" w:color="auto" w:fill="FFFFFF"/>
            <w:hideMark/>
          </w:tcPr>
          <w:p w14:paraId="66773739" w14:textId="77777777"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shd w:val="clear" w:color="auto" w:fill="FFFFFF"/>
              </w:rPr>
              <w:t>three consecutive days of group-based ERP sessions, followed by one more session a week later (each session was 135 minutes)</w:t>
            </w:r>
          </w:p>
        </w:tc>
        <w:tc>
          <w:tcPr>
            <w:tcW w:w="0" w:type="auto"/>
            <w:shd w:val="clear" w:color="auto" w:fill="FFFFFF"/>
            <w:hideMark/>
          </w:tcPr>
          <w:p w14:paraId="068E7FD8" w14:textId="45C0E7E9"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While YGTSS</w:t>
            </w:r>
            <w:r w:rsidR="008E10C4">
              <w:rPr>
                <w:rFonts w:eastAsia="Times New Roman" w:cs="Times New Roman"/>
                <w:color w:val="000000" w:themeColor="text1"/>
                <w:sz w:val="16"/>
                <w:szCs w:val="16"/>
              </w:rPr>
              <w:t>-</w:t>
            </w:r>
            <w:r w:rsidRPr="008A1F40">
              <w:rPr>
                <w:rFonts w:eastAsia="Times New Roman" w:cs="Times New Roman"/>
                <w:color w:val="000000" w:themeColor="text1"/>
                <w:sz w:val="16"/>
                <w:szCs w:val="16"/>
              </w:rPr>
              <w:t>TTS scores significantly reduced, mean PUTS scores declined by only 3% (N</w:t>
            </w:r>
            <w:r w:rsidRPr="008A1F40">
              <w:rPr>
                <w:rFonts w:cs="Times New Roman"/>
                <w:color w:val="000000" w:themeColor="text1"/>
                <w:sz w:val="16"/>
                <w:szCs w:val="16"/>
              </w:rPr>
              <w:t>o further statistical data was provided regarding change in PUTS</w:t>
            </w:r>
            <w:r w:rsidRPr="008A1F40">
              <w:rPr>
                <w:rFonts w:cs="Times New Roman"/>
                <w:color w:val="000000" w:themeColor="text1"/>
                <w:sz w:val="16"/>
                <w:szCs w:val="16"/>
                <w:shd w:val="clear" w:color="auto" w:fill="FFFFFF"/>
              </w:rPr>
              <w:t>)</w:t>
            </w:r>
          </w:p>
        </w:tc>
      </w:tr>
      <w:tr w:rsidR="009E1D7E" w:rsidRPr="008A1F40" w14:paraId="647E59BF" w14:textId="77777777" w:rsidTr="007F77D2">
        <w:trPr>
          <w:tblCellSpacing w:w="15" w:type="dxa"/>
        </w:trPr>
        <w:tc>
          <w:tcPr>
            <w:tcW w:w="0" w:type="auto"/>
            <w:shd w:val="clear" w:color="auto" w:fill="FFFFFF"/>
            <w:hideMark/>
          </w:tcPr>
          <w:p w14:paraId="462834AC" w14:textId="3883647F"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Nissen et al (2019)</w:t>
            </w:r>
            <w:r w:rsidR="00DD1A99">
              <w:rPr>
                <w:rFonts w:eastAsia="Times New Roman" w:cs="Times New Roman"/>
                <w:color w:val="000000" w:themeColor="text1"/>
                <w:sz w:val="16"/>
                <w:szCs w:val="16"/>
              </w:rPr>
              <w:t xml:space="preserve"> </w:t>
            </w:r>
            <w:sdt>
              <w:sdtPr>
                <w:rPr>
                  <w:rFonts w:eastAsia="Times New Roman" w:cs="Times New Roman"/>
                  <w:color w:val="000000"/>
                  <w:sz w:val="16"/>
                  <w:szCs w:val="16"/>
                </w:rPr>
                <w:tag w:val="MENDELEY_CITATION_v3_eyJjaXRhdGlvbklEIjoiTUVOREVMRVlfQ0lUQVRJT05fOGNjN2Y3MjktNGE2NC00ZDc1LWJkMmMtNmVlMjZlOWRlYWViIiwicHJvcGVydGllcyI6eyJub3RlSW5kZXgiOjB9LCJpc0VkaXRlZCI6ZmFsc2UsIm1hbnVhbE92ZXJyaWRlIjp7ImlzTWFudWFsbHlPdmVycmlkZGVuIjpmYWxzZSwiY2l0ZXByb2NUZXh0IjoiKDY0KSIsIm1hbnVhbE92ZXJyaWRlVGV4dCI6IiJ9LCJjaXRhdGlvbkl0ZW1zIjpbeyJpZCI6Ijc5NWM4ZGQxLWE3MmUtMzAxNi1iMTJkLTkzMmNhN2FjYzkxMyIsIml0ZW1EYXRhIjp7InR5cGUiOiJhcnRpY2xlLWpvdXJuYWwiLCJpZCI6Ijc5NWM4ZGQxLWE3MmUtMzAxNi1iMTJkLTkzMmNhN2FjYzkxMyIsInRpdGxlIjoiUHJlZGljdG9ycyBvZiB0aGVyYXBldXRpYyB0cmVhdG1lbnQgb3V0Y29tZSBpbiBhZG9sZXNjZW50IGNocm9uaWMgdGljIGRpc29yZGVycyIsImdyb3VwSWQiOiIwN2Q2MmFjMS01YWE4LTM5YWYtYjQ5ZS01MmQyMDg4YWM1NzEiLCJhdXRob3IiOlt7ImZhbWlseSI6Ik5pc3NlbiIsImdpdmVuIjoiSiBCIiwicGFyc2UtbmFtZXMiOmZhbHNlLCJkcm9wcGluZy1wYXJ0aWNsZSI6IiIsIm5vbi1kcm9wcGluZy1wYXJ0aWNsZSI6IiJ9LHsiZmFtaWx5IjoiUGFybmVyIiwiZ2l2ZW4iOiJFIFQiLCJwYXJzZS1uYW1lcyI6ZmFsc2UsImRyb3BwaW5nLXBhcnRpY2xlIjoiIiwibm9uLWRyb3BwaW5nLXBhcnRpY2xlIjoiIn0seyJmYW1pbHkiOiJUaG9tc2VuIiwiZ2l2ZW4iOiJQIEgiLCJwYXJzZS1uYW1lcyI6ZmFsc2UsImRyb3BwaW5nLXBhcnRpY2xlIjoiIiwibm9uLWRyb3BwaW5nLXBhcnRpY2xlIjoiIn1dLCJjb250YWluZXItdGl0bGUiOiJCSlBzeWNoIE9wZW4iLCJET0kiOiIxMC4xMTkyL2Jqby4yMDE5LjU2IiwiUE1JRCI6IjMxNDA5NDMwIiwiaXNzdWVkIjp7ImRhdGUtcGFydHMiOltbMjAxOV1dfSwicGFnZSI6ImU3NC0iLCJhYnN0cmFjdCI6IkJBQ0tHUk9VTkQ6IENocm9uaWMgdGljIGRpc29yZGVycyBtYXkgaGF2ZSBhIG1ham9yIGltcGFjdCBvbiBhIGNoaWxkJ3MgZnVuY3Rpb24uIEEgc2lnbmlmaWNhbnQgZWZmZWN0IGhhcyBiZWVuIHNob3duIGZvciBjb21iaW5lZCBoYWJpdCByZXZlcnNhbCB0cmFpbmluZyAoSFJUKSBhbmQgZXhwb3N1cmUgcmVzcG9uc2UgcHJldmVudGlvbiAoRVJQKSB0cmVhdG1lbnQgZGVsaXZlcmVkIGluIGFuIGluZGl2aWR1YWwgYW5kIGdyb3VwIHNldHRpbmcuIEFJTVM6IFRoZSBwcmVzZW50IHN0dWR5IGV4YW1pbmVzIHByZWRpY3RvcnMgYW5kIG1vZGVyYXRvcnMgb2YgdHJlYXRtZW50IG91dGNvbWUgYWZ0ZXIgYW4gYWN1dGUgdGhlcmFwZXV0aWMgaW50ZXJ2ZW50aW9uLiBNRVRIT0Q6IEZpZnR5LW5pbmUgY2hpbGRyZW4gYW5kIGFkb2xlc2NlbnRzIHdlcmUgcmFuZG9taXNlZCB0byBtYW51YWxpc2VkIHRyZWF0bWVudCBjb21iaW5pbmcgSFJUIGFuZCBFUlAgYXMgaW5kaXZpZHVhbCBvciBncm91cCB0cmFpbmluZy4gQWdlLCBnZW5kZXIsIGJhc2VsaW5lIHRpYyBzZXZlcml0eSwgUHJlbW9uaXRvcnkgVXJnZSBmb3IgVGljcyBTY2FsZSAoUFVUUykgc2NvcmVzLCBCZWxpZWZzIGFib3V0IFRpYyBTY2FsZSAoQkFUUykgc2NvcmVzLCBoeXBlcnNlbnNpdGl2aXR5IGFuZCBjb21vcmJpZCBwc3ljaGlhdHJpYyBzeW1wdG9tcyB3ZXJlIGFuYWx5c2VkIGFzIHByZWRpY3RvcnMgb2Ygb3V0Y29tZS4gVGhlIHNhbWUgY2hhcmFjdGVyaXN0aWNzIHdlcmUgZXhhbWluZWQgYXMgbW9kZXJhdG9ycyBmb3IgaW5kaXZpZHVhbCB2ZXJzdXMgZ3JvdXAgdHJlYXRtZW50LiBPdXRjb21lIG1lYXN1cmVzIGluY2x1ZGVkIHRoZSBjaGFuZ2UgaW4gdG90YWwgdGljIHNldmVyaXR5IChUVFMpIHNjb3JlIGFuZCBmdW5jdGlvbmFsIGltcGFpcm1lbnQgc2NvcmUgKGFzIG1lYXN1cmVkIGJ5IHRoZSBZYWxlIEdsb2JhbCBUaWMgU2V2ZXJpdHkgU2NhbGUgKFlHVFNTKSkuIFJFU1VMVFM6IEludGVybmFsaXNpbmcgc3ltcHRvbXMgcHJlZGljdGVkIGEgbGVzc2VyIGRlY3JlYXNlIGluIGZ1bmN0aW9uYWwgaW1wYWlybWVudC4gVGhlIG9jY3VycmVuY2Ugb2Ygb2JzZXNzaXZlLWNvbXB1bHNpdmUgc3ltcHRvbXMgcHJlZGljdGVkIGEgbGFyZ2VyIGRlY3JlYXNlIGluIFRUUy4gQmFzZWxpbmUgaHlwZXJzZW5zaXRpdml0eSBhbmQgaGlnaCBzY29yZXMgb24gZGVwcmVzc2l2ZSBzeW1wdG9tcyBmYXZvdXJlZCBpbmRpdmlkdWFsIHRyZWF0bWVudC4gSGlnaCBiYXNlbGluZSBQVVRTIHNjb3JlcyBmYXZvdXJlZCBncm91cCB0aGVyYXB5LiBDT05DTFVTSU9OUzogVGhpcyBpcyB0aGUgZmlyc3Qgc3R1ZHkgZXhhbWluaW5nIGZhY3RvcnMgcHJlZGljdGluZyBhbmQgbW9kZXJhdGluZyBwZXJjZWl2ZWQgZnVuY3Rpb25hbCBpbXBhaXJtZW50IGZvbGxvd2luZyBhIHRoZXJhcGV1dGljIGludGVydmVudGlvbi4gVGhlIHN0dWR5IGFkZHMgdG8gdGhlIGtub3dsZWRnZSBvbiBwcmVkaWN0b3JzIGFuZCBtb2RlcmF0b3JzIG9mIFRUUy4gRnVydGhlcm1vcmUsIHRoaXMgaXMgdGhlIGZpcnN0IHN0dWR5IGV4YW1pbmluZyB0aGUgZWZmZWN0IG9mIHRoZSBCQVRTIHNjb3JlLiBUaGUgc3R1ZHkgcG9pbnRzIHRvd2FyZHMgZmFjdG9ycyB0aGF0IG1heSBpbmZsdWVuY2UgdHJlYXRtZW50IG91dGNvbWUgYW5kIHRoYXQgcmVxdWlyZSBjb25zaWRlcmF0aW9uIHdoZW4gY2hvb3Npbmcgc3VwcGxlbWVudGFsIHRyZWF0bWVudC4gVGhpcyBhcHBsaWVzIHRvIGNvbW9yYmlkIGFueGlldHkgYW5kIGRlcHJlc3NpdmUgc3ltcHRvbXMsIGFuZCB0byB0aGUgY2hpbGQncyBiZWxpZWYgYWJvdXQgdGhlaXIgdGljcyBhbmQgcHJlbW9uaXRvcnkgdXJnZS4gREVDTEFSQVRJT04gT0YgSU5URVJFU1Q6IE5vbmUuIiwiaXNzdWUiOiI1Iiwidm9sdW1lIjoiNSIsImNvbnRhaW5lci10aXRsZS1zaG9ydCI6IkJKUHN5Y2ggT3BlbiJ9LCJpc1RlbXBvcmFyeSI6ZmFsc2V9XX0="/>
                <w:id w:val="906806182"/>
                <w:placeholder>
                  <w:docPart w:val="DefaultPlaceholder_-1854013440"/>
                </w:placeholder>
              </w:sdtPr>
              <w:sdtContent>
                <w:r w:rsidR="00F04E9F" w:rsidRPr="00F04E9F">
                  <w:rPr>
                    <w:rFonts w:eastAsia="Times New Roman" w:cs="Times New Roman"/>
                    <w:color w:val="000000"/>
                    <w:sz w:val="16"/>
                    <w:szCs w:val="16"/>
                  </w:rPr>
                  <w:t>(64)</w:t>
                </w:r>
              </w:sdtContent>
            </w:sdt>
          </w:p>
        </w:tc>
        <w:tc>
          <w:tcPr>
            <w:tcW w:w="0" w:type="auto"/>
            <w:shd w:val="clear" w:color="auto" w:fill="FFFFFF"/>
            <w:hideMark/>
          </w:tcPr>
          <w:p w14:paraId="0F7980BB" w14:textId="77777777" w:rsidR="00986E35" w:rsidRPr="008A1F40" w:rsidRDefault="00986E35" w:rsidP="007F77D2">
            <w:pPr>
              <w:rPr>
                <w:rFonts w:eastAsia="Times New Roman" w:cs="Times New Roman"/>
                <w:color w:val="000000" w:themeColor="text1"/>
                <w:sz w:val="16"/>
                <w:szCs w:val="16"/>
              </w:rPr>
            </w:pPr>
            <w:r w:rsidRPr="008A1F40">
              <w:rPr>
                <w:rFonts w:eastAsia="Times New Roman" w:cs="Times New Roman"/>
                <w:color w:val="000000" w:themeColor="text1"/>
                <w:sz w:val="16"/>
                <w:szCs w:val="16"/>
              </w:rPr>
              <w:t>54 children and adolescents with CTDs (n = 27 in each group)</w:t>
            </w:r>
          </w:p>
        </w:tc>
        <w:tc>
          <w:tcPr>
            <w:tcW w:w="0" w:type="auto"/>
            <w:shd w:val="clear" w:color="auto" w:fill="FFFFFF"/>
            <w:hideMark/>
          </w:tcPr>
          <w:p w14:paraId="434C3C08" w14:textId="77777777"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rPr>
              <w:t>HRT/ERP administered in groups of four vs. HRT/ERP administered individually - each treatment group consisted of eight sessions plus one booster session</w:t>
            </w:r>
          </w:p>
        </w:tc>
        <w:tc>
          <w:tcPr>
            <w:tcW w:w="0" w:type="auto"/>
            <w:shd w:val="clear" w:color="auto" w:fill="FFFFFF"/>
            <w:hideMark/>
          </w:tcPr>
          <w:p w14:paraId="5EA7DE4A" w14:textId="77777777" w:rsidR="00986E35" w:rsidRPr="008A1F40" w:rsidRDefault="00986E35" w:rsidP="007F77D2">
            <w:pPr>
              <w:rPr>
                <w:rFonts w:cs="Times New Roman"/>
                <w:color w:val="000000" w:themeColor="text1"/>
                <w:sz w:val="16"/>
                <w:szCs w:val="16"/>
              </w:rPr>
            </w:pPr>
            <w:r w:rsidRPr="008A1F40">
              <w:rPr>
                <w:rFonts w:eastAsia="Times New Roman" w:cs="Times New Roman"/>
                <w:color w:val="000000" w:themeColor="text1"/>
                <w:sz w:val="16"/>
                <w:szCs w:val="16"/>
              </w:rPr>
              <w:t>No significant difference in PUTS scores between baseline and the eighth session in both group and individual administration of HRT/ERP (</w:t>
            </w:r>
            <w:r w:rsidRPr="008A1F40">
              <w:rPr>
                <w:rFonts w:cs="Times New Roman"/>
                <w:color w:val="000000" w:themeColor="text1"/>
                <w:sz w:val="16"/>
                <w:szCs w:val="16"/>
              </w:rPr>
              <w:t>values not reported)</w:t>
            </w:r>
          </w:p>
          <w:p w14:paraId="69079F7C" w14:textId="16643A2E"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rPr>
              <w:t xml:space="preserve">No association between the change in PUTS scores from baseline to post treatment and the change in either YGTSS-TTS or YGTSS </w:t>
            </w:r>
            <w:r w:rsidR="003B31BE">
              <w:rPr>
                <w:rFonts w:cs="Times New Roman"/>
                <w:color w:val="000000" w:themeColor="text1"/>
                <w:sz w:val="16"/>
                <w:szCs w:val="16"/>
              </w:rPr>
              <w:t>I</w:t>
            </w:r>
            <w:r w:rsidRPr="008A1F40">
              <w:rPr>
                <w:rFonts w:cs="Times New Roman"/>
                <w:color w:val="000000" w:themeColor="text1"/>
                <w:sz w:val="16"/>
                <w:szCs w:val="16"/>
              </w:rPr>
              <w:t>mpairment from baseline to post</w:t>
            </w:r>
            <w:r w:rsidR="00994EDC">
              <w:rPr>
                <w:rFonts w:cs="Times New Roman"/>
                <w:color w:val="000000" w:themeColor="text1"/>
                <w:sz w:val="16"/>
                <w:szCs w:val="16"/>
              </w:rPr>
              <w:t>-</w:t>
            </w:r>
            <w:r w:rsidRPr="008A1F40">
              <w:rPr>
                <w:rFonts w:cs="Times New Roman"/>
                <w:color w:val="000000" w:themeColor="text1"/>
                <w:sz w:val="16"/>
                <w:szCs w:val="16"/>
              </w:rPr>
              <w:t>treatment (p = 0.24</w:t>
            </w:r>
            <w:r w:rsidR="009E789B">
              <w:rPr>
                <w:rFonts w:cs="Times New Roman"/>
                <w:color w:val="000000" w:themeColor="text1"/>
                <w:sz w:val="16"/>
                <w:szCs w:val="16"/>
              </w:rPr>
              <w:t xml:space="preserve"> and</w:t>
            </w:r>
            <w:r w:rsidRPr="008A1F40">
              <w:rPr>
                <w:rFonts w:cs="Times New Roman"/>
                <w:color w:val="000000" w:themeColor="text1"/>
                <w:sz w:val="16"/>
                <w:szCs w:val="16"/>
              </w:rPr>
              <w:t xml:space="preserve"> p = 0.56</w:t>
            </w:r>
            <w:r w:rsidR="00EC6306">
              <w:rPr>
                <w:rFonts w:cs="Times New Roman"/>
                <w:color w:val="000000" w:themeColor="text1"/>
                <w:sz w:val="16"/>
                <w:szCs w:val="16"/>
              </w:rPr>
              <w:t>,</w:t>
            </w:r>
            <w:r w:rsidRPr="008A1F40">
              <w:rPr>
                <w:rFonts w:cs="Times New Roman"/>
                <w:color w:val="000000" w:themeColor="text1"/>
                <w:sz w:val="16"/>
                <w:szCs w:val="16"/>
              </w:rPr>
              <w:t xml:space="preserve"> respectively)</w:t>
            </w:r>
          </w:p>
        </w:tc>
      </w:tr>
      <w:tr w:rsidR="009E1D7E" w:rsidRPr="008A1F40" w14:paraId="129FE263" w14:textId="77777777" w:rsidTr="007F77D2">
        <w:trPr>
          <w:tblCellSpacing w:w="15" w:type="dxa"/>
        </w:trPr>
        <w:tc>
          <w:tcPr>
            <w:tcW w:w="0" w:type="auto"/>
            <w:shd w:val="clear" w:color="auto" w:fill="FFFFFF"/>
          </w:tcPr>
          <w:p w14:paraId="5E45DE55" w14:textId="32ABBA20"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rPr>
              <w:t>Sukhodolsky et al (2017)</w:t>
            </w:r>
            <w:r w:rsidR="00DD1A99">
              <w:rPr>
                <w:rFonts w:cs="Times New Roman"/>
                <w:color w:val="000000" w:themeColor="text1"/>
                <w:sz w:val="16"/>
                <w:szCs w:val="16"/>
              </w:rPr>
              <w:t xml:space="preserve"> </w:t>
            </w:r>
            <w:sdt>
              <w:sdtPr>
                <w:rPr>
                  <w:rFonts w:cs="Times New Roman"/>
                  <w:color w:val="000000"/>
                  <w:sz w:val="16"/>
                  <w:szCs w:val="16"/>
                </w:rPr>
                <w:tag w:val="MENDELEY_CITATION_v3_eyJjaXRhdGlvbklEIjoiTUVOREVMRVlfQ0lUQVRJT05fNzkwZjg0ZDktNTVmOS00ZDk5LTg5Y2YtMDI2OGIyZTE2MzA4IiwicHJvcGVydGllcyI6eyJub3RlSW5kZXgiOjB9LCJpc0VkaXRlZCI6ZmFsc2UsIm1hbnVhbE92ZXJyaWRlIjp7ImlzTWFudWFsbHlPdmVycmlkZGVuIjpmYWxzZSwiY2l0ZXByb2NUZXh0IjoiKDY1KSIsIm1hbnVhbE92ZXJyaWRlVGV4dCI6IiJ9LCJjaXRhdGlvbkl0ZW1zIjpbeyJpZCI6IjVkMjFmMGZiLTNlN2YtMzhlZC1hNTNkLWQ3Y2M4YTg3MGJiZCIsIml0ZW1EYXRhIjp7InR5cGUiOiJhcnRpY2xlLWpvdXJuYWwiLCJpZCI6IjVkMjFmMGZiLTNlN2YtMzhlZC1hNTNkLWQ3Y2M4YTg3MGJiZCIsInRpdGxlIjoiTW9kZXJhdG9ycyBhbmQgcHJlZGljdG9ycyBvZiByZXNwb25zZSB0byBiZWhhdmlvciB0aGVyYXB5IGZvciB0aWNzIGluIFRvdXJldHRlIHN5bmRyb21lIiwiZ3JvdXBJZCI6IjA3ZDYyYWMxLTVhYTgtMzlhZi1iNDllLTUyZDIwODhhYzU3MSIsImF1dGhvciI6W3siZmFtaWx5IjoiU3VraG9kb2xza3kiLCJnaXZlbiI6IkQgRyIsInBhcnNlLW5hbWVzIjpmYWxzZSwiZHJvcHBpbmctcGFydGljbGUiOiIiLCJub24tZHJvcHBpbmctcGFydGljbGUiOiIifSx7ImZhbWlseSI6Ildvb2RzIiwiZ2l2ZW4iOiJEIFciLCJwYXJzZS1uYW1lcyI6ZmFsc2UsImRyb3BwaW5nLXBhcnRpY2xlIjoiIiwibm9uLWRyb3BwaW5nLXBhcnRpY2xlIjoiIn0seyJmYW1pbHkiOiJQaWFjZW50aW5pIiwiZ2l2ZW4iOiJKIiwicGFyc2UtbmFtZXMiOmZhbHNlLCJkcm9wcGluZy1wYXJ0aWNsZSI6IiIsIm5vbi1kcm9wcGluZy1wYXJ0aWNsZSI6IiJ9LHsiZmFtaWx5IjoiV2lsaGVsbSIsImdpdmVuIjoiUyIsInBhcnNlLW5hbWVzIjpmYWxzZSwiZHJvcHBpbmctcGFydGljbGUiOiIiLCJub24tZHJvcHBpbmctcGFydGljbGUiOiIifSx7ImZhbWlseSI6IlBldGVyc29uIiwiZ2l2ZW4iOiJBIEwiLCJwYXJzZS1uYW1lcyI6ZmFsc2UsImRyb3BwaW5nLXBhcnRpY2xlIjoiIiwibm9uLWRyb3BwaW5nLXBhcnRpY2xlIjoiIn0seyJmYW1pbHkiOiJLYXRzb3ZpY2giLCJnaXZlbiI6IkwiLCJwYXJzZS1uYW1lcyI6ZmFsc2UsImRyb3BwaW5nLXBhcnRpY2xlIjoiIiwibm9uLWRyb3BwaW5nLXBhcnRpY2xlIjoiIn0seyJmYW1pbHkiOiJEeml1cmEiLCJnaXZlbiI6IkoiLCJwYXJzZS1uYW1lcyI6ZmFsc2UsImRyb3BwaW5nLXBhcnRpY2xlIjoiIiwibm9uLWRyb3BwaW5nLXBhcnRpY2xlIjoiIn0seyJmYW1pbHkiOiJXYWxrdXAiLCJnaXZlbiI6IkogVCIsInBhcnNlLW5hbWVzIjpmYWxzZSwiZHJvcHBpbmctcGFydGljbGUiOiIiLCJub24tZHJvcHBpbmctcGFydGljbGUiOiIifSx7ImZhbWlseSI6IlNjYWhpbGwiLCJnaXZlbiI6IkwiLCJwYXJzZS1uYW1lcyI6ZmFsc2UsImRyb3BwaW5nLXBhcnRpY2xlIjoiIiwibm9uLWRyb3BwaW5nLXBhcnRpY2xlIjoiIn1dLCJjb250YWluZXItdGl0bGUiOiJOZXVyb2xvZ3kiLCJET0kiOiJodHRwczovL2R4LmRvaS5vcmcvMTAuMTIxMi9XTkwuMDAwMDAwMDAwMDAwMzcxMCIsIlVSTCI6Imh0dHA6Ly93d3cubmV1cm9sb2d5Lm9yZ2h0dHA6Ly9vdmlkc3Aub3ZpZC5jb20vb3ZpZHdlYi5jZ2k/VD1KUyZQQUdFPXJlZmVyZW5jZSZEPWVtZWQxOCZORVdTPU4mQU49NjE0ODU3NDcxIiwiaXNzdWVkIjp7ImRhdGUtcGFydHMiOltbMjAxN11dfSwicGFnZSI6IjEwMjktMTAzNiIsImFic3RyYWN0IjoiT2JqZWN0aXZlOiBUbyBleGFtaW5lIG1vZGVyYXRvcnMgYW5kIHByZWRpY3RvcnMgb2YgcmVzcG9uc2UgdG8gYmVoYXZpb3IgdGhlcmFweSBmb3IgdGljcyBpbiBjaGlsZHJlbiBhbmQgYWR1bHRzIHdpdGggVG91cmV0dGUgc3luZHJvbWUgYW5kIGNocm9uaWMgdGljIGRpc29yZGVycy4gTWV0aG9kKHMpOiBEYXRhIGZyb20gMiAxMC13ZWVrLCBtdWx0aXNpdGUgc3R1ZGllcyAoMSBpbiBjaGlsZHJlbiBhbmQgMSBpbiBhZHVsdHM7IHRvdGFsIG4gNSAyNDgpIGNvbXBhcmluZyBjb21wcmVoZW5zaXZlIGJlaGF2aW9yYWwgaW50ZXJ2ZW50aW9uIGZvciB0aWNzIChDQklUKSB0byBwc3ljaG9lZHVjYXRpb24gYW5kIHN1cHBvcnRpdmUgdGhlcmFweSAoUFNUKSB3ZXJlIGNvbWJpbmVkIGZvciBtb2RlcmF0b3IgYW5hbHlzZXMuIFBhcnRpY2lwYW50cyAoMTc3IG1hbGUsIDcxIGZlbWFsZSkgaGFkIGEgbWVhbiBhZ2Ugb2YgMjEuNSA2IDEzLjkgeWVhcnMgKHJhbmdlIDktNjkpLiBEZW1vZ3JhcGhpYyBhbmQgY2xpbmljYWwgY2hhcmFjdGVyaXN0aWNzLCBiYXNlbGluZSB0aWMtc3VwcHJlc3NpbmcgbWVkaWNhdGlvbiwgYW5kIGNvLW9jY3VycmluZyBwc3ljaGlhdHJpYyBkaXNvcmRlcnMgd2VyZSB0ZXN0ZWQgYXMgcG90ZW50aWFsIG1vZGVyYXRvcnMgZm9yIENCSVQgdnMgUFNUIG9yIHByZWRpY3RvcnMgb2Ygb3V0Y29tZSByZWdhcmRsZXNzIG9mIHRyZWF0bWVudCBhc3NpZ25tZW50LiBNYWluIG91dGNvbWVzIG1lYXN1cmVzIHdlcmUgdGhlIFlhbGUgR2xvYmFsIFRpYyBTZXZlcml0eSBTY2FsZSBUb3RhbCBUaWMgc2NvcmUgYW5kIHRoZSBDbGluaWNhbCBHbG9iYWwgSW1wcmVzc2lvbi1JbXByb3ZlbWVudCBzY29yZSBhc3Nlc3NlZCBieSBtYXNrZWQgZXZhbHVhdG9ycy4gUmVzdWx0KHMpOiBUaGUgcHJlc2VuY2Ugb2YgdGljIG1lZGljYXRpb24gc2lnbmlmaWNhbnRseSBtb2RlcmF0ZWQgcmVzcG9uc2UgdG8gQ0JJVCB2cyBQU1QgKHAgNSAwLjAxKS4gUGFydGljaXBhbnRzIHNob3dlZCB0aWMgcmVkdWN0aW9uIGFmdGVyIENCSVQgcmVnYXJkbGVzcyBvZiB0aWMgbWVkaWNhdGlvbiBzdGF0dXMsIGJ1dCBvbmx5IHBhcnRpY2lwYW50cyByZWNlaXZpbmcgdGljIG1lZGljYXRpb24gc2hvd2VkIHJlZHVjdGlvbiBvZiB0aWNzIGFmdGVyIFBTVC4gQ28tb2NjdXJyaW5nIHBzeWNoaWF0cmljIGRpc29yZGVycywgYWdlLCBzZXgsIGZhbWlseSBmdW5jdGlvbmluZywgdGljIGNoYXJhY3RlcmlzdGljcywgYW5kIHRyZWF0bWVudCBleHBlY3RhbmN5IGRpZCBub3QgbW9kZXJhdGUgcmVzcG9uc2UuIEFjcm9zcyBib3RoIHRyZWF0bWVudHMsIGdyZWF0ZXIgdGljIHNldmVyaXR5IChwIDUgMC4wMDUpIGFuZCBwb3NpdGl2ZSBwYXJ0aWNpcGFudCBleHBlY3RhbmN5IChwIDUgMC4wMSkgcHJlZGljdGVkIGdyZWF0ZXIgdGljIGltcHJvdmVtZW50LiBBbnhpZXR5IGRpc29yZGVycyAocCA1IDAuMDQyKSBhbmQgcHJlbW9uaXRvcnkgdXJnZSBzZXZlcml0eSAocCA1IDAuMDA1KSBwcmVkaWN0ZWQgbG93ZXIgdGljIHJlZHVjdGlvbi4gQ29uY2x1c2lvbihzKTogUHJlc2VuY2Ugb2YgY28tb2NjdXJyaW5nIGF0dGVudGlvbi1kZWZpY2l0L2h5cGVyYWN0aXZpdHkgZGlzb3JkZXIsIG9ic2Vzc2l2ZWNvbXB1bHNpdmUgZGlzb3JkZXIsIG9yIGFueGlldHkgZGlzb3JkZXJzIGRpZCBub3QgbW9kZXJhdGUgcmVzcG9uc2UgdG8gQ0JJVC4gQWx0aG91Z2ggcGFydGljaXBhbnRzIG9uIHRpYyBtZWRpY2F0aW9uIHNob3dlZCBpbXByb3ZlbWVudCBhZnRlciBDQklULCB0aGUgZGlmZmVyZW5jZSBiZXR3ZWVuIENCSVQgYW5kIFBTVCB3YXMgZ3JlYXRlciBmb3IgcGFydGljaXBhbnRzIHdobyB3ZXJlIG5vdCBvbiB0aWMtc3VwcHJlc3NpbmcgbWVkaWNhdGlvbi4gQ2xpbmljYWxUcmlhbHMuZ292IGlkZW50aWZpZXJzOiBUaGUgY2hpbGQgYW5kIGFkdWx0IENCSVQgc3R1ZGllcyBhcmUgbGlzdGVkIG9uIGNsaW5pY2FsIHRyaWFscy5nb3YgKE5DVDAwMjE4Nzc3IGFuZCBOQ1QwMDIzMTk4NSwgcmVzcGVjdGl2ZWx5KS4gQ2xhc3NpZmljYXRpb24gb2YgZXZpZGVuY2U6IFRoaXMgc3R1ZHkgcHJvdmlkZXMgQ2xhc3MgSSBldmlkZW5jZSB0aGF0IENCSVQgaXMgZWZmZWN0aXZlIGluIHJlZHVjaW5nIHRpYyBzZXZlcml0eSBhY3Jvc3Mgc3ViZ3JvdXBzIG9mIHBhdGllbnRzIHdpdGggY2hyb25pYyB0aWMgZGlzb3JkZXJzLCBhbHRob3VnaCB0aGUgZGlmZmVyZW5jZSBiZXR3ZWVuIHRyZWF0bWVudHMgd2FzIHNtYWxsZXIgZm9yIHBhcnRpY2lwYW50cyBvbiB0aWMtc3VwcHJlc3NpbmcgbWVkaWNhdGlvbnMsIHN1Z2dlc3RpbmcgcmVkdWNlZCBlZmZpY2FjeSBpbiB0aGlzIHN1Ymdyb3VwLkNvcHlyaWdodCDCqSBBbWVyaWNhbiBBY2FkZW15IG9mIE5ldXJvbG9neS4iLCJpc3N1ZSI6IjExIiwidm9sdW1lIjoiODgiLCJjb250YWluZXItdGl0bGUtc2hvcnQiOiJOZXVyb2xvZ3kifSwiaXNUZW1wb3JhcnkiOmZhbHNlfV19"/>
                <w:id w:val="-1149056261"/>
                <w:placeholder>
                  <w:docPart w:val="DefaultPlaceholder_-1854013440"/>
                </w:placeholder>
              </w:sdtPr>
              <w:sdtContent>
                <w:r w:rsidR="00F04E9F" w:rsidRPr="00F04E9F">
                  <w:rPr>
                    <w:rFonts w:cs="Times New Roman"/>
                    <w:color w:val="000000"/>
                    <w:sz w:val="16"/>
                    <w:szCs w:val="16"/>
                  </w:rPr>
                  <w:t>(65)</w:t>
                </w:r>
              </w:sdtContent>
            </w:sdt>
          </w:p>
        </w:tc>
        <w:tc>
          <w:tcPr>
            <w:tcW w:w="0" w:type="auto"/>
            <w:shd w:val="clear" w:color="auto" w:fill="FFFFFF"/>
          </w:tcPr>
          <w:p w14:paraId="396F5CF0" w14:textId="77777777"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rPr>
              <w:t> 248 children and adults with CTDs</w:t>
            </w:r>
          </w:p>
        </w:tc>
        <w:tc>
          <w:tcPr>
            <w:tcW w:w="0" w:type="auto"/>
            <w:shd w:val="clear" w:color="auto" w:fill="FFFFFF"/>
          </w:tcPr>
          <w:p w14:paraId="004D38E9" w14:textId="77777777"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CBIT vs. PST (eight sessions over 10 weeks)</w:t>
            </w:r>
          </w:p>
        </w:tc>
        <w:tc>
          <w:tcPr>
            <w:tcW w:w="0" w:type="auto"/>
            <w:shd w:val="clear" w:color="auto" w:fill="FFFFFF"/>
          </w:tcPr>
          <w:p w14:paraId="2D8CEE54" w14:textId="77777777"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rPr>
              <w:t>A mixed-model repeated-measures analyses showed that higher PUTS scores at baseline significantly predicted lesser reduction of YGTSS-TTS scores across both treatment groups</w:t>
            </w:r>
            <w:r w:rsidRPr="008A1F40">
              <w:rPr>
                <w:rFonts w:cs="Times New Roman"/>
                <w:color w:val="000000" w:themeColor="text1"/>
                <w:sz w:val="16"/>
                <w:szCs w:val="16"/>
                <w:shd w:val="clear" w:color="auto" w:fill="FFFFFF"/>
              </w:rPr>
              <w:t xml:space="preserve"> (F</w:t>
            </w:r>
            <w:r w:rsidRPr="008A1F40">
              <w:rPr>
                <w:rFonts w:cs="Times New Roman"/>
                <w:color w:val="000000" w:themeColor="text1"/>
                <w:sz w:val="16"/>
                <w:szCs w:val="16"/>
                <w:shd w:val="clear" w:color="auto" w:fill="FFFFFF"/>
                <w:vertAlign w:val="subscript"/>
              </w:rPr>
              <w:t>1,225</w:t>
            </w:r>
            <w:r w:rsidRPr="008A1F40">
              <w:rPr>
                <w:rFonts w:cs="Times New Roman"/>
                <w:color w:val="000000" w:themeColor="text1"/>
                <w:sz w:val="16"/>
                <w:szCs w:val="16"/>
                <w:shd w:val="clear" w:color="auto" w:fill="FFFFFF"/>
              </w:rPr>
              <w:t xml:space="preserve"> = 8.13, p = 0.005)</w:t>
            </w:r>
            <w:r w:rsidRPr="008A1F40">
              <w:rPr>
                <w:rFonts w:cs="Times New Roman"/>
                <w:color w:val="000000" w:themeColor="text1"/>
                <w:sz w:val="16"/>
                <w:szCs w:val="16"/>
              </w:rPr>
              <w:t>. PUTS scores did not moderate treatment response</w:t>
            </w:r>
          </w:p>
        </w:tc>
      </w:tr>
    </w:tbl>
    <w:p w14:paraId="6B47DCFB" w14:textId="53D81C6C" w:rsidR="00986E35" w:rsidRDefault="00986E35" w:rsidP="00986E35">
      <w:pPr>
        <w:rPr>
          <w:rFonts w:cs="Times New Roman"/>
          <w:sz w:val="16"/>
          <w:szCs w:val="16"/>
        </w:rPr>
      </w:pPr>
      <w:r w:rsidRPr="008A1F40">
        <w:rPr>
          <w:rFonts w:cs="Times New Roman"/>
          <w:color w:val="000000" w:themeColor="text1"/>
          <w:sz w:val="16"/>
          <w:szCs w:val="16"/>
          <w:shd w:val="clear" w:color="auto" w:fill="FFFFFF"/>
        </w:rPr>
        <w:t xml:space="preserve">CBIT = Comprehensive behavioral intervention for tics, ERP = </w:t>
      </w:r>
      <w:r w:rsidRPr="008A1F40">
        <w:rPr>
          <w:rFonts w:cs="Times New Roman"/>
          <w:color w:val="000000" w:themeColor="text1"/>
          <w:sz w:val="16"/>
          <w:szCs w:val="16"/>
        </w:rPr>
        <w:t>Exposure and response prevention</w:t>
      </w:r>
      <w:r w:rsidRPr="008A1F40">
        <w:rPr>
          <w:rFonts w:cs="Times New Roman"/>
          <w:color w:val="000000" w:themeColor="text1"/>
          <w:sz w:val="16"/>
          <w:szCs w:val="16"/>
          <w:shd w:val="clear" w:color="auto" w:fill="FFFFFF"/>
        </w:rPr>
        <w:t xml:space="preserve">, HRT = </w:t>
      </w:r>
      <w:r w:rsidRPr="008A1F40">
        <w:rPr>
          <w:rFonts w:cs="Times New Roman"/>
          <w:color w:val="000000" w:themeColor="text1"/>
          <w:sz w:val="16"/>
          <w:szCs w:val="16"/>
        </w:rPr>
        <w:t xml:space="preserve">Habit reversal training, PST = Psychoeducation and supportive therapy, SUD-score = </w:t>
      </w:r>
      <w:r w:rsidRPr="008A1F40">
        <w:rPr>
          <w:rFonts w:cs="Times New Roman"/>
          <w:color w:val="000000" w:themeColor="text1"/>
          <w:sz w:val="16"/>
          <w:szCs w:val="16"/>
          <w:shd w:val="clear" w:color="auto" w:fill="FFFFFF"/>
        </w:rPr>
        <w:t xml:space="preserve">subjective units of distress scale score (higher scores indicate more distressing premonitory urges), </w:t>
      </w:r>
      <w:r w:rsidRPr="008A1F40">
        <w:rPr>
          <w:rFonts w:cs="Times New Roman"/>
          <w:sz w:val="16"/>
          <w:szCs w:val="16"/>
        </w:rPr>
        <w:t xml:space="preserve">YGTSS = Yale Global Tic Severity Scale, TTS = Total Tic Score, </w:t>
      </w:r>
      <w:r w:rsidRPr="008A1F40">
        <w:rPr>
          <w:rFonts w:cs="Times New Roman"/>
          <w:color w:val="000000" w:themeColor="text1"/>
          <w:sz w:val="16"/>
          <w:szCs w:val="16"/>
        </w:rPr>
        <w:t xml:space="preserve">CTD = Chronic Tic Disorder, </w:t>
      </w:r>
      <w:r w:rsidRPr="008A1F40">
        <w:rPr>
          <w:rFonts w:cs="Times New Roman"/>
          <w:sz w:val="16"/>
          <w:szCs w:val="16"/>
        </w:rPr>
        <w:t>PUTS = Premonitory Urge for Tics Scale, TS = Tourette Syndrome</w:t>
      </w:r>
    </w:p>
    <w:p w14:paraId="08FE4F12" w14:textId="77777777" w:rsidR="00986E35" w:rsidRPr="00986E35" w:rsidRDefault="00986E35" w:rsidP="00986E35">
      <w:pPr>
        <w:rPr>
          <w:rFonts w:eastAsia="Times New Roman" w:cs="Times New Roman"/>
          <w:color w:val="0D0D0D"/>
          <w:sz w:val="16"/>
          <w:szCs w:val="16"/>
        </w:rPr>
      </w:pPr>
    </w:p>
    <w:p w14:paraId="6A2089AE" w14:textId="6A658625" w:rsidR="00986E35" w:rsidRPr="008A1F40" w:rsidRDefault="00986E35" w:rsidP="00986E35">
      <w:pPr>
        <w:rPr>
          <w:rFonts w:cs="Times New Roman"/>
          <w:color w:val="000000" w:themeColor="text1"/>
          <w:sz w:val="16"/>
          <w:szCs w:val="16"/>
        </w:rPr>
      </w:pPr>
      <w:r w:rsidRPr="008A1F40">
        <w:rPr>
          <w:rFonts w:cs="Times New Roman"/>
          <w:color w:val="000000" w:themeColor="text1"/>
          <w:sz w:val="16"/>
          <w:szCs w:val="16"/>
        </w:rPr>
        <w:t>Table 11: Premonitory Urge Response to Pharmacotherapy</w:t>
      </w:r>
    </w:p>
    <w:tbl>
      <w:tblPr>
        <w:tblW w:w="9210" w:type="dxa"/>
        <w:tblCellSpacing w:w="15" w:type="dxa"/>
        <w:tblBorders>
          <w:top w:val="thinThickSmallGap" w:sz="24" w:space="0" w:color="C4BC96" w:themeColor="background2" w:themeShade="BF"/>
          <w:left w:val="thinThickSmallGap" w:sz="24" w:space="0" w:color="C4BC96" w:themeColor="background2" w:themeShade="BF"/>
          <w:bottom w:val="thickThinSmallGap" w:sz="24" w:space="0" w:color="C4BC96" w:themeColor="background2" w:themeShade="BF"/>
          <w:right w:val="thickThinSmallGap" w:sz="24" w:space="0" w:color="C4BC96" w:themeColor="background2" w:themeShade="BF"/>
          <w:insideH w:val="single" w:sz="6" w:space="0" w:color="C4BC96" w:themeColor="background2" w:themeShade="BF"/>
          <w:insideV w:val="single" w:sz="6" w:space="0" w:color="C4BC96" w:themeColor="background2"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871"/>
        <w:gridCol w:w="1864"/>
        <w:gridCol w:w="2912"/>
        <w:gridCol w:w="3563"/>
      </w:tblGrid>
      <w:tr w:rsidR="00986E35" w:rsidRPr="008A1F40" w14:paraId="1A616D1D" w14:textId="77777777" w:rsidTr="007F77D2">
        <w:trPr>
          <w:tblHeader/>
          <w:tblCellSpacing w:w="15" w:type="dxa"/>
        </w:trPr>
        <w:tc>
          <w:tcPr>
            <w:tcW w:w="0" w:type="auto"/>
            <w:shd w:val="clear" w:color="auto" w:fill="FFFFFF"/>
            <w:hideMark/>
          </w:tcPr>
          <w:p w14:paraId="7D4EBAF7"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lastRenderedPageBreak/>
              <w:t>Study</w:t>
            </w:r>
          </w:p>
        </w:tc>
        <w:tc>
          <w:tcPr>
            <w:tcW w:w="0" w:type="auto"/>
            <w:shd w:val="clear" w:color="auto" w:fill="FFFFFF"/>
            <w:hideMark/>
          </w:tcPr>
          <w:p w14:paraId="50677F01"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Sample Size/Demographics</w:t>
            </w:r>
          </w:p>
        </w:tc>
        <w:tc>
          <w:tcPr>
            <w:tcW w:w="0" w:type="auto"/>
            <w:shd w:val="clear" w:color="auto" w:fill="FFFFFF"/>
            <w:hideMark/>
          </w:tcPr>
          <w:p w14:paraId="2D802B25"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Type of Intervention</w:t>
            </w:r>
          </w:p>
        </w:tc>
        <w:tc>
          <w:tcPr>
            <w:tcW w:w="0" w:type="auto"/>
            <w:shd w:val="clear" w:color="auto" w:fill="FFFFFF"/>
            <w:hideMark/>
          </w:tcPr>
          <w:p w14:paraId="290405DB"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Findings</w:t>
            </w:r>
          </w:p>
        </w:tc>
      </w:tr>
      <w:tr w:rsidR="00986E35" w:rsidRPr="008A1F40" w14:paraId="48DFEEB2" w14:textId="77777777" w:rsidTr="007F77D2">
        <w:trPr>
          <w:tblCellSpacing w:w="15" w:type="dxa"/>
        </w:trPr>
        <w:tc>
          <w:tcPr>
            <w:tcW w:w="0" w:type="auto"/>
            <w:shd w:val="clear" w:color="auto" w:fill="FFFFFF"/>
            <w:hideMark/>
          </w:tcPr>
          <w:p w14:paraId="26A3C11C" w14:textId="17DD5B4D"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Gerasch et al (2016)</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GYxNTlhMWUtNzZkNS00YzZmLWFkNmMtMTFiOTBlZDg5YWRkIiwicHJvcGVydGllcyI6eyJub3RlSW5kZXgiOjB9LCJpc0VkaXRlZCI6ZmFsc2UsIm1hbnVhbE92ZXJyaWRlIjp7ImlzTWFudWFsbHlPdmVycmlkZGVuIjpmYWxzZSwiY2l0ZXByb2NUZXh0IjoiKDIzKSIsIm1hbnVhbE92ZXJyaWRlVGV4dCI6IiJ9LCJjaXRhdGlvbkl0ZW1zIjpbeyJpZCI6IjMzMmE2MmZjLTBiYzAtMzJmNi1hODFjLTUyN2RiMTcyZDZjNCIsIml0ZW1EYXRhIjp7InR5cGUiOiJhcnRpY2xlLWpvdXJuYWwiLCJpZCI6IjMzMmE2MmZjLTBiYzAtMzJmNi1hODFjLTUyN2RiMTcyZDZjNCIsInRpdGxlIjoiQXJpcGlwcmF6b2xlIGltcHJvdmVzIGFzc29jaWF0ZWQgY29tb3JiaWQgY29uZGl0aW9ucyBpbiBhZGRpdGlvbiB0byB0aWNzIGluIGFkdWx0IHBhdGllbnRzIHdpdGggR2lsbGVzIGRlIGxhIFRvdXJldHRlIFN5bmRyb21lIiwiZ3JvdXBJZCI6IjA3ZDYyYWMxLTVhYTgtMzlhZi1iNDllLTUyZDIwODhhYzU3MSIsImF1dGhvciI6W3siZmFtaWx5IjoiR2VyYXNjaCIsImdpdmVuIjoiUyIsInBhcnNlLW5hbWVzIjpmYWxzZSwiZHJvcHBpbmctcGFydGljbGUiOiIiLCJub24tZHJvcHBpbmctcGFydGljbGUiOiIifSx7ImZhbWlseSI6IkthbmFhbiIsImdpdmVuIjoiQSBTIiwicGFyc2UtbmFtZXMiOmZhbHNlLCJkcm9wcGluZy1wYXJ0aWNsZSI6IiIsIm5vbi1kcm9wcGluZy1wYXJ0aWNsZSI6IiJ9LHsiZmFtaWx5IjoiSmFrdWJvdnNraSIsImdpdmVuIjoiRSIsInBhcnNlLW5hbWVzIjpmYWxzZSwiZHJvcHBpbmctcGFydGljbGUiOiIiLCJub24tZHJvcHBpbmctcGFydGljbGUiOiIifSx7ImZhbWlseSI6Ik11bGxlci1WYWhsIiwiZ2l2ZW4iOiJLIFIiLCJwYXJzZS1uYW1lcyI6ZmFsc2UsImRyb3BwaW5nLXBhcnRpY2xlIjoiIiwibm9uLWRyb3BwaW5nLXBhcnRpY2xlIjoiIn1dLCJjb250YWluZXItdGl0bGUiOiJGcm9udGllcnMgaW4gTmV1cm9zY2llbmNlIiwiRE9JIjoiaHR0cHM6Ly9keC5kb2kub3JnLzEwLjMzODkvZm5pbnMuMjAxNi4wMDQxNiIsIlVSTCI6Imh0dHA6Ly9qb3VybmFsLmZyb250aWVyc2luLm9yZy9hcnRpY2xlLzEwLjMzODkvZm5pbnMuMjAxNi4wMDQxNi9mdWxsaHR0cDovL292aWRzcC5vdmlkLmNvbS9vdmlkd2ViLmNnaT9UPUpTJlBBR0U9cmVmZXJlbmNlJkQ9ZW1lZDE3Jk5FV1M9TiZBTj02MTI3OTM2NDgiLCJpc3N1ZWQiOnsiZGF0ZS1wYXJ0cyI6W1syMDE2XV19LCJwYWdlIjoiNDE2IiwiYWJzdHJhY3QiOiJHaWxsZXMgZGUgbGEgVG91cmV0dGUgU3luZHJvbWUgKEdUUykgaXMgY2hhcmFjdGVyaXplZCBieSBtb3RvciBhbmQgdm9jYWwgdGljcywgYXMgd2VsbCBhcyBhc3NvY2lhdGVkIGNvbW9yYmlkIGNvbmRpdGlvbnMgaW5jbHVkaW5nIG9ic2Vzc2l2ZS1jb21wdWxzaXZlIGRpc29yZGVyIChPQ0QpLCBhdHRlbnRpb24gZGVmaWNpdC9oeXBlcmFjdGl2aXR5IGRpc29yZGVyIChBREhEKSwgZGVwcmVzc2lvbiwgYW5kIGFueGlldHkgd2hpY2ggYXJlIHByZXNlbnQgaW4gYSBzdWJzdGFudGlhbCBudW1iZXIgb2YgcGF0aWVudHMuIEFsdGhvdWdoIHJhbmRvbWl6ZWQgY29udHJvbGxlZCB0cmlhbHMgaW5jbHVkaW5nIGEgbGFyZ2UgbnVtYmVyIG9mIHBhdGllbnRzIGFyZSBzdGlsbCBtaXNzaW5nLCBhcmlwaXByYXpvbGUgaXMgY3VycmVudGx5IGNvbnNpZGVyZWQgYXMgYSBmaXJzdCBjaG9pY2UgZHJ1ZyBmb3IgdGhlIHRyZWF0bWVudCBvZiB0aWNzLiBUaGUgYWltIG9mIHRoaXMgc3R1ZHkgd2FzIHRvIGZ1cnRoZXIgaW52ZXN0aWdhdGUgZWZmaWNhY3kgYW5kIHNhZmV0eSBvZiBhcmlwaXByYXpvbGUgaW4gYSBncm91cCBvZiBkcnVnLWZyZWUsIGFkdWx0IHBhdGllbnRzLiBTcGVjaWZpY2FsbHksIHdlIGludmVzdGlnYXRlZCB0aGUgaW5mbHVlbmNlIG9mIGFyaXBpcHJhem9sZSBvbiB0aWMgc2V2ZXJpdHksIGNvbW9yYmlkaXRpZXMsIHByZW1vbml0b3J5IHVyZ2UgKFBVKSwgYW5kIHF1YWxpdHkgb2YgbGlmZSAoUW9MKS4gTW9yZW92ZXIsIHdlIHdlcmUgaW50ZXJlc3RlZCBpbiB0aGUgZmFjdG9ycyB0aGF0IGluZmx1ZW5jZSBhIHBhdGllbnQncyBkZWNpc2lvbiBpbiBlbGVjdGluZyBmb3Itb3IgYWdhaW5zdC0gcGhhcm1hY29sb2dpY2FsIHRyZWF0bWVudC4gSW4gdGhpcyBwcm9zcGVjdGl2ZSB1bmNvbnRyb2xsZWQgb3Blbi1sYWJlbCBzdHVkeSwgd2UgaW5jbHVkZWQgNDQgcGF0aWVudHMgYW5kIHVzZWQgYSBudW1iZXIgb2YgcmF0aW5nIHNjYWxlcyB0byBhc3Nlc3MgdGljIHNldmVyaXR5LCBQVSwgY29tb3JiaWRpdGllcywgYW5kIFFvTCBhdCBiYXNlbGluZSBhbmQgZHVyaW5nIHRyZWF0bWVudCB3aXRoIGFyaXBpcHJhem9sZS4gRWlnaHRlZW4gb3V0IG9mIGZvcnR5Zm91ciBwYXRpZW50cyBkZWNpZGVkIGZvciB1bmRlcmdvaW5nIHRyZWF0bWVudCBmb3IgdGhlaXIgdGljcyB3aXRoIGFyaXBpcHJhem9sZSBhbmQgY29tcGxldGVkIGZvbGxvdy11cCBhc3Nlc3NtZW50cyBhZnRlciA0LTYgd2Vla3MuIE91ciBtYWpvciBmaW5kaW5ncyB3ZXJlICgxKSBhcmlwaXByYXpvbGUgcmVzdWx0ZWQgaW4gc2lnbmlmaWNhbnQgcmVkdWN0aW9uIG9mIHRpY3MsIGJ1dCBkaWQgbm90IGFmZmVjdCBQVTsgKDIpIGFyaXBpcHJhem9sZSBzaWduaWZpY2FudGx5IGltcHJvdmVkIE9DRCBhbmQgc2hvd2VkIGEgdHJlbmQgdG93YXJkIGltcHJvdmVtZW50IG9mIG90aGVyIGNvbW9yYmlkaXRpZXMgaW5jbHVkaW5nIGRlcHJlc3Npb24sIGFueGlldHksIGFuZCBBREhEOyAoMykgbmVpdGhlciBzZXZlcml0eSBvZiB0aWNzLCBub3IgUFUgb3IgUW9MIGluZmx1ZW5jZWQgcGF0aWVudHMnIGRlY2lzaW9ucyBmb3Igb3IgYWdhaW5zdCB0cmVhdG1lbnQgb2YgdGljcyB3aXRoIGFyaXBpcHJhem9sZTsgaW5zdGVhZCBwYXRpZW50cyB3aXRoIGNvbW9yYmlkIE9DRCB0ZW5kZWQgdG8gZGVjaWRlIGluIGZhdm9yIG9mLCB3aGlsZSBwYXRpZW50cyB3aXRoIGNvbW9yYmlkIEFESEQgdGVuZGVkIHRvIGRlY2lkZSBhZ2FpbnN0IHRpYyB0cmVhdG1lbnQ7ICg0KSBtb3N0IGZyZXF1ZW50bHkgcmVwb3J0ZWQgYWR2ZXJzZSBlZmZlY3RzIHdlcmUgc2xlZXBpbmcgcHJvYmxlbXM7ICg1KSBwYXRpZW50cycgUW9MIHdhcyBtb3N0bHkgaW1wYWlyZWQgYnkgY29tb3JiaWQgZGVwcmVzc2lvbi4gT3VyIHJlc3VsdHMgc3VnZ2VzdCB0aGF0IGFyaXBpcHJhem9sZSBtYXkgaW1wcm92ZSBhc3NvY2lhdGVkIGNvbW9yYmlkIGNvbmRpdGlvbnMgaW4gYWRkaXRpb24gdG8gdGljcyBpbiBwYXRpZW50cyB3aXRoIEdUUy4gSXQgY2FuIGJlIGh5cG90aGVzaXplZCB0aGF0IHRoZXNlIGJlbmVmaWNpYWwgZWZmZWN0cyBhcmUgcmVsYXRlZCB0byBhcmlwaXByYXpvbGUncyBhZGFwdGl2ZSBwaGFybWFjb2xvZ2ljYWwgcHJvZmlsZSwgd2hpY2ggZXhoaWJpdHMgYW4gaW5mbHVlbmNlIG9uIHRoZSBkb3BhbWluZXJnaWMgYXMgd2VsbCBhcyBhIG51bWJlciBvZiBvdGhlciBuZXVyb3RyYW5zbWl0dGVyIHN5c3RlbXMuIEZvciB0aGUgZmlyc3QgdGltZSwgb3VyIGRhdGEgcHJvdmlkZSBldmlkZW5jZSB0aGF0IHBhdGllbnRzJyBkZWNpc2lvbiBtYWtpbmcgcHJvY2VzcyBmb3Igb3IgYWdhaW5zdCBtZWRpY2FsIHRyZWF0bWVudCBpcyBpbmZsdWVuY2VkIGJ5IG90aGVyIGZhY3RvcnMgdGhhbiB0aWMgc2V2ZXJpdHkgYW5kIFFvTC5Db3B5cmlnaHQgwqkgMjAxNiBHZXJhc2NoLCBLYW5hYW4sIEpha3Vib3Zza2kgYW5kIE11bGxlci1WYWhsLiIsImlzc3VlIjoiU0VQIiwidm9sdW1lIjoiMTAiLCJjb250YWluZXItdGl0bGUtc2hvcnQiOiJGcm9udCBOZXVyb3NjaSJ9LCJpc1RlbXBvcmFyeSI6ZmFsc2V9XX0="/>
                <w:id w:val="-1359350484"/>
                <w:placeholder>
                  <w:docPart w:val="DefaultPlaceholder_-1854013440"/>
                </w:placeholder>
              </w:sdtPr>
              <w:sdtContent>
                <w:r w:rsidR="00F04E9F" w:rsidRPr="00F04E9F">
                  <w:rPr>
                    <w:rFonts w:eastAsia="Times New Roman" w:cs="Times New Roman"/>
                    <w:color w:val="000000"/>
                    <w:sz w:val="16"/>
                    <w:szCs w:val="16"/>
                  </w:rPr>
                  <w:t>(23)</w:t>
                </w:r>
              </w:sdtContent>
            </w:sdt>
          </w:p>
        </w:tc>
        <w:tc>
          <w:tcPr>
            <w:tcW w:w="0" w:type="auto"/>
            <w:shd w:val="clear" w:color="auto" w:fill="FFFFFF"/>
            <w:hideMark/>
          </w:tcPr>
          <w:p w14:paraId="73342543"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44 adults with TS (18 chose treatment – open label)</w:t>
            </w:r>
          </w:p>
        </w:tc>
        <w:tc>
          <w:tcPr>
            <w:tcW w:w="0" w:type="auto"/>
            <w:shd w:val="clear" w:color="auto" w:fill="FFFFFF"/>
            <w:hideMark/>
          </w:tcPr>
          <w:p w14:paraId="3286703B" w14:textId="77777777" w:rsidR="00986E35" w:rsidRPr="008A1F40" w:rsidRDefault="00986E35" w:rsidP="007F77D2">
            <w:pPr>
              <w:rPr>
                <w:rFonts w:cs="Times New Roman"/>
                <w:color w:val="000000" w:themeColor="text1"/>
                <w:sz w:val="16"/>
                <w:szCs w:val="16"/>
                <w:shd w:val="clear" w:color="auto" w:fill="FFFFFF"/>
              </w:rPr>
            </w:pPr>
            <w:r w:rsidRPr="008A1F40">
              <w:rPr>
                <w:rFonts w:eastAsia="Times New Roman" w:cs="Times New Roman"/>
                <w:color w:val="0D0D0D"/>
                <w:sz w:val="16"/>
                <w:szCs w:val="16"/>
              </w:rPr>
              <w:t xml:space="preserve">Aripiprazole (Abilify) - </w:t>
            </w:r>
            <w:r w:rsidRPr="008A1F40">
              <w:rPr>
                <w:rFonts w:cs="Times New Roman"/>
                <w:color w:val="000000" w:themeColor="text1"/>
                <w:sz w:val="16"/>
                <w:szCs w:val="16"/>
                <w:shd w:val="clear" w:color="auto" w:fill="FFFFFF"/>
              </w:rPr>
              <w:t>dose began at 2.5 mg/day and was increased every three days to a maximum of 30 mg/day (mean final dose was 12.2 mg). The treatment lasted four to six weeks</w:t>
            </w:r>
          </w:p>
          <w:p w14:paraId="6A8C48B2"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Prior to treatment participants completed a four week washout period if they were using psychoactive substances</w:t>
            </w:r>
          </w:p>
        </w:tc>
        <w:tc>
          <w:tcPr>
            <w:tcW w:w="0" w:type="auto"/>
            <w:shd w:val="clear" w:color="auto" w:fill="FFFFFF"/>
            <w:hideMark/>
          </w:tcPr>
          <w:p w14:paraId="22CDB686"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A Mann-Whitney U test for paired samples showed no significant difference in PUTS scores between baseline and follow up for the treatment group (mean difference = 0.1, p = 0.917) but there was a significant reduction in YGTSS-TTS scores between baseline and follow up for the treatment group (mean difference = -3.5, p = 0.027</w:t>
            </w:r>
            <w:r w:rsidRPr="008A1F40">
              <w:rPr>
                <w:rFonts w:eastAsia="Times New Roman" w:cs="Times New Roman"/>
                <w:color w:val="0D0D0D"/>
                <w:sz w:val="16"/>
                <w:szCs w:val="16"/>
              </w:rPr>
              <w:t>)</w:t>
            </w:r>
          </w:p>
        </w:tc>
      </w:tr>
      <w:tr w:rsidR="00986E35" w:rsidRPr="008A1F40" w14:paraId="76B693C2" w14:textId="77777777" w:rsidTr="007F77D2">
        <w:trPr>
          <w:tblCellSpacing w:w="15" w:type="dxa"/>
        </w:trPr>
        <w:tc>
          <w:tcPr>
            <w:tcW w:w="0" w:type="auto"/>
            <w:shd w:val="clear" w:color="auto" w:fill="FFFFFF"/>
            <w:hideMark/>
          </w:tcPr>
          <w:p w14:paraId="51D50F76" w14:textId="741B03D5"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Gilbert et al (2014)</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zQ1ODEwODItODg0Ni00YWFmLWFiYTctMTAwODEyODBjYmM3IiwicHJvcGVydGllcyI6eyJub3RlSW5kZXgiOjB9LCJpc0VkaXRlZCI6ZmFsc2UsIm1hbnVhbE92ZXJyaWRlIjp7ImlzTWFudWFsbHlPdmVycmlkZGVuIjpmYWxzZSwiY2l0ZXByb2NUZXh0IjoiKDY2KSIsIm1hbnVhbE92ZXJyaWRlVGV4dCI6IiJ9LCJjaXRhdGlvbkl0ZW1zIjpbeyJpZCI6Ijk1ODMwMGRmLTNmOGEtM2FlZS1iMTA4LTZhODUzMDkxODAzOCIsIml0ZW1EYXRhIjp7InR5cGUiOiJhcnRpY2xlLWpvdXJuYWwiLCJpZCI6Ijk1ODMwMGRmLTNmOGEtM2FlZS1iMTA4LTZhODUzMDkxODAzOCIsInRpdGxlIjoiQSBEMSByZWNlcHRvciBhbnRhZ29uaXN0LCBlY29waXBhbSwgZm9yIHRyZWF0bWVudCBvZiB0aWNzIGluIHRvdXJldHRlIHN5bmRyb21lIiwiZ3JvdXBJZCI6IjA3ZDYyYWMxLTVhYTgtMzlhZi1iNDllLTUyZDIwODhhYzU3MSIsImF1dGhvciI6W3siZmFtaWx5IjoiR2lsYmVydCIsImdpdmVuIjoiRCBMIiwicGFyc2UtbmFtZXMiOmZhbHNlLCJkcm9wcGluZy1wYXJ0aWNsZSI6IiIsIm5vbi1kcm9wcGluZy1wYXJ0aWNsZSI6IiJ9LHsiZmFtaWx5IjoiQnVkbWFuIiwiZ2l2ZW4iOiJDIEwiLCJwYXJzZS1uYW1lcyI6ZmFsc2UsImRyb3BwaW5nLXBhcnRpY2xlIjoiIiwibm9uLWRyb3BwaW5nLXBhcnRpY2xlIjoiIn0seyJmYW1pbHkiOiJTaW5nZXIiLCJnaXZlbiI6IkggUyIsInBhcnNlLW5hbWVzIjpmYWxzZSwiZHJvcHBpbmctcGFydGljbGUiOiIiLCJub24tZHJvcHBpbmctcGFydGljbGUiOiIifSx7ImZhbWlseSI6Ikt1cmxhbiIsImdpdmVuIjoiUiIsInBhcnNlLW5hbWVzIjpmYWxzZSwiZHJvcHBpbmctcGFydGljbGUiOiIiLCJub24tZHJvcHBpbmctcGFydGljbGUiOiIifSx7ImZhbWlseSI6IkNoaXBraW4iLCJnaXZlbiI6IlIgRSIsInBhcnNlLW5hbWVzIjpmYWxzZSwiZHJvcHBpbmctcGFydGljbGUiOiIiLCJub24tZHJvcHBpbmctcGFydGljbGUiOiIifV0sImNvbnRhaW5lci10aXRsZSI6IkNsaW5pY2FsIE5ldXJvcGhhcm1hY29sb2d5IiwiRE9JIjoiaHR0cHM6Ly9keC5kb2kub3JnLzEwLjEwOTcvV05GLjAwMDAwMDAwMDAwMDAwMTciLCJVUkwiOiJodHRwOi8vb3ZpZHNwLm92aWQuY29tL292aWR3ZWIuY2dpP1Q9SlMmUEFHRT1yZWZlcmVuY2UmRD1lbWVkMTUmTkVXUz1OJkFOPTUyOTcwMTM0IiwiaXNzdWVkIjp7ImRhdGUtcGFydHMiOltbMjAxNF1dfSwicGFnZSI6IjI2LTMwIiwiYWJzdHJhY3QiOiJPQkpFQ1RJVkVTOiBEeXNyZWd1bGF0aW9uIG9mIGRvcGFtaW5lcmdpYyBzaWduYWxpbmcgaGFzIGJlZW4gaHlwb3RoZXNpemVkIHRvIHVuZGVybGllIHRoZSBtb3RvciBhbmQgcGhvbmljIHRpY3MgaW4gVG91cmV0dGUgc3luZHJvbWUgKFRTKS4gVGhlIG9iamVjdGl2ZSBvZiB0aGlzIHRyaWFsIHdhcyB0byBldmFsdWF0ZSB0aGUgc2FmZXR5IGFuZCB0aWMtcmVkdWNpbmcgYWN0aXZpdHkgb2YgdGhlIHNlbGVjdGl2ZSBkb3BhbWluZSBEMSByZWNlcHRvciBhbnRhZ29uaXN0IGVjb3BpcGFtIGluIGFkdWx0cyB3aXRoIFRTLiBNRVRIT0QoUyk6IFRoaXMgd2FzIGEgbXVsdGljZW50ZXIsIG5vbnJhbmRvbWl6ZWQsIG9wZW4tbGFiZWwgc3R1ZHkgb2YgNTAtbWcgZWNvcGlwYW0gZGFpbHkgKHdlZWtzIDEtMikgYW5kIHRoZW4gMTAwIG1nIGRhaWx5ICh3ZWVrcyAzLTgpLCB0YWtlbiBvcmFsbHkgYmVmb3JlIGJlZHRpbWUuIFRoZSBwcmltYXJ5IGVmZmljYWN5IGVuZCBwb2ludCB3YXMgdGhlIGNoYW5nZSBpbiB0aGUgWWFsZSBHbG9iYWwgVGljIFNldmVyaXR5IFNjYWxlIChZR1RTUykgdG90YWwgdGljIHNjb3JlLiBDb21vcmJpZCBwc3ljaGlhdHJpYyBzeW1wdG9tcyBhbmQgcHJlbW9uaXRvcnkgdXJnZXMgd2VyZSByYXRlZDsgd2VpZ2h0LCBzZXJ1bSBtZXRhYm9saWMgc3R1ZGllcywgYW5kIGFkdmVyc2UgZWZmZWN0cyB3ZXJlIG1vbml0b3JlZC4gUkVTVUxUKFMpOiBFaWdodGVlbiBhZHVsdHMgKDE1IG1lbjsgMTUgd2hpdGUsIDIgQWZyaWNhbiBBbWVyaWNhbiwgMSBBc2lhbiksIHdpdGggYSBtZWFuIGFnZSBvZiAzNi4yIHllYXJzIChyYW5nZSwgMTgtNjMgeWVhcnMpLCB3ZXJlIGVucm9sbGVkLCBhbmQgMTUgY29tcGxldGVkIHRoZSBzdHVkeS4gTWVhbiAoU0QpIFlHVFNTIFRvdGFsIFRpYyBzY29yZSB3YXMgMzAuNiAoOC44KSBhdCBiYXNlbGluZSBhbmQgMjUuMyAoOS4yKSBhdCA4IHdlZWtzICgyLXRhaWxlZCBwYWlyZWQgdDE3ID0gNC40OyBQID0gMC4wMDA0KS4gTWVhbiAoU0QpIFlHVFNTIGltcGFpcm1lbnQgc2NvcmUgd2FzIDI5LjcgKDEwLjkpIGF0IGJhc2VsaW5lIGFuZCAyMi44ICgxMy43KSBhdCBmaW5hbCB2aXNpdCAodDE3ID0gMi4yOyBQID0gMC4wNCkuIFRoZXJlIHdhcyBubyBzaWduaWZpY2FudCBjaGFuZ2UgaW4gcHJlbW9uaXRvcnkgdXJnZXMgb3IgcHN5Y2hpYXRyaWMgc3ltcHRvbXMuIE1lYW4gY2hhbmdlIGluIHdlaWdodCB3YXMtMC43IGtnIChQID0gMC4wNykuIFRoZSBtb3N0IGNvbW1vbmx5IHJlcG9ydGVkIGFkdmVyc2UgZXZlbnRzIHdlcmUgc2VkYXRpb24gKDM5JSksIGZhdGlndWUgKDMzJSksIGluc29tbmlhICgzMyUpLCBzb21ub2xlbmNlICgyOCUpLCBhbnhpZXR5ICgyMiUpLCBoZWFkYWNoZSAoMjIlKSwgYW5kIG11c2NsZSB0d2l0Y2hpbmcgKDIyJSkuIENPTkNMVVNJT04oUyk6IEluIHRoaXMgb3Blbi1sYWJlbCBzdHVkeSBpbiBhZHVsdHMgd2l0aCBUUywgdGljcyB3ZXJlIHJlZHVjZWQgYWZ0ZXIgOCB3ZWVrcyBvZiB0cmVhdG1lbnQgd2l0aCBlY29waXBhbS4gVG8gY29uZmlybSBzYWZldHkgYW5kIGVmZmljYWN5LCByYW5kb21pemVkLCBkb3VibGUgYmxpbmQsIHBsYWNlYm8tY29udHJvbGxlZCB0cmlhbHMgYXJlIHdhcnJhbnRlZC4gwqkgMjAxNCBieSBMaXBwaW5jb3R0IFdpbGxpYW1zIGFuZCBXaWxraW5zLiIsImlzc3VlIjoiMSIsInZvbHVtZSI6IjM3IiwiY29udGFpbmVyLXRpdGxlLXNob3J0IjoiQ2xpbiBOZXVyb3BoYXJtYWNvbCJ9LCJpc1RlbXBvcmFyeSI6ZmFsc2V9XX0="/>
                <w:id w:val="-61805180"/>
                <w:placeholder>
                  <w:docPart w:val="DefaultPlaceholder_-1854013440"/>
                </w:placeholder>
              </w:sdtPr>
              <w:sdtContent>
                <w:r w:rsidR="00F04E9F" w:rsidRPr="00F04E9F">
                  <w:rPr>
                    <w:rFonts w:eastAsia="Times New Roman" w:cs="Times New Roman"/>
                    <w:color w:val="000000"/>
                    <w:sz w:val="16"/>
                    <w:szCs w:val="16"/>
                  </w:rPr>
                  <w:t>(66)</w:t>
                </w:r>
              </w:sdtContent>
            </w:sdt>
          </w:p>
        </w:tc>
        <w:tc>
          <w:tcPr>
            <w:tcW w:w="0" w:type="auto"/>
            <w:shd w:val="clear" w:color="auto" w:fill="FFFFFF"/>
            <w:hideMark/>
          </w:tcPr>
          <w:p w14:paraId="75BEF1D0"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18 (15 completed) adults with TS – open label</w:t>
            </w:r>
          </w:p>
        </w:tc>
        <w:tc>
          <w:tcPr>
            <w:tcW w:w="0" w:type="auto"/>
            <w:shd w:val="clear" w:color="auto" w:fill="FFFFFF"/>
            <w:hideMark/>
          </w:tcPr>
          <w:p w14:paraId="394FB17F" w14:textId="77777777" w:rsidR="00986E35" w:rsidRPr="008A1F40" w:rsidRDefault="00986E35" w:rsidP="007F77D2">
            <w:pPr>
              <w:rPr>
                <w:rFonts w:cs="Times New Roman"/>
                <w:color w:val="000000" w:themeColor="text1"/>
                <w:sz w:val="16"/>
                <w:szCs w:val="16"/>
                <w:shd w:val="clear" w:color="auto" w:fill="FFFFFF"/>
              </w:rPr>
            </w:pPr>
            <w:r w:rsidRPr="008A1F40">
              <w:rPr>
                <w:rFonts w:eastAsia="Times New Roman" w:cs="Times New Roman"/>
                <w:color w:val="0D0D0D"/>
                <w:sz w:val="16"/>
                <w:szCs w:val="16"/>
              </w:rPr>
              <w:t xml:space="preserve">Ecopipam – eight </w:t>
            </w:r>
            <w:r w:rsidRPr="008A1F40">
              <w:rPr>
                <w:rFonts w:cs="Times New Roman"/>
                <w:color w:val="000000" w:themeColor="text1"/>
                <w:sz w:val="16"/>
                <w:szCs w:val="16"/>
                <w:shd w:val="clear" w:color="auto" w:fill="FFFFFF"/>
              </w:rPr>
              <w:t xml:space="preserve">weeks </w:t>
            </w:r>
          </w:p>
          <w:p w14:paraId="4159356B"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- 50 mg each night for two weeks, then 100 mg each night for six weeks</w:t>
            </w:r>
          </w:p>
        </w:tc>
        <w:tc>
          <w:tcPr>
            <w:tcW w:w="0" w:type="auto"/>
            <w:shd w:val="clear" w:color="auto" w:fill="FFFFFF"/>
            <w:hideMark/>
          </w:tcPr>
          <w:p w14:paraId="1663335F"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PUTS scores did not significantly change from baseline (mean = 25.0) to study completion (mean = 25.4), but YGTSS-TTS (p = 0.0008) and YGTSS impairment (p = 0.0161) did decrease from baseline to study completion</w:t>
            </w:r>
          </w:p>
        </w:tc>
      </w:tr>
      <w:tr w:rsidR="00986E35" w:rsidRPr="008A1F40" w14:paraId="7A04454C" w14:textId="77777777" w:rsidTr="007F77D2">
        <w:trPr>
          <w:tblCellSpacing w:w="15" w:type="dxa"/>
        </w:trPr>
        <w:tc>
          <w:tcPr>
            <w:tcW w:w="0" w:type="auto"/>
            <w:shd w:val="clear" w:color="auto" w:fill="FFFFFF"/>
            <w:hideMark/>
          </w:tcPr>
          <w:p w14:paraId="554F67EB" w14:textId="78BA4D6A"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Jankovic et al (2010)</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WQxYWQ3ZjEtNjI1Yy00OTk0LTkzNTMtMGQ0NWI4YTcwNjk4IiwicHJvcGVydGllcyI6eyJub3RlSW5kZXgiOjB9LCJpc0VkaXRlZCI6ZmFsc2UsIm1hbnVhbE92ZXJyaWRlIjp7ImlzTWFudWFsbHlPdmVycmlkZGVuIjpmYWxzZSwiY2l0ZXByb2NUZXh0IjoiKDY3KSIsIm1hbnVhbE92ZXJyaWRlVGV4dCI6IiJ9LCJjaXRhdGlvbkl0ZW1zIjpbeyJpZCI6ImJhMWEwYWMyLTI0OGMtM2NkMS05NTNhLTM3NDY4MjM1NmQ1YiIsIml0ZW1EYXRhIjp7InR5cGUiOiJhcnRpY2xlLWpvdXJuYWwiLCJpZCI6ImJhMWEwYWMyLTI0OGMtM2NkMS05NTNhLTM3NDY4MjM1NmQ1YiIsInRpdGxlIjoiQSByYW5kb21pc2VkLCBkb3VibGUtYmxpbmQsIHBsYWNlYm8tY29udHJvbGxlZCBzdHVkeSBvZiB0b3BpcmFtYXRlIGluIHRoZSB0cmVhdG1lbnQgb2YgVG91cmV0dGUgc3luZHJvbWUiLCJncm91cElkIjoiMDdkNjJhYzEtNWFhOC0zOWFmLWI0OWUtNTJkMjA4OGFjNTcxIiwiYXV0aG9yIjpbeyJmYW1pbHkiOiJKYW5rb3ZpYyIsImdpdmVuIjoiSiIsInBhcnNlLW5hbWVzIjpmYWxzZSwiZHJvcHBpbmctcGFydGljbGUiOiIiLCJub24tZHJvcHBpbmctcGFydGljbGUiOiIifSx7ImZhbWlseSI6IkppbWVuZXotU2hhaGVkIiwiZ2l2ZW4iOiJKIiwicGFyc2UtbmFtZXMiOmZhbHNlLCJkcm9wcGluZy1wYXJ0aWNsZSI6IiIsIm5vbi1kcm9wcGluZy1wYXJ0aWNsZSI6IiJ9LHsiZmFtaWx5IjoiQnJvd24iLCJnaXZlbiI6IkwgVyIsInBhcnNlLW5hbWVzIjpmYWxzZSwiZHJvcHBpbmctcGFydGljbGUiOiIiLCJub24tZHJvcHBpbmctcGFydGljbGUiOiIifV0sImNvbnRhaW5lci10aXRsZSI6IkpvdXJuYWwgb2YgTmV1cm9sb2d5LCBOZXVyb3N1cmdlcnkgYW5kIFBzeWNoaWF0cnkiLCJET0kiOiJodHRwczovL2R4LmRvaS5vcmcvMTAuMTEzNi9qbm5wLjIwMDkuMTg1MzQ4IiwiVVJMIjoiaHR0cDovL2pubnAuYm1qLmNvbS9jb250ZW50LzgxLzEvNzAuZnVsbC5wZGZodHRwOi8vb3ZpZHNwLm92aWQuY29tL292aWR3ZWIuY2dpP1Q9SlMmUEFHRT1yZWZlcmVuY2UmRD1lbWVkMTEmTkVXUz1OJkFOPTM1ODA1NjA4MCIsImlzc3VlZCI6eyJkYXRlLXBhcnRzIjpbWzIwMTBdXX0sInBhZ2UiOiI3MC03MyIsImFic3RyYWN0IjoiT2JqZWN0aXZlOiBUbyBpbnZlc3RpZ2F0ZSB0aGUgZWZmZWN0cyBvZiB0b3BpcmFtYXRlIG9uIFRvdXJldHRlIHN5bmRyb21lIChUUykuIEJhY2tncm91bmQocyk6IERvcGFtaW5lLXJlY2VwdG9yLWJsb2NraW5nIGRydWdzIGhhdmUgYmVlbiB0cmFkaXRpb25hbGx5IHVzZWQgdG8gY29udHJvbCB0aWNzIGluIHBhdGllbnRzIHdpdGggVFMsIGJ1dCB0aGVzZSBuZXVyb2xlcHRpY3MgYXJlIGFzc29jaWF0ZWQgd2l0aCBwb3RlbnRpYWxseSBsaW1pdGluZyBzaWRlIGVmZmVjdHMuIE1ldGhvZChzKTogVGhpcyBpcyBhIHJhbmRvbWlzZWQsIGRvdWJsZS1ibGluZCwgcGxhY2Viby1jb250cm9sbGVkLCBwYXJhbGxlbCBncm91cCBzdHVkeS4gVG8gYmUgaW5jbHVkZWQgaW4gdGhlIHN0dWR5LCBzdWJqZWN0cyByZXF1aXJlZCBhIERTTS1JViBkaWFnbm9zaXMgb2YgVFMsIHdlcmUgNy02NSB5ZWFycyBvZiBhZ2UsIGhhZCBtb2RlcmF0ZSB0byBzZXZlcmUgc3ltcHRvbXMgKFlhbGUgR2xvYmFsIFRpYyBTZXZlcml0eSBTY2FsZSAoWUdUU1MpID49MTkpLCB3ZXJlIG1hcmtlZGx5IGltcGFpcmVkIGFzIGRldGVybWluZWQgYnkgdGhlIENsaW5pY2FsIEdsb2JhbCBJbXByZXNzaW9uIChDR0kpIHNjYWxlIHNldmVyaXR5IHNjb3JlIG9mID49NCBhbmQgd2VyZSB0YWtpbmcgbm8gbW9yZSB0aGFuIG9uZSBkcnVnIGVhY2ggZm9yIHRpY3Mgb3IgVFMgY29tb3JiaWRpdGllcy4gUmVzdWx0KHMpOiBUaGVyZSB3ZXJlIDI5IHBhdGllbnRzICgyNiBtYWxlcyksIG1lYW4gYWdlIDE2LjUgKFNEIDkuODkpIHllYXJzLCByYW5kb21pc2VkLCBhbmQgMjAgKDY5JSkgY29tcGxldGVkIHRoZSBkb3VibGUtYmxpbmQgcGhhc2Ugb2YgdGhlIHN0dWR5LiBUaGUgcHJpbWFyeSBlbmRwb2ludCB3YXMgVG90YWwgVGljIFNjb3JlLCB3aGljaCBpbXByb3ZlZCBieSAxNC4yOSAoMTAuNDcpIHBvaW50cyBmcm9tIGJhc2VsaW5lIHRvIHZpc2l0IDUgKGRheSA3MCkgd2l0aCB0b3BpcmFtYXRlIChtZWFuIGRvc2UgMTE4IG1nKSBjb21wYXJlZCB3aXRoIGEgNS4wMCAoOS44OCkgcG9pbnQgY2hhbmdlIGluIHRoZSBwbGFjZWJvIGdyb3VwIChwID0gMC4wMjU5KS4gVGhlcmUgd2VyZSBzdGF0aXN0aWNhbGx5IHNpZ25pZmljYW50IGltcHJvdmVtZW50cyBhbHNvIGluIHRoZSBvdGhlciBjb21wb25lbnRzIG9mIHRoZSBZR1RTUyBhcyB3ZWxsIGFzIGltcHJvdmVtZW50cyBpbiB2YXJpb3VzIHNlY29uZGFyeSBtZWFzdXJlcywgaW5jbHVkaW5nIHRoZSBDR0kgYW5kIHByZW1vbml0b3J5IHVyZ2UgQ0dJLiBObyBkaWZmZXJlbmNlcyB3ZXJlIG9ic2VydmVkIGluIHRoZSBmcmVxdWVuY3kgb2YgYWR2ZXJzZSBldmVudHMgYmV0d2VlbiB0aGUgdHdvIHRyZWF0bWVudCBncm91cHMuIENvbmNsdXNpb24ocyk6IFRoaXMgZG91YmxlLWJsaW5kLCBwbGFjZWJvLWNvbnRyb2xsZWQgdHJpYWwgcHJvdmlkZXMgZXZpZGVuY2UgdGhhdCB0b3BpcmFtYXRlIG1heSBoYXZlIHV0aWxpdHkgaW4gdGhlIHRyZWF0bWVudCBvZiBtb2RlcmF0ZWx5IHNldmVyZSBUUy4iLCJpc3N1ZSI6IjEiLCJ2b2x1bWUiOiI4MSIsImNvbnRhaW5lci10aXRsZS1zaG9ydCI6IkogTmV1cm9sIE5ldXJvc3VyZyBQc3ljaGlhdHJ5In0sImlzVGVtcG9yYXJ5IjpmYWxzZX1dfQ=="/>
                <w:id w:val="702516608"/>
                <w:placeholder>
                  <w:docPart w:val="DefaultPlaceholder_-1854013440"/>
                </w:placeholder>
              </w:sdtPr>
              <w:sdtContent>
                <w:r w:rsidR="00F04E9F" w:rsidRPr="00F04E9F">
                  <w:rPr>
                    <w:rFonts w:eastAsia="Times New Roman" w:cs="Times New Roman"/>
                    <w:color w:val="000000"/>
                    <w:sz w:val="16"/>
                    <w:szCs w:val="16"/>
                  </w:rPr>
                  <w:t>(67)</w:t>
                </w:r>
              </w:sdtContent>
            </w:sdt>
          </w:p>
        </w:tc>
        <w:tc>
          <w:tcPr>
            <w:tcW w:w="0" w:type="auto"/>
            <w:shd w:val="clear" w:color="auto" w:fill="FFFFFF"/>
            <w:hideMark/>
          </w:tcPr>
          <w:p w14:paraId="6252988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29 (20 completed) children and adults with TS</w:t>
            </w:r>
          </w:p>
        </w:tc>
        <w:tc>
          <w:tcPr>
            <w:tcW w:w="0" w:type="auto"/>
            <w:shd w:val="clear" w:color="auto" w:fill="FFFFFF"/>
            <w:hideMark/>
          </w:tcPr>
          <w:p w14:paraId="15B28468"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 xml:space="preserve">Randomized, double blind, placebo-controlled trial of </w:t>
            </w:r>
            <w:r w:rsidRPr="008A1F40">
              <w:rPr>
                <w:rFonts w:cs="Times New Roman"/>
                <w:color w:val="000000" w:themeColor="text1"/>
                <w:sz w:val="16"/>
                <w:szCs w:val="16"/>
              </w:rPr>
              <w:t>topiramate – Started on 25 mg/day of topiramate, with doses increasing over the course of six weeks to a maximum of 200 mg/day, followed by a four week maintenance phase and subsequent 12-day taper phase</w:t>
            </w:r>
          </w:p>
        </w:tc>
        <w:tc>
          <w:tcPr>
            <w:tcW w:w="0" w:type="auto"/>
            <w:shd w:val="clear" w:color="auto" w:fill="FFFFFF"/>
            <w:hideMark/>
          </w:tcPr>
          <w:p w14:paraId="7C8E4BF1"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YGTSS-TTS scores significantly improved from baseline to day 70. Premonitory urge Clinical Global Impression also improved (</w:t>
            </w:r>
            <w:r w:rsidRPr="008A1F40">
              <w:rPr>
                <w:rFonts w:cs="Times New Roman"/>
                <w:color w:val="000000" w:themeColor="text1"/>
                <w:sz w:val="16"/>
                <w:szCs w:val="16"/>
              </w:rPr>
              <w:t>values not reported)</w:t>
            </w:r>
          </w:p>
        </w:tc>
      </w:tr>
      <w:tr w:rsidR="00986E35" w:rsidRPr="008A1F40" w14:paraId="11F61DAC" w14:textId="77777777" w:rsidTr="007F77D2">
        <w:trPr>
          <w:tblCellSpacing w:w="15" w:type="dxa"/>
        </w:trPr>
        <w:tc>
          <w:tcPr>
            <w:tcW w:w="0" w:type="auto"/>
            <w:shd w:val="clear" w:color="auto" w:fill="FFFFFF"/>
            <w:hideMark/>
          </w:tcPr>
          <w:p w14:paraId="10E37244" w14:textId="62BFADD1"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McGuire et al (2020)</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2ZiZDgyMTAtNzA2MC00NGFlLTg5ZjMtY2QxMTU2NDljZTcxIiwicHJvcGVydGllcyI6eyJub3RlSW5kZXgiOjB9LCJpc0VkaXRlZCI6ZmFsc2UsIm1hbnVhbE92ZXJyaWRlIjp7ImlzTWFudWFsbHlPdmVycmlkZGVuIjpmYWxzZSwiY2l0ZXByb2NUZXh0IjoiKDY4KSIsIm1hbnVhbE92ZXJyaWRlVGV4dCI6IiJ9LCJjaXRhdGlvbkl0ZW1zIjpbeyJpZCI6IjJkNDdhMWMxLTgwZWItM2Y3My04MGQ0LTZlNDIyODY4N2UxYyIsIml0ZW1EYXRhIjp7InR5cGUiOiJhcnRpY2xlLWpvdXJuYWwiLCJpZCI6IjJkNDdhMWMxLTgwZWItM2Y3My04MGQ0LTZlNDIyODY4N2UxYyIsInRpdGxlIjoiT3B0aW1pemluZyBiZWhhdmlvciB0aGVyYXB5IGZvciB5b3V0aCB3aXRoIFRvdXJldHRlJ3MgZGlzb3JkZXIiLCJncm91cElkIjoiMDdkNjJhYzEtNWFhOC0zOWFmLWI0OWUtNTJkMjA4OGFjNTcxIiwiYXV0aG9yIjpbeyJmYW1pbHkiOiJNY0d1aXJlIiwiZ2l2ZW4iOiJKIEYiLCJwYXJzZS1uYW1lcyI6ZmFsc2UsImRyb3BwaW5nLXBhcnRpY2xlIjoiIiwibm9uLWRyb3BwaW5nLXBhcnRpY2xlIjoiIn0seyJmYW1pbHkiOiJHaW5kZXIiLCJnaXZlbiI6Ik4iLCJwYXJzZS1uYW1lcyI6ZmFsc2UsImRyb3BwaW5nLXBhcnRpY2xlIjoiIiwibm9uLWRyb3BwaW5nLXBhcnRpY2xlIjoiIn0seyJmYW1pbHkiOiJSYW1zZXkiLCJnaXZlbiI6IksiLCJwYXJzZS1uYW1lcyI6ZmFsc2UsImRyb3BwaW5nLXBhcnRpY2xlIjoiIiwibm9uLWRyb3BwaW5nLXBhcnRpY2xlIjoiIn0seyJmYW1pbHkiOiJFc3NvZSIsImdpdmVuIjoiSiBLIFkiLCJwYXJzZS1uYW1lcyI6ZmFsc2UsImRyb3BwaW5nLXBhcnRpY2xlIjoiIiwibm9uLWRyb3BwaW5nLXBhcnRpY2xlIjoiIn0seyJmYW1pbHkiOiJSaWNrZXR0cyIsImdpdmVuIjoiRSBKIiwicGFyc2UtbmFtZXMiOmZhbHNlLCJkcm9wcGluZy1wYXJ0aWNsZSI6IiIsIm5vbi1kcm9wcGluZy1wYXJ0aWNsZSI6IiJ9LHsiZmFtaWx5IjoiTWNDcmFja2VuIiwiZ2l2ZW4iOiJKIFQiLCJwYXJzZS1uYW1lcyI6ZmFsc2UsImRyb3BwaW5nLXBhcnRpY2xlIjoiIiwibm9uLWRyb3BwaW5nLXBhcnRpY2xlIjoiIn0seyJmYW1pbHkiOiJQaWFjZW50aW5pIiwiZ2l2ZW4iOiJKIiwicGFyc2UtbmFtZXMiOmZhbHNlLCJkcm9wcGluZy1wYXJ0aWNsZSI6IiIsIm5vbi1kcm9wcGluZy1wYXJ0aWNsZSI6IiJ9XSwiY29udGFpbmVyLXRpdGxlIjoiTmV1cm9wc3ljaG9waGFybWFjb2xvZ3kiLCJET0kiOiJodHRwczovL2R4LmRvaS5vcmcvMTAuMTAzOC9zNDEzODYtMDIwLTA3NjItNCIsIlVSTCI6Imh0dHA6Ly93d3cubmF0dXJlLmNvbS9ucHAvaW5kZXguaHRtbGh0dHA6Ly9vdmlkc3Aub3ZpZC5jb20vb3ZpZHdlYi5jZ2k/VD1KUyZQQUdFPXJlZmVyZW5jZSZEPWVtZWQyMSZORVdTPU4mQU49MjAwNTU0NDU1MiIsImlzc3VlZCI6eyJkYXRlLXBhcnRzIjpbWzIwMjBdXX0sInBhZ2UiOiIyMTE0LTIxMTkiLCJhYnN0cmFjdCI6IlRvdXJldHRlJ3MgRGlzb3JkZXIgKFREKSBpcyBjaGFyYWN0ZXJpemVkIGJ5IHRpY3MgdGhhdCBjYXVzZSBkaXN0cmVzcyBhbmQgaW1wYWlybWVudC4gV2hpbGUgdHJlYXRtZW50IGd1aWRlbGluZXMgcmVjb21tZW5kIGJlaGF2aW9yIHRoZXJhcHkgYXMgYSBmaXJzdC1saW5lIGludGVydmVudGlvbiwgcGF0aWVudHMgd2l0aCBURCBtYXkgZXhoaWJpdCBsaW1pdGVkIHRoZXJhcGV1dGljIHJlc3BvbnNlLiBHaXZlbiB0aGUgbmVlZCB0byBpbXByb3ZlIHRyZWF0bWVudCBvdXRjb21lcywgdGhpcyBzdHVkeSBleGFtaW5lZCB0aGUgZWZmaWNhY3kgb2YgYXVnbWVudGluZyBiZWhhdmlvciB0aGVyYXB5IHdpdGggZC1jeWNsb3NlcmluZSAoRENTKSB0byByZWR1Y2UgdGljIHNldmVyaXR5IGluIGEgcGxhY2Viby1jb250cm9sbGVkIHF1aWNrLXdpbi9mYXN0LWZhaWwgdHJpYWwuIFR3ZW50eSB5b3V0aCB3aXRoIFREIGNvbXBsZXRlZCBhIGJhc2VsaW5lIGFzc2Vzc21lbnQgdG8gY2hhcmFjdGVyaXplIHRpYyBzZXZlcml0eSwgcHJlbW9uaXRvcnkgdXJnZXMsIG1lZGljYWwgaGlzdG9yeSwgYW5kIHBzeWNoaWF0cmljIGNvbW9yYmlkaXR5LiBZb3V0aCB3ZXJlIHJhbmRvbWx5IGFzc2lnbmVkIHRvIHJlY2VpdmUgYSBzaW5nbGUgc2Vzc2lvbiBvZiBoYWJpdCByZXZlcnNhbCB0cmFpbmluZyAoSFJUKSBhdWdtZW50ZWQgYnkgZWl0aGVyIDUwIG1nIG9mIERDUyBvciBwbGFjZWJvLiBUd28gYm90aGVyc29tZSB0aWNzIG9uIHRoZSBIb3BraW5zIE1vdG9yL1ZvY2FsIFRpYyBTY2FsZSAoSE0vVlRTKSB3ZXJlIHRhcmdldGVkIGZvciB0cmVhdG1lbnQgZHVyaW5nIEhSVC4gT25lIHdlZWsgYWZ0ZXIgdGhlIEhSVCBzZXNzaW9uLCB5b3V0aCBjb21wbGV0ZWQgYSBwb3N0dHJlYXRtZW50IGFzc2Vzc21lbnQgdG8gZXZhbHVhdGUgY2hhbmdlIGluIHRoZSBzZXZlcml0eSBvZiBib3RoZXJzb21lIHRpY3MuIEFsbCBhc3Nlc3NtZW50cyB3ZXJlIGNvbXBsZXRlZCBieSBpbmRlcGVuZGVudCBldmFsdWF0b3JzIG1hc2tlZCB0byB0cmVhdG1lbnQgZ3JvdXAuIFRoZXJlIHdhcyBhIFRyZWF0bWVudCBHcm91cCBieSBUaW1lIEludGVyYWN0aW9uIGluIGZhdm9yIG9mIERDUy1hdWdtZW50ZWQgSFJUIChwIDwgMC4wMSksIGNvbnRyb2xsaW5nIGZvciBiYXNlbGluZSB0aWMgc2V2ZXJpdHksIHRpYyBtZWRpY2F0aW9uLCBhbmQgYXR0ZW50aW9uIGRlZmljaXQgaHlwZXJhY3Rpdml0eSBkaXNvcmRlci4gRm9sbG93LXVwIGNvbXBhcmlzb25zIHJldmVhbGVkIHNtYWxsIGdyb3VwIGRpZmZlcmVuY2VzIGF0IHRoZSB0cmVhdG1lbnQgdmlzaXQgKGQgPSAwLjI3KSwgd2l0aCB0aGUgRENTIGdyb3VwIGV4aGliaXRpbmcgc2xpZ2h0bHkgZ3JlYXRlciBzZXZlcml0eSBmb3IgdGFyZ2V0ZWQgdGljcy4gVGhlcmUgd2FzIGEgbGFyZ2UgZ3JvdXAgZGlmZmVyZW5jZSBhdCBwb3N0dHJlYXRtZW50LCBpbiB3aGljaCB0aGUgRENTIGdyb3VwIGV4aGliaXRlZCBsb3dlciBzZXZlcml0eSBmb3IgdGFyZ2V0ZWQgdGljcyAoZCA9IDEuMzAsIHAgPCAwLjAwMSkgcmVsYXRpdmUgdG8gdGhlIHBsYWNlYm8gZ3JvdXAuIEZpbmRpbmdzIGRlbW9uc3RyYXRlIHRoZSBwcmVsaW1pbmFyeSBlbmhhbmNlbWVudCBvZiB0aWMgc2V2ZXJpdHkgcmVkdWN0aW9ucyBieSBhdWdtZW50aW5nIEhSVCB3aXRoIERDUyBjb21wYXJlZCB3aXRoIHBsYWNlYm8gYXVnbWVudGF0aW9uLkNvcHlyaWdodCDCqSAyMDIwLCBUaGUgQXV0aG9yKHMpLCB1bmRlciBleGNsdXNpdmUgbGljZW5jZSB0byBBbWVyaWNhbiBDb2xsZWdlIG9mIE5ldXJvcHN5Y2hvcGhhcm1hY29sb2d5LiIsImlzc3VlIjoiMTIiLCJ2b2x1bWUiOiI0NSIsImNvbnRhaW5lci10aXRsZS1zaG9ydCI6IiJ9LCJpc1RlbXBvcmFyeSI6ZmFsc2V9XX0="/>
                <w:id w:val="-841165914"/>
                <w:placeholder>
                  <w:docPart w:val="DefaultPlaceholder_-1854013440"/>
                </w:placeholder>
              </w:sdtPr>
              <w:sdtContent>
                <w:r w:rsidR="00F04E9F" w:rsidRPr="00F04E9F">
                  <w:rPr>
                    <w:rFonts w:eastAsia="Times New Roman" w:cs="Times New Roman"/>
                    <w:color w:val="000000"/>
                    <w:sz w:val="16"/>
                    <w:szCs w:val="16"/>
                  </w:rPr>
                  <w:t>(68)</w:t>
                </w:r>
              </w:sdtContent>
            </w:sdt>
          </w:p>
        </w:tc>
        <w:tc>
          <w:tcPr>
            <w:tcW w:w="0" w:type="auto"/>
            <w:shd w:val="clear" w:color="auto" w:fill="FFFFFF"/>
            <w:hideMark/>
          </w:tcPr>
          <w:p w14:paraId="00A365B6"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20 children with CTDs</w:t>
            </w:r>
          </w:p>
        </w:tc>
        <w:tc>
          <w:tcPr>
            <w:tcW w:w="0" w:type="auto"/>
            <w:shd w:val="clear" w:color="auto" w:fill="FFFFFF"/>
            <w:hideMark/>
          </w:tcPr>
          <w:p w14:paraId="1781A3C7"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Randomized trial of one session of HRT combined with 50 mg D-cycloserine taken one hour before vs. one session of HRT with placebo</w:t>
            </w:r>
          </w:p>
        </w:tc>
        <w:tc>
          <w:tcPr>
            <w:tcW w:w="0" w:type="auto"/>
            <w:shd w:val="clear" w:color="auto" w:fill="FFFFFF"/>
            <w:hideMark/>
          </w:tcPr>
          <w:p w14:paraId="6374C6A9"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Conducted a fixed effects repeated measures analysis with a treatment group factor and baseline tic severity, co-occurring ADHD and alpha-agonist medication as covariates. There was a significant interaction between treatment group and time (p = 0.02) for I-PUTS frequency, such that I-PUTS frequency declined more in the treatment group. There was no significant interaction between treatment group and time (p = 0.13) for I-PUTS intensity</w:t>
            </w:r>
          </w:p>
        </w:tc>
      </w:tr>
      <w:tr w:rsidR="00986E35" w:rsidRPr="008A1F40" w14:paraId="2D4725B2" w14:textId="77777777" w:rsidTr="007F77D2">
        <w:trPr>
          <w:tblCellSpacing w:w="15" w:type="dxa"/>
        </w:trPr>
        <w:tc>
          <w:tcPr>
            <w:tcW w:w="0" w:type="auto"/>
            <w:shd w:val="clear" w:color="auto" w:fill="FFFFFF"/>
            <w:hideMark/>
          </w:tcPr>
          <w:p w14:paraId="29DD0A4E" w14:textId="0C9561A1"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Jankovic (1994)</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GFjZjU4N2QtYTJkYy00NzUzLTg5NDYtZmE5ZjI0MjE0MjdlIiwicHJvcGVydGllcyI6eyJub3RlSW5kZXgiOjB9LCJpc0VkaXRlZCI6ZmFsc2UsIm1hbnVhbE92ZXJyaWRlIjp7ImlzTWFudWFsbHlPdmVycmlkZGVuIjpmYWxzZSwiY2l0ZXByb2NUZXh0IjoiKDY5KSIsIm1hbnVhbE92ZXJyaWRlVGV4dCI6IiJ9LCJjaXRhdGlvbkl0ZW1zIjpbeyJpZCI6IjA3ODhlOGZlLTczOTktM2E5MC1hMWNmLWNjY2M4MDNmOWFkMiIsIml0ZW1EYXRhIjp7InR5cGUiOiJhcnRpY2xlLWpvdXJuYWwiLCJpZCI6IjA3ODhlOGZlLTczOTktM2E5MC1hMWNmLWNjY2M4MDNmOWFkMiIsInRpdGxlIjoiQm90dWxpbnVtIHRveGluIGluIHRoZSB0cmVhdG1lbnQgb2YgZHlzdG9uaWMgdGljcyIsImdyb3VwSWQiOiIwN2Q2MmFjMS01YWE4LTM5YWYtYjQ5ZS01MmQyMDg4YWM1NzEiLCJhdXRob3IiOlt7ImZhbWlseSI6IkphbmtvdmljIiwiZ2l2ZW4iOiJKIiwicGFyc2UtbmFtZXMiOmZhbHNlLCJkcm9wcGluZy1wYXJ0aWNsZSI6IiIsIm5vbi1kcm9wcGluZy1wYXJ0aWNsZSI6IiJ9XSwiY29udGFpbmVyLXRpdGxlIjoiTW92ZW1lbnQgRGlzb3JkZXJzIiwiRE9JIjoiaHR0cDovL2R4LmRvaS5vcmcvMTAuMTAwMi9tZHMuODcwMDkwMzE1IiwiVVJMIjoiaHR0cDovL292aWRzcC5vdmlkLmNvbS9vdmlkd2ViLmNnaT9UPUpTJlBBR0U9cmVmZXJlbmNlJkQ9ZW1lZDUmTkVXUz1OJkFOPTI0MTUwMTI1IiwiaXNzdWVkIjp7ImRhdGUtcGFydHMiOltbMTk5NF1dfSwicGFnZSI6IjM0Ny0zNDkiLCJhYnN0cmFjdCI6IkJvdHVsaW51bSB0b3hpbiAoQlRYKSBpbmplY3Rpb25zIHByb3ZpZGUgZWZmZWN0aXZlIHRyZWF0bWVudCBmb3IgYSB2YXJpZXR5IG9mIGRpc29yZGVycyBtYW5pZmVzdGVkIGJ5IGluYXBwcm9wcmlhdGUgbXVzY2xlIGNvbnRyYWN0aW9ucywgYnV0IGl0cyBlZmZpY2FjeSBpbiB0aGUgdHJlYXRtZW50IG9mIHRpY3MgaGFzIG5vdCBiZWVuIHByZXZpb3VzbHkgc3R1ZGllZC4gVGVuIG1hbGUgcGF0aWVudHMgMTMtNTMgeWVhcnMgb2YgYWdlIHdobyB3ZXJlIGRpYWdub3NlZCB3aXRoIFRvdXJldHRlJ3Mgc3luZHJvbWUgbWFuaWZlc3RlZCBieSBkaXNhYmxpbmcgZm9jYWwgdGljcyB3ZXJlIGluY2x1ZGVkIGluIHRoaXMgcGlsb3Qgc3R1ZHkuIEZpdmUgcGF0aWVudHMgaGFkIGZyZXF1ZW50IGJsaW5raW5nIGFuZCBibGVwaGFyb3NwYXNtLCByZW5kZXJpbmcgdGhlbSAnYmxpbmQsJyBhbmQgZml2ZSBwYXRpZW50cyBoYWQgc2V2ZXJlIGFuZCBwYWluZnVsIGR5c3RvbmljIHRpY3MgaW52b2x2aW5nIHRoZWlyIG5lY2sgbXVzY2xlcy4gQWxsIDEwIHBhdGllbnRzIGV4cGVyaWVuY2VkIG1vZGVyYXRlIHRvIG1hcmtlZCBpbXByb3ZlbWVudCBpbiB0aGUgaW50ZW5zaXR5IGFuZCBmcmVxdWVuY3kgb2YgdGljcyBhZnRlciBCVFggaW5qZWN0aW9ucyBpbnRvIHRoZSBpbnZvbHZlZCBtdXNjbGVzLiBQYXRpZW50cyBpbiB3aG9tIHByZW1vbml0b3J5IHVyZ2VzIHByZWNlZGVkIHRoZWlyIHRpY3Mgbm90ZWQgbWFya2VkIGxlc3NlbmluZyBvZiB0aGVzZSBzZW5zb3J5IHN5bXB0b21zLiBUaGUgYmVuZWZpdCBsYXN0ZWQgMi0yMCB3ZWVrcyBhZnRlciBpbmplY3Rpb25zLiBUaGVyZSB3ZXJlIG5vIHNlcmlvdXMgY29tcGxpY2F0aW9ucywgZXhjZXB0IGZvciB0cmFuc2llbnQgcHRvc2lzIGluIHR3byBhbmQgbmVjayBwYWluLCBzdGlmZm5lc3MsIG9yIHdlYWtuZXNzIGluIHRocmVlIHBhdGllbnRzLiBCVFggaW5qZWN0aW9ucyBhcHBlYXIgdG8gYmUgc2FmZSBhbmQgZWZmZWN0aXZlIHRyZWF0bWVudCBmb3IgcGF0aWVudHMgd2l0aCBmb2NhbCBkeXN0b25pYyB0aWNzLiBUaGUgdHJlYXRtZW50IGFtZWxpb3JhdGVzIG5vdCBvbmx5IGludm9sdW50YXJ5IG1vdmVtZW50cyBidXQgYWxzbyB0aGUgcHJlbW9uaXRvcnkgc2Vuc29yeSBjb21wb25lbnQgYXNzb2NpYXRlZCB3aXRoIHNvbWUgdGljcy4iLCJpc3N1ZSI6IjMiLCJ2b2x1bWUiOiI5IiwiY29udGFpbmVyLXRpdGxlLXNob3J0IjoiIn0sImlzVGVtcG9yYXJ5IjpmYWxzZX1dfQ=="/>
                <w:id w:val="1611241671"/>
                <w:placeholder>
                  <w:docPart w:val="DefaultPlaceholder_-1854013440"/>
                </w:placeholder>
              </w:sdtPr>
              <w:sdtContent>
                <w:r w:rsidR="00F04E9F" w:rsidRPr="00F04E9F">
                  <w:rPr>
                    <w:rFonts w:eastAsia="Times New Roman" w:cs="Times New Roman"/>
                    <w:color w:val="000000"/>
                    <w:sz w:val="16"/>
                    <w:szCs w:val="16"/>
                  </w:rPr>
                  <w:t>(69)</w:t>
                </w:r>
              </w:sdtContent>
            </w:sdt>
          </w:p>
        </w:tc>
        <w:tc>
          <w:tcPr>
            <w:tcW w:w="0" w:type="auto"/>
            <w:shd w:val="clear" w:color="auto" w:fill="FFFFFF"/>
            <w:hideMark/>
          </w:tcPr>
          <w:p w14:paraId="1FE11C5E"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10 patients (aged 13-53) with TS</w:t>
            </w:r>
          </w:p>
        </w:tc>
        <w:tc>
          <w:tcPr>
            <w:tcW w:w="0" w:type="auto"/>
            <w:shd w:val="clear" w:color="auto" w:fill="FFFFFF"/>
            <w:hideMark/>
          </w:tcPr>
          <w:p w14:paraId="1A0A074F"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BTX - </w:t>
            </w:r>
            <w:r w:rsidRPr="008A1F40">
              <w:rPr>
                <w:rFonts w:cs="Times New Roman"/>
                <w:color w:val="000000" w:themeColor="text1"/>
                <w:sz w:val="16"/>
                <w:szCs w:val="16"/>
                <w:shd w:val="clear" w:color="auto" w:fill="FFFFFF"/>
              </w:rPr>
              <w:t>30 U to 300 U (depending on the site of injection)</w:t>
            </w:r>
          </w:p>
        </w:tc>
        <w:tc>
          <w:tcPr>
            <w:tcW w:w="0" w:type="auto"/>
            <w:shd w:val="clear" w:color="auto" w:fill="FFFFFF"/>
            <w:hideMark/>
          </w:tcPr>
          <w:p w14:paraId="0DC72E48"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Patients were assessed two to four months following the injection, during which they rated the effect of the injection of their premonitory urges on a 0-3 scale (higher values indicate greater response, more effective treatment). Of the seven patients that experienced premonitory urges at baseline, all seven responded with a two or three on the 3-point scale</w:t>
            </w:r>
          </w:p>
        </w:tc>
      </w:tr>
      <w:tr w:rsidR="00986E35" w:rsidRPr="008A1F40" w14:paraId="32011D62" w14:textId="77777777" w:rsidTr="007F77D2">
        <w:trPr>
          <w:tblCellSpacing w:w="15" w:type="dxa"/>
        </w:trPr>
        <w:tc>
          <w:tcPr>
            <w:tcW w:w="0" w:type="auto"/>
            <w:shd w:val="clear" w:color="auto" w:fill="FFFFFF"/>
            <w:hideMark/>
          </w:tcPr>
          <w:p w14:paraId="1D7DF795" w14:textId="3F64D04A"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Kwak et al (2000)</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GYzMzA1ZjctYzJhOC00MjE5LWFhODctOGQyZjkxNjM0NDZjIiwicHJvcGVydGllcyI6eyJub3RlSW5kZXgiOjB9LCJpc0VkaXRlZCI6ZmFsc2UsIm1hbnVhbE92ZXJyaWRlIjp7ImlzTWFudWFsbHlPdmVycmlkZGVuIjpmYWxzZSwiY2l0ZXByb2NUZXh0IjoiKDcwKSIsIm1hbnVhbE92ZXJyaWRlVGV4dCI6IiJ9LCJjaXRhdGlvbkl0ZW1zIjpbeyJpZCI6Ijg2Mzk2YjkwLTNiZjctM2U0YS1hNjQ2LWZiMmE0ZjgzNjhmNiIsIml0ZW1EYXRhIjp7InR5cGUiOiJhcnRpY2xlLWpvdXJuYWwiLCJpZCI6Ijg2Mzk2YjkwLTNiZjctM2U0YS1hNjQ2LWZiMmE0ZjgzNjhmNiIsInRpdGxlIjoiQm90dWxpbnVtIHRveGluIGluIHRoZSB0cmVhdG1lbnQgb2YgdGljcyIsImdyb3VwSWQiOiIwN2Q2MmFjMS01YWE4LTM5YWYtYjQ5ZS01MmQyMDg4YWM1NzEiLCJhdXRob3IiOlt7ImZhbWlseSI6Ikt3YWsiLCJnaXZlbiI6IkMgSCIsInBhcnNlLW5hbWVzIjpmYWxzZSwiZHJvcHBpbmctcGFydGljbGUiOiIiLCJub24tZHJvcHBpbmctcGFydGljbGUiOiIifSx7ImZhbWlseSI6Ikhhbm5hIiwiZ2l2ZW4iOiJQIEEiLCJwYXJzZS1uYW1lcyI6ZmFsc2UsImRyb3BwaW5nLXBhcnRpY2xlIjoiIiwibm9uLWRyb3BwaW5nLXBhcnRpY2xlIjoiIn0seyJmYW1pbHkiOiJKYW5rb3ZpYyIsImdpdmVuIjoiSiIsInBhcnNlLW5hbWVzIjpmYWxzZSwiZHJvcHBpbmctcGFydGljbGUiOiIiLCJub24tZHJvcHBpbmctcGFydGljbGUiOiIifV0sImNvbnRhaW5lci10aXRsZSI6IkFyY2hpdmVzIG9mIE5ldXJvbG9neSIsIkRPSSI6Imh0dHA6Ly9keC5kb2kub3JnLzEwLjEwMDEvYXJjaG5ldXIuNTcuOC4xMTkwIiwiVVJMIjoiaHR0cDovL292aWRzcC5vdmlkLmNvbS9vdmlkd2ViLmNnaT9UPUpTJlBBR0U9cmVmZXJlbmNlJkQ9ZW1lZDcmTkVXUz1OJkFOPTMwNjQ0NjY3IiwiaXNzdWVkIjp7ImRhdGUtcGFydHMiOltbMjAwMF1dfSwicGFnZSI6IjExOTAtMTE5MyIsImFic3RyYWN0IjoiT2JqZWN0aXZlOiBUbyBldmFsdWF0ZSB0aGUgc2FmZXR5IGFuZCBlZmZpY2FjeSBvZiBib3R1bGludW0gdG94aW4gQSAoQlRYKSBpbmplY3Rpb25zIGluIHRoZSB0cmVhdG1lbnQgb2YgdGljcyBpbiBwYXRpZW50cyB3aXRoIFRvdXJldHRlIHN5bmRyb21lIChUUykuIEJhY2tncm91bmQocyk6IEJUWCBpcyBhbiBlZmZlY3RpdmUgdHJlYXRtZW50IGZvciBhbiBpbmNyZWFzaW5nIG51bWJlciBvZiBjb25kaXRpb25zIGNoYXJhY3Rlcml6ZWQgYnkgYWJub3JtYWwgbXVzY2xlIGNvbnRyYWN0aW9ucy4gQlRYIG1heSBpbXByb3ZlIG5vdCBvbmx5IHRoZSBtb3RvciBjb21wb25lbnQgb2YgdGljcywgYnV0IGFsc28gcHJlbW9uaXRvcnkgc2Vuc2F0aW9ucyB0aGF0IHByZWNlZGUgdGljcy4gTWV0aG9kKHMpOiBUaGlydHktZml2ZSBwYXRpZW50cyAoMzAgbWFsZSwgNSBmZW1hbGUpIHdlcmUgdHJlYXRlZCB3aXRoIEJUWCBpbiB0aGUgc2l0ZXMgb2YgdGhlaXIgbW9zdCBwcm9ibGVtYXRpYyB0aWNzLiBSZXNwb25zZSB0byBCVFggd2FzIGJhc2VkIG9uIGEgMCB0byA0IGNsaW5pY2FsIHJhdGluZyBzY2FsZSAoMCwgbm8gaW1wcm92ZW1lbnQsIHRvIDQsIG1hcmtlZCBpbXByb3ZlbWVudCBpbiBib3RoIHNldmVyaXR5IGFuZCBmdW5jdGlvbikuIFF1ZXN0aW9ubmFpcmVzIHdlcmUgYWRtaW5pc3RlcmVkIHRvIGV2YWx1YXRlIHBhdGllbnRzJyBpbXByZXNzaW9ucyBvZiBvdmVyYWxsIGVmZmljYWN5IGFuZCBkZWdyZWUgb2YgYmVuZWZpdCB3aXRoIHByZW1vbml0b3J5IHNlbnNhdGlvbnMuIFJlc3VsdChzKTogTWVhbiBkdXJhdGlvbiBvZiB0aWNzIHByaW9yIHRvIGluaXRpYWwgaW5qZWN0aW9uIHdhcyAxNS4zIHllYXJzIChyYW5nZSwgMS02MiB5ZWFycykgYW5kIG1lYW4gZHVyYXRpb24gb2YgZm9sbG93LXVwIHdhcyAyMS4yIG1vbnRocyAocmFuZ2UsIDEuNS04NCBtb250aHMpLiBUaGUgbWVhbiBwZWFrIGVmZmVjdCByZXNwb25zZSBpbiAzNSBwYXRpZW50cyB0cmVhdGVkIGluIDExNSBzZXNzaW9ucyB3YXMgMi44IChyYW5nZSwgMC00KTsgdGhlIG1lYW4gZHVyYXRpb24gb2YgYmVuZWZpdCB3YXMgMTQuNCB3ZWVrcyAobWF4aW11bSwgNDUgd2Vla3MpOyBhbmQgdGhlIG1lYW4gbGF0ZW5jeSB0byBvbnNldCBvZiBiZW5lZml0IHdhcyAzLjggZGF5cyAobWF4aW11bSwgMTAgZGF5cykuIFR3ZW50eS1vbmUgKDg0JSkgb2YgMjUgcGF0aWVudHMgd2l0aCBwcmVtb25pdG9yeSBzZW5zYXRpb25zIGRlcml2ZWQgbWFya2VkIHJlbGllZiBvZiB0aGVzZSBzeW1wdG9tcyAobWVhbiBiZW5lZml0LCA3MC42JSkuIFRvdGFsIG1lYW4gZG9zZSB3YXMgNTAyLjEgVSAocmFuZ2UsIDE1LTM1NTAgVSk7IG1lYW4gbnVtYmVyIG9mIHZpc2l0cywgMy4zIChyYW5nZSwgMS0xNik7IGFuZCBtZWFuIGRvc2UgcGVyIHZpc2l0LCAxMTkuOSBVIChyYW5nZSwgMTUtMjczIFUpLiBTaXRlcyBvZiBpbmplY3Rpb25zIHdlcmUgYXMgZm9sbG93czogY2VydmljYWwgb3IgdXBwZXIgdGhvcmFjaWMgYXJlYSAoMTcpLCB1cHBlciBmYWNlICgxNCksIGxvd2VyIGZhY2UgKDcpLCB2b2NhbCBjb3JkcyAoNCksIHVwcGVyIGJhY2sgYW5kL29yIHNob3VsZGVyICgzKSwgc2NhbHAgKDEpLCBmb3JlYXJtICgxKSwgbGVnICgxKSBhbmQgcmVjdHVzIGFiZG9taW5pcyAoMSkuIENvbXBsaWNhdGlvbnMgaW5jbHVkZWQgbmVjayB3ZWFrbmVzcyAoNCksIGR5c3BoYWdpYSAoMiksIHB0b3NpcyAoMiksIG5hdXNlYSAoMSksIGh5cG9waG9uaWEgKDEpLCBmYXRpZ3VlICgxKSwgYW5kIGdlbmVyYWxpemVkIHdlYWtuZXNzICgxKSwgd2hpY2ggd2VyZSBhbGwgbWlsZCBhbmQgdHJhbnNpZW50LiBDb25jbHVzaW9uKHMpOiBCb3R1bGludW0gdG94aW4gQSBpbmplY3Rpb25zIGFyZSBhbiBlZmZlY3RpdmUgYW5kIHdlbGwtdG9sZXJhdGVkIHRyZWF0bWVudCBvZiB0aWNzLiBJbiBhZGRpdGlvbiB0byBpbXByb3ZpbmcgdGhlIG1vdG9yIGNvbXBvbmVudCBvZiB0aWNzLCBCVFggYWxzbyBwcm92aWRlcyByZWxpZWYgb2YgcHJlbW9uaXRvcnkgc2Vuc2F0aW9ucy4iLCJpc3N1ZSI6IjgiLCJ2b2x1bWUiOiI1NyIsImNvbnRhaW5lci10aXRsZS1zaG9ydCI6IkFyY2ggTmV1cm9sIn0sImlzVGVtcG9yYXJ5IjpmYWxzZX1dfQ=="/>
                <w:id w:val="333807054"/>
                <w:placeholder>
                  <w:docPart w:val="DefaultPlaceholder_-1854013440"/>
                </w:placeholder>
              </w:sdtPr>
              <w:sdtContent>
                <w:r w:rsidR="00F04E9F" w:rsidRPr="00F04E9F">
                  <w:rPr>
                    <w:rFonts w:eastAsia="Times New Roman" w:cs="Times New Roman"/>
                    <w:color w:val="000000"/>
                    <w:sz w:val="16"/>
                    <w:szCs w:val="16"/>
                  </w:rPr>
                  <w:t>(70)</w:t>
                </w:r>
              </w:sdtContent>
            </w:sdt>
          </w:p>
        </w:tc>
        <w:tc>
          <w:tcPr>
            <w:tcW w:w="0" w:type="auto"/>
            <w:shd w:val="clear" w:color="auto" w:fill="FFFFFF"/>
            <w:hideMark/>
          </w:tcPr>
          <w:p w14:paraId="048FC169"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35 children and adults </w:t>
            </w:r>
            <w:r w:rsidRPr="008A1F40">
              <w:rPr>
                <w:rFonts w:cs="Times New Roman"/>
                <w:color w:val="000000" w:themeColor="text1"/>
                <w:sz w:val="16"/>
                <w:szCs w:val="16"/>
                <w:shd w:val="clear" w:color="auto" w:fill="FFFFFF"/>
              </w:rPr>
              <w:t>(34 with TS, one meeting all diagnostic criteria for TS other than age of tic onset)</w:t>
            </w:r>
          </w:p>
        </w:tc>
        <w:tc>
          <w:tcPr>
            <w:tcW w:w="0" w:type="auto"/>
            <w:shd w:val="clear" w:color="auto" w:fill="FFFFFF"/>
            <w:hideMark/>
          </w:tcPr>
          <w:p w14:paraId="19FB880D"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BTX - </w:t>
            </w:r>
            <w:r w:rsidRPr="008A1F40">
              <w:rPr>
                <w:rFonts w:cs="Times New Roman"/>
                <w:color w:val="000000" w:themeColor="text1"/>
                <w:sz w:val="16"/>
                <w:szCs w:val="16"/>
                <w:shd w:val="clear" w:color="auto" w:fill="FFFFFF"/>
              </w:rPr>
              <w:t>varying number of injections over an average of just under two years (mean number of visits per participant = 3.3)</w:t>
            </w:r>
          </w:p>
        </w:tc>
        <w:tc>
          <w:tcPr>
            <w:tcW w:w="0" w:type="auto"/>
            <w:shd w:val="clear" w:color="auto" w:fill="FFFFFF"/>
            <w:hideMark/>
          </w:tcPr>
          <w:p w14:paraId="619F2952"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Participants reported their percent improvement in premonitory urges following BTX injection, and 84% of the 25 patients who experienced premonitory urges at baseline “derived mark relief of these symptoms”. These participants mean reported percentage improvement in premonitory urges was 70.6%, with three participants reporting “complete resolution of premonitory discomfort”</w:t>
            </w:r>
          </w:p>
        </w:tc>
      </w:tr>
      <w:tr w:rsidR="00986E35" w:rsidRPr="008A1F40" w14:paraId="7FBB9323" w14:textId="77777777" w:rsidTr="007F77D2">
        <w:trPr>
          <w:tblCellSpacing w:w="15" w:type="dxa"/>
        </w:trPr>
        <w:tc>
          <w:tcPr>
            <w:tcW w:w="0" w:type="auto"/>
            <w:shd w:val="clear" w:color="auto" w:fill="FFFFFF"/>
            <w:hideMark/>
          </w:tcPr>
          <w:p w14:paraId="6FD11656" w14:textId="77FC519A"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lastRenderedPageBreak/>
              <w:t>Marras et al (2001)</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WU2OGU5YTItN2E5YS00M2ZhLTgxNGEtZWM4NTYxMGI5NjYzIiwicHJvcGVydGllcyI6eyJub3RlSW5kZXgiOjB9LCJpc0VkaXRlZCI6ZmFsc2UsIm1hbnVhbE92ZXJyaWRlIjp7ImlzTWFudWFsbHlPdmVycmlkZGVuIjpmYWxzZSwiY2l0ZXByb2NUZXh0IjoiKDcxKSIsIm1hbnVhbE92ZXJyaWRlVGV4dCI6IiJ9LCJjaXRhdGlvbkl0ZW1zIjpbeyJpZCI6ImExN2Y2M2E5LTUwZmQtM2NiNy04ZGI2LWE4YjQ1NDQyZTZhYSIsIml0ZW1EYXRhIjp7InR5cGUiOiJhcnRpY2xlLWpvdXJuYWwiLCJpZCI6ImExN2Y2M2E5LTUwZmQtM2NiNy04ZGI2LWE4YjQ1NDQyZTZhYSIsInRpdGxlIjoiQm90dWxpbnVtIHRveGluIGZvciBzaW1wbGUgbW90b3IgdGljczogQSByYW5kb21pemVkLCBkb3VibGUtYmxpbmQsIGNvbnRyb2xsZWQgY2xpbmljYWwgdHJpYWwiLCJncm91cElkIjoiMDdkNjJhYzEtNWFhOC0zOWFmLWI0OWUtNTJkMjA4OGFjNTcxIiwiYXV0aG9yIjpbeyJmYW1pbHkiOiJNYXJyYXMiLCJnaXZlbiI6IkMiLCJwYXJzZS1uYW1lcyI6ZmFsc2UsImRyb3BwaW5nLXBhcnRpY2xlIjoiIiwibm9uLWRyb3BwaW5nLXBhcnRpY2xlIjoiIn0seyJmYW1pbHkiOiJBbmRyZXdzIiwiZ2l2ZW4iOiJEIiwicGFyc2UtbmFtZXMiOmZhbHNlLCJkcm9wcGluZy1wYXJ0aWNsZSI6IiIsIm5vbi1kcm9wcGluZy1wYXJ0aWNsZSI6IiJ9LHsiZmFtaWx5IjoiU2ltZSIsImdpdmVuIjoiRSIsInBhcnNlLW5hbWVzIjpmYWxzZSwiZHJvcHBpbmctcGFydGljbGUiOiIiLCJub24tZHJvcHBpbmctcGFydGljbGUiOiIifSx7ImZhbWlseSI6IkxhbmciLCJnaXZlbiI6IkEgRSIsInBhcnNlLW5hbWVzIjpmYWxzZSwiZHJvcHBpbmctcGFydGljbGUiOiIiLCJub24tZHJvcHBpbmctcGFydGljbGUiOiIifV0sImNvbnRhaW5lci10aXRsZSI6Ik5ldXJvbG9neSIsIkRPSSI6Imh0dHA6Ly9keC5kb2kub3JnLzEwLjEyMTIvV05MLjU2LjUuNjA1IiwiVVJMIjoiaHR0cDovL292aWRzcC5vdmlkLmNvbS9vdmlkd2ViLmNnaT9UPUpTJlBBR0U9cmVmZXJlbmNlJkQ9ZW1lZDcmTkVXUz1OJkFOPTMyMjA5OTkyIiwiaXNzdWVkIjp7ImRhdGUtcGFydHMiOltbMjAwMV1dfSwicGFnZSI6IjYwNS02MTAiLCJhYnN0cmFjdCI6Ik9iamVjdGl2ZTogVG8gZGV0ZXJtaW5lIHRoZSBlZmZlY3Qgb2YgaW5qZWN0aW9ucyBvZiBib3R1bGludW0gdG94aW4gb24gc2ltcGxlIG1vdG9yIHRpY3MuIEJhY2tncm91bmQocyk6IENhc2Ugc2VyaWVzIHdpdGggdW5ibGluZGVkIGFzc2Vzc21lbnRzIGhhdmUgcmVwb3J0ZWQgaW1wcm92ZW1lbnQgaW4gdGljIGZyZXF1ZW5jeSBhbmQgYXNzb2NpYXRlZCB1cmdlIHdpdGggYm90dWxpbnVtIHRveGluLiBNZXRob2Qocyk6IFBhdGllbnRzIHdpdGggc3VpdGFibGUgc2ltcGxlIG1vdG9yIHRpY3Mgd2VyZSByYW5kb21pemVkIHRvIHJlY2VpdmUgYm90dWxpbnVtIHRveGluIGFuZCBwbGFjZWJvIGluIGEgZG91YmxlIGJsaW5kLCBjcm9zc292ZXIgZGVzaWduLiBBbGwgb3V0Y29tZXMgY29tcGFyZWQgd2VlayAyIHRvIGJhc2VsaW5lIG1lYXN1cmVtZW50cy4gVGhlIHByaW1hcnkgb3V0Y29tZSBtZWFzdXJlIHdhcyB0aGUgbnVtYmVyIG9mIHRyZWF0ZWQgdGljcyBwZXIgbWludXRlIG9uIGEgdmlkZW90YXBlIHNlZ21lbnQuIFNlY29uZGFyeSBvdXRjb21lIG1lYXN1cmVzIHdlcmUgbnVtYmVyIG9mIHVudHJlYXRlZCB0aWNzIHBlciBtaW51dGUsIHRoZSBTaGFwaXJvIFRvdXJldHRlIFN5bmRyb21lIFNldmVyaXR5IFNjYWxlIHNjb3JlLCBhIG51bWVyaWNhbCBhc3Nlc3NtZW50IG9mIHRoZSB1cmdlIHRvIHBlcmZvcm0gdGhlIHRyZWF0ZWQgdGljICgwIHRvIDQpLCB0aGUgcHJlbW9uaXRvcnkgc2Vuc2F0aW9uIGFzc29jaWF0ZWQgd2l0aCB0aGUgdHJlYXRlZCB0aWMgKDAgdG8gNCksIGFuZCB0aGUgcGF0aWVudCdzIGdsb2JhbCBpbXByZXNzaW9uIG9mIGNoYW5nZS4gUmVzdWx0KHMpOiBFaWdodGVlbiBwYXRpZW50cyBjb21wbGV0ZWQgdGhlIHN0dWR5LiBUaGUgbWVkaWFuIHJlbGF0aXZlIGNoYW5nZSBpbiB0cmVhdGVkIHRpY3MgcGVyIG1pbnV0ZSB3aXRoIGJvdHVsaW51bSB0b3hpbiB3YXMgLTAuMzkgKG9yIGEgMzklIHJlZHVjdGlvbikgdmVyc3VzIDAuMDU4IChvciBhIDUuOCUgaW5jcmVhc2UpIHdpdGggcGxhY2VibyAobmV0IGVmZmVjdCAtMC4zNywgcCA9IDAuMDAwNykuIFRoZSBhdmVyYWdlIGNoYW5nZSBpbiB1cmdlIHNjb3JlcyAoc2NvcmUgcmFuZ2UgMCB0byA0KSB3YXMgLTAuNDYgaW4gdGhlIHRyZWF0bWVudCBwaGFzZSBhbmQgKzAuNDkgaW4gdGhlIHBsYWNlYm8gcGhhc2UgKG5ldCBlZmZlY3QgMC45NCwgcCA9IDAuMDIpLiBPdGhlciBzZWNvbmRhcnkgb3V0Y29tZSBtZWFzdXJlcyB3ZXJlIG5vdCBzaWduaWZpY2FudGx5IGRpZmZlcmVudCBiZXR3ZWVuIHRoZSB0d28gZ3JvdXBzLiBDb25jbHVzaW9uKHMpOiBCb3R1bGludW0gdG94aW4gcmVkdWNlZCB0cmVhdGVkIHRpYyBmcmVxdWVuY3kgYW5kIHRoZSB1cmdlIGFzc29jaWF0ZWQgd2l0aCB0aGUgdHJlYXRlZCB0aWMuIERlc3BpdGUgdGhlc2UgY2hhbmdlcywgcGF0aWVudHMgZGlkIG5vdCByZXBvcnQgYW4gb3ZlcmFsbCBiZW5lZml0IGZyb20gdGhlIHRyZWF0bWVudC4gQ2FyZWZ1bCBjb25zaWRlcmF0aW9uIG9mIHRoZSBjb250cmlidXRpb24gb2YgdGhlIHRhcmdldCB0aWMgdG8gdGhlIHBhdGllbnQncyBkaXNhYmlsaXR5IGlzIG5lZWRlZCBiZWZvcmUgbWFraW5nIHRyZWF0bWVudCBkZWNpc2lvbnMuIiwiaXNzdWUiOiI1Iiwidm9sdW1lIjoiNTYiLCJjb250YWluZXItdGl0bGUtc2hvcnQiOiJOZXVyb2xvZ3kifSwiaXNUZW1wb3JhcnkiOmZhbHNlfV19"/>
                <w:id w:val="932330883"/>
                <w:placeholder>
                  <w:docPart w:val="DefaultPlaceholder_-1854013440"/>
                </w:placeholder>
              </w:sdtPr>
              <w:sdtContent>
                <w:r w:rsidR="00F04E9F" w:rsidRPr="00F04E9F">
                  <w:rPr>
                    <w:rFonts w:eastAsia="Times New Roman" w:cs="Times New Roman"/>
                    <w:color w:val="000000"/>
                    <w:sz w:val="16"/>
                    <w:szCs w:val="16"/>
                  </w:rPr>
                  <w:t>(71)</w:t>
                </w:r>
              </w:sdtContent>
            </w:sdt>
          </w:p>
        </w:tc>
        <w:tc>
          <w:tcPr>
            <w:tcW w:w="0" w:type="auto"/>
            <w:shd w:val="clear" w:color="auto" w:fill="FFFFFF"/>
            <w:hideMark/>
          </w:tcPr>
          <w:p w14:paraId="4352C3FF"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18 individuals (IQR = 15-55) with TS or chronic motor tic disorder</w:t>
            </w:r>
          </w:p>
        </w:tc>
        <w:tc>
          <w:tcPr>
            <w:tcW w:w="0" w:type="auto"/>
            <w:shd w:val="clear" w:color="auto" w:fill="FFFFFF"/>
            <w:hideMark/>
          </w:tcPr>
          <w:p w14:paraId="5935F6E9"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Double blind, randomized, placebo-controlled crossover trial of BTX to muscles involved in target tics (each phase was one injection, follow up assessments done at 2 weeks post injection)</w:t>
            </w:r>
          </w:p>
        </w:tc>
        <w:tc>
          <w:tcPr>
            <w:tcW w:w="0" w:type="auto"/>
            <w:shd w:val="clear" w:color="auto" w:fill="FFFFFF"/>
            <w:hideMark/>
          </w:tcPr>
          <w:p w14:paraId="064E2A5B"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Urge (urge to perform the tic) ratings decreased significantly more in the BTX phase compared to placebo phase (p = 0.02), while there was no significant difference between changes in premonitory sensation (sensation associated with a tic) ratings (p = 0.47) between the phases. (</w:t>
            </w:r>
            <w:r w:rsidRPr="008A1F40">
              <w:rPr>
                <w:rFonts w:cs="Times New Roman"/>
                <w:color w:val="000000" w:themeColor="text1"/>
                <w:sz w:val="16"/>
                <w:szCs w:val="16"/>
                <w:shd w:val="clear" w:color="auto" w:fill="FFFFFF"/>
              </w:rPr>
              <w:t>unclear what the operational difference in these constructs is)</w:t>
            </w:r>
          </w:p>
        </w:tc>
      </w:tr>
      <w:tr w:rsidR="00986E35" w:rsidRPr="008A1F40" w14:paraId="5E6B3281" w14:textId="77777777" w:rsidTr="007F77D2">
        <w:trPr>
          <w:tblCellSpacing w:w="15" w:type="dxa"/>
        </w:trPr>
        <w:tc>
          <w:tcPr>
            <w:tcW w:w="0" w:type="auto"/>
            <w:shd w:val="clear" w:color="auto" w:fill="FFFFFF"/>
            <w:hideMark/>
          </w:tcPr>
          <w:p w14:paraId="5A089AC0" w14:textId="0A2F8C62"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Kwak et al (2003)</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ZGEzN2ZiMWMtMTk1NC00ZTkwLWE1ZjYtMGVlOGMwYzQ0NWJlIiwicHJvcGVydGllcyI6eyJub3RlSW5kZXgiOjB9LCJpc0VkaXRlZCI6ZmFsc2UsIm1hbnVhbE92ZXJyaWRlIjp7ImlzTWFudWFsbHlPdmVycmlkZGVuIjpmYWxzZSwiY2l0ZXByb2NUZXh0IjoiKDcyKSIsIm1hbnVhbE92ZXJyaWRlVGV4dCI6IiJ9LCJjaXRhdGlvbkl0ZW1zIjpbeyJpZCI6IjI3NjdkYmM0LTc5NDEtM2NjYi1hMzc5LTY0NzcxMWRmZTNlZCIsIml0ZW1EYXRhIjp7InR5cGUiOiJhcnRpY2xlLWpvdXJuYWwiLCJpZCI6IjI3NjdkYmM0LTc5NDEtM2NjYi1hMzc5LTY0NzcxMWRmZTNlZCIsInRpdGxlIjoiUHJlbW9uaXRvcnkgc2Vuc29yeSBwaGVub21lbm9uIGluIFRvdXJldHRlJ3Mgc3luZHJvbWUiLCJncm91cElkIjoiMDdkNjJhYzEtNWFhOC0zOWFmLWI0OWUtNTJkMjA4OGFjNTcxIiwiYXV0aG9yIjpbeyJmYW1pbHkiOiJLd2FrIiwiZ2l2ZW4iOiJDIiwicGFyc2UtbmFtZXMiOmZhbHNlLCJkcm9wcGluZy1wYXJ0aWNsZSI6IiIsIm5vbi1kcm9wcGluZy1wYXJ0aWNsZSI6IiJ9LHsiZmFtaWx5IjoiRGF0IFZ1b25nIiwiZ2l2ZW4iOiJLIiwicGFyc2UtbmFtZXMiOmZhbHNlLCJkcm9wcGluZy1wYXJ0aWNsZSI6IiIsIm5vbi1kcm9wcGluZy1wYXJ0aWNsZSI6IiJ9LHsiZmFtaWx5IjoiSmFua292aWMiLCJnaXZlbiI6IkoiLCJwYXJzZS1uYW1lcyI6ZmFsc2UsImRyb3BwaW5nLXBhcnRpY2xlIjoiIiwibm9uLWRyb3BwaW5nLXBhcnRpY2xlIjoiIn1dLCJjb250YWluZXItdGl0bGUiOiJNb3YgRGlzb3JkIiwiRE9JIjoiMTAuMTAwMi9tZHMuMTA2MTgiLCJQTUlEIjoiMTQ2NzM4OTMiLCJVUkwiOiJodHRwczovL21vdmVtZW50ZGlzb3JkZXJzLW9ubGluZWxpYnJhcnktd2lsZXktY29tLnByb3h5LmxpYnJhcnkudmFuZGVyYmlsdC5lZHUvZG9pL2Z1bGwvMTAuMTAwMi9tZHMuMTA2MTgiLCJpc3N1ZWQiOnsiZGF0ZS1wYXJ0cyI6W1syMDAzXV19LCJwYWdlIjoiMTUzMC0xNTMzIiwiYWJzdHJhY3QiOiJXZSBhZG1pbmlzdGVyZWQgYSBxdWVzdGlvbm5haXJlIGRlc2lnbmVkIHRvIHByb2JlIGZvciBwcmVtb25pdG9yeSBzZW5zYXRpb25zIGFzc29jaWF0ZWQgd2l0aCBtb3RvciB0aWNzIHRvIDUwIHBhdGllbnRzIHdpdGggVG91cmV0dGUncyBzeW5kcm9tZSAoVFMpLiBQcmVtb25pdG9yeSBzZW5zYXRpb25zIHdlcmUgcmVwb3J0ZWQgYnkgNDYgKDkyJSkgcGF0aWVudHMsIGFuZCB0aGUgbW9zdCBjb21tb24gc2Vuc2F0aW9uIHdhcyBhbiB1cmdlIHRvIG1vdmUgYW5kIGFuIGltcHVsc2UgdG8gdGljIChcImhhZCB0byBkbyBpdFwiKS4gSW50ZW5zaWZpY2F0aW9uIG9mIHByZW1vbml0b3J5IHNlbnNhdGlvbnMsIGlmIHByZXZlbnRlZCBmcm9tIHBlcmZvcm1pbmcgYSBtb3RvciB0aWMsIHdhcyByZXBvcnRlZCBhbHNvIGluIDM3IHBhdGllbnRzICg3NCUpLCAzNiBwYXRpZW50cyAoNzIlKSByZXBvcnRlZCByZWxpZWYgb2YgcHJlbW9uaXRvcnkgc2Vuc2F0aW9ucyBhZnRlciBwZXJmb3JtaW5nIHRoZSB0aWMsIGFuZCAyNyBvZiA0MCAoNjglKSBkZXNjcmliZWQgYSBtb3RvciB0aWMgYXMgYSB2b2x1bnRhcnkgbW90b3IgcmVzcG9uc2UgdG8gYW4gaW52b2x1bnRhcnkgc2Vuc2F0aW9uLCByYXRoZXIgdGhhbiBhIGNvbXBsZXRlbHkgaW52b2x1bnRhcnkgbW92ZW1lbnQuIFRoZSBcImp1c3QgcmlnaHRcIiBzZW5zYXRpb24gY29ycmVsYXRlZCB3aXRoIHRoZSBwcmVzZW5jZSBvZiBjby1tb3JiaWQgb2JzZXNzaXZlLWNvbXB1bHNpdmUgZGlzb3JkZXIuIFdlIGNvbmNsdWRlIHRoYXQgcHJlbW9uaXRvcnkgc2Vuc2F0aW9ucyBhcmUgYW4gaW1wb3J0YW50IGFzcGVjdCBvZiBtb3RvciB0aWNzIGFuZCBzb21lIHBhdGllbnRzIHBlcmNlaXZlIG1vdG9yIHRpY3MgYXMgYSB2b2x1bnRhcnkgbW92ZW1lbnQgaW4gcmVzcG9uc2UgdG8gYW4gaW52b2x1bnRhcnkgc2Vuc2F0aW9uLiIsImlzc3VlIjoiMTIiLCJ2b2x1bWUiOiIxOCIsImNvbnRhaW5lci10aXRsZS1zaG9ydCI6IiJ9LCJpc1RlbXBvcmFyeSI6ZmFsc2V9XX0="/>
                <w:id w:val="578406359"/>
                <w:placeholder>
                  <w:docPart w:val="DefaultPlaceholder_-1854013440"/>
                </w:placeholder>
              </w:sdtPr>
              <w:sdtContent>
                <w:r w:rsidR="00F04E9F" w:rsidRPr="00F04E9F">
                  <w:rPr>
                    <w:rFonts w:eastAsia="Times New Roman" w:cs="Times New Roman"/>
                    <w:color w:val="000000"/>
                    <w:sz w:val="16"/>
                    <w:szCs w:val="16"/>
                  </w:rPr>
                  <w:t>(72)</w:t>
                </w:r>
              </w:sdtContent>
            </w:sdt>
          </w:p>
        </w:tc>
        <w:tc>
          <w:tcPr>
            <w:tcW w:w="0" w:type="auto"/>
            <w:shd w:val="clear" w:color="auto" w:fill="FFFFFF"/>
            <w:hideMark/>
          </w:tcPr>
          <w:p w14:paraId="1725AD51"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50 children and adults with TS (</w:t>
            </w:r>
            <w:r w:rsidRPr="008A1F40">
              <w:rPr>
                <w:rFonts w:cs="Times New Roman"/>
                <w:color w:val="000000" w:themeColor="text1"/>
                <w:sz w:val="16"/>
                <w:szCs w:val="16"/>
                <w:shd w:val="clear" w:color="auto" w:fill="FFFFFF"/>
              </w:rPr>
              <w:t>12 participants reported having received BTX injections)</w:t>
            </w:r>
          </w:p>
        </w:tc>
        <w:tc>
          <w:tcPr>
            <w:tcW w:w="0" w:type="auto"/>
            <w:shd w:val="clear" w:color="auto" w:fill="FFFFFF"/>
            <w:hideMark/>
          </w:tcPr>
          <w:p w14:paraId="1B76AFAE"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BTX</w:t>
            </w:r>
          </w:p>
        </w:tc>
        <w:tc>
          <w:tcPr>
            <w:tcW w:w="0" w:type="auto"/>
            <w:shd w:val="clear" w:color="auto" w:fill="FFFFFF"/>
            <w:hideMark/>
          </w:tcPr>
          <w:p w14:paraId="333E62FB"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 xml:space="preserve">12 participants reported having received BTX injections for motor tics in the past and 8 (67%) of these participants reported that these injections reduced their premonitory urges. </w:t>
            </w:r>
          </w:p>
          <w:p w14:paraId="7B67F692"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Of note, 13 of 19 (68%) participants reported that medication taken for their tics or comorbid OCD reduced their premonitory urges as well.</w:t>
            </w:r>
          </w:p>
        </w:tc>
      </w:tr>
      <w:tr w:rsidR="00986E35" w:rsidRPr="008A1F40" w14:paraId="35F372AE" w14:textId="77777777" w:rsidTr="007F77D2">
        <w:trPr>
          <w:tblCellSpacing w:w="15" w:type="dxa"/>
        </w:trPr>
        <w:tc>
          <w:tcPr>
            <w:tcW w:w="0" w:type="auto"/>
            <w:shd w:val="clear" w:color="auto" w:fill="FFFFFF"/>
            <w:hideMark/>
          </w:tcPr>
          <w:p w14:paraId="517D5541" w14:textId="53151C80"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Rath et al (2010)</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2E2NjA3NGQtODIxNS00NzcwLWE0NTAtNjRhOGFlMDhiMmE0IiwicHJvcGVydGllcyI6eyJub3RlSW5kZXgiOjB9LCJpc0VkaXRlZCI6ZmFsc2UsIm1hbnVhbE92ZXJyaWRlIjp7ImlzTWFudWFsbHlPdmVycmlkZGVuIjpmYWxzZSwiY2l0ZXByb2NUZXh0IjoiKDczKSIsIm1hbnVhbE92ZXJyaWRlVGV4dCI6IiJ9LCJjaXRhdGlvbkl0ZW1zIjpbeyJpZCI6ImYwZjc1YzNkLTIxZGItM2UwYS1hZGM3LWEzN2Y2NGQ5ZGZkYSIsIml0ZW1EYXRhIjp7InR5cGUiOiJhcnRpY2xlLWpvdXJuYWwiLCJpZCI6ImYwZjc1YzNkLTIxZGItM2UwYS1hZGM3LWEzN2Y2NGQ5ZGZkYSIsInRpdGxlIjoiQm90dWxpbnVtIHRveGluIHR5cGUgQSBpbiBzaW1wbGUgbW90b3IgdGljczogU2hvcnQtdGVybSBhbmQgbG9uZy10ZXJtIHRyZWF0bWVudC1lZmZlY3RzIiwiZ3JvdXBJZCI6IjA3ZDYyYWMxLTVhYTgtMzlhZi1iNDllLTUyZDIwODhhYzU3MSIsImF1dGhvciI6W3siZmFtaWx5IjoiUmF0aCIsImdpdmVuIjoiSiBKIEciLCJwYXJzZS1uYW1lcyI6ZmFsc2UsImRyb3BwaW5nLXBhcnRpY2xlIjoiIiwibm9uLWRyb3BwaW5nLXBhcnRpY2xlIjoiIn0seyJmYW1pbHkiOiJUYXZ5IiwiZ2l2ZW4iOiJEIEwgSiIsInBhcnNlLW5hbWVzIjpmYWxzZSwiZHJvcHBpbmctcGFydGljbGUiOiIiLCJub24tZHJvcHBpbmctcGFydGljbGUiOiIifSx7ImZhbWlseSI6IldlcnRlbmJyb2VrIiwiZ2l2ZW4iOiJBIEEgQSBDIE0iLCJwYXJzZS1uYW1lcyI6ZmFsc2UsImRyb3BwaW5nLXBhcnRpY2xlIjoiIiwibm9uLWRyb3BwaW5nLXBhcnRpY2xlIjoiIn0seyJmYW1pbHkiOiJXb2Vya29tIiwiZ2l2ZW4iOiJUIEMgQSBNIiwicGFyc2UtbmFtZXMiOmZhbHNlLCJkcm9wcGluZy1wYXJ0aWNsZSI6IiIsIm5vbi1kcm9wcGluZy1wYXJ0aWNsZSI6InZhbiJ9LHsiZmFtaWx5IjoiQnJ1aWpuIiwiZ2l2ZW4iOiJTIEYgVCBNIiwicGFyc2UtbmFtZXMiOmZhbHNlLCJkcm9wcGluZy1wYXJ0aWNsZSI6IiIsIm5vbi1kcm9wcGluZy1wYXJ0aWNsZSI6ImRlIn1dLCJjb250YWluZXItdGl0bGUiOiJQYXJraW5zb25pc20gYW5kIFJlbGF0ZWQgRGlzb3JkZXJzIiwiRE9JIjoiaHR0cHM6Ly9keC5kb2kub3JnLzEwLjEwMTYvai5wYXJrcmVsZGlzLjIwMDkuMTEuMDExIiwiVVJMIjoiaHR0cHM6Ly93d3cuZWxzZXZpZXIuY29tL2xvY2F0ZS9wYXJrcmVsZGlzaHR0cDovL292aWRzcC5vdmlkLmNvbS9vdmlkd2ViLmNnaT9UPUpTJlBBR0U9cmVmZXJlbmNlJkQ9ZW1lZDExJk5FV1M9TiZBTj01MDc0MzUwNiIsImlzc3VlZCI6eyJkYXRlLXBhcnRzIjpbWzIwMTBdXX0sInBhZ2UiOiI0NzgtNDgxIiwiYWJzdHJhY3QiOiJUbyBkZXRlcm1pbmUgdGhlIHNob3J0LXRlcm0gYW5kIGxvbmctdGVybSB0cmVhdG1lbnQtZWZmZWN0cyBvZiBib3R1bGludW0gdG94aW4gdHlwZSBBIGluIHNpbXBsZSBtb3RvciB0aWNzLCB3ZSBhbmFseXplZCAxNSBjb25zZWN1dGl2ZSBwYXRpZW50cyAoMTggdGljcykgd2l0aCBzaW1wbGUgbW90b3IgdGljcyB0aGF0IHdlcmUgdHJlYXRlZCBldmVyeSAzIG1vbnRocyB3aXRoIGluamVjdGlvbnMgb2YgQlRYLUEuIEVmZmljYWN5IChyYXRlZCBvbiBhIDQtbGV2ZWwgc2NhbGUpIGFuZCBkdXJhdGlvbiBvZiBlZmZlY3Qgb2YgdGhlIGZpcnN0IDIgYW5kIGxhc3QgMiAoaWYgdHJlYXRlZCA1IHRpbWVzIG9yIG1vcmUpIHRyZWF0bWVudHMgd2VyZSByZWNvcmRlZCwgYXMgd2VsbCBhcyBsYXRlbmN5IG9mIHJlc3BvbnNlLCBjaGFuZ2VzIG9mIHByZW1vbml0b3J5IHVyZ2VzIChQTVVzKSBhbmQgcG9zc2libGUgc2lkZSBlZmZlY3RzLlRvdGFsIG51bWJlciBvZiB0cmVhdG1lbnRzIGZvciBlYWNoIHRpYyB2YXJpZWQgZnJvbSAyIHRvIDUwIChtZWFuIDExLCBtZWRpYW4gNikuIEluIDE2IG9mIDE4IHRpY3MgKDg5JSkgc2hvcnQtdGVybSBlZmZpY2FjeSB3YXMgcmVwb3J0ZWQgc3VjY2Vzc2Z1bCAoZ29vZCBvciBtb2RlcmF0ZSkuIExvbmctdGVybSBlZmZpY2FjeSB3YXMgcmVwb3J0ZWQgaW4gMTIgdGljcyBvZiB3aGljaCAxMSBzaG93ZWQgc2ltaWxhciBvciBldmVuIGluY3JlYXNlZCBiZW5lZmljaWFsIGVmZmVjdHMuIFByZW1vbml0b3J5IHVyZ2UgKFBNVSkgd2FzIHJlcG9ydGVkIGluIDggcGF0aWVudHMgKDUzJSkuIFBNVSwgaWYgcHJlc2VudCwgbGVzc2VuZWQgb3IgZGlzYXBwZWFyZWQgYWZ0ZXIgdHJlYXRtZW50IHdpdGggQlRYLUEuIEEgcGVybWFuZW50IHJlbWlzc2lvbiBvZiB0aGUgdHJlYXRlZCB0aWMgd2FzIHNlZW4gaW4gMyBwYXRpZW50cyB3aXRoIGEgbWF4aW11bSBmb2xsb3ctdXAgb2YgMTAgeWVhcnMuQlRYLUEgYXBwZWFycyBhIHNhZmUgYW5kIGVmZmVjdGl2ZSB0cmVhdG1lbnQgZm9yIHNpbXBsZSBtb3RvciB0aWNzIGFuZCByZXRhaW5zIGl0cyBlZmZpY2FjeSBhZnRlciBsb25nLXRlcm0gdHJlYXRtZW50LiBCVFggbWF5IGFsc28gaW5kdWNlIHBlcm1hbmVudCByZW1pc3Npb24gb2YgdGhlIHRyZWF0ZWQgdGljcyBhbmQgZWZmZWN0cyBvZiBCVFggYXJlIG5vdCByZXN0cmljdGVkIHRvIG1lcmVseSBtb3RvciBiZWhhdmlvdXIuIMKpIDIwMDkgRWxzZXZpZXIgTHRkLiIsImlzc3VlIjoiNyIsInZvbHVtZSI6IjE2IiwiY29udGFpbmVyLXRpdGxlLXNob3J0IjoiUGFya2luc29uaXNtIFJlbGF0IERpc29yZCJ9LCJpc1RlbXBvcmFyeSI6ZmFsc2V9XX0="/>
                <w:id w:val="1663738591"/>
                <w:placeholder>
                  <w:docPart w:val="DefaultPlaceholder_-1854013440"/>
                </w:placeholder>
              </w:sdtPr>
              <w:sdtContent>
                <w:r w:rsidR="00F04E9F" w:rsidRPr="00F04E9F">
                  <w:rPr>
                    <w:rFonts w:eastAsia="Times New Roman" w:cs="Times New Roman"/>
                    <w:color w:val="000000"/>
                    <w:sz w:val="16"/>
                    <w:szCs w:val="16"/>
                  </w:rPr>
                  <w:t>(73)</w:t>
                </w:r>
              </w:sdtContent>
            </w:sdt>
          </w:p>
        </w:tc>
        <w:tc>
          <w:tcPr>
            <w:tcW w:w="0" w:type="auto"/>
            <w:shd w:val="clear" w:color="auto" w:fill="FFFFFF"/>
            <w:hideMark/>
          </w:tcPr>
          <w:p w14:paraId="503C8903"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15 adults with CTDs</w:t>
            </w:r>
          </w:p>
        </w:tc>
        <w:tc>
          <w:tcPr>
            <w:tcW w:w="0" w:type="auto"/>
            <w:shd w:val="clear" w:color="auto" w:fill="FFFFFF"/>
            <w:hideMark/>
          </w:tcPr>
          <w:p w14:paraId="3D610F3B"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BTX-A - </w:t>
            </w:r>
            <w:r w:rsidRPr="008A1F40">
              <w:rPr>
                <w:rFonts w:cs="Times New Roman"/>
                <w:color w:val="000000" w:themeColor="text1"/>
                <w:sz w:val="16"/>
                <w:szCs w:val="16"/>
                <w:shd w:val="clear" w:color="auto" w:fill="FFFFFF"/>
              </w:rPr>
              <w:t>every three to four months with a varying total number of injections (median number of treatments per tic = 6)</w:t>
            </w:r>
          </w:p>
        </w:tc>
        <w:tc>
          <w:tcPr>
            <w:tcW w:w="0" w:type="auto"/>
            <w:shd w:val="clear" w:color="auto" w:fill="FFFFFF"/>
            <w:hideMark/>
          </w:tcPr>
          <w:p w14:paraId="4F922DCA"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Of the eight patients that experienced premonitory urges, all had their premonitory urges reduced following BTX-A treatment, and two patients reported that their premonitory urges had completely gone away following their first two treatments.</w:t>
            </w:r>
          </w:p>
        </w:tc>
      </w:tr>
      <w:tr w:rsidR="00986E35" w:rsidRPr="008A1F40" w14:paraId="5E3AC6B2" w14:textId="77777777" w:rsidTr="007F77D2">
        <w:trPr>
          <w:tblCellSpacing w:w="15" w:type="dxa"/>
        </w:trPr>
        <w:tc>
          <w:tcPr>
            <w:tcW w:w="0" w:type="auto"/>
            <w:shd w:val="clear" w:color="auto" w:fill="FFFFFF"/>
            <w:hideMark/>
          </w:tcPr>
          <w:p w14:paraId="57833DF3" w14:textId="69D05731"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Porta et al (2004)</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DgwMmQxM2ItNzE2MS00NzE3LWEyNTctZGM4ZGVlOTJkYjcyIiwicHJvcGVydGllcyI6eyJub3RlSW5kZXgiOjB9LCJpc0VkaXRlZCI6ZmFsc2UsIm1hbnVhbE92ZXJyaWRlIjp7ImlzTWFudWFsbHlPdmVycmlkZGVuIjpmYWxzZSwiY2l0ZXByb2NUZXh0IjoiKDc0KSIsIm1hbnVhbE92ZXJyaWRlVGV4dCI6IiJ9LCJjaXRhdGlvbkl0ZW1zIjpbeyJpZCI6ImNmNDBmYTAxLWM3MGYtMzY2Ny04N2JiLWFiNmI0YTQ0MTMwOSIsIml0ZW1EYXRhIjp7InR5cGUiOiJhcnRpY2xlLWpvdXJuYWwiLCJpZCI6ImNmNDBmYTAxLWM3MGYtMzY2Ny04N2JiLWFiNmI0YTQ0MTMwOSIsInRpdGxlIjoiVHJlYXRtZW50IG9mIHBob25pYyB0aWNzIGluIHBhdGllbnRzIHdpdGggVG91cmV0dGUncyBzeW5kcm9tZSB1c2luZyBib3R1bGludW0gdG94aW4gdHlwZSBBIiwiZ3JvdXBJZCI6IjA3ZDYyYWMxLTVhYTgtMzlhZi1iNDllLTUyZDIwODhhYzU3MSIsImF1dGhvciI6W3siZmFtaWx5IjoiUG9ydGEiLCJnaXZlbiI6Ik0iLCJwYXJzZS1uYW1lcyI6ZmFsc2UsImRyb3BwaW5nLXBhcnRpY2xlIjoiIiwibm9uLWRyb3BwaW5nLXBhcnRpY2xlIjoiIn0seyJmYW1pbHkiOiJNYWdnaW9uaSIsImdpdmVuIjoiRyIsInBhcnNlLW5hbWVzIjpmYWxzZSwiZHJvcHBpbmctcGFydGljbGUiOiIiLCJub24tZHJvcHBpbmctcGFydGljbGUiOiIifSx7ImZhbWlseSI6Ik90dGF2aWFuaSIsImdpdmVuIjoiRiIsInBhcnNlLW5hbWVzIjpmYWxzZSwiZHJvcHBpbmctcGFydGljbGUiOiIiLCJub24tZHJvcHBpbmctcGFydGljbGUiOiIifSx7ImZhbWlseSI6IlNjaGluZGxlciIsImdpdmVuIjoiQSIsInBhcnNlLW5hbWVzIjpmYWxzZSwiZHJvcHBpbmctcGFydGljbGUiOiIiLCJub24tZHJvcHBpbmctcGFydGljbGUiOiIifV0sImNvbnRhaW5lci10aXRsZSI6Ik5ldXJvbCBTY2kiLCJET0kiOiIxMC4xMDA3L3MxMDA3Mi0wMDMtMDIwMS00IiwiUE1JRCI6IjE0NzY3NjkxIiwiaXNzdWVkIjp7ImRhdGUtcGFydHMiOltbMjAwNF1dfSwicGFnZSI6IjQyMC00MjMiLCJhYnN0cmFjdCI6IldlIGFzc2Vzc2VkIHRoZSBlZmZlY3Qgb2YgYm90dWxpbnVtIHRveGluIHR5cGUgQSAoQlRYLUEpIG9uIHBob25pYyB0aWNzIGluIHBhdGllbnRzIHdpdGggVG91cmV0dGUncyBzeW5kcm9tZS4gQSB0b3RhbCBvZiAzMCBwYXRpZW50cyByZWNlaXZlZCAyLjUgSVUgQlRYLUEgKEJPVE9YOyBBbGxlcmdhbikgaW4gYm90aCB2b2NhbCBjb3Jkcy4gQWxsIHBhdGllbnRzIHdlcmUgYXNzZXNzZWQgYWZ0ZXIgMTUgZGF5cyBhbmQgdGhlbiA0IHRpbWVzIG92ZXIgYSAxMi1tb250aCBwZXJpb2QuIEF0IGVhY2ggdmlzaXQgdGhlIGZvbGxvd2luZyBkYXRhIHdlcmUgY29sbGVjdGVkOiBwaGVub21lbm9sb2d5IG9mIHRpY3MsIGdsb2JhbCBpbXByZXNzaW9uIG9mIGNoYW5nZXMgYnkgcGh5c2ljaWFuIGFuZCBwYXRpZW50LCBudW1iZXIgb2YgQlRYLUEgaW5qZWN0aW9ucyBnaXZlbiwgaW50ZXJ2YWwgYmV0d2VlbiBpbmplY3Rpb25zLCB0aW1lIHRvIHJlc3BvbnNlLCBkdXJhdGlvbiBvZiByZXNwb25zZSwgcHJlc2VuY2Ugb2YgcG9zdC1pbmplY3Rpb24gaHlwb3Bob25pYSBhbmQgc2lkZSBlZmZlY3RzLCBwcmVzZW5jZSBvZiBwcmVtb25pdG9yeSBzZW5zb3J5IHRpYyBjb21wb25lbnQsIGFuZCBpbnRlcmZlcmVuY2Ugd2l0aCBzb2NpYWwgbGlmZSBhbmQgd29yayBvciBzY2hvb2wgYWN0aXZpdGllcy4gVm9jYWwgdGljcyBpbXByb3ZlZCBhZnRlciB0cmVhdG1lbnQgaW4gOTMlIHBhdGllbnRzLCB3aXRoIDUwJSBiZWluZyB0aWMtZnJlZS4gTWVhbiByZXNwb25zZSB0aW1lIHdhcyA1LjggZGF5cywgYW5kIG1lYW4gZHVyYXRpb24gb2YgcmVzcG9uc2Ugd2FzIDEwMiBkYXlzLiBRdWFsaXR5IG9mIGxpZmUgaW1wcm92ZWQsIGFuZCBwcmVtb25pdG9yeSBleHBlcmllbmNlcyBkcm9wcGVkIGZyb20gNTMlIHRvIDIwJS4gSHlwb3Bob25pYSB3YXMgdGhlIG9ubHkgc2lkZSBlZmZlY3Qgb2Ygbm90ZSAoODAlIG9mIHBhdGllbnRzKS4gQlRYLUEgaXMgYW4gZWZmZWN0aXZlIGFuZCBzYWZlIHRyZWF0bWVudCBmb3IgcGhvbmljIHRpY3MgYXNzb2NpYXRlZCB3aXRoIFRvdXJldHRlJ3Mgc3luZHJvbWUuIiwiaXNzdWUiOiI2Iiwidm9sdW1lIjoiMjQiLCJjb250YWluZXItdGl0bGUtc2hvcnQiOiIifSwiaXNUZW1wb3JhcnkiOmZhbHNlfV19"/>
                <w:id w:val="1715082112"/>
                <w:placeholder>
                  <w:docPart w:val="DefaultPlaceholder_-1854013440"/>
                </w:placeholder>
              </w:sdtPr>
              <w:sdtContent>
                <w:r w:rsidR="00F04E9F" w:rsidRPr="00F04E9F">
                  <w:rPr>
                    <w:rFonts w:eastAsia="Times New Roman" w:cs="Times New Roman"/>
                    <w:color w:val="000000"/>
                    <w:sz w:val="16"/>
                    <w:szCs w:val="16"/>
                  </w:rPr>
                  <w:t>(74)</w:t>
                </w:r>
              </w:sdtContent>
            </w:sdt>
          </w:p>
        </w:tc>
        <w:tc>
          <w:tcPr>
            <w:tcW w:w="0" w:type="auto"/>
            <w:shd w:val="clear" w:color="auto" w:fill="FFFFFF"/>
            <w:hideMark/>
          </w:tcPr>
          <w:p w14:paraId="60EC6AB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28 children and adults with TS and two</w:t>
            </w:r>
            <w:r w:rsidRPr="008A1F40">
              <w:rPr>
                <w:rFonts w:cs="Times New Roman"/>
                <w:color w:val="000000" w:themeColor="text1"/>
                <w:sz w:val="16"/>
                <w:szCs w:val="16"/>
              </w:rPr>
              <w:t xml:space="preserve"> adults that met all TS criteria except age of tic onset</w:t>
            </w:r>
          </w:p>
        </w:tc>
        <w:tc>
          <w:tcPr>
            <w:tcW w:w="0" w:type="auto"/>
            <w:shd w:val="clear" w:color="auto" w:fill="FFFFFF"/>
            <w:hideMark/>
          </w:tcPr>
          <w:p w14:paraId="68C6EDB5"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BTX-A injected into vocal cords - n</w:t>
            </w:r>
            <w:r w:rsidRPr="008A1F40">
              <w:rPr>
                <w:rFonts w:cs="Times New Roman"/>
                <w:color w:val="000000" w:themeColor="text1"/>
                <w:sz w:val="16"/>
                <w:szCs w:val="16"/>
              </w:rPr>
              <w:t>umber of treatments (mean = 1.9) and interval between treatments (mean = 4.2 months) varied</w:t>
            </w:r>
          </w:p>
        </w:tc>
        <w:tc>
          <w:tcPr>
            <w:tcW w:w="0" w:type="auto"/>
            <w:shd w:val="clear" w:color="auto" w:fill="FFFFFF"/>
            <w:hideMark/>
          </w:tcPr>
          <w:p w14:paraId="329A22EE"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After treatment, only 20% of patients reported experiencing premonitory urges compared to 53% prior to treatment.</w:t>
            </w:r>
          </w:p>
        </w:tc>
      </w:tr>
      <w:tr w:rsidR="00986E35" w:rsidRPr="008A1F40" w14:paraId="64A0DAB4" w14:textId="77777777" w:rsidTr="007F77D2">
        <w:trPr>
          <w:tblCellSpacing w:w="15" w:type="dxa"/>
        </w:trPr>
        <w:tc>
          <w:tcPr>
            <w:tcW w:w="0" w:type="auto"/>
            <w:shd w:val="clear" w:color="auto" w:fill="FFFFFF"/>
            <w:hideMark/>
          </w:tcPr>
          <w:p w14:paraId="0FE58A63" w14:textId="15D13BD4"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Di Lazzaro et al (2020)</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2U0NDkwMDItYmU2YS00MzI2LTlmYjEtZTViMjhhNzRkYWU4IiwicHJvcGVydGllcyI6eyJub3RlSW5kZXgiOjB9LCJpc0VkaXRlZCI6ZmFsc2UsIm1hbnVhbE92ZXJyaWRlIjp7ImlzTWFudWFsbHlPdmVycmlkZGVuIjpmYWxzZSwiY2l0ZXByb2NUZXh0IjoiKDc1KSIsIm1hbnVhbE92ZXJyaWRlVGV4dCI6IiJ9LCJjaXRhdGlvbkl0ZW1zIjpbeyJpZCI6IjRlNmNjNDkyLTU0ZjYtMzE3ZS05YjUzLTJmYWY3Y2UwMDk4OCIsIml0ZW1EYXRhIjp7InR5cGUiOiJhcnRpY2xlLWpvdXJuYWwiLCJpZCI6IjRlNmNjNDkyLTU0ZjYtMzE3ZS05YjUzLTJmYWY3Y2UwMDk4OCIsInRpdGxlIjoiVGhlIE5lZWQgdG8gVGljIiwiZ3JvdXBJZCI6IjA3ZDYyYWMxLTVhYTgtMzlhZi1iNDllLTUyZDIwODhhYzU3MSIsImF1dGhvciI6W3siZmFtaWx5IjoiTGF6emFybyIsImdpdmVuIjoiRyIsInBhcnNlLW5hbWVzIjpmYWxzZSwiZHJvcHBpbmctcGFydGljbGUiOiIiLCJub24tZHJvcHBpbmctcGFydGljbGUiOiJEaSJ9LHsiZmFtaWx5IjoiTWFncmluZWxsaSIsImdpdmVuIjoiRiIsInBhcnNlLW5hbWVzIjpmYWxzZSwiZHJvcHBpbmctcGFydGljbGUiOiIiLCJub24tZHJvcHBpbmctcGFydGljbGUiOiIifSx7ImZhbWlseSI6Ikdhbm9zIiwiZ2l2ZW4iOiJDIiwicGFyc2UtbmFtZXMiOmZhbHNlLCJkcm9wcGluZy1wYXJ0aWNsZSI6IiIsIm5vbi1kcm9wcGluZy1wYXJ0aWNsZSI6IiJ9LHsiZmFtaWx5IjoiQmhhdGlhIiwiZ2l2ZW4iOiJLIFAiLCJwYXJzZS1uYW1lcyI6ZmFsc2UsImRyb3BwaW5nLXBhcnRpY2xlIjoiIiwibm9uLWRyb3BwaW5nLXBhcnRpY2xlIjoiIn1dLCJjb250YWluZXItdGl0bGUiOiJNb3YgRGlzb3JkIENsaW4gUHJhY3QiLCJET0kiOiIxMC4xMDAyL21kYzMuMTMwMjMiLCJQTUlEIjoiMzMwNDMwODciLCJVUkwiOiJodHRwczovL3d3dy5uY2JpLm5sbS5uaWguZ292L3BtYy9hcnRpY2xlcy9QTUM3NTM0MDA2L3BkZi9NREMzLTctODYzLnBkZiIsImlzc3VlZCI6eyJkYXRlLXBhcnRzIjpbWzIwMjBdXX0sInBhZ2UiOiI4NjMtODY0IiwiaXNzdWUiOiI3Iiwidm9sdW1lIjoiNyIsImNvbnRhaW5lci10aXRsZS1zaG9ydCI6IiJ9LCJpc1RlbXBvcmFyeSI6ZmFsc2V9XX0="/>
                <w:id w:val="716622964"/>
                <w:placeholder>
                  <w:docPart w:val="DefaultPlaceholder_-1854013440"/>
                </w:placeholder>
              </w:sdtPr>
              <w:sdtContent>
                <w:r w:rsidR="00F04E9F" w:rsidRPr="00F04E9F">
                  <w:rPr>
                    <w:rFonts w:eastAsia="Times New Roman" w:cs="Times New Roman"/>
                    <w:color w:val="000000"/>
                    <w:sz w:val="16"/>
                    <w:szCs w:val="16"/>
                  </w:rPr>
                  <w:t>(75)</w:t>
                </w:r>
              </w:sdtContent>
            </w:sdt>
          </w:p>
        </w:tc>
        <w:tc>
          <w:tcPr>
            <w:tcW w:w="0" w:type="auto"/>
            <w:shd w:val="clear" w:color="auto" w:fill="FFFFFF"/>
            <w:hideMark/>
          </w:tcPr>
          <w:p w14:paraId="73FAA4C5"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three adults with tic disorders</w:t>
            </w:r>
          </w:p>
        </w:tc>
        <w:tc>
          <w:tcPr>
            <w:tcW w:w="0" w:type="auto"/>
            <w:shd w:val="clear" w:color="auto" w:fill="FFFFFF"/>
            <w:hideMark/>
          </w:tcPr>
          <w:p w14:paraId="71900B3B"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BTX</w:t>
            </w:r>
          </w:p>
        </w:tc>
        <w:tc>
          <w:tcPr>
            <w:tcW w:w="0" w:type="auto"/>
            <w:shd w:val="clear" w:color="auto" w:fill="FFFFFF"/>
            <w:hideMark/>
          </w:tcPr>
          <w:p w14:paraId="3E0BC567"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Patients “felt frustrated for still experiencing the need to tic in the treated areas, without being able to do so due to BoNT-induced muscle weakness"</w:t>
            </w:r>
          </w:p>
        </w:tc>
      </w:tr>
      <w:tr w:rsidR="00986E35" w:rsidRPr="008A1F40" w14:paraId="73D00D8B" w14:textId="77777777" w:rsidTr="007F77D2">
        <w:trPr>
          <w:tblCellSpacing w:w="15" w:type="dxa"/>
        </w:trPr>
        <w:tc>
          <w:tcPr>
            <w:tcW w:w="0" w:type="auto"/>
            <w:shd w:val="clear" w:color="auto" w:fill="FFFFFF"/>
            <w:hideMark/>
          </w:tcPr>
          <w:p w14:paraId="09F326E0" w14:textId="795086DB"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Müller-Vahl et al (2021)</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ZWI1YjJmZTMtMjBhYS00Zjk1LTkzNWMtNWI0ZjRiMWVjNjc2IiwicHJvcGVydGllcyI6eyJub3RlSW5kZXgiOjB9LCJpc0VkaXRlZCI6ZmFsc2UsIm1hbnVhbE92ZXJyaWRlIjp7ImlzTWFudWFsbHlPdmVycmlkZGVuIjpmYWxzZSwiY2l0ZXByb2NUZXh0IjoiKDc2KSIsIm1hbnVhbE92ZXJyaWRlVGV4dCI6IiJ9LCJjaXRhdGlvbkl0ZW1zIjpbeyJpZCI6ImRjZWZhNTE1LWMyYTctMzcwMi1hMGRiLTE5ZGUyNzQxMDE5NCIsIml0ZW1EYXRhIjp7InR5cGUiOiJhcnRpY2xlLWpvdXJuYWwiLCJpZCI6ImRjZWZhNTE1LWMyYTctMzcwMi1hMGRiLTE5ZGUyNzQxMDE5NCIsInRpdGxlIjoiTW9ub2FjeWxnbHljZXJvbCBMaXBhc2UgSW5oaWJpdGlvbiBpbiBUb3VyZXR0ZSBTeW5kcm9tZTogQSAxMi1XZWVrLCBSYW5kb21pemVkLCBDb250cm9sbGVkIFN0dWR5IiwiZ3JvdXBJZCI6IjA3ZDYyYWMxLTVhYTgtMzlhZi1iNDllLTUyZDIwODhhYzU3MSIsImF1dGhvciI6W3siZmFtaWx5IjoiTXVsbGVyLVZhaGwiLCJnaXZlbiI6IksgUiIsInBhcnNlLW5hbWVzIjpmYWxzZSwiZHJvcHBpbmctcGFydGljbGUiOiIiLCJub24tZHJvcHBpbmctcGFydGljbGUiOiIifSx7ImZhbWlseSI6IkZyZW1lciIsImdpdmVuIjoiQyIsInBhcnNlLW5hbWVzIjpmYWxzZSwiZHJvcHBpbmctcGFydGljbGUiOiIiLCJub24tZHJvcHBpbmctcGFydGljbGUiOiIifSx7ImZhbWlseSI6IkJlYWxzIiwiZ2l2ZW4iOiJDIiwicGFyc2UtbmFtZXMiOmZhbHNlLCJkcm9wcGluZy1wYXJ0aWNsZSI6IiIsIm5vbi1kcm9wcGluZy1wYXJ0aWNsZSI6IiJ9LHsiZmFtaWx5IjoiSXZrb3ZpYyIsImdpdmVuIjoiSiIsInBhcnNlLW5hbWVzIjpmYWxzZSwiZHJvcHBpbmctcGFydGljbGUiOiIiLCJub24tZHJvcHBpbmctcGFydGljbGUiOiIifSx7ImZhbWlseSI6IkxvZnQiLCJnaXZlbiI6IkgiLCJwYXJzZS1uYW1lcyI6ZmFsc2UsImRyb3BwaW5nLXBhcnRpY2xlIjoiIiwibm9uLWRyb3BwaW5nLXBhcnRpY2xlIjoiIn0seyJmYW1pbHkiOiJTY2hpbmRsZXIiLCJnaXZlbiI6IkMiLCJwYXJzZS1uYW1lcyI6ZmFsc2UsImRyb3BwaW5nLXBhcnRpY2xlIjoiIiwibm9uLWRyb3BwaW5nLXBhcnRpY2xlIjoiIn1dLCJjb250YWluZXItdGl0bGUiOiJNb3ZlbWVudCBEaXNvcmRlcnMiLCJET0kiOiJodHRwczovL2R4LmRvaS5vcmcvMTAuMTAwMi9tZHMuMjg2ODEiLCJVUkwiOiJodHRwOi8vb25saW5lbGlicmFyeS53aWxleS5jb20vam91cm5hbC8xMC4xMDAyLyhJU1NOKTE1MzEtODI1N2h0dHA6Ly9vdmlkc3Aub3ZpZC5jb20vb3ZpZHdlYi5jZ2k/VD1KUyZQQUdFPXJlZmVyZW5jZSZEPWVtZWQyMiZORVdTPU4mQU49MjAxMjM4Nzg2NyIsImlzc3VlZCI6eyJkYXRlLXBhcnRzIjpbWzIwMjFdXX0sInBhZ2UiOiIyNDEzLTI0MTgiLCJhYnN0cmFjdCI6IkJhY2tncm91bmQ6IE1vZHVsYXRpb24gb2YgdGhlIGVuZG9jYW5uYWJpbm9pZCBzeXN0ZW0gdmlhIG1vbm9hY3lsZ2x5Y2Vyb2wgbGlwYXNlIGluaGliaXRpb24gd2l0aCBMdSBBRzA2NDY2IChmb3JtZXJseSBrbm93biBhcyBBQlgtMTQzMSkgaGFzIHByZXZpb3VzbHkgYmVlbiBzaG93biB0byByZWR1Y2UgdGljcyBpbiBwYXRpZW50cyB3aXRoIFRvdXJldHRlIHN5bmRyb21lLiBPYmplY3RpdmUocyk6IFRoZSBhaW0gb2YgdGhpcyBzdHVkeSB3YXMgdG8gZXZhbHVhdGUgdGhlIGVmZmljYWN5IGFuZCBzYWZldHkgb2YgTHUgQUcwNjQ2NiBpbiByZWR1Y2luZyB0aWNzLCBwcmVtb25pdG9yeSB1cmdlcywgYW5kIGNvbW9yYmlkaXRpZXMgaW4gcGF0aWVudHMgd2l0aCBUb3VyZXR0ZSBzeW5kcm9tZS4gTWV0aG9kKHMpOiBUaGlzIHdhcyBhIDEyLXdlZWssIG11bHRpY2VudGVyLCByYW5kb21pemVkLCBwbGFjZWJvLWNvbnRyb2xsZWQsIGRvdWJsZS1ibGluZCBjbGluaWNhbCB0cmlhbCBvZiBMdSBBRzA2NDY2IGdpdmVuIGF0IHR3byBkb3NlIGxldmVscyBpbiA0OSBhZHVsdHMgd2l0aCBUb3VyZXR0ZSBzeW5kcm9tZS4gUmVzdWx0KHMpOiBCb3RoIHRyZWF0bWVudCBncm91cHMgc2hvd2VkIGltcHJvdmVtZW50IG9uIHRoZSBUb3RhbCBUaWMgU2NvcmUgb2YgdGhlIFlhbGUgR2xvYmFsIFRpYyBTZXZlcml0eSBTY2FsZTsgdGhlIG1lYW4gKDk1JSBDSSkgdHJlYXRtZW50IGRpZmZlcmVuY2UgYXQgd2VlayA4IG9mIDMuMCAoMC4xLCA1LjkpIChQID0gMC4wNDMpIGZhdm9yZWQgcGxhY2Viby4gTm8gc2lnbmlmaWNhbnQgZGlmZmVyZW5jZXMgd2VyZSBzZWVuIGZvciBvdGhlciBlbmRwb2ludHMgYXNzZXNzaW5nIGNoYW5nZXMgaW4gdGljIHNldmVyaXR5LCBwcmVtb25pdG9yeSB1cmdlcywgcXVhbGl0eSBvZiBsaWZlLCBhbmQgY29tbW9uIHBzeWNoaWF0cmljIGNvbW9yYmlkaXRpZXMuIFRyZWF0bWVudCB3aXRoIEx1LUFHMDY0NjYgd2FzIGdlbmVyYWxseSBzYWZlLiBDb25jbHVzaW9uKHMpOiBUaGVyZSB3YXMgbm8gZXZpZGVuY2UgdGhhdCBMdSBBRzA2NDY2IGhhcyBlZmZpY2FjeSBpbiBzdXBwcmVzc2luZyB0aWNzLiDCqSAyMDIxIFRoZSBBdXRob3JzLiBNb3ZlbWVudCBEaXNvcmRlcnMgcHVibGlzaGVkIGJ5IFdpbGV5IFBlcmlvZGljYWxzIExMQyBvbiBiZWhhbGYgb2YgSW50ZXJuYXRpb25hbCBQYXJraW5zb24gYW5kIE1vdmVtZW50IERpc29yZGVyIFNvY2lldHkuIiwiaXNzdWUiOiIxMCIsInZvbHVtZSI6IjM2IiwiY29udGFpbmVyLXRpdGxlLXNob3J0IjoiIn0sImlzVGVtcG9yYXJ5IjpmYWxzZX1dfQ=="/>
                <w:id w:val="-1204397575"/>
                <w:placeholder>
                  <w:docPart w:val="DefaultPlaceholder_-1854013440"/>
                </w:placeholder>
              </w:sdtPr>
              <w:sdtContent>
                <w:r w:rsidR="00F04E9F" w:rsidRPr="00F04E9F">
                  <w:rPr>
                    <w:rFonts w:eastAsia="Times New Roman" w:cs="Times New Roman"/>
                    <w:color w:val="000000"/>
                    <w:sz w:val="16"/>
                    <w:szCs w:val="16"/>
                  </w:rPr>
                  <w:t>(76)</w:t>
                </w:r>
              </w:sdtContent>
            </w:sdt>
          </w:p>
        </w:tc>
        <w:tc>
          <w:tcPr>
            <w:tcW w:w="0" w:type="auto"/>
            <w:shd w:val="clear" w:color="auto" w:fill="FFFFFF"/>
            <w:hideMark/>
          </w:tcPr>
          <w:p w14:paraId="5027200A"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44 adults with TS</w:t>
            </w:r>
          </w:p>
        </w:tc>
        <w:tc>
          <w:tcPr>
            <w:tcW w:w="0" w:type="auto"/>
            <w:shd w:val="clear" w:color="auto" w:fill="FFFFFF"/>
            <w:hideMark/>
          </w:tcPr>
          <w:p w14:paraId="0804F01C"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Lu AG06466 (</w:t>
            </w:r>
            <w:r w:rsidRPr="008A1F40">
              <w:rPr>
                <w:rFonts w:cs="Times New Roman"/>
                <w:color w:val="000000" w:themeColor="text1"/>
                <w:sz w:val="16"/>
                <w:szCs w:val="16"/>
                <w:shd w:val="clear" w:color="auto" w:fill="FFFFFF"/>
              </w:rPr>
              <w:t>monoacylglycerol lipase inhibitor) - eight</w:t>
            </w:r>
            <w:r w:rsidRPr="008A1F40">
              <w:rPr>
                <w:rFonts w:cs="Times New Roman"/>
                <w:color w:val="000000" w:themeColor="text1"/>
                <w:sz w:val="16"/>
                <w:szCs w:val="16"/>
              </w:rPr>
              <w:t xml:space="preserve"> week, double blind randomized, placebo-controlled trial – active group treatment: “10 mg for the first 3 days, 20 mg on days 4–28, 30 mg on days 29–35, before the target dose of 40 mg was reached for 21 days until day 56”</w:t>
            </w:r>
          </w:p>
        </w:tc>
        <w:tc>
          <w:tcPr>
            <w:tcW w:w="0" w:type="auto"/>
            <w:shd w:val="clear" w:color="auto" w:fill="FFFFFF"/>
            <w:hideMark/>
          </w:tcPr>
          <w:p w14:paraId="407C18CB"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No significant difference in PUTS scores between groups at four (p = 0.50) or eight weeks (p = 0.67).</w:t>
            </w:r>
          </w:p>
        </w:tc>
      </w:tr>
      <w:tr w:rsidR="00986E35" w:rsidRPr="008A1F40" w14:paraId="0579DC26" w14:textId="77777777" w:rsidTr="007F77D2">
        <w:trPr>
          <w:tblCellSpacing w:w="15" w:type="dxa"/>
        </w:trPr>
        <w:tc>
          <w:tcPr>
            <w:tcW w:w="0" w:type="auto"/>
            <w:shd w:val="clear" w:color="auto" w:fill="FFFFFF"/>
            <w:hideMark/>
          </w:tcPr>
          <w:p w14:paraId="0FA4799F" w14:textId="020F5801"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Müller-Vahl et al (2022)</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TUyNDNhYTMtMzAxOS00NmViLWEzMjktNjRiNmI5NGU3OWFhIiwicHJvcGVydGllcyI6eyJub3RlSW5kZXgiOjB9LCJpc0VkaXRlZCI6ZmFsc2UsIm1hbnVhbE92ZXJyaWRlIjp7ImlzTWFudWFsbHlPdmVycmlkZGVuIjpmYWxzZSwiY2l0ZXByb2NUZXh0IjoiKDc3KSIsIm1hbnVhbE92ZXJyaWRlVGV4dCI6IiJ9LCJjaXRhdGlvbkl0ZW1zIjpbeyJpZCI6IjVlMTQ1NTViLWRlMDgtM2Y3Mi04YTY3LTdiMDcxZmZhYjc2ZiIsIml0ZW1EYXRhIjp7InR5cGUiOiJhcnRpY2xlLWpvdXJuYWwiLCJpZCI6IjVlMTQ1NTViLWRlMDgtM2Y3Mi04YTY3LTdiMDcxZmZhYjc2ZiIsInRpdGxlIjoiRW5kb2Nhbm5hYmlub2lkIE1vZHVsYXRpb24gVXNpbmcgTW9ub2FjeWxnbHljZXJvbCBMaXBhc2UgSW5oaWJpdGlvbiBpbiBUb3VyZXR0ZSBTeW5kcm9tZTogQSBQaGFzZSAxIFJhbmRvbWl6ZWQsIFBsYWNlYm8tQ29udHJvbGxlZCBTdHVkeSIsImdyb3VwSWQiOiIwN2Q2MmFjMS01YWE4LTM5YWYtYjQ5ZS01MmQyMDg4YWM1NzEiLCJhdXRob3IiOlt7ImZhbWlseSI6Ik11bGxlci1WYWhsIiwiZ2l2ZW4iOiJLIFIiLCJwYXJzZS1uYW1lcyI6ZmFsc2UsImRyb3BwaW5nLXBhcnRpY2xlIjoiIiwibm9uLWRyb3BwaW5nLXBhcnRpY2xlIjoiIn0seyJmYW1pbHkiOiJGcmVtZXIiLCJnaXZlbiI6IkMiLCJwYXJzZS1uYW1lcyI6ZmFsc2UsImRyb3BwaW5nLXBhcnRpY2xlIjoiIiwibm9uLWRyb3BwaW5nLXBhcnRpY2xlIjoiIn0seyJmYW1pbHkiOiJCZWFscyIsImdpdmVuIjoiQyIsInBhcnNlLW5hbWVzIjpmYWxzZSwiZHJvcHBpbmctcGFydGljbGUiOiIiLCJub24tZHJvcHBpbmctcGFydGljbGUiOiIifSx7ImZhbWlseSI6Ikl2a292aWMiLCJnaXZlbiI6IkoiLCJwYXJzZS1uYW1lcyI6ZmFsc2UsImRyb3BwaW5nLXBhcnRpY2xlIjoiIiwibm9uLWRyb3BwaW5nLXBhcnRpY2xlIjoiIn0seyJmYW1pbHkiOiJMb2Z0IiwiZ2l2ZW4iOiJIIiwicGFyc2UtbmFtZXMiOmZhbHNlLCJkcm9wcGluZy1wYXJ0aWNsZSI6IiIsIm5vbi1kcm9wcGluZy1wYXJ0aWNsZSI6IiJ9LHsiZmFtaWx5IjoiU2NoaW5kbGVyIiwiZ2l2ZW4iOiJDIiwicGFyc2UtbmFtZXMiOmZhbHNlLCJkcm9wcGluZy1wYXJ0aWNsZSI6IiIsIm5vbi1kcm9wcGluZy1wYXJ0aWNsZSI6IiJ9XSwiY29udGFpbmVyLXRpdGxlIjoiUGhhcm1hY29wc3ljaGlhdHJ5IiwiRE9JIjoiaHR0cHM6Ly9keC5kb2kub3JnLzEwLjEwNTUvYS0xNjc1LTM0OTQiLCJVUkwiOiJodHRwOi8vd3d3LnRoaWVtZS1jb25uZWN0LmNvbS9lam91cm5hbHMvdG9jL3BoYXJtYWNvaHR0cDovL292aWRzcC5vdmlkLmNvbS9vdmlkd2ViLmNnaT9UPUpTJlBBR0U9cmVmZXJlbmNlJkQ9ZW1leGEmTkVXUz1OJkFOPTYzNjYwODEzMCIsImlzc3VlZCI6eyJkYXRlLXBhcnRzIjpbWzIwMjJdXX0sInBhZ2UiOiIxNDgtMTU2IiwiYWJzdHJhY3QiOiJJbnRyb2R1Y3Rpb24gVG91cmV0dGUgc3luZHJvbWUgKFRTKSBpcyBhIGNvbXBsZXggbmV1cm9kZXZlbG9wbWVudGFsIGRpc29yZGVyIGNoYXJhY3Rlcml6ZWQgYnkgY2hyb25pYyBtb3RvciBhbmQgdm9jYWwgdGljcy4gV2hpbGUgY29uc2lzdGVudGx5IGVmZmVjdGl2ZSB0cmVhdG1lbnQgaXMgbGFja2luZywgZXZpZGVuY2UgaW5kaWNhdGVzIHRoYXQgdGhlIG1vZHVsYXRpb24gb2YgZW5kb2Nhbm5hYmlub2lkIHN5c3RlbSBpcyBwb3RlbnRpYWxseSBiZW5lZmljaWFsLiBMdSBBRzA2NDY2IChwcmV2aW91c2x5IEFCWC0xNDMxKSBpcyBhIGhpZ2hseSBzZWxlY3RpdmUgaW5oaWJpdG9yIG9mIG1vbm9hY3lsZ2x5Y2Vyb2wgbGlwYXNlLCB0aGUgcHJpbWFyeSBlbnp5bWUgcmVzcG9uc2libGUgZm9yIHRoZSBkZWdyYWRhdGlvbiBvZiB0aGUgZW5kb2Nhbm5hYmlub2lkIGxpZ2FuZCAyLWFyYWNoaWRvbm95bGdseWNlcm9sLiBUaGlzIGV4cGxvcmF0b3J5IHN0dWR5IGFpbWVkIHRvIGRldGVybWluZSB0aGUgZWZmZWN0IG9mIEx1IEFHMDY0NjYgdmVyc3VzIHBsYWNlYm8gb24gdGljcyBhbmQgb3RoZXIgc3ltcHRvbXMgaW4gcGF0aWVudHMgd2l0aCBUUy4gTWV0aG9kcyBJbiB0aGlzIHBoYXNlIDFiIGNyb3NzLW92ZXIgc3R1ZHksIDIwIGFkdWx0IHBhdGllbnRzIHdpdGggVFMgb24gc3RhbmRhcmQtb2YtY2FyZSBtZWRpY2F0aW9ucyB3ZXJlIHJhbmRvbWl6ZWQgdG8gYSBzaW5nbGUgZmFzdGVkIGRvc2Ugb2YgTHUgQUcwNjQ2NiAoNDAgbWcpIG9yIHBsYWNlYm8gaW4gcGVyaW9kIDEsIGZvbGxvd2VkIGJ5IHRoZSBvdGhlciB0cmVhdG1lbnQgaW4gcGVyaW9kIDIuIFRoZSBlZmZlY3RzIG9uIHRpY3MsIHByZW1vbml0b3J5IHVyZ2VzLCBhbmQgcHN5Y2hpYXRyaWMgY29tb3JiaWRpdGllcyB3ZXJlIGV2YWx1YXRlZCB1c2luZyBhIHZhcmlldHkgb2Ygc2NhbGVkIGFwcHJvYWNoZXMgYXQgZGlmZmVyZW50IHRpbWUgcG9pbnRzIGJlZm9yZSBhbmQgYWZ0ZXIgdHJlYXRtZW50LiBSZXN1bHRzIEFsbCBzY2FsZXMgc2hvd2VkIGFuIG92ZXJhbGwgdHJlbmQgb2YgdGljIHJlZHVjdGlvbiwgd2l0aCB0d28gb3V0IG9mIHRocmVlIHRpYyBzY2FsZXMgKGluY2x1ZGluZyB0aGUgVG90YWwgVGljIFNjb3JlIG9mIHRoZSBZYWxlIEdsb2JhbCBUaWMgU2V2ZXJpdHkgU2NvcmUpIHNob3dpbmcgYSBzaWduaWZpY2FudCBlZmZlY3Qgb2YgYSBzaW5nbGUgZG9zZSBvZiBMdSBBRzA2NDY2IHZlcnN1cyBwbGFjZWJvIGF0IHZhcmlvdXMgdGltZXBvaW50cy4gVHJlYXRtZW50IHdpdGggTHUgQUcwNjQ2NiByZXN1bHRlZCBpbiBhIHNpZ25pZmljYW50IHJlZHVjdGlvbiBpbiBwcmVtb25pdG9yeSB1cmdlcyB2ZXJzdXMgcGxhY2Viby4gU2luZ2xlIGRvc2VzIG9mIEx1IEFHMDY0NjYgd2VyZSBnZW5lcmFsbHkgd2VsbC10b2xlcmF0ZWQsIGFuZCB0aGUgbW9zdCBjb21tb24gYWR2ZXJzZSBldmVudHMgd2VyZSBoZWFkYWNoZSwgc29tbm9sZW5jZSwgYW5kIGZhdGlndWUuIENvbmNsdXNpb24gSW4gdGhpcyBleHBsb3JhdG9yeSB0cmlhbCwgYSBzaW5nbGUgZG9zZSBvZiBMdSBBRzA2NDY2IHNob3dlZCBzdGF0aXN0aWNhbGx5IHNpZ25pZmljYW50IHBvc2l0aXZlIGVmZmVjdHMgb24ga2V5IG1lYXN1cmVzIG9mIFRTIHN5bXB0b21zLkNvcHlyaWdodCDCqSAyMDIyIEdlb3JnVGhpZW1lLiBBbGwgcmlnaHRzIHJlc2VydmVkLiIsImlzc3VlIjoiMyIsInZvbHVtZSI6IjU1IiwiY29udGFpbmVyLXRpdGxlLXNob3J0IjoiUGhhcm1hY29wc3ljaGlhdHJ5In0sImlzVGVtcG9yYXJ5IjpmYWxzZX1dfQ=="/>
                <w:id w:val="-1989777238"/>
                <w:placeholder>
                  <w:docPart w:val="DefaultPlaceholder_-1854013440"/>
                </w:placeholder>
              </w:sdtPr>
              <w:sdtContent>
                <w:r w:rsidR="00F04E9F" w:rsidRPr="00F04E9F">
                  <w:rPr>
                    <w:rFonts w:eastAsia="Times New Roman" w:cs="Times New Roman"/>
                    <w:color w:val="000000"/>
                    <w:sz w:val="16"/>
                    <w:szCs w:val="16"/>
                  </w:rPr>
                  <w:t>(77)</w:t>
                </w:r>
              </w:sdtContent>
            </w:sdt>
          </w:p>
        </w:tc>
        <w:tc>
          <w:tcPr>
            <w:tcW w:w="0" w:type="auto"/>
            <w:shd w:val="clear" w:color="auto" w:fill="FFFFFF"/>
            <w:hideMark/>
          </w:tcPr>
          <w:p w14:paraId="33DA806F"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19 adults with TS</w:t>
            </w:r>
          </w:p>
        </w:tc>
        <w:tc>
          <w:tcPr>
            <w:tcW w:w="0" w:type="auto"/>
            <w:shd w:val="clear" w:color="auto" w:fill="FFFFFF"/>
            <w:hideMark/>
          </w:tcPr>
          <w:p w14:paraId="607DFA97"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Lu AG06466 - </w:t>
            </w:r>
            <w:r w:rsidRPr="008A1F40">
              <w:rPr>
                <w:rFonts w:cs="Times New Roman"/>
                <w:color w:val="000000" w:themeColor="text1"/>
                <w:sz w:val="16"/>
                <w:szCs w:val="16"/>
                <w:shd w:val="clear" w:color="auto" w:fill="FFFFFF"/>
              </w:rPr>
              <w:t>single dose, double blind placebo-controlled crossover trial</w:t>
            </w:r>
          </w:p>
        </w:tc>
        <w:tc>
          <w:tcPr>
            <w:tcW w:w="0" w:type="auto"/>
            <w:shd w:val="clear" w:color="auto" w:fill="FFFFFF"/>
            <w:hideMark/>
          </w:tcPr>
          <w:p w14:paraId="5C034BA5"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PUTS scores decreased significantly more in the treatment condition compared to the placebo condition at 4 and 12 hours post dose (p &lt; 0.05), but not at 8 hours post dose</w:t>
            </w:r>
          </w:p>
        </w:tc>
      </w:tr>
      <w:tr w:rsidR="00986E35" w:rsidRPr="008A1F40" w14:paraId="4BCDA377" w14:textId="77777777" w:rsidTr="007F77D2">
        <w:trPr>
          <w:tblCellSpacing w:w="15" w:type="dxa"/>
        </w:trPr>
        <w:tc>
          <w:tcPr>
            <w:tcW w:w="0" w:type="auto"/>
            <w:shd w:val="clear" w:color="auto" w:fill="FFFFFF"/>
            <w:hideMark/>
          </w:tcPr>
          <w:p w14:paraId="2EFF642A" w14:textId="66B911A0"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Müller-Vahl et al (1998)</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Tg1MTkxMTgtNzY5MS00MjNkLWE2OGEtMzc2NmFhYzYwM2I0IiwicHJvcGVydGllcyI6eyJub3RlSW5kZXgiOjB9LCJpc0VkaXRlZCI6ZmFsc2UsIm1hbnVhbE92ZXJyaWRlIjp7ImlzTWFudWFsbHlPdmVycmlkZGVuIjpmYWxzZSwiY2l0ZXByb2NUZXh0IjoiKDc4KSIsIm1hbnVhbE92ZXJyaWRlVGV4dCI6IiJ9LCJjaXRhdGlvbkl0ZW1zIjpbeyJpZCI6ImRhOGMzZGQ1LWFjMmYtMzQxYi05NmNmLTI2MjFkYTI3YzdiOSIsIml0ZW1EYXRhIjp7InR5cGUiOiJhcnRpY2xlLWpvdXJuYWwiLCJpZCI6ImRhOGMzZGQ1LWFjMmYtMzQxYi05NmNmLTI2MjFkYTI3YzdiOSIsInRpdGxlIjoiQ2FubmFiaW5vaWRzOiBwb3NzaWJsZSByb2xlIGluIHBhdGhvLXBoeXNpb2xvZ3kgYW5kIHRoZXJhcHkgb2YgR2lsbGVzIGRlIGxhIFRvdXJldHRlIHN5bmRyb21lIiwiZ3JvdXBJZCI6IjA3ZDYyYWMxLTVhYTgtMzlhZi1iNDllLTUyZDIwODhhYzU3MSIsImF1dGhvciI6W3siZmFtaWx5IjoiTcO8bGxlci1WYWhsIiwiZ2l2ZW4iOiJLIFIiLCJwYXJzZS1uYW1lcyI6ZmFsc2UsImRyb3BwaW5nLXBhcnRpY2xlIjoiIiwibm9uLWRyb3BwaW5nLXBhcnRpY2xlIjoiIn0seyJmYW1pbHkiOiJLb2xiZSIsImdpdmVuIjoiSCIsInBhcnNlLW5hbWVzIjpmYWxzZSwiZHJvcHBpbmctcGFydGljbGUiOiIiLCJub24tZHJvcHBpbmctcGFydGljbGUiOiIifSx7ImZhbWlseSI6IlNjaG5laWRlciIsImdpdmVuIjoiVSIsInBhcnNlLW5hbWVzIjpmYWxzZSwiZHJvcHBpbmctcGFydGljbGUiOiIiLCJub24tZHJvcHBpbmctcGFydGljbGUiOiIifSx7ImZhbWlseSI6IkVtcmljaCIsImdpdmVuIjoiSCBNIiwicGFyc2UtbmFtZXMiOmZhbHNlLCJkcm9wcGluZy1wYXJ0aWNsZSI6IiIsIm5vbi1kcm9wcGluZy1wYXJ0aWNsZSI6IiJ9XSwiY29udGFpbmVyLXRpdGxlIjoiQWN0YSBQc3ljaGlhdHIgU2NhbmQiLCJET0kiOiIxMC4xMTExL2ouMTYwMC0wNDQ3LjE5OTgudGIxMDEyNy54IiwiUE1JRCI6Ijk4Nzk3OTUiLCJVUkwiOiJodHRwczovL29ubGluZWxpYnJhcnktd2lsZXktY29tLnByb3h5LmxpYnJhcnkudmFuZGVyYmlsdC5lZHUvZG9pL2Ficy8xMC4xMTExL2ouMTYwMC0wNDQ3LjE5OTgudGIxMDEyNy54IiwiaXNzdWVkIjp7ImRhdGUtcGFydHMiOltbMTk5OF1dfSwicGFnZSI6IjUwMi01MDYiLCJhYnN0cmFjdCI6IkhpZ2ggZGVuc2l0aWVzIG9mIGNhbm5hYmlub2lkIHJlY2VwdG9ycyB3ZXJlIGZvdW5kIGluIHRoZSBiYXNhbCBnYW5nbGlhIGFuZCBoaXBwb2NhbXB1cywgaW5kaWNhdGluZyBhIHB1dGF0aXZlIGZ1bmN0aW9uYWwgcm9sZSBvZiBjYW5uYWJpbm9pZHMgaW4gbW92ZW1lbnQgYW5kIGJlaGF2aW91ci4gQW5lY2RvdGFsIHJlcG9ydHMgc3VnZ2VzdGVkIGJlbmVmaWNpYWwgZWZmZWN0cyBvZiBtYXJpanVhbmEgaW4gVG91cmV0dGUncyBzeW5kcm9tZSAoVFMpLiBXZSB0aGVyZWZvcmUgaW50ZXJ2aWV3ZWQgNjQgVFMgcGF0aWVudHMgd2l0aCByZWdhcmQgdG8gdXNlIG9mIG1hcmlqdWFuYSBhbmQgaXRzIGluZmx1ZW5jZSBvbiBUUyBzeW1wdG9tYXRvbG9neS4gT2YgMTcgcGF0aWVudHMgKDI3JSkgd2hvIHJlcG9ydGVkIHByaW9yIHVzZSBvZiBtYXJpanVhbmEsIDE0IHN1YmplY3RzICg4MiUpIGV4cGVyaWVuY2VkIGEgcmVkdWN0aW9uIG9yIGNvbXBsZXRlIHJlbWlzc2lvbiBvZiBtb3RvciBhbmQgdm9jYWwgdGljcyBhbmQgYW4gYW1lbGlvcmF0aW9uIG9mIHByZW1vbml0b3J5IHVyZ2VzIGFuZCBvYnNlc3NpdmUtY29tcHVsc2l2ZSBzeW1wdG9tcy4gT3VyIHJlc3VsdHMgcHJvdmlkZSBtb3JlIGV2aWRlbmNlIHRoYXQgbWFyaWp1YW5hIGltcHJvdmVzIHRpY3MgYW5kIGJlaGF2aW91cmFsIGRpc29yZGVycyBpbiBUUy4gSXQgY2FuIGJlIHNwZWN1bGF0ZWQgdGhhdCBjYW5uYWJpbm9pZHMgbWlnaHQgYWN0IHRocm91Z2ggc3BlY2lmaWMgcmVjZXB0b3JzLCBhbmQgdGhhdCB0aGUgY2FubmFiaW5vaWQgc3lzdGVtIG1pZ2h0IHBsYXkgYSBtYWpvciByb2xlIGluIFRTIHBhdGhvbG9neS4iLCJpc3N1ZSI6IjYiLCJ2b2x1bWUiOiI5OCIsImNvbnRhaW5lci10aXRsZS1zaG9ydCI6IiJ9LCJpc1RlbXBvcmFyeSI6ZmFsc2V9XX0="/>
                <w:id w:val="22907170"/>
                <w:placeholder>
                  <w:docPart w:val="DefaultPlaceholder_-1854013440"/>
                </w:placeholder>
              </w:sdtPr>
              <w:sdtContent>
                <w:r w:rsidR="00F04E9F" w:rsidRPr="00F04E9F">
                  <w:rPr>
                    <w:rFonts w:eastAsia="Times New Roman" w:cs="Times New Roman"/>
                    <w:color w:val="000000"/>
                    <w:sz w:val="16"/>
                    <w:szCs w:val="16"/>
                  </w:rPr>
                  <w:t>(78)</w:t>
                </w:r>
              </w:sdtContent>
            </w:sdt>
          </w:p>
        </w:tc>
        <w:tc>
          <w:tcPr>
            <w:tcW w:w="0" w:type="auto"/>
            <w:shd w:val="clear" w:color="auto" w:fill="FFFFFF"/>
            <w:hideMark/>
          </w:tcPr>
          <w:p w14:paraId="16B2683E"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64 adolescents and adults with TS</w:t>
            </w:r>
          </w:p>
        </w:tc>
        <w:tc>
          <w:tcPr>
            <w:tcW w:w="0" w:type="auto"/>
            <w:shd w:val="clear" w:color="auto" w:fill="FFFFFF"/>
            <w:hideMark/>
          </w:tcPr>
          <w:p w14:paraId="5555C2DA" w14:textId="723D50E5"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Cannabis</w:t>
            </w:r>
            <w:r w:rsidR="000D4555">
              <w:rPr>
                <w:rFonts w:eastAsia="Times New Roman" w:cs="Times New Roman"/>
                <w:color w:val="0D0D0D"/>
                <w:sz w:val="16"/>
                <w:szCs w:val="16"/>
              </w:rPr>
              <w:t xml:space="preserve"> – interview of TS patients’ experiences</w:t>
            </w:r>
            <w:r w:rsidR="00E044BE">
              <w:rPr>
                <w:rFonts w:eastAsia="Times New Roman" w:cs="Times New Roman"/>
                <w:color w:val="0D0D0D"/>
                <w:sz w:val="16"/>
                <w:szCs w:val="16"/>
              </w:rPr>
              <w:t xml:space="preserve"> using marijuana</w:t>
            </w:r>
          </w:p>
        </w:tc>
        <w:tc>
          <w:tcPr>
            <w:tcW w:w="0" w:type="auto"/>
            <w:shd w:val="clear" w:color="auto" w:fill="FFFFFF"/>
            <w:hideMark/>
          </w:tcPr>
          <w:p w14:paraId="5621051A"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17 reported previously using cannabis, and four of these patients reported "reduction in pre-urges”</w:t>
            </w:r>
          </w:p>
        </w:tc>
      </w:tr>
      <w:tr w:rsidR="00986E35" w:rsidRPr="008A1F40" w14:paraId="4ECE96EA" w14:textId="77777777" w:rsidTr="007F77D2">
        <w:trPr>
          <w:tblCellSpacing w:w="15" w:type="dxa"/>
        </w:trPr>
        <w:tc>
          <w:tcPr>
            <w:tcW w:w="0" w:type="auto"/>
            <w:shd w:val="clear" w:color="auto" w:fill="FFFFFF"/>
            <w:hideMark/>
          </w:tcPr>
          <w:p w14:paraId="2B04F116" w14:textId="4B50D5EA"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lastRenderedPageBreak/>
              <w:t>Anis et al (2022)</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2QxMzNiNzctMmY0Mi00ODdiLTkyMWItNWUyZjEwNWQ2OTVhIiwicHJvcGVydGllcyI6eyJub3RlSW5kZXgiOjB9LCJpc0VkaXRlZCI6ZmFsc2UsIm1hbnVhbE92ZXJyaWRlIjp7ImlzTWFudWFsbHlPdmVycmlkZGVuIjpmYWxzZSwiY2l0ZXByb2NUZXh0IjoiKDc5KSIsIm1hbnVhbE92ZXJyaWRlVGV4dCI6IiJ9LCJjaXRhdGlvbkl0ZW1zIjpbeyJpZCI6ImM0MzU5ZjcxLTE0OTUtMzcyMy1hNWQzLTU5NzI2MTZiMzA2OCIsIml0ZW1EYXRhIjp7InR5cGUiOiJhcnRpY2xlLWpvdXJuYWwiLCJpZCI6ImM0MzU5ZjcxLTE0OTUtMzcyMy1hNWQzLTU5NzI2MTZiMzA2OCIsInRpdGxlIjoiTWVkaWNhbCBDYW5uYWJpcyBmb3IgR2lsbGVzIGRlIGxhIFRvdXJldHRlIFN5bmRyb21lOiBBbiBPcGVuLUxhYmVsIFByb3NwZWN0aXZlIFN0dWR5IiwiZ3JvdXBJZCI6IjA3ZDYyYWMxLTVhYTgtMzlhZi1iNDllLTUyZDIwODhhYzU3MSIsImF1dGhvciI6W3siZmFtaWx5IjoiQW5pcyIsImdpdmVuIjoiU2FhciIsInBhcnNlLW5hbWVzIjpmYWxzZSwiZHJvcHBpbmctcGFydGljbGUiOiIiLCJub24tZHJvcHBpbmctcGFydGljbGUiOiIifSx7ImZhbWlseSI6IlphbG9tZWsiLCJnaXZlbiI6IkNvcmlubmUiLCJwYXJzZS1uYW1lcyI6ZmFsc2UsImRyb3BwaW5nLXBhcnRpY2xlIjoiIiwibm9uLWRyb3BwaW5nLXBhcnRpY2xlIjoiIn0seyJmYW1pbHkiOiJLb3JjenluIiwiZ2l2ZW4iOiJBbW9zIEQiLCJwYXJzZS1uYW1lcyI6ZmFsc2UsImRyb3BwaW5nLXBhcnRpY2xlIjoiIiwibm9uLWRyb3BwaW5nLXBhcnRpY2xlIjoiIn0seyJmYW1pbHkiOiJSb3NlbmJlcmciLCJnaXZlbiI6IkFsaW5hIiwicGFyc2UtbmFtZXMiOmZhbHNlLCJkcm9wcGluZy1wYXJ0aWNsZSI6IiIsIm5vbi1kcm9wcGluZy1wYXJ0aWNsZSI6IiJ9LHsiZmFtaWx5IjoiR2lsYWRpIiwiZ2l2ZW4iOiJOaXIiLCJwYXJzZS1uYW1lcyI6ZmFsc2UsImRyb3BwaW5nLXBhcnRpY2xlIjoiIiwibm9uLWRyb3BwaW5nLXBhcnRpY2xlIjoiIn0seyJmYW1pbHkiOiJHdXJldmljaCIsImdpdmVuIjoiVGFueWEiLCJwYXJzZS1uYW1lcyI6ZmFsc2UsImRyb3BwaW5nLXBhcnRpY2xlIjoiIiwibm9uLWRyb3BwaW5nLXBhcnRpY2xlIjoiIn1dLCJjb250YWluZXItdGl0bGUiOiJCZWhhdmlvdXJhbCBOZXVyb2xvZ3kiLCJET0kiOiIxMC4xMTU1LzIwMjIvNTE0MTc3MyIsIlVSTCI6Imh0dHBzOi8vZG9pLm9yZy8xMC4xMTU1LzIwMjIvNTE0MTc3MyIsImlzc3VlZCI6eyJkYXRlLXBhcnRzIjpbWzIwMjJdXX0sInBhZ2UiOiI1MTQxNzczIiwiYWJzdHJhY3QiOiI8aT5PYmplY3RpdmVzPC9pPi4gQXNzZXNzaW5nIHRoZSBlZmZlY3RpdmVuZXNzIGFuZCB0b2xlcmFiaWxpdHkgb2YgbWVkaWNhbCBjYW5uYWJpcyAoTUMpIHRyZWF0bWVudCBvbiBHaWxsZXMgZGUgbGEgVG91cmV0dGUgc3luZHJvbWUgKEdUUykgcGF0aWVudHMuIDxpPk1ldGhvZHM8L2k+LiBXZSByZXBvcnQgb24gYW4gb3Blbi1sYWJlbCwgcHJvc3BlY3RpdmUgc3R1ZHkgb24gdGhlIGVmZmVjdCBvZiBNQyBvbiBhZHVsdCBHVFMgcGF0aWVudHMuIE1DIG1vZGUgb2YgdXNlIHdhcyBkZWNpZGVkIGJ5IHRoZSB0cmVhdGluZyBuZXVyb2xvZ2lzdCBhbmQgdGhlIHBhdGllbnQuIDxpPs6UPC9pPjktVGV0cmFoeWRyb2Nhbm5hYmlub2wgKDxpPs6UPC9pPjktVEhDKSBhbmQgY2FubmFiaWRpb2wgKENCRCkgY29udGVudCB3aXRoaW4gTUMgcHJvZHVjdCBhbmQgbW9udGhseSBkb3NlIHdlcmUgdGl0cmF0ZWQgZHVyaW5nIHRoZSBzdHVkeS4gRm9sbG93aW5nIHRyZWF0bWVudCBpbml0aWF0aW9uLCBwYXRpZW50cyB3ZXJlIGFzc2Vzc2VkIGFmdGVyIDQgYW5kIDEyIHdlZWtzIGZvciBlZmZpY2FjeSwgdG9sZXJhYmlsaXR5LCBhbmQgc2lkZSBlZmZlY3RzLiA8aT5SZXN1bHRzPC9pPi4gRWlnaHRlZW4gcGF0aWVudHMgZW50ZXJlZCB0aGUgc3R1ZHkuIEJhc2VsaW5lIFlhbGUgR2xvYmFsIFRpYyBTZXZlcml0eSBTY2FsZS0gKFlHVFNTKSBUb3RhbCAocmFuZ2UgMC0xMDApIHdhcyA8c3BhbiBjbGFzcz1cImlubGluZV9icmVha1wiPjxzdmcgeG1sbnM6eGxpbms9XCJodHRwOi8vd3d3LnczLm9yZy8xOTk5L3hsaW5rXCIgeG1sbnM9XCJodHRwOi8vd3d3LnczLm9yZy8yMDAwL3N2Z1wiIHdpZHRoPVwiMzIuMjIxcHRcIiBzdHlsZT1cInZlcnRpY2FsLWFsaWduOi0wLjM0OTkyOThwdFwiIGlkPVwiTTFcIiBoZWlnaHQ9XCI4LjY5ODc1cHRcIiB2ZXJzaW9uPVwiMS4xXCIgdmlld0JveD1cIi0wLjA0OTgxNjIgLTguMzQ4ODIgMzIuMjIxIDguNjk4NzVcIj48ZyB0cmFuc2Zvcm09XCJtYXRyaXgoLjAxMywwLDAsLTAuMDEzLDAsMClcIj48cGF0aCBpZD1cImcxMTMtNTVcIiBkPVwiTTEzNyAzNDNDMTY3IDQ4MiAyNjAgNTQ1IDMyMSA1NzRDMzU3IDU5MSAzOTcgNjAzIDQyOSA2MDlMNDIzIDY0MUMzODIgNjM0IDMzNSA2MjIgMjk1IDYwOEMxODkgNTcwIDM3IDQ1NyAzNyAyMzhDMzcgODQgMTI1IC0xMiAyNDIgLTEyQzM2MiAtMTIgNDQ3IDg5IDQ0NyAyMDlDNDQ3IDMxMSAzNzQgMzkzIDI2NyAzOTNDMjQ3IDM5MyAyMjYgMzg2IDIwNCAzNzZMMTM3IDM0M1pNMjI3IDMzN0MzMTggMzM3IDM2MSAyNTYgMzYxIDE3M0MzNjEgMTA1IDMzNiAyMiAyNTggMjJDMTc2IDIyIDEyNiAxMjAgMTI2IDI0MEMxMjYgMjY2IDEyNyAyOTEgMTMyIDMxMEMxNTUgMzIzIDE4OSAzMzcgMjI3IDMzN1pcIi8+PC9nPjxnIHRyYW5zZm9ybT1cIm1hdHJpeCguMDEzLDAsMCwtMC4wMTMsNi4yNCwwKVwiPjxwYXRoIGlkPVwiZzExMy00OVwiIGQ9XCJNMjQxIDYzNUM4OSA2MzUgMzUgNDU3IDM1IDMxMkMzNSAxNTMgODkgLTEyIDI0MCAtMTJDMzkwIC0xMiA0NDMgMTY2IDQ0MyAzMTJDNDQzIDQ2NiAzOTAgNjM1IDI0MSA2MzVaTTIzOCA2MDJDMzI5IDYwMiAzNTQgNDU0IDM1NCAzMTJDMzU0IDE3MiAzMzAgMjIgMjQwIDIyQzE1MiAyMiAxMjQgMTczIDEyNCAzMTNTMTQ4IDYwMiAyMzggNjAyWlwiLz48L2c+PGcgdHJhbnNmb3JtPVwibWF0cml4KC4wMTMsMCwwLC0wLjAxMywxMi40OCwwKVwiPjxwYXRoIGlkPVwiZzExMy00N1wiIGQ9XCJNMTEzIC0xMkMxNDYgLTEyIDE3MCAxMSAxNzAgNDZDMTcwIDc4IDE0NiAxMDMgMTE0IDEwM1M1OCA3OCA1OCA0NkM1OCAxMSA4MiAtMTIgMTEzIC0xMlpcIi8+PC9nPjxnIHRyYW5zZm9ybT1cIm1hdHJpeCguMDEzLDAsMCwtMC4wMTMsMTUuNDQ0LDApXCI+PHBhdGggaWQ9XCJnMTEzLTUyXCIgZD1cIk0yODUgMzc4QzMxNSAzOTggMzM4IDQxNiAzNTMgNDMyQzM3MyA0NTEgMzg0IDQ3NCAzODQgNTAzQzM4NCA1NzkgMzI1IDYzNSAyMzYgNjM1SDIzNUMxODIgNjM1IDEzNiA2MTAgMTA4IDU3OUw2NSA1MTZMODUgNDk2QzExMCA1MzMgMTUwIDU3NSAyMDUgNTc1QzI1OCA1NzUgMzAwIDU0MyAzMDAgNDgxQzMwMCA0MDcgMjMyIDM2OSAxNDEgMzM5TDE0NyAzMTBDMTYzIDMxNSAxODggMzIxIDIxMSAzMjFDMjY4IDMyMSAzMzggMjg0IDMzOCAxOTJDMzM4IDk0IDI4OCA0MCAyMTcgNDBDMTYwIDQwIDExOSA2OCA5MyA5MUM4NSA5OCA3NyA5NyA2OSA5MUM2MCA4NCA0NyA3MSA0NiA1OEM0NCA0NiA0OCAzNSA2MiAyMkM3NSAxMCAxMTYgLTEyIDE2MiAtMTJDMjM0IC0xMiA0MjQgNjIgNDI0IDIyNEM0MjQgMjk3IDM3MyAzNTkgMjg1IDM3NlYzNzhaXCIvPjwvZz48ZyB0cmFuc2Zvcm09XCJtYXRyaXgoLjAxMywwLDAsLTAuMDEzLDI0LjU5LDApXCI+PHBhdGggaWQ9XCJnMTE3LTM3XCIgZD1cIk01MzUgMjkwVjM0MEgzMjNWNTMzSDI2NVYzNDBINTJWMjkwSDI2NVY4NEgzMjNWMjkwSDUzNVpNNTM1IC0yMlYyOEg1MlYtMjJINTM1WlwiLz48L2c+PC9zdmc+PHNwYW4gY2xhc3M9XCJpYmlvcFwiLz48c3BhbiBjbGFzcz1cIm5vd3JhcFwiPjxzdmcgeG1sbnM6eGxpbms9XCJodHRwOi8vd3d3LnczLm9yZy8xOTk5L3hsaW5rXCIgeG1sbnM9XCJodHRwOi8vd3d3LnczLm9yZy8yMDAwL3N2Z1wiIHdpZHRoPVwiMjEuOTc1cHRcIiBzdHlsZT1cInZlcnRpY2FsLWFsaWduOi0wLjM0OTkyOThwdFwiIGhlaWdodD1cIjguNjk4NzVwdFwiIHZlcnNpb249XCIxLjFcIiB2aWV3Qm94PVwiMzUuMDc2MTgzNzk5OTk5OTk1IC04LjM0ODgyIDIxLjk3NSA4LjY5ODc1XCI+PGcgdHJhbnNmb3JtPVwibWF0cml4KC4wMTMsMCwwLC0wLjAxMywzNS4xMjYsMClcIj48cGF0aCBpZD1cImcxMTMtNTBcIiBkPVwiTTM4NCAwVjI3QzI5MyAzNCAyODcgNDIgMjg3IDExNFY2MzVDMjMyIDYxMyAxNzIgNTk0IDEwOSA1ODNWNTU5TDE1NyA1NTdDMjAxIDU1NSAyMDUgNTUwIDIwNSA0OTlWMTE0QzIwNSA0MiAxOTkgMzQgMTA5IDI3VjBIMzg0WlwiLz48L2c+PGcgdHJhbnNmb3JtPVwibWF0cml4KC4wMTMsMCwwLC0wLjAxMyw0MS4zNjYsMClcIj48cGF0aCBpZD1cImcxMTMtNTZcIiBkPVwiTTQ0NyA2MjNINjVDNjEgNTgwIDU2IDUzMCA0NyA0NzVINzZDMTAwIDU0MSAxMDYgNTUwIDE3MiA1NTBIMzg4QzMwOCAzNzYgMTk2IDE3MCA5MSAtMUw5OCAtMTJMMTcyIC0yQzI2OCAyMDQgMzYwIDQwOCA0NTUgNjExTDQ0NyA2MjNaXCIvPjwvZz48ZyB0cmFuc2Zvcm09XCJtYXRyaXgoLjAxMywwLDAsLTAuMDEzLDQ3LjYwOSwwKVwiPjx1c2UgeGxpbms6aHJlZj1cIiNnMTEzLTQ3XCIvPjwvZz48ZyB0cmFuc2Zvcm09XCJtYXRyaXgoLjAxMywwLDAsLTAuMDEzLDUwLjU3MywwKVwiPjx1c2UgeGxpbms6aHJlZj1cIiNnMTEzLTUwXCIvPjwvZz48L3N2Zz4uPC9zcGFuPjwvc3Bhbj4gVGhyZWUgcGF0aWVudHMgZGlkIG5vdCByZWFjaCB0aGUgZW5kIG9mIGZvbGxvdy11cCBwZXJpb2QuIFRoZSBtb3N0IGNvbW1vbiBtb2RlIG9mIGFkbWluaXN0cmF0aW9uIHdhcyBzbW9raW5nICg4MCUpLiBGb2xsb3dpbmcgdHdlbHZlIHdlZWtzIG9mIHRyZWF0bWVudCwgYSBzaWduaWZpY2FudCAzOCUgYXZlcmFnZSByZWR1Y3Rpb24gKDxzcGFuIGNsYXNzPVwiaW5saW5lX2JyZWFrXCI+PHN2ZyB4bWxuczp4bGluaz1cImh0dHA6Ly93d3cudzMub3JnLzE5OTkveGxpbmtcIiB4bWxucz1cImh0dHA6Ly93d3cudzMub3JnLzIwMDAvc3ZnXCIgd2lkdGg9XCIxOC45NzNwdFwiIHN0eWxlPVwidmVydGljYWwtYWxpZ246LTMuNDI5MzhwdFwiIGlkPVwiTTJcIiBoZWlnaHQ9XCIxMS43NzgycHRcIiB2ZXJzaW9uPVwiMS4xXCIgdmlld0JveD1cIi0wLjA0OTgxNjIgLTguMzQ4ODIgMTguOTczIDExLjc3ODJcIj48ZyB0cmFuc2Zvcm09XCJtYXRyaXgoLjAxMywwLDAsLTAuMDEzLDAsMClcIj48cGF0aCBpZD1cImcxMTMtMTEzXCIgZD1cIk01NzAgMzA0QzU3MCAzOTggNTI1IDQ0OCA0MTQgNDQ4QzM4NSA0NDggMzQzIDQ0NSAzMTIgNDM0TDMyOSA1MTFMMzIxIDUxOEMyOTcgNTA0IDI2MiA0ODIgMjQ0IDQ2MEwyMzMgNDExQzE5NSAzOTcgMTU5IDM4MSAxMjggMzU4TDEzNSAzMzJDMTYwIDM0NyAxODkgMzYwIDIyNCAzNzNMMTExIC0xNDdDOTcgLTIxMCA4NCAtMjE4IDE3IC0yMzFMMTMgLTI1N0wyNTQgLTI0N0wyNTkgLTIxOEwyMzMgLTIxNkMxODMgLTIxMiAxNzcgLTIwMiAxODkgLTE0MkwyMTggLSBDMjM4IC0xMCAyNjYgLTEyIDI4MyAtMTJDMzUxIDMgNDI5IDQ4IDQ4MyAxMDVDNTQzIDE2OCA1NzAgMjQyIDU3MCAzMDRaTTQ4MiAyODlDNDgyIDE2MSAzODAgMzMgMzA0IDMzQzI3OCAzMyAyNDggNTEgMjMzIDY5TDMwMyAzOTZDMzI2IDQwMCAzNTIgNDAzIDM2OSA0MDNDNDI4IDQwMyA0ODIgMzgwIDQ4MiAyODlaXCIvPjwvZz48ZyB0cmFuc2Zvcm09XCJtYXRyaXgoLjAxMywwLDAsLTAuMDEzLDExLjM0MiwwKVwiPjxwYXRoIGlkPVwiZzExNy0zNFwiIGQ9XCJNNTM1IDMyM1YzNzNINTJWMzIzSDUzNVpNNTM1IDEzOFYxODhINTJWMTM4SDUzNVpcIi8+PC9nPjwvc3ZnPjxzcGFuIGNsYXNzPVwiaXJlbG9wXCIvPjxzcGFuIGNsYXNzPVwibm93cmFwXCI+PHN2ZyB4bWxuczp4bGluaz1cImh0dHA6Ly93d3cudzMub3JnLzE5OTkveGxpbmtcIiB4bWxucz1cImh0dHA6Ly93d3cudzMub3JnLzIwMDAvc3ZnXCIgd2lkdGg9XCIyOC4xODRwdFwiIHN0eWxlPVwidmVydGljYWwtYWxpZ246LTMuNDI5MzhwdFwiIGhlaWdodD1cIjExLjc3ODJwdFwiIHZlcnNpb249XCIxLjFcIiB2aWV3Qm94PVwiMjIuNTU1MTgzODAwMDAwMDAyIC04LjM0ODgyIDI4LjE4NCAxMS43NzgyXCI+PGcgdHJhbnNmb3JtPVwibWF0cml4KC4wMTMsMCwwLC0wLjAxMywyMi42MDUsMClcIj48dXNlIHhsaW5rOmhyZWY9XCIjZzExMy00OVwiLz48L2c+PGcgdHJhbnNmb3JtPVwibWF0cml4KC4wMTMsMCwwLC0wLjAxMywyOC44NDUsMClcIj48dXNlIHhsaW5rOmhyZWY9XCIjZzExMy00N1wiLz48L2c+PGcgdHJhbnNmb3JtPVwibWF0cml4KC4wMTMsMCwwLC0wLjAxMywzMS44MDksMClcIj48dXNlIHhsaW5rOmhyZWY9XCIjZzExMy00OVwiLz48L2c+PGcgdHJhbnNmb3JtPVwibWF0cml4KC4wMTMsMCwwLC0wLjAxMywzOC4wNDksMClcIj48dXNlIHhsaW5rOmhyZWY9XCIjZzExMy00OVwiLz48L2c+PGcgdHJhbnNmb3JtPVwibWF0cml4KC4wMTMsMCwwLC0wLjAxMyw0NC4yODksMClcIj48cGF0aCBpZD1cImcxMTMtNTFcIiBkPVwiTTQxMiAxNDBDMzgyIDc3IDM2OSA3MyAzMTUgNzNIMTI5TDI3MCAyMjJDMzYyIDMyMCA0MDIgMzc5IDQwMiA0NjZDNDAyIDU3MSAzMjIgNjM1IDIzNCA2MzVDMTc3IDYzNSAxMzAgNjA5IDk5IDU3Nkw0MiA0OTVMNjQgNDc1QzkwIDUxNCAxMzMgNTY4IDIwMSA1NjhDMjc0IDU2OCAzMTggNTE5IDMxOCA0MzVDMzE4IDM0OSAyNTUgMjY3IDE5MyAxOTNDMTQ0IDEzNSA4NyA3OCAzMiAyM1YwSDQwNUM0MTcgNDUgNDI3IDg5IDQ0MCAxMzFMNDEyIDE0MFpcIi8+PC9nPjwvc3ZnPik8L3NwYW4+PC9zcGFuPiBvZiBZR1RTUy1Ub3RhbCBhbmQgYSAyMCUgcmVkdWN0aW9uICg8c3BhbiBjbGFzcz1cImlubGluZV9icmVha1wiPjxzdmcgeG1sbnM6eGxpbms9XCJodHRwOi8vd3d3LnczLm9yZy8xOTk5L3hsaW5rXCIgeG1sbnM9XCJodHRwOi8vd3d3LnczLm9yZy8yMDAwL3N2Z1wiIHdpZHRoPVwiMTguOTczcHRcIiBzdHlsZT1cInZlcnRpY2FsLWFsaWduOi0zLjQyOTM4cHRcIiBpZD1cIk0zXCIgaGVpZ2h0PVwiMTEuNzc4MnB0XCIgdmVyc2lvbj1cIjEuMVwiIHZpZXdCb3g9XCItMC4wNDk4MTYyIC04LjM0ODgyIDE4Ljk3MyAxMS43NzgyXCI+PGcgdHJhbnNmb3JtPVwibWF0cml4KC4wMTMsMCwwLC0wLjAxMywwLDApXCI+PHVzZSB4bGluazpocmVmPVwiI2cxMTMtMTEzXCIvPjwvZz48ZyB0cmFuc2Zvcm09XCJtYXRyaXgoLjAxMywwLDAsLTAuMDEzLDExLjM0MiwwKVwiPjx1c2UgeGxpbms6aHJlZj1cIiNnMTE3LTM0XCIvPjwvZz48L3N2Zz48c3BhbiBjbGFzcz1cImlyZWxvcFwiLz48c3BhbiBjbGFzcz1cIm5vd3JhcFwiPjxzdmcgeG1sbnM6eGxpbms9XCJodHRwOi8vd3d3LnczLm9yZy8xOTk5L3hsaW5rXCIgeG1sbnM9XCJodHRwOi8vd3d3LnczLm9yZy8yMDAwL3N2Z1wiIHdpZHRoPVwiMjguMTg0cHRcIiBzdHlsZT1cInZlcnRpY2FsLWFsaWduOi0zLjQyOTM4cHRcIiBoZWlnaHQ9XCIxMS43NzgycHRcIiB2ZXJzaW9uPVwiMS4xXCIgdmlld0JveD1cIjIyLjU1NTE4MzgwMDAwMDAwMiAtOC4zNDg4MiAyOC4xODQgMTEuNzc4MlwiPjxnIHRyYW5zZm9ybT1cIm1hdHJpeCguMDEzLDAsMCwtMC4wMTMsMjIuNjA1LDApXCI+PHVzZSB4bGluazpocmVmPVwiI2cxMTMtNDlcIi8+PC9nPjxnIHRyYW5zZm9ybT1cIm1hdHJpeCguMDEzLDAsMCwtMC4wMTMsMjguODQ1LDApXCI+PHVzZSB4bGluazpocmVmPVwiI2cxMTMtNDdcIi8+PC9nPjxnIHRyYW5zZm9ybT1cIm1hdHJpeCguMDEzLDAsMCwtMC4wMTMsMzEuODA5LDApXCI+PHVzZSB4bGluazpocmVmPVwiI2cxMTMtNDlcIi8+PC9nPjxnIHRyYW5zZm9ybT1cIm1hdHJpeCguMDEzLDAsMCwtMC4wMTMsMzguMDQ5LDApXCI+PHBhdGggaWQ9XCJnMTEzLTUzXCIgZD1cIk00NTYgMTc4VjIyNUgzNjBWNjMySDMyMEMyMTcgNDk2IDExNSAzNDcgMjAgMjA2VjE3OEgyODBWMTA2QzI4MCA0MCAyNzYgMzQgMTg5IDI3VjBINDQ1VjI3QzM2NCAzNCAzNjAgMzkgMzYwIDEwNlYxNzhINDU2Wk0yODAgMjI1SDgyQzE0OSAzMzUgMjE0IDQzMSAyNzggNTIwSDI4MFYyMjVaXCIvPjwvZz48ZyB0cmFuc2Zvcm09XCJtYXRyaXgoLjAxMywwLDAsLTAuMDEzLDQ0LjI4OSwwKVwiPjx1c2UgeGxpbms6aHJlZj1cIiNnMTEzLTUyXCIvPjwvZz48L3N2Zz4pPC9zcGFuPjwvc3Bhbj4gb2YgUHJlbW9uaXRvcnkgVXJnZSBmb3IgVGljIFNjYWxlIChQVVRTKSB3ZXJlIG9ic2VydmVkLiBDb21tb24gc2lkZSBlZmZlY3RzIHdlcmUgZHJ5IG1vdXRoICg2Ni43JSksIGZhdGlndWUgKDUzLjMlKSwgYW5kIGRpenppbmVzcyAoNDYuNyUpLiBUaHJlZSBwYXRpZW50cyBzdWZmZXJlZCBmcm9tIHBzeWNoaWF0cmljIHNpZGUgZWZmZWN0cyBpbmNsdWRpbmcgd29yc2VuaW5nIG9mIG9ic2Vzc2l2ZSBjb21wdWxzaXZlIGRpc29yZGVyIChzdG9wcGVkIHRyZWF0bWVudCksIHBhbmljIGF0dGFjaywgYW5kIGFueGlldHkgKHJlc29sdmVkIHdpdGggdHJlYXRtZW50IG1vZGlmaWNhdGlvbikuIFNpeCBwYXRpZW50cyAoNDAlKSByZXBvcnRlZCBjb2duaXRpdmUgc2lkZSBlZmZlY3RzIHJlZ2FyZGluZyB0aW1lIHBlcmNlcHRpb24sIHZpc3Vvc3BhdGlhbCBkaXNvcmllbnRhdGlvbiwgY29uZnVzaW9uLCBzbG93IHByb2Nlc3Npbmcgc3BlZWQsIGFuZCBhdHRlbnRpb24uIDxpPkNvbmNsdXNpb25zPC9pPi4gTUMgdHJlYXRtZW50IGRlbW9uc3RyYXRlcyBnb29kIGVmZmljYWN5IGFuZCB0b2xlcmFiaWxpdHkgaW4gYWR1bHQgR1RTIHBhdGllbnRzLiBQcmVkaWxlY3Rpb24gZm9yIHNtb2tpbmcgcmF0aGVyIHRoYW4gdXNpbmcgb2lsIGRyb3BzIHJlcXVpcmVzIGZ1cnRoZXIgY29tcGFyYXRpdmUgc3R1ZGllcyB0byBldmFsdWF0ZSB0aGUgZWZmaWNhY3kgb2YgZWFjaC4gQ29nbml0aXZlIGFuZCBwc3ljaGlhdHJpYyBzaWRlIGVmZmVjdHMgaGF2ZSB0byBiZSBtb25pdG9yZWQgYW5kIGFkZHJlc3NlZC4iLCJ2b2x1bWUiOiIyMDIyIiwiY29udGFpbmVyLXRpdGxlLXNob3J0IjoiIn0sImlzVGVtcG9yYXJ5IjpmYWxzZX1dfQ=="/>
                <w:id w:val="68240502"/>
                <w:placeholder>
                  <w:docPart w:val="DefaultPlaceholder_-1854013440"/>
                </w:placeholder>
              </w:sdtPr>
              <w:sdtContent>
                <w:r w:rsidR="00F04E9F" w:rsidRPr="00F04E9F">
                  <w:rPr>
                    <w:rFonts w:eastAsia="Times New Roman" w:cs="Times New Roman"/>
                    <w:color w:val="000000"/>
                    <w:sz w:val="16"/>
                    <w:szCs w:val="16"/>
                  </w:rPr>
                  <w:t>(79)</w:t>
                </w:r>
              </w:sdtContent>
            </w:sdt>
          </w:p>
        </w:tc>
        <w:tc>
          <w:tcPr>
            <w:tcW w:w="0" w:type="auto"/>
            <w:shd w:val="clear" w:color="auto" w:fill="FFFFFF"/>
            <w:hideMark/>
          </w:tcPr>
          <w:p w14:paraId="77A19F32"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18 adults with TS (15 completed the study)</w:t>
            </w:r>
          </w:p>
        </w:tc>
        <w:tc>
          <w:tcPr>
            <w:tcW w:w="0" w:type="auto"/>
            <w:shd w:val="clear" w:color="auto" w:fill="FFFFFF"/>
            <w:hideMark/>
          </w:tcPr>
          <w:p w14:paraId="0E6548F0"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Cannabis - </w:t>
            </w:r>
            <w:r w:rsidRPr="008A1F40">
              <w:rPr>
                <w:rFonts w:cs="Times New Roman"/>
                <w:color w:val="000000" w:themeColor="text1"/>
                <w:sz w:val="16"/>
                <w:szCs w:val="16"/>
                <w:shd w:val="clear" w:color="auto" w:fill="FFFFFF"/>
              </w:rPr>
              <w:t>open label study of daily cannabis (varying doses and methods of administration)</w:t>
            </w:r>
          </w:p>
        </w:tc>
        <w:tc>
          <w:tcPr>
            <w:tcW w:w="0" w:type="auto"/>
            <w:shd w:val="clear" w:color="auto" w:fill="FFFFFF"/>
            <w:hideMark/>
          </w:tcPr>
          <w:p w14:paraId="5EABD7C2"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PUTS scores significantly decreased after 4 and 12 weeks (p = 0.043 at both timepoints)</w:t>
            </w:r>
          </w:p>
          <w:p w14:paraId="01810CA4"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 xml:space="preserve">Many of the subjects reported side effects including </w:t>
            </w:r>
            <w:r w:rsidRPr="008A1F40">
              <w:rPr>
                <w:rFonts w:cs="Times New Roman"/>
                <w:color w:val="000000" w:themeColor="text1"/>
                <w:sz w:val="16"/>
                <w:szCs w:val="16"/>
              </w:rPr>
              <w:t>dry mouth (67%), fatigue (53%), and sedation and dizziness (47%)</w:t>
            </w:r>
          </w:p>
        </w:tc>
      </w:tr>
      <w:tr w:rsidR="00986E35" w:rsidRPr="008A1F40" w14:paraId="1BD0C926" w14:textId="77777777" w:rsidTr="007F77D2">
        <w:trPr>
          <w:tblCellSpacing w:w="15" w:type="dxa"/>
        </w:trPr>
        <w:tc>
          <w:tcPr>
            <w:tcW w:w="0" w:type="auto"/>
            <w:shd w:val="clear" w:color="auto" w:fill="FFFFFF"/>
            <w:hideMark/>
          </w:tcPr>
          <w:p w14:paraId="668076B5" w14:textId="251DC818"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Abi-Jaoude et al (2022)</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jcxM2Y5M2UtZWUwMi00OGJjLWEyOGEtZTNhNGU0ZDYzYTE2IiwicHJvcGVydGllcyI6eyJub3RlSW5kZXgiOjB9LCJpc0VkaXRlZCI6ZmFsc2UsIm1hbnVhbE92ZXJyaWRlIjp7ImlzTWFudWFsbHlPdmVycmlkZGVuIjpmYWxzZSwiY2l0ZXByb2NUZXh0IjoiKDgwKSIsIm1hbnVhbE92ZXJyaWRlVGV4dCI6IiJ9LCJjaXRhdGlvbkl0ZW1zIjpbeyJpZCI6IjYzNmQ4NWY2LWM2YzAtMzYxZS05OTY1LTYxNmQ3NGNjMzQ2YSIsIml0ZW1EYXRhIjp7InR5cGUiOiJhcnRpY2xlLWpvdXJuYWwiLCJpZCI6IjYzNmQ4NWY2LWM2YzAtMzYxZS05OTY1LTYxNmQ3NGNjMzQ2YSIsInRpdGxlIjoiQSBEb3VibGUtQmxpbmQsIFJhbmRvbWl6ZWQsIENvbnRyb2xsZWQgQ3Jvc3NvdmVyIFRyaWFsIG9mIENhbm5hYmlzIGluIEFkdWx0cyB3aXRoIFRvdXJldHRlIFN5bmRyb21lIiwiZ3JvdXBJZCI6IjA3ZDYyYWMxLTVhYTgtMzlhZi1iNDllLTUyZDIwODhhYzU3MSIsImF1dGhvciI6W3siZmFtaWx5IjoiQWJpLUphb3VkZSIsImdpdmVuIjoiRSIsInBhcnNlLW5hbWVzIjpmYWxzZSwiZHJvcHBpbmctcGFydGljbGUiOiIiLCJub24tZHJvcHBpbmctcGFydGljbGUiOiIifSx7ImZhbWlseSI6IkJoaWtyYW0iLCJnaXZlbiI6IlQiLCJwYXJzZS1uYW1lcyI6ZmFsc2UsImRyb3BwaW5nLXBhcnRpY2xlIjoiIiwibm9uLWRyb3BwaW5nLXBhcnRpY2xlIjoiIn0seyJmYW1pbHkiOiJQYXJ2ZWVuIiwiZ2l2ZW4iOiJGIiwicGFyc2UtbmFtZXMiOmZhbHNlLCJkcm9wcGluZy1wYXJ0aWNsZSI6IiIsIm5vbi1kcm9wcGluZy1wYXJ0aWNsZSI6IiJ9LHsiZmFtaWx5IjoiTGV2ZW5iYWNoIiwiZ2l2ZW4iOiJKIiwicGFyc2UtbmFtZXMiOmZhbHNlLCJkcm9wcGluZy1wYXJ0aWNsZSI6IiIsIm5vbi1kcm9wcGluZy1wYXJ0aWNsZSI6IiJ9LHsiZmFtaWx5IjoiTGFmcmVuaWVyZS1Sb3VsYSIsImdpdmVuIjoiTSIsInBhcnNlLW5hbWVzIjpmYWxzZSwiZHJvcHBpbmctcGFydGljbGUiOiIiLCJub24tZHJvcHBpbmctcGFydGljbGUiOiIifSx7ImZhbWlseSI6IlNhbmRvciIsImdpdmVuIjoiUCIsInBhcnNlLW5hbWVzIjpmYWxzZSwiZHJvcHBpbmctcGFydGljbGUiOiIiLCJub24tZHJvcHBpbmctcGFydGljbGUiOiIifV0sImNvbnRhaW5lci10aXRsZSI6IkNhbm5hYmlzIENhbm5hYmlub2lkIFJlcyIsIkRPSSI6IjEwLjEwODkvY2FuLjIwMjIuMDA5MSIsIlBNSUQiOiIzNjA0MDMyOSIsImlzc3VlZCI6eyJkYXRlLXBhcnRzIjpbWzIwMjJdXX0sInBhZ2UiOiItIiwiYWJzdHJhY3QiOiJCYWNrZ3JvdW5kOiBUaGUgbnVtYmVyIG9mIGVmZmVjdGl2ZSBldmlkZW5jZS1iYXNlZCB0cmVhdG1lbnQgb3B0aW9ucyBmb3IgcGF0aWVudHMgd2l0aCBUb3VyZXR0ZSBzeW5kcm9tZSAoVFMpIGlzIGxpbWl0ZWQuIEVtZXJnaW5nIGV2aWRlbmNlIHNob3dzIGNhbm5hYmlub2lkcyBhcyBwcm9taXNpbmcgZm9yIHRoZSB0cmVhdG1lbnQgb2YgdGljcy4gT2JqZWN0aXZlczogVG8gY29tcGFyZSB0aGUgZWZmaWNhY3kgYW5kIHRvbGVyYWJpbGl0eSBvZiBzaW5nbGUgZG9zZXMgb2YgdGhyZWUgdmFwb3JpemVkIG1lZGljYWwgY2FubmFiaXMgcHJvZHVjdHMgYW5kIHBsYWNlYm8gaW4gcmVkdWNpbmcgdGljcyBpbiBhZHVsdHMgd2l0aCBUUy4gTWV0aG9kczogSW4gYSByYW5kb21pemVkLCBkb3VibGUtYmxpbmQsIGNyb3Nzb3ZlciBkZXNpZ24sIGVhY2ggcGFydGljaXBhbnQgcmVjZWl2ZWQgYSB2YXBvcml6ZWQgc2luZ2xlIDAuMjXigIlnIGRvc2Ugb2YgzpQoOSktdGV0cmFoeWRyb2Nhbm5hYmlub2wgKFRIQykgMTAlLCBUSEMvY2FubmFiaWRpb2wgKENCRCkgOSUvOSUsIENCRCAxMyUsIGFuZCBwbGFjZWJvIGF0IDItd2VlayBpbnRlcnZhbHMuIE91ciBwcmltYXJ5IG91dGNvbWUgd2FzIHRoZSBNb2RpZmllZCBSdXNoIFZpZGVvLUJhc2VkIFRpYyBSYXRpbmcgU2NhbGUgKE1SVlRSUyksIHRha2VuIGF0IGJhc2VsaW5lIGFuZCBhdCAwLjUsIDEsIDIsIDMsIGFuZCA14oCJaCBhZnRlciBkb3NlIGFkbWluaXN0cmF0aW9uLiBTZWNvbmRhcnkgbWVhc3VyZXMgaW5jbHVkZWQgdGhlIFByZW1vbml0b3J5IFVyZ2UgZm9yIFRpY3MgU2NhbGUgKFBVVFMpLCBTdWJqZWN0aXZlIFVuaXRzIG9mIERpc3RyZXNzIFNjYWxlIChTVURTKSwgYW5kIENsaW5pY2FsIEdsb2JhbCBJbXByZXNzaW9uLUltcHJvdmVtZW50IChDR0ktSSkuIENvcnJlbGF0aW9ucyBiZXR3ZWVuIG91dGNvbWVzIGFuZCBjYW5uYWJpbm9pZCBwbGFzbWEgbGV2ZWxzIHdlcmUgY2FsY3VsYXRlZC4gVG9sZXJhYmlsaXR5IG1lYXN1cmVzIGluY2x1ZGVkIG9wZW4tZW5kZWQgYW5kIHNwZWNpZmljIHF1ZXN0aW9ucyBhYm91dCBhZHZlcnNlIGV2ZW50cyAoQUVzKS4gUmVzdWx0czogVHdlbHZlIGFkdWx0IHBhdGllbnRzIHdpdGggVFMgd2VyZSByYW5kb21pemVkLCB3aXRoIG5pbmUgY29tcGxldGluZyB0aGUgc3R1ZHkuIFRoZXJlIHdhcyBubyBzdGF0aXN0aWNhbGx5IHNpZ25pZmljYW50IGVmZmVjdCBvZiBwcm9kdWN0IG9uIHRoZSBNUlZUUlMuIEhvd2V2ZXIsIHRoZXJlIHdhcyBhIHNpZ25pZmljYW50IGVmZmVjdCBvZiBUSEMgMTAlLCBhbmQgdG8gYSBsZXNzZXIgZXh0ZW50IFRIQy9DQkQgOSU5JSwgdmVyc3VzIHBsYWNlYm8gb24gdGhlIFBVVFMsIFNVRFMsIGFuZCBDR0ktSS4gQXMgd2VsbCwgdGhlcmUgd2VyZSBzaWduaWZpY2FudCBjb3JyZWxhdGlvbnMgYmV0d2VlbiBwbGFzbWEgbGV2ZWxzIG9mIFRIQyBhbmQgaXRzIG1ldGFib2xpdGVzLCBidXQgbm90IENCRCwgd2l0aCBNUlZUUlMsIFBVVFMsIGFuZCBTVURTIG1lYXN1cmVzLiBUaGVyZSB3ZXJlIG1vcmUgQUVzIGZyb20gYWxsIGNhbm5hYmlzIHByb2R1Y3RzIHJlbGF0aXZlIHRvIHBsYWNlYm8sIGFuZCBtb3JlIEFFcyBmcm9tIFRIQyAxMCUgdmVyc3VzIG90aGVyIGNhbm5hYmlzIHByb2R1Y3RzLCBwYXJ0aWN1bGFybHkgY29nbml0aXZlIGFuZCBwc3ljaG9tb3RvciBlZmZlY3RzLiBNb3N0IHBhcnRpY2lwYW50cyBjb3JyZWN0bHkgaWRlbnRpZmllZCB3aGV0aGVyIHRoZXkgaGFkIHJlY2VpdmVkIGNhbm5hYmlzIG9yIHBsYWNlYm8uIENvbmNsdXNpb25zOiBJbiB0aGlzIHBpbG90IHJhbmRvbWl6ZWQgY29udHJvbGxlZCB0cmlhbCBvZiBjYW5uYWJpcyBmb3IgdGljcyBpbiBUUywgdGhlcmUgd2FzIG5vIHN0YXRpc3RpY2FsbHkgc2lnbmlmaWNhbnQgZGlmZmVyZW5jZSBvbiB0aGUgTVJWVFJTIGZvciBhbnkgb2YgdGhlIGNhbm5hYmlzIHByb2R1Y3RzLCBhbHRob3VnaCB0aGUgVEhDIDEwJSBwcm9kdWN0IHdhcyBzaWduaWZpY2FudGx5IGJldHRlciB0aGFuIHBsYWNlYm8gb24gdGhlIHNlY29uZGFyeSBvdXRjb21lIG1lYXN1cmVzLiBBbHNvLCBUSEMgYW5kIG1ldGFib2xpdGUgcGxhc21hIGxldmVscyBjb3JyZWxhdGVkIHdpdGggaW1wcm92ZW1lbnQgb24gYWxsIG1lYXN1cmVzLiBUaGUgVEhDIDEwJSBwcm9kdWN0IHJlc3VsdGVkIGluIHRoZSBtb3N0IEFFcy4gQ2xpbmljYWxUcmlhbHMuZ292IElEOiBOQ1QwMzI0NzI0NC4iLCJjb250YWluZXItdGl0bGUtc2hvcnQiOiIifSwiaXNUZW1wb3JhcnkiOmZhbHNlfV19"/>
                <w:id w:val="-1717034342"/>
                <w:placeholder>
                  <w:docPart w:val="DefaultPlaceholder_-1854013440"/>
                </w:placeholder>
              </w:sdtPr>
              <w:sdtContent>
                <w:r w:rsidR="00F04E9F" w:rsidRPr="00F04E9F">
                  <w:rPr>
                    <w:rFonts w:eastAsia="Times New Roman" w:cs="Times New Roman"/>
                    <w:color w:val="000000"/>
                    <w:sz w:val="16"/>
                    <w:szCs w:val="16"/>
                  </w:rPr>
                  <w:t>(80)</w:t>
                </w:r>
              </w:sdtContent>
            </w:sdt>
          </w:p>
        </w:tc>
        <w:tc>
          <w:tcPr>
            <w:tcW w:w="0" w:type="auto"/>
            <w:shd w:val="clear" w:color="auto" w:fill="FFFFFF"/>
            <w:hideMark/>
          </w:tcPr>
          <w:p w14:paraId="6956F20A"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12 adults with TS (9 completed the study)</w:t>
            </w:r>
          </w:p>
        </w:tc>
        <w:tc>
          <w:tcPr>
            <w:tcW w:w="0" w:type="auto"/>
            <w:shd w:val="clear" w:color="auto" w:fill="FFFFFF"/>
            <w:hideMark/>
          </w:tcPr>
          <w:p w14:paraId="4790663D"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three treatments (all vaporized medical cannabis): ∆9 -tetrahydrocannabinol (THC), Cannabidiol (CBD), THC/CBD combination - </w:t>
            </w:r>
            <w:r w:rsidRPr="008A1F40">
              <w:rPr>
                <w:rFonts w:cs="Times New Roman"/>
                <w:color w:val="000000" w:themeColor="text1"/>
                <w:sz w:val="16"/>
                <w:szCs w:val="16"/>
              </w:rPr>
              <w:t>double blind, randomized placebo-controlled crossover study - each participant received each product once, with each condition separated by two weeks</w:t>
            </w:r>
          </w:p>
        </w:tc>
        <w:tc>
          <w:tcPr>
            <w:tcW w:w="0" w:type="auto"/>
            <w:shd w:val="clear" w:color="auto" w:fill="FFFFFF"/>
            <w:hideMark/>
          </w:tcPr>
          <w:p w14:paraId="09AF0EA0"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The THC and THC/CBD products significant reduced PUTS scores relative to placebo (THC: at 30 min, one hour, two hours, and three hours after administration (p &lt; 0.001), THC/CBD: at one hour (p &lt; 0.05), two hours and three hours (p &lt; 0.001) after administration)</w:t>
            </w:r>
          </w:p>
        </w:tc>
      </w:tr>
      <w:tr w:rsidR="00986E35" w:rsidRPr="008A1F40" w14:paraId="678179A6" w14:textId="77777777" w:rsidTr="007F77D2">
        <w:trPr>
          <w:tblCellSpacing w:w="15" w:type="dxa"/>
        </w:trPr>
        <w:tc>
          <w:tcPr>
            <w:tcW w:w="0" w:type="auto"/>
            <w:shd w:val="clear" w:color="auto" w:fill="FFFFFF"/>
            <w:hideMark/>
          </w:tcPr>
          <w:p w14:paraId="33C1730C" w14:textId="1063FA4E"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Silver et al (1999)</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ZmEyYzlkNzYtN2E0YS00YzIwLWE5M2UtM2M1OGNhZDIxZTJlIiwicHJvcGVydGllcyI6eyJub3RlSW5kZXgiOjB9LCJpc0VkaXRlZCI6ZmFsc2UsIm1hbnVhbE92ZXJyaWRlIjp7ImlzTWFudWFsbHlPdmVycmlkZGVuIjpmYWxzZSwiY2l0ZXByb2NUZXh0IjoiKDgxKSIsIm1hbnVhbE92ZXJyaWRlVGV4dCI6IiJ9LCJjaXRhdGlvbkl0ZW1zIjpbeyJpZCI6IjU2ODA0ZDU3LTdiMjAtMzI0OC05NGE3LTFlMmMzNzJiYWQ3NiIsIml0ZW1EYXRhIjp7InR5cGUiOiJhcnRpY2xlLWpvdXJuYWwiLCJpZCI6IjU2ODA0ZDU3LTdiMjAtMzI0OC05NGE3LTFlMmMzNzJiYWQ3NiIsInRpdGxlIjoiQ2xpbmljYWwgRXhwZXJpZW5jZSBXaXRoIFRyYW5zZGVybWFsIE5pY290aW5lIFBhdGNoIGluIFRvdXJldHRlIFN5bmRyb21lIiwiZ3JvdXBJZCI6IjA3ZDYyYWMxLTVhYTgtMzlhZi1iNDllLTUyZDIwODhhYzU3MSIsImF1dGhvciI6W3siZmFtaWx5IjoiU2lsdmVyIiwiZ2l2ZW4iOiJBcmNoaWUgQSIsInBhcnNlLW5hbWVzIjpmYWxzZSwiZHJvcHBpbmctcGFydGljbGUiOiIiLCJub24tZHJvcHBpbmctcGFydGljbGUiOiIifSx7ImZhbWlseSI6IlNoeXRsZSIsImdpdmVuIjoiUiBEb3VnbGFzIiwicGFyc2UtbmFtZXMiOmZhbHNlLCJkcm9wcGluZy1wYXJ0aWNsZSI6IiIsIm5vbi1kcm9wcGluZy1wYXJ0aWNsZSI6IiJ9LHsiZmFtaWx5IjoiU2FuYmVyZyIsImdpdmVuIjoiUGF1bCBSIiwicGFyc2UtbmFtZXMiOmZhbHNlLCJkcm9wcGluZy1wYXJ0aWNsZSI6IiIsIm5vbi1kcm9wcGluZy1wYXJ0aWNsZSI6IiJ9XSwiY29udGFpbmVyLXRpdGxlIjoiQ05TIFNwZWN0cnVtcyIsIkRPSSI6IjEwLjEwMTcvUzEwOTI4NTI5MDAwMTE0MDgiLCJVUkwiOiJodHRwczovL3d3dy5jYW1icmlkZ2Uub3JnL2NvcmUvYXJ0aWNsZS9jbGluaWNhbC1leHBlcmllbmNlLXdpdGgtdHJhbnNkZXJtYWwtbmljb3RpbmUtcGF0Y2gtaW4tdG91cmV0dGUtc3luZHJvbWUvOEUxMDE4QTlFMkUzQkY3RTMzOEJCQzgxNDQ1RTZGRDciLCJpc3N1ZWQiOnsiZGF0ZS1wYXJ0cyI6W1sxOTk5XV19LCJwYWdlIjoiNjgtNzYiLCJhYnN0cmFjdCI6IlN0ZW1taW5nIGZyb20gdGhlIGZpbmRpbmcgdGhhdCBuaWNvdGluZSBwb3RlbnRpYXRlcyBoYWxvcGVyaWRvbC1pbmR1Y2VkIGNhdGFsZXBzeSBpbiByYXRzLCBuaWNvdGluZSBpbiB0aGUgZm9ybSBvZiBuaWNvdGluZSBndW0gYW5kIGFzIHRyYW5zZGVybWFsIG5pY290aW5lIHBhdGNoIChUTlApIGhhcyBiZWVuIHVzZWQgaW4gb3Blbi1sYWJlbCBzdHVkaWVzIHRvIG9idHVuZCBtb3RvciBhbmQgdm9jYWwgdGljcyBvZiBjaGlsZHJlbiAoYWdl4omlOCB5ZWFycywgd2VpZ2hp4omlMjUga2cpLCBhZG9sZXNjZW50cywgYW5kIGFkdWx0cy4gUmVkdWN0aW9uIG9mIHRpY3Mgd2FzIHNlZW4gZHVyaW5nIGNoZXdpbmcgb2Ygbmljb3RpbmUgZ3VtOyB0aGUgaW1wcm92ZW1lbnQgbGFzdGVkIG5vIGxvbmdlciB0aGFuIDEgaG91ciBhZnRlciBjaGV3aW5nLiBXaXRoIGEgVE5QIGluIHN1YmplY3RzIHdobyB3ZXJlIG5vdCByZXNwb25kaW5nIHdlbGwgdG8gYSB2YXJpZXR5IG9mIGRvcGFtaW5lIGJsb2NrZXJzLCB3aXRoIHNvbWUgYWxzbyByZWNlaXZpbmcgY2xvbmlkaW5lIG9yIGEgdmFyaWV0eSBvZiBzZWxlY3RpdmUgc2Vyb3RvbmluIHJldXB0YWtlIGluaGliaXRvcnMsIG1vdG9yIGFuZCB2b2NhbCB0aWNzIHdlcmUgb2J0dW5kZWQgNDUlIG92ZXIgYmFzZWxpbmUgaW4gODUlIG9mIDM1IHN1YmplY3RzIHdpdGhpbiAzMCBtaW51dGVzIHRvIDMgaG91cnMgYWZ0ZXIgVE5QIGFwcGxpY2F0aW9uLiBNb3Jlb3ZlciwgdGhlIHJlbGllZiBvZiBzeW1wdG9tcyB3aXRoIGEgc2luZ2xlIDctbWcgVE5QLCByZW1haW5pbmcgb24gdGhlIHNraW4gZm9yIDI0IGhvdXJzLCBwZXJzaXN0ZWQgZm9yIGEgdmFyaWFibGUgcGVyaW9kIG9mIHRpbWUgcmFuZ2luZyBmcm9tIDEgdG8gMTIwIGRheXMgd2l0aCBhbiBhdmVyYWdlIG9mIDEwwrEyIGRheXMuIEFwcGxpY2F0aW9uIG9mIGEgc2Vjb25kIFROUCBmb3IgMjQgaG91cnMgd2hlbiBzeW1wdG9tcyBiZWdhbiB0byByZXR1cm4gcmVzdWx0ZWQgaW4gYSBzaW1pbGFyIHJlZHVjdGlvbiBpbiB0aWMgc2V2ZXJpdHkgYW5kIGZyZXF1ZW5jeSwgd2hpY2ggcGVyc2lzdGVkIGFuIGF2ZXJhZ2Ugb2YgbDPCsTMgZGF5cy4gTmljb3RpbmUgYWxvbmUsIHdpdGhvdXQgRDIgYmxvY2tlcnMsIHdhcyBzdWNjZXNzZnVsIGluIHJlZHVjaW5nIHByZW1vbml0b3J5IHVyZ2VzIHRvIHRpYy4gQWZ0ZXIgZm9sbG93LXVwIG9mIDMgdG8gNSB5ZWFycywgMTkgb2YgMzUgcGF0aWVudHMgY29udGludWVkIHRvIHVzZSB0aGUgVE5QIGluIGdyYWR1YWxseSBkZWNyZWFzaW5nIGZyZXF1ZW5jeSBhbmQgd2l0aCBncmFkdWFsIHJlZHVjdGlvbiBpbiBkb3NlIG9mIEQyIGJsb2NrZXJzLiBIb3dldmVyLCAxNiBwYXRpZW50cyAoNDUlKSwgYXMgdGhleSBncmV3IGludG8gbWlkZGxlIGFkb2xlc2NlbmNlLCBkaXNjb250aW51ZWQgdXNlIG9mIHRoZSBUTlAsIHN0YXRpbmcgdGhhdCB0aGV5IG9iamVjdGVkIHRvIHRoZSBuYXVzZWEgaW5kdWNlZCBieSB0aGUgcGF0Y2guIFRoZXJlIHdhcyBubyBldmlkZW5jZSBvZiBoYWJpdHVhdGlvbiB0byBuaWNvdGluZS4gU2lkZSBlZmZlY3RzIHdlcmUgbm90IGxpZmUgdGhyZWF0ZW50aW5nOyB0aGUgbW9zdCBkaXN0dXJiaW5nIHNpZGUgZWZmZWN0IHdhcyBuYXVzZWEsIGFwcGVhcmluZyAxIHRvIDQgaG91cnMgYWZ0ZXIgdGhlIGFwcGxpY2F0aW9uIG9mIHRoZSBwYXRjaCBhbmQgbGFzdGluZyAxIHRvIDMgaG91cnMuIFRoZXJlIHdhcyBubyBjaGFuZ2UgaW4gYmxvb2QgcHJlc3N1cmU7IHB1bHNlIHJhdGUgaW5jcmVhc2VkIGZyb20gNSB0byAxMCUgd2l0aGluIDMgaG91cnMgYnV0IHJldHVybmVkIHRvIGJhc2VsaW5lIGFmdGVyIDI0IGhvdXJzLiBVbnNvbHZlZCBwcm9ibGVtcyB1c2luZyBUTlAgYXJlIG1lbnRpb25lZCBhbmQgYSBwdXRhdGl2ZSBtZWNoYW5pc20gZm9yIG5pY290aW5lIGVmZmVjdGl2ZW5lc3MgaW4gVG91cmV0dGUgc3luZHJvbWUgaXMgYnJpZWZseSBkaXNjdXNzZWQuIiwiaXNzdWUiOiIyIiwidm9sdW1lIjoiNCIsImNvbnRhaW5lci10aXRsZS1zaG9ydCI6IkNOUyBTcGVjdHIifSwiaXNUZW1wb3JhcnkiOmZhbHNlfV19"/>
                <w:id w:val="28610871"/>
                <w:placeholder>
                  <w:docPart w:val="DefaultPlaceholder_-1854013440"/>
                </w:placeholder>
              </w:sdtPr>
              <w:sdtContent>
                <w:r w:rsidR="00F04E9F" w:rsidRPr="00F04E9F">
                  <w:rPr>
                    <w:rFonts w:eastAsia="Times New Roman" w:cs="Times New Roman"/>
                    <w:color w:val="000000"/>
                    <w:sz w:val="16"/>
                    <w:szCs w:val="16"/>
                  </w:rPr>
                  <w:t>(81)</w:t>
                </w:r>
              </w:sdtContent>
            </w:sdt>
          </w:p>
        </w:tc>
        <w:tc>
          <w:tcPr>
            <w:tcW w:w="0" w:type="auto"/>
            <w:shd w:val="clear" w:color="auto" w:fill="FFFFFF"/>
            <w:hideMark/>
          </w:tcPr>
          <w:p w14:paraId="1F676EB3"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one 58-year-old male with “Tourette symptoms”</w:t>
            </w:r>
          </w:p>
        </w:tc>
        <w:tc>
          <w:tcPr>
            <w:tcW w:w="0" w:type="auto"/>
            <w:shd w:val="clear" w:color="auto" w:fill="FFFFFF"/>
            <w:hideMark/>
          </w:tcPr>
          <w:p w14:paraId="5E0E8C9C"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7 mg transdermal nicotine patch</w:t>
            </w:r>
          </w:p>
        </w:tc>
        <w:tc>
          <w:tcPr>
            <w:tcW w:w="0" w:type="auto"/>
            <w:shd w:val="clear" w:color="auto" w:fill="FFFFFF"/>
            <w:hideMark/>
          </w:tcPr>
          <w:p w14:paraId="6F3536BA"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Disappearance of premonitory urges and tics within three hours, symptoms returned seven days later, reported nausea as a side effect</w:t>
            </w:r>
          </w:p>
        </w:tc>
      </w:tr>
      <w:tr w:rsidR="00986E35" w:rsidRPr="008A1F40" w14:paraId="7D366D74" w14:textId="77777777" w:rsidTr="007F77D2">
        <w:trPr>
          <w:tblCellSpacing w:w="15" w:type="dxa"/>
        </w:trPr>
        <w:tc>
          <w:tcPr>
            <w:tcW w:w="0" w:type="auto"/>
            <w:shd w:val="clear" w:color="auto" w:fill="FFFFFF"/>
            <w:hideMark/>
          </w:tcPr>
          <w:p w14:paraId="6D24CDB6" w14:textId="248A3031"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Szejko et al (2020)</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TQ4MjVlMjYtNDRkNC00YTJiLTlkNzMtN2VlM2ExY2FkNGVhIiwicHJvcGVydGllcyI6eyJub3RlSW5kZXgiOjB9LCJpc0VkaXRlZCI6ZmFsc2UsIm1hbnVhbE92ZXJyaWRlIjp7ImlzTWFudWFsbHlPdmVycmlkZGVuIjpmYWxzZSwiY2l0ZXByb2NUZXh0IjoiKDgyKSIsIm1hbnVhbE92ZXJyaWRlVGV4dCI6IiJ9LCJjaXRhdGlvbkl0ZW1zIjpbeyJpZCI6IjM4Y2FmNTA5LTM0NmUtM2NmNy05ZDQzLWM0ZmFlN2NhMDQ1ZiIsIml0ZW1EYXRhIjp7InR5cGUiOiJhcnRpY2xlLWpvdXJuYWwiLCJpZCI6IjM4Y2FmNTA5LTM0NmUtM2NmNy05ZDQzLWM0ZmFlN2NhMDQ1ZiIsInRpdGxlIjoiSW50cmF2ZW5vdXMgSW1tdW5vZ2xvYnVsaW4gVHJlYXRtZW50IERpZCBOb3QgSW1wcm92ZSBUaWNzIGluIGEgUGF0aWVudCBXaXRoIEdpbGxlcyBkZSBsYSBUb3VyZXR0ZSBTeW5kcm9tZSBhbmQgSW50cmF0aGVjYWwgQW50aWJvZHkgU3ludGhlc2lzIiwiZ3JvdXBJZCI6IjA3ZDYyYWMxLTVhYTgtMzlhZi1iNDllLTUyZDIwODhhYzU3MSIsImF1dGhvciI6W3siZmFtaWx5IjoiU3plamtvIiwiZ2l2ZW4iOiJOIiwicGFyc2UtbmFtZXMiOmZhbHNlLCJkcm9wcGluZy1wYXJ0aWNsZSI6IiIsIm5vbi1kcm9wcGluZy1wYXJ0aWNsZSI6IiJ9LHsiZmFtaWx5IjoiRnJlbWVyIiwiZ2l2ZW4iOiJDIiwicGFyc2UtbmFtZXMiOmZhbHNlLCJkcm9wcGluZy1wYXJ0aWNsZSI6IiIsIm5vbi1kcm9wcGluZy1wYXJ0aWNsZSI6IiJ9LHsiZmFtaWx5IjoiU8O8aHMiLCJnaXZlbiI6IksgVyIsInBhcnNlLW5hbWVzIjpmYWxzZSwiZHJvcHBpbmctcGFydGljbGUiOiIiLCJub24tZHJvcHBpbmctcGFydGljbGUiOiIifSx7ImZhbWlseSI6Ik1hY3VsIEZlcnJlaXJhIGRlIEJhcnJvcyIsImdpdmVuIjoiUCIsInBhcnNlLW5hbWVzIjpmYWxzZSwiZHJvcHBpbmctcGFydGljbGUiOiIiLCJub24tZHJvcHBpbmctcGFydGljbGUiOiIifSx7ImZhbWlseSI6Ik3DvGxsZXItVmFobCIsImdpdmVuIjoiSyBSIiwicGFyc2UtbmFtZXMiOmZhbHNlLCJkcm9wcGluZy1wYXJ0aWNsZSI6IiIsIm5vbi1kcm9wcGluZy1wYXJ0aWNsZSI6IiJ9XSwiY29udGFpbmVyLXRpdGxlIjoiRnJvbnQgTmV1cm9sIiwiRE9JIjoiMTAuMzM4OS9mbmV1ci4yMDIwLjAwMTEwIiwiUE1JRCI6IjMyMTgwNzU1IiwiaXNzdWVkIjp7ImRhdGUtcGFydHMiOltbMjAyMF1dfSwicGFnZSI6IjExMCIsImFic3RyYWN0IjoiR2lsbGVzIGRlIGxhIFRvdXJldHRlIHN5bmRyb21lIChHVFMpIGlzIGEgbmV1cm9wc3ljaGlhdHJpYyBkaXNvcmRlciBjaGFyYWN0ZXJpemVkIGJ5IG1vdG9yIGFuZCB2b2NhbCB0aWNzLiBUaGVyZSBhcmUgc2V2ZXJhbCBoeXBvdGhlc2VzIGFzIHRvIHRoZSBjYXVzZSBvZiB0aGUgZGlzZWFzZS4gT25lIG9mIHdoaWNoIHN1Z2dlc3RzIHRoYXQgdGhlIGltbXVuZSBzeXN0ZW0gaXMgaW52b2x2ZWQgaW4gdGhlIHBhdGhvcGh5c2lvbG9neSBvZiBHVFMuIEhlcmUsIHdlIHByZXNlbnQgYSA0MC15ZWFyLW9sZCBmZW1hbGUgcGF0aWVudCB3aXRoIGEgdHlwaWNhbCBoaXN0b3J5IGFuZCBjbGluaWNhbCBwcmVzZW50YXRpb24gb2YgR1RTIHdpdGggdGljcyBhbmQgcHN5Y2hpYXRyaWMgY29tb3JiaWRpdGllcywgaW4gd2hvbSBwb3NpdGl2ZSBvbGlnb2Nsb25hbCBiYW5kcyAoT0NCcykgdHlwZSAyIGluIGNlcmVicmFsIHNwaW5hbCBmbHVpZCAoQ1NGKSB3ZXJlIGRldGVjdGVkIGluIGFuIGVhcmxpZXIgc3R1ZHkuIEF0IHRoYXQgdGltZSBwb2ludCwgYWxsIG90aGVyIGludmVzdGlnYXRpb25zIHdlcmUgdW5yZW1hcmthYmxlIChpbmNsdWRpbmcgbmV1cm9sb2dpY2FsIGV4YW1pbmF0aW9uIGFuZCBjTVJJKSwgYnV0IDIgeWVhcnMgbGF0ZXIsIHNoZSBwcmVzZW50ZWQgd2l0aCBmdXJ0aGVyIG5ldXJvbG9naWNhbCBzeW1wdG9tcyBpbmNsdWRpbmcgdGV0cmFwYXJlc2lzIG1vc3RseSBhZmZlY3RpbmcgdGhlIGxlZnQgbGltYnMsIGRpc3RhbCBoeXBlc3RoZXNpYSBhbmQgcGFyZXN0aGVzaWEsIGFuZCBkeXNwbmVhLiBTaW5jZSBmdXJ0aGVyIGV4YW1pbmF0aW9ucyAoaW5jbHVkaW5nIEVNRywgTVJJLCBDU0YsIHZpcm9sb2dpY2FsLCBhbmQgYmFjdGVyaW9sb2dpY2FsIHRlc3RzLCBhcyB3ZWxsIGFzIGF1dG9pbW11bmUtZW5jZXBoYWxpdGlzIGFudGlib2RpZXMpIHJldmVhbGVkIG5vcm1hbCByZXN1bHRzLCBiYXNlZCBvbiBjbGluaWNhbCBwcmVzZW50YXRpb24sIHRoZSBkaWFnbm9zaXMgb2YgR3VpbGxhaW4tQmFycsOpLWxpa2UgaW1tdW5lLW1lZGlhdGVkIG5ldXJvcGF0aHkgd2FzIG1hZGUgYW5kIHRyZWF0bWVudCB3aXRoIGludHJhdmVub3VzIGltbXVub2dsb2J1bGlucyAoSVZJZykgKDMwIGcvZGF5IGZvciA1IGRheXMpIHdhcyBpbml0aWF0ZWQgcmVzdWx0aW5nIGluIGNvbXBsZXRlIHJlbWlzc2lvbiBvZiBpbW11bmUtbWVkaWF0ZWQgbmV1cm9wYXRoeS4gQmFzZWQgb24gdGhlIFwiaW1tdW5lIGh5cG90aGVzaXNcIiBvZiBHVFMsIHdlIHdlcmUgaW50ZXJlc3RlZCBpbiB3aGV0aGVyIGluIHRoaXMgcGF0aWVudCBwb3NpdGl2ZSBDU0YgT0NCcyBtaWdodCBzZXJ2ZSBhcyBhIGJpb21hcmtlciBmb3IgdHJlYXRtZW50IHJlc3BvbnNlIG9mIHRpY3MgYW5kIGFkZGl0aW9uYWwgR1RTLXJlbGF0ZWQgcHN5Y2hpYXRyaWMgc3ltcHRvbXMgdG8gSVZJZywgYW5kIHRoZXJlZm9yZSBhc3Nlc3NlZCB0aWNzLCBwcmVtb25pdG9yeSB1cmdlcywgYW5kIHBzeWNoaWF0cmljIGNvbW9yYmlkaXRpZXMgYmVmb3JlIGFuZCBzZXZlcmFsIHRpbWVzIGFmdGVyIHRoZSBJVklnIHRyZWF0bWVudC4gSG93ZXZlciwgZXZlbiB0aG91Z2ggaW1tdW5lLW1lZGlhdGVkIG5ldXJvcGF0aHkgcmVzb2x2ZWQgYWZ0ZXIgdHJlYXRtZW50LCB0aWNzLCBwcmVtb25pdG9yeSB1cmdlcywgYW5kIGNvbW9yYmlkaXRpZXMgcmVtYWluZWQgdW5jaGFuZ2VkLiBUaHVzLCB0aGlzIGNhc2Ugc3R1ZHkgc3VnZ2VzdHMgdGhhdCB0cmVhdG1lbnQgd2l0aCBJVklnIGlzIG5vdCBlZmZlY3RpdmUgaW4gdGhlIHRyZWF0bWVudCBvZiBHVFMtZXZlbiBpbiBhIHBhdGllbnQgd2l0aCBpbnRyYXRoZWNhbCBhbnRpYm9keSBzeW50aGVzaXMgYXMgZXhwcmVzc2VkIGJ5IENTRiBpc29sYXRlZCBPQ0JzLiIsInZvbHVtZSI6IjExIiwiY29udGFpbmVyLXRpdGxlLXNob3J0IjoiIn0sImlzVGVtcG9yYXJ5IjpmYWxzZX1dfQ=="/>
                <w:id w:val="-1377225123"/>
                <w:placeholder>
                  <w:docPart w:val="DefaultPlaceholder_-1854013440"/>
                </w:placeholder>
              </w:sdtPr>
              <w:sdtContent>
                <w:r w:rsidR="00F04E9F" w:rsidRPr="00F04E9F">
                  <w:rPr>
                    <w:rFonts w:eastAsia="Times New Roman" w:cs="Times New Roman"/>
                    <w:color w:val="000000"/>
                    <w:sz w:val="16"/>
                    <w:szCs w:val="16"/>
                  </w:rPr>
                  <w:t>(82)</w:t>
                </w:r>
              </w:sdtContent>
            </w:sdt>
          </w:p>
        </w:tc>
        <w:tc>
          <w:tcPr>
            <w:tcW w:w="0" w:type="auto"/>
            <w:shd w:val="clear" w:color="auto" w:fill="FFFFFF"/>
            <w:hideMark/>
          </w:tcPr>
          <w:p w14:paraId="37F4BB59"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one 46-year-old female with TS and Guillain-Barré-like immune-mediated neuropathy</w:t>
            </w:r>
          </w:p>
        </w:tc>
        <w:tc>
          <w:tcPr>
            <w:tcW w:w="0" w:type="auto"/>
            <w:shd w:val="clear" w:color="auto" w:fill="FFFFFF"/>
            <w:hideMark/>
          </w:tcPr>
          <w:p w14:paraId="42C42551"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Intravenous immunoglobulin (IVIg) - five</w:t>
            </w:r>
            <w:r w:rsidRPr="008A1F40">
              <w:rPr>
                <w:rFonts w:cs="Times New Roman"/>
                <w:color w:val="000000" w:themeColor="text1"/>
                <w:sz w:val="16"/>
                <w:szCs w:val="16"/>
              </w:rPr>
              <w:t xml:space="preserve"> days of 30g per day</w:t>
            </w:r>
          </w:p>
        </w:tc>
        <w:tc>
          <w:tcPr>
            <w:tcW w:w="0" w:type="auto"/>
            <w:shd w:val="clear" w:color="auto" w:fill="FFFFFF"/>
            <w:hideMark/>
          </w:tcPr>
          <w:p w14:paraId="79D8620C"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Temporary reduction in premonitory urges after five days of IVIg treatment</w:t>
            </w:r>
          </w:p>
        </w:tc>
      </w:tr>
      <w:tr w:rsidR="00986E35" w:rsidRPr="008A1F40" w14:paraId="1097DB49" w14:textId="77777777" w:rsidTr="007F77D2">
        <w:trPr>
          <w:tblCellSpacing w:w="15" w:type="dxa"/>
        </w:trPr>
        <w:tc>
          <w:tcPr>
            <w:tcW w:w="0" w:type="auto"/>
            <w:shd w:val="clear" w:color="auto" w:fill="FFFFFF"/>
          </w:tcPr>
          <w:p w14:paraId="2C11E82A" w14:textId="7BB2C723"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Szejko et al (2019)</w:t>
            </w:r>
            <w:r w:rsidR="003E3C6D">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ZTcwMThhMTQtMTExZC00ODI3LWEzOGYtNDgyY2NjN2JlODI5IiwicHJvcGVydGllcyI6eyJub3RlSW5kZXgiOjB9LCJpc0VkaXRlZCI6ZmFsc2UsIm1hbnVhbE92ZXJyaWRlIjp7ImlzTWFudWFsbHlPdmVycmlkZGVuIjpmYWxzZSwiY2l0ZXByb2NUZXh0IjoiKDgzKSIsIm1hbnVhbE92ZXJyaWRlVGV4dCI6IiJ9LCJjaXRhdGlvbkl0ZW1zIjpbeyJpZCI6IjU0YWMzYmVlLWRmMzAtMzZlMi05Y2FiLTk3NGY1YmZlZTg3ZSIsIml0ZW1EYXRhIjp7InR5cGUiOiJhcnRpY2xlLWpvdXJuYWwiLCJpZCI6IjU0YWMzYmVlLWRmMzAtMzZlMi05Y2FiLTk3NGY1YmZlZTg3ZSIsInRpdGxlIjoiVmFwb3JpemVkIENhbm5hYmlzIElzIEVmZmVjdGl2ZSBhbmQgV2VsbC1Ub2xlcmF0ZWQgaW4gYW4gQWRvbGVzY2VudCB3aXRoIFRvdXJldHRlIFN5bmRyb21lIiwiZ3JvdXBJZCI6IjA3ZDYyYWMxLTVhYTgtMzlhZi1iNDllLTUyZDIwODhhYzU3MSIsImF1dGhvciI6W3siZmFtaWx5IjoiU3plamtvIiwiZ2l2ZW4iOiJOIiwicGFyc2UtbmFtZXMiOmZhbHNlLCJkcm9wcGluZy1wYXJ0aWNsZSI6IiIsIm5vbi1kcm9wcGluZy1wYXJ0aWNsZSI6IiJ9LHsiZmFtaWx5IjoiSmFrdWJvdnNraSIsImdpdmVuIjoiRSIsInBhcnNlLW5hbWVzIjpmYWxzZSwiZHJvcHBpbmctcGFydGljbGUiOiIiLCJub24tZHJvcHBpbmctcGFydGljbGUiOiIifSx7ImZhbWlseSI6IkZyZW1lciIsImdpdmVuIjoiQyIsInBhcnNlLW5hbWVzIjpmYWxzZSwiZHJvcHBpbmctcGFydGljbGUiOiIiLCJub24tZHJvcHBpbmctcGFydGljbGUiOiIifSx7ImZhbWlseSI6Ik11bGxlci1WYWhsIiwiZ2l2ZW4iOiJLIFIiLCJwYXJzZS1uYW1lcyI6ZmFsc2UsImRyb3BwaW5nLXBhcnRpY2xlIjoiIiwibm9uLWRyb3BwaW5nLXBhcnRpY2xlIjoiIn1dLCJjb250YWluZXItdGl0bGUiOiJNZWRpY2FsIENhbm5hYmlzIGFuZCBDYW5uYWJpbm9pZHMiLCJET0kiOiJodHRwczovL2R4LmRvaS5vcmcvMTAuMTE1OS8wMDA0OTYzNTUiLCJVUkwiOiJodHRwczovL3d3dy5rYXJnZXIuY29tL0pvdXJuYWwvSG9tZS8yNzU5ODZodHRwOi8vb3ZpZHNwLm92aWQuY29tL292aWR3ZWIuY2dpP1Q9SlMmUEFHRT1yZWZlcmVuY2UmRD1lbWV4YiZORVdTPU4mQU49MjAxMzk3MDA3MCIsImlzc3VlZCI6eyJkYXRlLXBhcnRzIjpbWzIwMTldXX0sInBhZ2UiOiI2MC02NCIsImFic3RyYWN0IjoiV2UgcHJlc2VudCB0aGUgY2FzZSBvZiBhIDEyLXllYXItb2xkIGJveSBkaWFnbm9zZWQgd2l0aCBUb3VyZXR0ZSBzeW5kcm9tZSwgd2hvIHdhcyBzdWNjZXNzZnVsbHkgdHJlYXRlZCB3aXRoIGEgY29tYmluYXRpb24gb2YgdmFwb3JpemVkIG1lZGljaW5hbCBjYW5uYWJpcyBhbmQgb3JhbCBwdXJlIHRldHJhaHlkcm9jYW5uYWJpbm9sIChUSEMpLiBEdWUgdG8gc2V2ZXJlIG1vdG9yIHRpY3MgcmVzdWx0aW5nIGluIGluc29tbmlhLCB0aGUgcGFyZW50cy1ib3RoIG9mIHdob20gd2VyZSBtZWRpY2FsIGRvY3RvcnMtZGVjaWRlZCB0byBpbml0aWF0ZSB0cmVhdG1lbnQgd2l0aCAwLjAyIGcgdmFwb3JpemVkIGNhbm5hYmlzIChCZWRyb2NhbiB3aXRoIGEgVEhDIGNvbnRlbnQgb2YgMjIlIGFuZCBhIGNhbm5hYmlkaW9sIGNvbnRlbnQgb2YgMSU7IGNvcnJlc3BvbmRpbmcgdG8gYSBkb3NlIGVxdWl2YWxlbnQgdG8gNC40IG1nIFRIQykgd2l0aG91dCBwcmlvciBjb25zdWx0YXRpb24gb2YgYSBUb3VyZXR0ZSBleHBlcnQuIFRoaXMgdHJlYXRtZW50IHJlc3VsdGVkLWFjY29yZGluZyB0byB0aGUgcGFyZW50cycgcmVwb3J0LWluIGFuIGltbWVkaWF0ZSBhbmQgbmVhcmx5IGNvbXBsZXRlIHJlbWlzc2lvbiBvZiB0aGUgdGljcy4gRHVlIHRvIGEgZnVydGhlciBpbmNyZWFzZSBpbiB0aWNzLCB0aGUgcGFyZW50cyB0aGVyZWZvcmUgZGVjaWRlZCB0byBpbXBsZW1lbnQgYSByZWd1bGFyIHRyZWF0bWVudCB3aXRoIGEgY29tYmluYXRpb24gb2YgdmFwb3JpemVkIG1lZGljaW5hbCBjYW5uYWJpcyAodXAgdG8gMC4xIGcgY2FubmFiaXMgcGVyIGRheSwgdmFyaWV0aWVzIEJlZHJvY2FuIGFuZCBBbW5lc2lhIEhhemUsIGNvcnJlc3BvbmRpbmcgdG8gMjIgbWcgVEhDL2RheSkgcGx1cyBvcmFsbHkgYWRtaW5pc3RlcmVkIG9pbC1iYXNlZCBUSEMgZHJvcHMgKG1heGltdW0gZGFpbHkgZG9zZSA9IDEyLjUgbWcgVEhDKSByZXN1bHRpbmcgaW4gYSBtYXJrZWQgdGljIHJlZHVjdGlvbi4gRHVyaW5nIGEgdmlzaXQgaW4gb3VyIGNsaW5pYywgd2Ugd2VyZSBhYmxlIHRvIG9ic2VydmUgdGhlIHJlcG9ydGVkIGJlbmVmaWNpYWwgZWZmZWN0cyAzMCBtaW4gYWZ0ZXIgdmFwb3JpemF0aW9uIG9mIDAuMTUgZyBjYW5uYWJpcyAoQW1uZXNpYSBIYXplLCBlcXVpdmFsZW50IHRvIDMzIG1nIFRIQzsgaW4gYWRkaXRpb24sIDcgbWcgb3JhbCBUSEMgd2VyZSB0YWtlbiBhdCBob21lIDYgaCBiZWZvcmUgdGhlIHZpc2l0KTogVGljcywgcHJlbW9uaXRvcnkgdXJnZXMsIGFuZCBvdmVyYWxsIGltcGFpcm1lbnQgc2lnbmlmaWNhbnRseSBpbXByb3ZlZCBhY2NvcmRpbmcgdG8gc2VsZi1yYXRpbmdzLCBwYXJlbnQgYW5kIGNsaW5pY2lhbiBxdWVzdGlvbm5haXJlcy4gSW1wb3J0YW50bHksIG5vIGFkdmVyc2UgZXZlbnRzIHdlcmUgcmVwb3J0ZWQuIEZyb20gdGhpcyBzaW5nbGUgY2FzZSBzdHVkeSwgaXQgaXMgc3VnZ2VzdGVkIHRoYXQgY2FubmFiaXMtYmFzZWQgbWVkaWNpbmVzIGFuZCB0aGVpciBjb21iaW5hdGlvbiAoc3VjaCBhcyBvcmFsIFRIQyBwbHVzIHZhcG9yaXplZCBtZWRpY2luYWwgY2FubmFiaXMpIGFyZSBlZmZlY3RpdmUgYW5kIHNhZmUgaW4gdGhlIHRyZWF0bWVudCBvZiBzZXZlcmUgdGljcyBpbiBtaW5vcnMgd2l0aCBUUy4gSG93ZXZlciwgbG9uZy1UZXJtIGZvbGxvdy11cCBpcyBuZWVkZWQgdG8gY29uZmlybSB0aGUgYmVuZWZpY2lhbCB0cmVhdG1lbnQgZWZmZWN0cy4gV2Ugd2FudCB0byBlbXBoYXNpemUgdGhhdCBpbiB0aGlzIGJveSB0cmVhdG1lbnQgd2l0aCBjYW5uYWJpcyB3YXMgaW5pdGlhdGVkIGJ5IHRoZSBwYXJlbnRzIGJlZm9yZSBhIGNvbnN1bHRhdGlvbiBpbiBvdXIgY2xpbmljIGhhcyB0YWtlbiBwbGFjZS4gSW4gb3VyIG9waW5pb24sIHRyZWF0bWVudCB3aXRoIGNhbm5hYmlzLWJhc2VkIG1lZGljaW5lIGluIGNoaWxkcmVuIHNob3VsZCBiZSByZWdhcmRlZCBhcyBhIGxhc3QtbGluZSB0cmVhdG1lbnQsIHdoZW4gd2VsbC1lc3RhYmxpc2hlZCB0cmVhdG1lbnRzIGhhdmUgZmFpbGVkIHRvIGltcHJvdmUgdGljcy5Db3B5cmlnaHQgwqkgMjAxOSIsImlzc3VlIjoiMSIsInZvbHVtZSI6IjIiLCJjb250YWluZXItdGl0bGUtc2hvcnQiOiJNZWQgQ2FubmFiaXMgQ2FubmFiaW5vaWRzIn0sImlzVGVtcG9yYXJ5IjpmYWxzZX1dfQ=="/>
                <w:id w:val="-1859735180"/>
                <w:placeholder>
                  <w:docPart w:val="DefaultPlaceholder_-1854013440"/>
                </w:placeholder>
              </w:sdtPr>
              <w:sdtContent>
                <w:r w:rsidR="00F04E9F" w:rsidRPr="00F04E9F">
                  <w:rPr>
                    <w:rFonts w:eastAsia="Times New Roman" w:cs="Times New Roman"/>
                    <w:color w:val="000000"/>
                    <w:sz w:val="16"/>
                    <w:szCs w:val="16"/>
                  </w:rPr>
                  <w:t>(83)</w:t>
                </w:r>
              </w:sdtContent>
            </w:sdt>
          </w:p>
        </w:tc>
        <w:tc>
          <w:tcPr>
            <w:tcW w:w="0" w:type="auto"/>
            <w:shd w:val="clear" w:color="auto" w:fill="FFFFFF"/>
          </w:tcPr>
          <w:p w14:paraId="460451D3"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One 12-year-old male with TS</w:t>
            </w:r>
          </w:p>
        </w:tc>
        <w:tc>
          <w:tcPr>
            <w:tcW w:w="0" w:type="auto"/>
            <w:shd w:val="clear" w:color="auto" w:fill="FFFFFF"/>
          </w:tcPr>
          <w:p w14:paraId="2EC3D8D4"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0.15g of vaporized cannabis (33mg of THC)</w:t>
            </w:r>
          </w:p>
        </w:tc>
        <w:tc>
          <w:tcPr>
            <w:tcW w:w="0" w:type="auto"/>
            <w:shd w:val="clear" w:color="auto" w:fill="FFFFFF"/>
          </w:tcPr>
          <w:p w14:paraId="2A621A4E"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PUTS score decreased from 23 at baseline to 15 at 30 minutes post inhalation of cannabis</w:t>
            </w:r>
          </w:p>
        </w:tc>
      </w:tr>
    </w:tbl>
    <w:p w14:paraId="492DF786" w14:textId="599F7B40" w:rsidR="00986E35" w:rsidRDefault="00986E35" w:rsidP="00986E35">
      <w:pPr>
        <w:rPr>
          <w:rFonts w:cs="Times New Roman"/>
          <w:sz w:val="16"/>
          <w:szCs w:val="16"/>
        </w:rPr>
      </w:pPr>
      <w:r w:rsidRPr="008A1F40">
        <w:rPr>
          <w:rFonts w:cs="Times New Roman"/>
          <w:color w:val="000000" w:themeColor="text1"/>
          <w:sz w:val="16"/>
          <w:szCs w:val="16"/>
        </w:rPr>
        <w:t xml:space="preserve">BTX = </w:t>
      </w:r>
      <w:r w:rsidRPr="008A1F40">
        <w:rPr>
          <w:rFonts w:eastAsia="Times New Roman" w:cs="Times New Roman"/>
          <w:color w:val="0D0D0D"/>
          <w:sz w:val="16"/>
          <w:szCs w:val="16"/>
        </w:rPr>
        <w:t xml:space="preserve">Botulinum toxin, IQR = </w:t>
      </w:r>
      <w:r w:rsidRPr="008A1F40">
        <w:rPr>
          <w:rFonts w:cs="Times New Roman"/>
          <w:color w:val="000000" w:themeColor="text1"/>
          <w:sz w:val="16"/>
          <w:szCs w:val="16"/>
          <w:shd w:val="clear" w:color="auto" w:fill="FFFFFF"/>
        </w:rPr>
        <w:t xml:space="preserve">inter quartile range, </w:t>
      </w:r>
      <w:r w:rsidRPr="008A1F40">
        <w:rPr>
          <w:rFonts w:cs="Times New Roman"/>
          <w:sz w:val="16"/>
          <w:szCs w:val="16"/>
        </w:rPr>
        <w:t xml:space="preserve">YGTSS = Yale Global Tic Severity Scale, TTS = Total Tic Score, </w:t>
      </w:r>
      <w:r w:rsidRPr="008A1F40">
        <w:rPr>
          <w:rFonts w:cs="Times New Roman"/>
          <w:color w:val="000000" w:themeColor="text1"/>
          <w:sz w:val="16"/>
          <w:szCs w:val="16"/>
        </w:rPr>
        <w:t xml:space="preserve">CTD = Chronic Tic Disorder, </w:t>
      </w:r>
      <w:r w:rsidRPr="008A1F40">
        <w:rPr>
          <w:rFonts w:cs="Times New Roman"/>
          <w:sz w:val="16"/>
          <w:szCs w:val="16"/>
        </w:rPr>
        <w:t>PUTS = Premonitory Urge for Tics Scale, I-PUTS = Individualized Premonitory Urge for Tics Scale, TS = Tourette Syndrome,</w:t>
      </w:r>
      <w:r w:rsidRPr="008A1F40">
        <w:rPr>
          <w:rFonts w:cs="Times New Roman"/>
          <w:color w:val="000000" w:themeColor="text1"/>
          <w:sz w:val="16"/>
          <w:szCs w:val="16"/>
          <w:shd w:val="clear" w:color="auto" w:fill="FFFFFF"/>
        </w:rPr>
        <w:t xml:space="preserve"> HRT = </w:t>
      </w:r>
      <w:r w:rsidRPr="008A1F40">
        <w:rPr>
          <w:rFonts w:cs="Times New Roman"/>
          <w:color w:val="000000" w:themeColor="text1"/>
          <w:sz w:val="16"/>
          <w:szCs w:val="16"/>
        </w:rPr>
        <w:t>Habit reversal training,</w:t>
      </w:r>
      <w:r w:rsidRPr="008A1F40">
        <w:rPr>
          <w:rFonts w:cs="Times New Roman"/>
          <w:sz w:val="16"/>
          <w:szCs w:val="16"/>
        </w:rPr>
        <w:t xml:space="preserve"> </w:t>
      </w:r>
      <w:r w:rsidRPr="008A1F40">
        <w:rPr>
          <w:rFonts w:cs="Times New Roman"/>
          <w:color w:val="000000" w:themeColor="text1"/>
          <w:sz w:val="16"/>
          <w:szCs w:val="16"/>
          <w:shd w:val="clear" w:color="auto" w:fill="FFFFFF"/>
        </w:rPr>
        <w:t>ADHD = attention-deficit/hyperactivity disorder</w:t>
      </w:r>
      <w:r w:rsidRPr="008A1F40">
        <w:rPr>
          <w:rFonts w:cs="Times New Roman"/>
          <w:sz w:val="16"/>
          <w:szCs w:val="16"/>
        </w:rPr>
        <w:t>,</w:t>
      </w:r>
      <w:r w:rsidRPr="008A1F40">
        <w:rPr>
          <w:rFonts w:cs="Times New Roman"/>
          <w:color w:val="000000" w:themeColor="text1"/>
          <w:sz w:val="16"/>
          <w:szCs w:val="16"/>
        </w:rPr>
        <w:t xml:space="preserve"> OCD = </w:t>
      </w:r>
      <w:r w:rsidRPr="008A1F40">
        <w:rPr>
          <w:rFonts w:cs="Times New Roman"/>
          <w:color w:val="000000" w:themeColor="text1"/>
          <w:sz w:val="16"/>
          <w:szCs w:val="16"/>
          <w:shd w:val="clear" w:color="auto" w:fill="FFFFFF"/>
        </w:rPr>
        <w:t>obsessive-compulsive disorder,</w:t>
      </w:r>
      <w:r w:rsidRPr="008A1F40">
        <w:rPr>
          <w:rFonts w:cs="Times New Roman"/>
          <w:sz w:val="16"/>
          <w:szCs w:val="16"/>
        </w:rPr>
        <w:t xml:space="preserve"> g = grams, mg = milligrams, THC = </w:t>
      </w:r>
      <w:r w:rsidRPr="008A1F40">
        <w:rPr>
          <w:rFonts w:cs="Times New Roman"/>
          <w:color w:val="040C28"/>
          <w:sz w:val="16"/>
          <w:szCs w:val="16"/>
        </w:rPr>
        <w:t xml:space="preserve">tetrahydrocannabinol, CBD = </w:t>
      </w:r>
      <w:r w:rsidRPr="008A1F40">
        <w:rPr>
          <w:rFonts w:eastAsia="Times New Roman" w:cs="Times New Roman"/>
          <w:color w:val="0D0D0D"/>
          <w:sz w:val="16"/>
          <w:szCs w:val="16"/>
        </w:rPr>
        <w:t>Cannabidiol</w:t>
      </w:r>
      <w:r w:rsidRPr="008A1F40">
        <w:rPr>
          <w:rFonts w:cs="Times New Roman"/>
          <w:color w:val="040C28"/>
          <w:sz w:val="16"/>
          <w:szCs w:val="16"/>
        </w:rPr>
        <w:t xml:space="preserve">, IVIg = </w:t>
      </w:r>
      <w:r w:rsidRPr="008A1F40">
        <w:rPr>
          <w:rFonts w:cs="Times New Roman"/>
          <w:sz w:val="16"/>
          <w:szCs w:val="16"/>
        </w:rPr>
        <w:t>intravenous immunoglobulins</w:t>
      </w:r>
    </w:p>
    <w:p w14:paraId="315EF4A9" w14:textId="77777777" w:rsidR="00D0618E" w:rsidRDefault="00D0618E" w:rsidP="00986E35">
      <w:pPr>
        <w:rPr>
          <w:rFonts w:cs="Times New Roman"/>
          <w:color w:val="000000" w:themeColor="text1"/>
          <w:sz w:val="16"/>
          <w:szCs w:val="16"/>
        </w:rPr>
      </w:pPr>
    </w:p>
    <w:p w14:paraId="04A11EBA" w14:textId="1BA20322" w:rsidR="00986E35" w:rsidRPr="008A1F40" w:rsidRDefault="00986E35" w:rsidP="00986E35">
      <w:pPr>
        <w:rPr>
          <w:rFonts w:cs="Times New Roman"/>
          <w:color w:val="000000" w:themeColor="text1"/>
          <w:sz w:val="16"/>
          <w:szCs w:val="16"/>
        </w:rPr>
      </w:pPr>
      <w:r w:rsidRPr="008A1F40">
        <w:rPr>
          <w:rFonts w:cs="Times New Roman"/>
          <w:color w:val="000000" w:themeColor="text1"/>
          <w:sz w:val="16"/>
          <w:szCs w:val="16"/>
        </w:rPr>
        <w:t>Table 12: Neural Correlates of Premonitory Urge</w:t>
      </w:r>
    </w:p>
    <w:tbl>
      <w:tblPr>
        <w:tblW w:w="9210" w:type="dxa"/>
        <w:tblCellSpacing w:w="15" w:type="dxa"/>
        <w:tblBorders>
          <w:top w:val="thinThickSmallGap" w:sz="24" w:space="0" w:color="C4BC96" w:themeColor="background2" w:themeShade="BF"/>
          <w:left w:val="thinThickSmallGap" w:sz="24" w:space="0" w:color="C4BC96" w:themeColor="background2" w:themeShade="BF"/>
          <w:bottom w:val="thickThinSmallGap" w:sz="24" w:space="0" w:color="C4BC96" w:themeColor="background2" w:themeShade="BF"/>
          <w:right w:val="thickThinSmallGap" w:sz="24" w:space="0" w:color="C4BC96" w:themeColor="background2" w:themeShade="BF"/>
          <w:insideH w:val="single" w:sz="6" w:space="0" w:color="C4BC96" w:themeColor="background2" w:themeShade="BF"/>
          <w:insideV w:val="single" w:sz="6" w:space="0" w:color="C4BC96" w:themeColor="background2"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1089"/>
        <w:gridCol w:w="1686"/>
        <w:gridCol w:w="1950"/>
        <w:gridCol w:w="4485"/>
      </w:tblGrid>
      <w:tr w:rsidR="00986E35" w:rsidRPr="008A1F40" w14:paraId="7DCC477E" w14:textId="77777777" w:rsidTr="007F77D2">
        <w:trPr>
          <w:tblHeader/>
          <w:tblCellSpacing w:w="15" w:type="dxa"/>
        </w:trPr>
        <w:tc>
          <w:tcPr>
            <w:tcW w:w="0" w:type="auto"/>
            <w:shd w:val="clear" w:color="auto" w:fill="FFFFFF"/>
            <w:hideMark/>
          </w:tcPr>
          <w:p w14:paraId="3424870F"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Study</w:t>
            </w:r>
          </w:p>
        </w:tc>
        <w:tc>
          <w:tcPr>
            <w:tcW w:w="0" w:type="auto"/>
            <w:shd w:val="clear" w:color="auto" w:fill="FFFFFF"/>
            <w:hideMark/>
          </w:tcPr>
          <w:p w14:paraId="785E1AD8"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Sample Size/Demographics</w:t>
            </w:r>
          </w:p>
        </w:tc>
        <w:tc>
          <w:tcPr>
            <w:tcW w:w="1920" w:type="dxa"/>
            <w:shd w:val="clear" w:color="auto" w:fill="FFFFFF"/>
            <w:hideMark/>
          </w:tcPr>
          <w:p w14:paraId="4D38CCD9"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Neuroimaging Technique</w:t>
            </w:r>
          </w:p>
        </w:tc>
        <w:tc>
          <w:tcPr>
            <w:tcW w:w="4440" w:type="dxa"/>
            <w:shd w:val="clear" w:color="auto" w:fill="FFFFFF"/>
            <w:hideMark/>
          </w:tcPr>
          <w:p w14:paraId="17178EC1" w14:textId="77777777" w:rsidR="00986E35" w:rsidRPr="008A1F40" w:rsidRDefault="00986E35" w:rsidP="007F77D2">
            <w:pPr>
              <w:rPr>
                <w:rFonts w:eastAsia="Times New Roman" w:cs="Times New Roman"/>
                <w:b/>
                <w:bCs/>
                <w:color w:val="0D0D0D"/>
                <w:sz w:val="16"/>
                <w:szCs w:val="16"/>
              </w:rPr>
            </w:pPr>
            <w:r w:rsidRPr="008A1F40">
              <w:rPr>
                <w:rFonts w:eastAsia="Times New Roman" w:cs="Times New Roman"/>
                <w:b/>
                <w:bCs/>
                <w:color w:val="0D0D0D"/>
                <w:sz w:val="16"/>
                <w:szCs w:val="16"/>
              </w:rPr>
              <w:t>Findings</w:t>
            </w:r>
          </w:p>
        </w:tc>
      </w:tr>
      <w:tr w:rsidR="00986E35" w:rsidRPr="008A1F40" w14:paraId="7AC23046" w14:textId="77777777" w:rsidTr="007F77D2">
        <w:trPr>
          <w:tblCellSpacing w:w="15" w:type="dxa"/>
        </w:trPr>
        <w:tc>
          <w:tcPr>
            <w:tcW w:w="0" w:type="auto"/>
            <w:shd w:val="clear" w:color="auto" w:fill="FFFFFF"/>
            <w:hideMark/>
          </w:tcPr>
          <w:p w14:paraId="20DFB49F" w14:textId="4F7696A0"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Bhikram et al (2021)</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mJhNWZhNmEtMTU0NC00ZTg4LTg0ZWYtNGZkMjYwNGE1YWMwIiwicHJvcGVydGllcyI6eyJub3RlSW5kZXgiOjB9LCJpc0VkaXRlZCI6ZmFsc2UsIm1hbnVhbE92ZXJyaWRlIjp7ImlzTWFudWFsbHlPdmVycmlkZGVuIjpmYWxzZSwiY2l0ZXByb2NUZXh0IjoiKDg0KSIsIm1hbnVhbE92ZXJyaWRlVGV4dCI6IiJ9LCJjaXRhdGlvbkl0ZW1zIjpbeyJpZCI6ImRkYWFiM2IyLTNlZWUtMzE1My05NTBiLWMyZjg0YjljZjk5ZSIsIml0ZW1EYXRhIjp7InR5cGUiOiJhcnRpY2xlLWpvdXJuYWwiLCJpZCI6ImRkYWFiM2IyLTNlZWUtMzE1My05NTBiLWMyZjg0YjljZjk5ZSIsInRpdGxlIjoiTmV1cm9pbWFnaW5nIHRoZSBlbW90aW9uYWwgbW9kdWxhdGlvbiBvZiB1cmdlIGluaGliaXRpb24gaW4gVG91cmV0dGUgU3luZHJvbWUiLCJncm91cElkIjoiMDdkNjJhYzEtNWFhOC0zOWFmLWI0OWUtNTJkMjA4OGFjNTcxIiwiYXV0aG9yIjpbeyJmYW1pbHkiOiJCaGlrcmFtIiwiZ2l2ZW4iOiJUIiwicGFyc2UtbmFtZXMiOmZhbHNlLCJkcm9wcGluZy1wYXJ0aWNsZSI6IiIsIm5vbi1kcm9wcGluZy1wYXJ0aWNsZSI6IiJ9LHsiZmFtaWx5IjoiQ3Jhd2xleSIsImdpdmVuIjoiQSIsInBhcnNlLW5hbWVzIjpmYWxzZSwiZHJvcHBpbmctcGFydGljbGUiOiIiLCJub24tZHJvcHBpbmctcGFydGljbGUiOiIifSx7ImZhbWlseSI6IkFybm9sZCIsImdpdmVuIjoiUCIsInBhcnNlLW5hbWVzIjpmYWxzZSwiZHJvcHBpbmctcGFydGljbGUiOiIiLCJub24tZHJvcHBpbmctcGFydGljbGUiOiIifSx7ImZhbWlseSI6IkFiaS1KYW91ZGUiLCJnaXZlbiI6IkUiLCJwYXJzZS1uYW1lcyI6ZmFsc2UsImRyb3BwaW5nLXBhcnRpY2xlIjoiIiwibm9uLWRyb3BwaW5nLXBhcnRpY2xlIjoiIn0seyJmYW1pbHkiOiJTYW5kb3IiLCJnaXZlbiI6IlAiLCJwYXJzZS1uYW1lcyI6ZmFsc2UsImRyb3BwaW5nLXBhcnRpY2xlIjoiIiwibm9uLWRyb3BwaW5nLXBhcnRpY2xlIjoiIn1dLCJjb250YWluZXItdGl0bGUiOiJDb3J0ZXgiLCJET0kiOiIxMC4xMDE2L2ouY29ydGV4LjIwMjAuMTAuMDEwIiwiUE1JRCI6IjMzMzE3ODA4IiwiaXNzdWVkIjp7ImRhdGUtcGFydHMiOltbMjAyMV1dfSwicGFnZSI6IjM0MS0zNTEiLCJhYnN0cmFjdCI6IlRvdXJldHRlIFN5bmRyb21lIChUUykgaXMgYSBuZXVyb3BzeWNoaWF0cmljIGNvbmRpdGlvbiBjaGFyYWN0ZXJpemVkIGJ5IHRpY3MgdGhhdCBhcmUgdHlwaWNhbGx5IHByZWNlZGVkIGJ5IHVuY29tZm9ydGFibGUgdXJnZXMgdGhhdCBidWlsZCB1bnRpbCB0aGUgdGljIGlzIHBlcmZvcm1lZC4gQm90aCB0aWNzIGFuZCB0aGVpciBhc3NvY2lhdGVkIHVyZ2VzIGFyZSBjb21tb25seSBleGFjZXJiYXRlZCBkdXJpbmcgc3RhdGVzIG9mIGhlaWdodGVuZWQgZW1vdGlvbi4gSG93ZXZlciwgdGhlIG5ldXJhbCBzdWJzdHJhdGVzIHRoYXQgYXJlIHJlc3BvbnNpYmxlIGZvciB0aGUgZGV2ZWxvcG1lbnQgb2YgdXJnZXMgaGF2ZSBub3QgYmVlbiBmdWxseSBlbHVjaWRhdGVkLCBwYXJ0aWN1bGFybHkgd2l0aCByZWdhcmRzIHRvIHRoZSBpbmZsdWVuY2Ugb2YgZW1vdGlvbi4gSW4gdGhpcyBzdHVkeSwgd2UgaW52ZXN0aWdhdGUgdGhlIGJyYWluIGFyZWFzIGFzc29jaWF0ZWQgd2l0aCB0aGUgZGV2ZWxvcG1lbnQgb2YgdXJnZXMgYW5kIHRoZWlyIG1vZHVsYXRpb24gYnkgZW1vdGlvbiBpbiBwYXRpZW50cyB3aXRoIFRTLiBNb3Jlb3Zlciwgd2UgZXhwbG9yZSB0aGUgaW5mbHVlbmNlIG9mIG9ic2Vzc2l2ZS1jb21wdWxzaXZlIHN5bXB0b21zIChPQ1MpIHdoaWNoIGFyZSBjb21tb25seSBjb21vcmJpZCBpbiBUUy4gRm9ydHkgcGF0aWVudHMgd2l0aCBUUyBhbmQgMjAgaGVhbHRoeSBjb250cm9scyBjb21wbGV0ZWQgYW4gZW1vdGlvbmFsIGJsaW5rIHN1cHByZXNzaW9uIHBhcmFkaWdtIHdoaWxlIHVuZGVyZ29pbmcgZnVuY3Rpb25hbCBtYWduZXRpYyByZXNvbmFuY2UgaW1hZ2luZy4gRm9yIHRoZSBwYXJhZGlnbSwgcGFydGljaXBhbnRzIGNvbXBsZXRlZCBhbHRlcm5hdGluZyBibG9ja3Mgb2YgYmxpbmsgaW5oaWJpdGlvbiBhbmQgZnJlZSBibGlua2luZyB3aGlsZSB2aWV3aW5nIHBpY3R1cmVzIG9mIGFuZ3J5IGFuZCBuZXV0cmFsIGZhY2lhbCBleHByZXNzaW9ucy4gQ29tcGFyZWQgdG8gY29udHJvbHMsIHBhdGllbnRzIGV4aGliaXRlZCBncmVhdGVyIGFjdGl2aXR5IGluIHRoZSBzdXBlcmlvciB0ZW1wb3JhbCBneXJ1cyBhbmQgbWlkY2luZ3VsYXRlIGR1cmluZyB0aGUgaW5oaWJpdGlvbiBvZiB1cmdlcy4gV2l0aGluIHRoZSBwYXRpZW50IGdyb3VwLCB0aWMgc2V2ZXJpdHkgd2FzIGFzc29jaWF0ZWQgd2l0aCBhY3Rpdml0eSBpbiB0aGUgc3VwZXJpb3IgZnJvbnRhbCBneXJ1cyBkdXJpbmcgdGhlIGFuZ3J5IGluaGliaXRpb24gY29udHJhc3QgYXMgY29tcGFyZWQgdG8gbmV1dHJhbDsgZ3JlYXRlciBwcmVtb25pdG9yeSB1cmdlIHNldmVyaXR5IHdhcyBhc3NvY2lhdGVkIHdpdGggZ3JlYXRlciBhY3Rpdml0eSBpbiB0aGUgaGlwcG9jYW1wdXMsIG1pZGRsZSB0ZW1wb3JhbCBneXJ1cyBhbmQgaW4gdGhlIHN1YmNvcnRleDsgYmxpbmsgaW5oaWJpdGlvbiBhYmlsaXR5IHdhcyBuZWdhdGl2ZWx5IGFzc29jaWF0ZWQgd2l0aCBhY3Rpdml0eSBpbiB0aGUgdGhhbGFtdXMgYW5kIGluc3VsYS4gVGhlcmUgd2VyZSBubyBzaWduaWZpY2FudCBhc3NvY2lhdGlvbnMgd2l0aCBPQ1Mgc2V2ZXJpdHkgZm9yIHRoZSBlbW90aW9uLXJlbGF0ZWQgY29udHJhc3RzLiBUaGUgb2JzZXJ2ZWQgYWN0aXZhdGVkIHJlZ2lvbnMgbWF5IHJlcHJlc2VudCBhIG5ldHdvcmsgdGhhdCBwcm9kdWNlcyB1cmdlcyBpbiBwYXRpZW50cywgb3IgYWx0ZXJuYXRpdmVseSwgY291bGQgcmVwcmVzZW50IGNvbXBlbnNhdG9yeSBjb3J0aWNhbCBhY3Rpdml0eSBuZWVkZWQgdG8ga2VlcCB1cmdlcyBhbmQgdGljcyB1bmRlciBjb250cm9sIGR1cmluZyBlbW90aW9uYWwgc2l0dWF0aW9ucy4gQWRkaXRpb25hbGx5LCBvdXIgZmluZGluZ3Mgc3VnZ2VzdCB0aGF0IE9DUyBpbiB0aGUgY29udGV4dCBvZiBUUyBpcyBzaW1pbGFyIHRvIHRyYWRpdGlvbmFsIG9ic2Vzc2l2ZS1jb21wdWxzaXZlIGRpc29yZGVyIGFuZCBpcyBuZXVyb2Jpb2xvZ2ljYWxseSBkaXNzb2NpYWJsZSBmcm9tIHRpY3MuIiwidm9sdW1lIjoiMTM1IiwiY29udGFpbmVyLXRpdGxlLXNob3J0IjoiIn0sImlzVGVtcG9yYXJ5IjpmYWxzZX1dfQ=="/>
                <w:id w:val="-835153140"/>
                <w:placeholder>
                  <w:docPart w:val="DefaultPlaceholder_-1854013440"/>
                </w:placeholder>
              </w:sdtPr>
              <w:sdtContent>
                <w:r w:rsidR="00F04E9F" w:rsidRPr="00F04E9F">
                  <w:rPr>
                    <w:rFonts w:eastAsia="Times New Roman" w:cs="Times New Roman"/>
                    <w:color w:val="000000"/>
                    <w:sz w:val="16"/>
                    <w:szCs w:val="16"/>
                  </w:rPr>
                  <w:t>(84)</w:t>
                </w:r>
              </w:sdtContent>
            </w:sdt>
          </w:p>
        </w:tc>
        <w:tc>
          <w:tcPr>
            <w:tcW w:w="0" w:type="auto"/>
            <w:shd w:val="clear" w:color="auto" w:fill="FFFFFF"/>
            <w:hideMark/>
          </w:tcPr>
          <w:p w14:paraId="4120F760"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40 adults with TS</w:t>
            </w:r>
          </w:p>
        </w:tc>
        <w:tc>
          <w:tcPr>
            <w:tcW w:w="1920" w:type="dxa"/>
            <w:shd w:val="clear" w:color="auto" w:fill="FFFFFF"/>
            <w:hideMark/>
          </w:tcPr>
          <w:p w14:paraId="28BEFFE2"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fMRI (</w:t>
            </w:r>
            <w:r w:rsidRPr="008A1F40">
              <w:rPr>
                <w:rFonts w:cs="Times New Roman"/>
                <w:color w:val="000000" w:themeColor="text1"/>
                <w:sz w:val="16"/>
                <w:szCs w:val="16"/>
                <w:shd w:val="clear" w:color="auto" w:fill="FFFFFF"/>
              </w:rPr>
              <w:t>participants completed a blink suppression task that included four free to blink and four blink suppression conditions, and during these conditions participants were shown either angry or neutral facial expressions)</w:t>
            </w:r>
          </w:p>
        </w:tc>
        <w:tc>
          <w:tcPr>
            <w:tcW w:w="4440" w:type="dxa"/>
            <w:shd w:val="clear" w:color="auto" w:fill="FFFFFF"/>
            <w:hideMark/>
          </w:tcPr>
          <w:p w14:paraId="426B4B0E" w14:textId="77777777" w:rsidR="00986E35" w:rsidRPr="008A1F40" w:rsidRDefault="00986E35" w:rsidP="007F77D2">
            <w:pPr>
              <w:rPr>
                <w:rFonts w:eastAsia="Times New Roman" w:cs="Times New Roman"/>
                <w:color w:val="000000" w:themeColor="text1"/>
                <w:sz w:val="16"/>
                <w:szCs w:val="16"/>
              </w:rPr>
            </w:pPr>
            <w:r w:rsidRPr="008A1F40">
              <w:rPr>
                <w:rFonts w:cs="Times New Roman"/>
                <w:color w:val="000000" w:themeColor="text1"/>
                <w:sz w:val="16"/>
                <w:szCs w:val="16"/>
                <w:shd w:val="clear" w:color="auto" w:fill="FFFFFF"/>
              </w:rPr>
              <w:t>No significant associations between PUTS scores and brain activity in free to blink vs. blink suppression conditions across emotional conditions</w:t>
            </w:r>
          </w:p>
          <w:p w14:paraId="292B3CA4" w14:textId="3F809562"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PUTS scores were significantly positively associated with the interaction between emotional condition and blink condition on activity in the thalamus</w:t>
            </w:r>
            <w:r w:rsidR="00CA2036">
              <w:rPr>
                <w:rFonts w:cs="Times New Roman"/>
                <w:color w:val="000000" w:themeColor="text1"/>
                <w:sz w:val="16"/>
                <w:szCs w:val="16"/>
                <w:shd w:val="clear" w:color="auto" w:fill="FFFFFF"/>
              </w:rPr>
              <w:t xml:space="preserve"> (z = 3.97, p &lt; 0.001)</w:t>
            </w:r>
            <w:r w:rsidRPr="008A1F40">
              <w:rPr>
                <w:rFonts w:cs="Times New Roman"/>
                <w:color w:val="000000" w:themeColor="text1"/>
                <w:sz w:val="16"/>
                <w:szCs w:val="16"/>
                <w:shd w:val="clear" w:color="auto" w:fill="FFFFFF"/>
              </w:rPr>
              <w:t>, hippocampus</w:t>
            </w:r>
            <w:r w:rsidR="00CA2036">
              <w:rPr>
                <w:rFonts w:cs="Times New Roman"/>
                <w:color w:val="000000" w:themeColor="text1"/>
                <w:sz w:val="16"/>
                <w:szCs w:val="16"/>
                <w:shd w:val="clear" w:color="auto" w:fill="FFFFFF"/>
              </w:rPr>
              <w:t xml:space="preserve"> (z = 4.17, p &lt; 0.001)</w:t>
            </w:r>
            <w:r w:rsidRPr="008A1F40">
              <w:rPr>
                <w:rFonts w:cs="Times New Roman"/>
                <w:color w:val="000000" w:themeColor="text1"/>
                <w:sz w:val="16"/>
                <w:szCs w:val="16"/>
                <w:shd w:val="clear" w:color="auto" w:fill="FFFFFF"/>
              </w:rPr>
              <w:t xml:space="preserve">, </w:t>
            </w:r>
            <w:r w:rsidR="00CA2036">
              <w:rPr>
                <w:rFonts w:cs="Times New Roman"/>
                <w:color w:val="000000" w:themeColor="text1"/>
                <w:sz w:val="16"/>
                <w:szCs w:val="16"/>
                <w:shd w:val="clear" w:color="auto" w:fill="FFFFFF"/>
              </w:rPr>
              <w:t xml:space="preserve">mid temporal gyrus (z = 4.79, p &lt; 0.001), precuneus (z = 4.17, p &lt; 0.001), midcingulate (z = 4.70, p &lt; 0.001), </w:t>
            </w:r>
            <w:r w:rsidRPr="008A1F40">
              <w:rPr>
                <w:rFonts w:cs="Times New Roman"/>
                <w:color w:val="000000" w:themeColor="text1"/>
                <w:sz w:val="16"/>
                <w:szCs w:val="16"/>
                <w:shd w:val="clear" w:color="auto" w:fill="FFFFFF"/>
              </w:rPr>
              <w:t xml:space="preserve">and the tail of the caudate </w:t>
            </w:r>
            <w:r w:rsidR="00CA2036">
              <w:rPr>
                <w:rFonts w:cs="Times New Roman"/>
                <w:color w:val="000000" w:themeColor="text1"/>
                <w:sz w:val="16"/>
                <w:szCs w:val="16"/>
                <w:shd w:val="clear" w:color="auto" w:fill="FFFFFF"/>
              </w:rPr>
              <w:t xml:space="preserve">(z = 4.33, p &lt; 0.001) </w:t>
            </w:r>
            <w:r w:rsidRPr="008A1F40">
              <w:rPr>
                <w:rFonts w:cs="Times New Roman"/>
                <w:color w:val="000000" w:themeColor="text1"/>
                <w:sz w:val="16"/>
                <w:szCs w:val="16"/>
                <w:shd w:val="clear" w:color="auto" w:fill="FFFFFF"/>
              </w:rPr>
              <w:t xml:space="preserve">such that </w:t>
            </w:r>
            <w:r w:rsidRPr="008A1F40">
              <w:rPr>
                <w:rFonts w:cs="Times New Roman"/>
                <w:color w:val="000000" w:themeColor="text1"/>
                <w:sz w:val="16"/>
                <w:szCs w:val="16"/>
                <w:shd w:val="clear" w:color="auto" w:fill="FFFFFF"/>
              </w:rPr>
              <w:lastRenderedPageBreak/>
              <w:t>activity was greater in the angry face conditions than the neutral face conditions</w:t>
            </w:r>
          </w:p>
        </w:tc>
      </w:tr>
      <w:tr w:rsidR="00986E35" w:rsidRPr="008A1F40" w14:paraId="5653CE7A" w14:textId="77777777" w:rsidTr="007F77D2">
        <w:trPr>
          <w:tblCellSpacing w:w="15" w:type="dxa"/>
        </w:trPr>
        <w:tc>
          <w:tcPr>
            <w:tcW w:w="0" w:type="auto"/>
            <w:shd w:val="clear" w:color="auto" w:fill="FFFFFF"/>
            <w:hideMark/>
          </w:tcPr>
          <w:p w14:paraId="06C2DF53" w14:textId="2DF2D2E9"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lastRenderedPageBreak/>
              <w:t>Eddy et al (2016)</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WJmZjY3MTItYjZhYy00Y2YwLTliYWMtMWJlNjY2MTFkMWRiIiwicHJvcGVydGllcyI6eyJub3RlSW5kZXgiOjB9LCJpc0VkaXRlZCI6ZmFsc2UsIm1hbnVhbE92ZXJyaWRlIjp7ImlzTWFudWFsbHlPdmVycmlkZGVuIjpmYWxzZSwiY2l0ZXByb2NUZXh0IjoiKDg1KSIsIm1hbnVhbE92ZXJyaWRlVGV4dCI6IiJ9LCJjaXRhdGlvbkl0ZW1zIjpbeyJpZCI6IjUzZTc3YTg1LWNhOTItMzE2Ny04YWEwLTRmN2NiOTU4MDY4ZSIsIml0ZW1EYXRhIjp7InR5cGUiOiJhcnRpY2xlLWpvdXJuYWwiLCJpZCI6IjUzZTc3YTg1LWNhOTItMzE2Ny04YWEwLTRmN2NiOTU4MDY4ZSIsInRpdGxlIjoiVGVtcG9yby1wYXJpZXRhbCBkeXNmdW5jdGlvbiBpbiBUb3VyZXR0ZSBzeW5kcm9tZTogSW5zaWdodHMgZnJvbSBhbiBmTVJJIHN0dWR5IG9mIFRoZW9yeSBvZiBNaW5kIiwiZ3JvdXBJZCI6IjA3ZDYyYWMxLTVhYTgtMzlhZi1iNDllLTUyZDIwODhhYzU3MSIsImF1dGhvciI6W3siZmFtaWx5IjoiRWRkeSIsImdpdmVuIjoiQyBNIiwicGFyc2UtbmFtZXMiOmZhbHNlLCJkcm9wcGluZy1wYXJ0aWNsZSI6IiIsIm5vbi1kcm9wcGluZy1wYXJ0aWNsZSI6IiJ9LHsiZmFtaWx5IjoiQ2F2YW5uYSIsImdpdmVuIjoiQSBFIiwicGFyc2UtbmFtZXMiOmZhbHNlLCJkcm9wcGluZy1wYXJ0aWNsZSI6IiIsIm5vbi1kcm9wcGluZy1wYXJ0aWNsZSI6IiJ9LHsiZmFtaWx5IjoiUmlja2FyZHMiLCJnaXZlbiI6IkggRSIsInBhcnNlLW5hbWVzIjpmYWxzZSwiZHJvcHBpbmctcGFydGljbGUiOiIiLCJub24tZHJvcHBpbmctcGFydGljbGUiOiIifSx7ImZhbWlseSI6IkhhbnNlbiIsImdpdmVuIjoiUCBDIiwicGFyc2UtbmFtZXMiOmZhbHNlLCJkcm9wcGluZy1wYXJ0aWNsZSI6IiIsIm5vbi1kcm9wcGluZy1wYXJ0aWNsZSI6IiJ9XSwiY29udGFpbmVyLXRpdGxlIjoiSiBQc3ljaGlhdHIgUmVzIiwiRE9JIjoiMTAuMTAxNi9qLmpwc3ljaGlyZXMuMjAxNi4wNy4wMDIiLCJQTUlEIjoiMjc0MjQwNjMiLCJpc3N1ZWQiOnsiZGF0ZS1wYXJ0cyI6W1syMDE2XV19LCJwYWdlIjoiMTAyLTExMSIsImFic3RyYWN0IjoiVG91cmV0dGUgc3luZHJvbWUgKFRTKSBpcyBhIG5ldXJvZGV2ZWxvcG1lbnRhbCBkaXNvcmRlciBjaGFyYWN0ZXJpemVkIGJ5IHRpY3MsIHJlcGV0aXRpdmUgbW92ZW1lbnRzIGFuZCB2b2NhbGl6YXRpb25zIHdoaWNoIGFyZSBwcm9tcHRlZCBieSBhIHNlbnNvcnktY29nbml0aXZlIHByZW1vbml0b3J5IHVyZ2UuIENvbXBsZXggdGljcyBpbmNsdWRlIGVudmlyb25tZW50YWxseSBkZXBlbmRlbnQgc29jaWFsIGJlaGF2aW9ycyBzdWNoIGFzIGVjaG9pbmcgb2Ygb3RoZXIgcGVvcGxlJ3Mgc3BlZWNoIGFuZCBhY3Rpb25zLiBSZWNlbnQgc3R1ZGllcyBoYXZlIHN1Z2dlc3RlZCB0aGF0IGFkdWx0cyB3aXRoIFRTIGNhbiBzaG93IGRpZmZlcmVuY2VzIHRvIGNvbnRyb2xzIGluIFRoZW9yeSBvZiBNaW5kIChUb00pOiByZWFzb25pbmcgYWJvdXQgbWVudGFsIHN0YXRlcyAoZS5nLiBiZWxpZWZzLCBlbW90aW9ucykuIEluIHRoaXMgc3R1ZHksIHR3ZW50eS1maXZlIGFkdWx0cyB3aXRoIHVuY29tcGxpY2F0ZWQgVFMgKG5vIGNvLW1vcmJpZCBkaXNvcmRlcnMsIG1vZGVyYXRlIHRpYyBzZXZlcml0eSksIGFuZCB0d2VudHktZml2ZSBoZWFsdGh5IGFnZSBhbmQgZ2VuZGVyIG1hdGNoZWQgY29udHJvbHMgd2VyZSBzY2FubmVkIHdpdGggZk1SSSBkdXJpbmcgYW4gZXN0YWJsaXNoZWQgVG9NIHRhc2suIE5ldXJhbCBhY3Rpdml0eSB3YXMgY29udHJhc3RlZCBhY3Jvc3MgVG9NIHRyaWFscyBpbnZvbHZpbmcgcmVhc29uaW5nIGFib3V0IGZhbHNlLWJlbGllZiwgYW5kIG1hdGNoZWQgdHJpYWxzIHJlcXVpcmluZyBqdWRnbWVudHMgYWJvdXQgcGh5c2ljYWwgc3RhdGVzIHJhdGhlciB0aGFuIG1lbnRhbCBzdGF0ZXMuIENvbnRyYXN0aW5nIHRhc2sgY29uZGl0aW9ucyB1bmNvdmVyZWQgZGlmZmVyZW50aWFsIGZNUkkgYWN0aXZhdGlvbiBpbiBUUyBkdXJpbmcgVG9NIGludm9sdmluZyB0aGUgcmlnaHQgdGVtcG9yby1wYXJpZXRhbCBqdW5jdGlvbiAoVFBKKSwgcmlnaHQgYW15Z2RhbGEgYW5kIHBvc3RlcmlvciBjaW5ndWxhdGUuIEZ1cnRoZXIgYW5hbHlzaXMgcmV2ZWFsZWQgdGhhdCBhY3Rpdml0eSB3aXRoaW4gdGhlIHJpZ2h0IFRQSiBhcyBsb2NhbGlzZWQgYnkgdGhpcyB0YXNrIGNvdmFyaWVkIHdpdGggdGhlIHNldmVyaXR5IG9mIHN5bXB0b21zIGluY2x1ZGluZyBlY2hvcGhlbm9tZW5hLCBpbXB1bHNlIGNvbnRyb2wgcHJvYmxlbXMgYW5kIHByZW1vbml0b3J5IHVyZ2VzIGluIFRTLiBBbXlnZGFsYSBhY3RpdmF0aW9uIHdhcyBhbHNvIGxpbmtlZCB0byBwcmVtb25pdG9yeSB1cmdlcywgd2hpbGUgYWN0aXZpdHkgaW4gdGhlIGxlZnQgVFBKIGR1cmluZyBUb00gd2FzIGxpbmtlZCB0byByYXRpbmdzIG9mIG5vbi1vYnNjZW5lIHNvY2lhbGx5IGluYXBwcm9wcmlhdGUgc3ltcHRvbXMuIFRoZXNlIGZpbmRpbmdzIGluZGljYXRlIHRoYXQgcGF0aWVudHMgd2l0aCBUUyBleGhpYml0IGF0eXBpY2FsIGZ1bmN0aW9uYWwgYWN0aXZhdGlvbiB3aXRoaW4ga2V5IG5ldXJhbCBzdWJzdHJhdGVzIGludm9sdmVkIGluIFRvTS4gTW9yZSBnZW5lcmFsbHksIG91ciBkYXRhIGNvdWxkIGhpZ2hsaWdodCBhbiBpbXBvcnRhbnQgcm9sZSBmb3IgVFBKIGR5c2Z1bmN0aW9uIGluIGRyaXZpbmcgY29tcHVsc2l2ZSBiZWhhdmlvcnMuIiwidm9sdW1lIjoiODEiLCJjb250YWluZXItdGl0bGUtc2hvcnQiOiIifSwiaXNUZW1wb3JhcnkiOmZhbHNlfV19"/>
                <w:id w:val="1206142244"/>
                <w:placeholder>
                  <w:docPart w:val="DefaultPlaceholder_-1854013440"/>
                </w:placeholder>
              </w:sdtPr>
              <w:sdtContent>
                <w:r w:rsidR="00F04E9F" w:rsidRPr="00F04E9F">
                  <w:rPr>
                    <w:rFonts w:eastAsia="Times New Roman" w:cs="Times New Roman"/>
                    <w:color w:val="000000"/>
                    <w:sz w:val="16"/>
                    <w:szCs w:val="16"/>
                  </w:rPr>
                  <w:t>(85)</w:t>
                </w:r>
              </w:sdtContent>
            </w:sdt>
          </w:p>
        </w:tc>
        <w:tc>
          <w:tcPr>
            <w:tcW w:w="0" w:type="auto"/>
            <w:shd w:val="clear" w:color="auto" w:fill="FFFFFF"/>
            <w:hideMark/>
          </w:tcPr>
          <w:p w14:paraId="7CFE2A39"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25 adults with TS</w:t>
            </w:r>
          </w:p>
        </w:tc>
        <w:tc>
          <w:tcPr>
            <w:tcW w:w="1920" w:type="dxa"/>
            <w:shd w:val="clear" w:color="auto" w:fill="FFFFFF"/>
            <w:hideMark/>
          </w:tcPr>
          <w:p w14:paraId="3DA6B9F4"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fMRI (while participants </w:t>
            </w:r>
            <w:r w:rsidRPr="008A1F40">
              <w:rPr>
                <w:rFonts w:cs="Times New Roman"/>
                <w:color w:val="000000" w:themeColor="text1"/>
                <w:sz w:val="16"/>
                <w:szCs w:val="16"/>
                <w:shd w:val="clear" w:color="auto" w:fill="FFFFFF"/>
              </w:rPr>
              <w:t>completed a theory of mind task)</w:t>
            </w:r>
          </w:p>
        </w:tc>
        <w:tc>
          <w:tcPr>
            <w:tcW w:w="4440" w:type="dxa"/>
            <w:shd w:val="clear" w:color="auto" w:fill="FFFFFF"/>
            <w:hideMark/>
          </w:tcPr>
          <w:p w14:paraId="40389909" w14:textId="5EA6B18B"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Associations between PUTS scores and brain activity during theory of mind tasks in right temporal-parietal junction (TPJ) (</w:t>
            </w:r>
            <w:r w:rsidRPr="008A1F40">
              <w:rPr>
                <w:rFonts w:cs="Times New Roman"/>
                <w:color w:val="000000" w:themeColor="text1"/>
                <w:sz w:val="16"/>
                <w:szCs w:val="16"/>
                <w:shd w:val="clear" w:color="auto" w:fill="FFFFFF"/>
              </w:rPr>
              <w:t>F = 13.02, p = 0.002)</w:t>
            </w:r>
            <w:r w:rsidRPr="008A1F40">
              <w:rPr>
                <w:rFonts w:eastAsia="Times New Roman" w:cs="Times New Roman"/>
                <w:color w:val="0D0D0D"/>
                <w:sz w:val="16"/>
                <w:szCs w:val="16"/>
              </w:rPr>
              <w:t xml:space="preserve"> and left (</w:t>
            </w:r>
            <w:r w:rsidRPr="008A1F40">
              <w:rPr>
                <w:rFonts w:cs="Times New Roman"/>
                <w:color w:val="000000" w:themeColor="text1"/>
                <w:sz w:val="16"/>
                <w:szCs w:val="16"/>
                <w:shd w:val="clear" w:color="auto" w:fill="FFFFFF"/>
              </w:rPr>
              <w:t xml:space="preserve">F = 6.46, p = 0.021) </w:t>
            </w:r>
            <w:r w:rsidR="00D0618E">
              <w:rPr>
                <w:rFonts w:eastAsia="Times New Roman" w:cs="Times New Roman"/>
                <w:color w:val="0D0D0D"/>
                <w:sz w:val="16"/>
                <w:szCs w:val="16"/>
              </w:rPr>
              <w:t>and</w:t>
            </w:r>
            <w:r w:rsidRPr="008A1F40">
              <w:rPr>
                <w:rFonts w:eastAsia="Times New Roman" w:cs="Times New Roman"/>
                <w:color w:val="0D0D0D"/>
                <w:sz w:val="16"/>
                <w:szCs w:val="16"/>
              </w:rPr>
              <w:t xml:space="preserve"> right (</w:t>
            </w:r>
            <w:r w:rsidRPr="008A1F40">
              <w:rPr>
                <w:rFonts w:cs="Times New Roman"/>
                <w:color w:val="000000" w:themeColor="text1"/>
                <w:sz w:val="16"/>
                <w:szCs w:val="16"/>
                <w:shd w:val="clear" w:color="auto" w:fill="FFFFFF"/>
              </w:rPr>
              <w:t>F = 10.30, p = 0.005</w:t>
            </w:r>
            <w:r w:rsidRPr="008A1F40">
              <w:rPr>
                <w:rFonts w:eastAsia="Times New Roman" w:cs="Times New Roman"/>
                <w:color w:val="0D0D0D"/>
                <w:sz w:val="16"/>
                <w:szCs w:val="16"/>
              </w:rPr>
              <w:t xml:space="preserve">) amygdalae </w:t>
            </w:r>
            <w:r w:rsidRPr="008A1F40">
              <w:rPr>
                <w:rFonts w:cs="Times New Roman"/>
                <w:color w:val="000000" w:themeColor="text1"/>
                <w:sz w:val="16"/>
                <w:szCs w:val="16"/>
                <w:shd w:val="clear" w:color="auto" w:fill="FFFFFF"/>
              </w:rPr>
              <w:t>but not left TPJ or right posterior cingulate</w:t>
            </w:r>
            <w:r w:rsidRPr="008A1F40">
              <w:rPr>
                <w:rFonts w:eastAsia="Times New Roman" w:cs="Times New Roman"/>
                <w:color w:val="0D0D0D"/>
                <w:sz w:val="16"/>
                <w:szCs w:val="16"/>
              </w:rPr>
              <w:t>.</w:t>
            </w:r>
          </w:p>
        </w:tc>
      </w:tr>
      <w:tr w:rsidR="00986E35" w:rsidRPr="008A1F40" w14:paraId="78DFDDD7" w14:textId="77777777" w:rsidTr="007F77D2">
        <w:trPr>
          <w:tblCellSpacing w:w="15" w:type="dxa"/>
        </w:trPr>
        <w:tc>
          <w:tcPr>
            <w:tcW w:w="0" w:type="auto"/>
            <w:shd w:val="clear" w:color="auto" w:fill="FFFFFF"/>
            <w:hideMark/>
          </w:tcPr>
          <w:p w14:paraId="682500D9" w14:textId="11AD3100"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Eddy et al (2017)</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zExODMxYWYtYjMwMy00MDc3LTg2OGEtMGUwZTY0OTA4YmNhIiwicHJvcGVydGllcyI6eyJub3RlSW5kZXgiOjB9LCJpc0VkaXRlZCI6ZmFsc2UsIm1hbnVhbE92ZXJyaWRlIjp7ImlzTWFudWFsbHlPdmVycmlkZGVuIjpmYWxzZSwiY2l0ZXByb2NUZXh0IjoiKDg2KSIsIm1hbnVhbE92ZXJyaWRlVGV4dCI6IiJ9LCJjaXRhdGlvbkl0ZW1zIjpbeyJpZCI6IjIxOGQ3ZDRiLWMzYjktMzliMC05ZGQyLWE0YmVmNzAzMjBhYSIsIml0ZW1EYXRhIjp7InR5cGUiOiJhcnRpY2xlLWpvdXJuYWwiLCJpZCI6IjIxOGQ3ZDRiLWMzYjktMzliMC05ZGQyLWE0YmVmNzAzMjBhYSIsInRpdGxlIjoiRW1wYXRoeSBhbmQgYXZlcnNpb246IHRoZSBuZXVyYWwgc2lnbmF0dXJlIG9mIG1lbnRhbGl6aW5nIGluIFRvdXJldHRlIHN5bmRyb21lIiwiZ3JvdXBJZCI6IjA3ZDYyYWMxLTVhYTgtMzlhZi1iNDllLTUyZDIwODhhYzU3MSIsImF1dGhvciI6W3siZmFtaWx5IjoiRWRkeSIsImdpdmVuIjoiQyBNIiwicGFyc2UtbmFtZXMiOmZhbHNlLCJkcm9wcGluZy1wYXJ0aWNsZSI6IiIsIm5vbi1kcm9wcGluZy1wYXJ0aWNsZSI6IiJ9LHsiZmFtaWx5IjoiQ2F2YW5uYSIsImdpdmVuIjoiQSBFIiwicGFyc2UtbmFtZXMiOmZhbHNlLCJkcm9wcGluZy1wYXJ0aWNsZSI6IiIsIm5vbi1kcm9wcGluZy1wYXJ0aWNsZSI6IiJ9LHsiZmFtaWx5IjoiSGFuc2VuIiwiZ2l2ZW4iOiJQIEMiLCJwYXJzZS1uYW1lcyI6ZmFsc2UsImRyb3BwaW5nLXBhcnRpY2xlIjoiIiwibm9uLWRyb3BwaW5nLXBhcnRpY2xlIjoiIn1dLCJjb250YWluZXItdGl0bGUiOiJQc3ljaG9sb2dpY2FsIG1lZGljaW5lIiwiRE9JIjoiaHR0cHM6Ly9keC5kb2kub3JnLzEwLjEwMTcvUzAwMzMyOTE3MTYwMDI3MjUiLCJVUkwiOiJodHRwOi8vb3ZpZHNwLm92aWQuY29tL292aWR3ZWIuY2dpP1Q9SlMmUEFHRT1yZWZlcmVuY2UmRD1lbWVkMTgmTkVXUz1OJkFOPTYxOTcwNjYxOCIsImlzc3VlZCI6eyJkYXRlLXBhcnRzIjpbWzIwMTddXX0sInBhZ2UiOiI1MDctNTE3IiwiYWJzdHJhY3QiOiJCQUNLR1JPVU5EOiBQcmV2aW91cyBzdHVkaWVzIHN1Z2dlc3QgdGhhdCBhZHVsdHMgd2l0aCBUb3VyZXR0ZSBzeW5kcm9tZSAoVFMpIGNhbiByZXNwb25kIHVuY29udmVudGlvbmFsbHkgb24gdGFza3MgaW52b2x2aW5nIHNvY2lhbCBjb2duaXRpb24uIFdlIHRoZXJlZm9yZSBoeXBvdGhlc2l6ZWQgdGhhdCB0aGVzZSBwYXRpZW50cyB3b3VsZCBleGhpYml0IGRpZmZlcmVudCBuZXVyYWwgcmVzcG9uc2VzIHRvIGhlYWx0aHkgY29udHJvbHMgaW4gcmVzcG9uc2UgdG8gZW1vdGlvbmFsbHkgc2FsaWVudCBleHByZXNzaW9ucyBvZiBodW1hbiBleWVzLiwgTUVUSE9EOiBUd2VudHktZml2ZSBhZHVsdHMgd2l0aCBUUyBhbmQgMjUgbWF0Y2hlZCBoZWFsdGh5IGNvbnRyb2xzIHdlcmUgc2Nhbm5lZCB1c2luZyBmTVJJIGR1cmluZyB0aGUgc3RhbmRhcmQgdmVyc2lvbiBvZiB0aGUgUmVhZGluZyB0aGUgTWluZCBpbiB0aGUgRXllcyBUYXNrIHdoaWNoIHJlcXVpcmVzIG1lbnRhbCBzdGF0ZSBqdWRnZW1lbnRzLCBhbmQgYSBub3ZlbCBjb21wYXJpc29uIHZlcnNpb24gcmVxdWlyaW5nIGp1ZGdlbWVudHMgYWJvdXQgYWdlLiwgUkVTVUxUUzogRHVyaW5nIHByb21wdGVkIG1lbnRhbCBzdGF0ZSByZWNvZ25pdGlvbiwgZ3JlYXRlciBhY3Rpdml0eSB3YXMgYXBwYXJlbnQgaW4gVFMgd2l0aGluIGxlZnQgb3JiaXRvZnJvbnRhbCBjb3J0ZXgsIHBvc3RlcmlvciBjaW5ndWxhdGUsIHJpZ2h0IGFteWdkYWxhIGFuZCByaWdodCB0ZW1wb3JvLXBhcmlldGFsIGp1bmN0aW9uIChUUEopLCB3aGlsZSByZWR1Y2VkIGFjdGl2aXR5IHdhcyBhcHBhcmVudCBpbiByZWdpb25zIGluY2x1ZGluZyBsZWZ0IGluZmVyaW9yIHBhcmlldGFsIGNvcnRleC4gQWdlIGp1ZGdlbWVudCBlbGljaXRlZCBncmVhdGVyIGFjdGl2aXR5IGluIFRTIHdpdGhpbiBwcmVjdW5ldXMsIG1lZGlhbCBwcmVmcm9udGFsIGFuZCB0ZW1wb3JhbCByZWdpb25zIGludm9sdmVkIGluIG1lbnRhbGl6aW5nLiBUaGUgaW50ZXJhY3Rpb24gYmV0d2VlbiBncm91cCBhbmQgdGFzayByZXZlYWxlZCBkaWZmZXJlbnRpYWwgYWN0aXZpdHkgaW4gYXJlYXMgaW5jbHVkaW5nIHJpZ2h0IGluZmVyaW9yIGZyb250YWwgZ3lydXMuIFRhc2stcmVsYXRlZCBhY3Rpdml0eSBpbiB0aGUgVFBKIGNvdmFyaWVkIHdpdGggZ2xvYmFsIHJhdGluZ3Mgb2YgdGhlIHVyZ2UgdG8gdGljLiwgQ09OQ0xVU0lPTlM6IFdoaWxlIHJlY29nbml6aW5nIG1lbnRhbCBzdGF0ZXMsIGFkdWx0cyB3aXRoIFRTIGV4aGliaXQgZ3JlYXRlciBhY3Rpdml0eSB0aGFuIGNvbnRyb2xzIGluIGJyYWluIGFyZWFzIGludm9sdmVkIGluIHRoZSBwcm9jZXNzaW5nIG9mIG5lZ2F0aXZlIGVtb3Rpb24sIGluIGFkZGl0aW9uIHRvIHJlZHVjZWQgYWN0aXZpdHkgaW4gcmVnaW9ucyBhc3NvY2lhdGVkIHdpdGggdGhlIGF0dHJpYnV0aW9uIG9mIGFnZW5jeS4gSW4gYWRkaXRpb24sIGluY3JlYXNlZCByZWNydWl0bWVudCBvZiBhcmVhcyBpbnZvbHZlZCBpbiBtZW50YWwgc3RhdGUgcmVhc29uaW5nIGlzIGFwcGFyZW50IGluIHRoZXNlIHBhdGllbnRzIHdoZW4gbWVudGFsaXppbmcgaXMgbm90IGEgdGFzayByZXF1aXJlbWVudC4gT3VyIGZpbmRpbmdzIGhpZ2hsaWdodCBkaWZmZXJlbnRpYWwgbmV1cmFsIHJlYWN0aXZpdHkgaW4gcmVzcG9uc2UgdG8gZW1vdGl2ZSBzb2NpYWwgY3VlcyBpbiBUUywgd2hpY2ggbWF5IGludGVyYWN0IHdpdGggdGljIGV4cHJlc3Npb24uIiwiaXNzdWUiOiIzIiwidm9sdW1lIjoiNDciLCJjb250YWluZXItdGl0bGUtc2hvcnQiOiJQc3ljaG9sIE1lZCJ9LCJpc1RlbXBvcmFyeSI6ZmFsc2V9XX0="/>
                <w:id w:val="1611696794"/>
                <w:placeholder>
                  <w:docPart w:val="DefaultPlaceholder_-1854013440"/>
                </w:placeholder>
              </w:sdtPr>
              <w:sdtContent>
                <w:r w:rsidR="00F04E9F" w:rsidRPr="00F04E9F">
                  <w:rPr>
                    <w:rFonts w:eastAsia="Times New Roman" w:cs="Times New Roman"/>
                    <w:color w:val="000000"/>
                    <w:sz w:val="16"/>
                    <w:szCs w:val="16"/>
                  </w:rPr>
                  <w:t>(86)</w:t>
                </w:r>
              </w:sdtContent>
            </w:sdt>
          </w:p>
        </w:tc>
        <w:tc>
          <w:tcPr>
            <w:tcW w:w="0" w:type="auto"/>
            <w:shd w:val="clear" w:color="auto" w:fill="FFFFFF"/>
            <w:hideMark/>
          </w:tcPr>
          <w:p w14:paraId="6E9E7F90"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25 adults with TS (same sample as Eddy et al 2016)</w:t>
            </w:r>
          </w:p>
        </w:tc>
        <w:tc>
          <w:tcPr>
            <w:tcW w:w="1920" w:type="dxa"/>
            <w:shd w:val="clear" w:color="auto" w:fill="FFFFFF"/>
            <w:hideMark/>
          </w:tcPr>
          <w:p w14:paraId="5190A562"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fMRI (while </w:t>
            </w:r>
            <w:r w:rsidRPr="008A1F40">
              <w:rPr>
                <w:rFonts w:cs="Times New Roman"/>
                <w:color w:val="000000" w:themeColor="text1"/>
                <w:sz w:val="16"/>
                <w:szCs w:val="16"/>
                <w:shd w:val="clear" w:color="auto" w:fill="FFFFFF"/>
              </w:rPr>
              <w:t>participants completed a “reading the eyes” task)</w:t>
            </w:r>
          </w:p>
        </w:tc>
        <w:tc>
          <w:tcPr>
            <w:tcW w:w="4440" w:type="dxa"/>
            <w:shd w:val="clear" w:color="auto" w:fill="FFFFFF"/>
            <w:hideMark/>
          </w:tcPr>
          <w:p w14:paraId="352573FF" w14:textId="706B545A"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shd w:val="clear" w:color="auto" w:fill="FFFFFF"/>
              </w:rPr>
              <w:t>PUTS scores were associated with greater activity in the right (</w:t>
            </w:r>
            <w:r w:rsidR="00411F7D">
              <w:rPr>
                <w:rFonts w:cs="Times New Roman"/>
                <w:color w:val="000000" w:themeColor="text1"/>
                <w:sz w:val="16"/>
                <w:szCs w:val="16"/>
                <w:shd w:val="clear" w:color="auto" w:fill="FFFFFF"/>
              </w:rPr>
              <w:t xml:space="preserve">t = 2.91, </w:t>
            </w:r>
            <w:r w:rsidRPr="008A1F40">
              <w:rPr>
                <w:rFonts w:cs="Times New Roman"/>
                <w:color w:val="000000" w:themeColor="text1"/>
                <w:sz w:val="16"/>
                <w:szCs w:val="16"/>
                <w:shd w:val="clear" w:color="auto" w:fill="FFFFFF"/>
              </w:rPr>
              <w:t>p = 0.009) and left TPJ (</w:t>
            </w:r>
            <w:r w:rsidR="00411F7D">
              <w:rPr>
                <w:rFonts w:cs="Times New Roman"/>
                <w:color w:val="000000" w:themeColor="text1"/>
                <w:sz w:val="16"/>
                <w:szCs w:val="16"/>
                <w:shd w:val="clear" w:color="auto" w:fill="FFFFFF"/>
              </w:rPr>
              <w:t xml:space="preserve">t = 2.23, p = </w:t>
            </w:r>
            <w:r w:rsidRPr="008A1F40">
              <w:rPr>
                <w:rFonts w:cs="Times New Roman"/>
                <w:color w:val="000000" w:themeColor="text1"/>
                <w:sz w:val="16"/>
                <w:szCs w:val="16"/>
                <w:shd w:val="clear" w:color="auto" w:fill="FFFFFF"/>
              </w:rPr>
              <w:t>0.037) during the task, but no significant association was found between PUTS scores and left or right amygdalae activity during the task</w:t>
            </w:r>
          </w:p>
        </w:tc>
      </w:tr>
      <w:tr w:rsidR="00986E35" w:rsidRPr="008A1F40" w14:paraId="23009047" w14:textId="77777777" w:rsidTr="007F77D2">
        <w:trPr>
          <w:tblCellSpacing w:w="15" w:type="dxa"/>
        </w:trPr>
        <w:tc>
          <w:tcPr>
            <w:tcW w:w="0" w:type="auto"/>
            <w:shd w:val="clear" w:color="auto" w:fill="FFFFFF"/>
            <w:hideMark/>
          </w:tcPr>
          <w:p w14:paraId="3F4E8A00" w14:textId="6A048F58"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Deckersbach et al (2014)</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2VkMWI2NjUtMTE1NC00MWE4LWI2MzAtZTMzMjczNDM0NjlkIiwicHJvcGVydGllcyI6eyJub3RlSW5kZXgiOjB9LCJpc0VkaXRlZCI6ZmFsc2UsIm1hbnVhbE92ZXJyaWRlIjp7ImlzTWFudWFsbHlPdmVycmlkZGVuIjpmYWxzZSwiY2l0ZXByb2NUZXh0IjoiKDU5KSIsIm1hbnVhbE92ZXJyaWRlVGV4dCI6IiJ9LCJjaXRhdGlvbkl0ZW1zIjpbeyJpZCI6IjAyOTc5MDNlLWMxNzEtMzI4OS1hODcxLTk2MWQ1ZTYzMGIwMyIsIml0ZW1EYXRhIjp7InR5cGUiOiJhcnRpY2xlLWpvdXJuYWwiLCJpZCI6IjAyOTc5MDNlLWMxNzEtMzI4OS1hODcxLTk2MWQ1ZTYzMGIwMyIsInRpdGxlIjoiTmV1cmFsIGNvcnJlbGF0ZXMgb2YgYmVoYXZpb3IgdGhlcmFweSBmb3IgVG91cmV0dGUncyBkaXNvcmRlciIsImdyb3VwSWQiOiIwN2Q2MmFjMS01YWE4LTM5YWYtYjQ5ZS01MmQyMDg4YWM1NzEiLCJhdXRob3IiOlt7ImZhbWlseSI6IkRlY2tlcnNiYWNoIiwiZ2l2ZW4iOiJUIiwicGFyc2UtbmFtZXMiOmZhbHNlLCJkcm9wcGluZy1wYXJ0aWNsZSI6IiIsIm5vbi1kcm9wcGluZy1wYXJ0aWNsZSI6IiJ9LHsiZmFtaWx5IjoiQ2hvdSIsImdpdmVuIjoiVCIsInBhcnNlLW5hbWVzIjpmYWxzZSwiZHJvcHBpbmctcGFydGljbGUiOiIiLCJub24tZHJvcHBpbmctcGFydGljbGUiOiIifSx7ImZhbWlseSI6IkJyaXR0b24iLCJnaXZlbiI6IkogQyIsInBhcnNlLW5hbWVzIjpmYWxzZSwiZHJvcHBpbmctcGFydGljbGUiOiIiLCJub24tZHJvcHBpbmctcGFydGljbGUiOiIifSx7ImZhbWlseSI6IkNhcmxzb24iLCJnaXZlbiI6IkwgRSIsInBhcnNlLW5hbWVzIjpmYWxzZSwiZHJvcHBpbmctcGFydGljbGUiOiIiLCJub24tZHJvcHBpbmctcGFydGljbGUiOiIifSx7ImZhbWlseSI6IlJlZXNlIiwiZ2l2ZW4iOiJIIEUiLCJwYXJzZS1uYW1lcyI6ZmFsc2UsImRyb3BwaW5nLXBhcnRpY2xlIjoiIiwibm9uLWRyb3BwaW5nLXBhcnRpY2xlIjoiIn0seyJmYW1pbHkiOiJTaWV2IiwiZ2l2ZW4iOiJKIiwicGFyc2UtbmFtZXMiOmZhbHNlLCJkcm9wcGluZy1wYXJ0aWNsZSI6IiIsIm5vbi1kcm9wcGluZy1wYXJ0aWNsZSI6IiJ9LHsiZmFtaWx5IjoiU2NhaGlsbCIsImdpdmVuIjoiTCIsInBhcnNlLW5hbWVzIjpmYWxzZSwiZHJvcHBpbmctcGFydGljbGUiOiIiLCJub24tZHJvcHBpbmctcGFydGljbGUiOiIifSx7ImZhbWlseSI6IlBpYWNlbnRpbmkiLCJnaXZlbiI6IkogQyIsInBhcnNlLW5hbWVzIjpmYWxzZSwiZHJvcHBpbmctcGFydGljbGUiOiIiLCJub24tZHJvcHBpbmctcGFydGljbGUiOiIifSx7ImZhbWlseSI6Ildvb2RzIiwiZ2l2ZW4iOiJEIFciLCJwYXJzZS1uYW1lcyI6ZmFsc2UsImRyb3BwaW5nLXBhcnRpY2xlIjoiIiwibm9uLWRyb3BwaW5nLXBhcnRpY2xlIjoiIn0seyJmYW1pbHkiOiJXYWxrdXAiLCJnaXZlbiI6IkogVCIsInBhcnNlLW5hbWVzIjpmYWxzZSwiZHJvcHBpbmctcGFydGljbGUiOiIiLCJub24tZHJvcHBpbmctcGFydGljbGUiOiIifSx7ImZhbWlseSI6IlBldGVyc29uIiwiZ2l2ZW4iOiJBIEwiLCJwYXJzZS1uYW1lcyI6ZmFsc2UsImRyb3BwaW5nLXBhcnRpY2xlIjoiIiwibm9uLWRyb3BwaW5nLXBhcnRpY2xlIjoiIn0seyJmYW1pbHkiOiJEb3VnaGVydHkiLCJnaXZlbiI6IkQgRCIsInBhcnNlLW5hbWVzIjpmYWxzZSwiZHJvcHBpbmctcGFydGljbGUiOiIiLCJub24tZHJvcHBpbmctcGFydGljbGUiOiIifSx7ImZhbWlseSI6IldpbGhlbG0iLCJnaXZlbiI6IlMiLCJwYXJzZS1uYW1lcyI6ZmFsc2UsImRyb3BwaW5nLXBhcnRpY2xlIjoiIiwibm9uLWRyb3BwaW5nLXBhcnRpY2xlIjoiIn1dLCJjb250YWluZXItdGl0bGUiOiJQc3ljaGlhdHJ5IFJlcyIsIkRPSSI6IjEwLjEwMTYvai5wc2N5Y2hyZXNucy4yMDE0LjA5LjAwMyIsIlBNSUQiOiIyNTQ0NDUzNSIsImlzc3VlZCI6eyJkYXRlLXBhcnRzIjpbWzIwMTRdXX0sInBhZ2UiOiIyNjktMjc0IiwiYWJzdHJhY3QiOiJUb3VyZXR0ZSdzIGRpc29yZGVyLCBhbHNvIGNhbGxlZCBUb3VyZXR0ZSBzeW5kcm9tZSAoVFMpLCBpcyBjaGFyYWN0ZXJpemVkIGJ5IG1vdG9yIGFuZCB2b2NhbCB0aWNzIHRoYXQgY2FuIGNhdXNlIHNpZ25pZmljYW50IGltcGFpcm1lbnQgaW4gZGFpbHkgZnVuY3Rpb25pbmcuIFRpY3MgYXJlIGJlbGlldmVkIHRvIGJlIGR1ZSB0byBmYWlsZWQgaW5oaWJpdGlvbiBvZiBib3RoIGFzc29jaWF0aXZlIGFuZCBtb3RvciBjb3J0aWNvLXN0cmlhdG8tdGhhbGFtby1jb3J0aWNhbCBwYXRod2F5cy4gQ29tcHJlaGVuc2l2ZSBCZWhhdmlvcmFsIEludGVydmVudGlvbiBmb3IgVGljcyAoQ0JJVCksIHdoaWNoIGlzIGFuIGV4dGVuc2lvbiBvZiBIYWJpdCBSZXZlcnNhbCBUaGVyYXB5IChIUlQpLCB0ZWFjaGVzIHBhdGllbnRzIHRvIGJlY29tZSBtb3JlIGF3YXJlIG9mIHNlbnNhdGlvbnMgdGhhdCByZWxpYWJseSBwcmVjZWRlIHRpY3MgKHByZW1vbml0b3J5IHVyZ2VzKSBhbmQgdG8gaW5pdGlhdGUgY29tcGV0aW5nIG1vdmVtZW50cyB0aGF0IGluaGliaXQgdGhlIG9jY3VycmVuY2Ugb2YgdGljcy4gSW4gdGhpcyBzdHVkeSwgd2UgdXNlZCBmdW5jdGlvbmFsIG1hZ25ldGljIHJlc29uYW5jZSBpbWFnaW5nIChmTVJJKSB0byBpbnZlc3RpZ2F0ZSB0aGUgbmV1cmFsIGNoYW5nZXMgYXNzb2NpYXRlZCB3aXRoIENCSVQgdHJlYXRtZW50IGluIHN1YmplY3RzIHdpdGggVFMuIEVpZ2h0IHN1YmplY3RzIHdpdGggVFMgd2VyZSBtYXRjaGVkIHdpdGggZWlnaHQgaGVhbHRoeSBjb250cm9scyBpbiBnZW5kZXIsIGVkdWNhdGlvbiwgYWdlLCBhbmQgaGFuZGVkbmVzcy4gU3ViamVjdHMgY29tcGxldGVkIHRoZSBWaXN1b3NwYXRpYWwgUHJpbWluZyAoVlNQKSB0YXNrLCBhIG1lYXN1cmUgb2YgcmVzcG9uc2UgaW5oaWJpdGlvbiwgZHVyaW5nIGZNUkkgc2Nhbm5pbmcgYmVmb3JlIGFuZCBhZnRlciBDQklUIHRyZWF0bWVudCAob3Igd2FpdGluZyBwZXJpb2QgZm9yIGNvbnRyb2xzKS4gRm9yIFRTIHN1YmplY3RzLCB3ZSBmb3VuZCBhIHNpZ25pZmljYW50IGRlY3JlYXNlIGluIHN0cmlhdGFsIChwdXRhbWVuKSBhY3RpdmF0aW9uIGZyb20gcHJlLSB0byBwb3N0LXRyZWF0bWVudC4gQ2hhbmdlIGluIFZTUCB0YXNrLXJlbGF0ZWQgYWN0aXZhdGlvbiBmcm9tIHByZS0gdG8gcG9zdC10cmVhdG1lbnQgaW4gQnJvZG1hbm4ncyBhcmVhIDQ3ICh0aGUgaW5mZXJpb3IgZnJvbnRhbCBneXJ1cykgd2FzIG5lZ2F0aXZlbHkgY29ycmVsYXRlZCB3aXRoIGNoYW5nZXMgaW4gdGljIHNldmVyaXR5LiBDQklUIG1heSBwcm9tb3RlIG5vcm1hbGl6YXRpb24gb2YgYWJlcnJhbnQgY29ydGljby1zdHJpYXRvLXRoYWxhbW8tY29ydGljYWwgYXNzb2NpYXRpdmUgYW5kIG1vdG9yIHBhdGh3YXlzIGluIGluZGl2aWR1YWxzIHdpdGggVFMuIiwiaXNzdWUiOiIzIiwidm9sdW1lIjoiMjI0IiwiY29udGFpbmVyLXRpdGxlLXNob3J0IjoiIn0sImlzVGVtcG9yYXJ5IjpmYWxzZX1dfQ=="/>
                <w:id w:val="-251210948"/>
                <w:placeholder>
                  <w:docPart w:val="DefaultPlaceholder_-1854013440"/>
                </w:placeholder>
              </w:sdtPr>
              <w:sdtContent>
                <w:r w:rsidR="00F04E9F" w:rsidRPr="00F04E9F">
                  <w:rPr>
                    <w:rFonts w:eastAsia="Times New Roman" w:cs="Times New Roman"/>
                    <w:color w:val="000000"/>
                    <w:sz w:val="16"/>
                    <w:szCs w:val="16"/>
                  </w:rPr>
                  <w:t>(59)</w:t>
                </w:r>
              </w:sdtContent>
            </w:sdt>
          </w:p>
        </w:tc>
        <w:tc>
          <w:tcPr>
            <w:tcW w:w="0" w:type="auto"/>
            <w:shd w:val="clear" w:color="auto" w:fill="FFFFFF"/>
            <w:hideMark/>
          </w:tcPr>
          <w:p w14:paraId="4310F672" w14:textId="344D330E" w:rsidR="00986E35" w:rsidRPr="008A1F40" w:rsidRDefault="007C3B1F" w:rsidP="007F77D2">
            <w:pPr>
              <w:rPr>
                <w:rFonts w:eastAsia="Times New Roman" w:cs="Times New Roman"/>
                <w:color w:val="0D0D0D"/>
                <w:sz w:val="16"/>
                <w:szCs w:val="16"/>
              </w:rPr>
            </w:pPr>
            <w:r>
              <w:rPr>
                <w:rFonts w:eastAsia="Times New Roman" w:cs="Times New Roman"/>
                <w:color w:val="0D0D0D"/>
                <w:sz w:val="16"/>
                <w:szCs w:val="16"/>
              </w:rPr>
              <w:t>8</w:t>
            </w:r>
            <w:r w:rsidR="00986E35" w:rsidRPr="008A1F40">
              <w:rPr>
                <w:rFonts w:eastAsia="Times New Roman" w:cs="Times New Roman"/>
                <w:color w:val="0D0D0D"/>
                <w:sz w:val="16"/>
                <w:szCs w:val="16"/>
              </w:rPr>
              <w:t xml:space="preserve"> adults with TS</w:t>
            </w:r>
          </w:p>
        </w:tc>
        <w:tc>
          <w:tcPr>
            <w:tcW w:w="1920" w:type="dxa"/>
            <w:shd w:val="clear" w:color="auto" w:fill="FFFFFF"/>
            <w:hideMark/>
          </w:tcPr>
          <w:p w14:paraId="7CCB4216" w14:textId="3F9B3B23"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fMRI (while </w:t>
            </w:r>
            <w:r w:rsidRPr="008A1F40">
              <w:rPr>
                <w:rFonts w:cs="Times New Roman"/>
                <w:color w:val="000000" w:themeColor="text1"/>
                <w:sz w:val="16"/>
                <w:szCs w:val="16"/>
                <w:shd w:val="clear" w:color="auto" w:fill="FFFFFF"/>
              </w:rPr>
              <w:t>participants completed a visuospatial priming task that “</w:t>
            </w:r>
            <w:r w:rsidRPr="008A1F40">
              <w:rPr>
                <w:rFonts w:cs="Times New Roman"/>
                <w:color w:val="000000" w:themeColor="text1"/>
                <w:sz w:val="16"/>
                <w:szCs w:val="16"/>
              </w:rPr>
              <w:t xml:space="preserve">assesses the effects of an inhibitory or </w:t>
            </w:r>
            <w:r w:rsidR="005334C3" w:rsidRPr="008A1F40">
              <w:rPr>
                <w:rFonts w:cs="Times New Roman"/>
                <w:color w:val="000000" w:themeColor="text1"/>
                <w:sz w:val="16"/>
                <w:szCs w:val="16"/>
              </w:rPr>
              <w:t>faciliatory</w:t>
            </w:r>
            <w:r w:rsidRPr="008A1F40">
              <w:rPr>
                <w:rFonts w:cs="Times New Roman"/>
                <w:color w:val="000000" w:themeColor="text1"/>
                <w:sz w:val="16"/>
                <w:szCs w:val="16"/>
              </w:rPr>
              <w:t xml:space="preserve"> ‘prime’ on the reactions to a subsequently presented probe”) – PUTS and fMRI task completed before and after 10 weeks of CBIT</w:t>
            </w:r>
          </w:p>
        </w:tc>
        <w:tc>
          <w:tcPr>
            <w:tcW w:w="4440" w:type="dxa"/>
            <w:shd w:val="clear" w:color="auto" w:fill="FFFFFF"/>
            <w:hideMark/>
          </w:tcPr>
          <w:p w14:paraId="1CB33B8F" w14:textId="538BC69F"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Prior to CBIT, task</w:t>
            </w:r>
            <w:r w:rsidR="002E433F">
              <w:rPr>
                <w:rFonts w:cs="Times New Roman"/>
                <w:color w:val="000000" w:themeColor="text1"/>
                <w:sz w:val="16"/>
                <w:szCs w:val="16"/>
              </w:rPr>
              <w:t>-</w:t>
            </w:r>
            <w:r w:rsidRPr="008A1F40">
              <w:rPr>
                <w:rFonts w:cs="Times New Roman"/>
                <w:color w:val="000000" w:themeColor="text1"/>
                <w:sz w:val="16"/>
                <w:szCs w:val="16"/>
              </w:rPr>
              <w:t>related activation in the superior temporal gyrus was negatively correlated with PUTS scores (Pearson’s r = -0.97, p &lt; 0.001). The change in PUTS score from pre</w:t>
            </w:r>
            <w:r w:rsidR="007F3E7F">
              <w:rPr>
                <w:rFonts w:cs="Times New Roman"/>
                <w:color w:val="000000" w:themeColor="text1"/>
                <w:sz w:val="16"/>
                <w:szCs w:val="16"/>
              </w:rPr>
              <w:t>-</w:t>
            </w:r>
            <w:r w:rsidRPr="008A1F40">
              <w:rPr>
                <w:rFonts w:cs="Times New Roman"/>
                <w:color w:val="000000" w:themeColor="text1"/>
                <w:sz w:val="16"/>
                <w:szCs w:val="16"/>
              </w:rPr>
              <w:t xml:space="preserve"> to post</w:t>
            </w:r>
            <w:r w:rsidR="007F3E7F">
              <w:rPr>
                <w:rFonts w:cs="Times New Roman"/>
                <w:color w:val="000000" w:themeColor="text1"/>
                <w:sz w:val="16"/>
                <w:szCs w:val="16"/>
              </w:rPr>
              <w:t>-</w:t>
            </w:r>
            <w:r w:rsidRPr="008A1F40">
              <w:rPr>
                <w:rFonts w:cs="Times New Roman"/>
                <w:color w:val="000000" w:themeColor="text1"/>
                <w:sz w:val="16"/>
                <w:szCs w:val="16"/>
              </w:rPr>
              <w:t xml:space="preserve"> CBIT did not significantly correlate with the change in task</w:t>
            </w:r>
            <w:r w:rsidR="003F097C">
              <w:rPr>
                <w:rFonts w:cs="Times New Roman"/>
                <w:color w:val="000000" w:themeColor="text1"/>
                <w:sz w:val="16"/>
                <w:szCs w:val="16"/>
              </w:rPr>
              <w:t>-</w:t>
            </w:r>
            <w:r w:rsidRPr="008A1F40">
              <w:rPr>
                <w:rFonts w:cs="Times New Roman"/>
                <w:color w:val="000000" w:themeColor="text1"/>
                <w:sz w:val="16"/>
                <w:szCs w:val="16"/>
              </w:rPr>
              <w:t>related activation from pre</w:t>
            </w:r>
            <w:r w:rsidR="004A278A">
              <w:rPr>
                <w:rFonts w:cs="Times New Roman"/>
                <w:color w:val="000000" w:themeColor="text1"/>
                <w:sz w:val="16"/>
                <w:szCs w:val="16"/>
              </w:rPr>
              <w:t>-</w:t>
            </w:r>
            <w:r w:rsidRPr="008A1F40">
              <w:rPr>
                <w:rFonts w:cs="Times New Roman"/>
                <w:color w:val="000000" w:themeColor="text1"/>
                <w:sz w:val="16"/>
                <w:szCs w:val="16"/>
              </w:rPr>
              <w:t xml:space="preserve"> to post</w:t>
            </w:r>
            <w:r w:rsidR="004A278A">
              <w:rPr>
                <w:rFonts w:cs="Times New Roman"/>
                <w:color w:val="000000" w:themeColor="text1"/>
                <w:sz w:val="16"/>
                <w:szCs w:val="16"/>
              </w:rPr>
              <w:t>-</w:t>
            </w:r>
            <w:r w:rsidRPr="008A1F40">
              <w:rPr>
                <w:rFonts w:cs="Times New Roman"/>
                <w:color w:val="000000" w:themeColor="text1"/>
                <w:sz w:val="16"/>
                <w:szCs w:val="16"/>
              </w:rPr>
              <w:t xml:space="preserve"> CBIT. Pre</w:t>
            </w:r>
            <w:r w:rsidR="0000642B">
              <w:rPr>
                <w:rFonts w:cs="Times New Roman"/>
                <w:color w:val="000000" w:themeColor="text1"/>
                <w:sz w:val="16"/>
                <w:szCs w:val="16"/>
              </w:rPr>
              <w:t>-</w:t>
            </w:r>
            <w:r w:rsidRPr="008A1F40">
              <w:rPr>
                <w:rFonts w:cs="Times New Roman"/>
                <w:color w:val="000000" w:themeColor="text1"/>
                <w:sz w:val="16"/>
                <w:szCs w:val="16"/>
              </w:rPr>
              <w:t>CBIT</w:t>
            </w:r>
            <w:r w:rsidR="0000642B">
              <w:rPr>
                <w:rFonts w:cs="Times New Roman"/>
                <w:color w:val="000000" w:themeColor="text1"/>
                <w:sz w:val="16"/>
                <w:szCs w:val="16"/>
              </w:rPr>
              <w:t xml:space="preserve"> </w:t>
            </w:r>
            <w:r w:rsidRPr="008A1F40">
              <w:rPr>
                <w:rFonts w:cs="Times New Roman"/>
                <w:color w:val="000000" w:themeColor="text1"/>
                <w:sz w:val="16"/>
                <w:szCs w:val="16"/>
              </w:rPr>
              <w:t>PUTS scores were not significantly correlated with change in task</w:t>
            </w:r>
            <w:r w:rsidR="00C50589">
              <w:rPr>
                <w:rFonts w:cs="Times New Roman"/>
                <w:color w:val="000000" w:themeColor="text1"/>
                <w:sz w:val="16"/>
                <w:szCs w:val="16"/>
              </w:rPr>
              <w:t>-</w:t>
            </w:r>
            <w:r w:rsidRPr="008A1F40">
              <w:rPr>
                <w:rFonts w:cs="Times New Roman"/>
                <w:color w:val="000000" w:themeColor="text1"/>
                <w:sz w:val="16"/>
                <w:szCs w:val="16"/>
              </w:rPr>
              <w:t xml:space="preserve">related activation in five </w:t>
            </w:r>
            <w:r w:rsidRPr="00413781">
              <w:rPr>
                <w:rFonts w:cs="Times New Roman"/>
                <w:i/>
                <w:iCs/>
                <w:color w:val="000000" w:themeColor="text1"/>
                <w:sz w:val="16"/>
                <w:szCs w:val="16"/>
              </w:rPr>
              <w:t>a priori</w:t>
            </w:r>
            <w:r w:rsidRPr="008A1F40">
              <w:rPr>
                <w:rFonts w:cs="Times New Roman"/>
                <w:color w:val="000000" w:themeColor="text1"/>
                <w:sz w:val="16"/>
                <w:szCs w:val="16"/>
              </w:rPr>
              <w:t xml:space="preserve"> regions of interest (Brodmann's area 11, 44, 47, caudate and putamen)</w:t>
            </w:r>
          </w:p>
        </w:tc>
      </w:tr>
      <w:tr w:rsidR="00986E35" w:rsidRPr="008A1F40" w14:paraId="753B3019" w14:textId="77777777" w:rsidTr="007F77D2">
        <w:trPr>
          <w:tblCellSpacing w:w="15" w:type="dxa"/>
        </w:trPr>
        <w:tc>
          <w:tcPr>
            <w:tcW w:w="0" w:type="auto"/>
            <w:shd w:val="clear" w:color="auto" w:fill="FFFFFF"/>
          </w:tcPr>
          <w:p w14:paraId="67ABB787" w14:textId="5AD83EFB"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Rae et al (2020)</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ZDAyMjAyOTMtNGZkNS00YTJkLWE2MDgtMTU4OTRkMzU1ZWFhIiwicHJvcGVydGllcyI6eyJub3RlSW5kZXgiOjB9LCJpc0VkaXRlZCI6ZmFsc2UsIm1hbnVhbE92ZXJyaWRlIjp7ImlzTWFudWFsbHlPdmVycmlkZGVuIjpmYWxzZSwiY2l0ZXByb2NUZXh0IjoiKDg3KSIsIm1hbnVhbE92ZXJyaWRlVGV4dCI6IiJ9LCJjaXRhdGlvbkl0ZW1zIjpbeyJpZCI6IjE2ODY0YmExLTIxNWItM2Q2MS1hMDkwLTQyZTg5MmE3M2M5ZiIsIml0ZW1EYXRhIjp7InR5cGUiOiJhcnRpY2xlLWpvdXJuYWwiLCJpZCI6IjE2ODY0YmExLTIxNWItM2Q2MS1hMDkwLTQyZTg5MmE3M2M5ZiIsInRpdGxlIjoiQW1wbGlmaWVkIGVuZ2FnZW1lbnQgb2YgcHJlZnJvbnRhbCBjb3J0ZXggZHVyaW5nIGNvbnRyb2wgb2Ygdm9sdW50YXJ5IGFjdGlvbiBpbiBUb3VyZXR0ZSBzeW5kcm9tZSIsImdyb3VwSWQiOiIwN2Q2MmFjMS01YWE4LTM5YWYtYjQ5ZS01MmQyMDg4YWM1NzEiLCJhdXRob3IiOlt7ImZhbWlseSI6IlJhZSIsImdpdmVuIjoiQ2hhcmxvdHRlIEwiLCJwYXJzZS1uYW1lcyI6ZmFsc2UsImRyb3BwaW5nLXBhcnRpY2xlIjoiIiwibm9uLWRyb3BwaW5nLXBhcnRpY2xlIjoiIn0seyJmYW1pbHkiOiJQYXJraW5zb24iLCJnaXZlbiI6IkppbSIsInBhcnNlLW5hbWVzIjpmYWxzZSwiZHJvcHBpbmctcGFydGljbGUiOiIiLCJub24tZHJvcHBpbmctcGFydGljbGUiOiIifSx7ImZhbWlseSI6IkJldGthIiwiZ2l2ZW4iOiJTb3BoaWUiLCJwYXJzZS1uYW1lcyI6ZmFsc2UsImRyb3BwaW5nLXBhcnRpY2xlIjoiIiwibm9uLWRyb3BwaW5nLXBhcnRpY2xlIjoiIn0seyJmYW1pbHkiOiJHb3VsZHZhbiBQcmFhZyIsImdpdmVuIjoiQ2Fzc2FuZHJhIEQiLCJwYXJzZS1uYW1lcyI6ZmFsc2UsImRyb3BwaW5nLXBhcnRpY2xlIjoiIiwibm9uLWRyb3BwaW5nLXBhcnRpY2xlIjoiIn0seyJmYW1pbHkiOiJCb3V5YWdvdWIiLCJnaXZlbiI6IlNhbWlyYSIsInBhcnNlLW5hbWVzIjpmYWxzZSwiZHJvcHBpbmctcGFydGljbGUiOiIiLCJub24tZHJvcHBpbmctcGFydGljbGUiOiIifSx7ImZhbWlseSI6IlBvbHlhbnNrYSIsImdpdmVuIjoiTGlsaWFuYSIsInBhcnNlLW5hbWVzIjpmYWxzZSwiZHJvcHBpbmctcGFydGljbGUiOiIiLCJub24tZHJvcHBpbmctcGFydGljbGUiOiIifSx7ImZhbWlseSI6IkxhcnNzb24iLCJnaXZlbiI6IkRlbm5pcyBFIE8iLCJwYXJzZS1uYW1lcyI6ZmFsc2UsImRyb3BwaW5nLXBhcnRpY2xlIjoiIiwibm9uLWRyb3BwaW5nLXBhcnRpY2xlIjoiIn0seyJmYW1pbHkiOiJIYXJyaXNvbiIsImdpdmVuIjoiTmVpbCBBIiwicGFyc2UtbmFtZXMiOmZhbHNlLCJkcm9wcGluZy1wYXJ0aWNsZSI6IiIsIm5vbi1kcm9wcGluZy1wYXJ0aWNsZSI6IiJ9LHsiZmFtaWx5IjoiR2FyZmlua2VsIiwiZ2l2ZW4iOiJTYXJhaCBOIiwicGFyc2UtbmFtZXMiOmZhbHNlLCJkcm9wcGluZy1wYXJ0aWNsZSI6IiIsIm5vbi1kcm9wcGluZy1wYXJ0aWNsZSI6IiJ9LHsiZmFtaWx5IjoiQ3JpdGNobGV5IiwiZ2l2ZW4iOiJIdWdvIEQiLCJwYXJzZS1uYW1lcyI6ZmFsc2UsImRyb3BwaW5nLXBhcnRpY2xlIjoiIiwibm9uLWRyb3BwaW5nLXBhcnRpY2xlIjoiIn1dLCJjb250YWluZXItdGl0bGUiOiJCcmFpbiBDb21tdW5pY2F0aW9ucyIsIkRPSSI6Imh0dHBzOi8vZG9pLm9yZy8xMC4xMDkzL2JyYWluY29tbXMvZmNhYTE5OSIsIlBNSUQiOiIyNTY4Mjg2NTQ0OyAyMDIxLTczMTMwLTAwMSIsIlVSTCI6Imh0dHA6Ly9wcm94eS5saWJyYXJ5LnZhbmRlcmJpbHQuZWR1L2xvZ2luP3VybD1odHRwczovL3d3dy5wcm9xdWVzdC5jb20vc2Nob2xhcmx5LWpvdXJuYWxzL2FtcGxpZmllZC1lbmdhZ2VtZW50LXByZWZyb250YWwtY29ydGV4LWR1cmluZy9kb2N2aWV3LzI1NjgyODY1NDQvc2UtMj9hY2NvdW50aWQ9MTQ4MTZodHRwczovL2NhdGFsb2cubGlicmFyeS52YW5kZXJiaWx0LmVkdS9vcGVudXJsLzAxVkFOX0lOU1QvMDFWQU5fSU5TVDp2YW51aT8/dXJsXyIsImlzc3VlZCI6eyJkYXRlLXBhcnRzIjpbWzIwMjBdXX0sInBhZ2UiOiIxOCIsImFic3RyYWN0IjoiVG91cmV0dGUgc3luZHJvbWUgaXMgY2hhcmFjdGVyaXplZCBieSDigJh1bnZvbHVudGFyeeKAmSB0aWNzLCB3aGljaCBhcmUgY29tcHVsc2l2ZSwgeWV0IG9mdGVuIHRlbXBvcmFyaWx5IHN1cHByZXNzaWJsZS4gVGhlIGluZmVyaW9yIGZyb250YWwgZ3lydXMgaXMgaW1wbGljYXRlZCBpbiBtb3RvciBjb250cm9sLCBpbmNsdWRpbmcgaW5oaWJpdGlvbiBvZiBwcmUtcG90ZW50IGFjdGlvbnMgdGhyb3VnaCBpbmZsdWVuY2VzIG9uIGRvd25zdHJlYW0gc3ViY29ydGljYWwgYW5kIG1vdG9yIHJlZ2lvbnMuIEFsdGhvdWdoIHRpYyBzdXBwcmVzc2lvbiBpbiBUb3VyZXR0ZSBzeW5kcm9tZSBhbHNvIGVuZ2FnZXMgdGhlIGluZmVyaW9yIGZyb250YWwgZ3lydXMsIGl0IGlzIHVuY2xlYXIgd2hldGhlciBzdWNoIHByZWZyb250YWwgY29udHJvbCBvZiBhY3Rpb24gaXMgYWxzbyBkeXNmdW5jdGlvbmFsOiBUaWMgc3VwcHJlc3Npb24gc3R1ZGllcyBkbyBub3QgcGVybWl0IGNvbXBhcmlzb24gd2l0aCBjb250cm9sIGdyb3VwcywgYW5kIG5ldXJvaW1hZ2luZyBzdHVkaWVzIG9mIG1vdG9yIGluaGliaXRpb24gY2FuIGJlIGNvbmZvdW5kZWQgYnkgdGhlIGNvbmN1cnJlbnQgZXhwcmVzc2lvbiBvciBzdXBwcmVzc2lvbiBvZiB0aWNzLiBIZXJlLCBwYXRpZW50cyB3aXRoIFRvdXJldHRlIHN5bmRyb21lIHdlcmUgZGlyZWN0bHkgY29tcGFyZWQgdG8gY29udHJvbCBwYXJ0aWNpcGFudHMgd2hlbiBwZXJmb3JtaW5nIGFuIGludGVudGlvbmFsIGluaGliaXRpb24gdGFzayBkdXJpbmcgZnVuY3Rpb25hbCBNUkkuIFRpYyBleHByZXNzaW9uIHdhcyByZWNvcmRlZCB0aHJvdWdob3V0IGZvciByZW1vdmFsIGZyb20gc3RhdGlzdGljYWwgbW9kZWxzLiBQYXJ0aWNpcGFudHMgd2VyZSBpbnN0cnVjdGVkIHRvIG1ha2UgYSBidXR0b24gcHJlc3MgaW4gcmVzcG9uc2UgdG8gR28gY3Vlcywgd2l0aGhvbGQgcmVzcG9uc2VzIHRvIE5vR28gY3VlcywgYW5kIGRlY2lkZSB3aGV0aGVyIHRvIHByZXNzIG9yIHdpdGhob2xkIHRvIOKAmENob29zZeKAmSBjdWVzLiBPdmVyYWxsIHBlcmZvcm1hbmNlIHdhcyBzaW1pbGFyIGJldHdlZW4gZ3JvdXBzLCBmb3IgYm90aCBpbnRlbnRpb25hbCBpbmhpYml0aW9uIHJhdGVzICglIENob29zZS1HbykgYW5kIHJlYWN0aXZlIE5vR28gaW5oaWJpdGlvbiBjb21taXNzaW9uIGVycm9ycy4gQSBzdWJsaW1pbmFsIGZhY2UgcHJpbWUgZWxpY2l0ZWQgbm8gYWRkaXRpb25hbCBlZmZlY3RzIG9uIGludGVudGlvbmFsIG9yIHJlYWN0aXZlIGluaGliaXRpb24uIEFjcm9zcyBwYXJ0aWNpcGFudHMsIHRoZSB0YXNrIGFjdGl2YXRlZCBwcmVmcm9udGFsIGFuZCBtb3RvciBjb3J0aWNlcyBhbmQgc3ViY29ydGljYWwgbnVjbGVpLCBpbmNsdWRpbmcgcHJlLXN1cHBsZW1lbnRhcnkgbW90b3IgYXJlYSwgaW5mZXJpb3IgZnJvbnRhbCBneXJ1cywgaW5zdWxhLCBjYXVkYXRlIG51Y2xldXMsIHRoYWxhbXVzIGFuZCBwcmltYXJ5IG1vdG9yIGNvcnRleC4gSW4gVG91cmV0dGUgc3luZHJvbWUsIGFjdGl2aXR5IHdhcyBlbGV2YXRlZCBpbiB0aGUgaW5mZXJpb3IgZnJvbnRhbCBneXJ1cywgaW5zdWxhIGFuZCBiYXNhbCBnYW5nbGlhLCBtb3N0IG5vdGFibHkgd2l0aGluIHRoZSByaWdodCBpbmZlcmlvciBmcm9udGFsIGd5cnVzIGR1cmluZyB2b2x1bnRhcnkgYWN0aW9uIGFuZCBpbmhpYml0aW9uIChDaG9vc2UtR28gYW5kIENob29zZS1Ob0dvKSwgYW5kIHJlYWN0aXZlIGluaGliaXRpb24gKE5vR28tY29ycmVjdCkuIEFuYXRvbWljYWxseSwgdGhlIGxvY3VzIG9mIHRoaXMgaW5mZXJpb3IgZnJvbnRhbCBneXJ1cyBoeXBlcmFjdGl2YXRpb24gZHVyaW5nIGNvbnRyb2wgb2Ygdm9sdW50YXJ5IGFjdGlvbiBtYXRjaGVkIHRoYXQgcHJldmlvdXNseSByZXBvcnRlZCBmb3IgdGljIHN1cHByZXNzaW9uLiBJbiBUb3VyZXR0ZSBzeW5kcm9tZSwgYWN0aXZpdHkgd2l0aGluIHRoZSBjYXVkYXRlIG51Y2xldXMgd2FzIGFsc28gZW5oYW5jZWQgZHVyaW5nIGJvdGggaW50ZW50aW9uYWwgKENob29zZS1Ob0dvKSBhbmQgcmVhY3RpdmUgKE5vR28tY29ycmVjdCkgaW5oaWJpdGlvbi4gU3RyaWtpbmdseSwgZGVzcGl0ZSB0aGUgYWJzZW5jZSBvZiBvdmVydCBtb3RvciBiZWhhdmlvdXIsIHByaW1hcnkgbW90b3IgY29ydGV4IGFjdGl2aXR5IGluY3JlYXNlZCBpbiBwYXRpZW50cyB3aXRoIFRvdXJldHRlIHN5bmRyb21lIGJ1dCBkZWNyZWFzZWQgaW4gY29udHJvbHMgZHVyaW5nIGJvdGggcmVhY3RpdmUgYW5kIGludGVudGlvbmFsIGluaGliaXRpb24uIEFkZGl0aW9uYWxseSwgc2V2ZXJpdHkgb2YgcHJlbW9uaXRvcnkgc2Vuc2F0aW9ucyBzY2FsZWQgd2l0aCBmdW5jdGlvbmFsIGNvbm5lY3Rpdml0eSBvZiB0aGUgcHJlLXN1cHBsZW1lbnRhcnkgbW90b3IgYXJlYSB0byB0aGUgY2F1ZGF0ZSBudWNsZXVzLCBnbG9idXMgcGFsbGlkdXMgYW5kIHRoYWxhbXVzIHdoZW4gY2hvb3NpbmcgdG8gcmVzcG9uZCAoQ2hvb3NlLUdvKS4gVG9nZXRoZXIsIHRoZXNlIHJlc3VsdHMgc3VnZ2VzdCB0aGF0IHBhdGllbnRzIHdpdGggVG91cmV0dGUgc3luZHJvbWUgdXNlIGVxdWl2YWxlbnQgcHJlZnJvbnRhbCBtZWNoYW5pc21zIHRvIHN1cHByZXNzIHRpY3MgYW5kIHdpdGhob2xkIG5vbi10aWMgYWN0aW9ucywgYnV0IHJlcXVpcmUgZ3JlYXRlciBpbmZlcmlvciBmcm9udGFsIGd5cnVzIGVuZ2FnZW1lbnQgdGhhbiBjb250cm9scyB0byBvdmVyY29tZSBtb3RvciBkcml2ZSBmcm9tIGh5cGVyYWN0aXZlIGRvd25zdHJlYW0gcmVnaW9ucywgbm90YWJseSBwcmltYXJ5IG1vdG9yIGNvcnRleC4gTW9yZW92ZXIsIHByZW1vbml0b3J5IHNlbnNhdGlvbnMgbWF5IGN1ZSBtaWRsaW5lIG1vdG9yIHJlZ2lvbnMgdG8gZ2VuZXJhdGUgdGljcyB0aHJvdWdoIGludGVyYWN0aW9ucyB3aXRoIHRoZSBiYXNhbCBnYW5nbGlhLiAoUHN5Y0luZm8gRGF0YWJhc2UgUmVjb3JkIChjKSAyMDIyIEFQQSwgYWxsIHJpZ2h0cyByZXNlcnZlZCkgKFNvdXJjZTogam91cm5hbCBhYnN0cmFjdCkiLCJpc3N1ZSI6IjIiLCJ2b2x1bWUiOiIyIiwiY29udGFpbmVyLXRpdGxlLXNob3J0IjoiQnJhaW4gQ29tbXVuIn0sImlzVGVtcG9yYXJ5IjpmYWxzZX1dfQ=="/>
                <w:id w:val="-1727219020"/>
                <w:placeholder>
                  <w:docPart w:val="DefaultPlaceholder_-1854013440"/>
                </w:placeholder>
              </w:sdtPr>
              <w:sdtContent>
                <w:r w:rsidR="00F04E9F" w:rsidRPr="00F04E9F">
                  <w:rPr>
                    <w:rFonts w:eastAsia="Times New Roman" w:cs="Times New Roman"/>
                    <w:color w:val="000000"/>
                    <w:sz w:val="16"/>
                    <w:szCs w:val="16"/>
                  </w:rPr>
                  <w:t>(87)</w:t>
                </w:r>
              </w:sdtContent>
            </w:sdt>
          </w:p>
        </w:tc>
        <w:tc>
          <w:tcPr>
            <w:tcW w:w="0" w:type="auto"/>
            <w:shd w:val="clear" w:color="auto" w:fill="FFFFFF"/>
          </w:tcPr>
          <w:p w14:paraId="41AC97AD"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23 adults with TS</w:t>
            </w:r>
          </w:p>
        </w:tc>
        <w:tc>
          <w:tcPr>
            <w:tcW w:w="1920" w:type="dxa"/>
            <w:shd w:val="clear" w:color="auto" w:fill="FFFFFF"/>
          </w:tcPr>
          <w:p w14:paraId="15439554"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fMRI (while </w:t>
            </w:r>
            <w:r w:rsidRPr="008A1F40">
              <w:rPr>
                <w:rFonts w:cs="Times New Roman"/>
                <w:color w:val="000000" w:themeColor="text1"/>
                <w:sz w:val="16"/>
                <w:szCs w:val="16"/>
                <w:shd w:val="clear" w:color="auto" w:fill="FFFFFF"/>
              </w:rPr>
              <w:t>participants completed a “Go/NoGo” task)</w:t>
            </w:r>
          </w:p>
        </w:tc>
        <w:tc>
          <w:tcPr>
            <w:tcW w:w="4440" w:type="dxa"/>
            <w:shd w:val="clear" w:color="auto" w:fill="FFFFFF"/>
          </w:tcPr>
          <w:p w14:paraId="5CC463F2" w14:textId="75D8B160" w:rsidR="00986E35" w:rsidRPr="00413781" w:rsidRDefault="00986E35" w:rsidP="007F77D2">
            <w:pPr>
              <w:rPr>
                <w:rFonts w:eastAsia="Times New Roman" w:cs="Times New Roman"/>
                <w:color w:val="000000"/>
                <w:sz w:val="16"/>
                <w:szCs w:val="16"/>
              </w:rPr>
            </w:pPr>
            <w:r w:rsidRPr="008A1F40">
              <w:rPr>
                <w:rFonts w:eastAsia="Times New Roman" w:cs="Times New Roman"/>
                <w:color w:val="000000"/>
                <w:sz w:val="16"/>
                <w:szCs w:val="16"/>
              </w:rPr>
              <w:t xml:space="preserve">No </w:t>
            </w:r>
            <w:r w:rsidRPr="008A1F40">
              <w:rPr>
                <w:rFonts w:eastAsia="Times New Roman" w:cs="Times New Roman"/>
                <w:color w:val="000000"/>
                <w:sz w:val="16"/>
                <w:szCs w:val="16"/>
                <w:highlight w:val="white"/>
              </w:rPr>
              <w:t xml:space="preserve">correlations of </w:t>
            </w:r>
            <w:r w:rsidR="00F953B2">
              <w:rPr>
                <w:rFonts w:eastAsia="Times New Roman" w:cs="Times New Roman"/>
                <w:color w:val="000000"/>
                <w:sz w:val="16"/>
                <w:szCs w:val="16"/>
                <w:highlight w:val="white"/>
              </w:rPr>
              <w:t xml:space="preserve">PUTS scores with </w:t>
            </w:r>
            <w:r w:rsidRPr="008A1F40">
              <w:rPr>
                <w:rFonts w:eastAsia="Times New Roman" w:cs="Times New Roman"/>
                <w:color w:val="000000"/>
                <w:sz w:val="16"/>
                <w:szCs w:val="16"/>
                <w:highlight w:val="white"/>
              </w:rPr>
              <w:t xml:space="preserve">task effects for </w:t>
            </w:r>
            <w:r w:rsidR="002D57F5">
              <w:rPr>
                <w:rFonts w:eastAsia="Times New Roman" w:cs="Times New Roman"/>
                <w:color w:val="000000"/>
                <w:sz w:val="16"/>
                <w:szCs w:val="16"/>
                <w:highlight w:val="white"/>
              </w:rPr>
              <w:t xml:space="preserve">either </w:t>
            </w:r>
            <w:r w:rsidRPr="008A1F40">
              <w:rPr>
                <w:rFonts w:eastAsia="Times New Roman" w:cs="Times New Roman"/>
                <w:color w:val="000000"/>
                <w:sz w:val="16"/>
                <w:szCs w:val="16"/>
                <w:highlight w:val="white"/>
              </w:rPr>
              <w:t>Choose-Go (“</w:t>
            </w:r>
            <w:r w:rsidRPr="008A1F40">
              <w:rPr>
                <w:rFonts w:eastAsia="Times New Roman" w:cs="Times New Roman"/>
                <w:color w:val="000000"/>
                <w:sz w:val="16"/>
                <w:szCs w:val="16"/>
              </w:rPr>
              <w:t>volitional action”)</w:t>
            </w:r>
            <w:r w:rsidRPr="008A1F40">
              <w:rPr>
                <w:rFonts w:eastAsia="Times New Roman" w:cs="Times New Roman"/>
                <w:color w:val="000000"/>
                <w:sz w:val="16"/>
                <w:szCs w:val="16"/>
                <w:highlight w:val="white"/>
              </w:rPr>
              <w:t xml:space="preserve"> </w:t>
            </w:r>
            <w:r w:rsidR="00F953B2">
              <w:rPr>
                <w:rFonts w:eastAsia="Times New Roman" w:cs="Times New Roman"/>
                <w:color w:val="000000"/>
                <w:sz w:val="16"/>
                <w:szCs w:val="16"/>
                <w:highlight w:val="white"/>
              </w:rPr>
              <w:t xml:space="preserve">or </w:t>
            </w:r>
            <w:r w:rsidRPr="008A1F40">
              <w:rPr>
                <w:rFonts w:eastAsia="Times New Roman" w:cs="Times New Roman"/>
                <w:color w:val="000000"/>
                <w:sz w:val="16"/>
                <w:szCs w:val="16"/>
                <w:highlight w:val="white"/>
              </w:rPr>
              <w:t>Choose-NoGo (“</w:t>
            </w:r>
            <w:r w:rsidRPr="008A1F40">
              <w:rPr>
                <w:rFonts w:eastAsia="Times New Roman" w:cs="Times New Roman"/>
                <w:color w:val="000000"/>
                <w:sz w:val="16"/>
                <w:szCs w:val="16"/>
              </w:rPr>
              <w:t>intentional inhibition”)</w:t>
            </w:r>
            <w:r w:rsidRPr="008A1F40">
              <w:rPr>
                <w:rFonts w:eastAsia="Times New Roman" w:cs="Times New Roman"/>
                <w:color w:val="000000"/>
                <w:sz w:val="16"/>
                <w:szCs w:val="16"/>
                <w:highlight w:val="white"/>
              </w:rPr>
              <w:t xml:space="preserve"> </w:t>
            </w:r>
            <w:r w:rsidR="00BD13C1">
              <w:rPr>
                <w:rFonts w:eastAsia="Times New Roman" w:cs="Times New Roman"/>
                <w:color w:val="000000"/>
                <w:sz w:val="16"/>
                <w:szCs w:val="16"/>
                <w:highlight w:val="white"/>
              </w:rPr>
              <w:t>conditions</w:t>
            </w:r>
            <w:r w:rsidRPr="008A1F40">
              <w:rPr>
                <w:rFonts w:eastAsia="Times New Roman" w:cs="Times New Roman"/>
                <w:color w:val="000000"/>
                <w:sz w:val="16"/>
                <w:szCs w:val="16"/>
                <w:highlight w:val="white"/>
              </w:rPr>
              <w:t xml:space="preserve">. </w:t>
            </w:r>
            <w:r w:rsidRPr="008A1F40">
              <w:rPr>
                <w:rFonts w:eastAsia="Times New Roman" w:cs="Times New Roman"/>
                <w:sz w:val="16"/>
                <w:szCs w:val="16"/>
                <w:highlight w:val="white"/>
              </w:rPr>
              <w:t>However, d</w:t>
            </w:r>
            <w:r w:rsidRPr="008A1F40">
              <w:rPr>
                <w:rFonts w:eastAsia="Times New Roman" w:cs="Times New Roman"/>
                <w:color w:val="000000"/>
                <w:sz w:val="16"/>
                <w:szCs w:val="16"/>
                <w:highlight w:val="white"/>
              </w:rPr>
              <w:t>uring trials in which participants “chose-go</w:t>
            </w:r>
            <w:r w:rsidR="0078413C">
              <w:rPr>
                <w:rFonts w:eastAsia="Times New Roman" w:cs="Times New Roman"/>
                <w:color w:val="000000"/>
                <w:sz w:val="16"/>
                <w:szCs w:val="16"/>
                <w:highlight w:val="white"/>
              </w:rPr>
              <w:t>,</w:t>
            </w:r>
            <w:r w:rsidRPr="008A1F40">
              <w:rPr>
                <w:rFonts w:eastAsia="Times New Roman" w:cs="Times New Roman"/>
                <w:color w:val="000000"/>
                <w:sz w:val="16"/>
                <w:szCs w:val="16"/>
                <w:highlight w:val="white"/>
              </w:rPr>
              <w:t xml:space="preserve">” PUTS scores were positively associated with </w:t>
            </w:r>
            <w:r w:rsidRPr="008A1F40">
              <w:rPr>
                <w:rFonts w:eastAsia="Times New Roman" w:cs="Times New Roman"/>
                <w:color w:val="000000"/>
                <w:sz w:val="16"/>
                <w:szCs w:val="16"/>
              </w:rPr>
              <w:t xml:space="preserve">functional connectivity </w:t>
            </w:r>
            <w:r w:rsidR="00A91306">
              <w:rPr>
                <w:rFonts w:eastAsia="Times New Roman" w:cs="Times New Roman"/>
                <w:color w:val="000000"/>
                <w:sz w:val="16"/>
                <w:szCs w:val="16"/>
              </w:rPr>
              <w:t xml:space="preserve">of the pre-SMA </w:t>
            </w:r>
            <w:r w:rsidRPr="008A1F40">
              <w:rPr>
                <w:rFonts w:eastAsia="Times New Roman" w:cs="Times New Roman"/>
                <w:color w:val="000000"/>
                <w:sz w:val="16"/>
                <w:szCs w:val="16"/>
              </w:rPr>
              <w:t>with the following regions</w:t>
            </w:r>
            <w:r w:rsidR="00FC5551">
              <w:rPr>
                <w:rFonts w:eastAsia="Times New Roman" w:cs="Times New Roman"/>
                <w:color w:val="000000"/>
                <w:sz w:val="16"/>
                <w:szCs w:val="16"/>
              </w:rPr>
              <w:t xml:space="preserve"> (p &lt; 0.05 FDR cluster corrected</w:t>
            </w:r>
            <w:r w:rsidR="00806264">
              <w:rPr>
                <w:rFonts w:eastAsia="Times New Roman" w:cs="Times New Roman"/>
                <w:color w:val="000000"/>
                <w:sz w:val="16"/>
                <w:szCs w:val="16"/>
              </w:rPr>
              <w:t xml:space="preserve">; </w:t>
            </w:r>
            <w:r w:rsidR="00806264" w:rsidRPr="00806264">
              <w:rPr>
                <w:rFonts w:eastAsia="Times New Roman" w:cs="Times New Roman"/>
                <w:color w:val="000000"/>
                <w:sz w:val="16"/>
                <w:szCs w:val="16"/>
              </w:rPr>
              <w:t>cluster-forming threshold: p&lt;0.001)</w:t>
            </w:r>
            <w:r w:rsidRPr="008A1F40">
              <w:rPr>
                <w:rFonts w:eastAsia="Times New Roman" w:cs="Times New Roman"/>
                <w:color w:val="000000"/>
                <w:sz w:val="16"/>
                <w:szCs w:val="16"/>
              </w:rPr>
              <w:t xml:space="preserve">: </w:t>
            </w:r>
            <w:r w:rsidRPr="008A1F40">
              <w:rPr>
                <w:rFonts w:eastAsia="Times New Roman" w:cs="Times New Roman"/>
                <w:color w:val="000000"/>
                <w:sz w:val="16"/>
                <w:szCs w:val="16"/>
                <w:highlight w:val="white"/>
              </w:rPr>
              <w:t xml:space="preserve">caudate nucleus, globus pallidus and thalamus. </w:t>
            </w:r>
            <w:sdt>
              <w:sdtPr>
                <w:rPr>
                  <w:rFonts w:cs="Times New Roman"/>
                  <w:sz w:val="16"/>
                  <w:szCs w:val="16"/>
                </w:rPr>
                <w:tag w:val="goog_rdk_998"/>
                <w:id w:val="962398646"/>
              </w:sdtPr>
              <w:sdtContent/>
            </w:sdt>
            <w:r w:rsidRPr="008A1F40">
              <w:rPr>
                <w:rFonts w:eastAsia="Times New Roman" w:cs="Times New Roman"/>
                <w:color w:val="000000"/>
                <w:sz w:val="16"/>
                <w:szCs w:val="16"/>
                <w:highlight w:val="white"/>
              </w:rPr>
              <w:t>There were no associations between PUTS score and IFG functional connectivity</w:t>
            </w:r>
          </w:p>
        </w:tc>
      </w:tr>
      <w:tr w:rsidR="00986E35" w:rsidRPr="008A1F40" w14:paraId="0FDCE680" w14:textId="77777777" w:rsidTr="007F77D2">
        <w:trPr>
          <w:tblCellSpacing w:w="15" w:type="dxa"/>
        </w:trPr>
        <w:tc>
          <w:tcPr>
            <w:tcW w:w="0" w:type="auto"/>
            <w:shd w:val="clear" w:color="auto" w:fill="FFFFFF"/>
            <w:hideMark/>
          </w:tcPr>
          <w:p w14:paraId="7AB13294" w14:textId="721B90E1"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Rae et al (2023)</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ThjZGQ1N2YtOTEyZi00Y2M2LTg1NTItNDkyMzBkOGVlNTA2IiwicHJvcGVydGllcyI6eyJub3RlSW5kZXgiOjB9LCJpc0VkaXRlZCI6ZmFsc2UsIm1hbnVhbE92ZXJyaWRlIjp7ImlzTWFudWFsbHlPdmVycmlkZGVuIjpmYWxzZSwiY2l0ZXByb2NUZXh0IjoiKDg4KSIsIm1hbnVhbE92ZXJyaWRlVGV4dCI6IiJ9LCJjaXRhdGlvbkl0ZW1zIjpbeyJpZCI6IjE4MmQ2MTBjLTUwOGItMzI2NS05NzQyLWY0OTU3MDI0YTM4ZCIsIml0ZW1EYXRhIjp7InR5cGUiOiJhcnRpY2xlLWpvdXJuYWwiLCJpZCI6IjE4MmQ2MTBjLTUwOGItMzI2NS05NzQyLWY0OTU3MDI0YTM4ZCIsInRpdGxlIjoiRWxldmF0ZWQgcmVwcmVzZW50YXRpb25hbCBzaW1pbGFyaXR5IG9mIHZvbHVudGFyeSBhY3Rpb24gYW5kIGluaGliaXRpb24gaW4gVG91cmV0dGUgc3luZHJvbWUiLCJncm91cElkIjoiMDdkNjJhYzEtNWFhOC0zOWFmLWI0OWUtNTJkMjA4OGFjNTcxIiwiYXV0aG9yIjpbeyJmYW1pbHkiOiJSYWUiLCJnaXZlbiI6IkMgTCIsInBhcnNlLW5hbWVzIjpmYWxzZSwiZHJvcHBpbmctcGFydGljbGUiOiIiLCJub24tZHJvcHBpbmctcGFydGljbGUiOiIifSx7ImZhbWlseSI6IlJheWtvdiIsImdpdmVuIjoiUCIsInBhcnNlLW5hbWVzIjpmYWxzZSwiZHJvcHBpbmctcGFydGljbGUiOiIiLCJub24tZHJvcHBpbmctcGFydGljbGUiOiIifSx7ImZhbWlseSI6IkFtYnJpZGdlIiwiZ2l2ZW4iOiJFIE0iLCJwYXJzZS1uYW1lcyI6ZmFsc2UsImRyb3BwaW5nLXBhcnRpY2xlIjoiIiwibm9uLWRyb3BwaW5nLXBhcnRpY2xlIjoiIn0seyJmYW1pbHkiOiJDb2xsaW5nIiwiZ2l2ZW4iOiJMIEoiLCJwYXJzZS1uYW1lcyI6ZmFsc2UsImRyb3BwaW5nLXBhcnRpY2xlIjoiIiwibm9uLWRyb3BwaW5nLXBhcnRpY2xlIjoiIn0seyJmYW1pbHkiOiJHb3VsZCB2YW4gUHJhYWciLCJnaXZlbiI6IkMgRCIsInBhcnNlLW5hbWVzIjpmYWxzZSwiZHJvcHBpbmctcGFydGljbGUiOiIiLCJub24tZHJvcHBpbmctcGFydGljbGUiOiIifSx7ImZhbWlseSI6IkJvdXlhZ291YiIsImdpdmVuIjoiUyIsInBhcnNlLW5hbWVzIjpmYWxzZSwiZHJvcHBpbmctcGFydGljbGUiOiIiLCJub24tZHJvcHBpbmctcGFydGljbGUiOiIifSx7ImZhbWlseSI6IlBvbGFuc2tpIiwiZ2l2ZW4iOiJMIiwicGFyc2UtbmFtZXMiOmZhbHNlLCJkcm9wcGluZy1wYXJ0aWNsZSI6IiIsIm5vbi1kcm9wcGluZy1wYXJ0aWNsZSI6IiJ9LHsiZmFtaWx5IjoiTGFyc3NvbiIsImdpdmVuIjoiRCBFIE8iLCJwYXJzZS1uYW1lcyI6ZmFsc2UsImRyb3BwaW5nLXBhcnRpY2xlIjoiIiwibm9uLWRyb3BwaW5nLXBhcnRpY2xlIjoiIn0seyJmYW1pbHkiOiJDcml0Y2hsZXkiLCJnaXZlbiI6IkggRCIsInBhcnNlLW5hbWVzIjpmYWxzZSwiZHJvcHBpbmctcGFydGljbGUiOiIiLCJub24tZHJvcHBpbmctcGFydGljbGUiOiIifV0sImNvbnRhaW5lci10aXRsZSI6IkJyYWluIENvbW11biIsIkRPSSI6IjEwLjEwOTMvYnJhaW5jb21tcy9mY2FkMjI0IiwiUE1JRCI6IjM3NzA1NjgwIiwiaXNzdWVkIjp7ImRhdGUtcGFydHMiOltbMjAyM11dfSwicGFnZSI6ImZjYWQyMjQtIiwiYWJzdHJhY3QiOiJNYW55IHBlb3BsZSB3aXRoIFRvdXJldHRlIHN5bmRyb21lIGFyZSBhYmxlIHRvIHZvbGl0aW9uYWxseSBzdXBwcmVzcyB0aWNzLCB1bmRlciBjZXJ0YWluIGNpcmN1bXN0YW5jZXMuIFRvIHVuZGVyc3RhbmQgYmV0dGVyIHRoZSBuZXVyYWwgbWVjaGFuaXNtcyB0aGF0IHVuZGVybGllIHRoaXMgYWJpbGl0eSwgd2UgdXNlZCBmdW5jdGlvbmFsIG1hZ25ldGljIHJlc29uYW5jZSBuZXVyb2ltYWdpbmcgdG8gdHJhY2sgcmVnaW9uYWwgYnJhaW4gYWN0aXZpdHkgZHVyaW5nIHBlcmZvcm1hbmNlIG9mIGFuIGludGVudGlvbmFsIGluaGliaXRpb24gdGFzay4gT24gc29tZSB0cmlhbHMsIFRvdXJldHRlIHN5bmRyb21lIGFuZCBjb21wYXJpc29uIHBhcnRpY2lwYW50cyBpbnRlcm5hbGx5IGNob3NlIHRvIG1ha2Ugb3Igd2l0aGhvbGQgYSBtb3RvciBhY3Rpb24gKGEgYnV0dG9uIHByZXNzKSwgd2hpbGUgb24gb3RoZXIgdHJpYWxzLCB0aGV5IGZvbGxvd2VkICdHbycgYW5kICdOb0dvJyBpbnN0cnVjdGlvbnMgdG8gbWFrZSBvciB3aXRoaG9sZCB0aGUgc2FtZSBhY3Rpb24uIFVzaW5nIHJlcHJlc2VudGF0aW9uYWwgc2ltaWxhcml0eSBhbmFseXNpcywgYSBmdW5jdGlvbmFsIG1hZ25ldGljIHJlc29uYW5jZSBuZXVyb2ltYWdpbmcgbXVsdGl2YXJpYXRlIHBhdHRlcm4gYW5hbHlzaXMgdGVjaG5pcXVlLCB3ZSBhc3Nlc3NlZCBob3cgVG91cmV0dGUgc3luZHJvbWUgYW5kIGNvbXBhcmlzb24gcGFydGljaXBhbnRzIGRpZmZlcmVkIGluIG5ldXJhbCBhY3Rpdml0eSB3aGVuIGNob29zaW5nIHRvIG1ha2Ugb3IgdG8gd2l0aGhvbGQgYW4gYWN0aW9uLCByZWxhdGl2ZSB0byBleHRlcm5hbGx5IGN1ZWQgcmVzcG9uc2VzIG9uIEdvIGFuZCBOb0dvIHRyaWFscy4gQW5hbHlzZXMgd2VyZSBwcmUtcmVnaXN0ZXJlZCwgYW5kIHRoZSBkYXRhIGFuZCBjb2RlIGFyZSBwdWJsaWNseSBhdmFpbGFibGUuIFdlIGNvbnNpZGVyZWQgc2ltaWxhcml0eSBvZiBhY3Rpb24gcmVwcmVzZW50YXRpb25zIHdpdGhpbiByZWdpb25zIGltcGxpY2F0ZWQgYXMgY3JpdGljYWwgdG8gbW90b3IgYWN0aW9uIHJlbGVhc2Ugb3IgaW5oaWJpdGlvbiBhbmQgdG8gc3ltcHRvbSBleHByZXNzaW9uIGluIFRvdXJldHRlIHN5bmRyb21lLCBuYW1lbHkgdGhlIHByZS1zdXBwbGVtZW50YXJ5IG1vdG9yIGFyZWEsIGluZmVyaW9yIGZyb250YWwgZ3lydXMsIGluc3VsYSwgY2F1ZGF0ZSBudWNsZXVzIGFuZCBwcmltYXJ5IG1vdG9yIGNvcnRleC4gU3RyaWtpbmdseSwgaW4gdGhlIFRvdXJldHRlIHN5bmRyb21lIGNvbXBhcmVkIHRvIHRoZSBjb21wYXJpc29uIGdyb3VwLCBuZXVyYWwgYWN0aXZpdHkgd2l0aGluIHRoZSBwcmUtc3VwcGxlbWVudGFyeSBtb3RvciBhcmVhIGRpc3BsYXllZCBncmVhdGVyIHJlcHJlc2VudGF0aW9uYWwgc2ltaWxhcml0eSBhY3Jvc3MgYWxsIGFjdGlvbiB0eXBlcy4gV2l0aGluIHRoZSBwcmUtc3VwcGxlbWVudGFyeSBtb3RvciBhcmVhLCB0aGVyZSB3YXMgbG93ZXIgcmVzcG9uc2Utc3BlY2lmaWMgZGlmZmVyZW50aWF0aW9uIG9mIGFjdGl2aXR5IHJlbGF0aW5nIHRvIGFjdGlvbiBhbmQgaW5oaWJpdGlvbiBwbGFucyBhbmQgdG8gaW50ZXJuYWxseSBjaG9zZW4gYW5kIGV4dGVybmFsbHkgY3VlZCBhY3Rpb25zLCBpbXBsaWNhdGluZyB0aGUgcmVnaW9uIGFzIGEgZnVuY3Rpb25hbCBuZXh1cyBpbiB0aGUgc3ltcHRvbWF0b2xvZ3kgb2YgVG91cmV0dGUgc3luZHJvbWUuIENvcnJlc3BvbmRpbmdseSwgcGF0aWVudHMgd2l0aCBUb3VyZXR0ZSBzeW5kcm9tZSBtYXkgZXhwZXJpZW5jZSB2b2xpdGlvbmFsIHRpYyBzdXBwcmVzc2lvbiBhcyBhbiBlZmZvcnRmdWwgYW5kIHRpcmluZyBwcm9jZXNzIGJlY2F1c2UsIGF0IHRoZSB0b3Agb2YgdGhlIHB1dGF0aXZlIG1vdG9yIGRlY2lzaW9uIGhpZXJhcmNoeSwgYWN0aXZpdHkgd2l0aGluIHRoZSBwb3B1bGF0aW9uIG9mIG5ldXJvbnMgZmFjaWxpdGF0aW5nIGFjdGlvbiBpcyBvdmVybHkgc2ltaWxhciB0byBhY3Rpdml0eSB3aXRoaW4gdGhlIHBvcHVsYXRpb24gb2YgbmV1cm9ucyBwcm9tb3RpbmcgaW5oaWJpdGlvbi4gSG93ZXZlciwgbm90IGFsbCBwcmUtc3VwcGxlbWVudGFyeSBtb3RvciBhcmVhIGdyb3VwIGRpZmZlcmVuY2VzIHN1cnZpdmVkIGNvcnJlY3Rpb24gZm9yIG11bHRpcGxlIGNvbXBhcmlzb25zLiBHcm91cCBkaWZmZXJlbmNlcyBpbiByZXByZXNlbnRhdGlvbmFsIHNpbWlsYXJpdHkgd2VyZSBhbHNvIHByZXNlbnQgaW4gdGhlIHByaW1hcnkgbW90b3IgY29ydGV4LiBIZXJlLCByZXByZXNlbnRhdGlvbnMgb2YgaW50ZXJuYWxseSBjaG9zZW4gYW5kIGV4dGVybmFsbHkgY3VlZCBpbmhpYml0aW9uIHdlcmUgbW9yZSBkaWZmZXJlbnRpYXRlZCBpbiB0aGUgVG91cmV0dGUgc3luZHJvbWUgZ3JvdXAgdGhhbiBpbiB0aGUgY29tcGFyaXNvbiBncm91cCwgcG90ZW50aWFsbHkgYSBjb25zZXF1ZW5jZSBvZiBhIHdlYWtlciB2b2x1bnRhcnkgY2FwYWNpdHkgZWFybGllciBpbiB0aGUgbW90b3IgaGllcmFyY2h5IHRvIHN1cHByZXNzIGFjdGlvbnMgcHJvYWN0aXZlbHkuIFRpYyBzZXZlcml0eSBhbmQgcHJlbW9uaXRvcnkgc2Vuc2F0aW9ucyBjb3JyZWxhdGVkIHdpdGggcHJpbWFyeSBtb3RvciBjb3J0ZXggYW5kIGNhdWRhdGUgbnVjbGV1cyByZXByZXNlbnRhdGlvbmFsIHNpbWlsYXJpdHksIGJ1dCB0aGVzZSBlZmZlY3RzIGRpZCBub3Qgc3Vydml2ZSBjb3JyZWN0aW9uIGZvciBtdWx0aXBsZSBjb21wYXJpc29ucy4gSW4gc3VtbWFyeSwgbW9yZSByaWdpZCBwcmUtc3VwcGxlbWVudGFyeSBtb3RvciBhcmVhIG5ldXJhbCBjb2RpbmcgYWNyb3NzIGFjdGlvbiBjYXRlZ29yaWVzIG1heSBjb25zdGl0dXRlIGEgY2VudHJhbCBmZWF0dXJlIG9mIFRvdXJldHRlIHN5bmRyb21lLCB3aGljaCBjYW4gYWNjb3VudCBmb3IgcGF0aWVudHMnIGV4cGVyaWVuY2Ugb2YgJ3Vudm9sdW50YXJ5JyB0aWNzIGFuZCBlZmZvcnRmdWwgdGljIHN1cHByZXNzaW9uLiIsImlzc3VlIjoiNSIsInZvbHVtZSI6IjUiLCJjb250YWluZXItdGl0bGUtc2hvcnQiOiIifSwiaXNUZW1wb3JhcnkiOmZhbHNlfV19"/>
                <w:id w:val="2017033457"/>
                <w:placeholder>
                  <w:docPart w:val="DefaultPlaceholder_-1854013440"/>
                </w:placeholder>
              </w:sdtPr>
              <w:sdtContent>
                <w:r w:rsidR="00F04E9F" w:rsidRPr="00F04E9F">
                  <w:rPr>
                    <w:rFonts w:eastAsia="Times New Roman" w:cs="Times New Roman"/>
                    <w:color w:val="000000"/>
                    <w:sz w:val="16"/>
                    <w:szCs w:val="16"/>
                  </w:rPr>
                  <w:t>(88)</w:t>
                </w:r>
              </w:sdtContent>
            </w:sdt>
          </w:p>
        </w:tc>
        <w:tc>
          <w:tcPr>
            <w:tcW w:w="0" w:type="auto"/>
            <w:shd w:val="clear" w:color="auto" w:fill="FFFFFF"/>
            <w:hideMark/>
          </w:tcPr>
          <w:p w14:paraId="7AEE4F93"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23 adults with TS (same sample as Rae et al 2020)</w:t>
            </w:r>
          </w:p>
        </w:tc>
        <w:tc>
          <w:tcPr>
            <w:tcW w:w="1920" w:type="dxa"/>
            <w:shd w:val="clear" w:color="auto" w:fill="FFFFFF"/>
            <w:hideMark/>
          </w:tcPr>
          <w:p w14:paraId="236FA554"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fMRI (while </w:t>
            </w:r>
            <w:r w:rsidRPr="008A1F40">
              <w:rPr>
                <w:rFonts w:cs="Times New Roman"/>
                <w:color w:val="000000" w:themeColor="text1"/>
                <w:sz w:val="16"/>
                <w:szCs w:val="16"/>
                <w:shd w:val="clear" w:color="auto" w:fill="FFFFFF"/>
              </w:rPr>
              <w:t>participants completed a “Go/NoGo” task)</w:t>
            </w:r>
          </w:p>
        </w:tc>
        <w:tc>
          <w:tcPr>
            <w:tcW w:w="4440" w:type="dxa"/>
            <w:shd w:val="clear" w:color="auto" w:fill="FFFFFF"/>
            <w:hideMark/>
          </w:tcPr>
          <w:p w14:paraId="0D2642CA" w14:textId="77777777" w:rsidR="00986E35" w:rsidRPr="008A1F40" w:rsidRDefault="00986E35" w:rsidP="007F77D2">
            <w:pPr>
              <w:rPr>
                <w:rFonts w:cs="Times New Roman"/>
                <w:color w:val="000000"/>
                <w:sz w:val="20"/>
                <w:szCs w:val="20"/>
                <w:shd w:val="clear" w:color="auto" w:fill="FFFFFF"/>
              </w:rPr>
            </w:pPr>
            <w:r w:rsidRPr="008A1F40">
              <w:rPr>
                <w:rFonts w:eastAsia="Times New Roman" w:cs="Times New Roman"/>
                <w:color w:val="0D0D0D"/>
                <w:sz w:val="16"/>
                <w:szCs w:val="16"/>
              </w:rPr>
              <w:t xml:space="preserve">Greater representational similarity in the caudate nucleus between "go" and "nogo" conditions positively correlated with PUTS scores </w:t>
            </w:r>
            <w:r w:rsidRPr="008A1F40">
              <w:rPr>
                <w:rFonts w:cs="Times New Roman"/>
                <w:color w:val="000000" w:themeColor="text1"/>
                <w:sz w:val="16"/>
                <w:szCs w:val="16"/>
                <w:shd w:val="clear" w:color="auto" w:fill="FFFFFF"/>
              </w:rPr>
              <w:t>(r = 0.513, p = 0.012), but this association did not survive correction for multiple comparisons.</w:t>
            </w:r>
            <w:r w:rsidRPr="008A1F40">
              <w:rPr>
                <w:rFonts w:cs="Times New Roman"/>
                <w:color w:val="000000" w:themeColor="text1"/>
                <w:shd w:val="clear" w:color="auto" w:fill="FFFFFF"/>
              </w:rPr>
              <w:t xml:space="preserve"> </w:t>
            </w:r>
          </w:p>
        </w:tc>
      </w:tr>
      <w:tr w:rsidR="00986E35" w:rsidRPr="008A1F40" w14:paraId="12E13B1E" w14:textId="77777777" w:rsidTr="007F77D2">
        <w:trPr>
          <w:tblCellSpacing w:w="15" w:type="dxa"/>
        </w:trPr>
        <w:tc>
          <w:tcPr>
            <w:tcW w:w="0" w:type="auto"/>
            <w:shd w:val="clear" w:color="auto" w:fill="FFFFFF"/>
            <w:hideMark/>
          </w:tcPr>
          <w:p w14:paraId="288368EF" w14:textId="63149EE8"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Tinaz et al (2015)</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Tg0MzEzNWYtOGM3Zi00MGEwLTg2NTItNTk3YTBkMGEyNzNiIiwicHJvcGVydGllcyI6eyJub3RlSW5kZXgiOjB9LCJpc0VkaXRlZCI6ZmFsc2UsIm1hbnVhbE92ZXJyaWRlIjp7ImlzTWFudWFsbHlPdmVycmlkZGVuIjpmYWxzZSwiY2l0ZXByb2NUZXh0IjoiKDg5KSIsIm1hbnVhbE92ZXJyaWRlVGV4dCI6IiJ9LCJjaXRhdGlvbkl0ZW1zIjpbeyJpZCI6ImFjNDY2YTZkLTQ5YTktMzAyNS05ZTMzLTU4ZTg1YTVmYzc0ZSIsIml0ZW1EYXRhIjp7InR5cGUiOiJhcnRpY2xlLWpvdXJuYWwiLCJpZCI6ImFjNDY2YTZkLTQ5YTktMzAyNS05ZTMzLTU4ZTg1YTVmYzc0ZSIsInRpdGxlIjoiUm9sZSBvZiB0aGUgcmlnaHQgZG9yc2FsIGFudGVyaW9yIGluc3VsYSBpbiB0aGUgdXJnZSB0byB0aWMgaW4gVG91cmV0dGUgc3luZHJvbWUiLCJncm91cElkIjoiMDdkNjJhYzEtNWFhOC0zOWFmLWI0OWUtNTJkMjA4OGFjNTcxIiwiYXV0aG9yIjpbeyJmYW1pbHkiOiJUaW5heiIsImdpdmVuIjoiUyIsInBhcnNlLW5hbWVzIjpmYWxzZSwiZHJvcHBpbmctcGFydGljbGUiOiIiLCJub24tZHJvcHBpbmctcGFydGljbGUiOiIifSx7ImZhbWlseSI6Ik1hbG9uZSIsImdpdmVuIjoiUCIsInBhcnNlLW5hbWVzIjpmYWxzZSwiZHJvcHBpbmctcGFydGljbGUiOiIiLCJub24tZHJvcHBpbmctcGFydGljbGUiOiIifSx7ImZhbWlseSI6IkhhbGxldHQiLCJnaXZlbiI6Ik0iLCJwYXJzZS1uYW1lcyI6ZmFsc2UsImRyb3BwaW5nLXBhcnRpY2xlIjoiIiwibm9uLWRyb3BwaW5nLXBhcnRpY2xlIjoiIn0seyJmYW1pbHkiOiJIb3Jvdml0eiIsImdpdmVuIjoiUyBHIiwicGFyc2UtbmFtZXMiOmZhbHNlLCJkcm9wcGluZy1wYXJ0aWNsZSI6IiIsIm5vbi1kcm9wcGluZy1wYXJ0aWNsZSI6IiJ9XSwiY29udGFpbmVyLXRpdGxlIjoiTW92IERpc29yZCIsIkRPSSI6IjEwLjEwMDIvbWRzLjI2MjMwIiwiUE1JRCI6IjI1ODU1MDg5IiwiVVJMIjoiaHR0cHM6Ly9tb3ZlbWVudGRpc29yZGVycy1vbmxpbmVsaWJyYXJ5LXdpbGV5LWNvbS5wcm94eS5saWJyYXJ5LnZhbmRlcmJpbHQuZWR1L2RvaS9mdWxsLzEwLjEwMDIvbWRzLjI2MjMwIiwiaXNzdWVkIjp7ImRhdGUtcGFydHMiOltbMjAxNV1dfSwicGFnZSI6IjExOTAtMTE5NyIsImFic3RyYWN0IjoiQkFDS0dST1VORDogVGhlIG1pZC1wb3N0ZXJpb3IgcGFydCBvZiB0aGUgaW5zdWxhIGlzIGludm9sdmVkIGluIHByb2Nlc3NpbmcgYm9kaWx5IHNlbnNhdGlvbnMgYW5kIHVyZ2VzIGFuZCBpcyBhY3RpdmF0ZWQgZHVyaW5nIHRpYyBnZW5lcmF0aW9uIGluIFRvdXJldHRlIHN5bmRyb21lLiBUaGUgZG9yc2FsIGFudGVyaW9yIHBhcnQgb2YgdGhlIGluc3VsYSwgaG93ZXZlciwgaW50ZWdyYXRlcyBzZW5zb3J5IGFuZCBlbW90aW9uYWwgaW5mb3JtYXRpb24gd2l0aCBjb2duaXRpdmUgdmFsdWF0aW9uIGFuZCBpcyBpbXBsaWNhdGVkIGluIGludGVyb2NlcHRpb24uIFRoZSByaWdodCBkb3JzYWwgYW50ZXJpb3IgaW5zdWxhIGFsc28gcGFydGljaXBhdGVzIGluIHVyZ2Ugc3VwcHJlc3Npb24gaW4gaGVhbHRoeSBzdWJqZWN0cy4gVGhpcyBzdHVkeSBleGFtaW5lZCB0aGUgcm9sZSBvZiB0aGUgcmlnaHQgZG9yc2FsIGFudGVyaW9yIGluc3VsYSBpbiB0aGUgdXJnZSB0byB0aWMgaW4gVG91cmV0dGUgc3luZHJvbWUuIE1FVEhPRFM6IFJlc3Rpbmctc3RhdGUgZnVuY3Rpb25hbCBtYWduZXRpYyByZXNvbmFuY2UgaW1hZ2luZyB3YXMgcGVyZm9ybWVkIGluIDEzIGFkdWx0IFRvdXJldHRlIHBhdGllbnRzIGFuZCAxMyBtYXRjaGVkIGNvbnRyb2xzLiBUaGUgcm9sZSBvZiB0aGUgcmlnaHQgZG9yc2FsIGFudGVyaW9yIGluc3VsYSB3aXRoaW4gdGhlIHVyZ2UtdGljIG5ldHdvcmsgd2FzIGludmVzdGlnYXRlZCB1c2luZyBncmFwaCB0aGVvcnktYmFzZWQgbmV1cmFsIG5ldHdvcmsgYW5hbHlzaXMuIFRoZSBmdW5jdGlvbmFsIGNvbm5lY3Rpdml0eSBvZiB0aGUgcmlnaHQgZG9yc2FsIGFudGVyaW9yIGluc3VsYSB3YXMgYWxzbyBjb3JyZWxhdGVkIHdpdGggdXJnZSBhbmQgdGljIHNldmVyaXR5LiBSRVNVTFRTOiBFdmVuIHRob3VnaCB0aGUgcGF0aWVudHMgZGlkIG5vdCBleGhpYml0IGFueSBvdmVydCB0aWNzLCB0aGUgcmlnaHQgZG9yc2FsIGFudGVyaW9yIGluc3VsYSBkZW1vbnN0cmF0ZWQgaGlnaGVyIGNvbm5lY3Rpdml0eSwgZXNwZWNpYWxseSB3aXRoIHRoZSBmcm9udG9zdHJpYXRhbCBub2RlcyBvZiB0aGUgdXJnZS10aWMgbmV0d29yayBpbiBwYXRpZW50cyBjb21wYXJlZCB3aXRoIGNvbnRyb2xzLiBUaGUgZnVuY3Rpb25hbCBjb25uZWN0aXZpdHkgYmV0d2VlbiB0aGUgcmlnaHQgZG9yc2FsIGFudGVyaW9yIGluc3VsYSBhbmQgYmlsYXRlcmFsIHN1cHBsZW1lbnRhcnkgbW90b3IgYXJlYSBhbHNvIGNvcnJlbGF0ZWQgcG9zaXRpdmVseSB3aXRoIHVyZ2Ugc2V2ZXJpdHkgaW4gcGF0aWVudHMuIENPTkNMVVNJT05TOiBUaGVzZSByZXN1bHRzIHN1Z2dlc3QgdGhhdCB0aGUgcmlnaHQgZG9yc2FsIGFudGVyaW9yIGluc3VsYSBpcyBwYXJ0IG9mIHRoZSB1cmdlLXRpYyBuZXR3b3JrIGFuZCBjb3VsZCBpbmZsdWVuY2UgdGhlIHVyZ2UtIGFuZCB0aWMtcmVsYXRlZCBjb3J0aWNvLXN0cmlhdG8tdGhhbGFtaWMgcmVnaW9ucyBldmVuIGR1cmluZyByZXN0IGluIFRvdXJldHRlIHN5bmRyb21lLiBJdCBtaWdodCBiZSByZXNwb25zaWJsZSBmb3IgaGVpZ2h0ZW5lZCBhd2FyZW5lc3Mgb2YgYm9kaWx5IHNlbnNhdGlvbnMgZ2VuZXJhdGluZyBwcmVtb25pdG9yeSB1cmdlcyBpbiBUb3VyZXR0ZSBzeW5kcm9tZS4iLCJpc3N1ZSI6IjkiLCJ2b2x1bWUiOiIzMCIsImNvbnRhaW5lci10aXRsZS1zaG9ydCI6IiJ9LCJpc1RlbXBvcmFyeSI6ZmFsc2V9XX0="/>
                <w:id w:val="-1316481816"/>
                <w:placeholder>
                  <w:docPart w:val="DefaultPlaceholder_-1854013440"/>
                </w:placeholder>
              </w:sdtPr>
              <w:sdtContent>
                <w:r w:rsidR="00F04E9F" w:rsidRPr="00F04E9F">
                  <w:rPr>
                    <w:rFonts w:eastAsia="Times New Roman" w:cs="Times New Roman"/>
                    <w:color w:val="000000"/>
                    <w:sz w:val="16"/>
                    <w:szCs w:val="16"/>
                  </w:rPr>
                  <w:t>(89)</w:t>
                </w:r>
              </w:sdtContent>
            </w:sdt>
          </w:p>
        </w:tc>
        <w:tc>
          <w:tcPr>
            <w:tcW w:w="0" w:type="auto"/>
            <w:shd w:val="clear" w:color="auto" w:fill="FFFFFF"/>
            <w:hideMark/>
          </w:tcPr>
          <w:p w14:paraId="545D67A6"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13 adults with TS</w:t>
            </w:r>
          </w:p>
        </w:tc>
        <w:tc>
          <w:tcPr>
            <w:tcW w:w="1920" w:type="dxa"/>
            <w:shd w:val="clear" w:color="auto" w:fill="FFFFFF"/>
            <w:hideMark/>
          </w:tcPr>
          <w:p w14:paraId="1E5E2871"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resting state fMRI</w:t>
            </w:r>
          </w:p>
        </w:tc>
        <w:tc>
          <w:tcPr>
            <w:tcW w:w="4440" w:type="dxa"/>
            <w:shd w:val="clear" w:color="auto" w:fill="FFFFFF"/>
            <w:hideMark/>
          </w:tcPr>
          <w:p w14:paraId="1D42486D" w14:textId="6B18A57C"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PUTS scores </w:t>
            </w:r>
            <w:r w:rsidR="005315A8">
              <w:rPr>
                <w:rFonts w:eastAsia="Times New Roman" w:cs="Times New Roman"/>
                <w:color w:val="0D0D0D"/>
                <w:sz w:val="16"/>
                <w:szCs w:val="16"/>
              </w:rPr>
              <w:t xml:space="preserve">were </w:t>
            </w:r>
            <w:r w:rsidRPr="008A1F40">
              <w:rPr>
                <w:rFonts w:eastAsia="Times New Roman" w:cs="Times New Roman"/>
                <w:color w:val="0D0D0D"/>
                <w:sz w:val="16"/>
                <w:szCs w:val="16"/>
              </w:rPr>
              <w:t xml:space="preserve">positively associated with functional connectivity between </w:t>
            </w:r>
            <w:r w:rsidR="008B7729">
              <w:rPr>
                <w:rFonts w:eastAsia="Times New Roman" w:cs="Times New Roman"/>
                <w:color w:val="0D0D0D"/>
                <w:sz w:val="16"/>
                <w:szCs w:val="16"/>
              </w:rPr>
              <w:t xml:space="preserve">the </w:t>
            </w:r>
            <w:r w:rsidRPr="008A1F40">
              <w:rPr>
                <w:rFonts w:eastAsia="Times New Roman" w:cs="Times New Roman"/>
                <w:color w:val="0D0D0D"/>
                <w:sz w:val="16"/>
                <w:szCs w:val="16"/>
              </w:rPr>
              <w:t xml:space="preserve">right dorsal anterior insula and </w:t>
            </w:r>
            <w:r w:rsidR="00AC097C">
              <w:rPr>
                <w:rFonts w:eastAsia="Times New Roman" w:cs="Times New Roman"/>
                <w:color w:val="0D0D0D"/>
                <w:sz w:val="16"/>
                <w:szCs w:val="16"/>
              </w:rPr>
              <w:t xml:space="preserve">the </w:t>
            </w:r>
            <w:r w:rsidRPr="008A1F40">
              <w:rPr>
                <w:rFonts w:eastAsia="Times New Roman" w:cs="Times New Roman"/>
                <w:color w:val="0D0D0D"/>
                <w:sz w:val="16"/>
                <w:szCs w:val="16"/>
              </w:rPr>
              <w:t xml:space="preserve">right SMA2 </w:t>
            </w:r>
            <w:r w:rsidRPr="008A1F40">
              <w:rPr>
                <w:rFonts w:cs="Times New Roman"/>
                <w:color w:val="000000" w:themeColor="text1"/>
                <w:sz w:val="16"/>
                <w:szCs w:val="16"/>
              </w:rPr>
              <w:t>(</w:t>
            </w:r>
            <w:r w:rsidR="00FC3EDD">
              <w:rPr>
                <w:rFonts w:cs="Times New Roman"/>
                <w:color w:val="000000" w:themeColor="text1"/>
                <w:sz w:val="16"/>
                <w:szCs w:val="16"/>
              </w:rPr>
              <w:t xml:space="preserve">F = 9.49, t = 3.08, </w:t>
            </w:r>
            <w:r w:rsidRPr="008A1F40">
              <w:rPr>
                <w:rFonts w:cs="Times New Roman"/>
                <w:color w:val="000000" w:themeColor="text1"/>
                <w:sz w:val="16"/>
                <w:szCs w:val="16"/>
              </w:rPr>
              <w:t>p = 0.012)</w:t>
            </w:r>
            <w:r w:rsidR="00A50BE1">
              <w:rPr>
                <w:rFonts w:eastAsia="Times New Roman" w:cs="Times New Roman"/>
                <w:color w:val="0D0D0D"/>
                <w:sz w:val="16"/>
                <w:szCs w:val="16"/>
              </w:rPr>
              <w:t xml:space="preserve"> and</w:t>
            </w:r>
            <w:r w:rsidRPr="008A1F40">
              <w:rPr>
                <w:rFonts w:eastAsia="Times New Roman" w:cs="Times New Roman"/>
                <w:color w:val="0D0D0D"/>
                <w:sz w:val="16"/>
                <w:szCs w:val="16"/>
              </w:rPr>
              <w:t xml:space="preserve"> left SMA1 </w:t>
            </w:r>
            <w:r w:rsidRPr="008A1F40">
              <w:rPr>
                <w:rFonts w:cs="Times New Roman"/>
                <w:color w:val="000000" w:themeColor="text1"/>
                <w:sz w:val="16"/>
                <w:szCs w:val="16"/>
              </w:rPr>
              <w:t>(</w:t>
            </w:r>
            <w:r w:rsidR="00FC3EDD">
              <w:rPr>
                <w:rFonts w:cs="Times New Roman"/>
                <w:color w:val="000000" w:themeColor="text1"/>
                <w:sz w:val="16"/>
                <w:szCs w:val="16"/>
              </w:rPr>
              <w:t xml:space="preserve">F = 5.78, t = 2.40, </w:t>
            </w:r>
            <w:r w:rsidRPr="008A1F40">
              <w:rPr>
                <w:rFonts w:cs="Times New Roman"/>
                <w:color w:val="000000" w:themeColor="text1"/>
                <w:sz w:val="16"/>
                <w:szCs w:val="16"/>
              </w:rPr>
              <w:t xml:space="preserve">p = 0.037) in multiple regression </w:t>
            </w:r>
            <w:r w:rsidR="007A09EE">
              <w:rPr>
                <w:rFonts w:cs="Times New Roman"/>
                <w:color w:val="000000" w:themeColor="text1"/>
                <w:sz w:val="16"/>
                <w:szCs w:val="16"/>
              </w:rPr>
              <w:t xml:space="preserve">analysis </w:t>
            </w:r>
            <w:r w:rsidRPr="008A1F40">
              <w:rPr>
                <w:rFonts w:cs="Times New Roman"/>
                <w:color w:val="000000" w:themeColor="text1"/>
                <w:sz w:val="16"/>
                <w:szCs w:val="16"/>
              </w:rPr>
              <w:t>(see publication for MNI coordinates corresponding to “SMA1” and “SMA2”</w:t>
            </w:r>
            <w:r w:rsidR="00D84A0C">
              <w:rPr>
                <w:rFonts w:cs="Times New Roman"/>
                <w:color w:val="000000" w:themeColor="text1"/>
                <w:sz w:val="16"/>
                <w:szCs w:val="16"/>
              </w:rPr>
              <w:t>)</w:t>
            </w:r>
            <w:r w:rsidRPr="008A1F40">
              <w:rPr>
                <w:rFonts w:eastAsia="Times New Roman" w:cs="Times New Roman"/>
                <w:color w:val="0D0D0D"/>
                <w:sz w:val="16"/>
                <w:szCs w:val="16"/>
              </w:rPr>
              <w:t>.</w:t>
            </w:r>
          </w:p>
        </w:tc>
      </w:tr>
      <w:tr w:rsidR="00986E35" w:rsidRPr="008A1F40" w14:paraId="4B515D0F" w14:textId="77777777" w:rsidTr="007F77D2">
        <w:trPr>
          <w:tblCellSpacing w:w="15" w:type="dxa"/>
        </w:trPr>
        <w:tc>
          <w:tcPr>
            <w:tcW w:w="0" w:type="auto"/>
            <w:shd w:val="clear" w:color="auto" w:fill="FFFFFF"/>
          </w:tcPr>
          <w:p w14:paraId="65A5A63E" w14:textId="1ED0B10D"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Rae et al (2018)</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TdkZWUzNTItOTExMi00YTg2LTljMzktZTdjNDU2OTNiZDljIiwicHJvcGVydGllcyI6eyJub3RlSW5kZXgiOjB9LCJpc0VkaXRlZCI6ZmFsc2UsIm1hbnVhbE92ZXJyaWRlIjp7ImlzTWFudWFsbHlPdmVycmlkZGVuIjpmYWxzZSwiY2l0ZXByb2NUZXh0IjoiKDkwKSIsIm1hbnVhbE92ZXJyaWRlVGV4dCI6IiJ9LCJjaXRhdGlvbkl0ZW1zIjpbeyJpZCI6ImViNjBiZjMwLWFkYjUtMzAzYS04NzRiLTZmMGE0ODc2OTdiMiIsIml0ZW1EYXRhIjp7InR5cGUiOiJhcnRpY2xlLWpvdXJuYWwiLCJpZCI6ImViNjBiZjMwLWFkYjUtMzAzYS04NzRiLTZmMGE0ODc2OTdiMiIsInRpdGxlIjoiRmFjZSBwZXJjZXB0aW9uIGVuaGFuY2VzIGluc3VsYSBhbmQgbW90b3IgbmV0d29yayByZWFjdGl2aXR5IGluIFRvdXJldHRlIHN5bmRyb21lIiwiZ3JvdXBJZCI6IjA3ZDYyYWMxLTVhYTgtMzlhZi1iNDllLTUyZDIwODhhYzU3MSIsImF1dGhvciI6W3siZmFtaWx5IjoiUmFlIiwiZ2l2ZW4iOiJDIEwiLCJwYXJzZS1uYW1lcyI6ZmFsc2UsImRyb3BwaW5nLXBhcnRpY2xlIjoiIiwibm9uLWRyb3BwaW5nLXBhcnRpY2xlIjoiIn0seyJmYW1pbHkiOiJQb2x5YW5za2EiLCJnaXZlbiI6IkwiLCJwYXJzZS1uYW1lcyI6ZmFsc2UsImRyb3BwaW5nLXBhcnRpY2xlIjoiIiwibm9uLWRyb3BwaW5nLXBhcnRpY2xlIjoiIn0seyJmYW1pbHkiOiJHb3VsZCB2YW4gUHJhYWciLCJnaXZlbiI6IkMgRCIsInBhcnNlLW5hbWVzIjpmYWxzZSwiZHJvcHBpbmctcGFydGljbGUiOiIiLCJub24tZHJvcHBpbmctcGFydGljbGUiOiIifSx7ImZhbWlseSI6IlBhcmtpbnNvbiIsImdpdmVuIjoiSiIsInBhcnNlLW5hbWVzIjpmYWxzZSwiZHJvcHBpbmctcGFydGljbGUiOiIiLCJub24tZHJvcHBpbmctcGFydGljbGUiOiIifSx7ImZhbWlseSI6IkJvdXlhZ291YiIsImdpdmVuIjoiUyIsInBhcnNlLW5hbWVzIjpmYWxzZSwiZHJvcHBpbmctcGFydGljbGUiOiIiLCJub24tZHJvcHBpbmctcGFydGljbGUiOiIifSx7ImZhbWlseSI6Ik5hZ2FpIiwiZ2l2ZW4iOiJZIiwicGFyc2UtbmFtZXMiOmZhbHNlLCJkcm9wcGluZy1wYXJ0aWNsZSI6IiIsIm5vbi1kcm9wcGluZy1wYXJ0aWNsZSI6IiJ9LHsiZmFtaWx5IjoiU2V0aCIsImdpdmVuIjoiQSBLIiwicGFyc2UtbmFtZXMiOmZhbHNlLCJkcm9wcGluZy1wYXJ0aWNsZSI6IiIsIm5vbi1kcm9wcGluZy1wYXJ0aWNsZSI6IiJ9LHsiZmFtaWx5IjoiSGFycmlzb24iLCJnaXZlbiI6Ik4gQSIsInBhcnNlLW5hbWVzIjpmYWxzZSwiZHJvcHBpbmctcGFydGljbGUiOiIiLCJub24tZHJvcHBpbmctcGFydGljbGUiOiIifSx7ImZhbWlseSI6IkdhcmZpbmtlbCIsImdpdmVuIjoiUyBOIiwicGFyc2UtbmFtZXMiOmZhbHNlLCJkcm9wcGluZy1wYXJ0aWNsZSI6IiIsIm5vbi1kcm9wcGluZy1wYXJ0aWNsZSI6IiJ9LHsiZmFtaWx5IjoiQ3JpdGNobGV5IiwiZ2l2ZW4iOiJIIEQiLCJwYXJzZS1uYW1lcyI6ZmFsc2UsImRyb3BwaW5nLXBhcnRpY2xlIjoiIiwibm9uLWRyb3BwaW5nLXBhcnRpY2xlIjoiIn1dLCJjb250YWluZXItdGl0bGUiOiJCcmFpbiIsIkRPSSI6IjEwLjEwOTMvYnJhaW4vYXd5MjU0IiwiUE1JRCI6IjMwMzQ2NDg0IiwiVVJMIjoiaHR0cHM6Ly93YXRlcm1hcmsuc2lsdmVyY2hhaXIuY29tL2F3eTI1NC5wZGY/dG9rZW49QVFFQ0FIaTIwOEJFNDlPb2FuOWtraFdfRXJjeTdEbTNaTF85Q2YzcWZLQWM0ODV5c2dBQUFza3dnZ0xGQmdrcWhraUc5dzBCQndhZ2dnSzJNSUlDc2dJQkFEQ0NBcXNHQ1NxR1NJYjNEUUVIQVRBZUJnbGdoa2dCWlFNRUFTNHdFUVFNTXNUOUljTTEtTXdBTkkxVEFnRVFnSUlDZk1uc0FZTElrczFYQjlCNGQyRGVmMDV3WGpzLV9zT19iN0d0NDNiZFhyR2lfUllNIiwiaXNzdWVkIjp7ImRhdGUtcGFydHMiOltbMjAxOF1dfSwicGFnZSI6IjMyNDktMzI2MSIsImFic3RyYWN0IjoiVG91cmV0dGUgc3luZHJvbWUgaXMgYSBuZXVyb2RldmVsb3BtZW50YWwgZGlzb3JkZXIsIGNoYXJhY3Rlcml6ZWQgYnkgbW90b3IgYW5kIHBob25pYyB0aWNzLiBUaWNzIGFyZSB0eXBpY2FsbHkgZXhwZXJpZW5jZWQgYXMgYXZvbGl0aW9uYWwsIGNvbXB1bHNpdmUsIGFuZCBhc3NvY2lhdGVkIHdpdGggcHJlbW9uaXRvcnkgdXJnZXMuIFRoZXkgYXJlIGV4YWNlcmJhdGVkIGJ5IHN0cmVzcyBhbmQgY2FuIGJlIHRyaWdnZXJlZCBieSBleHRlcm5hbCBzdGltdWxpLCBpbmNsdWRpbmcgc29jaWFsIGN1ZXMgbGlrZSB0aGUgYWN0aW9ucyBhbmQgZmFjaWFsIGV4cHJlc3Npb25zIG9mIG90aGVycy4gSW1wb3J0YW50bHksIGVtb3Rpb25hbCBzb2NpYWwgc3RpbXVsaSwgd2l0aCBhbmdyeSBmYWNpYWwgc3RpbXVsaSBwb3RlbnRpYWxseSB0aGUgbW9zdCBwb3RlbnQgc29jaWFsIHRocmVhdCBjdWUsIGFsc28gdHJpZ2dlciBiZWhhdmlvdXJhbCByZWFjdGlvbnMgaW4gaGVhbHRoeSBpbmRpdmlkdWFscywgc3VnZ2VzdGluZyB0aGF0IHN1Y2ggbWVjaGFuaXNtcyBtYXkgYmUgcGFydGljdWxhcmx5IHNlbnNpdGl2ZSBpbiBwZW9wbGUgd2l0aCBUb3VyZXR0ZSBzeW5kcm9tZS4gVHdlbnR5LW9uZSBwYXJ0aWNpcGFudHMgd2l0aCBUb3VyZXR0ZSBzeW5kcm9tZSBhbmQgMjEgaGVhbHRoeSBjb250cm9scyB1bmRlcndlbnQgZnVuY3Rpb25hbCBNUkkgd2hpbGUgdmlld2luZyBmYWNlcyB3ZWFyaW5nIGVpdGhlciBuZXV0cmFsIG9yIGFuZ3J5IGV4cHJlc3Npb25zIHRvIHF1YW50aWZ5IGdyb3VwIGRpZmZlcmVuY2VzIGluIG5ldXJhbCBhY3Rpdml0eSBhc3NvY2lhdGVkIHdpdGggcHJvY2Vzc2luZyBzb2NpYWwgaW5mb3JtYXRpb24uIFNpbXVsdGFuZW91cyB2aWRlbyByZWNvcmRpbmdzIG9mIHBhcnRpY2lwYW50cyBkdXJpbmcgbmV1cm9pbWFnaW5nIGVuYWJsZWQgdXMgdG8gbW9kZWwgY29uZm91bmRpbmcgZWZmZWN0cyBvZiB0aWNzIG9uIHRhc2stcmVsYXRlZCByZXNwb25zZXMgdG8gdGhlIHByb2Nlc3Npbmcgb2YgZmFjZXMuIEluIGJvdGggVG91cmV0dGUgc3luZHJvbWUgYW5kIGNvbnRyb2wgcGFydGljaXBhbnRzLCBmYWNlIHN0aW11bGkgZXZva2VkIGVuaGFuY2VkIGFjdGl2YXRpb24gd2l0aGluIGNhbm9uaWNhbCBmYWNlIHBlcmNlcHRpb24gcmVnaW9ucywgaW5jbHVkaW5nIHRoZSBvY2NpcGl0YWwgZmFjZSBhcmVhIGFuZCBmdXNpZm9ybSBmYWNlIGFyZWEuIEhvd2V2ZXIsIHRoZSBUb3VyZXR0ZSBzeW5kcm9tZSBncm91cCBzaG93ZWQgYWRkaXRpb25hbCByZXNwb25zZXMgd2l0aGluIHRoZSBhbnRlcmlvciBpbnN1bGEgdG8gYm90aCBuZXV0cmFsIGFuZCBhbmdyeSBmYWNlcy4gRnVuY3Rpb25hbCBjb25uZWN0aXZpdHkgZHVyaW5nIGZhY2Ugdmlld2luZyB3YXMgdGhlbiBleGFtaW5lZCBpbiBhIHNlcmllcyBvZiBwc3ljaG9waHlzaW9sb2dpY2FsIGludGVyYWN0aW9ucy4gSW4gcGFydGljaXBhbnRzIHdpdGggVG91cmV0dGUgc3luZHJvbWUsIHRoZSBpbnN1bGEgc2hvd2VkIGZ1bmN0aW9uYWwgY29ubmVjdGl2aXR5IHdpdGggYSBzZXQgb2YgY29ydGljYWwgcmVnaW9ucyBwcmV2aW91c2x5IGltcGxpY2F0ZWQgaW4gdGljIGdlbmVyYXRpb246IHRoZSBwcmVzdXBwbGVtZW50YXJ5IG1vdG9yIGFyZWEsIHByZW1vdG9yIGNvcnRleCwgcHJpbWFyeSBtb3RvciBjb3J0ZXgsIGFuZCB0aGUgcHV0YW1lbi4gRnVydGhlcm1vcmUsIGluc3VsYSBmdW5jdGlvbmFsIGNvbm5lY3Rpdml0eSB3aXRoIHRoZSBnbG9idXMgcGFsbGlkdXMgYW5kIHRoYWxhbXVzIHZhcmllZCBpbiBwcm9wb3J0aW9uIHRvIHRpYyBzZXZlcml0eSwgd2hpbGUgc3VwcGxlbWVudGFyeSBtb3RvciBhcmVhIGNvbm5lY3Rpdml0eSB2YXJpZWQgaW4gcHJvcG9ydGlvbiB0byBwcmVtb25pdG9yeSBzZW5zYXRpb25zLCB3aXRoIGluc3VsYSBjb25uZWN0aXZpdHkgdG8gdGhlc2UgcmVnaW9ucyBpbmNyZWFzaW5nIHRvIGEgZ3JlYXRlciBleHRlbnQgaW4gcGF0aWVudHMgd2l0aCB3b3JzZSBzeW1wdG9tIHNldmVyaXR5LiBJbiBhZGRpdGlvbiwgdGhlIG9jY2lwaXRhbCBmYWNlIGFyZWEgc2hvd2VkIGluY3JlYXNlZCBmdW5jdGlvbmFsIGNvbm5lY3Rpdml0eSBpbiBUb3VyZXR0ZSBzeW5kcm9tZSBwYXJ0aWNpcGFudHMgd2l0aCBwb3N0ZXJpb3IgY29ydGljYWwgcmVnaW9ucywgaW5jbHVkaW5nIHByaW1hcnkgc29tYXRvc2Vuc29yeSBjb3J0ZXgsIGFuZCBvY2NpcGl0YWwgZmFjZSBhcmVhIGNvbm5lY3Rpdml0eSB3aXRoIHByaW1hcnkgc29tYXRvc2Vuc29yeSBhbmQgcHJpbWFyeSBtb3RvciBjb3J0aWNlcyB2YXJpZWQgaW4gcHJvcG9ydGlvbiB0byB0aWMgc2V2ZXJpdHkuIFRoZXJlIHdlcmUgbm8gc2lnbmlmaWNhbnQgcHN5Y2hvcGh5c2lvbG9naWNhbCBpbnRlcmFjdGlvbnMgaW4gY29udHJvbHMuIFRoZXNlIGZpbmRpbmdzIGhpZ2hsaWdodCBhIHBvdGVudGlhbCBtZWNoYW5pc20gaW4gVG91cmV0dGUgc3luZHJvbWUgdGhyb3VnaCB3aGljaCBoZWlnaHRlbmVkIHJlcHJlc2VudGF0aW9uIHdpdGhpbiBpbnN1bGFyIGNvcnRleCBvZiBlbWJvZGllZCBhZmZlY3RpdmUgc29jaWFsIGluZm9ybWF0aW9uIG1heSBpbXBhY3QgdGhlIHJlYWN0aXZpdHkgb2Ygc3ViY29ydGljYWwgbW90b3IgcGF0aHdheXMsIHN1cHBvcnRpbmcgcHJvZ3JhbW1lZCBtb3RvciBhY3Rpb25zIHRoYXQgYXJlIGNhdXNhbGx5IGltcGxpY2F0ZWQgaW4gdGljIGdlbmVyYXRpb24uIE1lZGljaW5hbCBhbmQgcHN5Y2hvbG9naWNhbCB0aGVyYXBpZXMgdGhhdCBmb2N1cyBvbiByZWR1Y2luZyBpbnN1bGFyIGh5cGVyLXJlYWN0aXZpdHkgdG8gc29jaWFsIHN0aW11bGkgbWF5IGhhdmUgcG90ZW50aWFsIGJlbmVmaXQgZm9yIHRpYyByZWR1Y3Rpb24gaW4gcGVvcGxlIHdpdGggVG91cmV0dGUgc3luZHJvbWUuIiwiaXNzdWUiOiIxMSIsInZvbHVtZSI6IjE0MSIsImNvbnRhaW5lci10aXRsZS1zaG9ydCI6IiJ9LCJpc1RlbXBvcmFyeSI6ZmFsc2V9XX0="/>
                <w:id w:val="-324439092"/>
                <w:placeholder>
                  <w:docPart w:val="DefaultPlaceholder_-1854013440"/>
                </w:placeholder>
              </w:sdtPr>
              <w:sdtContent>
                <w:r w:rsidR="00F04E9F" w:rsidRPr="00F04E9F">
                  <w:rPr>
                    <w:rFonts w:eastAsia="Times New Roman" w:cs="Times New Roman"/>
                    <w:color w:val="000000"/>
                    <w:sz w:val="16"/>
                    <w:szCs w:val="16"/>
                  </w:rPr>
                  <w:t>(90)</w:t>
                </w:r>
              </w:sdtContent>
            </w:sdt>
          </w:p>
        </w:tc>
        <w:tc>
          <w:tcPr>
            <w:tcW w:w="0" w:type="auto"/>
            <w:shd w:val="clear" w:color="auto" w:fill="FFFFFF"/>
          </w:tcPr>
          <w:p w14:paraId="1EE78925"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21 adults with TS</w:t>
            </w:r>
          </w:p>
        </w:tc>
        <w:tc>
          <w:tcPr>
            <w:tcW w:w="1920" w:type="dxa"/>
            <w:shd w:val="clear" w:color="auto" w:fill="FFFFFF"/>
          </w:tcPr>
          <w:p w14:paraId="33850425" w14:textId="40A47A9A"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fMRI (</w:t>
            </w:r>
            <w:r w:rsidR="00785F24">
              <w:rPr>
                <w:rFonts w:cs="Times New Roman"/>
                <w:color w:val="000000" w:themeColor="text1"/>
                <w:sz w:val="16"/>
                <w:szCs w:val="16"/>
              </w:rPr>
              <w:t xml:space="preserve">while undergoing </w:t>
            </w:r>
            <w:r w:rsidR="00785F24" w:rsidRPr="008A1F40">
              <w:rPr>
                <w:rFonts w:cs="Times New Roman"/>
                <w:color w:val="000000" w:themeColor="text1"/>
                <w:sz w:val="16"/>
                <w:szCs w:val="16"/>
              </w:rPr>
              <w:t>fMRI</w:t>
            </w:r>
            <w:r w:rsidR="00785F24">
              <w:rPr>
                <w:rFonts w:cs="Times New Roman"/>
                <w:color w:val="000000" w:themeColor="text1"/>
                <w:sz w:val="16"/>
                <w:szCs w:val="16"/>
              </w:rPr>
              <w:t>,</w:t>
            </w:r>
            <w:r w:rsidR="00785F24" w:rsidRPr="008A1F40" w:rsidDel="00785F24">
              <w:rPr>
                <w:rFonts w:eastAsia="Times New Roman" w:cs="Times New Roman"/>
                <w:color w:val="0D0D0D"/>
                <w:sz w:val="16"/>
                <w:szCs w:val="16"/>
              </w:rPr>
              <w:t xml:space="preserve"> </w:t>
            </w:r>
            <w:r w:rsidRPr="008A1F40">
              <w:rPr>
                <w:rFonts w:cs="Times New Roman"/>
                <w:color w:val="000000" w:themeColor="text1"/>
                <w:sz w:val="16"/>
                <w:szCs w:val="16"/>
              </w:rPr>
              <w:t>participants completed a face perception in which they viewed angry or neutral faces and were instructed to report whether the face was male or female)</w:t>
            </w:r>
          </w:p>
        </w:tc>
        <w:tc>
          <w:tcPr>
            <w:tcW w:w="4440" w:type="dxa"/>
            <w:shd w:val="clear" w:color="auto" w:fill="FFFFFF"/>
          </w:tcPr>
          <w:p w14:paraId="10FCBFA8" w14:textId="6F01D75F" w:rsidR="00986E35" w:rsidRPr="008A1F40" w:rsidRDefault="00986E35" w:rsidP="007F77D2">
            <w:pPr>
              <w:rPr>
                <w:rFonts w:eastAsia="Times New Roman" w:cs="Times New Roman"/>
                <w:color w:val="0D0D0D"/>
                <w:sz w:val="16"/>
                <w:szCs w:val="16"/>
              </w:rPr>
            </w:pPr>
            <w:r w:rsidRPr="008A1F40">
              <w:rPr>
                <w:rFonts w:eastAsia="Times New Roman" w:cs="Times New Roman"/>
                <w:color w:val="000000"/>
                <w:sz w:val="16"/>
                <w:szCs w:val="16"/>
              </w:rPr>
              <w:t>Contrasts in both the neutral face and angry face conditions (relative to baseline) were not significantly associated with PUTS scores. However, functional connectivity between the insula and the following regions was positively associated with PUTS scores</w:t>
            </w:r>
            <w:r w:rsidR="00806264">
              <w:rPr>
                <w:rFonts w:eastAsia="Times New Roman" w:cs="Times New Roman"/>
                <w:color w:val="000000"/>
                <w:sz w:val="16"/>
                <w:szCs w:val="16"/>
              </w:rPr>
              <w:t xml:space="preserve"> (p &lt; 0.05 FDR cluster corrected; </w:t>
            </w:r>
            <w:r w:rsidR="00806264" w:rsidRPr="00806264">
              <w:rPr>
                <w:rFonts w:eastAsia="Times New Roman" w:cs="Times New Roman"/>
                <w:color w:val="000000"/>
                <w:sz w:val="16"/>
                <w:szCs w:val="16"/>
              </w:rPr>
              <w:t>cluster-forming threshold: p&lt;0.001)</w:t>
            </w:r>
            <w:r w:rsidRPr="008A1F40">
              <w:rPr>
                <w:rFonts w:eastAsia="Times New Roman" w:cs="Times New Roman"/>
                <w:color w:val="000000"/>
                <w:sz w:val="16"/>
                <w:szCs w:val="16"/>
              </w:rPr>
              <w:t xml:space="preserve">: </w:t>
            </w:r>
            <w:r w:rsidRPr="008A1F40">
              <w:rPr>
                <w:rFonts w:eastAsia="Times New Roman" w:cs="Times New Roman"/>
                <w:color w:val="000000"/>
                <w:sz w:val="16"/>
                <w:szCs w:val="16"/>
                <w:highlight w:val="white"/>
              </w:rPr>
              <w:t>SMA, posterior cingulate, precuneus, and fusiform gyrus/cerebellum</w:t>
            </w:r>
          </w:p>
        </w:tc>
      </w:tr>
      <w:tr w:rsidR="00986E35" w:rsidRPr="008A1F40" w14:paraId="19BE0B75" w14:textId="77777777" w:rsidTr="007F77D2">
        <w:trPr>
          <w:tblCellSpacing w:w="15" w:type="dxa"/>
        </w:trPr>
        <w:tc>
          <w:tcPr>
            <w:tcW w:w="0" w:type="auto"/>
            <w:shd w:val="clear" w:color="auto" w:fill="FFFFFF"/>
            <w:hideMark/>
          </w:tcPr>
          <w:p w14:paraId="0B6BD7CD" w14:textId="50C1E40B"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lastRenderedPageBreak/>
              <w:t>Bhikram et al (2020)</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mZmMjE0ZGUtYmE2Yy00YzYwLTlhNTAtMzQ4MTk5MmU4NTk0IiwicHJvcGVydGllcyI6eyJub3RlSW5kZXgiOjB9LCJpc0VkaXRlZCI6ZmFsc2UsIm1hbnVhbE92ZXJyaWRlIjp7ImlzTWFudWFsbHlPdmVycmlkZGVuIjpmYWxzZSwiY2l0ZXByb2NUZXh0IjoiKDkxKSIsIm1hbnVhbE92ZXJyaWRlVGV4dCI6IiJ9LCJjaXRhdGlvbkl0ZW1zIjpbeyJpZCI6IjMxOTQwYWQ2LTQ3OTktMzU0OC1iYTllLTE5YmZjYTYzYzdmYyIsIml0ZW1EYXRhIjp7InR5cGUiOiJhcnRpY2xlLWpvdXJuYWwiLCJpZCI6IjMxOTQwYWQ2LTQ3OTktMzU0OC1iYTllLTE5YmZjYTYzYzdmYyIsInRpdGxlIjoiVGhlIGZ1bmN0aW9uYWwgY29ubmVjdGl2aXR5IHByb2ZpbGUgb2YgdGljcyBhbmQgb2JzZXNzaXZlLWNvbXB1bHNpdmUgc3ltcHRvbXMgaW4gVG91cmV0dGUgU3luZHJvbWUiLCJncm91cElkIjoiMDdkNjJhYzEtNWFhOC0zOWFmLWI0OWUtNTJkMjA4OGFjNTcxIiwiYXV0aG9yIjpbeyJmYW1pbHkiOiJCaGlrcmFtIiwiZ2l2ZW4iOiJUIiwicGFyc2UtbmFtZXMiOmZhbHNlLCJkcm9wcGluZy1wYXJ0aWNsZSI6IiIsIm5vbi1kcm9wcGluZy1wYXJ0aWNsZSI6IiJ9LHsiZmFtaWx5IjoiQXJub2xkIiwiZ2l2ZW4iOiJQIiwicGFyc2UtbmFtZXMiOmZhbHNlLCJkcm9wcGluZy1wYXJ0aWNsZSI6IiIsIm5vbi1kcm9wcGluZy1wYXJ0aWNsZSI6IiJ9LHsiZmFtaWx5IjoiQ3Jhd2xleSIsImdpdmVuIjoiQSIsInBhcnNlLW5hbWVzIjpmYWxzZSwiZHJvcHBpbmctcGFydGljbGUiOiIiLCJub24tZHJvcHBpbmctcGFydGljbGUiOiIifSx7ImZhbWlseSI6IkFiaS1KYW91ZGUiLCJnaXZlbiI6IkUiLCJwYXJzZS1uYW1lcyI6ZmFsc2UsImRyb3BwaW5nLXBhcnRpY2xlIjoiIiwibm9uLWRyb3BwaW5nLXBhcnRpY2xlIjoiIn0seyJmYW1pbHkiOiJTYW5kb3IiLCJnaXZlbiI6IlAiLCJwYXJzZS1uYW1lcyI6ZmFsc2UsImRyb3BwaW5nLXBhcnRpY2xlIjoiIiwibm9uLWRyb3BwaW5nLXBhcnRpY2xlIjoiIn1dLCJjb250YWluZXItdGl0bGUiOiJKIFBzeWNoaWF0ciBSZXMiLCJET0kiOiIxMC4xMDE2L2ouanBzeWNoaXJlcy4yMDIwLjAxLjAxOSIsIlBNSUQiOiIzMjA2NTk0OCIsImlzc3VlZCI6eyJkYXRlLXBhcnRzIjpbWzIwMjBdXX0sInBhZ2UiOiIxMjgtMTM1IiwiYWJzdHJhY3QiOiJUb3VyZXR0ZSBTeW5kcm9tZSAoVFMpIGlzIGNoYXJhY3Rlcml6ZWQgYnkgdGhlIHByZXNlbmNlIG9mIHRpY3MgYW5kIHNlbnNvcnkgcGhlbm9tZW5hLCBzdWNoIGFzIHByZW1vbml0b3J5IHVyZ2VzLCBhbmQgaXMgb2Z0ZW4gYWNjb21wYW5pZWQgYnkgc2lnbmlmaWNhbnQgb2JzZXNzaXZlLWNvbXB1bHNpdmUgc3ltcHRvbXMgKE9DUykuIFRoZSBnb2FsIG9mIHRoaXMgZXhwbG9yYXRvcnkgc3R1ZHkgd2FzIHRvIGRldGVybWluZSB0aGUgYXNzb2NpYXRpb24gYmV0d2VlbiBmdW5jdGlvbmFsIGNvbm5lY3Rpdml0eSBhbmQgdGhlIGRpZmZlcmVudCBzeW1wdG9tIGRvbWFpbnMgb2YgVFMsIGFzIGxpdHRsZSBpcyBjdXJyZW50bHkga25vd24gYWJvdXQgaG93IHRoZXkgZGlmZmVyLiBSZXN0aW5nLXN0YXRlIGZ1bmN0aW9uYWwgbWFnbmV0aWMgcmVzb25hbmNlIGltYWdpbmcgd2FzIHBlcmZvcm1lZCBpbiAzOSBwYXRpZW50cyB3aXRoIFRTIGFuZCAyMCBtYXRjaGVkIGhlYWx0aHkgY29udHJvbHMuIFNlZWQtYmFzZWQgZnVuY3Rpb25hbCBjb25uZWN0aXZpdHkgb2YgdGhlIHN1cHBsZW1lbnRhcnkgbW90b3IgYXJlYSAoU01BKSwgb3JiaXRvZnJvbnRhbCBjb3J0ZXggKE9GQyksIGluc3VsYSwgY2F1ZGF0ZSBhbmQgcHV0YW1lbiB3ZXJlIGNvbXBhcmVkIGJldHdlZW4gdGhlIGdyb3VwcywgYW5kIGNvcnJlbGF0ZWQgd2l0aCBjbGluaWNhbCBtZWFzdXJlcyB3aXRoaW4gdGhlIHBhdGllbnQgZ3JvdXAuIFdoZW4gY29tcGFyZWQgdG8gY29udHJvbHMsIHBhdGllbnRzIHdpdGggVFMgZXhoaWJpdGVkIGdyZWF0ZXIgY29ubmVjdGl2aXR5IGJldHdlZW4gdGhlIHRlbXBvcmFsIGd5cmksIGluc3VsYSBhbmQgcHV0YW1lbiwgYW5kIGJldHdlZW4gdGhlIE9GQyBhbmQgY2luZ3VsYXRlIGNvcnRleC4gVGljIHNldmVyaXR5IHdhcyBhc3NvY2lhdGVkIHdpdGggZ3JlYXRlciBjb25uZWN0aXZpdHkgYmV0d2VlbiB0aGUgcHV0YW1lbiBhbmQgdGhlIHNlbnNvcmltb3RvciBjb3J0ZXg7IE9DUyBzZXZlcml0eSB3YXMgYXNzb2NpYXRlZCB3aXRoIGxlc3MgY29ubmVjdGl2aXR5IGJldHdlZW4gdGhlIFNNQSBhbmQgdGhhbGFtdXMgYW5kIGJldHdlZW4gdGhlIGNhdWRhdGUgYW5kIHByZWN1bmV1czsgYW5kIHByZW1vbml0b3J5IHVyZ2Ugc2V2ZXJpdHkgd2FzIGFzc29jaWF0ZWQgd2l0aCBsZXNzIGNvbm5lY3Rpdml0eSBiZXR3ZWVuIHRoZSBPRkMgYW5kIHNlbnNvcmltb3RvciBjb3J0ZXggYW5kIGJldHdlZW4gdGhlIGluZmVyaW9yIGZyb250YWwgZ3lydXMgYW5kIHRoZSBwdXRhbWVuIGFuZCBpbnN1bGEgc2VlZHMuIEZ1bmN0aW9uYWwgY29ubmVjdGl2aXR5IHdpdGhpbiBzZW5zb3JpbW90b3IgcHJvY2Vzc2luZyByZWdpb25zIHdlcmUgYXNzb2NpYXRlZCB3aXRoIGFsbCBvZiB0aGUgaW52ZXN0aWdhdGVkIHN5bXB0b20gZG9tYWlucywgaW5jbHVkaW5nIE9DUywgc3VnZ2VzdGluZyBkeXNmdW5jdGlvbnMgaW4gdGhlIHNlbnNvcmltb3RvciBzeXN0ZW0gbWF5IGV4cGxhaW4gbW9zdCBvZiB0aGUgb2JzZXJ2ZWQgc3ltcHRvbXMgaW4gVFMsIGFuZCBub3QganVzdCB0aWNzLiIsInZvbHVtZSI6IjEyMyIsImNvbnRhaW5lci10aXRsZS1zaG9ydCI6IiJ9LCJpc1RlbXBvcmFyeSI6ZmFsc2V9XX0="/>
                <w:id w:val="1130210118"/>
                <w:placeholder>
                  <w:docPart w:val="DefaultPlaceholder_-1854013440"/>
                </w:placeholder>
              </w:sdtPr>
              <w:sdtContent>
                <w:r w:rsidR="00F04E9F" w:rsidRPr="00F04E9F">
                  <w:rPr>
                    <w:rFonts w:eastAsia="Times New Roman" w:cs="Times New Roman"/>
                    <w:color w:val="000000"/>
                    <w:sz w:val="16"/>
                    <w:szCs w:val="16"/>
                  </w:rPr>
                  <w:t>(91)</w:t>
                </w:r>
              </w:sdtContent>
            </w:sdt>
          </w:p>
        </w:tc>
        <w:tc>
          <w:tcPr>
            <w:tcW w:w="0" w:type="auto"/>
            <w:shd w:val="clear" w:color="auto" w:fill="FFFFFF"/>
            <w:hideMark/>
          </w:tcPr>
          <w:p w14:paraId="434294A9"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40 adults with TS</w:t>
            </w:r>
          </w:p>
        </w:tc>
        <w:tc>
          <w:tcPr>
            <w:tcW w:w="1920" w:type="dxa"/>
            <w:shd w:val="clear" w:color="auto" w:fill="FFFFFF"/>
            <w:hideMark/>
          </w:tcPr>
          <w:p w14:paraId="6C4DF24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resting state fMRI</w:t>
            </w:r>
          </w:p>
        </w:tc>
        <w:tc>
          <w:tcPr>
            <w:tcW w:w="4440" w:type="dxa"/>
            <w:shd w:val="clear" w:color="auto" w:fill="FFFFFF"/>
            <w:hideMark/>
          </w:tcPr>
          <w:p w14:paraId="05549AA9" w14:textId="24D500C2"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PUTS scores </w:t>
            </w:r>
            <w:r w:rsidR="005F6425">
              <w:rPr>
                <w:rFonts w:eastAsia="Times New Roman" w:cs="Times New Roman"/>
                <w:color w:val="0D0D0D"/>
                <w:sz w:val="16"/>
                <w:szCs w:val="16"/>
              </w:rPr>
              <w:t xml:space="preserve">were </w:t>
            </w:r>
            <w:r w:rsidRPr="008A1F40">
              <w:rPr>
                <w:rFonts w:eastAsia="Times New Roman" w:cs="Times New Roman"/>
                <w:color w:val="0D0D0D"/>
                <w:sz w:val="16"/>
                <w:szCs w:val="16"/>
              </w:rPr>
              <w:t xml:space="preserve">negatively associated with functional connectivity between </w:t>
            </w:r>
            <w:r w:rsidR="00364647">
              <w:rPr>
                <w:rFonts w:eastAsia="Times New Roman" w:cs="Times New Roman"/>
                <w:color w:val="0D0D0D"/>
                <w:sz w:val="16"/>
                <w:szCs w:val="16"/>
              </w:rPr>
              <w:t xml:space="preserve">the </w:t>
            </w:r>
            <w:r w:rsidRPr="008A1F40">
              <w:rPr>
                <w:rFonts w:eastAsia="Times New Roman" w:cs="Times New Roman"/>
                <w:color w:val="0D0D0D"/>
                <w:sz w:val="16"/>
                <w:szCs w:val="16"/>
              </w:rPr>
              <w:t xml:space="preserve">insula and inferior frontal gyrus </w:t>
            </w:r>
            <w:r w:rsidRPr="008A1F40">
              <w:rPr>
                <w:rFonts w:cs="Times New Roman"/>
                <w:color w:val="000000" w:themeColor="text1"/>
                <w:sz w:val="16"/>
                <w:szCs w:val="16"/>
                <w:shd w:val="clear" w:color="auto" w:fill="FFFFFF"/>
              </w:rPr>
              <w:t>(</w:t>
            </w:r>
            <w:r w:rsidR="00FC3EDD">
              <w:rPr>
                <w:rFonts w:cs="Times New Roman"/>
                <w:color w:val="000000" w:themeColor="text1"/>
                <w:sz w:val="16"/>
                <w:szCs w:val="16"/>
                <w:shd w:val="clear" w:color="auto" w:fill="FFFFFF"/>
              </w:rPr>
              <w:t xml:space="preserve">t = 4.69, </w:t>
            </w:r>
            <w:r w:rsidRPr="008A1F40">
              <w:rPr>
                <w:rFonts w:cs="Times New Roman"/>
                <w:color w:val="000000" w:themeColor="text1"/>
                <w:sz w:val="16"/>
                <w:szCs w:val="16"/>
                <w:shd w:val="clear" w:color="auto" w:fill="FFFFFF"/>
              </w:rPr>
              <w:t>p = 0.029)</w:t>
            </w:r>
            <w:r w:rsidRPr="008A1F40">
              <w:rPr>
                <w:rFonts w:eastAsia="Times New Roman" w:cs="Times New Roman"/>
                <w:color w:val="0D0D0D"/>
                <w:sz w:val="16"/>
                <w:szCs w:val="16"/>
              </w:rPr>
              <w:t xml:space="preserve">, </w:t>
            </w:r>
            <w:r w:rsidR="009D41C3">
              <w:rPr>
                <w:rFonts w:eastAsia="Times New Roman" w:cs="Times New Roman"/>
                <w:color w:val="0D0D0D"/>
                <w:sz w:val="16"/>
                <w:szCs w:val="16"/>
              </w:rPr>
              <w:t xml:space="preserve">between </w:t>
            </w:r>
            <w:r w:rsidR="00B1527F">
              <w:rPr>
                <w:rFonts w:eastAsia="Times New Roman" w:cs="Times New Roman"/>
                <w:color w:val="0D0D0D"/>
                <w:sz w:val="16"/>
                <w:szCs w:val="16"/>
              </w:rPr>
              <w:t xml:space="preserve">the </w:t>
            </w:r>
            <w:r w:rsidRPr="008A1F40">
              <w:rPr>
                <w:rFonts w:eastAsia="Times New Roman" w:cs="Times New Roman"/>
                <w:color w:val="0D0D0D"/>
                <w:sz w:val="16"/>
                <w:szCs w:val="16"/>
              </w:rPr>
              <w:t xml:space="preserve">orbitofrontal cortex and pre/post central gyri </w:t>
            </w:r>
            <w:r w:rsidRPr="008A1F40">
              <w:rPr>
                <w:rFonts w:cs="Times New Roman"/>
                <w:color w:val="000000" w:themeColor="text1"/>
                <w:sz w:val="16"/>
                <w:szCs w:val="16"/>
              </w:rPr>
              <w:t>(</w:t>
            </w:r>
            <w:r w:rsidR="00FC3EDD">
              <w:rPr>
                <w:rFonts w:cs="Times New Roman"/>
                <w:color w:val="000000" w:themeColor="text1"/>
                <w:sz w:val="16"/>
                <w:szCs w:val="16"/>
              </w:rPr>
              <w:t xml:space="preserve">t = 5.65, </w:t>
            </w:r>
            <w:r w:rsidRPr="008A1F40">
              <w:rPr>
                <w:rFonts w:cs="Times New Roman"/>
                <w:color w:val="000000" w:themeColor="text1"/>
                <w:sz w:val="16"/>
                <w:szCs w:val="16"/>
              </w:rPr>
              <w:t>p &lt; 0.001)</w:t>
            </w:r>
            <w:r w:rsidRPr="008A1F40">
              <w:rPr>
                <w:rFonts w:eastAsia="Times New Roman" w:cs="Times New Roman"/>
                <w:color w:val="0D0D0D"/>
                <w:sz w:val="16"/>
                <w:szCs w:val="16"/>
              </w:rPr>
              <w:t xml:space="preserve">, and between the putamen and inferior frontal gyrus </w:t>
            </w:r>
            <w:r w:rsidRPr="008A1F40">
              <w:rPr>
                <w:rFonts w:cs="Times New Roman"/>
                <w:color w:val="000000" w:themeColor="text1"/>
                <w:sz w:val="16"/>
                <w:szCs w:val="16"/>
                <w:shd w:val="clear" w:color="auto" w:fill="FFFFFF"/>
              </w:rPr>
              <w:t>(</w:t>
            </w:r>
            <w:r w:rsidR="00FC3EDD">
              <w:rPr>
                <w:rFonts w:cs="Times New Roman"/>
                <w:color w:val="000000" w:themeColor="text1"/>
                <w:sz w:val="16"/>
                <w:szCs w:val="16"/>
                <w:shd w:val="clear" w:color="auto" w:fill="FFFFFF"/>
              </w:rPr>
              <w:t xml:space="preserve">t = 4.62, </w:t>
            </w:r>
            <w:r w:rsidRPr="008A1F40">
              <w:rPr>
                <w:rFonts w:cs="Times New Roman"/>
                <w:color w:val="000000" w:themeColor="text1"/>
                <w:sz w:val="16"/>
                <w:szCs w:val="16"/>
                <w:shd w:val="clear" w:color="auto" w:fill="FFFFFF"/>
              </w:rPr>
              <w:t>p = 0.029)</w:t>
            </w:r>
            <w:r w:rsidRPr="008A1F40">
              <w:rPr>
                <w:rFonts w:eastAsia="Times New Roman" w:cs="Times New Roman"/>
                <w:color w:val="0D0D0D"/>
                <w:sz w:val="16"/>
                <w:szCs w:val="16"/>
              </w:rPr>
              <w:t>.</w:t>
            </w:r>
          </w:p>
        </w:tc>
      </w:tr>
      <w:tr w:rsidR="00986E35" w:rsidRPr="008A1F40" w14:paraId="3FA75ADD" w14:textId="77777777" w:rsidTr="007F77D2">
        <w:trPr>
          <w:tblCellSpacing w:w="15" w:type="dxa"/>
        </w:trPr>
        <w:tc>
          <w:tcPr>
            <w:tcW w:w="0" w:type="auto"/>
            <w:shd w:val="clear" w:color="auto" w:fill="FFFFFF"/>
            <w:hideMark/>
          </w:tcPr>
          <w:p w14:paraId="2ACA349D" w14:textId="4A5992A5"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Tinaz et al (2014)</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TI0YzUwYjgtY2IzMy00MzhkLWEzMWMtMDZiZmZmMmU3OGQwIiwicHJvcGVydGllcyI6eyJub3RlSW5kZXgiOjB9LCJpc0VkaXRlZCI6ZmFsc2UsIm1hbnVhbE92ZXJyaWRlIjp7ImlzTWFudWFsbHlPdmVycmlkZGVuIjpmYWxzZSwiY2l0ZXByb2NUZXh0IjoiKDkyKSIsIm1hbnVhbE92ZXJyaWRlVGV4dCI6IiJ9LCJjaXRhdGlvbkl0ZW1zIjpbeyJpZCI6IjYzYzNmNTc4LWRjNzEtMzk3Mi04NjY2LWFjMTIyODljYTBhNyIsIml0ZW1EYXRhIjp7InR5cGUiOiJhcnRpY2xlLWpvdXJuYWwiLCJpZCI6IjYzYzNmNTc4LWRjNzEtMzk3Mi04NjY2LWFjMTIyODljYTBhNyIsInRpdGxlIjoiUm9sZSBvZiB0aGUgc2Vuc29yaW1vdG9yIGNvcnRleCBpbiBUb3VyZXR0ZSBzeW5kcm9tZSB1c2luZyBtdWx0aW1vZGFsIGltYWdpbmciLCJncm91cElkIjoiMDdkNjJhYzEtNWFhOC0zOWFmLWI0OWUtNTJkMjA4OGFjNTcxIiwiYXV0aG9yIjpbeyJmYW1pbHkiOiJUaW5heiIsImdpdmVuIjoiUyIsInBhcnNlLW5hbWVzIjpmYWxzZSwiZHJvcHBpbmctcGFydGljbGUiOiIiLCJub24tZHJvcHBpbmctcGFydGljbGUiOiIifSx7ImZhbWlseSI6IkJlbGx1c2NpbyIsImdpdmVuIjoiQiBBIiwicGFyc2UtbmFtZXMiOmZhbHNlLCJkcm9wcGluZy1wYXJ0aWNsZSI6IiIsIm5vbi1kcm9wcGluZy1wYXJ0aWNsZSI6IiJ9LHsiZmFtaWx5IjoiTWFsb25lIiwiZ2l2ZW4iOiJQIiwicGFyc2UtbmFtZXMiOmZhbHNlLCJkcm9wcGluZy1wYXJ0aWNsZSI6IiIsIm5vbi1kcm9wcGluZy1wYXJ0aWNsZSI6IiJ9LHsiZmFtaWx5IjoiVmVlbiIsImdpdmVuIjoiSiBXIiwicGFyc2UtbmFtZXMiOmZhbHNlLCJkcm9wcGluZy1wYXJ0aWNsZSI6IiIsIm5vbi1kcm9wcGluZy1wYXJ0aWNsZSI6InZhbiBkZXIifSx7ImZhbWlseSI6IkhhbGxldHQiLCJnaXZlbiI6Ik0iLCJwYXJzZS1uYW1lcyI6ZmFsc2UsImRyb3BwaW5nLXBhcnRpY2xlIjoiIiwibm9uLWRyb3BwaW5nLXBhcnRpY2xlIjoiIn0seyJmYW1pbHkiOiJIb3Jvdml0eiIsImdpdmVuIjoiUyBHIiwicGFyc2UtbmFtZXMiOmZhbHNlLCJkcm9wcGluZy1wYXJ0aWNsZSI6IiIsIm5vbi1kcm9wcGluZy1wYXJ0aWNsZSI6IiJ9XSwiY29udGFpbmVyLXRpdGxlIjoiSHVtIEJyYWluIE1hcHAiLCJET0kiOiIxMC4xMDAyL2hibS4yMjU4OCIsIlBNSUQiOiIyNTA0NDAyNCIsIlVSTCI6Imh0dHBzOi8vd3d3Lm5jYmkubmxtLm5paC5nb3YvcG1jL2FydGljbGVzL1BNQzQ3NzY3NTUvcGRmL0hCTS0zNS01ODM0LnBkZiIsImlzc3VlZCI6eyJkYXRlLXBhcnRzIjpbWzIwMTRdXX0sInBhZ2UiOiI1ODM0LTU4NDYiLCJhYnN0cmFjdCI6IlRvdXJldHRlIHN5bmRyb21lIChUUykgaXMgYSBuZXVyb3BzeWNoaWF0cmljIGRpc29yZGVyIGNoYXJhY3Rlcml6ZWQgYnkgbW90b3IgYW5kIHZvY2FsIHRpY3MuIE1vc3QgcGF0aWVudHMgZGVzY3JpYmUgdW5jb21mb3J0YWJsZSBwcmVtb25pdG9yeSBzZW5zYXRpb25zIHByZWNlZGluZyB0aGUgdGljcyBhbmQgYSBzdWJqZWN0aXZlIGV4cGVyaWVuY2Ugb2YgaW5jcmVhc2VkIHNlbnNpdGl2aXR5IHRvIHRhY3RpbGUgc3RpbXVsaS4gVGhlc2UgcmVwb3J0cyBpbmRpY2F0ZSB0aGF0IGEgc2Vuc29yeSBwcm9jZXNzaW5nIGRpc3R1cmJhbmNlIGlzIGFuIGltcG9ydGFudCBjb21wb25lbnQgb2YgVFMgdG9nZXRoZXIgd2l0aCBtb3RvciBwaGVub21lbmEuIFRodXMsIHdlIGZvY3VzZWQgb3VyIGludmVzdGlnYXRpb24gb24gdGhlIHJvbGUgb2YgdGhlIHNlbnNvcmltb3RvciBjb3J0ZXggKFNNQykgaW4gVFMgdXNpbmcgbXVsdGltb2RhbCBuZXVyb2ltYWdpbmcgdGVjaG5pcXVlcy4gV2UgbWVhc3VyZWQgdGhlIGdhbW1hLWFtaW5vYnV0eXJpYyBhY2lkIChHQUJBKSsvQ3JlYXRpbmUgKENyZSkgcmF0aW8gaW4gdGhlIFNNQyB1c2luZyBHQUJBICgxKSBIIG1hZ25ldGljIHJlc29uYW5jZSBzcGVjdHJvc2NvcHkuIFdlIHJlY29yZGVkIHRoZSBiYXNlbGluZSBiZXRhIGFjdGl2aXR5IGluIHRoZSBTTUMgdXNpbmcgbWFnbmV0b2VuY2VwaGFsb2dyYXBoeSBhbmQgY29ycmVsYXRlZCBHQUJBKy9DcmUgcmF0aW8gd2l0aCBiYXNlbGluZSBiZXRhIGJhbmQgcG93ZXIuIEZpbmFsbHksIHdlIGV4YW1pbmVkIHRoZSByZXN0aW5nIHN0YXRlIGZ1bmN0aW9uYWwgY29ubmVjdGl2aXR5IChGQykgcGF0dGVybiBvZiB0aGUgU01DIHVzaW5nIGZ1bmN0aW9uYWwgbWFnbmV0aWMgcmVzb25hbmNlIGltYWdpbmcgKGZNUkkpLiBHQUJBKy9DcmUgcmF0aW8gaW4gdGhlIFNNQyBkaWQgbm90IGRpZmZlciBiZXR3ZWVuIHBhdGllbnRzIGFuZCBjb250cm9scy4gQ29ycmVsYXRpb24gYmV0d2VlbiB0aGUgYmFzZWxpbmUgYmV0YSBiYW5kIHBvd2VyIGFuZCBHQUJBKy9DcmUgcmF0aW8gd2FzIGFibm9ybWFsIGluIHBhdGllbnRzLiBUaGUgYW50ZXJpb3IgaW5zdWxhIHNob3dlZCBpbmNyZWFzZWQgRkMgd2l0aCB0aGUgU01DIGluIHBhdGllbnRzLiBUaGVzZSBmaW5kaW5ncyBzdWdnZXN0IHRoYXQgYWx0ZXJlZCBsaW1iaWMgaW5wdXQgdG8gdGhlIFNNQyBhbmQgYWJub3JtYWwgR0FCQS1tZWRpYXRlZCBiZXRhIG9zY2lsbGF0aW9ucyBpbiB0aGUgU01DIG1heSB1bmRlcnBpbiBzb21lIG9mIHRoZSBzZW5zb3JpbW90b3IgcHJvY2Vzc2luZyBkaXN0dXJiYW5jZXMgaW4gVFMgYW5kIGNvbnRyaWJ1dGUgdG8gdGljIGdlbmVyYXRpb24uIiwiaXNzdWUiOiIxMiIsInZvbHVtZSI6IjM1IiwiY29udGFpbmVyLXRpdGxlLXNob3J0IjoiIn0sImlzVGVtcG9yYXJ5IjpmYWxzZX1dfQ=="/>
                <w:id w:val="1751781632"/>
                <w:placeholder>
                  <w:docPart w:val="DefaultPlaceholder_-1854013440"/>
                </w:placeholder>
              </w:sdtPr>
              <w:sdtContent>
                <w:r w:rsidR="00F04E9F" w:rsidRPr="00F04E9F">
                  <w:rPr>
                    <w:rFonts w:eastAsia="Times New Roman" w:cs="Times New Roman"/>
                    <w:color w:val="000000"/>
                    <w:sz w:val="16"/>
                    <w:szCs w:val="16"/>
                  </w:rPr>
                  <w:t>(92)</w:t>
                </w:r>
              </w:sdtContent>
            </w:sdt>
          </w:p>
        </w:tc>
        <w:tc>
          <w:tcPr>
            <w:tcW w:w="0" w:type="auto"/>
            <w:shd w:val="clear" w:color="auto" w:fill="FFFFFF"/>
            <w:hideMark/>
          </w:tcPr>
          <w:p w14:paraId="2A512BDA" w14:textId="319E0783"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w:t>
            </w:r>
            <w:r w:rsidR="002A0F4D">
              <w:rPr>
                <w:rFonts w:eastAsia="Times New Roman" w:cs="Times New Roman"/>
                <w:color w:val="0D0D0D"/>
                <w:sz w:val="16"/>
                <w:szCs w:val="16"/>
              </w:rPr>
              <w:t>5</w:t>
            </w:r>
            <w:r w:rsidRPr="008A1F40">
              <w:rPr>
                <w:rFonts w:eastAsia="Times New Roman" w:cs="Times New Roman"/>
                <w:color w:val="0D0D0D"/>
                <w:sz w:val="16"/>
                <w:szCs w:val="16"/>
              </w:rPr>
              <w:t xml:space="preserve"> adults with TS</w:t>
            </w:r>
            <w:r w:rsidR="00665894">
              <w:rPr>
                <w:rFonts w:eastAsia="Times New Roman" w:cs="Times New Roman"/>
                <w:color w:val="0D0D0D"/>
                <w:sz w:val="16"/>
                <w:szCs w:val="16"/>
              </w:rPr>
              <w:t xml:space="preserve"> (16 enrolled but 1 TS participants’ </w:t>
            </w:r>
            <w:r w:rsidR="00891040">
              <w:rPr>
                <w:rFonts w:eastAsia="Times New Roman" w:cs="Times New Roman"/>
                <w:color w:val="0D0D0D"/>
                <w:sz w:val="16"/>
                <w:szCs w:val="16"/>
              </w:rPr>
              <w:t xml:space="preserve">MRI </w:t>
            </w:r>
            <w:r w:rsidR="00665894">
              <w:rPr>
                <w:rFonts w:eastAsia="Times New Roman" w:cs="Times New Roman"/>
                <w:color w:val="0D0D0D"/>
                <w:sz w:val="16"/>
                <w:szCs w:val="16"/>
              </w:rPr>
              <w:t>data were not usable)</w:t>
            </w:r>
          </w:p>
        </w:tc>
        <w:tc>
          <w:tcPr>
            <w:tcW w:w="1920" w:type="dxa"/>
            <w:shd w:val="clear" w:color="auto" w:fill="FFFFFF"/>
            <w:hideMark/>
          </w:tcPr>
          <w:p w14:paraId="070C023F" w14:textId="77777777" w:rsidR="00986E35" w:rsidRPr="008A1F40" w:rsidRDefault="00986E35" w:rsidP="00986E35">
            <w:pPr>
              <w:pStyle w:val="ListParagraph"/>
              <w:numPr>
                <w:ilvl w:val="0"/>
                <w:numId w:val="34"/>
              </w:numPr>
              <w:spacing w:before="0" w:after="0"/>
              <w:rPr>
                <w:rFonts w:eastAsia="Times New Roman"/>
                <w:color w:val="0D0D0D"/>
                <w:sz w:val="16"/>
                <w:szCs w:val="16"/>
              </w:rPr>
            </w:pPr>
            <w:r w:rsidRPr="008A1F40">
              <w:rPr>
                <w:rFonts w:eastAsia="Times New Roman"/>
                <w:color w:val="0D0D0D"/>
                <w:sz w:val="16"/>
                <w:szCs w:val="16"/>
              </w:rPr>
              <w:t>resting state fMRI</w:t>
            </w:r>
          </w:p>
          <w:p w14:paraId="72BED944" w14:textId="77777777" w:rsidR="00986E35" w:rsidRPr="008A1F40" w:rsidRDefault="00986E35" w:rsidP="00986E35">
            <w:pPr>
              <w:pStyle w:val="ListParagraph"/>
              <w:numPr>
                <w:ilvl w:val="0"/>
                <w:numId w:val="34"/>
              </w:numPr>
              <w:spacing w:before="0" w:after="0"/>
              <w:rPr>
                <w:rFonts w:eastAsia="Times New Roman"/>
                <w:color w:val="0D0D0D"/>
                <w:sz w:val="16"/>
                <w:szCs w:val="16"/>
              </w:rPr>
            </w:pPr>
            <w:r w:rsidRPr="008A1F40">
              <w:rPr>
                <w:rFonts w:eastAsia="Times New Roman"/>
                <w:color w:val="0D0D0D"/>
                <w:sz w:val="16"/>
                <w:szCs w:val="16"/>
              </w:rPr>
              <w:t>MEG</w:t>
            </w:r>
          </w:p>
          <w:p w14:paraId="1EA1F041" w14:textId="77777777" w:rsidR="00986E35" w:rsidRPr="008A1F40" w:rsidRDefault="00986E35" w:rsidP="00986E35">
            <w:pPr>
              <w:pStyle w:val="ListParagraph"/>
              <w:numPr>
                <w:ilvl w:val="0"/>
                <w:numId w:val="34"/>
              </w:numPr>
              <w:spacing w:before="0" w:after="0"/>
              <w:rPr>
                <w:rFonts w:eastAsia="Times New Roman"/>
                <w:color w:val="0D0D0D"/>
                <w:sz w:val="16"/>
                <w:szCs w:val="16"/>
              </w:rPr>
            </w:pPr>
            <w:r w:rsidRPr="008A1F40">
              <w:rPr>
                <w:rFonts w:eastAsia="Times New Roman"/>
                <w:color w:val="0D0D0D"/>
                <w:sz w:val="16"/>
                <w:szCs w:val="16"/>
              </w:rPr>
              <w:t>MRI</w:t>
            </w:r>
          </w:p>
          <w:p w14:paraId="458AAC54" w14:textId="77777777" w:rsidR="00986E35" w:rsidRPr="008A1F40" w:rsidRDefault="00986E35" w:rsidP="00986E35">
            <w:pPr>
              <w:pStyle w:val="ListParagraph"/>
              <w:numPr>
                <w:ilvl w:val="0"/>
                <w:numId w:val="34"/>
              </w:numPr>
              <w:spacing w:before="0" w:after="0"/>
              <w:rPr>
                <w:rFonts w:eastAsia="Times New Roman"/>
                <w:color w:val="0D0D0D"/>
                <w:sz w:val="16"/>
                <w:szCs w:val="16"/>
              </w:rPr>
            </w:pPr>
            <w:r w:rsidRPr="008A1F40">
              <w:rPr>
                <w:rFonts w:eastAsia="Times New Roman"/>
                <w:color w:val="0D0D0D"/>
                <w:sz w:val="16"/>
                <w:szCs w:val="16"/>
              </w:rPr>
              <w:t>MRS</w:t>
            </w:r>
          </w:p>
        </w:tc>
        <w:tc>
          <w:tcPr>
            <w:tcW w:w="4440" w:type="dxa"/>
            <w:shd w:val="clear" w:color="auto" w:fill="FFFFFF"/>
            <w:hideMark/>
          </w:tcPr>
          <w:p w14:paraId="7401EDA0" w14:textId="77777777" w:rsidR="00986E35" w:rsidRPr="008A1F40" w:rsidRDefault="00986E35" w:rsidP="00986E35">
            <w:pPr>
              <w:pStyle w:val="ListParagraph"/>
              <w:numPr>
                <w:ilvl w:val="0"/>
                <w:numId w:val="35"/>
              </w:numPr>
              <w:spacing w:before="0" w:after="0"/>
              <w:rPr>
                <w:rFonts w:eastAsia="Times New Roman"/>
                <w:color w:val="000000" w:themeColor="text1"/>
                <w:sz w:val="16"/>
                <w:szCs w:val="16"/>
              </w:rPr>
            </w:pPr>
            <w:r w:rsidRPr="008A1F40">
              <w:rPr>
                <w:rFonts w:eastAsia="Times New Roman"/>
                <w:color w:val="000000" w:themeColor="text1"/>
                <w:sz w:val="16"/>
                <w:szCs w:val="16"/>
              </w:rPr>
              <w:t>No significant associations between PUTS scores and sensorimotor cortex functional connectivity.</w:t>
            </w:r>
          </w:p>
          <w:p w14:paraId="09060E89" w14:textId="77777777" w:rsidR="00986E35" w:rsidRPr="008A1F40" w:rsidRDefault="00986E35" w:rsidP="00986E35">
            <w:pPr>
              <w:pStyle w:val="ListParagraph"/>
              <w:numPr>
                <w:ilvl w:val="0"/>
                <w:numId w:val="35"/>
              </w:numPr>
              <w:spacing w:before="0" w:after="0"/>
              <w:rPr>
                <w:rFonts w:eastAsia="Times New Roman"/>
                <w:color w:val="000000" w:themeColor="text1"/>
                <w:sz w:val="16"/>
                <w:szCs w:val="16"/>
              </w:rPr>
            </w:pPr>
            <w:r w:rsidRPr="008A1F40">
              <w:rPr>
                <w:rFonts w:eastAsia="Times New Roman"/>
                <w:color w:val="000000" w:themeColor="text1"/>
                <w:sz w:val="16"/>
                <w:szCs w:val="16"/>
              </w:rPr>
              <w:t xml:space="preserve">No significant correlations between PUTS scores and baseline beta band power in sensorimotor cortex </w:t>
            </w:r>
            <w:r w:rsidRPr="008A1F40">
              <w:rPr>
                <w:color w:val="000000" w:themeColor="text1"/>
                <w:sz w:val="16"/>
                <w:szCs w:val="16"/>
              </w:rPr>
              <w:t>(r = 0.10, p = 0.74)</w:t>
            </w:r>
          </w:p>
          <w:p w14:paraId="4868578A" w14:textId="77777777" w:rsidR="00986E35" w:rsidRPr="008A1F40" w:rsidRDefault="00986E35" w:rsidP="00986E35">
            <w:pPr>
              <w:pStyle w:val="ListParagraph"/>
              <w:numPr>
                <w:ilvl w:val="0"/>
                <w:numId w:val="35"/>
              </w:numPr>
              <w:spacing w:before="0" w:after="0"/>
              <w:rPr>
                <w:rFonts w:eastAsia="Times New Roman"/>
                <w:color w:val="000000" w:themeColor="text1"/>
                <w:sz w:val="16"/>
                <w:szCs w:val="16"/>
              </w:rPr>
            </w:pPr>
            <w:r w:rsidRPr="008A1F40">
              <w:rPr>
                <w:color w:val="000000" w:themeColor="text1"/>
                <w:sz w:val="16"/>
                <w:szCs w:val="16"/>
              </w:rPr>
              <w:t>No significant correlations between PUTS scores and sensorimotor cortical volume (Left SMC: r = -0.22, p = 0.43, Right SMC: r = -0.43, p = 0.10).</w:t>
            </w:r>
          </w:p>
          <w:p w14:paraId="65F324B1" w14:textId="77777777" w:rsidR="00986E35" w:rsidRPr="008A1F40" w:rsidRDefault="00986E35" w:rsidP="00986E35">
            <w:pPr>
              <w:pStyle w:val="ListParagraph"/>
              <w:numPr>
                <w:ilvl w:val="0"/>
                <w:numId w:val="35"/>
              </w:numPr>
              <w:spacing w:before="0" w:after="0"/>
              <w:rPr>
                <w:rFonts w:eastAsia="Times New Roman"/>
                <w:color w:val="0D0D0D"/>
                <w:sz w:val="16"/>
                <w:szCs w:val="16"/>
              </w:rPr>
            </w:pPr>
            <w:r w:rsidRPr="008A1F40">
              <w:rPr>
                <w:color w:val="000000" w:themeColor="text1"/>
                <w:sz w:val="16"/>
                <w:szCs w:val="16"/>
              </w:rPr>
              <w:t>GABA+ / Creatine ratio in the sensorimotor cortex did not significantly correlate with PUTS scores r = -0.40, p = 0.15).</w:t>
            </w:r>
          </w:p>
          <w:p w14:paraId="3BD39928" w14:textId="77777777" w:rsidR="00986E35" w:rsidRPr="008A1F40" w:rsidRDefault="00986E35" w:rsidP="007F77D2">
            <w:pPr>
              <w:pStyle w:val="ListParagraph"/>
              <w:rPr>
                <w:rFonts w:eastAsia="Times New Roman"/>
                <w:color w:val="0D0D0D"/>
                <w:sz w:val="16"/>
                <w:szCs w:val="16"/>
              </w:rPr>
            </w:pPr>
            <w:r w:rsidRPr="008A1F40">
              <w:rPr>
                <w:color w:val="000000" w:themeColor="text1"/>
                <w:sz w:val="16"/>
                <w:szCs w:val="16"/>
              </w:rPr>
              <w:t>(correlation types unclear from publication)</w:t>
            </w:r>
          </w:p>
        </w:tc>
      </w:tr>
      <w:tr w:rsidR="00986E35" w:rsidRPr="008A1F40" w14:paraId="1FA5EA44" w14:textId="77777777" w:rsidTr="007F77D2">
        <w:trPr>
          <w:trHeight w:val="666"/>
          <w:tblCellSpacing w:w="15" w:type="dxa"/>
        </w:trPr>
        <w:tc>
          <w:tcPr>
            <w:tcW w:w="0" w:type="auto"/>
            <w:shd w:val="clear" w:color="auto" w:fill="FFFFFF"/>
            <w:hideMark/>
          </w:tcPr>
          <w:p w14:paraId="1255A721" w14:textId="7B2F5C3A"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Loo et al (2019)</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zI1MWVmNWQtYWEwZi00NWQ4LWE4MWYtYjJiNDU1ZGUzZGMxIiwicHJvcGVydGllcyI6eyJub3RlSW5kZXgiOjB9LCJpc0VkaXRlZCI6ZmFsc2UsIm1hbnVhbE92ZXJyaWRlIjp7ImlzTWFudWFsbHlPdmVycmlkZGVuIjpmYWxzZSwiY2l0ZXByb2NUZXh0IjoiKDkzKSIsIm1hbnVhbE92ZXJyaWRlVGV4dCI6IiJ9LCJjaXRhdGlvbkl0ZW1zIjpbeyJpZCI6ImNhNGJhMTBhLWQxMmUtMzhlNy1iOWIyLTA2M2JiYmI3MDk3YSIsIml0ZW1EYXRhIjp7InR5cGUiOiJhcnRpY2xlLWpvdXJuYWwiLCJpZCI6ImNhNGJhMTBhLWQxMmUtMzhlNy1iOWIyLTA2M2JiYmI3MDk3YSIsInRpdGxlIjoiTmV1cmFsIGFjdGl2YXRpb24gYW5kIGNvbm5lY3Rpdml0eSBkdXJpbmcgY3VlZCBleWUgYmxpbmtzIGluIENocm9uaWMgVGljIERpc29yZGVycyIsImdyb3VwSWQiOiIwN2Q2MmFjMS01YWE4LTM5YWYtYjQ5ZS01MmQyMDg4YWM1NzEiLCJhdXRob3IiOlt7ImZhbWlseSI6IkxvbyIsImdpdmVuIjoiUyBLIiwicGFyc2UtbmFtZXMiOmZhbHNlLCJkcm9wcGluZy1wYXJ0aWNsZSI6IiIsIm5vbi1kcm9wcGluZy1wYXJ0aWNsZSI6IiJ9LHsiZmFtaWx5IjoiTWl5YWtvc2hpIiwiZ2l2ZW4iOiJNIiwicGFyc2UtbmFtZXMiOmZhbHNlLCJkcm9wcGluZy1wYXJ0aWNsZSI6IiIsIm5vbi1kcm9wcGluZy1wYXJ0aWNsZSI6IiJ9LHsiZmFtaWx5IjoiVHVuZyIsImdpdmVuIjoiSyIsInBhcnNlLW5hbWVzIjpmYWxzZSwiZHJvcHBpbmctcGFydGljbGUiOiIiLCJub24tZHJvcHBpbmctcGFydGljbGUiOiIifSx7ImZhbWlseSI6Ikxsb3lkIiwiZ2l2ZW4iOiJFIiwicGFyc2UtbmFtZXMiOmZhbHNlLCJkcm9wcGluZy1wYXJ0aWNsZSI6IiIsIm5vbi1kcm9wcGluZy1wYXJ0aWNsZSI6IiJ9LHsiZmFtaWx5IjoiU2FsZ2FyaSIsImdpdmVuIjoiRyIsInBhcnNlLW5hbWVzIjpmYWxzZSwiZHJvcHBpbmctcGFydGljbGUiOiIiLCJub24tZHJvcHBpbmctcGFydGljbGUiOiIifSx7ImZhbWlseSI6IkRpbGxvbiIsImdpdmVuIjoiQSIsInBhcnNlLW5hbWVzIjpmYWxzZSwiZHJvcHBpbmctcGFydGljbGUiOiIiLCJub24tZHJvcHBpbmctcGFydGljbGUiOiIifSx7ImZhbWlseSI6IkNoYW5nIiwiZ2l2ZW4iOiJTIiwicGFyc2UtbmFtZXMiOmZhbHNlLCJkcm9wcGluZy1wYXJ0aWNsZSI6IiIsIm5vbi1kcm9wcGluZy1wYXJ0aWNsZSI6IiJ9LHsiZmFtaWx5IjoiUGlhY2VudGluaSIsImdpdmVuIjoiSiIsInBhcnNlLW5hbWVzIjpmYWxzZSwiZHJvcHBpbmctcGFydGljbGUiOiIiLCJub24tZHJvcHBpbmctcGFydGljbGUiOiIifSx7ImZhbWlseSI6Ik1ha2VpZyIsImdpdmVuIjoiUyIsInBhcnNlLW5hbWVzIjpmYWxzZSwiZHJvcHBpbmctcGFydGljbGUiOiIiLCJub24tZHJvcHBpbmctcGFydGljbGUiOiIifV0sImNvbnRhaW5lci10aXRsZSI6Ik5ldXJvaW1hZ2UgQ2xpbiIsIkRPSSI6IjEwLjEwMTYvai5uaWNsLjIwMTkuMTAxOTU2IiwiUE1JRCI6IjMxMzgyMjM4IiwiVVJMIjoiaHR0cHM6Ly93d3cubmNiaS5ubG0ubmloLmdvdi9wbWMvYXJ0aWNsZXMvUE1DNjY5ODY5My9wZGYvbWFpbi5wZGYiLCJpc3N1ZWQiOnsiZGF0ZS1wYXJ0cyI6W1syMDE5XV19LCJwYWdlIjoiMTAxOTU2IiwiYWJzdHJhY3QiOiJPQkpFQ1RJVkU6IFRoZSBwYXRob3BoeXNpb2xvZ3kgb2YgQ2hyb25pYyBUaWMgRGlzb3JkZXJzIChDVERzKSwgaW5jbHVkaW5nIFRvdXJldHRlIFN5bmRyb21lLCByZW1haW5zIHBvb3JseSB1bmRlcnN0b29kLiBUaGUgZ29hbCBvZiB0aGlzIHN0dWR5IHdhcyB0byBjb21wYXJlIG5ldXJhbCBhY3Rpdml0eSBhbmQgY29ubmVjdGl2aXR5IGR1cmluZyBhIHZvbHVudGFyeSBtb3ZlbWVudCAoVk0pIHBhcmFkaWdtIHRoYXQgaW52b2x2ZWQgY3VlZCBleWUgYmxpbmtzIGFtb25nIGNoaWxkcmVuIHdpdGggYW5kIHdpdGhvdXQgQ1REcy4gVXNpbmcgdGhlIHByZWNpc2UgdGVtcG9yYWwgcmVzb2x1dGlvbiBvZiBlbGVjdHJvZW5jZXBoYWxvZ3JhcGh5IChFRUcpLCB3ZSB1c2VkIHRoZSB0aW1pbmcgYW5kIGxvY2F0aW9uIG9mIGNvcnRpY2FsIHNvdXJjZSByZXNvbHZlZCBzcGVjdHJhbCBwb3dlciBhY3RpdmF0aW9uIGFuZCBjb25uZWN0aXZpdHkgdG8gbWFwIGNvbXBvbmVudCBwcm9jZXNzZXMgc3VjaCBhcyB2aXN1YWwgYXR0ZW50aW9uLCBjdWUgZGV0ZWN0aW9uLCBibGluayByZWd1bGF0aW9uIGFuZCByZXNwb25zZSBtb25pdG9yaW5nLiBXZSBoeXBvdGhlc2l6ZWQgdGhhdCBuZXVyYWwgYWN0aXZhdGlvbiBhbmQgY29ubmVjdGl2aXR5IGR1cmluZyB0aGUgY3VlZCBleWUgYmxpbmsgcGFyYWRpZ20gd291bGQgYmUgc2lnbmlmaWNhbnRseSBkaWZmZXJlbnQgaW4gcmVnaW9ucyB0eXBpY2FsbHkgYXNzb2NpYXRlZCB3aXRoIGVmZm9ydGZ1bCBjb250cm9sIG9mIGV5ZSBibGlua3MsIHN1Y2ggYXMgZnJvbnRhbCwgcHJlbW90b3IsIHBhcmlldGFsLCBhbmQgb2NjaXBpdGFsIGNvcnRpY2VzIGJldHdlZW4gY2hpbGRyZW4gd2l0aCBhbmQgd2l0aG91dCBDVEQuIE1FVEhPRDogUGFydGljaXBhbnRzIHdlcmUgNDAgY2hpbGRyZW4gKDIzIHdpdGggQ1RELCAxNyBhZ2UtbWF0Y2hlZCBIZWFsdGh5IENvbnRyb2wgW0hDXSksIGJldHdlZW4gdGhlIGFnZXMgb2YgOC0xMiAobWVhbiBhZ2XigK894oCvOS41KSB5ZWFycyBvbGQuIEFsbCBwYXJ0aWNpcGFudHMgdW5kZXJ3ZW50IHBoZW5vdHlwaWMgYXNzZXNzbWVudCBpbmNsdWRpbmcgZGlhZ25vc3RpYyBpbnRlcnZpZXdzLCBiZWhhdmlvciByYXRpbmcgc2NhbGVzIGFuZCAxMjgtY2hhbm5lbCBFRUcgcmVjb3JkaW5nLiBVcG9uIHByZXNlbnRhdGlvbiBvZiBhIGN1ZSBldmVyeSAz4oCvcywgY2hpbGRyZW4gd2VyZSBpbnN0cnVjdGVkIHRvIG1ha2UgYW4gZXhhZ2dlcmF0ZWQgYmxpbmsuIFJFU1VMVFM6IEJlaGF2aW9yYWxseSwgdGhlIGdyb3VwcyBkaWQgbm90IGRpZmZlciBpbiBibGluayBudW1iZXIsIGxhdGVuY3ksIG9yIEVSUCBhbXBsaXR1ZGUuIFdpdGhpbiBzb3VyY2UgcmVzb2x2ZWQgY2x1c3RlcnMgbG9jYXRlZCBpbiBsZWZ0IGRvcnNvbGF0ZXJhbCBwcmVmcm9udGFsIGNvcnRleCwgcG9zdGVyaW9yIGNpbmd1bGF0ZSwgYW5kIHN1cHBsZW1lbnRhbCBtb3RvciBhcmVhLCBjaGlsZHJlbiB3aXRoIENURCBleGhpYml0ZWQgaGlnaGVyIGdhbW1hIGJhbmQgc3BlY3RyYWwgcG93ZXIgcmVsYXRpdmUgdG8gY29udHJvbHMuIEluIGFkZGl0aW9uLCBzaWduaWZpY2FudCBkaWFnbm9zdGljIGdyb3VwIGRpZmZlcmVuY2VzIGluIHRoZXRhLCBhbHBoYSwgYW5kIGJldGEgYmFuZCBwb3dlciBpbiBpbmZlcmlvciBwYXJpZXRhbCBjb3J0ZXggZW1lcmdlZC4gU3BlY3RyYWwgcG93ZXIgZGlmZmVyZW5jZXMgd2VyZSBzaWduaWZpY2FudGx5IGFzc29jaWF0ZWQgd2l0aCBjbGluaWNhbCBjaGFyYWN0ZXJpc3RpY3Mgc3VjaCBhcyB0aWMgc2V2ZXJpdHkgYW5kIHByZW1vbml0b3J5IHVyZ2Ugc3RyZW5ndGguIEFmdGVyIGNhbGN1bGF0aW5nIGRpcG9sZSBkZW5zaXR5IGZvciA3NiBhbmF0b21pY2FsIHJlZ2lvbnMsIHRoZSBDVEQgYW5kIEhDIGdyb3VwcyBoYWQgNzAlIG92ZXJsYXAgb2YgdG9wIHJlZ2lvbnMgd2l0aCB0aGUgaGlnaGVzdCBkaXBvbGUgZGVuc2l0eSwgc3VnZ2VzdGluZyB0aGF0IHNpbWlsYXIgY29ydGljYWwgbmV0d29ya3Mgd2VyZSB1c2VkIGFjcm9zcyBncm91cHMgdG8gY2Fycnkgb3V0IHRoZSBWTS4gVGhlIENURCBncm91cCBleGhpYml0ZWQgc2lnbmlmaWNhbnQgaW5mb3JtYXRpb24gZmxvdyBpbmNyZWFzZSBhbmQgZHlzcmVndWxhdGlvbiByZWxhdGl2ZSB0byB0aGUgSEMgZ3JvdXAsIHBhcnRpY3VsYXJseSBmcm9tIG9jY2lwaXRhbCB0byBmcm9udGFsIHJlZ2lvbnMuIENPTkNMVVNJT046IENoaWxkcmVuIHdpdGggQ1REIGV4aGliaXQgYWJub3JtYWxseSBoaWdoIGxldmVscyBvZiBuZXVyYWwgYWN0aXZhdGlvbiBhbmQgZHlzcmVndWxhdGVkIGNvbm5lY3Rpdml0eSBhbW9uZyBuZXR3b3JrcyB1c2VkIGZvciByZWd1bGF0aW9uIGFuZCBlZmZvcnRmdWwgY29udHJvbCBvZiB2b2x1bnRhcnkgZXllIGJsaW5rcy4iLCJ2b2x1bWUiOiIyNCIsImNvbnRhaW5lci10aXRsZS1zaG9ydCI6IiJ9LCJpc1RlbXBvcmFyeSI6ZmFsc2V9XX0="/>
                <w:id w:val="-1291047554"/>
                <w:placeholder>
                  <w:docPart w:val="DefaultPlaceholder_-1854013440"/>
                </w:placeholder>
              </w:sdtPr>
              <w:sdtContent>
                <w:r w:rsidR="00F04E9F" w:rsidRPr="00F04E9F">
                  <w:rPr>
                    <w:rFonts w:eastAsia="Times New Roman" w:cs="Times New Roman"/>
                    <w:color w:val="000000"/>
                    <w:sz w:val="16"/>
                    <w:szCs w:val="16"/>
                  </w:rPr>
                  <w:t>(93)</w:t>
                </w:r>
              </w:sdtContent>
            </w:sdt>
          </w:p>
        </w:tc>
        <w:tc>
          <w:tcPr>
            <w:tcW w:w="0" w:type="auto"/>
            <w:shd w:val="clear" w:color="auto" w:fill="FFFFFF"/>
            <w:hideMark/>
          </w:tcPr>
          <w:p w14:paraId="7AF96477"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23 children with CTDs</w:t>
            </w:r>
          </w:p>
        </w:tc>
        <w:tc>
          <w:tcPr>
            <w:tcW w:w="1920" w:type="dxa"/>
            <w:shd w:val="clear" w:color="auto" w:fill="FFFFFF"/>
            <w:hideMark/>
          </w:tcPr>
          <w:p w14:paraId="4C90345F"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EEG (while participants completed </w:t>
            </w:r>
            <w:r w:rsidRPr="008A1F40">
              <w:rPr>
                <w:rFonts w:cs="Times New Roman"/>
                <w:color w:val="000000" w:themeColor="text1"/>
                <w:sz w:val="16"/>
                <w:szCs w:val="16"/>
                <w:shd w:val="clear" w:color="auto" w:fill="FFFFFF"/>
              </w:rPr>
              <w:t>cued eye-blink task)</w:t>
            </w:r>
          </w:p>
        </w:tc>
        <w:tc>
          <w:tcPr>
            <w:tcW w:w="4440" w:type="dxa"/>
            <w:shd w:val="clear" w:color="auto" w:fill="FFFFFF"/>
            <w:hideMark/>
          </w:tcPr>
          <w:p w14:paraId="53360630" w14:textId="753111CE"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Positive correlations </w:t>
            </w:r>
            <w:r w:rsidR="00986BFD">
              <w:rPr>
                <w:rFonts w:eastAsia="Times New Roman" w:cs="Times New Roman"/>
                <w:color w:val="0D0D0D"/>
                <w:sz w:val="16"/>
                <w:szCs w:val="16"/>
              </w:rPr>
              <w:t>of</w:t>
            </w:r>
            <w:r w:rsidR="00986BFD" w:rsidRPr="008A1F40">
              <w:rPr>
                <w:rFonts w:eastAsia="Times New Roman" w:cs="Times New Roman"/>
                <w:color w:val="0D0D0D"/>
                <w:sz w:val="16"/>
                <w:szCs w:val="16"/>
              </w:rPr>
              <w:t xml:space="preserve"> </w:t>
            </w:r>
            <w:r w:rsidR="00605EA3">
              <w:rPr>
                <w:rFonts w:eastAsia="Times New Roman" w:cs="Times New Roman"/>
                <w:color w:val="0D0D0D"/>
                <w:sz w:val="16"/>
                <w:szCs w:val="16"/>
              </w:rPr>
              <w:t>“</w:t>
            </w:r>
            <w:r w:rsidRPr="008A1F40">
              <w:rPr>
                <w:rFonts w:eastAsia="Times New Roman" w:cs="Times New Roman"/>
                <w:color w:val="0D0D0D"/>
                <w:sz w:val="16"/>
                <w:szCs w:val="16"/>
              </w:rPr>
              <w:t>urge strength</w:t>
            </w:r>
            <w:r w:rsidR="00605EA3">
              <w:rPr>
                <w:rFonts w:eastAsia="Times New Roman" w:cs="Times New Roman"/>
                <w:color w:val="0D0D0D"/>
                <w:sz w:val="16"/>
                <w:szCs w:val="16"/>
              </w:rPr>
              <w:t>”</w:t>
            </w:r>
            <w:r w:rsidRPr="008A1F40">
              <w:rPr>
                <w:rFonts w:eastAsia="Times New Roman" w:cs="Times New Roman"/>
                <w:color w:val="0D0D0D"/>
                <w:sz w:val="16"/>
                <w:szCs w:val="16"/>
              </w:rPr>
              <w:t xml:space="preserve"> </w:t>
            </w:r>
            <w:r w:rsidR="00986BFD">
              <w:rPr>
                <w:rFonts w:eastAsia="Times New Roman" w:cs="Times New Roman"/>
                <w:color w:val="0D0D0D"/>
                <w:sz w:val="16"/>
                <w:szCs w:val="16"/>
              </w:rPr>
              <w:t xml:space="preserve">with </w:t>
            </w:r>
            <w:r w:rsidRPr="008A1F40">
              <w:rPr>
                <w:rFonts w:eastAsia="Times New Roman" w:cs="Times New Roman"/>
                <w:color w:val="0D0D0D"/>
                <w:sz w:val="16"/>
                <w:szCs w:val="16"/>
              </w:rPr>
              <w:t>gamma power in dorsolateral prefrontal cortex (</w:t>
            </w:r>
            <w:r w:rsidRPr="008A1F40">
              <w:rPr>
                <w:rFonts w:cs="Times New Roman"/>
                <w:color w:val="000000" w:themeColor="text1"/>
                <w:sz w:val="16"/>
                <w:szCs w:val="16"/>
                <w:shd w:val="clear" w:color="auto" w:fill="FFFFFF"/>
              </w:rPr>
              <w:t>Pearson’s r = 0.42, p &lt; 0.05)</w:t>
            </w:r>
            <w:r w:rsidRPr="008A1F40">
              <w:rPr>
                <w:rFonts w:eastAsia="Times New Roman" w:cs="Times New Roman"/>
                <w:color w:val="0D0D0D"/>
                <w:sz w:val="16"/>
                <w:szCs w:val="16"/>
              </w:rPr>
              <w:t xml:space="preserve"> and SMA </w:t>
            </w:r>
            <w:r w:rsidRPr="008A1F40">
              <w:rPr>
                <w:rFonts w:cs="Times New Roman"/>
                <w:color w:val="000000" w:themeColor="text1"/>
                <w:sz w:val="16"/>
                <w:szCs w:val="16"/>
                <w:shd w:val="clear" w:color="auto" w:fill="FFFFFF"/>
              </w:rPr>
              <w:t>(Pearson’s r = 0.44, p &lt; 0.05)</w:t>
            </w:r>
            <w:r w:rsidRPr="008A1F40">
              <w:rPr>
                <w:rFonts w:eastAsia="Times New Roman" w:cs="Times New Roman"/>
                <w:color w:val="0D0D0D"/>
                <w:sz w:val="16"/>
                <w:szCs w:val="16"/>
              </w:rPr>
              <w:t xml:space="preserve">, and </w:t>
            </w:r>
            <w:r w:rsidR="00E95129">
              <w:rPr>
                <w:rFonts w:eastAsia="Times New Roman" w:cs="Times New Roman"/>
                <w:color w:val="0D0D0D"/>
                <w:sz w:val="16"/>
                <w:szCs w:val="16"/>
              </w:rPr>
              <w:t xml:space="preserve">of </w:t>
            </w:r>
            <w:r w:rsidR="001A1335">
              <w:rPr>
                <w:rFonts w:eastAsia="Times New Roman" w:cs="Times New Roman"/>
                <w:color w:val="0D0D0D"/>
                <w:sz w:val="16"/>
                <w:szCs w:val="16"/>
              </w:rPr>
              <w:t>“</w:t>
            </w:r>
            <w:r w:rsidR="00E95129">
              <w:rPr>
                <w:rFonts w:eastAsia="Times New Roman" w:cs="Times New Roman"/>
                <w:color w:val="0D0D0D"/>
                <w:sz w:val="16"/>
                <w:szCs w:val="16"/>
              </w:rPr>
              <w:t>urge strength</w:t>
            </w:r>
            <w:r w:rsidR="001A1335">
              <w:rPr>
                <w:rFonts w:eastAsia="Times New Roman" w:cs="Times New Roman"/>
                <w:color w:val="0D0D0D"/>
                <w:sz w:val="16"/>
                <w:szCs w:val="16"/>
              </w:rPr>
              <w:t>”</w:t>
            </w:r>
            <w:r w:rsidR="00E95129">
              <w:rPr>
                <w:rFonts w:eastAsia="Times New Roman" w:cs="Times New Roman"/>
                <w:color w:val="0D0D0D"/>
                <w:sz w:val="16"/>
                <w:szCs w:val="16"/>
              </w:rPr>
              <w:t xml:space="preserve"> with </w:t>
            </w:r>
            <w:r w:rsidRPr="008A1F40">
              <w:rPr>
                <w:rFonts w:eastAsia="Times New Roman" w:cs="Times New Roman"/>
                <w:color w:val="0D0D0D"/>
                <w:sz w:val="16"/>
                <w:szCs w:val="16"/>
              </w:rPr>
              <w:t xml:space="preserve">alpha power in </w:t>
            </w:r>
            <w:r w:rsidR="00086A13">
              <w:rPr>
                <w:rFonts w:eastAsia="Times New Roman" w:cs="Times New Roman"/>
                <w:color w:val="0D0D0D"/>
                <w:sz w:val="16"/>
                <w:szCs w:val="16"/>
              </w:rPr>
              <w:t xml:space="preserve">the </w:t>
            </w:r>
            <w:r w:rsidRPr="008A1F40">
              <w:rPr>
                <w:rFonts w:eastAsia="Times New Roman" w:cs="Times New Roman"/>
                <w:color w:val="0D0D0D"/>
                <w:sz w:val="16"/>
                <w:szCs w:val="16"/>
              </w:rPr>
              <w:t xml:space="preserve">left parietal </w:t>
            </w:r>
            <w:r w:rsidR="00086A13">
              <w:rPr>
                <w:rFonts w:eastAsia="Times New Roman" w:cs="Times New Roman"/>
                <w:color w:val="0D0D0D"/>
                <w:sz w:val="16"/>
                <w:szCs w:val="16"/>
              </w:rPr>
              <w:t xml:space="preserve">cortex </w:t>
            </w:r>
            <w:r w:rsidRPr="008A1F40">
              <w:rPr>
                <w:rFonts w:cs="Times New Roman"/>
                <w:color w:val="000000" w:themeColor="text1"/>
                <w:sz w:val="16"/>
                <w:szCs w:val="16"/>
                <w:shd w:val="clear" w:color="auto" w:fill="FFFFFF"/>
              </w:rPr>
              <w:t>(Pearson’s r = 0.39, p &lt; 0.05)</w:t>
            </w:r>
            <w:r w:rsidRPr="008A1F40">
              <w:rPr>
                <w:rFonts w:eastAsia="Times New Roman" w:cs="Times New Roman"/>
                <w:color w:val="0D0D0D"/>
                <w:sz w:val="16"/>
                <w:szCs w:val="16"/>
              </w:rPr>
              <w:t>; negative correlation</w:t>
            </w:r>
            <w:r w:rsidR="002D3386">
              <w:rPr>
                <w:rFonts w:eastAsia="Times New Roman" w:cs="Times New Roman"/>
                <w:color w:val="0D0D0D"/>
                <w:sz w:val="16"/>
                <w:szCs w:val="16"/>
              </w:rPr>
              <w:t>s</w:t>
            </w:r>
            <w:r w:rsidRPr="008A1F40">
              <w:rPr>
                <w:rFonts w:eastAsia="Times New Roman" w:cs="Times New Roman"/>
                <w:color w:val="0D0D0D"/>
                <w:sz w:val="16"/>
                <w:szCs w:val="16"/>
              </w:rPr>
              <w:t xml:space="preserve"> </w:t>
            </w:r>
            <w:r w:rsidR="002D3386">
              <w:rPr>
                <w:rFonts w:eastAsia="Times New Roman" w:cs="Times New Roman"/>
                <w:color w:val="0D0D0D"/>
                <w:sz w:val="16"/>
                <w:szCs w:val="16"/>
              </w:rPr>
              <w:t xml:space="preserve">of “urge strength” </w:t>
            </w:r>
            <w:r w:rsidRPr="008A1F40">
              <w:rPr>
                <w:rFonts w:eastAsia="Times New Roman" w:cs="Times New Roman"/>
                <w:color w:val="0D0D0D"/>
                <w:sz w:val="16"/>
                <w:szCs w:val="16"/>
              </w:rPr>
              <w:t xml:space="preserve">with alpha power in </w:t>
            </w:r>
            <w:r w:rsidR="005B1968">
              <w:rPr>
                <w:rFonts w:eastAsia="Times New Roman" w:cs="Times New Roman"/>
                <w:color w:val="0D0D0D"/>
                <w:sz w:val="16"/>
                <w:szCs w:val="16"/>
              </w:rPr>
              <w:t xml:space="preserve">the </w:t>
            </w:r>
            <w:r w:rsidRPr="008A1F40">
              <w:rPr>
                <w:rFonts w:eastAsia="Times New Roman" w:cs="Times New Roman"/>
                <w:color w:val="0D0D0D"/>
                <w:sz w:val="16"/>
                <w:szCs w:val="16"/>
              </w:rPr>
              <w:t xml:space="preserve">posterior cingulate </w:t>
            </w:r>
            <w:r w:rsidRPr="008A1F40">
              <w:rPr>
                <w:rFonts w:cs="Times New Roman"/>
                <w:color w:val="000000" w:themeColor="text1"/>
                <w:sz w:val="16"/>
                <w:szCs w:val="16"/>
                <w:shd w:val="clear" w:color="auto" w:fill="FFFFFF"/>
              </w:rPr>
              <w:t>(Pearson’s r = -0.49, p &lt; 0.05)</w:t>
            </w:r>
            <w:r w:rsidRPr="008A1F40">
              <w:rPr>
                <w:rFonts w:eastAsia="Times New Roman" w:cs="Times New Roman"/>
                <w:color w:val="0D0D0D"/>
                <w:sz w:val="16"/>
                <w:szCs w:val="16"/>
              </w:rPr>
              <w:t>.</w:t>
            </w:r>
          </w:p>
          <w:p w14:paraId="5A984BEF"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Note: 1) activations are around the time of cued blinks, 2) unclear which items of PUTS correspond to “urge strength”</w:t>
            </w:r>
          </w:p>
        </w:tc>
      </w:tr>
      <w:tr w:rsidR="00986E35" w:rsidRPr="008A1F40" w14:paraId="404C36A4" w14:textId="77777777" w:rsidTr="007F77D2">
        <w:trPr>
          <w:tblCellSpacing w:w="15" w:type="dxa"/>
        </w:trPr>
        <w:tc>
          <w:tcPr>
            <w:tcW w:w="0" w:type="auto"/>
            <w:shd w:val="clear" w:color="auto" w:fill="FFFFFF"/>
            <w:hideMark/>
          </w:tcPr>
          <w:p w14:paraId="3B18EF65" w14:textId="52C04A96"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Niccolai et al (2019)</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Tc4MGU0NTEtZGUyYi00ZmFiLWJkOWEtMTA5YzBjOTM2ZGJhIiwicHJvcGVydGllcyI6eyJub3RlSW5kZXgiOjB9LCJpc0VkaXRlZCI6ZmFsc2UsIm1hbnVhbE92ZXJyaWRlIjp7ImlzTWFudWFsbHlPdmVycmlkZGVuIjpmYWxzZSwiY2l0ZXByb2NUZXh0IjoiKDk0KSIsIm1hbnVhbE92ZXJyaWRlVGV4dCI6IiJ9LCJjaXRhdGlvbkl0ZW1zIjpbeyJpZCI6IjlmYjlmMzM1LTg0ZDAtMzQ5MC1hYWZiLWViMDZjYjNkZmM3YiIsIml0ZW1EYXRhIjp7InR5cGUiOiJhcnRpY2xlLWpvdXJuYWwiLCJpZCI6IjlmYjlmMzM1LTg0ZDAtMzQ5MC1hYWZiLWViMDZjYjNkZmM3YiIsInRpdGxlIjoiQSBwZWVrIGludG8gcHJlbW9uaXRvcnkgdXJnZXMgaW4gVG91cmV0dGUgc3luZHJvbWU6IFRlbXBvcmFsIGV2b2x1dGlvbiBvZiBuZXVyb3BoeXNpb2xvZ2ljYWwgb3NjaWxsYXRvcnkgc2lnbmF0dXJlcyIsImdyb3VwSWQiOiIwN2Q2MmFjMS01YWE4LTM5YWYtYjQ5ZS01MmQyMDg4YWM1NzEiLCJhdXRob3IiOlt7ImZhbWlseSI6Ik5pY2NvbGFpIiwiZ2l2ZW4iOiJWIiwicGFyc2UtbmFtZXMiOmZhbHNlLCJkcm9wcGluZy1wYXJ0aWNsZSI6IiIsIm5vbi1kcm9wcGluZy1wYXJ0aWNsZSI6IiJ9LHsiZmFtaWx5IjoiS29yY3pvayIsImdpdmVuIjoiUyIsInBhcnNlLW5hbWVzIjpmYWxzZSwiZHJvcHBpbmctcGFydGljbGUiOiIiLCJub24tZHJvcHBpbmctcGFydGljbGUiOiIifSx7ImZhbWlseSI6IkZpbmlzIiwiZ2l2ZW4iOiJKIiwicGFyc2UtbmFtZXMiOmZhbHNlLCJkcm9wcGluZy1wYXJ0aWNsZSI6IiIsIm5vbi1kcm9wcGluZy1wYXJ0aWNsZSI6IiJ9LHsiZmFtaWx5IjoiSm9uYXMiLCJnaXZlbiI6Ik0iLCJwYXJzZS1uYW1lcyI6ZmFsc2UsImRyb3BwaW5nLXBhcnRpY2xlIjoiIiwibm9uLWRyb3BwaW5nLXBhcnRpY2xlIjoiIn0seyJmYW1pbHkiOiJUaG9tYWxsYSIsImdpdmVuIjoiRyIsInBhcnNlLW5hbWVzIjpmYWxzZSwiZHJvcHBpbmctcGFydGljbGUiOiIiLCJub24tZHJvcHBpbmctcGFydGljbGUiOiIifSx7ImZhbWlseSI6IlNpZWJuZXIiLCJnaXZlbiI6IkggUiIsInBhcnNlLW5hbWVzIjpmYWxzZSwiZHJvcHBpbmctcGFydGljbGUiOiIiLCJub24tZHJvcHBpbmctcGFydGljbGUiOiIifSx7ImZhbWlseSI6Ik3DvGxsZXItVmFobCIsImdpdmVuIjoiSyIsInBhcnNlLW5hbWVzIjpmYWxzZSwiZHJvcHBpbmctcGFydGljbGUiOiIiLCJub24tZHJvcHBpbmctcGFydGljbGUiOiIifSx7ImZhbWlseSI6Ik3DvG5jaGF1IiwiZ2l2ZW4iOiJBIiwicGFyc2UtbmFtZXMiOmZhbHNlLCJkcm9wcGluZy1wYXJ0aWNsZSI6IiIsIm5vbi1kcm9wcGluZy1wYXJ0aWNsZSI6IiJ9LHsiZmFtaWx5IjoiU2Nobml0emxlciIsImdpdmVuIjoiQSIsInBhcnNlLW5hbWVzIjpmYWxzZSwiZHJvcHBpbmctcGFydGljbGUiOiIiLCJub24tZHJvcHBpbmctcGFydGljbGUiOiIifSx7ImZhbWlseSI6IkJpZXJtYW5uLVJ1YmVuIiwiZ2l2ZW4iOiJLIiwicGFyc2UtbmFtZXMiOmZhbHNlLCJkcm9wcGluZy1wYXJ0aWNsZSI6IiIsIm5vbi1kcm9wcGluZy1wYXJ0aWNsZSI6IiJ9XSwiY29udGFpbmVyLXRpdGxlIjoiUGFya2luc29uaXNtIFJlbGF0IERpc29yZCIsIkRPSSI6IjEwLjEwMTYvai5wYXJrcmVsZGlzLjIwMTkuMDUuMDM5IiwiUE1JRCI6IjMxMTgyMzcyIiwiVVJMIjoiaHR0cHM6Ly93d3cucHJkLWpvdXJuYWwuY29tL2FydGljbGUvUzEzNTMtODAyMCgxOSkzMDI2MC0zL2Z1bGx0ZXh0IiwiaXNzdWVkIjp7ImRhdGUtcGFydHMiOltbMjAxOV1dfSwicGFnZSI6IjE1My0xNTgiLCJhYnN0cmFjdCI6IkJBQ0tHUk9VTkQ6IFRpY3MgYXJlIHRoZSBjb3JlIHN5bXB0b20gb2YgcGF0aWVudHMgd2l0aCBHaWxsZXMgZGUgbGEgVG91cmV0dGUgc3luZHJvbWUsIHlldCB0aGUgc3BhdGlhbC10ZW1wb3JhbCBkeW5hbWljcyBvZiBuZXVyYWwgYWN0aXZpdHkgY2F1c2luZyBhIHRpYyByZW1haW5zIHRvIGJlIGRldGVybWluZWQuIE9CSkVDVElWRTogSWRlbnRpZmljYXRpb24gb2YgY29ydGljYWwgZXZlbnRzIHByZWNlZGluZyB0aWMgb25zZXQuIE1FVEhPRFM6IEluIHR3ZWx2ZSBwYXRpZW50cyB3aXRoIFRvdXJldHRlIHN5bmRyb21lIHdlIHBlcmZvcm1lZCBtYWduZXRvZW5jZXBoYWxvZ3JhcGh5IHRvIHRyYWNlIHRoZSB0aW1lIGNvdXJzZSBvZiBiZXRhIG9zY2lsbGF0aW9ucyAoMTUtMzDigK9IeikgaW4gbW90b3IgY29ydGljYWwgYXJlYXMgYmVmb3JlIHRpYyBvbnNldC4gUkVTVUxUUzogUGF0aWVudHMgc2hvd2VkIGEgYmlwaGFzaWMgbW9kdWxhdGlvbiBvZiBjb3J0aWNhbCBiZXRhIGFjdGl2aXR5IGR1cmluZyB0aGUgc2Vjb25kIGJlZm9yZSB0aWMgb25zZXQuIFdlIG9ic2VydmVkIGFuIGluaXRpYWwgaW5jcmVhc2Ugb2YgYmV0YSBwb3dlciBvdmVyIHRoZSBsZWZ0LWhlbWlzcGhlcmljIGNoYW5uZWxzIG92ZXJseWluZyB0aGUgbW90b3IgY29ydGV4LiBUaGlzIGluY3JlYXNlIHdhcyBzdWJzZXF1ZW50bHkgcmVwbGFjZWQgYnkgYSBkZWNyZWFzZSBpbiBiZXRhIHBvd2VyLiBUaGUgYmV0YSBkZWNyZWFzZSBjbG9zZSB0byB0aWMgb25zZXQgcmVzZW1ibGVkIHRoZSB0eXBpY2FsIHBhdHRlcm4gYWNjb21wYW55aW5nIHByZXBhcmF0aW9uIG9mIHZvbHVudGFyeSBtb3ZlbWVudHMuIE9ubHkgdGhlIGluaXRpYWwgaW5jcmVhc2UgaW4gYmV0YSBwb3dlciBwb3NpdGl2ZWx5IGNvcnJlbGF0ZWQgd2l0aCB0aGUgaW50ZW5zaXR5IG9mIG1vdG9yIHVyZ2VzIHByZWNlZGluZyB0aWNzLiBDT05DTFVTSU9OUzogVGhlIHNwYXRpYWwtdGVtcG9yYWwgZHluYW1pY3Mgb2YgY29ydGljYWwgYWN0aXZpdHkgc3VnZ2VzdHMgYSB2b2x1bnRhcnkgY29tcG9uZW50IG9mIHRpY3MgdGhhdCBtaWdodCBiZSB0cmlnZ2VyZWQgYnkgYSBmYWlsdXJlIG9mIGNvbXBlbnNhdG9yeSBtb3RvciBpbmhpYml0b3J5IG1lY2hhbmlzbXMuIiwidm9sdW1lIjoiNjUiLCJjb250YWluZXItdGl0bGUtc2hvcnQiOiIifSwiaXNUZW1wb3JhcnkiOmZhbHNlfV19"/>
                <w:id w:val="1434775344"/>
                <w:placeholder>
                  <w:docPart w:val="DefaultPlaceholder_-1854013440"/>
                </w:placeholder>
              </w:sdtPr>
              <w:sdtContent>
                <w:r w:rsidR="00F04E9F" w:rsidRPr="00F04E9F">
                  <w:rPr>
                    <w:rFonts w:eastAsia="Times New Roman" w:cs="Times New Roman"/>
                    <w:color w:val="000000"/>
                    <w:sz w:val="16"/>
                    <w:szCs w:val="16"/>
                  </w:rPr>
                  <w:t>(94)</w:t>
                </w:r>
              </w:sdtContent>
            </w:sdt>
          </w:p>
        </w:tc>
        <w:tc>
          <w:tcPr>
            <w:tcW w:w="0" w:type="auto"/>
            <w:shd w:val="clear" w:color="auto" w:fill="FFFFFF"/>
            <w:hideMark/>
          </w:tcPr>
          <w:p w14:paraId="46A4D47A"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11 adults with TS </w:t>
            </w:r>
            <w:r w:rsidRPr="008A1F40">
              <w:rPr>
                <w:rFonts w:cs="Times New Roman"/>
                <w:color w:val="000000" w:themeColor="text1"/>
                <w:sz w:val="16"/>
                <w:szCs w:val="16"/>
                <w:shd w:val="clear" w:color="auto" w:fill="FFFFFF"/>
              </w:rPr>
              <w:t>(PUTS data for n = 8)</w:t>
            </w:r>
          </w:p>
        </w:tc>
        <w:tc>
          <w:tcPr>
            <w:tcW w:w="1920" w:type="dxa"/>
            <w:shd w:val="clear" w:color="auto" w:fill="FFFFFF"/>
            <w:hideMark/>
          </w:tcPr>
          <w:p w14:paraId="3C781D8B"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MEG</w:t>
            </w:r>
          </w:p>
        </w:tc>
        <w:tc>
          <w:tcPr>
            <w:tcW w:w="4440" w:type="dxa"/>
            <w:shd w:val="clear" w:color="auto" w:fill="FFFFFF"/>
            <w:hideMark/>
          </w:tcPr>
          <w:p w14:paraId="67123370" w14:textId="7D63858A"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Beta power slope of bilateral premotor and motor cortices in time window one (</w:t>
            </w:r>
            <w:r w:rsidRPr="008A1F40">
              <w:rPr>
                <w:rFonts w:cs="Times New Roman"/>
                <w:color w:val="000000" w:themeColor="text1"/>
                <w:sz w:val="16"/>
                <w:szCs w:val="16"/>
                <w:shd w:val="clear" w:color="auto" w:fill="FFFFFF"/>
              </w:rPr>
              <w:t>1s to 0.5s before tics)</w:t>
            </w:r>
            <w:r w:rsidRPr="008A1F40">
              <w:rPr>
                <w:rFonts w:eastAsia="Times New Roman" w:cs="Times New Roman"/>
                <w:color w:val="0D0D0D"/>
                <w:sz w:val="16"/>
                <w:szCs w:val="16"/>
              </w:rPr>
              <w:t xml:space="preserve"> significantly correlated with PUTS item 6 ("I feel like there is energy in my body that needs to get out") </w:t>
            </w:r>
            <w:r w:rsidRPr="008A1F40">
              <w:rPr>
                <w:rFonts w:cs="Times New Roman"/>
                <w:color w:val="000000" w:themeColor="text1"/>
                <w:sz w:val="16"/>
                <w:szCs w:val="16"/>
                <w:shd w:val="clear" w:color="auto" w:fill="FFFFFF"/>
              </w:rPr>
              <w:t>(r = 0.928, p = 0.004). Spearman’s correlations between total PUTS scores and beta power slopes in time window one (</w:t>
            </w:r>
            <w:r w:rsidR="00DF16E0">
              <w:rPr>
                <w:rFonts w:cs="Times New Roman"/>
                <w:color w:val="000000" w:themeColor="text1"/>
                <w:sz w:val="16"/>
                <w:szCs w:val="16"/>
                <w:shd w:val="clear" w:color="auto" w:fill="FFFFFF"/>
              </w:rPr>
              <w:t xml:space="preserve">r = 0.710, </w:t>
            </w:r>
            <w:r w:rsidRPr="008A1F40">
              <w:rPr>
                <w:rFonts w:cs="Times New Roman"/>
                <w:color w:val="000000" w:themeColor="text1"/>
                <w:sz w:val="16"/>
                <w:szCs w:val="16"/>
                <w:shd w:val="clear" w:color="auto" w:fill="FFFFFF"/>
              </w:rPr>
              <w:t xml:space="preserve">p = 0.055) and time window two </w:t>
            </w:r>
            <w:r w:rsidRPr="008A1F40">
              <w:rPr>
                <w:rFonts w:eastAsia="Times New Roman" w:cs="Times New Roman"/>
                <w:color w:val="0D0D0D"/>
                <w:sz w:val="16"/>
                <w:szCs w:val="16"/>
              </w:rPr>
              <w:t>(0.5</w:t>
            </w:r>
            <w:r w:rsidRPr="008A1F40">
              <w:rPr>
                <w:rFonts w:cs="Times New Roman"/>
                <w:color w:val="000000" w:themeColor="text1"/>
                <w:sz w:val="16"/>
                <w:szCs w:val="16"/>
                <w:shd w:val="clear" w:color="auto" w:fill="FFFFFF"/>
              </w:rPr>
              <w:t>s to 0s before tics) (p = 0.564) were not significant.</w:t>
            </w:r>
          </w:p>
        </w:tc>
      </w:tr>
      <w:tr w:rsidR="00986E35" w:rsidRPr="008A1F40" w14:paraId="5107479D" w14:textId="77777777" w:rsidTr="007F77D2">
        <w:trPr>
          <w:tblCellSpacing w:w="15" w:type="dxa"/>
        </w:trPr>
        <w:tc>
          <w:tcPr>
            <w:tcW w:w="0" w:type="auto"/>
            <w:shd w:val="clear" w:color="auto" w:fill="FFFFFF"/>
            <w:hideMark/>
          </w:tcPr>
          <w:p w14:paraId="46D8FB15" w14:textId="54D2F12E"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Ganos et al (2014)</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DM3YjY5YmYtYzA0YS00YWVlLTgyNDQtM2I2NzI3MzA2OTg5IiwicHJvcGVydGllcyI6eyJub3RlSW5kZXgiOjB9LCJpc0VkaXRlZCI6ZmFsc2UsIm1hbnVhbE92ZXJyaWRlIjp7ImlzTWFudWFsbHlPdmVycmlkZGVuIjpmYWxzZSwiY2l0ZXByb2NUZXh0IjoiKDk1KSIsIm1hbnVhbE92ZXJyaWRlVGV4dCI6IiJ9LCJjaXRhdGlvbkl0ZW1zIjpbeyJpZCI6ImNkMWZlZGJjLWU2MDEtMzhhNS1iMGZiLWM2MDVmZDUzMTZkNyIsIml0ZW1EYXRhIjp7InR5cGUiOiJhcnRpY2xlLWpvdXJuYWwiLCJpZCI6ImNkMWZlZGJjLWU2MDEtMzhhNS1iMGZiLWM2MDVmZDUzMTZkNyIsInRpdGxlIjoiVGhlIG5ldXJhbCBjb3JyZWxhdGVzIG9mIHRpYyBpbmhpYml0aW9uIGluIEdpbGxlcyBkZSBsYSBUb3VyZXR0ZSBzeW5kcm9tZSIsImdyb3VwSWQiOiIwN2Q2MmFjMS01YWE4LTM5YWYtYjQ5ZS01MmQyMDg4YWM1NzEiLCJhdXRob3IiOlt7ImZhbWlseSI6Ikdhbm9zIiwiZ2l2ZW4iOiJDIiwicGFyc2UtbmFtZXMiOmZhbHNlLCJkcm9wcGluZy1wYXJ0aWNsZSI6IiIsIm5vbi1kcm9wcGluZy1wYXJ0aWNsZSI6IiJ9LHsiZmFtaWx5IjoiS2FobCIsImdpdmVuIjoiVSIsInBhcnNlLW5hbWVzIjpmYWxzZSwiZHJvcHBpbmctcGFydGljbGUiOiIiLCJub24tZHJvcHBpbmctcGFydGljbGUiOiIifSx7ImZhbWlseSI6IkJyYW5kdCIsImdpdmVuIjoiViIsInBhcnNlLW5hbWVzIjpmYWxzZSwiZHJvcHBpbmctcGFydGljbGUiOiIiLCJub24tZHJvcHBpbmctcGFydGljbGUiOiIifSx7ImZhbWlseSI6IlNjaHVua2UiLCJnaXZlbiI6Ik8iLCJwYXJzZS1uYW1lcyI6ZmFsc2UsImRyb3BwaW5nLXBhcnRpY2xlIjoiIiwibm9uLWRyb3BwaW5nLXBhcnRpY2xlIjoiIn0seyJmYW1pbHkiOiJCYXVtZXIiLCJnaXZlbiI6IlQiLCJwYXJzZS1uYW1lcyI6ZmFsc2UsImRyb3BwaW5nLXBhcnRpY2xlIjoiIiwibm9uLWRyb3BwaW5nLXBhcnRpY2xlIjoiIn0seyJmYW1pbHkiOiJUaG9tYWxsYSIsImdpdmVuIjoiRyIsInBhcnNlLW5hbWVzIjpmYWxzZSwiZHJvcHBpbmctcGFydGljbGUiOiIiLCJub24tZHJvcHBpbmctcGFydGljbGUiOiIifSx7ImZhbWlseSI6IlJvZXNzbmVyIiwiZ2l2ZW4iOiJWIiwicGFyc2UtbmFtZXMiOmZhbHNlLCJkcm9wcGluZy1wYXJ0aWNsZSI6IiIsIm5vbi1kcm9wcGluZy1wYXJ0aWNsZSI6IiJ9LHsiZmFtaWx5IjoiSGFnZ2FyZCIsImdpdmVuIjoiUCIsInBhcnNlLW5hbWVzIjpmYWxzZSwiZHJvcHBpbmctcGFydGljbGUiOiIiLCJub24tZHJvcHBpbmctcGFydGljbGUiOiIifSx7ImZhbWlseSI6Ik11bmNoYXUiLCJnaXZlbiI6IkEiLCJwYXJzZS1uYW1lcyI6ZmFsc2UsImRyb3BwaW5nLXBhcnRpY2xlIjoiIiwibm9uLWRyb3BwaW5nLXBhcnRpY2xlIjoiIn0seyJmYW1pbHkiOiJLdWhuIiwiZ2l2ZW4iOiJTIiwicGFyc2UtbmFtZXMiOmZhbHNlLCJkcm9wcGluZy1wYXJ0aWNsZSI6IiIsIm5vbi1kcm9wcGluZy1wYXJ0aWNsZSI6IiJ9XSwiY29udGFpbmVyLXRpdGxlIjoiTW92ZW1lbnQgRGlzb3JkZXJzIiwiRE9JIjoiaHR0cHM6Ly9keC5kb2kub3JnLzEwLjEwMDIvbWRzLjI1OTE0IiwiVVJMIjoiaHR0cDovL292aWRzcC5vdmlkLmNvbS9vdmlkd2ViLmNnaT9UPUpTJlBBR0U9cmVmZXJlbmNlJkQ9ZW1lZDE1Jk5FV1M9TiZBTj03MTQ5NzE1NiIsImlzc3VlZCI6eyJkYXRlLXBhcnRzIjpbWzIwMTRdXX0sInBhZ2UiOiJTNDA5LSIsImFic3RyYWN0IjoiT2JqZWN0aXZlOiBUbyBpbnZlc3RpZ2F0ZSB0aGUgbmV1cmFsIGNvcnJlbGF0ZXMgb2YgdGljIGluaGliaXRpb24gaW4gR2lsbGVzIGRlIGxhIFRvdXJldHRlIHN5bmRyb21lIChHVFMpLiBCYWNrZ3JvdW5kKHMpOiBUaWNzIGluIEdUUyByZXNlbWJsZSBmcmFnbWVudHMgb2Ygbm9ybWFsIG1vdG9yIGJlaGF2aW9yIGJ1dCBhcHBlYXIgaW4gYW4gaW50cnVzaXZlLCByZXBldGl0aXZlIGFuZCBjb250ZXh0aW5hcHByb3ByaWF0ZSBtYW5uZXIuIEFsdGhvdWdoIHRpY3MgY2FuIGJlIHZvbHVudGFyaWx5IGluaGliaXRlZCBvbiBkZW1hbmQsIHRoZSBuZXVyYWwgcHJvcGVydGllcyBvZiB0aGlzIHByb2Nlc3MgcmVtYWluIHVuY2xlYXIuIE1ldGhvZChzKTogMTQgR1RTIGFkdWx0cyB3aXRob3V0IHJlbGV2YW50IGNvbW9yYmlkaXRpZXMgcGFydGljaXBhdGVkIGluIHRoaXMgc3R1ZHkuIEZpcnN0LCB0aWMgc2V2ZXJpdHkgYW5kIHZvbHVudGFyeSB0aWMgaW5oaWJpdG9yeSBjYXBhY2l0eSB3ZXJlIGV2YWx1YXRlZCBvdXRzaWRlIHRoZSBzY2FubmVyLiBTZWNvbmQsIHBhdGllbnRzIHdlcmUgZXhhbWluZWQgd2l0aCByZXN0aW5nIHN0YXRlIGZ1bmN0aW9uYWwgbWFnbmV0aWMgcmVzb25hbmNlIGltYWdpbmcgKFJTLWZNUkkpIGluIHR3byBzdGF0ZXMsIGZyZWUgdGljY2luZyBhbmQgdm9sdW50YXJ5IHRpYyBpbmhpYml0aW9uLiBMb2NhbCBzeW5jaHJvbml6YXRpb24gb2Ygc3BvbnRhbmVvdXMgZk1SSS1zaWduYWwgd2FzIGFuYWx5emVkIHdpdGggcmVnaW9uYWwgaG9tb2dlbmVpdHkgKFJlSG8pIGFuZCBkaWZmZXJlbmNlcyBiZXR3ZWVuIGJvdGggc3RhdGVzIChmcmVlIHRpY2Npbmc8dGljIGluaGliaXRpb24pIHdlcmUgY29udHJhc3RlZC4gQ2xpbmljYWwgY29ycmVsYXRpb25zIG9mIHRoZSByZXN1bHRpbmcgZGlmZmVyZW50aWFsIFJlSG8gcGFyYW1ldGVycyBiZXR3ZWVuIGJvdGggc3RhdGVzIGFuZCBjbGluaWNhbCBtZWFzdXJlcyBvZiB0aWMgZnJlcXVlbmN5LCB2b2x1bnRhcnkgdGljIGluaGliaXRpb24gYW5kIHByZW1vbml0b3J5IHVyZ2VzIHdlcmUgYWxzbyBwZXJmb3JtZWQuIFJlc3VsdChzKTogUmVIbyBvZiB0aGUgbGVmdCBpbmZlcmlvciBmcm9udGFsIGd5cnVzIChJRkcpIHdhcyBpbmNyZWFzZWQgZHVyaW5nIHZvbHVudGFyeSB0aWMgaW5oaWJpdGlvbiBjb21wYXJlZCB0byBmcmVlIHRpY2NpbmcuIFJlSG8gaW5jcmVhc2VzIHdlcmUgcG9zaXRpdmVseSBjb3JyZWxhdGVkIHdpdGggcGFydGljaXBhbnRzJyBhYmlsaXR5IHRvIGluaGliaXQgdGhlaXIgdGljcyBkdXJpbmcgc2Nhbm5pbmcgc2Vzc2lvbnMgYnV0IGFsc28gb3V0c2lkZSB0aGUgc2Nhbm5lci4gVGhlcmUgd2FzIG5vIGNvcnJlbGF0aW9uIHdpdGggcmF0aW5ncyBvZiBwcmVtb25pdG9yeSB1cmdlcy4gQ29uY2x1c2lvbihzKTogVm9sdW50YXJ5IHRpYyBpbmhpYml0aW9uIGlzIGFzc29jaWF0ZWQgd2l0aCBpbmNyZWFzZWQgUmVIbyBvZiB0aGUgbGVmdCBJRkcuIFByZW1vbml0b3J5IHVyZ2VzIGFyZSB1bnJlbGF0ZWQgdG8gdGhpcyBwcm9jZXNzLiIsImlzc3VlIjoiU1VQUEwuIDEiLCJ2b2x1bWUiOiIyOSIsImNvbnRhaW5lci10aXRsZS1zaG9ydCI6IiJ9LCJpc1RlbXBvcmFyeSI6ZmFsc2V9XX0="/>
                <w:id w:val="-194319516"/>
                <w:placeholder>
                  <w:docPart w:val="DefaultPlaceholder_-1854013440"/>
                </w:placeholder>
              </w:sdtPr>
              <w:sdtContent>
                <w:r w:rsidR="00F04E9F" w:rsidRPr="00F04E9F">
                  <w:rPr>
                    <w:rFonts w:eastAsia="Times New Roman" w:cs="Times New Roman"/>
                    <w:color w:val="000000"/>
                    <w:sz w:val="16"/>
                    <w:szCs w:val="16"/>
                  </w:rPr>
                  <w:t>(95)</w:t>
                </w:r>
              </w:sdtContent>
            </w:sdt>
          </w:p>
        </w:tc>
        <w:tc>
          <w:tcPr>
            <w:tcW w:w="0" w:type="auto"/>
            <w:shd w:val="clear" w:color="auto" w:fill="FFFFFF"/>
            <w:hideMark/>
          </w:tcPr>
          <w:p w14:paraId="0D2535BD"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14 adults with TS</w:t>
            </w:r>
          </w:p>
        </w:tc>
        <w:tc>
          <w:tcPr>
            <w:tcW w:w="1920" w:type="dxa"/>
            <w:shd w:val="clear" w:color="auto" w:fill="FFFFFF"/>
            <w:hideMark/>
          </w:tcPr>
          <w:p w14:paraId="678B56B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00000" w:themeColor="text1"/>
                <w:sz w:val="16"/>
                <w:szCs w:val="16"/>
              </w:rPr>
              <w:t xml:space="preserve">fMRI (while participants </w:t>
            </w:r>
            <w:r w:rsidRPr="008A1F40">
              <w:rPr>
                <w:rFonts w:cs="Times New Roman"/>
                <w:color w:val="000000" w:themeColor="text1"/>
                <w:sz w:val="16"/>
                <w:szCs w:val="16"/>
              </w:rPr>
              <w:t>completed free to tic and tic suppression conditions)</w:t>
            </w:r>
          </w:p>
        </w:tc>
        <w:tc>
          <w:tcPr>
            <w:tcW w:w="4440" w:type="dxa"/>
            <w:shd w:val="clear" w:color="auto" w:fill="FFFFFF"/>
            <w:hideMark/>
          </w:tcPr>
          <w:p w14:paraId="7ACC3732" w14:textId="77777777" w:rsidR="00C95DF3"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No correlation between PUTS scores and regional homogeneity contrast values </w:t>
            </w:r>
            <w:r w:rsidRPr="008A1F40">
              <w:rPr>
                <w:rFonts w:cs="Times New Roman"/>
                <w:color w:val="000000" w:themeColor="text1"/>
                <w:sz w:val="16"/>
                <w:szCs w:val="16"/>
              </w:rPr>
              <w:t>between suppression and free to tic conditions</w:t>
            </w:r>
            <w:r w:rsidRPr="008A1F40">
              <w:rPr>
                <w:rFonts w:eastAsia="Times New Roman" w:cs="Times New Roman"/>
                <w:color w:val="0D0D0D"/>
                <w:sz w:val="16"/>
                <w:szCs w:val="16"/>
              </w:rPr>
              <w:t xml:space="preserve"> in left inferior frontal gyrus </w:t>
            </w:r>
            <w:r w:rsidRPr="008A1F40">
              <w:rPr>
                <w:rFonts w:cs="Times New Roman"/>
                <w:color w:val="000000" w:themeColor="text1"/>
                <w:sz w:val="16"/>
                <w:szCs w:val="16"/>
              </w:rPr>
              <w:t>(Pearson’s r = -0.091, p = 0.758)</w:t>
            </w:r>
            <w:r w:rsidRPr="008A1F40">
              <w:rPr>
                <w:rFonts w:eastAsia="Times New Roman" w:cs="Times New Roman"/>
                <w:color w:val="0D0D0D"/>
                <w:sz w:val="16"/>
                <w:szCs w:val="16"/>
              </w:rPr>
              <w:t xml:space="preserve">. </w:t>
            </w:r>
          </w:p>
          <w:p w14:paraId="678AC07C" w14:textId="26F6E419"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w:t>
            </w:r>
            <w:r w:rsidR="00C95DF3">
              <w:rPr>
                <w:rFonts w:eastAsia="Times New Roman" w:cs="Times New Roman"/>
                <w:color w:val="0D0D0D"/>
                <w:sz w:val="16"/>
                <w:szCs w:val="16"/>
              </w:rPr>
              <w:t>N</w:t>
            </w:r>
            <w:r w:rsidRPr="008A1F40">
              <w:rPr>
                <w:rFonts w:eastAsia="Times New Roman" w:cs="Times New Roman"/>
                <w:color w:val="0D0D0D"/>
                <w:sz w:val="16"/>
                <w:szCs w:val="16"/>
              </w:rPr>
              <w:t xml:space="preserve">ote: regional homogeneity </w:t>
            </w:r>
            <w:r w:rsidRPr="008A1F40">
              <w:rPr>
                <w:rFonts w:cs="Times New Roman"/>
                <w:color w:val="000000" w:themeColor="text1"/>
                <w:sz w:val="16"/>
                <w:szCs w:val="16"/>
              </w:rPr>
              <w:t>“measures the local synchronization of spontaneous fMRI signals… and can therefore be considered a measure of local connectivity”</w:t>
            </w:r>
          </w:p>
        </w:tc>
      </w:tr>
      <w:tr w:rsidR="00986E35" w:rsidRPr="008A1F40" w14:paraId="7C8D5047" w14:textId="77777777" w:rsidTr="007F77D2">
        <w:trPr>
          <w:tblCellSpacing w:w="15" w:type="dxa"/>
        </w:trPr>
        <w:tc>
          <w:tcPr>
            <w:tcW w:w="0" w:type="auto"/>
            <w:shd w:val="clear" w:color="auto" w:fill="FFFFFF"/>
            <w:hideMark/>
          </w:tcPr>
          <w:p w14:paraId="1F532176" w14:textId="0777D191"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He et al (2022)</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ZWQwNDliOTQtZmEyNy00NWRkLTgyZTMtNzU2OGFlNTJiODVhIiwicHJvcGVydGllcyI6eyJub3RlSW5kZXgiOjB9LCJpc0VkaXRlZCI6ZmFsc2UsIm1hbnVhbE92ZXJyaWRlIjp7ImlzTWFudWFsbHlPdmVycmlkZGVuIjpmYWxzZSwiY2l0ZXByb2NUZXh0IjoiKDk2KSIsIm1hbnVhbE92ZXJyaWRlVGV4dCI6IiJ9LCJjaXRhdGlvbkl0ZW1zIjpbeyJpZCI6ImJhNGQwZWJmLWQ5YmUtMzI4Yy05MGE0LTZlNGQ3MjAwYTFiMyIsIml0ZW1EYXRhIjp7InR5cGUiOiJhcnRpY2xlLWpvdXJuYWwiLCJpZCI6ImJhNGQwZWJmLWQ5YmUtMzI4Yy05MGE0LTZlNGQ3MjAwYTFiMyIsInRpdGxlIjoiRnJlcXVlbmN5IGFuZCBJbnRlbnNpdHkgb2YgUHJlbW9uaXRvcnkgVXJnZXMtdG8tVGljIGluIFRvdXJldHRlIFN5bmRyb21lIElzIEFzc29jaWF0ZWQgV2l0aCBTdXBwbGVtZW50YXJ5IE1vdG9yIEFyZWEgR0FCQSsgTGV2ZWxzIiwiZ3JvdXBJZCI6IjA3ZDYyYWMxLTVhYTgtMzlhZi1iNDllLTUyZDIwODhhYzU3MSIsImF1dGhvciI6W3siZmFtaWx5IjoiSGUiLCJnaXZlbiI6IkogTCIsInBhcnNlLW5hbWVzIjpmYWxzZSwiZHJvcHBpbmctcGFydGljbGUiOiIiLCJub24tZHJvcHBpbmctcGFydGljbGUiOiIifSx7ImZhbWlseSI6Ik1pa2tlbHNlbiIsImdpdmVuIjoiTSIsInBhcnNlLW5hbWVzIjpmYWxzZSwiZHJvcHBpbmctcGFydGljbGUiOiIiLCJub24tZHJvcHBpbmctcGFydGljbGUiOiIifSx7ImZhbWlseSI6Ikh1ZGRsZXN0b24iLCJnaXZlbiI6IkQgQSIsInBhcnNlLW5hbWVzIjpmYWxzZSwiZHJvcHBpbmctcGFydGljbGUiOiIiLCJub24tZHJvcHBpbmctcGFydGljbGUiOiIifSx7ImZhbWlseSI6IkNyb2NldHRpIiwiZ2l2ZW4iOiJEIiwicGFyc2UtbmFtZXMiOmZhbHNlLCJkcm9wcGluZy1wYXJ0aWNsZSI6IiIsIm5vbi1kcm9wcGluZy1wYXJ0aWNsZSI6IiJ9LHsiZmFtaWx5IjoiQ2VjaWwiLCJnaXZlbiI6IksgTSIsInBhcnNlLW5hbWVzIjpmYWxzZSwiZHJvcHBpbmctcGFydGljbGUiOiIiLCJub24tZHJvcHBpbmctcGFydGljbGUiOiIifSx7ImZhbWlseSI6IlNpbmdlciIsImdpdmVuIjoiSCBTIiwicGFyc2UtbmFtZXMiOmZhbHNlLCJkcm9wcGluZy1wYXJ0aWNsZSI6IiIsIm5vbi1kcm9wcGluZy1wYXJ0aWNsZSI6IiJ9LHsiZmFtaWx5IjoiRWRkZW4iLCJnaXZlbiI6IlIgQSBFIiwicGFyc2UtbmFtZXMiOmZhbHNlLCJkcm9wcGluZy1wYXJ0aWNsZSI6IiIsIm5vbi1kcm9wcGluZy1wYXJ0aWNsZSI6IiJ9LHsiZmFtaWx5IjoiR2lsYmVydCIsImdpdmVuIjoiRCBMIiwicGFyc2UtbmFtZXMiOmZhbHNlLCJkcm9wcGluZy1wYXJ0aWNsZSI6IiIsIm5vbi1kcm9wcGluZy1wYXJ0aWNsZSI6IiJ9LHsiZmFtaWx5IjoiTW9zdG9mc2t5IiwiZ2l2ZW4iOiJTIEgiLCJwYXJzZS1uYW1lcyI6ZmFsc2UsImRyb3BwaW5nLXBhcnRpY2xlIjoiIiwibm9uLWRyb3BwaW5nLXBhcnRpY2xlIjoiIn0seyJmYW1pbHkiOiJQdXRzIiwiZ2l2ZW4iOiJOIEEgSiIsInBhcnNlLW5hbWVzIjpmYWxzZSwiZHJvcHBpbmctcGFydGljbGUiOiIiLCJub24tZHJvcHBpbmctcGFydGljbGUiOiIifV0sImNvbnRhaW5lci10aXRsZSI6Ik1vdmVtZW50IERpc29yZGVycyIsIkRPSSI6Imh0dHBzOi8vZHguZG9pLm9yZy8xMC4xMDAyL21kcy4yODg2OCIsIlVSTCI6Imh0dHA6Ly9vbmxpbmVsaWJyYXJ5LndpbGV5LmNvbS9qb3VybmFsLzEwLjEwMDIvKElTU04pMTUzMS04MjU3aHR0cDovL292aWRzcC5vdmlkLmNvbS9vdmlkd2ViLmNnaT9UPUpTJlBBR0U9cmVmZXJlbmNlJkQ9ZW1leGEmTkVXUz1OJkFOPTIwMTQzNDU1MjkiLCJpc3N1ZWQiOnsiZGF0ZS1wYXJ0cyI6W1syMDIyXV19LCJwYWdlIjoiNTYzLTU3MyIsImFic3RyYWN0IjoiQmFja2dyb3VuZDogSW5kaXZpZHVhbHMgd2l0aCBUb3VyZXR0ZSBzeW5kcm9tZSAoVFMpIG9mdGVuIHJlcG9ydCB0aGF0IHRoZXkgZXhwcmVzcyB0aWNzIGFzIGEgbWVhbnMgb2YgYWxsZXZpYXRpbmcgdGhlIGV4cGVyaWVuY2Ugb2YgdW5wbGVhc2FudCBzZW5zYXRpb25zLiBUaGVzZSBzZW5zYXRpb25zIGFyZSBwZXJjZWl2ZWQgYXMgYW4gdXJnZSB0byBhY3QgYW5kIGFyZSByZWZlcnJlZCB0byBhcyBwcmVtb25pdG9yeSB1cmdlcy4gUHJlbW9uaXRvcnkgdXJnZXMgaGF2ZSBiZWVuIHRoZSBmb2N1cyBvZiByZWNlbnQgZWZmb3J0cyB0byBkZXZlbG9wIGludGVydmVudGlvbnMgdG8gcmVkdWNlIHRpYyBleHByZXNzaW9uIGluIHRob3NlIHdpdGggVFMuIE9iamVjdGl2ZShzKTogVGhlIGFpbSBvZiB0aGlzIHN0dWR5IHdhcyB0byBleGFtaW5lIHRoZSBjb250cmlidXRpb24gb2YgYnJhaW4gZ2FtbWEtYW1pbm9idXR5cmljIGFjaWQgKEdBQkEpIGFuZCBnbHV0YW1hdGUgbGV2ZWxzIG9mIHRoZSByaWdodCBwcmltYXJ5IHNlbnNvcmltb3RvciBjb3J0ZXggKFNNMSksIHN1cHBsZW1lbnRhcnkgbW90b3IgYXJlYSAoU01BKSwgYW5kIGluc3VsYXIgY29ydGV4IChpbnN1bGEpIHRvIHRpYyBhbmQgdXJnZSBzZXZlcml0eSBpbiBjaGlsZHJlbiB3aXRoIFRTLiBNZXRob2Qocyk6IEVkaXRlZCBtYWduZXRpYyByZXNvbmFuY2Ugc3BlY3Ryb3Njb3B5IHdhcyB1c2VkIHRvIGFzc2VzcyBHQUJBKyAoR0FCQSArIG1hY3JvbW9sZWN1bGVzKSBhbmQgR2x4IChnbHV0YW1hdGUgKyBnbHV0YW1pbmUpIG9mIHRoZSByaWdodCBTTTEsIFNNQSwgYW5kIGluc3VsYSBpbiA2OCBjaGlsZHJlbiB3aXRoIFRTIChNQWdlID0gMTAuNTksIFNEQWdlID0gMS4zMykgYW5kIDQxIHR5cGljYWxseSBkZXZlbG9waW5nIGNvbnRyb2wgc3ViamVjdHMgKE1BZ2UgPSAxMC4yNiwgU0RBZ2UgPSAyLjIxKS4gV2UgZmlyc3QgY29tcGFyZWQgR0FCQSsgYW5kIEdseCBsZXZlbHMgb2YgdGhlc2UgYnJhaW4gcmVnaW9ucyBiZXR3ZWVuIGdyb3Vwcy4gV2UgdGhlbiBleHBsb3JlZCB0aGUgYXNzb2NpYXRpb24gYmV0d2VlbiByZWdpb25hbCBHQUJBKyBhbmQgR2x4IGxldmVscyB3aXRoIHVyZ2UgYW5kIHRpYyBzZXZlcml0eS4gUmVzdWx0KHMpOiBHQUJBKyBhbmQgR2x4IG9mIHRoZSByaWdodCBTTTEsIFNNQSwgYW5kIGluc3VsYSB3ZXJlIGNvbXBhcmFibGUgYmV0d2VlbiB0aGUgY2hpbGRyZW4gd2l0aCBUUyBhbmQgdHlwaWNhbGx5IGRldmVsb3BpbmcgY29udHJvbCBzdWJqZWN0cy4gSW4gY2hpbGRyZW4gd2l0aCBUUywgbG93ZXIgbGV2ZWxzIG9mIFNNQSBHQUJBKyB3ZXJlIGFzc29jaWF0ZWQgd2l0aCBtb3JlIHNldmVyZSBhbmQgbW9yZSBmcmVxdWVudCBwcmVtb25pdG9yeSB1cmdlcy4gTmVpdGhlciBHQUJBKyBub3IgR2x4IGxldmVscyB3ZXJlIGFzc29jaWF0ZWQgd2l0aCB0aWMgc2V2ZXJpdHkuIENvbmNsdXNpb24ocyk6IFRoZXNlIHJlc3VsdHMgYnJvYWRseSBzdXBwb3J0IHRoZSByb2xlIG9mIEdBQkFlcmdpYyBuZXVyb3RyYW5zbWlzc2lvbiB3aXRoaW4gdGhlIFNNQSBpbiB0aGUgZXhwZXJpZW5jZSBvZiBwcmVtb25pdG9yeSB1cmdlcyBpbiBjaGlsZHJlbiB3aXRoIFRTLiDCqSAyMDIxIEludGVybmF0aW9uYWwgUGFya2luc29uIGFuZCBNb3ZlbWVudCBEaXNvcmRlciBTb2NpZXR5LiIsImlzc3VlIjoiMyIsInZvbHVtZSI6IjM3IiwiY29udGFpbmVyLXRpdGxlLXNob3J0IjoiIn0sImlzVGVtcG9yYXJ5IjpmYWxzZX1dfQ=="/>
                <w:id w:val="1497614431"/>
                <w:placeholder>
                  <w:docPart w:val="DefaultPlaceholder_-1854013440"/>
                </w:placeholder>
              </w:sdtPr>
              <w:sdtContent>
                <w:r w:rsidR="00F04E9F" w:rsidRPr="00F04E9F">
                  <w:rPr>
                    <w:rFonts w:eastAsia="Times New Roman" w:cs="Times New Roman"/>
                    <w:color w:val="000000"/>
                    <w:sz w:val="16"/>
                    <w:szCs w:val="16"/>
                  </w:rPr>
                  <w:t>(96)</w:t>
                </w:r>
              </w:sdtContent>
            </w:sdt>
          </w:p>
        </w:tc>
        <w:tc>
          <w:tcPr>
            <w:tcW w:w="0" w:type="auto"/>
            <w:shd w:val="clear" w:color="auto" w:fill="FFFFFF"/>
            <w:hideMark/>
          </w:tcPr>
          <w:p w14:paraId="53377406"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68 children with TS</w:t>
            </w:r>
          </w:p>
        </w:tc>
        <w:tc>
          <w:tcPr>
            <w:tcW w:w="1920" w:type="dxa"/>
            <w:shd w:val="clear" w:color="auto" w:fill="FFFFFF"/>
            <w:hideMark/>
          </w:tcPr>
          <w:p w14:paraId="116AE0F3"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MRS – right hemisphere</w:t>
            </w:r>
          </w:p>
        </w:tc>
        <w:tc>
          <w:tcPr>
            <w:tcW w:w="4440" w:type="dxa"/>
            <w:shd w:val="clear" w:color="auto" w:fill="FFFFFF"/>
            <w:hideMark/>
          </w:tcPr>
          <w:p w14:paraId="4C448ACA" w14:textId="2CA5E953"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After correcting for multiple comparisons</w:t>
            </w:r>
            <w:r w:rsidR="00041904">
              <w:rPr>
                <w:rFonts w:cs="Times New Roman"/>
                <w:color w:val="000000" w:themeColor="text1"/>
                <w:sz w:val="16"/>
                <w:szCs w:val="16"/>
              </w:rPr>
              <w:t>,</w:t>
            </w:r>
            <w:r w:rsidRPr="008A1F40">
              <w:rPr>
                <w:rFonts w:cs="Times New Roman"/>
                <w:color w:val="000000" w:themeColor="text1"/>
                <w:sz w:val="16"/>
                <w:szCs w:val="16"/>
              </w:rPr>
              <w:t xml:space="preserve"> there were significant negative Pearson’s correlations </w:t>
            </w:r>
            <w:r w:rsidR="00AD54B2">
              <w:rPr>
                <w:rFonts w:cs="Times New Roman"/>
                <w:color w:val="000000" w:themeColor="text1"/>
                <w:sz w:val="16"/>
                <w:szCs w:val="16"/>
              </w:rPr>
              <w:t>of</w:t>
            </w:r>
            <w:r w:rsidR="00AD54B2" w:rsidRPr="008A1F40">
              <w:rPr>
                <w:rFonts w:cs="Times New Roman"/>
                <w:color w:val="000000" w:themeColor="text1"/>
                <w:sz w:val="16"/>
                <w:szCs w:val="16"/>
              </w:rPr>
              <w:t xml:space="preserve"> </w:t>
            </w:r>
            <w:r w:rsidRPr="008A1F40">
              <w:rPr>
                <w:rFonts w:cs="Times New Roman"/>
                <w:color w:val="000000" w:themeColor="text1"/>
                <w:sz w:val="16"/>
                <w:szCs w:val="16"/>
              </w:rPr>
              <w:t xml:space="preserve">SMA GABA+ concentration </w:t>
            </w:r>
            <w:r w:rsidR="00AD54B2">
              <w:rPr>
                <w:rFonts w:cs="Times New Roman"/>
                <w:color w:val="000000" w:themeColor="text1"/>
                <w:sz w:val="16"/>
                <w:szCs w:val="16"/>
              </w:rPr>
              <w:t>with</w:t>
            </w:r>
            <w:r w:rsidR="00AD54B2" w:rsidRPr="008A1F40">
              <w:rPr>
                <w:rFonts w:cs="Times New Roman"/>
                <w:color w:val="000000" w:themeColor="text1"/>
                <w:sz w:val="16"/>
                <w:szCs w:val="16"/>
              </w:rPr>
              <w:t xml:space="preserve"> </w:t>
            </w:r>
            <w:r w:rsidRPr="008A1F40">
              <w:rPr>
                <w:rFonts w:cs="Times New Roman"/>
                <w:color w:val="000000" w:themeColor="text1"/>
                <w:sz w:val="16"/>
                <w:szCs w:val="16"/>
              </w:rPr>
              <w:t xml:space="preserve">I-PUTS frequency (r = -0.39, p = 0.022), I-PUTS intensity (r = -0.42, p = 0.011), and I-PUTS number (r = -0.40, p = 0.02), such that lower levels of SMA GABA+ were associated with greater premonitory urge symptoms. There were no significant associations </w:t>
            </w:r>
            <w:r w:rsidR="000E6528">
              <w:rPr>
                <w:rFonts w:cs="Times New Roman"/>
                <w:color w:val="000000" w:themeColor="text1"/>
                <w:sz w:val="16"/>
                <w:szCs w:val="16"/>
              </w:rPr>
              <w:t>of</w:t>
            </w:r>
            <w:r w:rsidR="000E6528" w:rsidRPr="008A1F40">
              <w:rPr>
                <w:rFonts w:cs="Times New Roman"/>
                <w:color w:val="000000" w:themeColor="text1"/>
                <w:sz w:val="16"/>
                <w:szCs w:val="16"/>
              </w:rPr>
              <w:t xml:space="preserve"> </w:t>
            </w:r>
            <w:r w:rsidRPr="008A1F40">
              <w:rPr>
                <w:rFonts w:cs="Times New Roman"/>
                <w:color w:val="000000" w:themeColor="text1"/>
                <w:sz w:val="16"/>
                <w:szCs w:val="16"/>
              </w:rPr>
              <w:t xml:space="preserve">GABA+ concentrations in the insula or SMC </w:t>
            </w:r>
            <w:r w:rsidR="000E6528">
              <w:rPr>
                <w:rFonts w:cs="Times New Roman"/>
                <w:color w:val="000000" w:themeColor="text1"/>
                <w:sz w:val="16"/>
                <w:szCs w:val="16"/>
              </w:rPr>
              <w:t>with</w:t>
            </w:r>
            <w:r w:rsidR="000E6528" w:rsidRPr="008A1F40">
              <w:rPr>
                <w:rFonts w:cs="Times New Roman"/>
                <w:color w:val="000000" w:themeColor="text1"/>
                <w:sz w:val="16"/>
                <w:szCs w:val="16"/>
              </w:rPr>
              <w:t xml:space="preserve"> </w:t>
            </w:r>
            <w:r w:rsidR="00910414">
              <w:rPr>
                <w:rFonts w:cs="Times New Roman"/>
                <w:color w:val="000000" w:themeColor="text1"/>
                <w:sz w:val="16"/>
                <w:szCs w:val="16"/>
              </w:rPr>
              <w:t>I-PUTS</w:t>
            </w:r>
            <w:r w:rsidRPr="008A1F40">
              <w:rPr>
                <w:rFonts w:cs="Times New Roman"/>
                <w:color w:val="000000" w:themeColor="text1"/>
                <w:sz w:val="16"/>
                <w:szCs w:val="16"/>
              </w:rPr>
              <w:t xml:space="preserve"> </w:t>
            </w:r>
            <w:r w:rsidR="000E6528">
              <w:rPr>
                <w:rFonts w:cs="Times New Roman"/>
                <w:color w:val="000000" w:themeColor="text1"/>
                <w:sz w:val="16"/>
                <w:szCs w:val="16"/>
              </w:rPr>
              <w:t>scores</w:t>
            </w:r>
            <w:r w:rsidRPr="008A1F40">
              <w:rPr>
                <w:rFonts w:cs="Times New Roman"/>
                <w:color w:val="000000" w:themeColor="text1"/>
                <w:sz w:val="16"/>
                <w:szCs w:val="16"/>
              </w:rPr>
              <w:t>, nor were there any associations between Glx levels in any of the three brain regions and I-PUTS scores</w:t>
            </w:r>
          </w:p>
        </w:tc>
      </w:tr>
      <w:tr w:rsidR="00986E35" w:rsidRPr="008A1F40" w14:paraId="115C0B2D" w14:textId="77777777" w:rsidTr="007F77D2">
        <w:trPr>
          <w:tblCellSpacing w:w="15" w:type="dxa"/>
        </w:trPr>
        <w:tc>
          <w:tcPr>
            <w:tcW w:w="0" w:type="auto"/>
            <w:shd w:val="clear" w:color="auto" w:fill="FFFFFF"/>
            <w:hideMark/>
          </w:tcPr>
          <w:p w14:paraId="544DBF62" w14:textId="28FCB5CD"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lastRenderedPageBreak/>
              <w:t>Kanaan et al (2017)</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GM3NTg0MGMtZDI0Yi00NGUyLTgyM2UtZmQ5MTQ1ODEwYzIyIiwicHJvcGVydGllcyI6eyJub3RlSW5kZXgiOjB9LCJpc0VkaXRlZCI6ZmFsc2UsIm1hbnVhbE92ZXJyaWRlIjp7ImlzTWFudWFsbHlPdmVycmlkZGVuIjpmYWxzZSwiY2l0ZXByb2NUZXh0IjoiKDk3KSIsIm1hbnVhbE92ZXJyaWRlVGV4dCI6IiJ9LCJjaXRhdGlvbkl0ZW1zIjpbeyJpZCI6IjcwMjhlYzQ0LTM2ZGUtM2FlNC05N2EwLWE2OGY5NjAwY2RlOCIsIml0ZW1EYXRhIjp7InR5cGUiOiJhcnRpY2xlLWpvdXJuYWwiLCJpZCI6IjcwMjhlYzQ0LTM2ZGUtM2FlNC05N2EwLWE2OGY5NjAwY2RlOCIsInRpdGxlIjoiUGF0aG9sb2dpY2FsIGdsdXRhbWF0ZXJnaWMgbmV1cm90cmFuc21pc3Npb24gaW4gR2lsbGVzIGRlIGxhIFRvdXJldHRlIHN5bmRyb21lIiwiZ3JvdXBJZCI6IjA3ZDYyYWMxLTVhYTgtMzlhZi1iNDllLTUyZDIwODhhYzU3MSIsImF1dGhvciI6W3siZmFtaWx5IjoiS2FuYWFuIiwiZ2l2ZW4iOiJBIFMiLCJwYXJzZS1uYW1lcyI6ZmFsc2UsImRyb3BwaW5nLXBhcnRpY2xlIjoiIiwibm9uLWRyb3BwaW5nLXBhcnRpY2xlIjoiIn0seyJmYW1pbHkiOiJHZXJhc2NoIiwiZ2l2ZW4iOiJTIiwicGFyc2UtbmFtZXMiOmZhbHNlLCJkcm9wcGluZy1wYXJ0aWNsZSI6IiIsIm5vbi1kcm9wcGluZy1wYXJ0aWNsZSI6IiJ9LHsiZmFtaWx5IjoiR2FyY8OtYS1HYXJjw61hIiwiZ2l2ZW4iOiJJIiwicGFyc2UtbmFtZXMiOmZhbHNlLCJkcm9wcGluZy1wYXJ0aWNsZSI6IiIsIm5vbi1kcm9wcGluZy1wYXJ0aWNsZSI6IiJ9LHsiZmFtaWx5IjoiTGFtcGUiLCJnaXZlbiI6IkwiLCJwYXJzZS1uYW1lcyI6ZmFsc2UsImRyb3BwaW5nLXBhcnRpY2xlIjoiIiwibm9uLWRyb3BwaW5nLXBhcnRpY2xlIjoiIn0seyJmYW1pbHkiOiJQYW1wZWwiLCJnaXZlbiI6IkEiLCJwYXJzZS1uYW1lcyI6ZmFsc2UsImRyb3BwaW5nLXBhcnRpY2xlIjoiIiwibm9uLWRyb3BwaW5nLXBhcnRpY2xlIjoiIn0seyJmYW1pbHkiOiJBbndhbmRlciIsImdpdmVuIjoiQSIsInBhcnNlLW5hbWVzIjpmYWxzZSwiZHJvcHBpbmctcGFydGljbGUiOiIiLCJub24tZHJvcHBpbmctcGFydGljbGUiOiIifSx7ImZhbWlseSI6Ik5lYXIiLCJnaXZlbiI6IkoiLCJwYXJzZS1uYW1lcyI6ZmFsc2UsImRyb3BwaW5nLXBhcnRpY2xlIjoiIiwibm9uLWRyb3BwaW5nLXBhcnRpY2xlIjoiIn0seyJmYW1pbHkiOiJNw7ZsbGVyIiwiZ2l2ZW4iOiJIIEUiLCJwYXJzZS1uYW1lcyI6ZmFsc2UsImRyb3BwaW5nLXBhcnRpY2xlIjoiIiwibm9uLWRyb3BwaW5nLXBhcnRpY2xlIjoiIn0seyJmYW1pbHkiOiJNw7xsbGVyLVZhaGwiLCJnaXZlbiI6IksiLCJwYXJzZS1uYW1lcyI6ZmFsc2UsImRyb3BwaW5nLXBhcnRpY2xlIjoiIiwibm9uLWRyb3BwaW5nLXBhcnRpY2xlIjoiIn1dLCJjb250YWluZXItdGl0bGUiOiJCcmFpbiIsIkRPSSI6IjEwLjEwOTMvYnJhaW4vYXd3Mjg1IiwiUE1JRCI6IjI4MDA3OTk4IiwiVVJMIjoiaHR0cHM6Ly93YXRlcm1hcmsuc2lsdmVyY2hhaXIuY29tL2F3dzI4NS5wZGY/dG9rZW49QVFFQ0FIaTIwOEJFNDlPb2FuOWtraFdfRXJjeTdEbTNaTF85Q2YzcWZLQWM0ODV5c2dBQUFzWXdnZ0xDQmdrcWhraUc5dzBCQndhZ2dnS3pNSUlDcndJQkFEQ0NBcWdHQ1NxR1NJYjNEUUVIQVRBZUJnbGdoa2dCWlFNRUFTNHdFUVFNeFRuaE85M0kzMUpWYUJnb0FnRVFnSUlDZVh3d1RUUWRFY1lOMk81enU2aDJkVm1sdHFXSVJzNVljbmxBREFGMHNEbGIySGdhIiwiaXNzdWVkIjp7ImRhdGUtcGFydHMiOltbMjAxN11dfSwicGFnZSI6IjIxOC0yMzQiLCJhYnN0cmFjdCI6IkdpbGxlcyBkZSBsYSBUb3VyZXR0ZSBzeW5kcm9tZSBpcyBhIGhlcmVkaXRhcnksIG5ldXJvcHN5Y2hpYXRyaWMgbW92ZW1lbnQgZGlzb3JkZXIgd2l0aCByZXBvcnRlZCBhYm5vcm1hbGl0aWVzIGluIHRoZSBuZXVyb3RyYW5zbWlzc2lvbiBvZiBkb3BhbWluZSBhbmQgzrMtYW1pbm9idXR5cmljIGFjaWQgKEdBQkEpLiBTcGF0aWFsbHkgZm9jYWxpemVkIGFsdGVyYXRpb25zIGluIGV4Y2l0YXRvcnksIGluaGliaXRvcnkgYW5kIG1vZHVsYXRvcnkgbmV1cm9jaGVtaWNhbCByYXRpb3Mgd2l0aGluIHNwZWNpZmljIGZ1bmN0aW9uYWwgc3ViZGl2aXNpb25zIG9mIHRoZSBiYXNhbCBnYW5nbGlhLCBtYXkgbGVhZCB0byB0aGUgZXhwcmVzc2lvbiBvZiBkaXZlcnNlIG1vdG9yIGFuZCBub24tbW90b3IgZmVhdHVyZXMgYXMgbWFuaWZlc3RlZCBpbiBHaWxsZXMgZGUgbGEgVG91cmV0dGUgc3luZHJvbWUuIEN1cnJlbnQgdHJlYXRtZW50IHN0cmF0ZWdpZXMgYXJlIG9mdGVuIHVuc2F0aXNmYWN0b3J5IHRodXMgcHJvdm9raW5nIHRoZSBuZWVkIGZvciBmdXJ0aGVyIGVsdWNpZGF0aW9uIG9mIHRoZSB1bmRlcmx5aW5nIHBhdGhvcGh5c2lvbG9neS4gSW4gdmlldyBvZiAoaSkgdGhlIGNsb3NlIHNwYXRpby10ZW1wb3JhbCBzeW5lcmd5IGV4aGliaXRlZCBiZXR3ZWVuIGV4Y2l0YXRvcnksIGluaGliaXRvcnkgYW5kIG1vZHVsYXRvcnkgbmV1cm90cmFuc21pdHRlciBzeXN0ZW1zOyAoaWkpIHRoZSBjcnVjaWFsIHJvbGUgcGxheWVkIGJ5IGdsdXRhbWF0ZSAoR2x1KSBpbiB0b25pYy9waGFzaWMgZG9wYW1pbmVyZ2ljIHNpZ25hbGxpbmc7IGFuZCAoaWlpKSB0aGUgaW50ZXJkZXBlbmRlbnQgbWV0YWJvbGljIHJlbGF0aW9uc2hpcCBleGhpYml0ZWQgYmV0d2VlbiBHbHUgYW5kIEdBQkEgdmlhIGdsdXRhbWluZSAoR2xuKTsgd2UgcG9zdHVsYXRlZCB0aGF0IGdsdXRhbWF0ZXJnaWMgc2lnbmFsbGluZyBpcyByZWxhdGVkIHRvIHRoZSBwYXRob3BoeXNpb2xvZ3kgb2YgR2lsbGVzIGRlIGxhIFRvdXJldHRlIHN5bmRyb21lLiBBcyBzdWNoLCB3ZSBleGFtaW5lZCB0aGUgbmV1cm9jaGVtaWNhbCBwcm9maWxlIG9mIHRocmVlIGNvcnRpY28tc3RyaWF0by10aGFsYW1vLWNvcnRpY2FsIHJlZ2lvbnMgaW4gMzcgd2VsbC1jaGFyYWN0ZXJpemVkLCBkcnVnLWZyZWUgYWR1bHQgcGF0aWVudHMgYW5kIDM2IGFnZS9nZW5kZXItbWF0Y2hlZCBoZWFsdGh5IGNvbnRyb2wgc3ViamVjdHMgdmlhIG1hZ25ldGljIHJlc29uYW5jZSBzcGVjdHJvc2NvcHkgYXQgMyBULiBUbyBpbnRlcnJvZ2F0ZSB0aGUgaW5mbHVlbmNlIG9mIHRyZWF0bWVudCBvbiBtZXRhYm9saXRlIGNvbmNlbnRyYXRpb25zLCBzcGVjdHJhbCBkYXRhIHdlcmUgYWNxdWlyZWQgZnJvbSAxNSBwYXRpZW50cyB1bmRlcmdvaW5nIGEgNC13ZWVrIHRyZWF0bWVudCB3aXRoIGFyaXBpcHJhem9sZS4gVGVzdC1yZXRlc3QgcmVsaWFiaWxpdHkgbWVhc3VyZW1lbnRzIGluIDIzIGNvbnRyb2xzIGluZGljYXRlZCBoaWdoIHJlcGVhdGFiaWxpdHkgb2Ygdm94ZWwgbG9jYWxpemF0aW9uIGFuZCBtZXRhYm9saXRlIHF1YW50aXRhdGlvbi4gV2UgcmVwb3J0IHNpZ25pZmljYW50IHJlZHVjdGlvbnMgaW4gc3RyaWF0YWwgY29uY2VudHJhdGlvbnMgb2YgR2xuLCBHbHUgKyBHbG4gKEdseCkgYW5kIHRoZSBHbG46R2x1IHJhdGlvLCBhbmQgdGhhbGFtaWMgY29uY2VudHJhdGlvbnMgb2YgR2x4IGluIEdpbGxlcyBkZSBsYSBUb3VyZXR0ZSBzeW5kcm9tZSBpbiBjb21wYXJpc29uIHRvIGNvbnRyb2xzLiBPTi10cmVhdG1lbnQgcGF0aWVudHMgZXhoaWJpdGVkIG5vIHNpZ25pZmljYW50IG1ldGFib2xpdGUgZGlmZmVyZW5jZXMgd2hlbiBjb21wYXJlZCB0byBjb250cm9scyBidXQgc2lnbmlmaWNhbnQgaW5jcmVhc2VzIGluIHN0cmlhdGFsIEdsdSBhbmQgR2x4LCBhbmQgdHJlbmRzIGZvciBpbmNyZWFzZXMgaW4gc3RyaWF0YWwgR2xuIGFuZCB0aGFsYW1pYyBHbHggY29tcGFyZWQgdG8gYmFzZWxpbmUgbWVhc3VyZW1lbnRzLiBNdWx0aXBsZSByZWdyZXNzaW9uIGFuYWx5c2lzIHJldmVhbGVkIGEgc2lnbmlmaWNhbnQgbmVnYXRpdmUgY29ycmVsYXRpb24gYmV0d2VlbiAoaSkgc3RyaWF0YWwgR2xuIGFuZCBhY3R1YWwgdGljIHNldmVyaXR5OyBhbmQgKGlpKSB0aGFsYW1pYyBHbHUgYW5kIHByZW1vbml0b3J5IHVyZ2VzLiBPdXIgcmVzdWx0cyBpbmRpY2F0ZSB0aGF0IHBhdGllbnRzIHdpdGggR2lsbGVzIGRlIGxhIFRvdXJldHRlIHN5bmRyb21lIGV4aGliaXQgYW4gYWJub3JtYWxpdHkgaW4gdGhlIGZsdXggb2YgbWV0YWJvbGl0ZXMgaW4gdGhlIEdBQkEtR2x1LUdsbiBjeWNsZSwgdGh1cyBpbXBseWluZyBwZXJ0dXJiYXRpb25zIGluIGFzdHJvY3l0aWMtbmV1cm9uYWwgY291cGxpbmcgc3lzdGVtcyB0aGF0IG1haW50YWluIHRoZSBzdWJ0bGUgYmFsYW5jZSBiZXR3ZWVuIGV4Y2l0YXRvcnkgYW5kIGluaGliaXRvcnkgbmV1cm90cmFuc21pc3Npb24gd2l0aGluIHN1YmNvcnRpY2FsIG51Y2xlaS4iLCJpc3N1ZSI6IjEiLCJ2b2x1bWUiOiIxNDAiLCJjb250YWluZXItdGl0bGUtc2hvcnQiOiIifSwiaXNUZW1wb3JhcnkiOmZhbHNlfV19"/>
                <w:id w:val="945050113"/>
                <w:placeholder>
                  <w:docPart w:val="DefaultPlaceholder_-1854013440"/>
                </w:placeholder>
              </w:sdtPr>
              <w:sdtContent>
                <w:r w:rsidR="00F04E9F" w:rsidRPr="00F04E9F">
                  <w:rPr>
                    <w:rFonts w:eastAsia="Times New Roman" w:cs="Times New Roman"/>
                    <w:color w:val="000000"/>
                    <w:sz w:val="16"/>
                    <w:szCs w:val="16"/>
                  </w:rPr>
                  <w:t>(97)</w:t>
                </w:r>
              </w:sdtContent>
            </w:sdt>
          </w:p>
        </w:tc>
        <w:tc>
          <w:tcPr>
            <w:tcW w:w="0" w:type="auto"/>
            <w:shd w:val="clear" w:color="auto" w:fill="FFFFFF"/>
            <w:hideMark/>
          </w:tcPr>
          <w:p w14:paraId="45B3FBBA"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37 adults with TS</w:t>
            </w:r>
          </w:p>
        </w:tc>
        <w:tc>
          <w:tcPr>
            <w:tcW w:w="1920" w:type="dxa"/>
            <w:shd w:val="clear" w:color="auto" w:fill="FFFFFF"/>
            <w:hideMark/>
          </w:tcPr>
          <w:p w14:paraId="24CCE25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MRS</w:t>
            </w:r>
          </w:p>
        </w:tc>
        <w:tc>
          <w:tcPr>
            <w:tcW w:w="4440" w:type="dxa"/>
            <w:shd w:val="clear" w:color="auto" w:fill="FFFFFF"/>
            <w:hideMark/>
          </w:tcPr>
          <w:p w14:paraId="6314004A" w14:textId="2FB0CEE0"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Significant negative association between thalamic glutamate concentration and PUTS scores (r = -0.47, p = 0.017)</w:t>
            </w:r>
            <w:r w:rsidR="00603405">
              <w:rPr>
                <w:rFonts w:cs="Times New Roman"/>
                <w:color w:val="000000" w:themeColor="text1"/>
                <w:sz w:val="16"/>
                <w:szCs w:val="16"/>
              </w:rPr>
              <w:t xml:space="preserve">, </w:t>
            </w:r>
            <w:r w:rsidR="00B42D47">
              <w:rPr>
                <w:rFonts w:cs="Times New Roman"/>
                <w:color w:val="000000" w:themeColor="text1"/>
                <w:sz w:val="16"/>
                <w:szCs w:val="16"/>
              </w:rPr>
              <w:t xml:space="preserve">after </w:t>
            </w:r>
            <w:r w:rsidR="00603405">
              <w:rPr>
                <w:rFonts w:cs="Times New Roman"/>
                <w:color w:val="000000" w:themeColor="text1"/>
                <w:sz w:val="16"/>
                <w:szCs w:val="16"/>
              </w:rPr>
              <w:t>adjusting</w:t>
            </w:r>
            <w:r w:rsidRPr="008A1F40">
              <w:rPr>
                <w:rFonts w:cs="Times New Roman"/>
                <w:color w:val="000000" w:themeColor="text1"/>
                <w:sz w:val="16"/>
                <w:szCs w:val="16"/>
              </w:rPr>
              <w:t xml:space="preserve"> for age and </w:t>
            </w:r>
            <w:r w:rsidR="0031479C">
              <w:rPr>
                <w:rFonts w:cs="Times New Roman"/>
                <w:color w:val="000000" w:themeColor="text1"/>
                <w:sz w:val="16"/>
                <w:szCs w:val="16"/>
              </w:rPr>
              <w:t>sex</w:t>
            </w:r>
          </w:p>
        </w:tc>
      </w:tr>
      <w:tr w:rsidR="00986E35" w:rsidRPr="008A1F40" w14:paraId="6001EE3F" w14:textId="77777777" w:rsidTr="007F77D2">
        <w:trPr>
          <w:tblCellSpacing w:w="15" w:type="dxa"/>
        </w:trPr>
        <w:tc>
          <w:tcPr>
            <w:tcW w:w="0" w:type="auto"/>
            <w:shd w:val="clear" w:color="auto" w:fill="FFFFFF"/>
            <w:hideMark/>
          </w:tcPr>
          <w:p w14:paraId="13256D3B" w14:textId="033576C1"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Draganski et al (2010)</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mQ1Njc3YjEtOGJjMy00ZjJkLWJhZDAtNmI1NWY2NTIzNGJiIiwicHJvcGVydGllcyI6eyJub3RlSW5kZXgiOjB9LCJpc0VkaXRlZCI6ZmFsc2UsIm1hbnVhbE92ZXJyaWRlIjp7ImlzTWFudWFsbHlPdmVycmlkZGVuIjpmYWxzZSwiY2l0ZXByb2NUZXh0IjoiKDk4KSIsIm1hbnVhbE92ZXJyaWRlVGV4dCI6IiJ9LCJjaXRhdGlvbkl0ZW1zIjpbeyJpZCI6ImYyZjRiZDJkLTVhZDktM2MzOS04NTgxLWQ4MDAxMjJlMzM5MiIsIml0ZW1EYXRhIjp7InR5cGUiOiJhcnRpY2xlLWpvdXJuYWwiLCJpZCI6ImYyZjRiZDJkLTVhZDktM2MzOS04NTgxLWQ4MDAxMjJlMzM5MiIsInRpdGxlIjoiTXVsdGlzcGVjdHJhbCBicmFpbiBtb3JwaG9tZXRyeSBpbiBUb3VyZXR0ZSBzeW5kcm9tZSBwZXJzaXN0aW5nIGludG8gYWR1bHRob29kIiwiZ3JvdXBJZCI6IjA3ZDYyYWMxLTVhYTgtMzlhZi1iNDllLTUyZDIwODhhYzU3MSIsImF1dGhvciI6W3siZmFtaWx5IjoiRHJhZ2Fuc2tpIiwiZ2l2ZW4iOiJCIiwicGFyc2UtbmFtZXMiOmZhbHNlLCJkcm9wcGluZy1wYXJ0aWNsZSI6IiIsIm5vbi1kcm9wcGluZy1wYXJ0aWNsZSI6IiJ9LHsiZmFtaWx5IjoiTWFydGlubyIsImdpdmVuIjoiRCIsInBhcnNlLW5hbWVzIjpmYWxzZSwiZHJvcHBpbmctcGFydGljbGUiOiIiLCJub24tZHJvcHBpbmctcGFydGljbGUiOiIifSx7ImZhbWlseSI6IkNhdmFubmEiLCJnaXZlbiI6IkEgRSIsInBhcnNlLW5hbWVzIjpmYWxzZSwiZHJvcHBpbmctcGFydGljbGUiOiIiLCJub24tZHJvcHBpbmctcGFydGljbGUiOiIifSx7ImZhbWlseSI6Ikh1dHRvbiIsImdpdmVuIjoiQyIsInBhcnNlLW5hbWVzIjpmYWxzZSwiZHJvcHBpbmctcGFydGljbGUiOiIiLCJub24tZHJvcHBpbmctcGFydGljbGUiOiIifSx7ImZhbWlseSI6Ik9ydGgiLCJnaXZlbiI6Ik0iLCJwYXJzZS1uYW1lcyI6ZmFsc2UsImRyb3BwaW5nLXBhcnRpY2xlIjoiIiwibm9uLWRyb3BwaW5nLXBhcnRpY2xlIjoiIn0seyJmYW1pbHkiOiJSb2JlcnRzb24iLCJnaXZlbiI6Ik0gTSIsInBhcnNlLW5hbWVzIjpmYWxzZSwiZHJvcHBpbmctcGFydGljbGUiOiIiLCJub24tZHJvcHBpbmctcGFydGljbGUiOiIifSx7ImZhbWlseSI6IkNyaXRjaGxleSIsImdpdmVuIjoiSCBEIiwicGFyc2UtbmFtZXMiOmZhbHNlLCJkcm9wcGluZy1wYXJ0aWNsZSI6IiIsIm5vbi1kcm9wcGluZy1wYXJ0aWNsZSI6IiJ9LHsiZmFtaWx5IjoiRnJhY2tvd2lhayIsImdpdmVuIjoiUiBTIiwicGFyc2UtbmFtZXMiOmZhbHNlLCJkcm9wcGluZy1wYXJ0aWNsZSI6IiIsIm5vbi1kcm9wcGluZy1wYXJ0aWNsZSI6IiJ9XSwiY29udGFpbmVyLXRpdGxlIjoiQnJhaW4iLCJET0kiOiJodHRwczovL2R4LmRvaS5vcmcvMTAuMTA5My9icmFpbi9hd3EzMDAiLCJVUkwiOiJodHRwOi8vYnJhaW4ub3hmb3Jkam91cm5hbHMub3JnL2h0dHA6Ly9vdmlkc3Aub3ZpZC5jb20vb3ZpZHdlYi5jZ2k/VD1KUyZQQUdFPXJlZmVyZW5jZSZEPWVtZWQxMSZORVdTPU4mQU49MzYwMTA3NzY1IiwiaXNzdWVkIjp7ImRhdGUtcGFydHMiOltbMjAxMF1dfSwicGFnZSI6IjM2NjEtMzY3NSIsImFic3RyYWN0IjoiVG91cmV0dGUgc3luZHJvbWUgaXMgYSBjaGlsZGhvb2Qtb25zZXQgbmV1cm9wc3ljaGlhdHJpYyBkaXNvcmRlciB3aXRoIGEgaGlnaCBwcmV2YWxlbmNlIG9mIGF0dGVudGlvbiBkZWZpY2l0IGh5cGVyYWN0aXZpdHkgYW5kIG9ic2Vzc2l2ZS1jb21wdWxzaXZlIGRpc29yZGVyIGNvLW1vcmJpZGl0aWVzLiBTdHJ1Y3R1cmFsIGNoYW5nZXMgaGF2ZSBiZWVuIGZvdW5kIGluIGZyb250YWwgY29ydGV4IGFuZCBzdHJpYXR1bSBpbiBjaGlsZHJlbiBhbmQgYWRvbGVzY2VudHMuIEEgbGltaXRlZCBudW1iZXIgb2YgbW9ycGhvbWV0cmljIHN0dWRpZXMgaW4gVG91cmV0dGUgc3luZHJvbWUgcGVyc2lzdGluZyBpbnRvIGFkdWx0aG9vZCBzdWdnZXN0IG9uZ29pbmcgc3RydWN0dXJhbCBhbHRlcmF0aW9ucyBhZmZlY3RpbmcgZnJvbnRvc3RyaWF0YWwgY2lyY3VpdHMuIFVzaW5nIGNvcnRpY2FsIHRoaWNrbmVzcyBlc3RpbWF0aW9uIGFuZCB2b3hlbC1iYXNlZCBhbmFseXNpcyBvZiBUMS0gYW5kIGRpZmZ1c2lvbi13ZWlnaHRlZCBzdHJ1Y3R1cmFsIG1hZ25ldGljIHJlc29uYW5jZSBpbWFnZXMsIHdlIGV4YW1pbmVkIDQwIGFkdWx0cyB3aXRoIFRvdXJldHRlIHN5bmRyb21lIGluIGNvbXBhcmlzb24gd2l0aCA0MCBhZ2UtIGFuZCBnZW5kZXItbWF0Y2hlZCBoZWFsdGh5IGNvbnRyb2xzLiBQYXRpZW50cyB3aXRoIFRvdXJldHRlIHN5bmRyb21lIHNob3dlZCByZWxhdGl2ZSBncmV5IG1hdHRlciB2b2x1bWUgcmVkdWN0aW9uIGluIG9yYml0b2Zyb250YWwsIGFudGVyaW9yIGNpbmd1bGF0ZSBhbmQgdmVudHJvbGF0ZXJhbCBwcmVmcm9udGFsIGNvcnRpY2VzIGJpbGF0ZXJhbGx5LiBDb3J0aWNhbCB0aGlubmluZyBleHRlbmRlZCBpbnRvIHRoZSBsaW1iaWMgbWVzaWFsIHRlbXBvcmFsIGxvYmUuIFRoZSBncmV5IG1hdHRlciBjaGFuZ2VzIHdlcmUgbW9kdWxhdGVkIGFkZGl0aW9uYWxseSBieSB0aGUgcHJlc2VuY2Ugb2YgY28tbW9yYmlkaXRpZXMgYW5kIHN5bXB0b20gc2V2ZXJpdHkuIFByZWZyb250YWwgY29ydGljYWwgdGhpY2tuZXNzIHJlZHVjdGlvbiBjb3JyZWxhdGVkIG5lZ2F0aXZlbHkgd2l0aCB0aWMgc2V2ZXJpdHksIHdoaWxlIHZvbHVtZSBpbmNyZWFzZSBpbiBwcmltYXJ5IHNvbWF0b3NlbnNvcnkgY29ydGV4IGRlcGVuZGVkIG9uIHRoZSBpbnRlbnNpdHkgb2YgcHJlbW9uaXRvcnkgc2Vuc2F0aW9ucy4gT3JiaXRvZnJvbnRhbCBjb3J0ZXggdm9sdW1lIGNoYW5nZXMgd2VyZSBmdXJ0aGVyIGFzc29jaWF0ZWQgd2l0aCBhYm5vcm1hbCB3YXRlciBkaWZmdXNpdml0eSB3aXRoaW4gZ3JleSBtYXR0ZXIuIFdoaXRlIG1hdHRlciBhbmFseXNpcyByZXZlYWxlZCBjaGFuZ2VzIGluIGZpYnJlIGNvaGVyZW5jZSBpbiBwYXRpZW50cyB3aXRoIFRvdXJldHRlIHN5bmRyb21lIHdpdGhpbiBhbnRlcmlvciBwYXJ0cyBvZiB0aGUgY29ycHVzIGNhbGxvc3VtLiBUaGUgc2V2ZXJpdHkgb2YgbW90b3IgdGljcyBhbmQgcHJlbW9uaXRvcnkgdXJnZXMgaGFkIGFuIGltcGFjdCBvbiB0aGUgaW50ZWdyaXR5IG9mIHRyYWN0cyBjb3JyZXNwb25kaW5nIHRvIGNvcnRpY28tY29ydGljYWwgYW5kIGNvcnRpY28tc3ViY29ydGljYWwgY29ubmVjdGlvbnMuIE91ciByZXN1bHRzIHByb3ZpZGUgZW1waXJpY2FsIHN1cHBvcnQgZm9yIGEgcGF0aG8tYWV0aW9sb2dpY2FsIG1vZGVsIG9mIFRvdXJldHRlIHN5bmRyb21lIGJhc2VkIG9uIGRldmVsb3BtZW50YWwgYWJub3JtYWxpdGllcywgd2l0aCBwZXJ0dXJiYXRpb24gb2YgY29tcGVuc2F0b3J5IHN5c3RlbXMgbWFya2luZyBwZXJzaXN0ZW5jZSBvZiBzeW1wdG9tcyBpbnRvIGFkdWx0aG9vZC4gV2UgaW50ZXJwcmV0IHRoZSBzeW1wdG9tIHNldmVyaXR5IHJlbGF0ZWQgZ3JleSBtYXR0ZXIgdm9sdW1lIGluY3JlYXNlIGluIGRpc3RpbmN0IGZ1bmN0aW9uYWwgYnJhaW4gYXJlYXMgYXMgZXZpZGVuY2Ugb2Ygb25nb2luZyBzdHJ1Y3R1cmFsIHBsYXN0aWNpdHkuIFRoZSBjb252ZXJnZW5jZSBvZiBldmlkZW5jZSBmcm9tIHZvbHVtZSBhbmQgd2F0ZXIgZGlmZnVzaXZpdHkgaW1hZ2luZyBzdHJlbmd0aGVucyB0aGUgdmFsaWRpdHkgb2Ygb3VyIGZpbmRpbmdzIGFuZCBhdHRlc3RzIHRvIHRoZSB2YWx1ZSBvZiBhIG5vdmVsIG11bHRpbW9kYWwgY29tYmluYXRpb24gb2Ygdm9sdW1lIGFuZCBjb3J0aWNhbCB0aGlja25lc3MgZXN0aW1hdGlvbnMgdGhhdCBwcm92aWRlcyB1bmlxdWUgYW5kIGNvbXBsZW1lbnRhcnkgaW5mb3JtYXRpb24gYnkgZXhwbG9pdGluZyB0aGVpciBkaWZmZXJlbnRpYWwgc2Vuc2l0aXZpdHkgdG8gc3RydWN0dXJhbCBjaGFuZ2UuIMKpICgyMDEwKSBUaGUgQXV0aG9yLiIsImlzc3VlIjoiMTIiLCJ2b2x1bWUiOiIxMzMiLCJjb250YWluZXItdGl0bGUtc2hvcnQiOiIifSwiaXNUZW1wb3JhcnkiOmZhbHNlfV19"/>
                <w:id w:val="-1826807475"/>
                <w:placeholder>
                  <w:docPart w:val="DefaultPlaceholder_-1854013440"/>
                </w:placeholder>
              </w:sdtPr>
              <w:sdtContent>
                <w:r w:rsidR="00F04E9F" w:rsidRPr="00F04E9F">
                  <w:rPr>
                    <w:rFonts w:eastAsia="Times New Roman" w:cs="Times New Roman"/>
                    <w:color w:val="000000"/>
                    <w:sz w:val="16"/>
                    <w:szCs w:val="16"/>
                  </w:rPr>
                  <w:t>(98)</w:t>
                </w:r>
              </w:sdtContent>
            </w:sdt>
          </w:p>
        </w:tc>
        <w:tc>
          <w:tcPr>
            <w:tcW w:w="0" w:type="auto"/>
            <w:shd w:val="clear" w:color="auto" w:fill="FFFFFF"/>
            <w:hideMark/>
          </w:tcPr>
          <w:p w14:paraId="1DDC2689"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34 adults with TS</w:t>
            </w:r>
          </w:p>
        </w:tc>
        <w:tc>
          <w:tcPr>
            <w:tcW w:w="1920" w:type="dxa"/>
            <w:shd w:val="clear" w:color="auto" w:fill="FFFFFF"/>
            <w:hideMark/>
          </w:tcPr>
          <w:p w14:paraId="21BF0ECB"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MRI (VBM approach)</w:t>
            </w:r>
          </w:p>
        </w:tc>
        <w:tc>
          <w:tcPr>
            <w:tcW w:w="4440" w:type="dxa"/>
            <w:shd w:val="clear" w:color="auto" w:fill="FFFFFF"/>
            <w:hideMark/>
          </w:tcPr>
          <w:p w14:paraId="39A73DFD" w14:textId="5EBD53FD"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Significant positive associations between PUTS scores and both left somatosensory cortex (S1)</w:t>
            </w:r>
            <w:r w:rsidR="0023476A">
              <w:rPr>
                <w:rFonts w:cs="Times New Roman"/>
                <w:color w:val="000000" w:themeColor="text1"/>
                <w:sz w:val="16"/>
                <w:szCs w:val="16"/>
              </w:rPr>
              <w:t xml:space="preserve"> </w:t>
            </w:r>
            <w:r w:rsidRPr="008A1F40">
              <w:rPr>
                <w:rFonts w:cs="Times New Roman"/>
                <w:color w:val="000000" w:themeColor="text1"/>
                <w:sz w:val="16"/>
                <w:szCs w:val="16"/>
              </w:rPr>
              <w:t>and right prefrontal cortex (PFC) grey matter volume</w:t>
            </w:r>
            <w:r w:rsidR="0023476A">
              <w:rPr>
                <w:rFonts w:cs="Times New Roman"/>
                <w:color w:val="000000" w:themeColor="text1"/>
                <w:sz w:val="16"/>
                <w:szCs w:val="16"/>
              </w:rPr>
              <w:t xml:space="preserve"> (z = 4.3, p &lt; 0.05, z = 4.7, p &lt; 0.05 respectively)</w:t>
            </w:r>
            <w:r w:rsidRPr="008A1F40">
              <w:rPr>
                <w:rFonts w:cs="Times New Roman"/>
                <w:color w:val="000000" w:themeColor="text1"/>
                <w:sz w:val="16"/>
                <w:szCs w:val="16"/>
              </w:rPr>
              <w:t xml:space="preserve"> and cortical thickness </w:t>
            </w:r>
            <w:r w:rsidR="0023476A">
              <w:rPr>
                <w:rFonts w:cs="Times New Roman"/>
                <w:color w:val="000000" w:themeColor="text1"/>
                <w:sz w:val="16"/>
                <w:szCs w:val="16"/>
              </w:rPr>
              <w:t xml:space="preserve">(z = 4.7, p &lt; 0.05, z = 4.2, p &lt; 0.05 respectively). </w:t>
            </w:r>
            <w:r w:rsidRPr="008A1F40">
              <w:rPr>
                <w:rFonts w:cs="Times New Roman"/>
                <w:color w:val="000000" w:themeColor="text1"/>
                <w:sz w:val="16"/>
                <w:szCs w:val="16"/>
              </w:rPr>
              <w:t>Also</w:t>
            </w:r>
            <w:r w:rsidR="00C153A7">
              <w:rPr>
                <w:rFonts w:cs="Times New Roman"/>
                <w:color w:val="000000" w:themeColor="text1"/>
                <w:sz w:val="16"/>
                <w:szCs w:val="16"/>
              </w:rPr>
              <w:t>, the authors identified</w:t>
            </w:r>
            <w:r w:rsidRPr="008A1F40">
              <w:rPr>
                <w:rFonts w:cs="Times New Roman"/>
                <w:color w:val="000000" w:themeColor="text1"/>
                <w:sz w:val="16"/>
                <w:szCs w:val="16"/>
              </w:rPr>
              <w:t xml:space="preserve"> a positive association between PUTS scores and left dorsal premotor cortex grey matter volume </w:t>
            </w:r>
            <w:r w:rsidR="0023476A">
              <w:rPr>
                <w:rFonts w:cs="Times New Roman"/>
                <w:color w:val="000000" w:themeColor="text1"/>
                <w:sz w:val="16"/>
                <w:szCs w:val="16"/>
              </w:rPr>
              <w:t xml:space="preserve">(z = 4.3, p &lt; 0.05) </w:t>
            </w:r>
            <w:r w:rsidRPr="008A1F40">
              <w:rPr>
                <w:rFonts w:cs="Times New Roman"/>
                <w:color w:val="000000" w:themeColor="text1"/>
                <w:sz w:val="16"/>
                <w:szCs w:val="16"/>
              </w:rPr>
              <w:t>and a negative association between PUTS scores and fractional anisotropy of white matter for portions of the bilateral superior longitudinal fascicles (p &lt; 0.05) - Age, gender and total intracranial volume were controlled for as covariates</w:t>
            </w:r>
          </w:p>
        </w:tc>
      </w:tr>
      <w:tr w:rsidR="00986E35" w:rsidRPr="008A1F40" w14:paraId="4F615BB1" w14:textId="77777777" w:rsidTr="007F77D2">
        <w:trPr>
          <w:tblCellSpacing w:w="15" w:type="dxa"/>
        </w:trPr>
        <w:tc>
          <w:tcPr>
            <w:tcW w:w="0" w:type="auto"/>
            <w:shd w:val="clear" w:color="auto" w:fill="FFFFFF"/>
            <w:hideMark/>
          </w:tcPr>
          <w:p w14:paraId="451DD0D6" w14:textId="21BAD0C5"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Draper et al (2016)</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mQ4Yzk2MTctYTA3Yi00NzgyLTlhM2ItZDI3ZGFmOGQ2MzlkIiwicHJvcGVydGllcyI6eyJub3RlSW5kZXgiOjB9LCJpc0VkaXRlZCI6ZmFsc2UsIm1hbnVhbE92ZXJyaWRlIjp7ImlzTWFudWFsbHlPdmVycmlkZGVuIjpmYWxzZSwiY2l0ZXByb2NUZXh0IjoiKDM2KSIsIm1hbnVhbE92ZXJyaWRlVGV4dCI6IiJ9LCJjaXRhdGlvbkl0ZW1zIjpbeyJpZCI6Ijg3NDcyNDBiLWY2MDItMzRiYi1hODQyLTI1MDFjNDY2M2VkZiIsIml0ZW1EYXRhIjp7InR5cGUiOiJhcnRpY2xlLWpvdXJuYWwiLCJpZCI6Ijg3NDcyNDBiLWY2MDItMzRiYi1hODQyLTI1MDFjNDY2M2VkZiIsInRpdGxlIjoiUHJlbW9uaXRvcnkgdXJnZXMgYXJlIGFzc29jaWF0ZWQgd2l0aCBkZWNyZWFzZWQgZ3JleSBtYXR0ZXIgdGhpY2tuZXNzIHdpdGhpbiB0aGUgaW5zdWxhIGFuZCBzZW5zb3JpbW90b3IgY29ydGV4IGluIHlvdW5nIHBlb3BsZSB3aXRoIFRvdXJldHRlIHN5bmRyb21lIiwiZ3JvdXBJZCI6IjA3ZDYyYWMxLTVhYTgtMzlhZi1iNDllLTUyZDIwODhhYzU3MSIsImF1dGhvciI6W3siZmFtaWx5IjoiRHJhcGVyIiwiZ2l2ZW4iOiJBIiwicGFyc2UtbmFtZXMiOmZhbHNlLCJkcm9wcGluZy1wYXJ0aWNsZSI6IiIsIm5vbi1kcm9wcGluZy1wYXJ0aWNsZSI6IiJ9LHsiZmFtaWx5IjoiSmFja3NvbiIsImdpdmVuIjoiRyBNIiwicGFyc2UtbmFtZXMiOmZhbHNlLCJkcm9wcGluZy1wYXJ0aWNsZSI6IiIsIm5vbi1kcm9wcGluZy1wYXJ0aWNsZSI6IiJ9LHsiZmFtaWx5IjoiTW9yZ2FuIiwiZ2l2ZW4iOiJQIFMiLCJwYXJzZS1uYW1lcyI6ZmFsc2UsImRyb3BwaW5nLXBhcnRpY2xlIjoiIiwibm9uLWRyb3BwaW5nLXBhcnRpY2xlIjoiIn0seyJmYW1pbHkiOiJKYWNrc29uIiwiZ2l2ZW4iOiJTIFIiLCJwYXJzZS1uYW1lcyI6ZmFsc2UsImRyb3BwaW5nLXBhcnRpY2xlIjoiIiwibm9uLWRyb3BwaW5nLXBhcnRpY2xlIjoiIn1dLCJjb250YWluZXItdGl0bGUiOiJKIE5ldXJvcHN5Y2hvbCIsIkRPSSI6IjEwLjExMTEvam5wLjEyMDg5IiwiUE1JRCI6IjI2NTM4Mjg5IiwiVVJMIjoiaHR0cHM6Ly9icHNwc3ljaHViLW9ubGluZWxpYnJhcnktd2lsZXktY29tLnByb3h5LmxpYnJhcnkudmFuZGVyYmlsdC5lZHUvZG9pL2Z1bGwvMTAuMTExMS9qbnAuMTIwODkiLCJpc3N1ZWQiOnsiZGF0ZS1wYXJ0cyI6W1syMDE2XV19LCJwYWdlIjoiMTQzLTE1MyIsImFic3RyYWN0IjoiVG91cmV0dGUgc3luZHJvbWUgKFRTKSBpcyBhIG5ldXJvbG9naWNhbCBkaXNvcmRlciBjaGFyYWN0ZXJpemVkIGJ5IHZvY2FsIGFuZCBtb3RvciB0aWNzIGFuZCBpcyBhc3NvY2lhdGVkIHdpdGggY29ydGljYWwtc3RyaWF0YWwtdGhhbGFtaWMtY29ydGljYWwgY2lyY3VpdCAoQ1NUQykgZHlzZnVuY3Rpb24gYW5kIGh5cGVyZXhjaXRhYmlsaXR5IG9mIGNvcnRpY2FsIGxpbWJpYyBhbmQgbW90b3IgcmVnaW9ucywgd2hpY2ggYXJlIHRob3VnaHQgdG8gbGVhZCB0byB0aGUgb2NjdXJyZW5jZSBvZiB0aWNzLiBJbXBvcnRhbnRseSwgaW5kaXZpZHVhbHMgd2l0aCBUUyBvZnRlbiByZXBvcnQgdGhhdCB0aGVpciB0aWNzIGFyZSBwcmVjZWRlZCBieSAncHJlbW9uaXRvcnkgc2Vuc29yeSBwaGVub21lbmEnIChQU1ApIHRoYXQgYXJlIGRlc2NyaWJlZCBhcyB1bmNvbWZvcnRhYmxlIGNvZ25pdGl2ZSBvciBib2RpbHkgc2Vuc2F0aW9ucyB0aGF0IHByZWNlZGUgdGhlIGV4ZWN1dGlvbiBvZiBhIHRpYywgYW5kIGFyZSBleHBlcmllbmNlZCBhcyBhIHN0cm9uZyB1cmdlIGZvciBtb3RvciBkaXNjaGFyZ2UuIFdoaWxlIHRoZSBwcmVjaXNlIHJvbGUgcGxheWVkIGJ5IFBTUCBpbiB0aGUgb2NjdXJyZW5jZSBvZiB0aWNzIGlzIGNvbnRyb3ZlcnNpYWwsIFBTUCBhcmUgbm9uZXRoZWxlc3Mgb2YgY29uc2lkZXJhYmxlIHRoZW9yZXRpY2FsIGFuZCBjbGluaWNhbCBpbXBvcnRhbmNlIGluIFRTLCBub3QgbGVhc3QgYmVjYXVzZSB0aGV5IGZvcm0gdGhlIGNvcmUgY29tcG9uZW50IGluIG1hbnkgb2YgdGhlIGJlaGF2aW91cmFsIHRoZXJhcGllcyB0aGF0IGFyZSBjdXJyZW50bHkgdXNlZCBpbiB0aGUgdHJlYXRtZW50IG9mIHRpYyBkaXNvcmRlcnMuIEluIHRoaXMgc3R1ZHksIHdlIGludmVzdGlnYXRlZCB0aGUgYnJhaW4gc3RydWN0dXJlIGNvcnJlbGF0ZXMgb2YgUFNQLiBTcGVjaWZpY2FsbHksIHdlIGNvbmR1Y3RlZCBhIHdob2xlLWJyYWluIGFuYWx5c2lzIG9mIGNvcnRpY2FsIChncmV5IG1hdHRlcikgdGhpY2tuZXNzIGluIDI5IGNoaWxkcmVuIGFuZCB5b3VuZyBhZHVsdHMgd2l0aCBUUyBhbmQgaW52ZXN0aWdhdGVkIHRoZSBhc3NvY2lhdGlvbiBiZXR3ZWVuIGdyZXkgbWF0dGVyIHRoaWNrbmVzcyBhbmQgUFNQLiBXZSBkZW1vbnN0cmF0ZSBmb3IgdGhlIGZpcnN0IHRpbWUgdGhhdCBQU1AgYXJlIGludmVyc2VseSBhc3NvY2lhdGVkIHdpdGggZ3JleSBtYXR0ZXIgdGhpY2tuZXNzIG1lYXN1cmVtZW50cyB3aXRoaW4gdGhlIGluc3VsYSBhbmQgc2Vuc29yaW1vdG9yIGNvcnRleC4gV2UgYWxzbyBkZW1vbnN0cmF0ZSB0aGF0IGdyZXkgbWF0dGVyIHRoaWNrbmVzcyBpcyBzaWduaWZpY2FudGx5IHJlZHVjZWQgaW4gdGhlc2UgYXJlYXMgaW4gaW5kaXZpZHVhbHMgd2l0aCBUUyByZWxhdGl2ZSB0byBhIGNsb3NlbHkgYWdlLSBhbmQgZ2VuZGVyLW1hdGNoZWQgZ3JvdXAgb2YgdHlwaWNhbGx5IGRldmVsb3BpbmcgaW5kaXZpZHVhbHMgYW5kIHRoYXQgUFNQIHJhdGluZ3MgYXJlIHNpZ25pZmljYW50bHkgY29ycmVsYXRlZCB3aXRoIHRpYyBzZXZlcml0eS4iLCJpc3N1ZSI6IjEiLCJ2b2x1bWUiOiIxMCIsImNvbnRhaW5lci10aXRsZS1zaG9ydCI6IiJ9LCJpc1RlbXBvcmFyeSI6ZmFsc2V9XX0="/>
                <w:id w:val="-2047822394"/>
                <w:placeholder>
                  <w:docPart w:val="DefaultPlaceholder_-1854013440"/>
                </w:placeholder>
              </w:sdtPr>
              <w:sdtContent>
                <w:r w:rsidR="00F04E9F" w:rsidRPr="00F04E9F">
                  <w:rPr>
                    <w:rFonts w:eastAsia="Times New Roman" w:cs="Times New Roman"/>
                    <w:color w:val="000000"/>
                    <w:sz w:val="16"/>
                    <w:szCs w:val="16"/>
                  </w:rPr>
                  <w:t>(36)</w:t>
                </w:r>
              </w:sdtContent>
            </w:sdt>
          </w:p>
        </w:tc>
        <w:tc>
          <w:tcPr>
            <w:tcW w:w="0" w:type="auto"/>
            <w:shd w:val="clear" w:color="auto" w:fill="FFFFFF"/>
            <w:hideMark/>
          </w:tcPr>
          <w:p w14:paraId="23E17570"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29 individuals aged 8-21 with TS</w:t>
            </w:r>
          </w:p>
        </w:tc>
        <w:tc>
          <w:tcPr>
            <w:tcW w:w="1920" w:type="dxa"/>
            <w:shd w:val="clear" w:color="auto" w:fill="FFFFFF"/>
            <w:hideMark/>
          </w:tcPr>
          <w:p w14:paraId="1B631F6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MRI</w:t>
            </w:r>
          </w:p>
        </w:tc>
        <w:tc>
          <w:tcPr>
            <w:tcW w:w="4440" w:type="dxa"/>
            <w:shd w:val="clear" w:color="auto" w:fill="FFFFFF"/>
            <w:hideMark/>
          </w:tcPr>
          <w:p w14:paraId="28514E1B" w14:textId="24A9564B" w:rsidR="00F1267B" w:rsidRDefault="00986E35" w:rsidP="007F77D2">
            <w:pPr>
              <w:rPr>
                <w:rFonts w:cs="Times New Roman"/>
                <w:color w:val="000000" w:themeColor="text1"/>
                <w:sz w:val="16"/>
                <w:szCs w:val="16"/>
              </w:rPr>
            </w:pPr>
            <w:r w:rsidRPr="008A1F40">
              <w:rPr>
                <w:rFonts w:cs="Times New Roman"/>
                <w:color w:val="000000" w:themeColor="text1"/>
                <w:sz w:val="16"/>
                <w:szCs w:val="16"/>
              </w:rPr>
              <w:t xml:space="preserve">No positive </w:t>
            </w:r>
            <w:r w:rsidR="00E92E96">
              <w:rPr>
                <w:rFonts w:cs="Times New Roman"/>
                <w:color w:val="000000" w:themeColor="text1"/>
                <w:sz w:val="16"/>
                <w:szCs w:val="16"/>
              </w:rPr>
              <w:t>associations</w:t>
            </w:r>
            <w:r w:rsidR="00E92E96" w:rsidRPr="008A1F40">
              <w:rPr>
                <w:rFonts w:cs="Times New Roman"/>
                <w:color w:val="000000" w:themeColor="text1"/>
                <w:sz w:val="16"/>
                <w:szCs w:val="16"/>
              </w:rPr>
              <w:t xml:space="preserve"> </w:t>
            </w:r>
            <w:r w:rsidRPr="008A1F40">
              <w:rPr>
                <w:rFonts w:cs="Times New Roman"/>
                <w:color w:val="000000" w:themeColor="text1"/>
                <w:sz w:val="16"/>
                <w:szCs w:val="16"/>
              </w:rPr>
              <w:t xml:space="preserve">between regions of grey matter thickness and PUTS scores, but there were significant negative associations between PUTS scores and grey matter thickness in clusters within the following regions: Right Rolandic Operculum, Left Inferior Occipital Gyrus, Left insula, and Left Pre-Central Gyrus </w:t>
            </w:r>
          </w:p>
          <w:p w14:paraId="707510BD" w14:textId="0F603EE9" w:rsidR="00986E35" w:rsidRDefault="00986E35" w:rsidP="00F741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themeColor="text1"/>
                <w:sz w:val="16"/>
                <w:szCs w:val="16"/>
              </w:rPr>
            </w:pPr>
            <w:r w:rsidRPr="008A1F40">
              <w:rPr>
                <w:rFonts w:eastAsia="Times New Roman" w:cs="Times New Roman"/>
                <w:color w:val="0D0D0D"/>
                <w:sz w:val="16"/>
                <w:szCs w:val="16"/>
              </w:rPr>
              <w:t>(</w:t>
            </w:r>
            <w:r w:rsidRPr="008A1F40">
              <w:rPr>
                <w:rFonts w:eastAsia="Times New Roman" w:cs="Times New Roman"/>
                <w:color w:val="000000" w:themeColor="text1"/>
                <w:sz w:val="16"/>
                <w:szCs w:val="16"/>
              </w:rPr>
              <w:t xml:space="preserve">A </w:t>
            </w:r>
            <w:r w:rsidRPr="008A1F40">
              <w:rPr>
                <w:rFonts w:cs="Times New Roman"/>
                <w:color w:val="000000" w:themeColor="text1"/>
                <w:sz w:val="16"/>
                <w:szCs w:val="16"/>
              </w:rPr>
              <w:t>multi-step process was used to arrive at significance:</w:t>
            </w:r>
            <w:r w:rsidR="007E3AE9">
              <w:rPr>
                <w:rFonts w:cs="Times New Roman"/>
                <w:color w:val="000000" w:themeColor="text1"/>
                <w:sz w:val="16"/>
                <w:szCs w:val="16"/>
              </w:rPr>
              <w:t xml:space="preserve"> </w:t>
            </w:r>
            <w:r w:rsidRPr="008A1F40">
              <w:rPr>
                <w:rFonts w:cs="Times New Roman"/>
                <w:color w:val="000000" w:themeColor="text1"/>
                <w:sz w:val="16"/>
                <w:szCs w:val="16"/>
              </w:rPr>
              <w:t>“An initial height threshold was set at p &lt; .001, and identified clusters were then corrected for multiple comparisons (p &lt; .05) and an extent threshold of 10 mm 2 was applied.”)</w:t>
            </w:r>
          </w:p>
          <w:p w14:paraId="39BE2A16" w14:textId="2A945EC7" w:rsidR="00F1267B" w:rsidRPr="00413781" w:rsidRDefault="00F1267B" w:rsidP="00413781">
            <w:pPr>
              <w:rPr>
                <w:rFonts w:cs="Times New Roman"/>
                <w:color w:val="000000" w:themeColor="text1"/>
                <w:sz w:val="16"/>
                <w:szCs w:val="16"/>
              </w:rPr>
            </w:pPr>
            <w:r>
              <w:rPr>
                <w:rFonts w:cs="Times New Roman"/>
                <w:color w:val="000000" w:themeColor="text1"/>
                <w:sz w:val="16"/>
                <w:szCs w:val="16"/>
              </w:rPr>
              <w:t>(Table 2 in the cited publication provides cluster sizes of the above regions; magnitude of the effect is not reported)</w:t>
            </w:r>
          </w:p>
        </w:tc>
      </w:tr>
      <w:tr w:rsidR="00986E35" w:rsidRPr="008A1F40" w14:paraId="39D92A6E" w14:textId="77777777" w:rsidTr="007F77D2">
        <w:trPr>
          <w:tblCellSpacing w:w="15" w:type="dxa"/>
        </w:trPr>
        <w:tc>
          <w:tcPr>
            <w:tcW w:w="0" w:type="auto"/>
            <w:shd w:val="clear" w:color="auto" w:fill="FFFFFF"/>
            <w:hideMark/>
          </w:tcPr>
          <w:p w14:paraId="65077D00" w14:textId="1D308406"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Sigurdsson et al (2018)</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WVjNWQ0ODMtMDdiOS00YTQzLWJjYmQtYTkwNGUxNjBkODFmIiwicHJvcGVydGllcyI6eyJub3RlSW5kZXgiOjB9LCJpc0VkaXRlZCI6ZmFsc2UsIm1hbnVhbE92ZXJyaWRlIjp7ImlzTWFudWFsbHlPdmVycmlkZGVuIjpmYWxzZSwiY2l0ZXByb2NUZXh0IjoiKDk5KSIsIm1hbnVhbE92ZXJyaWRlVGV4dCI6IiJ9LCJjaXRhdGlvbkl0ZW1zIjpbeyJpZCI6Ijc5YTA3NDM4LWYyYWEtMzg4NS05MWMzLTU4MWYyNmM2Y2QyOSIsIml0ZW1EYXRhIjp7InR5cGUiOiJhcnRpY2xlLWpvdXJuYWwiLCJpZCI6Ijc5YTA3NDM4LWYyYWEtMzg4NS05MWMzLTU4MWYyNmM2Y2QyOSIsInRpdGxlIjoiQWx0ZXJhdGlvbnMgaW4gdGhlIG1pY3Jvc3RydWN0dXJlIG9mIHdoaXRlIG1hdHRlciBpbiBjaGlsZHJlbiBhbmQgYWRvbGVzY2VudHMgd2l0aCBUb3VyZXR0ZSBzeW5kcm9tZSBtZWFzdXJlZCB1c2luZyB0cmFjdC1iYXNlZCBzcGF0aWFsIHN0YXRpc3RpY3MgYW5kIHByb2JhYmlsaXN0aWMgdHJhY3RvZ3JhcGh5IiwiZ3JvdXBJZCI6IjA3ZDYyYWMxLTVhYTgtMzlhZi1iNDllLTUyZDIwODhhYzU3MSIsImF1dGhvciI6W3siZmFtaWx5IjoiU2lndXJkc3NvbiIsImdpdmVuIjoiSCBQIiwicGFyc2UtbmFtZXMiOmZhbHNlLCJkcm9wcGluZy1wYXJ0aWNsZSI6IiIsIm5vbi1kcm9wcGluZy1wYXJ0aWNsZSI6IiJ9LHsiZmFtaWx5IjoiUMOpcMOpcyIsImdpdmVuIjoiUyBFIiwicGFyc2UtbmFtZXMiOmZhbHNlLCJkcm9wcGluZy1wYXJ0aWNsZSI6IiIsIm5vbi1kcm9wcGluZy1wYXJ0aWNsZSI6IiJ9LHsiZmFtaWx5IjoiSmFja3NvbiIsImdpdmVuIjoiRyBNIiwicGFyc2UtbmFtZXMiOmZhbHNlLCJkcm9wcGluZy1wYXJ0aWNsZSI6IiIsIm5vbi1kcm9wcGluZy1wYXJ0aWNsZSI6IiJ9LHsiZmFtaWx5IjoiRHJhcGVyIiwiZ2l2ZW4iOiJBIiwicGFyc2UtbmFtZXMiOmZhbHNlLCJkcm9wcGluZy1wYXJ0aWNsZSI6IiIsIm5vbi1kcm9wcGluZy1wYXJ0aWNsZSI6IiJ9LHsiZmFtaWx5IjoiTW9yZ2FuIiwiZ2l2ZW4iOiJQIFMiLCJwYXJzZS1uYW1lcyI6ZmFsc2UsImRyb3BwaW5nLXBhcnRpY2xlIjoiIiwibm9uLWRyb3BwaW5nLXBhcnRpY2xlIjoiIn0seyJmYW1pbHkiOiJKYWNrc29uIiwiZ2l2ZW4iOiJTIFIiLCJwYXJzZS1uYW1lcyI6ZmFsc2UsImRyb3BwaW5nLXBhcnRpY2xlIjoiIiwibm9uLWRyb3BwaW5nLXBhcnRpY2xlIjoiIn1dLCJjb250YWluZXItdGl0bGUiOiJDb3J0ZXgiLCJET0kiOiIxMC4xMDE2L2ouY29ydGV4LjIwMTguMDQuMDA0IiwiUE1JRCI6IjI5NzU4Mzc1IiwiaXNzdWVkIjp7ImRhdGUtcGFydHMiOltbMjAxOF1dfSwicGFnZSI6Ijc1LTg5IiwiYWJzdHJhY3QiOiJUb3VyZXR0ZSBzeW5kcm9tZSAoVFMpIGlzIGEgbmV1cm9kZXZlbG9wbWVudGFsIGRpc29yZGVyIGNoYXJhY3RlcmlzZWQgYnkgcmVwZXRpdGl2ZSBhbmQgaW50ZXJtaXR0ZW50IG1vdG9yIGFuZCB2b2NhbCB0aWNzLiBUUyBpcyB0aG91Z2h0IHRvIHJlZmxlY3QgZnJvbnRvLXN0cmlhdGFsIGR5c2Z1bmN0aW9uIGFuZCB0aGUgYWV0aW9sb2d5IG9mIHRoZSBkaXNvcmRlciBoYXMgYmVlbiBsaW5rZWQgdG8gd2lkZXNwcmVhZCBhbHRlcmF0aW9ucyBpbiB0aGUgZnVuY3Rpb25hbCBhbmQgc3RydWN0dXJhbCBpbnRlZ3JpdHkgb2YgdGhlIGJyYWluLiBUaGUgYWltIG9mIHRoaXMgc3R1ZHkgd2FzIHRvIGFzc2VzcyB3aGl0ZSBtYXR0ZXIgKFdNKSBhYm5vcm1hbGl0aWVzIGluIGEgbGFyZ2Ugc2FtcGxlIG9mIHlvdW5nIHBhdGllbnRzIHdpdGggVFMgaW4gY29tcGFyaXNvbiB0byBhIHNhbXBsZSBvZiBtYXRjaGVkIHR5cGljYWxseSBkZXZlbG9waW5nIGNvbnRyb2wgaW5kaXZpZHVhbHMgKENTKSB1c2luZyBkaWZmdXNpb24gTVJJLiBUaGUgc3R1ZHkgaW5jbHVkZWQgMzUgcGF0aWVudHMgd2l0aCBUUyAoMyBmZW1hbGVzOyBtZWFuIGFnZTogMTQuMMKgwrHCoDMuMykgYW5kIDM1IENTICgzIGZlbWFsZXM7IG1lYW4gYWdlOiAxMy45wqDCscKgMy4zKS4gRGlmZnVzaW9uIE1SSSBkYXRhIHdhcyBhbmFseXNlZCB1c2luZyB0cmFjdC1iYXNlZCBzcGF0aWFsIHN0YXRpc3RpY3MgKFRCU1MpIGFuZCBwcm9iYWJpbGlzdGljIHRyYWN0b2dyYXBoeS4gUGF0aWVudHMgd2l0aCBUUyBkZW1vbnN0cmF0ZWQgYm90aCBtYXJrZWQgYW5kIHdpZGVzcHJlYWQgZGVjcmVhc2VzIGluIGF4aWFsIGRpZmZ1c2l2aXR5IChBRCkgdG9nZXRoZXIgd2l0aCBhbHRlcmVkIFdNIGNvbm5lY3Rpdml0eS4gTW9yZW92ZXIsIHdlIHNob3dlZCB0aGF0IHRpYyBzZXZlcml0eSBhbmQgdGhlIGZyZXF1ZW5jeSBvZiBwcmVtb25pdG9yeSB1cmdlcyAoUFUpIHdlcmUgYXNzb2NpYXRlZCB3aXRoIGluY3JlYXNlZCBjb25uZWN0aXZpdHkgYmV0d2VlbiBwcmltYXJ5IG1vdG9yIGNvcnRleCAoTTEpIGFuZCB0aGUgY2F1ZGF0ZSBudWNsZWksIGFuZCBpbmNyZWFzZWQgaW5mb3JtYXRpb24gdHJhbnNmZXIgYmV0d2VlbiBNMSBhbmQgdGhlIGluc3VsYSwgcmVzcGVjdGl2ZWx5LiBUaGlzIGlzIHRvIG91ciBrbm93bGVkZ2UgdGhlIGZpcnN0IHN0dWR5IHRvIGVtcGxveSBib3RoIFRCU1MgYW5kIHByb2JhYmlsaXN0aWMgdHJhY3RvZ3JhcGh5IGluIGEgc2FtcGxlIG9mIHlvdW5nIHBhdGllbnRzIHdpdGggVFMuIE91ciByZXN1bHRzIGNvbnRyaWJ1dGUgdG8gdGhlIGxpbWl0ZWQgZXhpc3RpbmcgbGl0ZXJhdHVyZSBkZW1vbnN0cmF0aW5nIGFsdGVyZWQgY29ubmVjdGl2aXR5IGluIFRTIGFuZCBjb25maXJtIHByZXZpb3VzIHJlc3VsdHMgc3VnZ2VzdGluZyBpbiBwYXJ0aWN1bGFyLCB0aGF0IGFsdGVyZWQgaW5zdWxhciBmdW5jdGlvbiBjb250cmlidXRlcyB0byBpbmNyZWFzZWQgZnJlcXVlbmN5IG9mIFBVLiIsInZvbHVtZSI6IjEwNCIsImNvbnRhaW5lci10aXRsZS1zaG9ydCI6IiJ9LCJpc1RlbXBvcmFyeSI6ZmFsc2V9XX0="/>
                <w:id w:val="-874390725"/>
                <w:placeholder>
                  <w:docPart w:val="DefaultPlaceholder_-1854013440"/>
                </w:placeholder>
              </w:sdtPr>
              <w:sdtContent>
                <w:r w:rsidR="00F04E9F" w:rsidRPr="00F04E9F">
                  <w:rPr>
                    <w:rFonts w:eastAsia="Times New Roman" w:cs="Times New Roman"/>
                    <w:color w:val="000000"/>
                    <w:sz w:val="16"/>
                    <w:szCs w:val="16"/>
                  </w:rPr>
                  <w:t>(99)</w:t>
                </w:r>
              </w:sdtContent>
            </w:sdt>
          </w:p>
        </w:tc>
        <w:tc>
          <w:tcPr>
            <w:tcW w:w="0" w:type="auto"/>
            <w:shd w:val="clear" w:color="auto" w:fill="FFFFFF"/>
            <w:hideMark/>
          </w:tcPr>
          <w:p w14:paraId="6B5351D3"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28 individuals aged 8-21 with TS</w:t>
            </w:r>
          </w:p>
        </w:tc>
        <w:tc>
          <w:tcPr>
            <w:tcW w:w="1920" w:type="dxa"/>
            <w:shd w:val="clear" w:color="auto" w:fill="FFFFFF"/>
            <w:hideMark/>
          </w:tcPr>
          <w:p w14:paraId="7676E9E9"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DTI (analyzed using graph theory)</w:t>
            </w:r>
          </w:p>
        </w:tc>
        <w:tc>
          <w:tcPr>
            <w:tcW w:w="4440" w:type="dxa"/>
            <w:shd w:val="clear" w:color="auto" w:fill="FFFFFF"/>
            <w:hideMark/>
          </w:tcPr>
          <w:p w14:paraId="4AF87CD1" w14:textId="03FF7A63"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No association between any measure of diffusion and PUTS scores (p &gt; 0.05). Significant positive associations between PUTS scores and local efficiency (“efficacy of information transfer”) in the right posterior insula (</w:t>
            </w:r>
            <w:r w:rsidRPr="008A1F40">
              <w:rPr>
                <w:rFonts w:cs="Times New Roman"/>
                <w:color w:val="000000" w:themeColor="text1"/>
                <w:sz w:val="16"/>
                <w:szCs w:val="16"/>
                <w:shd w:val="clear" w:color="auto" w:fill="FFFFFF"/>
              </w:rPr>
              <w:t>thresholds: 21-18%,</w:t>
            </w:r>
            <w:r w:rsidRPr="008A1F40">
              <w:rPr>
                <w:rFonts w:cs="Times New Roman"/>
                <w:color w:val="000000" w:themeColor="text1"/>
                <w:sz w:val="16"/>
                <w:szCs w:val="16"/>
              </w:rPr>
              <w:t xml:space="preserve"> </w:t>
            </w:r>
            <w:r w:rsidRPr="008A1F40">
              <w:rPr>
                <w:rFonts w:cs="Times New Roman"/>
                <w:color w:val="000000" w:themeColor="text1"/>
                <w:sz w:val="16"/>
                <w:szCs w:val="16"/>
                <w:shd w:val="clear" w:color="auto" w:fill="FFFFFF"/>
              </w:rPr>
              <w:t xml:space="preserve">β = 0.55, p &lt; 0.001) as well as the left anterior insula </w:t>
            </w:r>
            <w:r w:rsidRPr="008A1F40">
              <w:rPr>
                <w:rFonts w:cs="Times New Roman"/>
                <w:color w:val="000000" w:themeColor="text1"/>
                <w:sz w:val="16"/>
                <w:szCs w:val="16"/>
              </w:rPr>
              <w:t>(</w:t>
            </w:r>
            <w:r w:rsidRPr="008A1F40">
              <w:rPr>
                <w:rFonts w:cs="Times New Roman"/>
                <w:color w:val="000000" w:themeColor="text1"/>
                <w:sz w:val="16"/>
                <w:szCs w:val="16"/>
                <w:shd w:val="clear" w:color="auto" w:fill="FFFFFF"/>
              </w:rPr>
              <w:t>thresholds: 16-15%,</w:t>
            </w:r>
            <w:r w:rsidRPr="008A1F40">
              <w:rPr>
                <w:rFonts w:cs="Times New Roman"/>
                <w:color w:val="000000" w:themeColor="text1"/>
                <w:sz w:val="16"/>
                <w:szCs w:val="16"/>
              </w:rPr>
              <w:t xml:space="preserve"> </w:t>
            </w:r>
            <w:r w:rsidRPr="008A1F40">
              <w:rPr>
                <w:rFonts w:cs="Times New Roman"/>
                <w:color w:val="000000" w:themeColor="text1"/>
                <w:sz w:val="16"/>
                <w:szCs w:val="16"/>
                <w:shd w:val="clear" w:color="auto" w:fill="FFFFFF"/>
              </w:rPr>
              <w:t>β = 0.60, p &lt; 0.001). There was also a significant negative association between local efficiency in the left caudate and PUTS scores (thresholds: 27%-24%, 22%-20%,</w:t>
            </w:r>
            <w:r w:rsidRPr="008A1F40">
              <w:rPr>
                <w:rFonts w:cs="Times New Roman"/>
                <w:color w:val="000000" w:themeColor="text1"/>
                <w:sz w:val="16"/>
                <w:szCs w:val="16"/>
              </w:rPr>
              <w:t xml:space="preserve"> </w:t>
            </w:r>
            <w:r w:rsidRPr="008A1F40">
              <w:rPr>
                <w:rFonts w:cs="Times New Roman"/>
                <w:color w:val="000000" w:themeColor="text1"/>
                <w:sz w:val="16"/>
                <w:szCs w:val="16"/>
                <w:shd w:val="clear" w:color="auto" w:fill="FFFFFF"/>
              </w:rPr>
              <w:t xml:space="preserve">β = -0.55 to -0.57, p &lt; 0.001) - </w:t>
            </w:r>
            <w:r w:rsidRPr="008A1F40">
              <w:rPr>
                <w:rFonts w:cs="Times New Roman"/>
                <w:color w:val="000000" w:themeColor="text1"/>
                <w:sz w:val="16"/>
                <w:szCs w:val="16"/>
              </w:rPr>
              <w:t>age, IQ</w:t>
            </w:r>
            <w:r w:rsidR="00F75127">
              <w:rPr>
                <w:rFonts w:cs="Times New Roman"/>
                <w:color w:val="000000" w:themeColor="text1"/>
                <w:sz w:val="16"/>
                <w:szCs w:val="16"/>
              </w:rPr>
              <w:t>,</w:t>
            </w:r>
            <w:r w:rsidRPr="008A1F40">
              <w:rPr>
                <w:rFonts w:cs="Times New Roman"/>
                <w:color w:val="000000" w:themeColor="text1"/>
                <w:sz w:val="16"/>
                <w:szCs w:val="16"/>
              </w:rPr>
              <w:t xml:space="preserve"> and total intracranial volume were controlled for as covariates</w:t>
            </w:r>
          </w:p>
        </w:tc>
      </w:tr>
      <w:tr w:rsidR="00986E35" w:rsidRPr="008A1F40" w14:paraId="63BF1EE4" w14:textId="77777777" w:rsidTr="007F77D2">
        <w:trPr>
          <w:tblCellSpacing w:w="15" w:type="dxa"/>
        </w:trPr>
        <w:tc>
          <w:tcPr>
            <w:tcW w:w="0" w:type="auto"/>
            <w:shd w:val="clear" w:color="auto" w:fill="FFFFFF"/>
            <w:hideMark/>
          </w:tcPr>
          <w:p w14:paraId="5B3D82E5" w14:textId="03673CD5"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Sigurdsson et al (2020)</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2FiOWY3ZWMtYzExMy00ZmRjLTgzZGUtZDBmMzVlYzNhMzE5IiwicHJvcGVydGllcyI6eyJub3RlSW5kZXgiOjB9LCJpc0VkaXRlZCI6ZmFsc2UsIm1hbnVhbE92ZXJyaWRlIjp7ImlzTWFudWFsbHlPdmVycmlkZGVuIjpmYWxzZSwiY2l0ZXByb2NUZXh0IjoiKDEwMCkiLCJtYW51YWxPdmVycmlkZVRleHQiOiIifSwiY2l0YXRpb25JdGVtcyI6W3siaWQiOiI4NzEzMDIwYy05YTFkLTM1MWEtODNkOS0xYWQ1MzU4OWVhOGMiLCJpdGVtRGF0YSI6eyJ0eXBlIjoiYXJ0aWNsZS1qb3VybmFsIiwiaWQiOiI4NzEzMDIwYy05YTFkLTM1MWEtODNkOS0xYWQ1MzU4OWVhOGMiLCJ0aXRsZSI6IkFsdGVyYXRpb25zIGluIGNlcmViZWxsYXIgZ3JleSBtYXR0ZXIgc3RydWN0dXJlIGFuZCBjb3ZhcmlhbmNlIG5ldHdvcmtzIGluIHlvdW5nIHBlb3BsZSB3aXRoIFRvdXJldHRlIHN5bmRyb21lIiwiZ3JvdXBJZCI6IjA3ZDYyYWMxLTVhYTgtMzlhZi1iNDllLTUyZDIwODhhYzU3MSIsImF1dGhvciI6W3siZmFtaWx5IjoiU2lndXJkc3NvbiIsImdpdmVuIjoiSCBQIiwicGFyc2UtbmFtZXMiOmZhbHNlLCJkcm9wcGluZy1wYXJ0aWNsZSI6IiIsIm5vbi1kcm9wcGluZy1wYXJ0aWNsZSI6IiJ9LHsiZmFtaWx5IjoiSmFja3NvbiIsImdpdmVuIjoiUyBSIiwicGFyc2UtbmFtZXMiOmZhbHNlLCJkcm9wcGluZy1wYXJ0aWNsZSI6IiIsIm5vbi1kcm9wcGluZy1wYXJ0aWNsZSI6IiJ9LHsiZmFtaWx5IjoiSm9sbGV5IiwiZ2l2ZW4iOiJMIiwicGFyc2UtbmFtZXMiOmZhbHNlLCJkcm9wcGluZy1wYXJ0aWNsZSI6IiIsIm5vbi1kcm9wcGluZy1wYXJ0aWNsZSI6IiJ9LHsiZmFtaWx5IjoiTWl0Y2hlbGwiLCJnaXZlbiI6IkUiLCJwYXJzZS1uYW1lcyI6ZmFsc2UsImRyb3BwaW5nLXBhcnRpY2xlIjoiIiwibm9uLWRyb3BwaW5nLXBhcnRpY2xlIjoiIn0seyJmYW1pbHkiOiJKYWNrc29uIiwiZ2l2ZW4iOiJHIE0iLCJwYXJzZS1uYW1lcyI6ZmFsc2UsImRyb3BwaW5nLXBhcnRpY2xlIjoiIiwibm9uLWRyb3BwaW5nLXBhcnRpY2xlIjoiIn1dLCJjb250YWluZXItdGl0bGUiOiJDb3J0ZXgiLCJET0kiOiIxMC4xMDE2L2ouY29ydGV4LjIwMTkuMTIuMDIyIiwiUE1JRCI6IjMyMDYyMTM5IiwiaXNzdWVkIjp7ImRhdGUtcGFydHMiOltbMjAyMF1dfSwicGFnZSI6IjEtMTUiLCJhYnN0cmFjdCI6IlRvdXJldHRlIHN5bmRyb21lIChUUykgaXMgYSBjaGlsZGhvb2Qtb25zZXQgbmV1cm9sb2dpY2FsIGRpc29yZGVyIGNoYXJhY3RlcmlzZWQgYnkgdGhlIG9jY3VycmVuY2Ugb2YgbW90b3IgYW5kIHZvY2FsIHRpY3MgYW5kIHRoZSBwcmVzZW5jZSBvZiBwcmVtb25pdG9yeSBzZW5zb3J5L3VyZ2UgcGhlbm9tZW5hLiBGdW5jdGlvbmFsIG5ldXJvaW1hZ2luZyBzdHVkaWVzIGluIGh1bWFucywgYW5kIGV4cGVyaW1lbnRhbCBpbnZlc3RpZ2F0aW9ucyBpbiBhbmltYWxzLCBoYXZlIHNob3duIHRoYXQgdGhlIGdlbmVzaXMgb2YgdGljcyBpbiBUUyBpbnZvbHZlIGEgY29tcGxleCBpbnRlcmFjdGlvbiBiZXR3ZWVuIGNvcnRpY2FsLXN0cmlhdGFsLXRoYWxhbWljLWNvcnRpY2FsIGJyYWluIGNpcmN1aXRzIGFuZCBhZGRpdGlvbmFsbHkgYXBwZWFycyB0byBpbnZvbHZlIHRoZSBjZXJlYmVsbHVtLiBGdXJ0aGVybW9yZSwgc3RydWN0dXJhbCBicmFpbiBpbWFnaW5nIHN0dWRpZXMgaGF2ZSBkZW1vbnN0cmF0ZWQgYWx0ZXJhdGlvbnMgaW4gZ3JleSBtYXR0ZXIgKEdNKSB2b2x1bWUgaW4gVFMgYWNyb3NzIGEgd2lkZSByYW5nZSBvZiBicmFpbiBhcmVhcywgaW5jbHVkaW5nIGFsdGVyYXRpb25zIGluIEdNIHZvbHVtZSB3aXRoaW4gdGhlIGNlcmViZWxsdW0uIFVudGlsIG5vdywgbm8gc3R1ZHkgdG8gb3VyIGtub3dsZWRnZSBoYXMgeWV0IGludmVzdGlnYXRlZCBob3cgR00gc3RydWN0dXJhbCBjb3ZhcmlhbmNlIG5ldHdvcmtzIGxpbmtlZCB0byB0aGUgY2VyZWJlbGx1bSBtYXkgYmUgYWx0ZXJlZCBpbiBpbmRpdmlkdWFscyB3aXRoIFRTLiBJbiB0aGlzIHN0dWR5IHdlIGVtcGxveWVkIHZveGVsLWJhc2VkIG1vcnBob21ldHJ5LCBhbmQgYSAnc2VlZC10by12b3hlbCcgc3RydWN0dXJhbCBjb3ZhcmlhbmNlIG5ldHdvcmsgKFNDTikgbWFwcGluZyBhcHByb2FjaCwgdG8gaW52ZXN0aWdhdGUgYWx0ZXJhdGlvbnMgaW4gR00gY2VyZWJlbGxhciB2b2x1bWUgaW4gcGVvcGxlIHdpdGggVFMsIGFuZCBhbHRlcmF0aW9ucyBpbiBjZXJlYmVsbGFyIFNDTnMgYXNzb2NpYXRlZCB3aXRoIFRTLiBEYXRhIGZyb20gNjQgeW91bmcgcGFydGljaXBhbnRzIHdhcyBlbnRlcmVkIGluIHRoZSBmaW5hbCBhbmFseXNpcywgb2Ygd2hpY2ggMjggaGFkIFRTIHdoaWxlIDM2IHdlcmUgYWdlLWFuZCBzZXgtbWF0Y2hlZCBoZWFsdGh5IHZvbHVudGVlcnMuIFVzaW5nIHRoZSBzcGF0aWFsbHkgdW5iaWFzZWQgYXRsYXMgdGVtcGxhdGUgb2YgdGhlIGNlcmViZWxsdW0gYW5kIGJyYWluc3RlbSAoU1VJVCkgYXRsYXMsIHdlIGZvdW5kIHJlZHVjZWQgR00gdm9sdW1lIGluIGNlcmViZWxsYXIgbG9idWxlIGludm9sdmVkIGluIGhpZ2hlci1vcmRlciBjb2duaXRpdmUgZnVuY3Rpb25zIGFuZCBzZW5zb3JpbW90b3IgcHJvY2Vzc2luZywgaW4gcGF0aWVudHMuIEluIGFkZGl0aW9uLCB3ZSBmb3VuZCB0aGF0IHNldmVyYWwgYXJlYXMgbG9jYXRlZCBpbiBmcm9udGFsIGFuZCBjaW5ndWxhdGUgY29ydGljZXMgYW5kIHNlbnNvcmltb3RvciBuZXR3b3JrIGluIGFkZGl0aW9uIHRvIHN1YmNvcnRpY2FsIGFyZWFzIHNob3cgYWx0ZXJlZCBzdHJ1Y3R1cmFsIGNvdmFyaWFuY2Ugd2l0aCBvdXIgY2VyZWJlbGxhciBzZWVkIGNvbXBhcmVkIHRvIGFnZS1tYXRjaGVkIGNvbnRyb2xzLiBUaGVzZSByZXN1bHRzIGFkZCB0byB0aGUgaW5jcmVhc2luZyBldmlkZW5jZSB0aGF0IGNvcnRpY28tYmFzYWwgZ2FuZ2xpYS1jZXJlYmVsbGFyIGludGVyYWN0aW9ucyBwbGF5IGFuIGltcG9ydGFudCByb2xlIGluIHRpYyBzeW1wdG9tb2xvZ3kuIiwidm9sdW1lIjoiMTI2IiwiY29udGFpbmVyLXRpdGxlLXNob3J0IjoiIn0sImlzVGVtcG9yYXJ5IjpmYWxzZX1dfQ=="/>
                <w:id w:val="260196413"/>
                <w:placeholder>
                  <w:docPart w:val="DefaultPlaceholder_-1854013440"/>
                </w:placeholder>
              </w:sdtPr>
              <w:sdtContent>
                <w:r w:rsidR="00F04E9F" w:rsidRPr="00F04E9F">
                  <w:rPr>
                    <w:rFonts w:eastAsia="Times New Roman" w:cs="Times New Roman"/>
                    <w:color w:val="000000"/>
                    <w:sz w:val="16"/>
                    <w:szCs w:val="16"/>
                  </w:rPr>
                  <w:t>(100)</w:t>
                </w:r>
              </w:sdtContent>
            </w:sdt>
          </w:p>
        </w:tc>
        <w:tc>
          <w:tcPr>
            <w:tcW w:w="0" w:type="auto"/>
            <w:shd w:val="clear" w:color="auto" w:fill="FFFFFF"/>
            <w:hideMark/>
          </w:tcPr>
          <w:p w14:paraId="61D3693A"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28 adolescents with TS</w:t>
            </w:r>
          </w:p>
        </w:tc>
        <w:tc>
          <w:tcPr>
            <w:tcW w:w="1920" w:type="dxa"/>
            <w:shd w:val="clear" w:color="auto" w:fill="FFFFFF"/>
            <w:hideMark/>
          </w:tcPr>
          <w:p w14:paraId="0678AE57"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MRI (VBM approach) - </w:t>
            </w:r>
            <w:r w:rsidRPr="008A1F40">
              <w:rPr>
                <w:rFonts w:cs="Times New Roman"/>
                <w:color w:val="000000" w:themeColor="text1"/>
                <w:sz w:val="16"/>
                <w:szCs w:val="16"/>
                <w:shd w:val="clear" w:color="auto" w:fill="FFFFFF"/>
              </w:rPr>
              <w:t>focusing on regions of interest within the cerebellum</w:t>
            </w:r>
          </w:p>
        </w:tc>
        <w:tc>
          <w:tcPr>
            <w:tcW w:w="4440" w:type="dxa"/>
            <w:shd w:val="clear" w:color="auto" w:fill="FFFFFF"/>
            <w:hideMark/>
          </w:tcPr>
          <w:p w14:paraId="5EC4F208" w14:textId="7E3829EA"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shd w:val="clear" w:color="auto" w:fill="FFFFFF"/>
              </w:rPr>
              <w:t>PUTS scores were positively correlated with grey matter volume in a cluster in the right cerebellar lobule VI (</w:t>
            </w:r>
            <w:r w:rsidR="00376C30">
              <w:rPr>
                <w:rFonts w:cs="Times New Roman"/>
                <w:color w:val="000000" w:themeColor="text1"/>
                <w:sz w:val="16"/>
                <w:szCs w:val="16"/>
                <w:shd w:val="clear" w:color="auto" w:fill="FFFFFF"/>
              </w:rPr>
              <w:t xml:space="preserve">t = 3.88, </w:t>
            </w:r>
            <w:r w:rsidRPr="008A1F40">
              <w:rPr>
                <w:rFonts w:cs="Times New Roman"/>
                <w:color w:val="000000" w:themeColor="text1"/>
                <w:sz w:val="16"/>
                <w:szCs w:val="16"/>
                <w:shd w:val="clear" w:color="auto" w:fill="FFFFFF"/>
              </w:rPr>
              <w:t>p &lt; 0.001)</w:t>
            </w:r>
          </w:p>
          <w:p w14:paraId="4486001D"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(correlation type unclear from publication)</w:t>
            </w:r>
          </w:p>
        </w:tc>
      </w:tr>
      <w:tr w:rsidR="00986E35" w:rsidRPr="008A1F40" w14:paraId="33C02435" w14:textId="77777777" w:rsidTr="007F77D2">
        <w:trPr>
          <w:tblCellSpacing w:w="15" w:type="dxa"/>
        </w:trPr>
        <w:tc>
          <w:tcPr>
            <w:tcW w:w="0" w:type="auto"/>
            <w:shd w:val="clear" w:color="auto" w:fill="FFFFFF"/>
          </w:tcPr>
          <w:p w14:paraId="3611002C" w14:textId="30EB2B16"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Sigurdsson et al (2020)</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zA1Nzc2MDQtNDRjYy00N2QzLThjMjAtN2FkNTg0ZDhhZWY0IiwicHJvcGVydGllcyI6eyJub3RlSW5kZXgiOjB9LCJpc0VkaXRlZCI6ZmFsc2UsIm1hbnVhbE92ZXJyaWRlIjp7ImlzTWFudWFsbHlPdmVycmlkZGVuIjpmYWxzZSwiY2l0ZXByb2NUZXh0IjoiKDEwMSkiLCJtYW51YWxPdmVycmlkZVRleHQiOiIifSwiY2l0YXRpb25JdGVtcyI6W3siaWQiOiI5ZWJkMmZiMS00ODNkLTMzYTQtYjQ2Zi1iNjU4YzIzY2VmMDIiLCJpdGVtRGF0YSI6eyJ0eXBlIjoiYXJ0aWNsZS1qb3VybmFsIiwiaWQiOiI5ZWJkMmZiMS00ODNkLTMzYTQtYjQ2Zi1iNjU4YzIzY2VmMDIiLCJ0aXRsZSI6IkEgZmVhc2liaWxpdHkgc3R1ZHkgZm9yIHNvbWF0b21vdG9yIGNvcnRpY2FsIG1hcHBpbmcgaW4gVG91cmV0dGUgc3luZHJvbWUgdXNpbmcgbmV1cm9uYXZpZ2F0ZWQgdHJhbnNjcmFuaWFsIG1hZ25ldGljIHN0aW11bGF0aW9uIiwiZ3JvdXBJZCI6IjA3ZDYyYWMxLTVhYTgtMzlhZi1iNDllLTUyZDIwODhhYzU3MSIsImF1dGhvciI6W3siZmFtaWx5IjoiU2lndXJkc3NvbiIsImdpdmVuIjoiSCBQIiwicGFyc2UtbmFtZXMiOmZhbHNlLCJkcm9wcGluZy1wYXJ0aWNsZSI6IiIsIm5vbi1kcm9wcGluZy1wYXJ0aWNsZSI6IiJ9LHsiZmFtaWx5IjoiSmFja3NvbiIsImdpdmVuIjoiUyBSIiwicGFyc2UtbmFtZXMiOmZhbHNlLCJkcm9wcGluZy1wYXJ0aWNsZSI6IiIsIm5vbi1kcm9wcGluZy1wYXJ0aWNsZSI6IiJ9LHsiZmFtaWx5IjoiS2ltIiwiZ2l2ZW4iOiJTIiwicGFyc2UtbmFtZXMiOmZhbHNlLCJkcm9wcGluZy1wYXJ0aWNsZSI6IiIsIm5vbi1kcm9wcGluZy1wYXJ0aWNsZSI6IiJ9LHsiZmFtaWx5IjoiRHlrZSIsImdpdmVuIjoiSyIsInBhcnNlLW5hbWVzIjpmYWxzZSwiZHJvcHBpbmctcGFydGljbGUiOiIiLCJub24tZHJvcHBpbmctcGFydGljbGUiOiIifSx7ImZhbWlseSI6IkphY2tzb24iLCJnaXZlbiI6IkcgTSIsInBhcnNlLW5hbWVzIjpmYWxzZSwiZHJvcHBpbmctcGFydGljbGUiOiIiLCJub24tZHJvcHBpbmctcGFydGljbGUiOiIifV0sImNvbnRhaW5lci10aXRsZSI6IkNvcnRleCIsIkRPSSI6IjEwLjEwMTYvai5jb3J0ZXguMjAyMC4wNC4wMTQiLCJQTUlEIjoiMzI0NzQyOTEiLCJpc3N1ZWQiOnsiZGF0ZS1wYXJ0cyI6W1syMDIwXV19LCJwYWdlIjoiMTc1LTE4NyIsImFic3RyYWN0IjoiVG91cmV0dGUgc3luZHJvbWUgKFRTKSBpcyBhIGh5cGVya2luZXRpYyBtb3ZlbWVudCBkaXNvcmRlciBjaGFyYWN0ZXJpc2VkIGJ5IHRoZSBvY2N1cnJlbmNlIG9mIGNocm9uaWMgbW90b3IgYW5kIHZvY2FsIHRpY3MsIGFuZCBpcyBhc3NvY2lhdGVkIHdpdGggYWx0ZXJhdGlvbnMgaW4gdGhlIGJhbGFuY2Ugb2YgZXhjaXRhdG9yeSBhbmQgaW5oaWJpdG9yeSBzaWduYWxsaW5nIHdpdGhpbiBrZXkgYnJhaW4gbmV0d29ya3M7IGluIHBhcnRpY3VsYXIgdGhlIGNvcnRpY2FsLXN0cmlhdGFsLXRoYWxhbWljLWNvcnRpY2FsIChDU1RDKSBicmFpbiBjaXJjdWl0cyB0aGF0IGFyZSBpbXBsaWNhdGVkIGluIG1vdmVtZW50IHNlbGVjdGlvbiBhbmQgaGFiaXQgbGVhcm5pbmcuIENvbnZlcmdpbmcgZXZpZGVuY2UgaW5kaWNhdGVzIGFibm9ybWFsIGJyYWluIG5ldHdvcmsgZnVuY3Rpb24gaW4gVFMgbWF5IGJlIGxhcmdlbHkgZHVlIHRvIHRoZSBpbXBhaXJlZCBvcGVyYXRpb24gb2YgR0FCQSBzaWduYWxsaW5nIHdpdGhpbiB0aGUgc3RyaWF0dW0gYW5kIHdpdGhpbiBjb3J0aWNhbCBtb3RvciBhcmVhcywgbGVhZGluZyB0byB0aGUgb2NjdXJyZW5jZSBvZiB0aWNzLiBUUyBoYXMgYmVlbiBsaW5rZWQgdG8gYSBoZWlnaHRlbmVkIHNlbnNpdGl2aXR5IHRvIHNvbWF0aWMgc3RpbXVsYXRpb24gYW5kIGFsdGVyZWQgcHJvY2Vzc2luZyBvZiBzb21hdG9zZW5zb3J5IGluZm9ybWF0aW9uLCBhbmQgdGhlcmUgaXMgZXZpZGVuY2UgdG8gaW5kaWNhdGUgdGhhdCBhbHRlcmF0aW9ucyBpbiBHQUJBZXJnaWMgZnVuY3Rpb24gaXMgbGlrZWx5IHRvIGNvbnRyaWJ1dGUgdG8gYWx0ZXJlZCBzb21hdG9tb3RvciBmdW5jdGlvbi4gQmFzZWQgdXBvbiB0aGlzIGV2aWRlbmNlLCB3ZSBoeXBvdGhlc2lzZWQgdGhhdCB0aGUgc3BlY2lmaWNpdHkgb2Ygc29tYXRvbW90b3IgcmVwcmVzZW50YXRpb25zIGluIHByaW1hcnkgbW90b3IgY29ydGV4IHdvdWxkIGxpa2VseSBiZSByZWR1Y2VkIGluIGluZGl2aWR1YWxzIHdpdGggVFMuIFRvIHRlc3QgdGhpcywgd2UgdXNlZCBhIHJhcGlkIGFjcXVpc2l0aW9uIG1ldGhvZCB0b2dldGhlciB3aXRoIG5ldXJvbmF2aWdhdGVkIHRyYW5zY3JhbmlhbCBtYWduZXRpYyBzdGltdWxhdGlvbiAoblRNUykgdG8gbWVhc3VyZSB0aGUgY29ydGljYWwgcmVwcmVzZW50YXRpb24gb2YgYSBzZXZlcmFsIGRpZmZlcmVudCBtdXNjbGVzIGluIGEgZ3JvdXAgb2YgeW91bmcgYWR1bHRzIHdpdGggVFMgYW5kIGEgbWF0Y2hlZCBncm91cCBvZiB0eXBpY2FsbHkgZGV2ZWxvcGluZyBpbmRpdmlkdWFscy4iLCJ2b2x1bWUiOiIxMjkiLCJjb250YWluZXItdGl0bGUtc2hvcnQiOiIifSwiaXNUZW1wb3JhcnkiOmZhbHNlfV19"/>
                <w:id w:val="-91781704"/>
                <w:placeholder>
                  <w:docPart w:val="DefaultPlaceholder_-1854013440"/>
                </w:placeholder>
              </w:sdtPr>
              <w:sdtContent>
                <w:r w:rsidR="00F04E9F" w:rsidRPr="00F04E9F">
                  <w:rPr>
                    <w:rFonts w:eastAsia="Times New Roman" w:cs="Times New Roman"/>
                    <w:color w:val="000000"/>
                    <w:sz w:val="16"/>
                    <w:szCs w:val="16"/>
                  </w:rPr>
                  <w:t>(101)</w:t>
                </w:r>
              </w:sdtContent>
            </w:sdt>
          </w:p>
        </w:tc>
        <w:tc>
          <w:tcPr>
            <w:tcW w:w="0" w:type="auto"/>
            <w:shd w:val="clear" w:color="auto" w:fill="FFFFFF"/>
          </w:tcPr>
          <w:p w14:paraId="45406EAD"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16 children and adults with TS</w:t>
            </w:r>
          </w:p>
        </w:tc>
        <w:tc>
          <w:tcPr>
            <w:tcW w:w="1920" w:type="dxa"/>
            <w:shd w:val="clear" w:color="auto" w:fill="FFFFFF"/>
          </w:tcPr>
          <w:p w14:paraId="53E2C2C1"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Neuronavigated transcranial magnetic stimulation (nTMS) and EMG recording to map the representation of different muscles in the sensorimotor cortex</w:t>
            </w:r>
          </w:p>
        </w:tc>
        <w:tc>
          <w:tcPr>
            <w:tcW w:w="4440" w:type="dxa"/>
            <w:shd w:val="clear" w:color="auto" w:fill="FFFFFF"/>
          </w:tcPr>
          <w:p w14:paraId="3D565322" w14:textId="77777777" w:rsidR="00986E35" w:rsidRPr="008A1F40" w:rsidRDefault="00986E35" w:rsidP="007F77D2">
            <w:pPr>
              <w:rPr>
                <w:rFonts w:cs="Times New Roman"/>
                <w:color w:val="000000" w:themeColor="text1"/>
                <w:sz w:val="16"/>
                <w:szCs w:val="16"/>
                <w:shd w:val="clear" w:color="auto" w:fill="FFFFFF"/>
              </w:rPr>
            </w:pPr>
            <w:r w:rsidRPr="008A1F40">
              <w:rPr>
                <w:rFonts w:cs="Times New Roman"/>
                <w:color w:val="000000" w:themeColor="text1"/>
                <w:sz w:val="16"/>
                <w:szCs w:val="16"/>
              </w:rPr>
              <w:t>Significant negative correlations (controlling for age and sex) between the PUTS and the Euclidean distance between the first dorsal interosseous (FDI, hand) and the orbicularis oris (lips) (Pearson’s r = -0.67, p = 0.012), the Euclidean distance between the FDI and masseter (jaw) (Pearson’s r = -0.78, p = 0.002), and the Euclidean distance between the FDI and orbicularis oculi (eyes) (Pearson’s r = -0.69, p = 0.005). The area of FDI cortical representation also was positively correlated with PUTS scores (Pearson’s r = 0.60, p = 0.01)</w:t>
            </w:r>
          </w:p>
        </w:tc>
      </w:tr>
      <w:tr w:rsidR="00986E35" w:rsidRPr="008A1F40" w14:paraId="7BB9AE9D" w14:textId="77777777" w:rsidTr="007F77D2">
        <w:trPr>
          <w:tblCellSpacing w:w="15" w:type="dxa"/>
        </w:trPr>
        <w:tc>
          <w:tcPr>
            <w:tcW w:w="0" w:type="auto"/>
            <w:shd w:val="clear" w:color="auto" w:fill="FFFFFF"/>
            <w:hideMark/>
          </w:tcPr>
          <w:p w14:paraId="6D39CB76" w14:textId="7ECB92E6"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lastRenderedPageBreak/>
              <w:t>Jackson et al (2020)</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jJjOWM3YjUtOWUwYi00MDNjLTg0NTEtNTkwZDhjNTY5OWY4IiwicHJvcGVydGllcyI6eyJub3RlSW5kZXgiOjB9LCJpc0VkaXRlZCI6ZmFsc2UsIm1hbnVhbE92ZXJyaWRlIjp7ImlzTWFudWFsbHlPdmVycmlkZGVuIjpmYWxzZSwiY2l0ZXByb2NUZXh0IjoiKDI5KSIsIm1hbnVhbE92ZXJyaWRlVGV4dCI6IiJ9LCJjaXRhdGlvbkl0ZW1zIjpbeyJpZCI6IjI3ZmFhYjg2LTNjMjctM2Q0My1hMDg1LWJiYWU0MjA2OGE0OSIsIml0ZW1EYXRhIjp7InR5cGUiOiJhcnRpY2xlLWpvdXJuYWwiLCJpZCI6IjI3ZmFhYjg2LTNjMjctM2Q0My1hMDg1LWJiYWU0MjA2OGE0OSIsInRpdGxlIjoiVGhlIHJvbGUgb2YgdGhlIGluc3VsYSBpbiB0aGUgZ2VuZXJhdGlvbiBvZiBtb3RvciB0aWNzIGFuZCB0aGUgZXhwZXJpZW5jZSBvZiB0aGUgcHJlbW9uaXRvcnkgdXJnZS10by10aWMgaW4gVG91cmV0dGUgc3luZHJvbWUiLCJncm91cElkIjoiMDdkNjJhYzEtNWFhOC0zOWFmLWI0OWUtNTJkMjA4OGFjNTcxIiwiYXV0aG9yIjpbeyJmYW1pbHkiOiJKYWNrc29uIiwiZ2l2ZW4iOiJTIFIiLCJwYXJzZS1uYW1lcyI6ZmFsc2UsImRyb3BwaW5nLXBhcnRpY2xlIjoiIiwibm9uLWRyb3BwaW5nLXBhcnRpY2xlIjoiIn0seyJmYW1pbHkiOiJMb2F5emEiLCJnaXZlbiI6IkoiLCJwYXJzZS1uYW1lcyI6ZmFsc2UsImRyb3BwaW5nLXBhcnRpY2xlIjoiIiwibm9uLWRyb3BwaW5nLXBhcnRpY2xlIjoiIn0seyJmYW1pbHkiOiJDcmlnaHRvbiIsImdpdmVuIjoiTSIsInBhcnNlLW5hbWVzIjpmYWxzZSwiZHJvcHBpbmctcGFydGljbGUiOiIiLCJub24tZHJvcHBpbmctcGFydGljbGUiOiIifSx7ImZhbWlseSI6IlNpZ3VyZHNzb24iLCJnaXZlbiI6IkggUCIsInBhcnNlLW5hbWVzIjpmYWxzZSwiZHJvcHBpbmctcGFydGljbGUiOiIiLCJub24tZHJvcHBpbmctcGFydGljbGUiOiIifSx7ImZhbWlseSI6IkR5a2UiLCJnaXZlbiI6IksiLCJwYXJzZS1uYW1lcyI6ZmFsc2UsImRyb3BwaW5nLXBhcnRpY2xlIjoiIiwibm9uLWRyb3BwaW5nLXBhcnRpY2xlIjoiIn0seyJmYW1pbHkiOiJKYWNrc29uIiwiZ2l2ZW4iOiJHIE0iLCJwYXJzZS1uYW1lcyI6ZmFsc2UsImRyb3BwaW5nLXBhcnRpY2xlIjoiIiwibm9uLWRyb3BwaW5nLXBhcnRpY2xlIjoiIn1dLCJjb250YWluZXItdGl0bGUiOiJDb3J0ZXgiLCJET0kiOiIxMC4xMDE2L2ouY29ydGV4LjIwMTkuMTIuMDIxIiwiUE1JRCI6IjMyMDcwODA5IiwiaXNzdWVkIjp7ImRhdGUtcGFydHMiOltbMjAyMF1dfSwicGFnZSI6IjExOS0xMzMiLCJhYnN0cmFjdCI6IlRvdXJldHRlIHN5bmRyb21lIChUUykgaXMgYSBuZXVyb2xvZ2ljYWwgZGlzb3JkZXIgb2YgY2hpbGRob29kIG9uc2V0IHRoYXQgaXMgY2hhcmFjdGVyaXNlZCBieSB0aGUgb2NjdXJyZW5jZSBvZiBtb3RvciBhbmQgdm9jYWwgdGljcy4gVFMgaXMgYXNzb2NpYXRlZCB3aXRoIGNvcnRpY2FsLXN0cmlhdGFsLXRoYWxhbWljLWNvcnRpY2FsIGNpcmN1aXQgW0NTVENdIGR5c2Z1bmN0aW9uIGFuZCBoeXBlci1leGNpdGFiaWxpdHkgb2YgY29ydGljYWwgbGltYmljIGFuZCBtb3RvciByZWdpb25zIHRoYXQgYXJlIHRob3VnaHQgdG8gbGVhZCB0byB0aGUgb2NjdXJyZW5jZSBvZiB0aWNzLiBJbXBvcnRhbnRseSwgaW5kaXZpZHVhbHMgd2l0aCBUUyBvZnRlbiByZXBvcnQgdGhhdCB0aGVpciB0aWNzIGFyZSBwcmVjZWRlZCBieSAncHJlbW9uaXRvcnkgc2Vuc29yeS91cmdlIHBoZW5vbWVuYScgKFBVKSB0aGF0IGFyZSBkZXNjcmliZWQgYXMgdW5jb21mb3J0YWJsZSBib2RpbHkgc2Vuc2F0aW9ucyB0aGF0IHByZWNlZGUgdGhlIGV4ZWN1dGlvbiBvZiBhIHRpYyBhbmQgYXJlIGV4cGVyaWVuY2VkIGFzIGEgc3Ryb25nIHVyZ2UgZm9yIG1vdG9yIGRpc2NoYXJnZS4gV2hpbGUgdGhlIHByZWNpc2Ugcm9sZSBwbGF5ZWQgYnkgUFUgaW4gdGhlIG9jY3VycmVuY2Ugb2YgdGljcyBpcyBsYXJnZWx5IHVua25vd24sIHRoZXkgYXJlIG5vbmV0aGVsZXNzIG9mIGNvbnNpZGVyYWJsZSB0aGVvcmV0aWNhbCBhbmQgY2xpbmljYWwgaW1wb3J0YW5jZSwgbm90IGxlYXN0IGJlY2F1c2UgdGhleSBmb3JtIHRoZSBjb3JlIGNvbXBvbmVudCBpbiBtYW55IGJlaGF2aW91cmFsIHRoZXJhcGllcyB1c2VkIGluIHRoZSB0cmVhdG1lbnQgb2YgdGljIGRpc29yZGVycy4gU2V2ZXJhbCBsaW5lcyBvZiBldmlkZW5jZSBpbmRpY2F0ZSB0aGF0IHRoZSBpbnN1bGFyIGNvcnRleCBtYXkgcGxheSBhIHBhcnRpY3VsYXJseSBpbXBvcnRhbnQgcm9sZSBpbiB0aGUgZ2VuZXJhdGlvbiBvZiBQVSBpbiBUUyBhbmQgJ3VyZ2VzLWZvci1hY3Rpb24nIG1vcmUgZ2VuZXJhbGx5LiBJbiB0aGUgY3VycmVudCBzdHVkeSB3ZSB1dGlsaXNlZCB2b3hlbC1iYXNlZCBtb3JwaG9tZXRyeSB0ZWNobmlxdWVzIHRvZ2V0aGVyIHdpdGggJ3NlZWQtdG8tdm94ZWwnIHN0cnVjdHVyYWwgY292YXJpYW5jZSBuZXR3b3JrIChTQ04pIG1hcHBpbmcgdG8gaW52ZXN0aWdhdGUgdGhlIHB1dGF0aXZlIHJvbGUgcGxheWVkIGJ5IHRoZSByaWdodCBpbnN1bGFyIGNvcnRleCBpbiB0aGUgZ2VuZXJhdGlvbiBvZiBtb3RvciB0aWNzIGFuZCB0aGUgZXhwZXJpZW5jZSBvZiBQVSBpbiBhIHJlbGF0aXZlbHkgbGFyZ2UgZ3JvdXAgb2YgeW91bmcgcGVvcGxlIFRTLiBXZSBkZW1vbnN0cmF0ZSB0aGF0IGNsaW5pY2FsIG1lYXN1cmVzIG9mIG1vdG9yIHRpYyBzZXZlcml0eSBhbmQgUFUgYXJlIHVuY29ycmVsYXRlZCB3aXRoIG9uZSBhbm90aGVyLCB0aGF0IG1vdG9yIHRpYyBzZXZlcml0eSBhbmQgUFUgc2NvcmVzIGFyZSBhc3NvY2lhdGVkIHdpdGggc2VwYXJhdGUgcmVnaW9ucyBvZiB0aGUgaW5zdWxhciBjb3J0ZXgsIGFuZCB0aGF0IHRoZSBpbnN1bGEgaXMgYXNzb2NpYXRlZCB3aXRoIGRpZmZlcmVudCBzdHJ1Y3R1cmFsIGNvdmFyaWFuY2UgbmV0d29ya3MgaW4gaW5kaXZpZHVhbHMgd2l0aCBUUyBjb21wYXJlZCB0byBhIG1hdGNoZWQgZ3JvdXAgb2YgdHlwaWNhbGx5IGRldmVsb3BpbmcgaW5kaXZpZHVhbHMuIiwidm9sdW1lIjoiMTI2IiwiY29udGFpbmVyLXRpdGxlLXNob3J0IjoiIn0sImlzVGVtcG9yYXJ5IjpmYWxzZX1dfQ=="/>
                <w:id w:val="2117098026"/>
                <w:placeholder>
                  <w:docPart w:val="DefaultPlaceholder_-1854013440"/>
                </w:placeholder>
              </w:sdtPr>
              <w:sdtContent>
                <w:r w:rsidR="00F04E9F" w:rsidRPr="00F04E9F">
                  <w:rPr>
                    <w:rFonts w:eastAsia="Times New Roman" w:cs="Times New Roman"/>
                    <w:color w:val="000000"/>
                    <w:sz w:val="16"/>
                    <w:szCs w:val="16"/>
                  </w:rPr>
                  <w:t>(29)</w:t>
                </w:r>
              </w:sdtContent>
            </w:sdt>
          </w:p>
        </w:tc>
        <w:tc>
          <w:tcPr>
            <w:tcW w:w="0" w:type="auto"/>
            <w:shd w:val="clear" w:color="auto" w:fill="FFFFFF"/>
            <w:hideMark/>
          </w:tcPr>
          <w:p w14:paraId="5D3F4F46"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28 children and adults with TS</w:t>
            </w:r>
          </w:p>
        </w:tc>
        <w:tc>
          <w:tcPr>
            <w:tcW w:w="1920" w:type="dxa"/>
            <w:shd w:val="clear" w:color="auto" w:fill="FFFFFF"/>
            <w:hideMark/>
          </w:tcPr>
          <w:p w14:paraId="60D10F5D"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MRI (VBM approach)</w:t>
            </w:r>
          </w:p>
        </w:tc>
        <w:tc>
          <w:tcPr>
            <w:tcW w:w="4440" w:type="dxa"/>
            <w:shd w:val="clear" w:color="auto" w:fill="FFFFFF"/>
            <w:hideMark/>
          </w:tcPr>
          <w:p w14:paraId="4F4741F2"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Significant positive correlation between grey matter volume in an anterior-dorsal (Area IG 2) cluster within the right insula and PUTS scores (Pearson’s r = 0.43, p &lt; 0.05). Of note, grey matter volume in a separate region of the right insula was negatively correlated with YGTSS motor tic scores</w:t>
            </w:r>
          </w:p>
        </w:tc>
      </w:tr>
      <w:tr w:rsidR="00986E35" w:rsidRPr="008A1F40" w14:paraId="6CEB3ED6" w14:textId="77777777" w:rsidTr="007F77D2">
        <w:trPr>
          <w:tblCellSpacing w:w="15" w:type="dxa"/>
        </w:trPr>
        <w:tc>
          <w:tcPr>
            <w:tcW w:w="0" w:type="auto"/>
            <w:shd w:val="clear" w:color="auto" w:fill="FFFFFF"/>
            <w:hideMark/>
          </w:tcPr>
          <w:p w14:paraId="1D6CA4BD" w14:textId="7ECF2651"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Jackson et al (2021)</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TQzMzAwNDgtZWNhYS00MTA0LWE3NmQtODUzYmE3YWI3NGVhIiwicHJvcGVydGllcyI6eyJub3RlSW5kZXgiOjB9LCJpc0VkaXRlZCI6ZmFsc2UsIm1hbnVhbE92ZXJyaWRlIjp7ImlzTWFudWFsbHlPdmVycmlkZGVuIjpmYWxzZSwiY2l0ZXByb2NUZXh0IjoiKDEwMikiLCJtYW51YWxPdmVycmlkZVRleHQiOiIifSwiY2l0YXRpb25JdGVtcyI6W3siaWQiOiIxYjEwNGI3YS1hMTZiLTNhYmMtYjk5NC03MTIwNjJlYWIyM2MiLCJpdGVtRGF0YSI6eyJ0eXBlIjoiYXJ0aWNsZS1qb3VybmFsIiwiaWQiOiIxYjEwNGI3YS1hMTZiLTNhYmMtYjk5NC03MTIwNjJlYWIyM2MiLCJ0aXRsZSI6IlRoZSByb2xlIG9mIHRoZSBjaW5ndWxhdGUgY29ydGV4IGluIHRoZSBnZW5lcmF0aW9uIG9mIG1vdG9yIHRpY3MgYW5kIHRoZSBleHBlcmllbmNlIG9mIHRoZSBwcmVtb25pdG9yeSB1cmdlLXRvLXRpYyBpbiBUb3VyZXR0ZSBzeW5kcm9tZSIsImdyb3VwSWQiOiIwN2Q2MmFjMS01YWE4LTM5YWYtYjQ5ZS01MmQyMDg4YWM1NzEiLCJhdXRob3IiOlt7ImZhbWlseSI6IkphY2tzb24iLCJnaXZlbiI6IlMgUiIsInBhcnNlLW5hbWVzIjpmYWxzZSwiZHJvcHBpbmctcGFydGljbGUiOiIiLCJub24tZHJvcHBpbmctcGFydGljbGUiOiIifSx7ImZhbWlseSI6IlNpZ3VyZHNzb24iLCJnaXZlbiI6IkggUCIsInBhcnNlLW5hbWVzIjpmYWxzZSwiZHJvcHBpbmctcGFydGljbGUiOiIiLCJub24tZHJvcHBpbmctcGFydGljbGUiOiIifSx7ImZhbWlseSI6IkR5a2UiLCJnaXZlbiI6IksiLCJwYXJzZS1uYW1lcyI6ZmFsc2UsImRyb3BwaW5nLXBhcnRpY2xlIjoiIiwibm9uLWRyb3BwaW5nLXBhcnRpY2xlIjoiIn0seyJmYW1pbHkiOiJDb25kb24iLCJnaXZlbiI6Ik0iLCJwYXJzZS1uYW1lcyI6ZmFsc2UsImRyb3BwaW5nLXBhcnRpY2xlIjoiIiwibm9uLWRyb3BwaW5nLXBhcnRpY2xlIjoiIn0seyJmYW1pbHkiOiJKYWNrc29uIiwiZ2l2ZW4iOiJHIE0iLCJwYXJzZS1uYW1lcyI6ZmFsc2UsImRyb3BwaW5nLXBhcnRpY2xlIjoiIiwibm9uLWRyb3BwaW5nLXBhcnRpY2xlIjoiIn1dLCJjb250YWluZXItdGl0bGUiOiJKIE5ldXJvcHN5Y2hvbCIsIkRPSSI6IjEwLjExMTEvam5wLjEyMjQyIiwiUE1JRCI6IjMzNzc0OTE5IiwiaXNzdWVkIjp7ImRhdGUtcGFydHMiOltbMjAyMV1dfSwicGFnZSI6IjM0MC0zNjIiLCJhYnN0cmFjdCI6IlRvdXJldHRlIHN5bmRyb21lIChUUykgaXMgYSBuZXVyb2xvZ2ljYWwgZGlzb3JkZXIgb2YgY2hpbGRob29kIG9uc2V0IHRoYXQgaXMgY2hhcmFjdGVyaXplZCBieSB0aGUgb2NjdXJyZW5jZSBvZiBtb3RvciBhbmQgdm9jYWwgdGljcy4gVFMgaXMgYXNzb2NpYXRlZCB3aXRoIGNvcnRpY2FsLXN0cmlhdGFsLXRoYWxhbWljLWNvcnRpY2FsIGNpcmN1aXQgW0NTVENdIGR5c2Z1bmN0aW9uIGFuZCBoeXBlci1leGNpdGFiaWxpdHkgb2YgY29ydGljYWwgbGltYmljIGFuZCBtb3RvciByZWdpb25zIHRoYXQgYXJlIHRob3VnaHQgdG8gbGVhZCB0byB0aGUgb2NjdXJyZW5jZSBvZiB0aWNzLiBJbmRpdmlkdWFscyB3aXRoIFRTIG9mdGVuIHJlcG9ydCB0aGF0IHRoZWlyIHRpY3MgYXJlIHByZWNlZGVkIGJ5ICdwcmVtb25pdG9yeSBzZW5zb3J5L3VyZ2UgcGhlbm9tZW5hJyAoUFUpIHRoYXQgYXJlIGRlc2NyaWJlZCBhcyB1bmNvbWZvcnRhYmxlIGJvZGlseSBzZW5zYXRpb25zIHRoYXQgcHJlY2VkZSB0aGUgZXhlY3V0aW9uIG9mIGEgdGljIGFuZCBhcmUgZXhwZXJpZW5jZWQgYXMgYSBzdHJvbmcgdXJnZSBmb3IgbW90b3IgZGlzY2hhcmdlLiBXaGlsZSB0aGUgcHJlY2lzZSByb2xlIHBsYXllZCBieSBQVSBpbiB0aGUgb2NjdXJyZW5jZSBvZiB0aWNzIGlzIGxhcmdlbHkgdW5rbm93biwgdGhleSBhcmUgbm9uZXRoZWxlc3Mgb2YgY29uc2lkZXJhYmxlIHRoZW9yZXRpY2FsIGFuZCBjbGluaWNhbCBpbXBvcnRhbmNlIGFzIHRoZXkgZm9ybSBhIGNvcmUgY29tcG9uZW50IG9mIG1hbnkgYmVoYXZpb3VyYWwgdGhlcmFwaWVzIHVzZWQgaW4gdGhlIHRyZWF0bWVudCBvZiB0aWMgZGlzb3JkZXJzLiBSZWNlbnQgZXZpZGVuY2UgaW5kaWNhdGVzIHRoYXQgdGhlIGNpbmd1bGF0ZSBjb3J0ZXggbWF5IHBsYXkgYW4gaW1wb3J0YW50IHJvbGUgaW4gdGhlIGdlbmVyYXRpb24gb2YgUFUgaW4gVFMsIGFuZCBpbiAndXJnZXMtZm9yLWFjdGlvbicgbW9yZSBnZW5lcmFsbHkuIEluIHRoZSBjdXJyZW50IHN0dWR5LCB3ZSB1dGlsaXplZCB2b3hlbC1iYXNlZCBtb3JwaG9tZXRyeSAoVkJNKSB0ZWNobmlxdWVzLCB0b2dldGhlciB3aXRoICdzZWVkLXRvLXZveGVsJyBzdHJ1Y3R1cmFsIGNvdmFyaWFuY2UgbmV0d29yayAoU0NOKSBtYXBwaW5nLCB0byBpbnZlc3RpZ2F0ZSB0aGUgcHV0YXRpdmUgcm9sZSBwbGF5ZWQgYnkgdGhlIGNpbmd1bGF0ZSBjb3J0ZXggaW4gdGhlIGdlbmVyYXRpb24gb2YgbW90b3IgdGljcyBhbmQgdGhlIGV4cGVyaWVuY2Ugb2YgUFUgaW4gYSByZWxhdGl2ZWx5IGxhcmdlIGdyb3VwIG9mIHlvdW5nIHBlb3BsZSB3aXRoIFRTLiBXaG9sZS1icmFpbiBWQk0gYW5hbHlzaXMgcmV2ZWFsZWQgdGhhdCBUUyB3YXMgYXNzb2NpYXRlZCB3aXRoIGNsdXN0ZXJzIG9mIHNpZ25pZmljYW50bHkgcmVkdWNlZCBncmV5IG1hdHRlciB2b2x1bWVzIGJpbGF0ZXJhbGx5IHdpdGhpbjogdGhlIG9yYml0by1mcm9udGFsIGNvcnRleDsgdGhlIGNlcmViZWxsdW07IGFuZCB0aGUgYW50ZXJpb3IgYW5kIG1pZC1jaW5ndWxhdGUgY29ydGV4LiBTaW1pbGFybHksIGFuYWx5c2lzIG9mIFNDTnMgYXNzb2NpYXRlZCB3aXRoIGJpbGF0ZXJhbCBtaWQtIGFuZCBhbnRlcmlvciBjaW5ndWxhdGUgJ3NlZWQnIHJlZ2lvbnMgZGVtb25zdHJhdGVkIHRoYXQgVFMgaXMgYXNzb2NpYXRlZCB3aXRoIGluY3JlYXNlZCBzdHJ1Y3R1cmFsIGNvdmFyaWFuY2UgcHJpbWFyaWx5IHdpdGggdGhlIGJpbGF0ZXJhbCBtb3RvciBjZXJlYmVsbHVtOyB0aGUgaW5mZXJpb3IgZnJvbnRhbCBjb3J0ZXg7IGFuZCB0aGUgcG9zdGVyaW9yIGNpbmd1bGF0ZSBjb3J0ZXguIiwiaXNzdWUiOiIzIiwidm9sdW1lIjoiMTUiLCJjb250YWluZXItdGl0bGUtc2hvcnQiOiIifSwiaXNUZW1wb3JhcnkiOmZhbHNlfV19"/>
                <w:id w:val="-2091145556"/>
                <w:placeholder>
                  <w:docPart w:val="DefaultPlaceholder_-1854013440"/>
                </w:placeholder>
              </w:sdtPr>
              <w:sdtContent>
                <w:r w:rsidR="00F04E9F" w:rsidRPr="00F04E9F">
                  <w:rPr>
                    <w:rFonts w:eastAsia="Times New Roman" w:cs="Times New Roman"/>
                    <w:color w:val="000000"/>
                    <w:sz w:val="16"/>
                    <w:szCs w:val="16"/>
                  </w:rPr>
                  <w:t>(102)</w:t>
                </w:r>
              </w:sdtContent>
            </w:sdt>
          </w:p>
        </w:tc>
        <w:tc>
          <w:tcPr>
            <w:tcW w:w="0" w:type="auto"/>
            <w:shd w:val="clear" w:color="auto" w:fill="FFFFFF"/>
            <w:hideMark/>
          </w:tcPr>
          <w:p w14:paraId="6BF8A91F"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28 children and adults with TS (same sample as Jackson et al 2020)</w:t>
            </w:r>
          </w:p>
        </w:tc>
        <w:tc>
          <w:tcPr>
            <w:tcW w:w="1920" w:type="dxa"/>
            <w:shd w:val="clear" w:color="auto" w:fill="FFFFFF"/>
            <w:hideMark/>
          </w:tcPr>
          <w:p w14:paraId="3D7CE886"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MRI (VBM approach)</w:t>
            </w:r>
          </w:p>
        </w:tc>
        <w:tc>
          <w:tcPr>
            <w:tcW w:w="4440" w:type="dxa"/>
            <w:shd w:val="clear" w:color="auto" w:fill="FFFFFF"/>
            <w:hideMark/>
          </w:tcPr>
          <w:p w14:paraId="7BF1237C" w14:textId="388C5A5D"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Significant positive correlation between grey matter volume in a cluster within the left hemisphere mid</w:t>
            </w:r>
            <w:r w:rsidR="00F9342D">
              <w:rPr>
                <w:rFonts w:cs="Times New Roman"/>
                <w:color w:val="000000" w:themeColor="text1"/>
                <w:sz w:val="16"/>
                <w:szCs w:val="16"/>
              </w:rPr>
              <w:t>-</w:t>
            </w:r>
            <w:r w:rsidRPr="008A1F40">
              <w:rPr>
                <w:rFonts w:cs="Times New Roman"/>
                <w:color w:val="000000" w:themeColor="text1"/>
                <w:sz w:val="16"/>
                <w:szCs w:val="16"/>
              </w:rPr>
              <w:t xml:space="preserve">cingulate and PUTS scores (r = 0.44, p &lt; 0.05). Of note, grey matter volume in two other clusters in the left hemisphere cingulate cortex were positively correlated with YGTSS motor tic scores </w:t>
            </w:r>
            <w:r w:rsidRPr="008A1F40">
              <w:rPr>
                <w:rFonts w:eastAsia="Times New Roman" w:cs="Times New Roman"/>
                <w:color w:val="0D0D0D"/>
                <w:sz w:val="16"/>
                <w:szCs w:val="16"/>
              </w:rPr>
              <w:t>(correlation type unclear from publication)</w:t>
            </w:r>
          </w:p>
        </w:tc>
      </w:tr>
      <w:tr w:rsidR="00986E35" w:rsidRPr="008A1F40" w14:paraId="12358868" w14:textId="77777777" w:rsidTr="007F77D2">
        <w:trPr>
          <w:tblCellSpacing w:w="15" w:type="dxa"/>
        </w:trPr>
        <w:tc>
          <w:tcPr>
            <w:tcW w:w="0" w:type="auto"/>
            <w:shd w:val="clear" w:color="auto" w:fill="FFFFFF"/>
            <w:hideMark/>
          </w:tcPr>
          <w:p w14:paraId="17D67C13" w14:textId="0B44FC08"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Brandt et al (2014)</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GJkMmUyMTUtYTQwZi00MDM1LWE2MTEtNWYwMWQ2OWJkZDE5IiwicHJvcGVydGllcyI6eyJub3RlSW5kZXgiOjB9LCJpc0VkaXRlZCI6ZmFsc2UsIm1hbnVhbE92ZXJyaWRlIjp7ImlzTWFudWFsbHlPdmVycmlkZGVuIjpmYWxzZSwiY2l0ZXByb2NUZXh0IjoiKDQyKSIsIm1hbnVhbE92ZXJyaWRlVGV4dCI6IiJ9LCJjaXRhdGlvbkl0ZW1zIjpbeyJpZCI6IjZlZGZkMjczLWQ4NGQtMzQwYS05MzhhLTQ0M2MyZmI3NzIxYyIsIml0ZW1EYXRhIjp7InR5cGUiOiJhcnRpY2xlLWpvdXJuYWwiLCJpZCI6IjZlZGZkMjczLWQ4NGQtMzQwYS05MzhhLTQ0M2MyZmI3NzIxYyIsInRpdGxlIjoiQWx0ZXJlZCBzeW5hcHRpYyBwbGFzdGljaXR5IGluIFRvdXJldHRlJ3Mgc3luZHJvbWUgYW5kIGl0cyByZWxhdGlvbnNoaXAgdG8gbW90b3Igc2tpbGwgbGVhcm5pbmciLCJncm91cElkIjoiMDdkNjJhYzEtNWFhOC0zOWFmLWI0OWUtNTJkMjA4OGFjNTcxIiwiYXV0aG9yIjpbeyJmYW1pbHkiOiJCcmFuZHQiLCJnaXZlbiI6IlYgQyIsInBhcnNlLW5hbWVzIjpmYWxzZSwiZHJvcHBpbmctcGFydGljbGUiOiIiLCJub24tZHJvcHBpbmctcGFydGljbGUiOiIifSx7ImZhbWlseSI6Ik5pZXNzZW4iLCJnaXZlbiI6IkUiLCJwYXJzZS1uYW1lcyI6ZmFsc2UsImRyb3BwaW5nLXBhcnRpY2xlIjoiIiwibm9uLWRyb3BwaW5nLXBhcnRpY2xlIjoiIn0seyJmYW1pbHkiOiJHYW5vcyIsImdpdmVuIjoiQyIsInBhcnNlLW5hbWVzIjpmYWxzZSwiZHJvcHBpbmctcGFydGljbGUiOiIiLCJub24tZHJvcHBpbmctcGFydGljbGUiOiIifSx7ImZhbWlseSI6IkthaGwiLCJnaXZlbiI6IlUiLCJwYXJzZS1uYW1lcyI6ZmFsc2UsImRyb3BwaW5nLXBhcnRpY2xlIjoiIiwibm9uLWRyb3BwaW5nLXBhcnRpY2xlIjoiIn0seyJmYW1pbHkiOiJCw6R1bWVyIiwiZ2l2ZW4iOiJUIiwicGFyc2UtbmFtZXMiOmZhbHNlLCJkcm9wcGluZy1wYXJ0aWNsZSI6IiIsIm5vbi1kcm9wcGluZy1wYXJ0aWNsZSI6IiJ9LHsiZmFtaWx5IjoiTcO8bmNoYXUiLCJnaXZlbiI6IkEiLCJwYXJzZS1uYW1lcyI6ZmFsc2UsImRyb3BwaW5nLXBhcnRpY2xlIjoiIiwibm9uLWRyb3BwaW5nLXBhcnRpY2xlIjoiIn1dLCJjb250YWluZXItdGl0bGUiOiJQTG9TIE9uZSIsIkRPSSI6IjEwLjEzNzEvam91cm5hbC5wb25lLjAwOTg0MTciLCJQTUlEIjoiMjQ4Nzg2NjUiLCJpc3N1ZWQiOnsiZGF0ZS1wYXJ0cyI6W1syMDE0XV19LCJwYWdlIjoiZTk4NDE3LSIsImFic3RyYWN0IjoiR2lsbGVzIGRlIGxhIFRvdXJldHRlIHN5bmRyb21lIGlzIGEgbmV1cm9wc3ljaGlhdHJpYyBkaXNvcmRlciBjaGFyYWN0ZXJpemVkIGJ5IG1vdG9yIGFuZCBwaG9uaWMgdGljcyB0aGF0IGNhbiBiZSBjb25zaWRlcmVkIG1vdG9yIHJlc3BvbnNlcyB0byBwcmVjZWRpbmcgaW5uZXIgdXJnZXMuIEl0IGhhcyBiZWVuIHNob3duIHRoYXQgVG91cmV0dGUgcGF0aWVudHMgaGF2ZSBpbmZlcmlvciBwZXJmb3JtYW5jZSBpbiBzb21lIG1vdG9yIGxlYXJuaW5nIHRhc2tzIGFuZCByZWR1Y2VkIHN5bmFwdGljIHBsYXN0aWNpdHkgaW5kdWNlZCBieSB0cmFuc2NyYW5pYWwgbWFnbmV0aWMgc3RpbXVsYXRpb24uIEhvd2V2ZXIsIGl0IGhhcyBub3QgYmVlbiBpbnZlc3RpZ2F0ZWQgd2hldGhlciBhbHRlcmVkIHN5bmFwdGljIHBsYXN0aWNpdHkgaXMgZGlyZWN0bHkgbGlua2VkIHRvIGltcGFpcmVkIG1vdG9yIHNraWxsIGFjcXVpc2l0aW9uIGluIFRvdXJldHRlIHBhdGllbnRzLiBJbiB0aGlzIHN0dWR5LCBjb3J0aWNhbCBwbGFzdGljaXR5IHdhcyBhc3Nlc3NlZCBieSBtZWFzdXJpbmcgbW90b3ItZXZva2VkIHBvdGVudGlhbHMgYmVmb3JlIGFuZCBhZnRlciBwYWlyZWQgYXNzb2NpYXRpdmUgc3RpbXVsYXRpb24gaW4gMTQgVG91cmV0dGUgcGF0aWVudHMgKDEzIG1hbGU7IGFnZSAxOC0zOSkgYW5kIDE1IGhlYWx0aHkgY29udHJvbHMgKDEyIG1hbGU7IGFnZSAxOC0zMykuIFRpYyBhbmQgdXJnZSBzZXZlcml0eSB3ZXJlIGFzc2Vzc2VkIHVzaW5nIHRoZSBZYWxlIEdsb2JhbCBUaWMgU2V2ZXJpdHkgU2NhbGUgYW5kIHRoZSBQcmVtb25pdG9yeSBVcmdlcyBmb3IgVGljcyBTY2FsZS4gTW90b3IgbGVhcm5pbmcgd2FzIGFzc2Vzc2VkIDQ1IG1pbnV0ZXMgYWZ0ZXIgaW5kdWNpbmcgc3luYXB0aWMgcGxhc3RpY2l0eSBhbmQgOSBtb250aHMgbGF0ZXIsIHVzaW5nIHRoZSByb3RhcnkgcHVyc3VpdCB0YXNrLiBPbiBhdmVyYWdlLCBsb25nLXRlcm0gcG90ZW50aWF0aW9uLWxpa2UgZWZmZWN0cyBpbiByZXNwb25zZSB0byB0aGUgcGFpcmVkIGFzc29jaWF0aXZlIHN0aW11bGF0aW9uIHdlcmUgcHJlc2VudCBpbiBoZWFsdGh5IGNvbnRyb2xzIGJ1dCBub3QgaW4gcGF0aWVudHMuIEluIFRvdXJldHRlIHBhdGllbnRzLCBsb25nLXRlcm0gcG90ZW50aWF0aW9uLWxpa2UgZWZmZWN0cyB3ZXJlIGFzc29jaWF0ZWQgd2l0aCBtb3JlIGFuZCBsb25nLXRlcm0gZGVwcmVzc2lvbi1saWtlIGVmZmVjdHMgd2l0aCBsZXNzIHNldmVyZSB1cmdlcyBhbmQgdGljcy4gV2hpbGUgbW90b3IgbGVhcm5pbmcgZGlkIG5vdCBkaWZmZXIgYmV0d2VlbiBwYXRpZW50cyBhbmQgaGVhbHRoeSBjb250cm9scyA0NSBtaW51dGVzIGFmdGVyIGluZHVjaW5nIHN5bmFwdGljIHBsYXN0aWNpdHksIHRoZSBsZWFybmluZyBjdXJ2ZSBvZiB0aGUgaGVhbHRoeSBjb250cm9scyBzdGFydGVkIGF0IGEgc2lnbmlmaWNhbnRseSBoaWdoZXIgbGV2ZWwgdGhhbiB0aGUgVG91cmV0dGUgcGF0aWVudHMnIDkgbW9udGhzIGxhdGVyLiBJbmR1Y2VkIHN5bmFwdGljIHBsYXN0aWNpdHkgY29ycmVsYXRlZCBwb3NpdGl2ZWx5IHdpdGggbW90b3Igc2tpbGxzIGluIGhlYWx0aHkgY29udHJvbHMgOSBtb250aHMgbGF0ZXIuIFRoZSBwcmVzZW50IHN0dWR5IGNvbmZpcm1zIHByZXZpb3VzbHkgZm91bmQgbG9uZy10ZXJtIGltcHJvdmVtZW50IGluIG1vdG9yIHBlcmZvcm1hbmNlIGFmdGVyIHBhaXJlZCBhc3NvY2lhdGl2ZSBzdGltdWxhdGlvbiBpbiBoZWFsdGh5IGNvbnRyb2xzIGJ1dCBub3QgaW4gVG91cmV0dGUgcGF0aWVudHMuIFRvdXJldHRlIHBhdGllbnRzIGRpZCBub3Qgc2hvdyBsb25nLXRlcm0gcG90ZW50aWF0aW9uIGluIHJlc3BvbnNlIHRvIFBBUyBhbmQgYWxzbyBzaG93ZWQgcmVkdWNlZCBsZXZlbHMgb2YgbW90b3Igc2tpbGwgY29uc29saWRhdGlvbiBhZnRlciA5IG1vbnRocyBjb21wYXJlZCB0byBoZWFsdGh5IGNvbnRyb2xzLiBNb3Jlb3Zlciwgc3luYXB0aWMgcGxhc3RpY2l0eSBhcHBlYXJzIHRvIGJlIHJlbGF0ZWQgdG8gc3ltcHRvbSBzZXZlcml0eS4iLCJpc3N1ZSI6IjUiLCJ2b2x1bWUiOiI5IiwiY29udGFpbmVyLXRpdGxlLXNob3J0IjoiUExvUyBPbmUifSwiaXNUZW1wb3JhcnkiOmZhbHNlfV19"/>
                <w:id w:val="1086108311"/>
                <w:placeholder>
                  <w:docPart w:val="DefaultPlaceholder_-1854013440"/>
                </w:placeholder>
              </w:sdtPr>
              <w:sdtContent>
                <w:r w:rsidR="00F04E9F" w:rsidRPr="00F04E9F">
                  <w:rPr>
                    <w:rFonts w:eastAsia="Times New Roman" w:cs="Times New Roman"/>
                    <w:color w:val="000000"/>
                    <w:sz w:val="16"/>
                    <w:szCs w:val="16"/>
                  </w:rPr>
                  <w:t>(42)</w:t>
                </w:r>
              </w:sdtContent>
            </w:sdt>
          </w:p>
        </w:tc>
        <w:tc>
          <w:tcPr>
            <w:tcW w:w="0" w:type="auto"/>
            <w:shd w:val="clear" w:color="auto" w:fill="FFFFFF"/>
            <w:hideMark/>
          </w:tcPr>
          <w:p w14:paraId="1A62A0C6"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14 adults with TS and 15 age-matched controls</w:t>
            </w:r>
          </w:p>
        </w:tc>
        <w:tc>
          <w:tcPr>
            <w:tcW w:w="1920" w:type="dxa"/>
            <w:shd w:val="clear" w:color="auto" w:fill="FFFFFF"/>
            <w:hideMark/>
          </w:tcPr>
          <w:p w14:paraId="54BE846D"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PAS - </w:t>
            </w:r>
            <w:r w:rsidRPr="008A1F40">
              <w:rPr>
                <w:rFonts w:cs="Times New Roman"/>
                <w:color w:val="000000" w:themeColor="text1"/>
                <w:sz w:val="16"/>
                <w:szCs w:val="16"/>
                <w:shd w:val="clear" w:color="auto" w:fill="FFFFFF"/>
              </w:rPr>
              <w:t>“</w:t>
            </w:r>
            <w:r w:rsidRPr="008A1F40">
              <w:rPr>
                <w:rFonts w:cs="Times New Roman"/>
                <w:color w:val="000000" w:themeColor="text1"/>
                <w:sz w:val="16"/>
                <w:szCs w:val="16"/>
              </w:rPr>
              <w:t>Peripheral, electrical stimulation at the wrist and central, TMS stimulation over M1 are repeatedly combined in such a way that both stimuli arrive in the cortex simultaneously, which should result in a transient strengthening of the synapses involved” – Measured MEPs following procedure</w:t>
            </w:r>
          </w:p>
        </w:tc>
        <w:tc>
          <w:tcPr>
            <w:tcW w:w="4440" w:type="dxa"/>
            <w:shd w:val="clear" w:color="auto" w:fill="FFFFFF"/>
            <w:hideMark/>
          </w:tcPr>
          <w:p w14:paraId="2BEB21CA" w14:textId="658B0663" w:rsidR="00986E35" w:rsidRPr="008A1F40" w:rsidRDefault="00986E35" w:rsidP="007F77D2">
            <w:pPr>
              <w:rPr>
                <w:rFonts w:cs="Times New Roman"/>
                <w:color w:val="000000" w:themeColor="text1"/>
                <w:sz w:val="16"/>
                <w:szCs w:val="16"/>
              </w:rPr>
            </w:pPr>
            <w:r w:rsidRPr="008A1F40">
              <w:rPr>
                <w:rFonts w:eastAsia="Times New Roman" w:cs="Times New Roman"/>
                <w:color w:val="0D0D0D"/>
                <w:sz w:val="16"/>
                <w:szCs w:val="16"/>
              </w:rPr>
              <w:t xml:space="preserve">Positive correlation between PUTS scores and plasticity (MEP change) following PAS procedure </w:t>
            </w:r>
            <w:r w:rsidRPr="008A1F40">
              <w:rPr>
                <w:rFonts w:cs="Times New Roman"/>
                <w:color w:val="000000" w:themeColor="text1"/>
                <w:sz w:val="16"/>
                <w:szCs w:val="16"/>
              </w:rPr>
              <w:t>(data from n = 12 with TS, r = 0.82, p = 0.001)</w:t>
            </w:r>
            <w:r w:rsidRPr="008A1F40">
              <w:rPr>
                <w:rFonts w:eastAsia="Times New Roman" w:cs="Times New Roman"/>
                <w:color w:val="0D0D0D"/>
                <w:sz w:val="16"/>
                <w:szCs w:val="16"/>
              </w:rPr>
              <w:t xml:space="preserve">. </w:t>
            </w:r>
            <w:r w:rsidRPr="008A1F40">
              <w:rPr>
                <w:rFonts w:cs="Times New Roman"/>
                <w:color w:val="000000" w:themeColor="text1"/>
                <w:sz w:val="16"/>
                <w:szCs w:val="16"/>
              </w:rPr>
              <w:t>Interestingly, although greater premonitory urge severity was associated with a greater LTP</w:t>
            </w:r>
            <w:r w:rsidR="00F9342D">
              <w:rPr>
                <w:rFonts w:cs="Times New Roman"/>
                <w:color w:val="000000" w:themeColor="text1"/>
                <w:sz w:val="16"/>
                <w:szCs w:val="16"/>
              </w:rPr>
              <w:t>-</w:t>
            </w:r>
            <w:r w:rsidRPr="008A1F40">
              <w:rPr>
                <w:rFonts w:cs="Times New Roman"/>
                <w:color w:val="000000" w:themeColor="text1"/>
                <w:sz w:val="16"/>
                <w:szCs w:val="16"/>
              </w:rPr>
              <w:t>like response, MEP change (plasticity) was lower in those with TS compared to controls</w:t>
            </w:r>
          </w:p>
          <w:p w14:paraId="767C1434" w14:textId="77777777"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Resting motor threshold correlated with PUTS scores, but not significantly (data from n = 12 with TS, r = 0.53, p = 0.08)</w:t>
            </w:r>
          </w:p>
          <w:p w14:paraId="111FF63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(correlation types unclear from publication)</w:t>
            </w:r>
          </w:p>
        </w:tc>
      </w:tr>
      <w:tr w:rsidR="00986E35" w:rsidRPr="008A1F40" w14:paraId="2CFA500F" w14:textId="77777777" w:rsidTr="007F77D2">
        <w:trPr>
          <w:tblCellSpacing w:w="15" w:type="dxa"/>
        </w:trPr>
        <w:tc>
          <w:tcPr>
            <w:tcW w:w="0" w:type="auto"/>
            <w:shd w:val="clear" w:color="auto" w:fill="FFFFFF"/>
            <w:hideMark/>
          </w:tcPr>
          <w:p w14:paraId="2ABEAAE4" w14:textId="7080031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Larsh et al (2022)</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DdjYzhiYTYtMzk3ZC00NzgwLWFhNDEtMjIwM2I1ZmM4MThiIiwicHJvcGVydGllcyI6eyJub3RlSW5kZXgiOjB9LCJpc0VkaXRlZCI6ZmFsc2UsIm1hbnVhbE92ZXJyaWRlIjp7ImlzTWFudWFsbHlPdmVycmlkZGVuIjpmYWxzZSwiY2l0ZXByb2NUZXh0IjoiKDQ0KSIsIm1hbnVhbE92ZXJyaWRlVGV4dCI6IiJ9LCJjaXRhdGlvbkl0ZW1zIjpbeyJpZCI6ImExMjE0Nzc2LWNhNjktMzZmMi1hZjkyLTdiNWI3NmVhODQ5YiIsIml0ZW1EYXRhIjp7InR5cGUiOiJhcnRpY2xlLWpvdXJuYWwiLCJpZCI6ImExMjE0Nzc2LWNhNjktMzZmMi1hZjkyLTdiNWI3NmVhODQ5YiIsInRpdGxlIjoiRnJvbSB1cmdlcyB0byB0aWNzIGluIGNoaWxkcmVuIHdpdGggVG91cmV0dGUgc3luZHJvbWU6IGFzc29jaWF0aW9ucyB3aXRoIHN1cHBsZW1lbnRhcnkgbW90b3IgYXJlYSBHQUJBIGFuZCByaWdodCBtb3RvciBjb3J0ZXggcGh5c2lvbG9neSIsImdyb3VwSWQiOiIwN2Q2MmFjMS01YWE4LTM5YWYtYjQ5ZS01MmQyMDg4YWM1NzEiLCJhdXRob3IiOlt7ImZhbWlseSI6IkxhcnNoIiwiZ2l2ZW4iOiJUIFIiLCJwYXJzZS1uYW1lcyI6ZmFsc2UsImRyb3BwaW5nLXBhcnRpY2xlIjoiIiwibm9uLWRyb3BwaW5nLXBhcnRpY2xlIjoiIn0seyJmYW1pbHkiOiJIdWRkbGVzdG9uIiwiZ2l2ZW4iOiJEIEEiLCJwYXJzZS1uYW1lcyI6ZmFsc2UsImRyb3BwaW5nLXBhcnRpY2xlIjoiIiwibm9uLWRyb3BwaW5nLXBhcnRpY2xlIjoiIn0seyJmYW1pbHkiOiJIb3JuIiwiZ2l2ZW4iOiJQIFMiLCJwYXJzZS1uYW1lcyI6ZmFsc2UsImRyb3BwaW5nLXBhcnRpY2xlIjoiIiwibm9uLWRyb3BwaW5nLXBhcnRpY2xlIjoiIn0seyJmYW1pbHkiOiJXdSIsImdpdmVuIjoiUyBXIiwicGFyc2UtbmFtZXMiOmZhbHNlLCJkcm9wcGluZy1wYXJ0aWNsZSI6IiIsIm5vbi1kcm9wcGluZy1wYXJ0aWNsZSI6IiJ9LHsiZmFtaWx5IjoiQ2VjaWwiLCJnaXZlbiI6IksgTSIsInBhcnNlLW5hbWVzIjpmYWxzZSwiZHJvcHBpbmctcGFydGljbGUiOiIiLCJub24tZHJvcHBpbmctcGFydGljbGUiOiIifSx7ImZhbWlseSI6IkphY2tzb24iLCJnaXZlbiI6IkggUyIsInBhcnNlLW5hbWVzIjpmYWxzZSwiZHJvcHBpbmctcGFydGljbGUiOiIiLCJub24tZHJvcHBpbmctcGFydGljbGUiOiIifSx7ImZhbWlseSI6IkVkZGVuIiwiZ2l2ZW4iOiJSIEEgRSIsInBhcnNlLW5hbWVzIjpmYWxzZSwiZHJvcHBpbmctcGFydGljbGUiOiIiLCJub24tZHJvcHBpbmctcGFydGljbGUiOiIifSx7ImZhbWlseSI6Ik1vc3RvZnNreSIsImdpdmVuIjoiUyBIIiwicGFyc2UtbmFtZXMiOmZhbHNlLCJkcm9wcGluZy1wYXJ0aWNsZSI6IiIsIm5vbi1kcm9wcGluZy1wYXJ0aWNsZSI6IiJ9LHsiZmFtaWx5IjoiR2lsYmVydCIsImdpdmVuIjoiRCBMIiwicGFyc2UtbmFtZXMiOmZhbHNlLCJkcm9wcGluZy1wYXJ0aWNsZSI6IiIsIm5vbi1kcm9wcGluZy1wYXJ0aWNsZSI6IiJ9XSwiY29udGFpbmVyLXRpdGxlIjoiQ2VyZWJyYWwgY29ydGV4IChOZXcgWW9yaywgTi5ZLiA6IDE5OTEpIiwiRE9JIjoiaHR0cHM6Ly9keC5kb2kub3JnLzEwLjEwOTMvY2VyY29yL2JoYWMzMTYiLCJVUkwiOiJodHRwOi8vb3ZpZHNwLm92aWQuY29tL292aWR3ZWIuY2dpP1Q9SlMmUEFHRT1yZWZlcmVuY2UmRD1lbWV4YiZORVdTPU4mQU49NjM4NzYzNzcwIiwiaXNzdWVkIjp7ImRhdGUtcGFydHMiOltbMjAyMl1dfSwicGFnZSI6Ii0iLCJhYnN0cmFjdCI6IlRvdXJldHRlIHN5bmRyb21lIChUUykgaXMgYSBjaGlsZGhvb2Qtb25zZXQgZGlzb3JkZXIgaW4gd2hpY2ggdGljcyBhcmUgb2Z0ZW4gcHJlY2VkZWQgYnkgcHJlbW9uaXRvcnkgc2Vuc29yeSB1cmdlcy4gTW9yZSBzZXZlcmUgdXJnZXMgY29ycmVsYXRlIHdpdGggd29yc2UgdGljcyBhbmQgY2FuIHJlbmRlciBiZWhhdmlvcmFsIHRoZXJhcGllcyBsZXNzIGVmZmVjdGl2ZS4gVGhlIHN1cHBsZW1lbnRhcnkgbW90b3IgYXJlYSAoU01BKSBpcyBhIHByZWZyb250YWwgcmVnaW9uIGJlbGlldmVkIHRvIGluZmx1ZW5jZSB0aWMgcGVyZm9ybWFuY2UuIFRvIGRldGVybWluZSB3aGV0aGVyIGNvcnRpY2FsIHBoeXNpb2xvZ2ljYWwgcHJvcGVydGllcyBjb3JyZWxhdGUgd2l0aCB1cmdlcyBhbmQgdGljcywgd2UgZXZhbHVhdGVkLCBpbiA4LTEyLXllYXItb2xkIHJpZ2h0LWhhbmRlZCBUUyBjaGlsZHJlbiAobj0xNyksIGNvcnJlbGF0aW9ucyBvZiB1cmdlIGFuZCB0aWMgc2V2ZXJpdHkgc2NvcmVzIGFuZCBjb21wYXJlZCBib3RoIHRvIGNvcnRpY2FsIGV4Y2l0YWJpbGl0eSAoQ0UpIGFuZCBzaG9ydC0gYW5kIGxvbmctaW50ZXJ2YWwgY29ydGljYWwgaW5oaWJpdGlvbiAoU0lDSSBhbmQgTElDSSkgaW4gYm90aCBsZWZ0IGFuZCByaWdodCBNMS4gV2UgYWxzbyBtb2RlbGVkIHRoZXNlIE0xIHRyYW5zY3JhbmlhbCBtYWduZXRpYyBzdGltdWxhdGlvbiBtZWFzdXJlcyB3aXRoIFNNQSBnYW1tYS1hbWlubyBidXR5cmljIGFjaWQgKEdBQkEpIGxldmVscyBpbiBUUyBhbmQgdHlwaWNhbGx5IGRldmVsb3BpbmcgY29udHJvbCBjaGlsZHJlbiAobj0xNikuIFVyZ2UgaW50ZW5zaXR5IGNvcnJlbGF0ZWQgc3Ryb25nbHkgd2l0aCB0aWMgc2NvcmVzLiBNb3JlIHNldmVyZSB1cmdlcyBjb3JyZWxhdGVkIHdpdGggbG93ZXIgQ0UgYW5kIGxlc3MgTElDSSBpbiBib3RoIHJpZ2h0IGFuZCBsZWZ0IE0xLiBVbmV4cGVjdGVkbHksIGluIHJpZ2h0IE0xLCBsb3dlciBDRSBhbmQgbGVzcyBMSUNJIGNvcnJlbGF0ZWQgd2l0aCBsZXNzIHNldmVyZSB0aWNzLiBXZSBmb3VuZCB0aGF0IFNNQSBHQUJBIG1vZHVsYXRpb24gb2YgcmlnaHQsIGJ1dCBub3QgbGVmdCwgTTEgQ0UgYW5kIExJQ0kgZGlmZmVyZWQgaW4gVFMuIFdlIGNvbmNsdWRlIHRoYXQgaW4geW91bmcgY2hpbGRyZW4gd2l0aCBUUywgbG93ZXIgcmlnaHQgTTEgQ0UgYW5kIExJQ0ksIG1vZHVsYXRlZCBieSBTTUEgR0FCQSwgbWF5IHJlZmxlY3QgY29tcGVuc2F0b3J5IG1lY2hhbmlzbXMgdG8gZGltaW5pc2ggdGljcyBpbiByZXNwb25zZSB0byBwcmVtb25pdG9yeSB1cmdlcy5Db3B5cmlnaHQgwqkgVGhlIEF1dGhvcihzKSAyMDIyLiBQdWJsaXNoZWQgYnkgT3hmb3JkIFVuaXZlcnNpdHkgUHJlc3MuIEFsbCByaWdodHMgcmVzZXJ2ZWQuIEZvciBwZXJtaXNzaW9ucywgcGxlYXNlIGUtbWFpbDogam91cm5hbHMucGVybWlzc2lvbkBvdXAuY29tLiIsImNvbnRhaW5lci10aXRsZS1zaG9ydCI6IkNlcmViIENvcnRleCJ9LCJpc1RlbXBvcmFyeSI6ZmFsc2V9XX0="/>
                <w:id w:val="1833097840"/>
                <w:placeholder>
                  <w:docPart w:val="DefaultPlaceholder_-1854013440"/>
                </w:placeholder>
              </w:sdtPr>
              <w:sdtContent>
                <w:r w:rsidR="00F04E9F" w:rsidRPr="00F04E9F">
                  <w:rPr>
                    <w:rFonts w:eastAsia="Times New Roman" w:cs="Times New Roman"/>
                    <w:color w:val="000000"/>
                    <w:sz w:val="16"/>
                    <w:szCs w:val="16"/>
                  </w:rPr>
                  <w:t>(44)</w:t>
                </w:r>
              </w:sdtContent>
            </w:sdt>
          </w:p>
        </w:tc>
        <w:tc>
          <w:tcPr>
            <w:tcW w:w="0" w:type="auto"/>
            <w:shd w:val="clear" w:color="auto" w:fill="FFFFFF"/>
            <w:hideMark/>
          </w:tcPr>
          <w:p w14:paraId="6FAEADA3"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17 children with TS</w:t>
            </w:r>
          </w:p>
        </w:tc>
        <w:tc>
          <w:tcPr>
            <w:tcW w:w="1920" w:type="dxa"/>
            <w:shd w:val="clear" w:color="auto" w:fill="FFFFFF"/>
            <w:hideMark/>
          </w:tcPr>
          <w:p w14:paraId="1B484AFE"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TMS / EMG</w:t>
            </w:r>
          </w:p>
        </w:tc>
        <w:tc>
          <w:tcPr>
            <w:tcW w:w="4440" w:type="dxa"/>
            <w:shd w:val="clear" w:color="auto" w:fill="FFFFFF"/>
            <w:hideMark/>
          </w:tcPr>
          <w:p w14:paraId="3F71A0A8" w14:textId="3477F15E" w:rsidR="00986E35" w:rsidRPr="008A1F40" w:rsidRDefault="00986E35" w:rsidP="007F77D2">
            <w:pPr>
              <w:rPr>
                <w:rFonts w:cs="Times New Roman"/>
                <w:color w:val="000000" w:themeColor="text1"/>
                <w:sz w:val="16"/>
                <w:szCs w:val="16"/>
              </w:rPr>
            </w:pPr>
            <w:r w:rsidRPr="008A1F40">
              <w:rPr>
                <w:rFonts w:cs="Times New Roman"/>
                <w:color w:val="000000" w:themeColor="text1"/>
                <w:sz w:val="16"/>
                <w:szCs w:val="16"/>
              </w:rPr>
              <w:t xml:space="preserve">I-PUTS intensity was associated with TMS-evoked cortical excitability (CE) </w:t>
            </w:r>
            <w:r w:rsidR="00446C41">
              <w:rPr>
                <w:rFonts w:cs="Times New Roman"/>
                <w:color w:val="000000" w:themeColor="text1"/>
                <w:sz w:val="16"/>
                <w:szCs w:val="16"/>
              </w:rPr>
              <w:t>(</w:t>
            </w:r>
            <w:r w:rsidRPr="008A1F40">
              <w:rPr>
                <w:rFonts w:cs="Times New Roman"/>
                <w:color w:val="000000" w:themeColor="text1"/>
                <w:sz w:val="16"/>
                <w:szCs w:val="16"/>
              </w:rPr>
              <w:t>p &lt; 0.001) and long-interval cortical inhibition (LICI)</w:t>
            </w:r>
            <w:r w:rsidR="00446C41">
              <w:rPr>
                <w:rFonts w:cs="Times New Roman"/>
                <w:color w:val="000000" w:themeColor="text1"/>
                <w:sz w:val="16"/>
                <w:szCs w:val="16"/>
              </w:rPr>
              <w:t xml:space="preserve"> (</w:t>
            </w:r>
            <w:r w:rsidRPr="008A1F40">
              <w:rPr>
                <w:rFonts w:cs="Times New Roman"/>
                <w:color w:val="000000" w:themeColor="text1"/>
                <w:sz w:val="16"/>
                <w:szCs w:val="16"/>
              </w:rPr>
              <w:t>p &lt; 0.001) in the left and right motor cortex (M1), such that those with lower TMS-evoked CE and LICI had higher I-PUTS intensity scores</w:t>
            </w:r>
          </w:p>
          <w:p w14:paraId="052D1138"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Interestingly, those with lower CE and LICI had lower YGTSS-TTS scores</w:t>
            </w:r>
          </w:p>
        </w:tc>
      </w:tr>
      <w:tr w:rsidR="00986E35" w:rsidRPr="008A1F40" w14:paraId="503F1762" w14:textId="77777777" w:rsidTr="007F77D2">
        <w:trPr>
          <w:tblCellSpacing w:w="15" w:type="dxa"/>
        </w:trPr>
        <w:tc>
          <w:tcPr>
            <w:tcW w:w="0" w:type="auto"/>
            <w:shd w:val="clear" w:color="auto" w:fill="FFFFFF"/>
            <w:hideMark/>
          </w:tcPr>
          <w:p w14:paraId="19DE2A91" w14:textId="4B885CEB"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Batschelett et al (2023)</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DU5ZjNhMDEtZGM1MC00NmEwLWExNWYtOGY1NTQ0MTk5Mzc2IiwicHJvcGVydGllcyI6eyJub3RlSW5kZXgiOjB9LCJpc0VkaXRlZCI6ZmFsc2UsIm1hbnVhbE92ZXJyaWRlIjp7ImlzTWFudWFsbHlPdmVycmlkZGVuIjpmYWxzZSwiY2l0ZXByb2NUZXh0IjoiKDQ1KSIsIm1hbnVhbE92ZXJyaWRlVGV4dCI6IiJ9LCJjaXRhdGlvbkl0ZW1zIjpbeyJpZCI6ImE3ODBkMzEyLWJkMmItMzFmNi1iMzBlLTE4MmU1ZGQzNzAxZiIsIml0ZW1EYXRhIjp7InR5cGUiOiJhcnRpY2xlLWpvdXJuYWwiLCJpZCI6ImE3ODBkMzEyLWJkMmItMzFmNi1iMzBlLTE4MmU1ZGQzNzAxZiIsInRpdGxlIjoiQmlvbWFya2VycyBvZiB0aWMgc2V2ZXJpdHkgaW4gY2hpbGRyZW4gd2l0aCBUb3VyZXR0ZSBzeW5kcm9tZTogTW90b3IgY29ydGV4IGluaGliaXRpb24gbWVhc3VyZWQgd2l0aCB0cmFuc2NyYW5pYWwgbWFnbmV0aWMgc3RpbXVsYXRpb24iLCJncm91cElkIjoiMDdkNjJhYzEtNWFhOC0zOWFmLWI0OWUtNTJkMjA4OGFjNTcxIiwiYXV0aG9yIjpbeyJmYW1pbHkiOiJCYXRzY2hlbGV0dCIsImdpdmVuIjoiTSBBIiwicGFyc2UtbmFtZXMiOmZhbHNlLCJkcm9wcGluZy1wYXJ0aWNsZSI6IiIsIm5vbi1kcm9wcGluZy1wYXJ0aWNsZSI6IiJ9LHsiZmFtaWx5IjoiSHVkZGxlc3RvbiIsImdpdmVuIjoiRCBBIiwicGFyc2UtbmFtZXMiOmZhbHNlLCJkcm9wcGluZy1wYXJ0aWNsZSI6IiIsIm5vbi1kcm9wcGluZy1wYXJ0aWNsZSI6IiJ9LHsiZmFtaWx5IjoiQ3JvY2V0dGkiLCJnaXZlbiI6IkQiLCJwYXJzZS1uYW1lcyI6ZmFsc2UsImRyb3BwaW5nLXBhcnRpY2xlIjoiIiwibm9uLWRyb3BwaW5nLXBhcnRpY2xlIjoiIn0seyJmYW1pbHkiOiJIb3JuIiwiZ2l2ZW4iOiJQIFMiLCJwYXJzZS1uYW1lcyI6ZmFsc2UsImRyb3BwaW5nLXBhcnRpY2xlIjoiIiwibm9uLWRyb3BwaW5nLXBhcnRpY2xlIjoiIn0seyJmYW1pbHkiOiJNb3N0b2Zza3kiLCJnaXZlbiI6IlMgSCIsInBhcnNlLW5hbWVzIjpmYWxzZSwiZHJvcHBpbmctcGFydGljbGUiOiIiLCJub24tZHJvcHBpbmctcGFydGljbGUiOiIifSx7ImZhbWlseSI6IkdpbGJlcnQiLCJnaXZlbiI6IkQgTCIsInBhcnNlLW5hbWVzIjpmYWxzZSwiZHJvcHBpbmctcGFydGljbGUiOiIiLCJub24tZHJvcHBpbmctcGFydGljbGUiOiIifV0sImNvbnRhaW5lci10aXRsZSI6IkRldiBNZWQgQ2hpbGQgTmV1cm9sIiwiRE9JIjoiMTAuMTExMS9kbWNuLjE1NTc4IiwiUE1JRCI6IjM2OTM4Njk4IiwiaXNzdWVkIjp7ImRhdGUtcGFydHMiOltbMjAyM11dfSwicGFnZSI6IjEzMjEtMTMzMSIsImFic3RyYWN0IjoiQUlNOiBUbyBjb21wYXJlIHRyYW5zY3JhbmlhbCBtYWduZXRpYyBzdGltdWxhdGlvbiAoVE1TKS1kZXJpdmVkIG1lYXN1cmVzIG9mIHByaW1hcnkgbW90b3IgY29ydGV4IChNMSkgcGh5c2lvbG9neSBiZXR3ZWVuIGNoaWxkcmVuIHdpdGggYW5kIHdpdGhvdXQgVG91cmV0dGUgc3luZHJvbWUsIGFuZCB0byBkaW1lbnNpb25hbGx5IGFuYWx5emUgVE1TIG1lYXN1cmVzIHdpdGggVG91cmV0dGUgc3luZHJvbWUtcmVsYXRlZCBzeW1wdG9tIHNldmVyaXR5LiBNRVRIT0Q6IFdlIHVzZWQgYSBjcm9zcy1zZWN0aW9uYWwgZXhwZXJpbWVudGFsIGRlc2lnbi4gU2l4dHkgOC0gdG8gMTIteWVhci1vbGQgY2hpbGRyZW4gcGFydGljaXBhdGVkICgzMCB3aXRoIFRvdXJldHRlIHN5bmRyb21lOiB0aHJlZSBmZW1hbGVzLCBtZWFuIGFnZSAxMOKAiXllYXJzIDEw4oCJbW9udGhzLCBzdGFuZGFyZCBkZXZpYXRpb24gW1NEXSAxIHllYXIgMyBtb250aHM7IDMwIHR5cGljYWxseSBkZXZlbG9waW5nIGNoaWxkcmVuOiBzZXZlbiBmZW1hbGVzLCBtZWFuIGFnZSAxMOKAiXllYXJzIDfigIltb250aHMsIFNEIDEgeWVhciAzIG1vbnRocykuIEluIHRoZSBncm91cCB3aXRoIFRvdXJldHRlIHN5bmRyb21lLCAxNSAob25lIGZlbWFsZSwgbWVhbiBhZ2UgMTDigIl5ZWFycyAxMeKAiW1vbnRocywgU0QgMSB5ZWFyIDMgbW9udGhzKSBoYWQgY29tb3JiaWQgYXR0ZW50aW9uLWRlZmljaXQvaHlwZXJhY3Rpdml0eSBkaXNvcmRlciAoQURIRCksIHJhdGVkIHdpdGggdGhlIENvbm5lcnMsIFRoaXJkIEVkaXRpb24gYW5kIHRoZSBwYXJlbnQtcmVwb3J0ZWQgQURIRCByYXRpbmcgc2NhbGVzLiBUaWMgc2V2ZXJpdHkgd2FzIHJhdGVkIHdpdGggdGhlIFlhbGUgR2xvYmFsIFRpYyBTZXZlcml0eSBTY2FsZSBhbmQgdXJnZSBzZXZlcml0eSB3aXRoIHRoZSBJbmRpdmlkdWFsaXplZCBQcmVtb25pdG9yeSBVcmdlIGZvciBUaWNzIFNjYWxlLiBNMSBzaG9ydC1pbnRlcnZhbCBjb3J0aWNhbCBpbmhpYml0aW9uIChTSUNJKSBhbmQgaW50cmFjb3J0aWNhbCBmYWNpbGl0YXRpb24gd2VyZSBjb21wYXJlZCBiZXR3ZWVuIGRpYWdub3N0aWMgZ3JvdXBzIGFuZCwgd2l0aGluIHRoZSBncm91cCB3aXRoIFRvdXJldHRlIHN5bmRyb21lLCBjb3JyZWxhdGVkIHdpdGggc3ltcHRvbSBzZXZlcml0eSB1c2luZyBsaW5lYXIgbWl4ZWQtZWZmZWN0cyBtb2RlbHMgZm9yIHJlcGVhdGVkIG1lYXN1cmVzLiBSRVNVTFRTOiBBY2NvdW50aW5nIGZvciBBREhELCB3ZSBmb3VuZCBubyBkaWZmZXJlbmNlIGluIFNJQ0kgb3IgaW50cmFjb3J0aWNhbCBmYWNpbGl0YXRpb24gaW4gdGhvc2Ugd2l0aCBUb3VyZXR0ZSBzeW5kcm9tZSB2ZXJzdXMgdHlwaWNhbGx5IGRldmVsb3BpbmcgY2hpbGRyZW4gKHDigIk+4oCJMC4xKS4gSW4gdGhlIGdyb3VwIHdpdGggVG91cmV0dGUgc3luZHJvbWUsIHJlZHVjZWQgTTEgU0lDSSBwcmVkaWN0ZWQgZ3JlYXRlciB0b3RhbCAocMKgPcKgMC4wMTIpIGFuZCBnbG9iYWwgKHDCoD3CoDAuMDAyKSB0aWMgc2V2ZXJpdHkuIFRoZXJlIHdlcmUgbm8gYXNzb2NpYXRpb25zIHdpdGggdXJnZSBzZXZlcml0eSAocOKAiT7igIkwLjUpLiBJTlRFUlBSRVRBVElPTjogUmVkdWNlZCBNMSBTSUNJIGlzIHJvYnVzdGx5IGFzc29jaWF0ZWQgd2l0aCBpbmNyZWFzZWQgdGljLCBidXQgbm90IHVyZ2UsIHNldmVyaXR5LiBXSEFUIFRISVMgUEFQRVIgQUREUzogSW5jcmVhc2VkIHRpYyBzZXZlcml0eSBpcyBhc3NvY2lhdGVkIHdpdGggcmVkdWNlZCBtb3RvciBjb3J0ZXggc2hvcnQtaW50ZXJ2YWwgY29ydGljYWwgaW5oaWJpdGlvbiAoU0lDSSkuIENoaWxkcmVuIHdpdGggVG91cmV0dGUgc3luZHJvbWUgd2l0aCBpbmNyZWFzZWQgdXJnZSBzZXZlcml0eSBhbHNvIHNob3cgaW5jcmVhc2VkIHRpYyBzZXZlcml0eS4gSG93ZXZlciwgcmVkdWNlZCBtb3RvciBjb3J0ZXggU0lDSSBpcyBhc3NvY2lhdGVkIHdpdGggdGljLCBidXQgbm90IHVyZ2UsIHNldmVyaXR5LiIsImlzc3VlIjoiMTAiLCJ2b2x1bWUiOiI2NSIsImNvbnRhaW5lci10aXRsZS1zaG9ydCI6IiJ9LCJpc1RlbXBvcmFyeSI6ZmFsc2V9XX0="/>
                <w:id w:val="-1261599751"/>
                <w:placeholder>
                  <w:docPart w:val="DefaultPlaceholder_-1854013440"/>
                </w:placeholder>
              </w:sdtPr>
              <w:sdtContent>
                <w:r w:rsidR="00F04E9F" w:rsidRPr="00F04E9F">
                  <w:rPr>
                    <w:rFonts w:eastAsia="Times New Roman" w:cs="Times New Roman"/>
                    <w:color w:val="000000"/>
                    <w:sz w:val="16"/>
                    <w:szCs w:val="16"/>
                  </w:rPr>
                  <w:t>(45)</w:t>
                </w:r>
              </w:sdtContent>
            </w:sdt>
          </w:p>
        </w:tc>
        <w:tc>
          <w:tcPr>
            <w:tcW w:w="0" w:type="auto"/>
            <w:shd w:val="clear" w:color="auto" w:fill="FFFFFF"/>
            <w:hideMark/>
          </w:tcPr>
          <w:p w14:paraId="7B13AB5A"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30 children with TS</w:t>
            </w:r>
          </w:p>
        </w:tc>
        <w:tc>
          <w:tcPr>
            <w:tcW w:w="1920" w:type="dxa"/>
            <w:shd w:val="clear" w:color="auto" w:fill="FFFFFF"/>
            <w:hideMark/>
          </w:tcPr>
          <w:p w14:paraId="3CA1A21E"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TMS / EMG</w:t>
            </w:r>
          </w:p>
        </w:tc>
        <w:tc>
          <w:tcPr>
            <w:tcW w:w="4440" w:type="dxa"/>
            <w:shd w:val="clear" w:color="auto" w:fill="FFFFFF"/>
            <w:hideMark/>
          </w:tcPr>
          <w:p w14:paraId="1FD52D7F"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No significant associations between M1 physiology measures (</w:t>
            </w:r>
            <w:r w:rsidRPr="008A1F40">
              <w:rPr>
                <w:rFonts w:cs="Times New Roman"/>
                <w:color w:val="000000" w:themeColor="text1"/>
                <w:sz w:val="16"/>
                <w:szCs w:val="16"/>
              </w:rPr>
              <w:t>including short-interval cortical inhibition and intracortical facilitation)</w:t>
            </w:r>
            <w:r w:rsidRPr="008A1F40">
              <w:rPr>
                <w:rFonts w:eastAsia="Times New Roman" w:cs="Times New Roman"/>
                <w:color w:val="0D0D0D"/>
                <w:sz w:val="16"/>
                <w:szCs w:val="16"/>
              </w:rPr>
              <w:t xml:space="preserve"> and I-PUTS scale scores (all p &gt; 0.5).</w:t>
            </w:r>
          </w:p>
        </w:tc>
      </w:tr>
      <w:tr w:rsidR="00986E35" w:rsidRPr="008A1F40" w14:paraId="516301E4" w14:textId="77777777" w:rsidTr="007F77D2">
        <w:trPr>
          <w:tblCellSpacing w:w="15" w:type="dxa"/>
        </w:trPr>
        <w:tc>
          <w:tcPr>
            <w:tcW w:w="0" w:type="auto"/>
            <w:shd w:val="clear" w:color="auto" w:fill="FFFFFF"/>
            <w:hideMark/>
          </w:tcPr>
          <w:p w14:paraId="1F70F7ED" w14:textId="286ED68E"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Hampson et al (2009)</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zc5Mjc2MmQtNTBmZC00YzBmLThkZmQtZmM2MTEzNTdjOTVmIiwicHJvcGVydGllcyI6eyJub3RlSW5kZXgiOjB9LCJpc0VkaXRlZCI6ZmFsc2UsIm1hbnVhbE92ZXJyaWRlIjp7ImlzTWFudWFsbHlPdmVycmlkZGVuIjpmYWxzZSwiY2l0ZXByb2NUZXh0IjoiKDEwMykiLCJtYW51YWxPdmVycmlkZVRleHQiOiIifSwiY2l0YXRpb25JdGVtcyI6W3siaWQiOiJiNTQwODY5My01ZmRlLTNhMDQtOTEyYS01ZGFlYmQxOTFhMmUiLCJpdGVtRGF0YSI6eyJ0eXBlIjoiYXJ0aWNsZS1qb3VybmFsIiwiaWQiOiJiNTQwODY5My01ZmRlLTNhMDQtOTEyYS01ZGFlYmQxOTFhMmUiLCJ0aXRsZSI6IkJyYWluIGFyZWFzIGNvYWN0aXZhdGluZyB3aXRoIG1vdG9yIGNvcnRleCBkdXJpbmcgY2hyb25pYyBtb3RvciB0aWNzIGFuZCBpbnRlbnRpb25hbCBtb3ZlbWVudHMiLCJncm91cElkIjoiMDdkNjJhYzEtNWFhOC0zOWFmLWI0OWUtNTJkMjA4OGFjNTcxIiwiYXV0aG9yIjpbeyJmYW1pbHkiOiJIYW1wc29uIiwiZ2l2ZW4iOiJNIiwicGFyc2UtbmFtZXMiOmZhbHNlLCJkcm9wcGluZy1wYXJ0aWNsZSI6IiIsIm5vbi1kcm9wcGluZy1wYXJ0aWNsZSI6IiJ9LHsiZmFtaWx5IjoiVG9rb2dsdSIsImdpdmVuIjoiRiIsInBhcnNlLW5hbWVzIjpmYWxzZSwiZHJvcHBpbmctcGFydGljbGUiOiIiLCJub24tZHJvcHBpbmctcGFydGljbGUiOiIifSx7ImZhbWlseSI6IktpbmciLCJnaXZlbiI6IlIgQSIsInBhcnNlLW5hbWVzIjpmYWxzZSwiZHJvcHBpbmctcGFydGljbGUiOiIiLCJub24tZHJvcHBpbmctcGFydGljbGUiOiIifSx7ImZhbWlseSI6IkNvbnN0YWJsZSIsImdpdmVuIjoiUiBUIiwicGFyc2UtbmFtZXMiOmZhbHNlLCJkcm9wcGluZy1wYXJ0aWNsZSI6IiIsIm5vbi1kcm9wcGluZy1wYXJ0aWNsZSI6IiJ9LHsiZmFtaWx5IjoiTGVja21hbiIsImdpdmVuIjoiSiBGIiwicGFyc2UtbmFtZXMiOmZhbHNlLCJkcm9wcGluZy1wYXJ0aWNsZSI6IiIsIm5vbi1kcm9wcGluZy1wYXJ0aWNsZSI6IiJ9XSwiY29udGFpbmVyLXRpdGxlIjoiQmlvbCBQc3ljaGlhdHJ5IiwiRE9JIjoiMTAuMTAxNi9qLmJpb3BzeWNoLjIwMDguMTEuMDEyIiwiUE1JRCI6IjE5MTExMjgxIiwiVVJMIjoiaHR0cHM6Ly93d3cuYmlvbG9naWNhbHBzeWNoaWF0cnlqb3VybmFsLmNvbS9hcnRpY2xlL1MwMDA2LTMyMjMoMDgpMDE0MzUtMi9wZGYiLCJpc3N1ZWQiOnsiZGF0ZS1wYXJ0cyI6W1syMDA5XV19LCJwYWdlIjoiNTk0LTU5OSIsImFic3RyYWN0IjoiQkFDS0dST1VORDogQ2hyb25pYyB0aWMgZGlzb3JkZXJzIGFyZSBjaGFyYWN0ZXJpemVkIGJ5IG1vdG9yIHRpY3MgdGhhdCBhcmUgb2Z0ZW4gcHJlY2VkZWQgYnkgcHJlbW9uaXRvcnkgdXJnZXMgdG8gdGljLiBGdW5jdGlvbmFsIG5ldXJvaW1hZ2luZyBzdHVkaWVzIGhhdmUgZG9jdW1lbnRlZCBicmFpbiBhY3Rpdml0eSBwYXR0ZXJucyBwcmlvciB0byBhbmQgZHVyaW5nIHRpY3MsIGJ1dCB0aGVzZSBzdHVkaWVzIGhhdmUgbm90IGV4YW1pbmVkIHdoZXRoZXIgdGhlIGFjdGl2YXRpb24gcGF0dGVybnMgZGlmZmVyIGZyb20gdGhvc2Ugc2VlbiBpbiBub3JtYWwgY29udHJvbCBzdWJqZWN0cyBwZXJmb3JtaW5nIHNpbWlsYXIgYWN0cy4gTUVUSE9EUzogQSBub3ZlbCBtZXRob2Qgd2FzIHVzZWQgdG8gY29tcGFyZSBicmFpbiBwYXR0ZXJucyBkdXJpbmcgdGljcyBhbmQgaW50ZW50aW9uYWwgbW92ZW1lbnRzLiBGaXJzdCwgdGhlIHBhcnQgb2YgbW90b3IgY29ydGV4IHNwZWNpZmljIHRvIGVhY2ggcGF0aWVudCdzIHRpYyBtb3ZlbWVudCB3YXMgaWRlbnRpZmllZC4gVGhlIGJyYWluIGFyZWFzIGFjdGl2YXRpbmcgcHJpb3IgdG8sIGR1cmluZywgYW5kIGFmdGVyIHRoYXQgcGFydCBvZiBtb3RvciBjb3J0ZXggZHVyaW5nIHRpY3Mgd2VyZSB0aGVuIGlkZW50aWZpZWQgYnkgdGVtcG9yYWxseSBjcm9zcy1jb3JyZWxhdGluZyB0aGUgdGltZSBjb3Vyc2Ugb2YgdGhlIGxvY2FsaXplZCBtb3RvciByZWdpb24gd2l0aCBhY3Rpdml0eSBpbiBvdGhlciBicmFpbiBhcmVhcy4gR2l2ZW4gdGhhdCBtb3RvciBjb3J0ZXggd2FzIGFjdGl2ZSBkdXJpbmcgdGljIGV4ZWN1dGlvbiwgdGhpcyB5aWVsZGVkIGluZm9ybWF0aW9uIHJlZ2FyZGluZyB0aGUgYnJhaW4gYXJlYXMgYWN0aXZlIHByaW9yIHRvLCBkdXJpbmcsIGFuZCBhZnRlciB0aGUgbW92ZW1lbnRzLiBUaGUgc3BhdGlvdGVtcG9yYWwgcGF0dGVybiBvZiBjb2FjdGl2YXRpb24gd2l0aCBtb3RvciBjb3J0ZXggZHVyaW5nIHRpY3Mgd2FzIGNvbnRyYXN0ZWQgd2l0aCB0aGF0IHNlZW4gaW4gaGVhbHRoeSBjb250cm9sIHN1YmplY3RzIGR1cmluZyBpbnRlbnRpb25hbCB0aWMtbGlrZSBtb3ZlbWVudHMuIFJFU1VMVFM6IERhdGEgZnJvbSAxNiBhZHVsdCBzdWJqZWN0cyB3aXRoIHRpYyBkaXNvcmRlcnMgYW5kIDE2IG1hdGNoZWQgY29udHJvbCBzdWJqZWN0cywgd2hvIHBlcmZvcm1lZCBpbnRlbnRpb25hbCBtb3ZlbWVudHMgc2ltaWxhciB0byB0aGUgcGF0aWVudHMnIHRpY3MsIHJldmVhbGVkIG5lYXJseSBpZGVudGljYWwgcGF0dGVybnMgb2YgY3Jvc3MtY29ycmVsYXRpb24gdG8gbW90b3IgY29ydGV4IHRocm91Z2hvdXQgdGhlIGJyYWluIGluIHRoZSB0d28gZ3JvdXBzLiBIb3dldmVyLCB0aGUgc3VwcGxlbWVudGFyeSBtb3RvciBhcmVhIHNob3dlZCBhIHNpZ25pZmljYW50bHkgYnJvYWRlciBwcm9maWxlIG9mIGNyb3NzLWNvcnJlbGF0aW9uIHRvIG1vdG9yIGNvcnRleCBkdXJpbmcgdGljcyB0aGFuIGR1cmluZyBpbnRlbnRpb25hbCBtb3ZlbWVudHMuIENPTkNMVVNJT05TOiBUaGVzZSBmaW5kaW5ncyBoaWdobGlnaHQgdGhlIGltcG9ydGFuY2Ugb2YgdGhlIHN1cHBsZW1lbnRhcnkgbW90b3IgYXJlYSBpbiB0aWMgZ2VuZXJhdGlvbiBhbmQgbWF5IHBvaW50IHRvd2FyZCBub3ZlbCBpbnRlcnZlbnRpb24gc3RyYXRlZ2llcyBmb3IgaW5kaXZpZHVhbHMgc3VmZmVyaW5nIHdpdGggc2V2ZXJlIHRpY3MuIiwiaXNzdWUiOiI3Iiwidm9sdW1lIjoiNjUiLCJjb250YWluZXItdGl0bGUtc2hvcnQiOiIifSwiaXNUZW1wb3JhcnkiOmZhbHNlfV19"/>
                <w:id w:val="-799305425"/>
                <w:placeholder>
                  <w:docPart w:val="DefaultPlaceholder_-1854013440"/>
                </w:placeholder>
              </w:sdtPr>
              <w:sdtContent>
                <w:r w:rsidR="00F04E9F" w:rsidRPr="00F04E9F">
                  <w:rPr>
                    <w:rFonts w:eastAsia="Times New Roman" w:cs="Times New Roman"/>
                    <w:color w:val="000000"/>
                    <w:sz w:val="16"/>
                    <w:szCs w:val="16"/>
                  </w:rPr>
                  <w:t>(103)</w:t>
                </w:r>
              </w:sdtContent>
            </w:sdt>
          </w:p>
        </w:tc>
        <w:tc>
          <w:tcPr>
            <w:tcW w:w="0" w:type="auto"/>
            <w:shd w:val="clear" w:color="auto" w:fill="FFFFFF"/>
            <w:hideMark/>
          </w:tcPr>
          <w:p w14:paraId="4BE3F319"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16 adults with CTDs and matched controls </w:t>
            </w:r>
            <w:r w:rsidRPr="008A1F40">
              <w:rPr>
                <w:rFonts w:cs="Times New Roman"/>
                <w:color w:val="000000" w:themeColor="text1"/>
                <w:sz w:val="16"/>
                <w:szCs w:val="16"/>
                <w:shd w:val="clear" w:color="auto" w:fill="FFFFFF"/>
              </w:rPr>
              <w:t>(</w:t>
            </w:r>
            <w:r w:rsidRPr="008A1F40">
              <w:rPr>
                <w:rFonts w:cs="Times New Roman"/>
                <w:color w:val="000000" w:themeColor="text1"/>
                <w:sz w:val="16"/>
                <w:szCs w:val="16"/>
              </w:rPr>
              <w:t>same gender, handedness, and sex and of similar age)</w:t>
            </w:r>
          </w:p>
        </w:tc>
        <w:tc>
          <w:tcPr>
            <w:tcW w:w="1920" w:type="dxa"/>
            <w:shd w:val="clear" w:color="auto" w:fill="FFFFFF"/>
            <w:hideMark/>
          </w:tcPr>
          <w:p w14:paraId="02F1E22C"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fMRI (</w:t>
            </w:r>
            <w:r w:rsidRPr="008A1F40">
              <w:rPr>
                <w:rFonts w:cs="Times New Roman"/>
                <w:color w:val="000000" w:themeColor="text1"/>
                <w:sz w:val="16"/>
                <w:szCs w:val="16"/>
              </w:rPr>
              <w:t>CTD participants were free to tic and matched controls were instructed to imitate the tics of the CTD participant to which they were matched)</w:t>
            </w:r>
          </w:p>
        </w:tc>
        <w:tc>
          <w:tcPr>
            <w:tcW w:w="4440" w:type="dxa"/>
            <w:shd w:val="clear" w:color="auto" w:fill="FFFFFF"/>
            <w:hideMark/>
          </w:tcPr>
          <w:p w14:paraId="147E6E88" w14:textId="77777777" w:rsidR="00986E35" w:rsidRPr="008A1F40" w:rsidRDefault="00986E35" w:rsidP="007F77D2">
            <w:pPr>
              <w:rPr>
                <w:rFonts w:eastAsia="Times New Roman" w:cs="Times New Roman"/>
                <w:color w:val="0D0D0D"/>
                <w:sz w:val="16"/>
                <w:szCs w:val="16"/>
              </w:rPr>
            </w:pPr>
            <w:r w:rsidRPr="008A1F40">
              <w:rPr>
                <w:rFonts w:cs="Times New Roman"/>
                <w:color w:val="000000" w:themeColor="text1"/>
                <w:sz w:val="16"/>
                <w:szCs w:val="16"/>
              </w:rPr>
              <w:t>Significant group by time interaction for SMA activity around action (p = 0.004, using data from the 14 CTD participants known to experience premonitory urges and their matched controls) such that SMA activity was greater before and after tics in CTD participants than before and after intentional movements in control participants</w:t>
            </w:r>
          </w:p>
        </w:tc>
      </w:tr>
      <w:tr w:rsidR="00986E35" w:rsidRPr="008A1F40" w14:paraId="3C99E9BE" w14:textId="77777777" w:rsidTr="007F77D2">
        <w:trPr>
          <w:tblCellSpacing w:w="15" w:type="dxa"/>
        </w:trPr>
        <w:tc>
          <w:tcPr>
            <w:tcW w:w="0" w:type="auto"/>
            <w:shd w:val="clear" w:color="auto" w:fill="FFFFFF"/>
            <w:hideMark/>
          </w:tcPr>
          <w:p w14:paraId="5E4C784B" w14:textId="0AFDC894"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Bohlhalter et al (2006)</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OTM2MGEzZDEtMDUxYy00YmNkLTgzNGQtZjU3MGI3YjcxOGZkIiwicHJvcGVydGllcyI6eyJub3RlSW5kZXgiOjB9LCJpc0VkaXRlZCI6ZmFsc2UsIm1hbnVhbE92ZXJyaWRlIjp7ImlzTWFudWFsbHlPdmVycmlkZGVuIjpmYWxzZSwiY2l0ZXByb2NUZXh0IjoiKDEwNCkiLCJtYW51YWxPdmVycmlkZVRleHQiOiIifSwiY2l0YXRpb25JdGVtcyI6W3siaWQiOiJmNjMxNTU4Yi1mYTJlLTM0YTAtODhiMi1mYzdlYTQ2MmY1MzIiLCJpdGVtRGF0YSI6eyJ0eXBlIjoiYXJ0aWNsZS1qb3VybmFsIiwiaWQiOiJmNjMxNTU4Yi1mYTJlLTM0YTAtODhiMi1mYzdlYTQ2MmY1MzIiLCJ0aXRsZSI6Ik5ldXJhbCBjb3JyZWxhdGVzIG9mIHRpYyBnZW5lcmF0aW9uIGluIFRvdXJldHRlIHN5bmRyb21lOiBhbiBldmVudC1yZWxhdGVkIGZ1bmN0aW9uYWwgTVJJIHN0dWR5IiwiZ3JvdXBJZCI6IjA3ZDYyYWMxLTVhYTgtMzlhZi1iNDllLTUyZDIwODhhYzU3MSIsImF1dGhvciI6W3siZmFtaWx5IjoiQm9obGhhbHRlciIsImdpdmVuIjoiUyIsInBhcnNlLW5hbWVzIjpmYWxzZSwiZHJvcHBpbmctcGFydGljbGUiOiIiLCJub24tZHJvcHBpbmctcGFydGljbGUiOiIifSx7ImZhbWlseSI6IkdvbGRmaW5lIiwiZ2l2ZW4iOiJBIiwicGFyc2UtbmFtZXMiOmZhbHNlLCJkcm9wcGluZy1wYXJ0aWNsZSI6IiIsIm5vbi1kcm9wcGluZy1wYXJ0aWNsZSI6IiJ9LHsiZmFtaWx5IjoiTWF0dGVzb24iLCJnaXZlbiI6IlMiLCJwYXJzZS1uYW1lcyI6ZmFsc2UsImRyb3BwaW5nLXBhcnRpY2xlIjoiIiwibm9uLWRyb3BwaW5nLXBhcnRpY2xlIjoiIn0seyJmYW1pbHkiOiJHYXJyYXV4IiwiZ2l2ZW4iOiJHIiwicGFyc2UtbmFtZXMiOmZhbHNlLCJkcm9wcGluZy1wYXJ0aWNsZSI6IiIsIm5vbi1kcm9wcGluZy1wYXJ0aWNsZSI6IiJ9LHsiZmFtaWx5IjoiSGFuYWthd2EiLCJnaXZlbiI6IlQiLCJwYXJzZS1uYW1lcyI6ZmFsc2UsImRyb3BwaW5nLXBhcnRpY2xlIjoiIiwibm9uLWRyb3BwaW5nLXBhcnRpY2xlIjoiIn0seyJmYW1pbHkiOiJLYW5zYWt1IiwiZ2l2ZW4iOiJLIiwicGFyc2UtbmFtZXMiOmZhbHNlLCJkcm9wcGluZy1wYXJ0aWNsZSI6IiIsIm5vbi1kcm9wcGluZy1wYXJ0aWNsZSI6IiJ9LHsiZmFtaWx5IjoiV3Vyem1hbiIsImdpdmVuIjoiUiIsInBhcnNlLW5hbWVzIjpmYWxzZSwiZHJvcHBpbmctcGFydGljbGUiOiIiLCJub24tZHJvcHBpbmctcGFydGljbGUiOiIifSx7ImZhbWlseSI6IkhhbGxldHQiLCJnaXZlbiI6Ik0iLCJwYXJzZS1uYW1lcyI6ZmFsc2UsImRyb3BwaW5nLXBhcnRpY2xlIjoiIiwibm9uLWRyb3BwaW5nLXBhcnRpY2xlIjoiIn1dLCJjb250YWluZXItdGl0bGUiOiJCcmFpbiIsIkRPSSI6IjEwLjEwOTMvYnJhaW4vYXdsMDUwIiwiUE1JRCI6IjE2NTIwMzMwIiwiVVJMIjoiaHR0cHM6Ly93YXRlcm1hcmsuc2lsdmVyY2hhaXIuY29tL2F3bDA1MC5wZGY/dG9rZW49QVFFQ0FIaTIwOEJFNDlPb2FuOWtraFdfRXJjeTdEbTNaTF85Q2YzcWZLQWM0ODV5c2dBQUFzWXdnZ0xDQmdrcWhraUc5dzBCQndhZ2dnS3pNSUlDcndJQkFEQ0NBcWdHQ1NxR1NJYjNEUUVIQVRBZUJnbGdoa2dCWlFNRUFTNHdFUVFNVGt0MnppWTJsM2hvMFhOX0FnRVFnSUlDZVp1Z19jM2ZuYWltbm1DN1RiakJ6RGJRQWVXREotRFRJdlVobVZpVmlnUDhzbG81IiwiaXNzdWVkIjp7ImRhdGUtcGFydHMiOltbMjAwNl1dfSwicGFnZSI6IjIwMjktMjAzNyIsImFic3RyYWN0IjoiTGl0dGxlIGlzIGtub3duIGFib3V0IHRoZSBuZXVyYWwgY29ycmVsYXRlcyBvZiB0aWNzIGFuZCBhc3NvY2lhdGVkIHVyZ2VzLiBJbiB0aGUgcHJlc2VudCBzdHVkeSwgd2UgYWltZWQgdG8gZXhwbG9yZSB0aGUgbmV1cmFsIGJhc2lzIG9mIHRpY3MgaW4gcGF0aWVudHMgd2l0aCBUb3VyZXR0ZSBzeW5kcm9tZSBieSB1c2luZyBldmVudC1yZWxhdGVkIGZ1bmN0aW9uYWwgTVJJIChmTVJJKS4gVGVuIHBhdGllbnRzICg2IHdvbWVuLCA0IG1lbjsgYWdlOiBtZWFuICsvLSBTRCA9IDMxICsvLSAxMS4yKSB3ZXJlIHN0dWRpZWQgd2hpbGUgc3BvbnRhbmVvdXNseSBleGhpYml0aW5nIGEgdmFyaWV0eSBvZiBtb3RvciBhbmQgdm9jYWwgdGljcy4gT24gdGhlIGJhc2lzIG9mIHN5bmNocm9uaXplZCB2aWRlby9hdWRpbyByZWNvcmRpbmdzLCBmTVJJIGFjdGl2aXRpZXMgd2VyZSBhbmFseXNlZCAyIHMgYmVmb3JlIGFuZCBhdCB0aWMgb25zZXQgaXJyZXNwZWN0aXZlIG9mIHRoZSBjbGluaWNhbCBwaGVub21lbm9sb2d5LiBXZSBpZGVudGlmaWVkIGEgYnJhaW4gbmV0d29yayBvZiBwYXJhbGltYmljIGFyZWFzIHN1Y2ggYXMgYW50ZXJpb3IgY2luZ3VsYXRlIGFuZCBpbnN1bGFyIGNvcnRleCwgc3VwcGxlbWVudGFyeSBtb3RvciBhcmVhIChTTUEpIGFuZCBwYXJpZXRhbCBvcGVyY3VsdW0gKFBPKSBwcmVkb21pbmFudGx5IGFjdGl2YXRlZCBiZWZvcmUgdGljIG9uc2V0IChQIDwgMC4wNSwgY29ycmVjdGVkIGZvciBtdWx0aXBsZSBjb21wYXJpc29ucykuIEluIGNvbnRyYXN0LCBhdCB0aGUgYmVnaW5uaW5nIG9mIHRpYyBhY3Rpb24sIHNpZ25pZmljYW50IGZNUkkgYWN0aXZpdGllcyB3ZXJlIGZvdW5kIGluIHNlbnNvcmltb3RvciBhcmVhcyBpbmNsdWRpbmcgc3VwZXJpb3IgcGFyaWV0YWwgbG9idWxlIGJpbGF0ZXJhbGx5IGFuZCBjZXJlYmVsbHVtLiBUaGUgcmVzdWx0cyBvZiB0aGlzIHN0dWR5IGluZGljYXRlIHRoYXQgcGFyYWxpbWJpYyBhbmQgc2Vuc29yeSBhc3NvY2lhdGlvbiBhcmVhcyBhcmUgY3JpdGljYWxseSBpbXBsaWNhdGVkIGluIHRpYyBnZW5lcmF0aW9uLCBzaW1pbGFyIHRvIG1vdmVtZW50cyB0cmlnZ2VyZWQgaW50ZXJuYWxseSBieSB1bnBsZWFzYW50IHNlbnNhdGlvbnMsIGFzIGhhcyBiZWVuIHNob3duIGZvciBwYWluIG9yIGl0Y2hpbmcuIiwiaXNzdWUiOiJQdCA4Iiwidm9sdW1lIjoiMTI5IiwiY29udGFpbmVyLXRpdGxlLXNob3J0IjoiIn0sImlzVGVtcG9yYXJ5IjpmYWxzZX1dfQ=="/>
                <w:id w:val="1651097698"/>
                <w:placeholder>
                  <w:docPart w:val="DefaultPlaceholder_-1854013440"/>
                </w:placeholder>
              </w:sdtPr>
              <w:sdtContent>
                <w:r w:rsidR="00F04E9F" w:rsidRPr="00CF213F">
                  <w:rPr>
                    <w:rFonts w:eastAsia="Times New Roman" w:cs="Times New Roman"/>
                    <w:color w:val="000000"/>
                    <w:sz w:val="16"/>
                    <w:szCs w:val="16"/>
                  </w:rPr>
                  <w:t>(104)</w:t>
                </w:r>
              </w:sdtContent>
            </w:sdt>
          </w:p>
        </w:tc>
        <w:tc>
          <w:tcPr>
            <w:tcW w:w="0" w:type="auto"/>
            <w:shd w:val="clear" w:color="auto" w:fill="FFFFFF"/>
            <w:hideMark/>
          </w:tcPr>
          <w:p w14:paraId="36AFC7BD"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10 adults with TS</w:t>
            </w:r>
          </w:p>
        </w:tc>
        <w:tc>
          <w:tcPr>
            <w:tcW w:w="1920" w:type="dxa"/>
            <w:shd w:val="clear" w:color="auto" w:fill="FFFFFF"/>
            <w:hideMark/>
          </w:tcPr>
          <w:p w14:paraId="108E661E"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fMRI</w:t>
            </w:r>
          </w:p>
        </w:tc>
        <w:tc>
          <w:tcPr>
            <w:tcW w:w="4440" w:type="dxa"/>
            <w:shd w:val="clear" w:color="auto" w:fill="FFFFFF"/>
            <w:hideMark/>
          </w:tcPr>
          <w:p w14:paraId="41F0592D" w14:textId="01B12444" w:rsidR="00986E35" w:rsidRPr="008A1F40" w:rsidRDefault="00A61F5A" w:rsidP="007F77D2">
            <w:pPr>
              <w:rPr>
                <w:rFonts w:eastAsia="Times New Roman" w:cs="Times New Roman"/>
                <w:color w:val="0D0D0D"/>
                <w:sz w:val="16"/>
                <w:szCs w:val="16"/>
              </w:rPr>
            </w:pPr>
            <w:r>
              <w:rPr>
                <w:rFonts w:cs="Times New Roman"/>
                <w:color w:val="000000" w:themeColor="text1"/>
                <w:sz w:val="16"/>
                <w:szCs w:val="16"/>
              </w:rPr>
              <w:t xml:space="preserve">See </w:t>
            </w:r>
            <w:r w:rsidR="00902688">
              <w:rPr>
                <w:rFonts w:cs="Times New Roman"/>
                <w:color w:val="000000" w:themeColor="text1"/>
                <w:sz w:val="16"/>
                <w:szCs w:val="16"/>
              </w:rPr>
              <w:t>T</w:t>
            </w:r>
            <w:r>
              <w:rPr>
                <w:rFonts w:cs="Times New Roman"/>
                <w:color w:val="000000" w:themeColor="text1"/>
                <w:sz w:val="16"/>
                <w:szCs w:val="16"/>
              </w:rPr>
              <w:t xml:space="preserve">able 2 in publication for areas of statistically significant (p &lt; 0.05, corrected for multiple comparisons) elevations in bold signal two seconds prior to tics. </w:t>
            </w:r>
            <w:r w:rsidR="00986E35" w:rsidRPr="008A1F40">
              <w:rPr>
                <w:rFonts w:cs="Times New Roman"/>
                <w:color w:val="000000" w:themeColor="text1"/>
                <w:sz w:val="16"/>
                <w:szCs w:val="16"/>
              </w:rPr>
              <w:t xml:space="preserve">The following regions were </w:t>
            </w:r>
            <w:r>
              <w:rPr>
                <w:rFonts w:cs="Times New Roman"/>
                <w:color w:val="000000" w:themeColor="text1"/>
                <w:sz w:val="16"/>
                <w:szCs w:val="16"/>
              </w:rPr>
              <w:t xml:space="preserve">also </w:t>
            </w:r>
            <w:r w:rsidR="00986E35" w:rsidRPr="008A1F40">
              <w:rPr>
                <w:rFonts w:cs="Times New Roman"/>
                <w:color w:val="000000" w:themeColor="text1"/>
                <w:sz w:val="16"/>
                <w:szCs w:val="16"/>
              </w:rPr>
              <w:t>noted to have had stronger fMRI activations two seconds prior to tics than at tic onset: bilateral insula, bilateral posterior putamen, bilateral anterior cingulate cortex, bilateral SMA and bilateral parietal operculum.</w:t>
            </w:r>
          </w:p>
        </w:tc>
      </w:tr>
      <w:tr w:rsidR="00986E35" w:rsidRPr="008A1F40" w14:paraId="54922EA3" w14:textId="77777777" w:rsidTr="007F77D2">
        <w:trPr>
          <w:tblCellSpacing w:w="15" w:type="dxa"/>
        </w:trPr>
        <w:tc>
          <w:tcPr>
            <w:tcW w:w="0" w:type="auto"/>
            <w:shd w:val="clear" w:color="auto" w:fill="FFFFFF"/>
            <w:hideMark/>
          </w:tcPr>
          <w:p w14:paraId="77A8E20E" w14:textId="75109CA0"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lastRenderedPageBreak/>
              <w:t>Duggal et al (2002)</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NDFjNTA5N2ItODEzNC00YTg5LWE0NzUtNWJmZjkyMTYwZTE2IiwicHJvcGVydGllcyI6eyJub3RlSW5kZXgiOjB9LCJpc0VkaXRlZCI6ZmFsc2UsIm1hbnVhbE92ZXJyaWRlIjp7ImlzTWFudWFsbHlPdmVycmlkZGVuIjpmYWxzZSwiY2l0ZXByb2NUZXh0IjoiKDEwNSkiLCJtYW51YWxPdmVycmlkZVRleHQiOiIifSwiY2l0YXRpb25JdGVtcyI6W3siaWQiOiIwNjIxMGUwNy04NjYzLTNiYzktOWFjOC0wNjVmNzkwMDQ4NzYiLCJpdGVtRGF0YSI6eyJ0eXBlIjoiYXJ0aWNsZS1qb3VybmFsIiwiaWQiOiIwNjIxMGUwNy04NjYzLTNiYzktOWFjOC0wNjVmNzkwMDQ4NzYiLCJ0aXRsZSI6IkJlcmVpdHNjaGFmdHNwb3RlbnRpYWwgaW4gdGljIGRpc29yZGVyczogYSBwcmVsaW1pbmFyeSBvYnNlcnZhdGlvbiIsImdyb3VwSWQiOiIwN2Q2MmFjMS01YWE4LTM5YWYtYjQ5ZS01MmQyMDg4YWM1NzEiLCJhdXRob3IiOlt7ImZhbWlseSI6IkR1Z2dhbCIsImdpdmVuIjoiSCBTIiwicGFyc2UtbmFtZXMiOmZhbHNlLCJkcm9wcGluZy1wYXJ0aWNsZSI6IiIsIm5vbi1kcm9wcGluZy1wYXJ0aWNsZSI6IiJ9LHsiZmFtaWx5IjoiTml6YW1pZSIsImdpdmVuIjoiUyBIIiwicGFyc2UtbmFtZXMiOmZhbHNlLCJkcm9wcGluZy1wYXJ0aWNsZSI6IiIsIm5vbi1kcm9wcGluZy1wYXJ0aWNsZSI6IiJ9XSwiY29udGFpbmVyLXRpdGxlIjoiTmV1cm9sIEluZGlhIiwiUE1JRCI6IjEyNTc3MTAzIiwiaXNzdWVkIjp7ImRhdGUtcGFydHMiOltbMjAwMl1dfSwicGFnZSI6IjQ4Ny00ODkiLCJhYnN0cmFjdCI6IlNlbnNvcnkgcGhlbm9tZW5hIGluIHRpYyBkaXNvcmRlcnMgc3VjaCBhcyBUb3VyZXR0ZSdzIHN5bmRyb21lIGFyZSBrbm93biBidXQgYXJlIHN1YnN0YW50aWF0ZWQgYnkgb25seSBhIGhhbmRmdWwgb2Ygc3R1ZGllcy4gSW4gdGhpcyBwcmVsaW1pbmFyeSByZXBvcnQsIHdlIHN0dWRpZWQgcHJlbW9uaXRvcnkgdXJnZSwgYSB0eXBlIG9mIHNlbnNvcnkgcGhlbm9tZW5vbiBpbiB0aHJlZSBwYXRpZW50cyBvZiB0aWMgZGlzb3JkZXJzLiBCZXJlaXRzY2hhZnRzcG90ZW50aWFsLCBhIG1vdmVtZW50LXJlbGF0ZWQgY29nbml0aXZlIHBvdGVudGlhbCBpbmRpY2F0aXZlIG9mIG1vdG9yIHByZXBhcmF0aW9uLCB3YXMgYXNzZXNzZWQgaW4gdGhlc2UgcGF0aWVudHMuIEFzIGJlcmVpdHNjaGFmdHNwb3RlbnRpYWwgd2FzIG9ic2VydmVkIGluIGFsbCBvdXIgY2FzZXMgcHJpb3IgdG8gb2NjdXJyZW5jZSBvZiB0aWNzLCBpdCBpcyBzcGVjdWxhdGVkIHRoYXQgdGljcyBhcmUgbm90IGVudGlyZWx5IGludm9sdW50YXJ5IGJ1dCBhcmUgcXVhc2ktdm9saXRpb25hbCBpbiBuYXR1cmUuIEJlcmVpdHNjaGFmdHNwb3RlbnRpYWwgbWF5IHRodXMgcmVwcmVzZW50IGEgbmV1cm9waHlzaW9sb2dpY2FsIG1hcmtlciBvZiBwcmVtb25pdG9yeSB1cmdlIGluIHRpYyBkaXNvcmRlcnMuIEltcGxpY2F0aW9ucyBvZiBleHBsb3JpbmcgdGhlIHZvbHVudGFyeSBuYXR1cmUgb2YgdGljcyBhcmUgZGlzY3Vzc2VkLiIsImlzc3VlIjoiNCIsInZvbHVtZSI6IjUwIiwiY29udGFpbmVyLXRpdGxlLXNob3J0IjoiIn0sImlzVGVtcG9yYXJ5IjpmYWxzZX1dfQ=="/>
                <w:id w:val="-711270986"/>
                <w:placeholder>
                  <w:docPart w:val="DefaultPlaceholder_-1854013440"/>
                </w:placeholder>
              </w:sdtPr>
              <w:sdtContent>
                <w:r w:rsidR="00CF213F" w:rsidRPr="00CF213F">
                  <w:rPr>
                    <w:rFonts w:eastAsia="Times New Roman" w:cs="Times New Roman"/>
                    <w:color w:val="000000"/>
                    <w:sz w:val="16"/>
                    <w:szCs w:val="16"/>
                  </w:rPr>
                  <w:t>(105)</w:t>
                </w:r>
              </w:sdtContent>
            </w:sdt>
          </w:p>
        </w:tc>
        <w:tc>
          <w:tcPr>
            <w:tcW w:w="0" w:type="auto"/>
            <w:shd w:val="clear" w:color="auto" w:fill="FFFFFF"/>
            <w:hideMark/>
          </w:tcPr>
          <w:p w14:paraId="24F5309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three participants with CTDs (aged 16-51) – all endorsed experiencing premonitory urges</w:t>
            </w:r>
          </w:p>
        </w:tc>
        <w:tc>
          <w:tcPr>
            <w:tcW w:w="1920" w:type="dxa"/>
            <w:shd w:val="clear" w:color="auto" w:fill="FFFFFF"/>
            <w:hideMark/>
          </w:tcPr>
          <w:p w14:paraId="6D55F448"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EEG</w:t>
            </w:r>
          </w:p>
        </w:tc>
        <w:tc>
          <w:tcPr>
            <w:tcW w:w="4440" w:type="dxa"/>
            <w:shd w:val="clear" w:color="auto" w:fill="FFFFFF"/>
            <w:hideMark/>
          </w:tcPr>
          <w:p w14:paraId="15896FC9" w14:textId="61D355B2"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Bereitschaftspotential (BP, </w:t>
            </w:r>
            <w:r w:rsidRPr="008A1F40">
              <w:rPr>
                <w:rFonts w:cs="Times New Roman"/>
                <w:color w:val="000000" w:themeColor="text1"/>
                <w:sz w:val="16"/>
                <w:szCs w:val="16"/>
              </w:rPr>
              <w:t xml:space="preserve">an EEG potential that occurs prior to intentional movements) </w:t>
            </w:r>
            <w:r w:rsidR="009B4F25">
              <w:rPr>
                <w:rFonts w:cs="Times New Roman"/>
                <w:color w:val="000000" w:themeColor="text1"/>
                <w:sz w:val="16"/>
                <w:szCs w:val="16"/>
              </w:rPr>
              <w:t xml:space="preserve">observed </w:t>
            </w:r>
            <w:r w:rsidRPr="008A1F40">
              <w:rPr>
                <w:rFonts w:eastAsia="Times New Roman" w:cs="Times New Roman"/>
                <w:color w:val="0D0D0D"/>
                <w:sz w:val="16"/>
                <w:szCs w:val="16"/>
              </w:rPr>
              <w:t>prior to tics closer to tic onset than BP prior to voluntary movement.</w:t>
            </w:r>
          </w:p>
        </w:tc>
      </w:tr>
      <w:tr w:rsidR="00986E35" w:rsidRPr="008A1F40" w14:paraId="383FD22A" w14:textId="77777777" w:rsidTr="007F77D2">
        <w:trPr>
          <w:tblCellSpacing w:w="15" w:type="dxa"/>
        </w:trPr>
        <w:tc>
          <w:tcPr>
            <w:tcW w:w="0" w:type="auto"/>
            <w:shd w:val="clear" w:color="auto" w:fill="FFFFFF"/>
            <w:hideMark/>
          </w:tcPr>
          <w:p w14:paraId="0713FB09" w14:textId="113B09A5"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Morera Maiquez et al (2022)</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MmUxMzk2NmEtNDFjZC00ZDFhLTlhNTgtMTU4YTA5YjQyY2VhIiwicHJvcGVydGllcyI6eyJub3RlSW5kZXgiOjB9LCJpc0VkaXRlZCI6ZmFsc2UsIm1hbnVhbE92ZXJyaWRlIjp7ImlzTWFudWFsbHlPdmVycmlkZGVuIjpmYWxzZSwiY2l0ZXByb2NUZXh0IjoiKDEwNikiLCJtYW51YWxPdmVycmlkZVRleHQiOiIifSwiY2l0YXRpb25JdGVtcyI6W3siaWQiOiI1NzJkNmZlMi04YjcxLTM4NDctYTc1OS0zOWYwNGM5MWJmNjYiLCJpdGVtRGF0YSI6eyJ0eXBlIjoiYXJ0aWNsZS1qb3VybmFsIiwiaWQiOiI1NzJkNmZlMi04YjcxLTM4NDctYTc1OS0zOWYwNGM5MWJmNjYiLCJ0aXRsZSI6IkV4YW1pbmluZyB0aGUgbmV1cmFsIGFudGVjZWRlbnRzIG9mIHRpY3MgaW4gVG91cmV0dGUgc3luZHJvbWUgdXNpbmcgZWxlY3Ryb2VuY2VwaGFsb2dyYXBoeSIsImdyb3VwSWQiOiIwN2Q2MmFjMS01YWE4LTM5YWYtYjQ5ZS01MmQyMDg4YWM1NzEiLCJhdXRob3IiOlt7ImZhbWlseSI6Ik1vcmVyYSBNYWlxdWV6IiwiZ2l2ZW4iOiJCIiwicGFyc2UtbmFtZXMiOmZhbHNlLCJkcm9wcGluZy1wYXJ0aWNsZSI6IiIsIm5vbi1kcm9wcGluZy1wYXJ0aWNsZSI6IiJ9LHsiZmFtaWx5IjoiSmFja3NvbiIsImdpdmVuIjoiRyBNIiwicGFyc2UtbmFtZXMiOmZhbHNlLCJkcm9wcGluZy1wYXJ0aWNsZSI6IiIsIm5vbi1kcm9wcGluZy1wYXJ0aWNsZSI6IiJ9LHsiZmFtaWx5IjoiSmFja3NvbiIsImdpdmVuIjoiUyBSIiwicGFyc2UtbmFtZXMiOmZhbHNlLCJkcm9wcGluZy1wYXJ0aWNsZSI6IiIsIm5vbi1kcm9wcGluZy1wYXJ0aWNsZSI6IiJ9XSwiY29udGFpbmVyLXRpdGxlIjoiSiBOZXVyb3BzeWNob2wiLCJET0kiOiIxMC4xMTExL2pucC4xMjI0NSIsIlBNSUQiOiIzMzk0OTc3OSIsIlVSTCI6Imh0dHBzOi8vYnBzcHN5Y2h1Yi1vbmxpbmVsaWJyYXJ5LXdpbGV5LWNvbS5wcm94eS5saWJyYXJ5LnZhbmRlcmJpbHQuZWR1L2RvaS9mdWxsLzEwLjExMTEvam5wLjEyMjQ1IiwiaXNzdWVkIjp7ImRhdGUtcGFydHMiOltbMjAyMl1dfSwicGFnZSI6IjEtMjAiLCJhYnN0cmFjdCI6IlRvdXJldHRlIHN5bmRyb21lIChUUykgaXMgYSBuZXVyb2RldmVsb3BtZW50YWwgZGlzb3JkZXIgY2hhcmFjdGVyaXplZCBieSB0aGUgb2NjdXJyZW5jZSBvZiBtb3RvciBhbmQgdm9jYWwgdGljcy4gVFMgaXMgYXNzb2NpYXRlZCB3aXRoIGNvcnRpY2FsLXN0cmlhdGFsLXRoYWxhbWljLWNvcnRpY2FsIGNpcmN1aXQgZHlzZnVuY3Rpb24gYW5kIGh5cGVyLWV4Y2l0YWJpbGl0eSBvZiBjb3J0aWNhbCBsaW1iaWMgYW5kIG1vdG9yIHJlZ2lvbnMgdGhhdCBsZWFkIHRvIHRoZSBvY2N1cnJlbmNlIG9mIHRpY3MuIEltcG9ydGFudGx5LCBpbmRpdmlkdWFscyB3aXRoIFRTIG9mdGVuIHJlcG9ydCB0aGF0IHRoZWlyIHRpY3MgYXJlIHByZWNlZGVkIGJ5IHByZW1vbml0b3J5IHNlbnNvcnkvdXJnZSBwaGVub21lbmEgKFBVKSB0aGF0IGFyZSBkZXNjcmliZWQgYXMgdW5jb21mb3J0YWJsZSBib2RpbHkgc2Vuc2F0aW9ucyB0aGF0IHByZWNlZGUgdGhlIGV4ZWN1dGlvbiBvZiBhIHRpYyBhbmQgYXJlIGV4cGVyaWVuY2VkIGFzIGFuIHVyZ2UgZm9yIG1vdG9yIGRpc2NoYXJnZS4gV2hpbGUgdGljcyBhcmUgbW9zdCBvZnRlbiByZWZlcnJlZCB0byBhcyBpbnZvbHVudGFyeSBtb3ZlbWVudHMsIGl0IGhhcyBiZWVuIGFyZ3VlZCBieSBzb21lIHRoYXQgdGljcyBzaG91bGQgYmUgdmlld2VkIGFzIHZvbHVudGFyeSBtb3ZlbWVudHMgdGhhdCBhcmUgZXhlY3V0ZWQgaW4gcmVzcG9uc2UgdG8gdGhlIHByZXNlbmNlIG9mIFBVLiBUbyBpbnZlc3RpZ2F0ZSB0aGlzIGlzc3VlIGZ1cnRoZXIsIHdlIGNvbmR1Y3RlZCBhIHN0dWR5IHVzaW5nIGVsZWN0cm9lbmNlcGhhbG9ncmFwaHkgKEVFRykuIFdlIHJlY29yZGVkIG1vdmVtZW50LXJlbGF0ZWQgRUVHIChtdS0gYW5kIGJldGEtYmFuZCBvc2NpbGxhdGlvbnMpIGR1cmluZyAoMSkgdGhlIGltbWVkaWF0ZSBwZXJpb2QgbGVhZGluZyB1cCB0byB0aGUgZXhlY3V0aW9uIG9mIHZvbHVudGFyeSBtb3ZlbWVudHMgYnkgYSBncm91cCBvZiBpbmRpdmlkdWFscyB3aXRoIFRTIGFuZCBhIGdyb3VwIG9mIG1hdGNoZWQgaGVhbHRoeSBjb250cm9sIHBhcnRpY2lwYW50cywgYW5kICgyKSB0aGUgaW1tZWRpYXRlIHBlcmlvZCBsZWFkaW5nIHVwIHRvIHRoZSBleGVjdXRpb24gb2YgYSB0aWMgaW4gYSBncm91cCBvZiBpbmRpdmlkdWFscyB3aXRoIFRTLiBXZSBkZW1vbnN0cmF0ZSB0aGF0IG1vdmVtZW50LXJlbGF0ZWQgbXUgYW5kIGJldGEgb3NjaWxsYXRpb25zIGFyZSBub3QgcmVsaWFibHkgb2JzZXJ2ZWQgcHJpb3IgdG8gdGljcyBpbiBpbmRpdmlkdWFscyB3aXRoIFRTLiBXZSBpbnRlcnByZXQgdGhpcyBlZmZlY3QgYXMgcmVmbGVjdGluZyB0aGUgZ3JlYXRlciBpbnZvbHZlbWVudCBvZiBhIG5ldHdvcmsgb2YgYnJhaW4gYXJlYXMsIGluY2x1ZGluZyB0aGUgaW5zdWxhciBhbmQgY2luZ3VsYXRlIGNvcnRpY2VzLCB0aGUgYmFzYWwgZ2FuZ2xpYSBhbmQgdGhlIGNlcmViZWxsdW0sIGluIHRoZSBnZW5lcmF0aW9uIG9mIHRpY3MgaW4gVFMuIFdlIGFsc28gc2hvdyB0aGF0IGJldGEtYmFuZCBkZXN5bmNocm9uaXphdGlvbiBkb2VzIG9jY3VyIHdoZW4gaW5kaXZpZHVhbHMgd2l0aCBUUyBpbml0aWF0ZSB2b2x1bnRhcnkgbW92ZW1lbnRzLCBidXQsIGluIGNvbnRyYXN0IHRvIGhlYWx0aHkgY29udHJvbHMsIGRlc3luY2hyb25pemF0aW9uIG9mIG11LWJhbmQgb3NjaWxsYXRpb25zIGlzIG5vdCBvYnNlcnZlZCBkdXJpbmcgdGhlIGV4ZWN1dGlvbiBvZiB2b2x1bnRhcnkgbW92ZW1lbnRzIGZvciBpbmRpdmlkdWFscyB3aXRoIFRTLiBXZSBpbnRlcnByZXQgdGhpcyBmaW5kaW5nIGFzIHJlZmxlY3RpbmcgYSBkeXNmdW5jdGlvbiBvZiBwaHlzaW9sb2dpY2FsIGluaGliaXRpb24gaW4gVFMsIHRoZXJlYnkgY29udHJpYnV0aW5nIHRvIGFuIGltcGFpcmVkIGFiaWxpdHkgdG8gc3VwcHJlc3MgbmV1cm9uYWwgcG9wdWxhdGlvbnMgdGhhdCBtYXkgY29tcGV0ZSB3aXRoIG1vdmVtZW50IHByZXBhcmF0aW9uIHByb2Nlc3Nlcy4iLCJpc3N1ZSI6IjEiLCJ2b2x1bWUiOiIxNiIsImNvbnRhaW5lci10aXRsZS1zaG9ydCI6IiJ9LCJpc1RlbXBvcmFyeSI6ZmFsc2V9XX0="/>
                <w:id w:val="-1606187728"/>
                <w:placeholder>
                  <w:docPart w:val="DefaultPlaceholder_-1854013440"/>
                </w:placeholder>
              </w:sdtPr>
              <w:sdtContent>
                <w:r w:rsidR="00CF213F" w:rsidRPr="00CF213F">
                  <w:rPr>
                    <w:rFonts w:eastAsia="Times New Roman" w:cs="Times New Roman"/>
                    <w:color w:val="000000"/>
                    <w:sz w:val="16"/>
                    <w:szCs w:val="16"/>
                  </w:rPr>
                  <w:t>(106)</w:t>
                </w:r>
              </w:sdtContent>
            </w:sdt>
          </w:p>
        </w:tc>
        <w:tc>
          <w:tcPr>
            <w:tcW w:w="0" w:type="auto"/>
            <w:shd w:val="clear" w:color="auto" w:fill="FFFFFF"/>
            <w:hideMark/>
          </w:tcPr>
          <w:p w14:paraId="24923740"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16 individuals aged 12-23 with TS</w:t>
            </w:r>
          </w:p>
        </w:tc>
        <w:tc>
          <w:tcPr>
            <w:tcW w:w="1920" w:type="dxa"/>
            <w:shd w:val="clear" w:color="auto" w:fill="FFFFFF"/>
            <w:hideMark/>
          </w:tcPr>
          <w:p w14:paraId="185E67D2"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EEG</w:t>
            </w:r>
          </w:p>
        </w:tc>
        <w:tc>
          <w:tcPr>
            <w:tcW w:w="4440" w:type="dxa"/>
            <w:shd w:val="clear" w:color="auto" w:fill="FFFFFF"/>
            <w:hideMark/>
          </w:tcPr>
          <w:p w14:paraId="78C1A765"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No desynchronization of mu or beta band power over sensorimotor cortex prior to or at tic onset, unlike during voluntary movements.</w:t>
            </w:r>
          </w:p>
        </w:tc>
      </w:tr>
      <w:tr w:rsidR="00986E35" w:rsidRPr="008A1F40" w14:paraId="5CEFFC69" w14:textId="77777777" w:rsidTr="007F77D2">
        <w:trPr>
          <w:tblCellSpacing w:w="15" w:type="dxa"/>
        </w:trPr>
        <w:tc>
          <w:tcPr>
            <w:tcW w:w="0" w:type="auto"/>
            <w:shd w:val="clear" w:color="auto" w:fill="FFFFFF"/>
            <w:hideMark/>
          </w:tcPr>
          <w:p w14:paraId="036E747F" w14:textId="56260DA6"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Zapparoli et al (2024)</w:t>
            </w:r>
            <w:r w:rsidR="00A927EA">
              <w:rPr>
                <w:rFonts w:eastAsia="Times New Roman" w:cs="Times New Roman"/>
                <w:color w:val="0D0D0D"/>
                <w:sz w:val="16"/>
                <w:szCs w:val="16"/>
              </w:rPr>
              <w:t xml:space="preserve"> </w:t>
            </w:r>
            <w:sdt>
              <w:sdtPr>
                <w:rPr>
                  <w:rFonts w:eastAsia="Times New Roman" w:cs="Times New Roman"/>
                  <w:color w:val="000000"/>
                  <w:sz w:val="16"/>
                  <w:szCs w:val="16"/>
                </w:rPr>
                <w:tag w:val="MENDELEY_CITATION_v3_eyJjaXRhdGlvbklEIjoiTUVOREVMRVlfQ0lUQVRJT05fYTZlZWU3N2UtZmRlNi00NGRlLThiYmYtMGE1OTE4ZDVlMWVlIiwicHJvcGVydGllcyI6eyJub3RlSW5kZXgiOjB9LCJpc0VkaXRlZCI6ZmFsc2UsIm1hbnVhbE92ZXJyaWRlIjp7ImlzTWFudWFsbHlPdmVycmlkZGVuIjpmYWxzZSwiY2l0ZXByb2NUZXh0IjoiKDEwNykiLCJtYW51YWxPdmVycmlkZVRleHQiOiIifSwiY2l0YXRpb25JdGVtcyI6W3siaWQiOiIwMjU1YWEwNC00M2EwLTM1YTUtYjU2ZC0wNWM5MGVjNTYzYmUiLCJpdGVtRGF0YSI6eyJ0eXBlIjoiYXJ0aWNsZS1qb3VybmFsIiwiaWQiOiIwMjU1YWEwNC00M2EwLTM1YTUtYjU2ZC0wNWM5MGVjNTYzYmUiLCJ0aXRsZSI6Ik1hcHBpbmcgR2lsbGVzIGRlIGxhIFRvdXJldHRlIHN5bmRyb21lIHRocm91Z2ggdGhlIGRpc3RyZXNzIGFuZCByZWxpZWYgYXNzb2NpYXRlZCB3aXRoIHRpYy1yZWxhdGVkIGJlaGF2aW9yczogYW4gZk1SSSBzdHVkeSIsImdyb3VwSWQiOiIwN2Q2MmFjMS01YWE4LTM5YWYtYjQ5ZS01MmQyMDg4YWM1NzEiLCJhdXRob3IiOlt7ImZhbWlseSI6IlphcHBhcm9saSIsImdpdmVuIjoiTCIsInBhcnNlLW5hbWVzIjpmYWxzZSwiZHJvcHBpbmctcGFydGljbGUiOiIiLCJub24tZHJvcHBpbmctcGFydGljbGUiOiIifSx7ImZhbWlseSI6IkRldm90byIsImdpdmVuIjoiRiIsInBhcnNlLW5hbWVzIjpmYWxzZSwiZHJvcHBpbmctcGFydGljbGUiOiIiLCJub24tZHJvcHBpbmctcGFydGljbGUiOiIifSx7ImZhbWlseSI6Ik1hcmlhbm8iLCJnaXZlbiI6Ik0iLCJwYXJzZS1uYW1lcyI6ZmFsc2UsImRyb3BwaW5nLXBhcnRpY2xlIjoiIiwibm9uLWRyb3BwaW5nLXBhcnRpY2xlIjoiIn0seyJmYW1pbHkiOiJTZWdoZXp6aSIsImdpdmVuIjoiUyIsInBhcnNlLW5hbWVzIjpmYWxzZSwiZHJvcHBpbmctcGFydGljbGUiOiIiLCJub24tZHJvcHBpbmctcGFydGljbGUiOiIifSx7ImZhbWlseSI6IlNlcnZlbGxvIiwiZ2l2ZW4iOiJEIiwicGFyc2UtbmFtZXMiOmZhbHNlLCJkcm9wcGluZy1wYXJ0aWNsZSI6IiIsIm5vbi1kcm9wcGluZy1wYXJ0aWNsZSI6IiJ9LHsiZmFtaWx5IjoiUG9ydGEiLCJnaXZlbiI6Ik0iLCJwYXJzZS1uYW1lcyI6ZmFsc2UsImRyb3BwaW5nLXBhcnRpY2xlIjoiIiwibm9uLWRyb3BwaW5nLXBhcnRpY2xlIjoiIn0seyJmYW1pbHkiOiJQYXVsZXN1IiwiZ2l2ZW4iOiJFIiwicGFyc2UtbmFtZXMiOmZhbHNlLCJkcm9wcGluZy1wYXJ0aWNsZSI6IiIsIm5vbi1kcm9wcGluZy1wYXJ0aWNsZSI6IiJ9XSwiY29udGFpbmVyLXRpdGxlIjoiVHJhbnNsIFBzeWNoaWF0cnkiLCJET0kiOiIxMC4xMDM4L3M0MTM5OC0wMjMtMDI3MTEteiIsIlBNSUQiOiIzODE5MTQ3NSIsImlzc3VlZCI6eyJkYXRlLXBhcnRzIjpbWzIwMjRdXX0sInBhZ2UiOiI3IiwiYWJzdHJhY3QiOiJQZXJzb25hbCBkaXN0cmVzcyBhc3NvY2lhdGVkIHdpdGggdGljIHVyZ2VzIG9yIGluaGliaXRpb24gYW5kIHJlbGllZiBhc3NvY2lhdGVkIHdpdGggdGljIHByb2R1Y3Rpb24gYXJlIGRlZmluaW5nIGZlYXR1cmVzIG9mIHRoZSBwZXJzb25hbCBleHBlcmllbmNlIGluIEdpbGxlcyBkZSBsYSBUb3VyZXR0ZSBzeW5kcm9tZSAoR1RTKS4gVGhlc2UgYWZmZWN0aXZlIHBoZW5vbWVuYSBoYXZlIG5vdCBiZWVuIHN0dWRpZWQgdXNpbmcgZk1SSSwgaGluZGVyaW5nIG91ciB1bmRlcnN0YW5kaW5nIG9mIEdUUyBwYXRob3BoeXNpb2xvZ3kgYW5kIHBvc3NpYmxlIHRyZWF0bWVudHMuIEhlcmUsIHdlIHByZXNlbnQgYSBub3ZlbCBjcm9zcy1zZWN0aW9uYWwgZk1SSSBzdHVkeSBkZXNpZ25lZCB0byBtYXAgdGljLXJlbGF0ZWQgcGhlbm9tZW5vbG9neSB1c2luZyBkaXN0cmVzcyBhbmQgcmVsaWVmIGFzIHByZWRpY3RpbmcgdmFyaWFibGVzLiBXZSBhZG9wdGVkIGEgbWVudGFsIGltYWdlcnkgYXBwcm9hY2ggYW5kIGRpc3NlY3RlZCB0aGUgYnJhaW4gYWN0aXZpdHkgYXNzb2NpYXRlZCB3aXRoIGRpZmZlcmVudCBwaGFzZXMgb2YgdGljIGJlaGF2aW9ycywgcHJlbW9uaXRvcnkgdXJnZXMsIGFuZCB0aGUgZW5zdWluZyB0aWMgZXhlY3V0aW9uIG9yIGluaGliaXRpb246IHRoZXNlIHdlcmUgY29tcGFyZWQgd2l0aCB0aGUgbWVudGFsIHNpbXVsYXRpb24gb2YgXCJyZWxheGVkIHNpdHVhdGlvbnNcIiBhbmQgcHJlLWRldGVybWluZWQgc3RlcmVvdHlwZWQgbW90b3IgYmVoYXZpb3JzLiBXZSB0aGVuIGV4cGxvcmVkIHdoZXRoZXIgdGhlIGVuc3VpbmcgYnJhaW4gcGF0dGVybnMgY29ycmVsYXRlZCB3aXRoIHRoZSBkaXN0cmVzcyBvciByZWxpZWYgcGVyY2VpdmVkIGZvciB0aGUgZGlmZmVyZW50IHBoYXNlcyBvZiB0aGUgdGFza3MuIFBhdGllbnRzIGV4cGVyaWVuY2VkIGEgaGlnaGVyIGxldmVsIG9mIGRpc3RyZXNzIGR1cmluZyB0aGUgaW1hZ2VyeSBvZiB0aWMtdHJpZ2dlcmluZyBzY2VuYXJpb3MgYW5kIG5vIHJlbGllZiBkdXJpbmcgdGljIGluaGliaXRpb24uIE9uIHRoZSBvdGhlciBoYW5kLCBwYXRpZW50cyBleHBlcmllbmNlZCBzaWduaWZpY2FudCByZWxpZWYgZHVyaW5nIHRpYyBpbWFnZXJ5LiBEaXN0cmVzcyBkdXJpbmcgdGljLXRyaWdnZXJpbmcgc2NlbmFyaW9zIGFuZCByZWxpZWYgZHVyaW5nIHRpYyBpbWFnZXJ5IHdlcmUgc2lnbmlmaWNhbnRseSBjb3JyZWxhdGVkLiBUaGUgZGlzdHJlc3MgcGVyY2VpdmVkIGR1cmluZyB1cmdlcyBjb3JyZWxhdGVkIHdpdGggaW5jcmVhc2VkIGFjdGl2YXRpb24gaW4gY29ydGljYWwgc2Vuc29yaW1vdG9yIGFyZWFzLCBzdWdnZXN0aW5nIGEgbW90b3IgYWxhcm0uIENvbnZlcnNlbHksIHJlbGllZiBkdXJpbmcgdGljIGV4ZWN1dGlvbiB3YXMgcG9zaXRpdmVseSBhc3NvY2lhdGVkIHdpdGggdGhlIGFjdGl2aXR5IG9mIGEgc3ViY29ydGljYWwgbmV0d29yay4gVGhlIGFjdGl2aXR5IG9mIHRoZSBwdXRhbWVuIHdhcyBhc3NvY2lhdGVkIHdpdGggYm90aCBkaXN0cmVzcyBkdXJpbmcgdXJnZXMgYW5kIHJlbGllZiBkdXJpbmcgdGljIGV4ZWN1dGlvbi4gVGhlc2UgZmluZGluZ3MgaGlnaGxpZ2h0IHRoZSBpbXBvcnRhbmNlIG9mIGFzc2Vzc2luZyB0aGUgYWZmZWN0aXZlIGNvbXBvbmVudCBvZiB0aWMtcmVsYXRlZCBwaGVub21lbm9sb2d5LiBTdWJjb3J0aWNhbCBzdHJ1Y3R1cmVzIG1heSBiZSBjYXVzYWxseSBpbnZvbHZlZCBpbiB0aGUgYWZmZWN0aXZlIGNvbXBvbmVudCBvZiB0aWMgcGF0aG9waHlzaW9sb2d5LCB3aXRoIHRoZSBwdXRhbWVuIHBsYXlpbmcgYSBjZW50cmFsIHJvbGUgaW4gYm90aCB0aWMgdXJnZSBhbmQgZ2VuZXJhdGlvbi4gV2UgYmVsaWV2ZSB0aGF0IG91ciByZXN1bHRzIGNhbiBiZSByZWFkaWx5IHRyYW5zbGF0ZWQgaW50byBjbGluaWNhbCBwcmFjdGljZSBmb3IgdGhlIGRldmVsb3BtZW50IG9mIHBlcnNvbmFsaXplZCB0cmVhdG1lbnQgcGxhbnMgdGFpbG9yZWQgdG8gZWFjaCBwYXRpZW50J3MgdW5pcXVlIG5lZWRzLiIsImlzc3VlIjoiMSIsInZvbHVtZSI6IjE0IiwiY29udGFpbmVyLXRpdGxlLXNob3J0IjoiIn0sImlzVGVtcG9yYXJ5IjpmYWxzZX1dfQ=="/>
                <w:id w:val="-2020383652"/>
                <w:placeholder>
                  <w:docPart w:val="DefaultPlaceholder_-1854013440"/>
                </w:placeholder>
              </w:sdtPr>
              <w:sdtContent>
                <w:r w:rsidR="00CF213F" w:rsidRPr="00CF213F">
                  <w:rPr>
                    <w:rFonts w:eastAsia="Times New Roman" w:cs="Times New Roman"/>
                    <w:color w:val="000000"/>
                    <w:sz w:val="16"/>
                    <w:szCs w:val="16"/>
                  </w:rPr>
                  <w:t>(107)</w:t>
                </w:r>
              </w:sdtContent>
            </w:sdt>
          </w:p>
        </w:tc>
        <w:tc>
          <w:tcPr>
            <w:tcW w:w="0" w:type="auto"/>
            <w:shd w:val="clear" w:color="auto" w:fill="FFFFFF"/>
            <w:hideMark/>
          </w:tcPr>
          <w:p w14:paraId="3F77DA71"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23 individuals with TS</w:t>
            </w:r>
          </w:p>
        </w:tc>
        <w:tc>
          <w:tcPr>
            <w:tcW w:w="1920" w:type="dxa"/>
            <w:shd w:val="clear" w:color="auto" w:fill="FFFFFF"/>
            <w:hideMark/>
          </w:tcPr>
          <w:p w14:paraId="740404A1" w14:textId="77777777" w:rsidR="00986E35" w:rsidRPr="008A1F40" w:rsidRDefault="00986E35" w:rsidP="007F77D2">
            <w:pPr>
              <w:rPr>
                <w:rFonts w:eastAsia="Times New Roman" w:cs="Times New Roman"/>
                <w:color w:val="0D0D0D"/>
                <w:sz w:val="16"/>
                <w:szCs w:val="16"/>
              </w:rPr>
            </w:pPr>
            <w:r w:rsidRPr="008A1F40">
              <w:rPr>
                <w:rFonts w:eastAsia="Times New Roman" w:cs="Times New Roman"/>
                <w:color w:val="0D0D0D"/>
                <w:sz w:val="16"/>
                <w:szCs w:val="16"/>
              </w:rPr>
              <w:t xml:space="preserve">fMRI - </w:t>
            </w:r>
            <w:r w:rsidRPr="008A1F40">
              <w:rPr>
                <w:rFonts w:cs="Times New Roman"/>
                <w:color w:val="000000" w:themeColor="text1"/>
                <w:sz w:val="16"/>
                <w:szCs w:val="16"/>
              </w:rPr>
              <w:t>included conditions in which they imagined a situation that promotes tic occurrence (“urge phase”) and a condition in which they imagined acting out a tic. Following each phase, participants rated distress or relief experienced during the phase</w:t>
            </w:r>
          </w:p>
        </w:tc>
        <w:tc>
          <w:tcPr>
            <w:tcW w:w="4440" w:type="dxa"/>
            <w:shd w:val="clear" w:color="auto" w:fill="FFFFFF"/>
            <w:hideMark/>
          </w:tcPr>
          <w:p w14:paraId="59327DB0" w14:textId="306A5C5F" w:rsidR="00986E35" w:rsidRPr="008A1F40" w:rsidRDefault="00986E35" w:rsidP="007F77D2">
            <w:pPr>
              <w:rPr>
                <w:rFonts w:cs="Times New Roman"/>
                <w:sz w:val="16"/>
                <w:szCs w:val="16"/>
              </w:rPr>
            </w:pPr>
            <w:r w:rsidRPr="008A1F40">
              <w:rPr>
                <w:rFonts w:cs="Times New Roman"/>
                <w:color w:val="000000" w:themeColor="text1"/>
                <w:sz w:val="16"/>
                <w:szCs w:val="16"/>
              </w:rPr>
              <w:t>Distress ratings during the urge phase were positively associated with a network of brain activation including</w:t>
            </w:r>
            <w:r w:rsidRPr="008A1F40">
              <w:rPr>
                <w:rFonts w:cs="Times New Roman"/>
                <w:sz w:val="16"/>
                <w:szCs w:val="16"/>
              </w:rPr>
              <w:t xml:space="preserve"> “the superior medial prefrontal cortex and SMA, the middle and inferior frontal gyri, the middle cingulum, bilaterally, the left precentral and postcentral gyri, the left temporo-occipital region, the right fusiform gyrus</w:t>
            </w:r>
            <w:r w:rsidR="006C4A76">
              <w:rPr>
                <w:rFonts w:cs="Times New Roman"/>
                <w:sz w:val="16"/>
                <w:szCs w:val="16"/>
              </w:rPr>
              <w:t>.</w:t>
            </w:r>
            <w:r w:rsidRPr="008A1F40">
              <w:rPr>
                <w:rFonts w:cs="Times New Roman"/>
                <w:sz w:val="16"/>
                <w:szCs w:val="16"/>
              </w:rPr>
              <w:t>”</w:t>
            </w:r>
            <w:r w:rsidR="006C4A76">
              <w:rPr>
                <w:rFonts w:cs="Times New Roman"/>
                <w:sz w:val="16"/>
                <w:szCs w:val="16"/>
              </w:rPr>
              <w:t xml:space="preserve"> During the urge phase,</w:t>
            </w:r>
            <w:r w:rsidRPr="008A1F40">
              <w:rPr>
                <w:rFonts w:cs="Times New Roman"/>
                <w:sz w:val="16"/>
                <w:szCs w:val="16"/>
              </w:rPr>
              <w:t xml:space="preserve"> </w:t>
            </w:r>
            <w:r w:rsidR="006C4A76">
              <w:rPr>
                <w:rFonts w:cs="Times New Roman"/>
                <w:sz w:val="16"/>
                <w:szCs w:val="16"/>
              </w:rPr>
              <w:t>there were significant</w:t>
            </w:r>
            <w:r w:rsidRPr="008A1F40">
              <w:rPr>
                <w:rFonts w:cs="Times New Roman"/>
                <w:sz w:val="16"/>
                <w:szCs w:val="16"/>
              </w:rPr>
              <w:t xml:space="preserve"> clusters </w:t>
            </w:r>
            <w:r w:rsidR="006C4A76">
              <w:rPr>
                <w:rFonts w:cs="Times New Roman"/>
                <w:sz w:val="16"/>
                <w:szCs w:val="16"/>
              </w:rPr>
              <w:t xml:space="preserve">of activation </w:t>
            </w:r>
            <w:r w:rsidRPr="008A1F40">
              <w:rPr>
                <w:rFonts w:cs="Times New Roman"/>
                <w:sz w:val="16"/>
                <w:szCs w:val="16"/>
              </w:rPr>
              <w:t>in “the right caudate nucleus and nucleus accumbens, the putamen, bilaterally, and the right cerebellum</w:t>
            </w:r>
            <w:r w:rsidR="00F90310">
              <w:rPr>
                <w:rFonts w:cs="Times New Roman"/>
                <w:sz w:val="16"/>
                <w:szCs w:val="16"/>
              </w:rPr>
              <w:t>.</w:t>
            </w:r>
            <w:r w:rsidRPr="008A1F40">
              <w:rPr>
                <w:rFonts w:cs="Times New Roman"/>
                <w:sz w:val="16"/>
                <w:szCs w:val="16"/>
              </w:rPr>
              <w:t>”</w:t>
            </w:r>
            <w:r w:rsidR="00E650F7">
              <w:rPr>
                <w:rFonts w:cs="Times New Roman"/>
                <w:sz w:val="16"/>
                <w:szCs w:val="16"/>
              </w:rPr>
              <w:t xml:space="preserve"> (Table 2 in the cited publication provides magnitudes and p-values for each of the above regions.)</w:t>
            </w:r>
          </w:p>
          <w:p w14:paraId="010CA3AE" w14:textId="77777777" w:rsidR="00986E35" w:rsidRPr="008A1F40" w:rsidRDefault="00986E35" w:rsidP="007F77D2">
            <w:pPr>
              <w:rPr>
                <w:rFonts w:eastAsia="Times New Roman" w:cs="Times New Roman"/>
                <w:color w:val="0D0D0D"/>
                <w:sz w:val="16"/>
                <w:szCs w:val="16"/>
              </w:rPr>
            </w:pPr>
            <w:r w:rsidRPr="008A1F40">
              <w:rPr>
                <w:rFonts w:cs="Times New Roman"/>
                <w:sz w:val="16"/>
                <w:szCs w:val="16"/>
              </w:rPr>
              <w:t>Left putamen activity was significantly associated with distress ratings during the “urge phase” and relief ratings during the tic imagination phase</w:t>
            </w:r>
          </w:p>
        </w:tc>
      </w:tr>
    </w:tbl>
    <w:p w14:paraId="46C528E1" w14:textId="77777777" w:rsidR="00986E35" w:rsidRPr="008A1F40" w:rsidRDefault="00986E35" w:rsidP="00986E35">
      <w:pPr>
        <w:rPr>
          <w:rFonts w:cs="Times New Roman"/>
          <w:color w:val="000000" w:themeColor="text1"/>
          <w:sz w:val="16"/>
          <w:szCs w:val="16"/>
        </w:rPr>
      </w:pPr>
      <w:r w:rsidRPr="008A1F40">
        <w:rPr>
          <w:rFonts w:cs="Times New Roman"/>
          <w:color w:val="000000" w:themeColor="text1"/>
          <w:sz w:val="16"/>
          <w:szCs w:val="16"/>
        </w:rPr>
        <w:t xml:space="preserve">Glx = glutamate + glutamine, MRI = </w:t>
      </w:r>
      <w:r w:rsidRPr="008A1F40">
        <w:rPr>
          <w:rFonts w:cs="Times New Roman"/>
          <w:color w:val="000000" w:themeColor="text1"/>
          <w:sz w:val="16"/>
          <w:szCs w:val="16"/>
          <w:shd w:val="clear" w:color="auto" w:fill="FFFFFF"/>
        </w:rPr>
        <w:t>Magnetic resonance imaging</w:t>
      </w:r>
      <w:r w:rsidRPr="008A1F40">
        <w:rPr>
          <w:rFonts w:cs="Times New Roman"/>
          <w:color w:val="000000" w:themeColor="text1"/>
          <w:sz w:val="16"/>
          <w:szCs w:val="16"/>
        </w:rPr>
        <w:t xml:space="preserve">, MRS = </w:t>
      </w:r>
      <w:r w:rsidRPr="008A1F40">
        <w:rPr>
          <w:rFonts w:cs="Times New Roman"/>
          <w:color w:val="020202"/>
          <w:sz w:val="16"/>
          <w:szCs w:val="16"/>
          <w:shd w:val="clear" w:color="auto" w:fill="FFFFFF"/>
        </w:rPr>
        <w:t>Magnetic Resonance spectroscopy,</w:t>
      </w:r>
      <w:r w:rsidRPr="008A1F40">
        <w:rPr>
          <w:rFonts w:cs="Times New Roman"/>
          <w:color w:val="000000" w:themeColor="text1"/>
          <w:sz w:val="16"/>
          <w:szCs w:val="16"/>
        </w:rPr>
        <w:t xml:space="preserve"> fMRI = Functional </w:t>
      </w:r>
      <w:r w:rsidRPr="008A1F40">
        <w:rPr>
          <w:rFonts w:cs="Times New Roman"/>
          <w:color w:val="000000" w:themeColor="text1"/>
          <w:sz w:val="16"/>
          <w:szCs w:val="16"/>
          <w:shd w:val="clear" w:color="auto" w:fill="FFFFFF"/>
        </w:rPr>
        <w:t>magnetic resonance imaging</w:t>
      </w:r>
      <w:r w:rsidRPr="008A1F40">
        <w:rPr>
          <w:rFonts w:cs="Times New Roman"/>
          <w:color w:val="000000" w:themeColor="text1"/>
          <w:sz w:val="16"/>
          <w:szCs w:val="16"/>
        </w:rPr>
        <w:t xml:space="preserve">, EEG = </w:t>
      </w:r>
      <w:r w:rsidRPr="008A1F40">
        <w:rPr>
          <w:rFonts w:cs="Times New Roman"/>
          <w:color w:val="000000" w:themeColor="text1"/>
          <w:sz w:val="16"/>
          <w:szCs w:val="16"/>
          <w:shd w:val="clear" w:color="auto" w:fill="FFFFFF"/>
        </w:rPr>
        <w:t>Electroencephalography</w:t>
      </w:r>
      <w:r w:rsidRPr="008A1F40">
        <w:rPr>
          <w:rFonts w:cs="Times New Roman"/>
          <w:color w:val="000000" w:themeColor="text1"/>
          <w:sz w:val="16"/>
          <w:szCs w:val="16"/>
        </w:rPr>
        <w:t xml:space="preserve">, MEG = </w:t>
      </w:r>
      <w:r w:rsidRPr="008A1F40">
        <w:rPr>
          <w:rFonts w:cs="Times New Roman"/>
          <w:color w:val="000000" w:themeColor="text1"/>
          <w:sz w:val="16"/>
          <w:szCs w:val="16"/>
          <w:shd w:val="clear" w:color="auto" w:fill="FFFFFF"/>
        </w:rPr>
        <w:t>Magnetoencephalography</w:t>
      </w:r>
      <w:r w:rsidRPr="008A1F40">
        <w:rPr>
          <w:rFonts w:cs="Times New Roman"/>
          <w:color w:val="000000" w:themeColor="text1"/>
          <w:sz w:val="16"/>
          <w:szCs w:val="16"/>
        </w:rPr>
        <w:t xml:space="preserve">, EMG = </w:t>
      </w:r>
      <w:r w:rsidRPr="008A1F40">
        <w:rPr>
          <w:rFonts w:cs="Times New Roman"/>
          <w:color w:val="1F1F1F"/>
          <w:sz w:val="16"/>
          <w:szCs w:val="16"/>
          <w:shd w:val="clear" w:color="auto" w:fill="FFFFFF"/>
        </w:rPr>
        <w:t>Electromyography</w:t>
      </w:r>
      <w:r w:rsidRPr="008A1F40">
        <w:rPr>
          <w:rFonts w:cs="Times New Roman"/>
          <w:color w:val="000000" w:themeColor="text1"/>
          <w:sz w:val="16"/>
          <w:szCs w:val="16"/>
        </w:rPr>
        <w:t xml:space="preserve">, VBM = voxel-based morphometry, DTI = </w:t>
      </w:r>
      <w:r w:rsidRPr="008A1F40">
        <w:rPr>
          <w:rFonts w:cs="Times New Roman"/>
          <w:sz w:val="16"/>
          <w:szCs w:val="16"/>
        </w:rPr>
        <w:t>Diffusion tensor imaging</w:t>
      </w:r>
      <w:r w:rsidRPr="008A1F40">
        <w:rPr>
          <w:rFonts w:cs="Times New Roman"/>
          <w:color w:val="000000" w:themeColor="text1"/>
          <w:sz w:val="16"/>
          <w:szCs w:val="16"/>
        </w:rPr>
        <w:t xml:space="preserve">, GABA+ = GABA + macromolecules, SMA = supplementary motor area, TMS = transcranial magnetic stimulation, M1 = Primary motor cortex, S1 = primary sensory cortex, TPJ = </w:t>
      </w:r>
      <w:r w:rsidRPr="008A1F40">
        <w:rPr>
          <w:rFonts w:eastAsia="Times New Roman" w:cs="Times New Roman"/>
          <w:color w:val="0D0D0D"/>
          <w:sz w:val="16"/>
          <w:szCs w:val="16"/>
        </w:rPr>
        <w:t>temporal-parietal junction</w:t>
      </w:r>
      <w:r w:rsidRPr="008A1F40">
        <w:rPr>
          <w:rFonts w:cs="Times New Roman"/>
          <w:color w:val="000000" w:themeColor="text1"/>
          <w:sz w:val="16"/>
          <w:szCs w:val="16"/>
        </w:rPr>
        <w:t xml:space="preserve">, PAS = </w:t>
      </w:r>
      <w:r w:rsidRPr="008A1F40">
        <w:rPr>
          <w:rFonts w:eastAsia="Times New Roman" w:cs="Times New Roman"/>
          <w:color w:val="000000"/>
          <w:sz w:val="16"/>
          <w:szCs w:val="16"/>
          <w:highlight w:val="white"/>
        </w:rPr>
        <w:t>paired associative stimulus</w:t>
      </w:r>
      <w:r w:rsidRPr="008A1F40">
        <w:rPr>
          <w:rFonts w:cs="Times New Roman"/>
          <w:color w:val="000000" w:themeColor="text1"/>
          <w:sz w:val="16"/>
          <w:szCs w:val="16"/>
        </w:rPr>
        <w:t>, MEP = Motor Evoked Potential, SMC = sensorimotor cortex,</w:t>
      </w:r>
      <w:r w:rsidRPr="008A1F40">
        <w:rPr>
          <w:rFonts w:cs="Times New Roman"/>
          <w:sz w:val="16"/>
          <w:szCs w:val="16"/>
        </w:rPr>
        <w:t xml:space="preserve"> MNI = </w:t>
      </w:r>
      <w:r w:rsidRPr="008A1F40">
        <w:rPr>
          <w:rFonts w:cs="Times New Roman"/>
          <w:color w:val="1F1F1F"/>
          <w:sz w:val="16"/>
          <w:szCs w:val="16"/>
          <w:shd w:val="clear" w:color="auto" w:fill="FFFFFF"/>
        </w:rPr>
        <w:t>Montreal Neurological Institute</w:t>
      </w:r>
      <w:r w:rsidRPr="008A1F40">
        <w:rPr>
          <w:rFonts w:cs="Times New Roman"/>
          <w:color w:val="000000" w:themeColor="text1"/>
          <w:sz w:val="16"/>
          <w:szCs w:val="16"/>
        </w:rPr>
        <w:t xml:space="preserve">, CE = </w:t>
      </w:r>
      <w:r w:rsidRPr="008A1F40">
        <w:rPr>
          <w:rFonts w:eastAsia="Times New Roman" w:cs="Times New Roman"/>
          <w:color w:val="000000"/>
          <w:sz w:val="16"/>
          <w:szCs w:val="16"/>
        </w:rPr>
        <w:t>cortical excitability, LICI = long-interval cortical inhibition,</w:t>
      </w:r>
      <w:r w:rsidRPr="008A1F40">
        <w:rPr>
          <w:rFonts w:eastAsia="Times New Roman" w:cs="Times New Roman"/>
          <w:color w:val="000000"/>
        </w:rPr>
        <w:t xml:space="preserve"> </w:t>
      </w:r>
      <w:r w:rsidRPr="008A1F40">
        <w:rPr>
          <w:rFonts w:cs="Times New Roman"/>
          <w:color w:val="000000" w:themeColor="text1"/>
          <w:sz w:val="16"/>
          <w:szCs w:val="16"/>
          <w:shd w:val="clear" w:color="auto" w:fill="FFFFFF"/>
        </w:rPr>
        <w:t>CBIT = Comprehensive behavioral intervention for tics</w:t>
      </w:r>
      <w:r w:rsidRPr="008A1F40">
        <w:rPr>
          <w:rFonts w:cs="Times New Roman"/>
          <w:sz w:val="16"/>
          <w:szCs w:val="16"/>
        </w:rPr>
        <w:t>, YGTSS = Yale Global Tic Severity Scale, TTS = Total Tic Score</w:t>
      </w:r>
      <w:r w:rsidRPr="008A1F40">
        <w:rPr>
          <w:rFonts w:cs="Times New Roman"/>
          <w:color w:val="000000" w:themeColor="text1"/>
          <w:sz w:val="16"/>
          <w:szCs w:val="16"/>
        </w:rPr>
        <w:t xml:space="preserve">, CTD = Chronic Tic Disorder, </w:t>
      </w:r>
      <w:r w:rsidRPr="008A1F40">
        <w:rPr>
          <w:rFonts w:cs="Times New Roman"/>
          <w:sz w:val="16"/>
          <w:szCs w:val="16"/>
        </w:rPr>
        <w:t>PUTS = Premonitory Urge for Tics Scale, I-PUTS = Individualized Premonitory Urge for Tics Scale, TS = Tourette Syndrome</w:t>
      </w:r>
    </w:p>
    <w:p w14:paraId="7AAE88A2" w14:textId="77777777" w:rsidR="00986E35" w:rsidRDefault="00986E35" w:rsidP="002B4A57">
      <w:pPr>
        <w:keepNext/>
        <w:rPr>
          <w:rFonts w:cs="Times New Roman"/>
          <w:b/>
          <w:bCs/>
          <w:szCs w:val="24"/>
        </w:rPr>
      </w:pPr>
    </w:p>
    <w:p w14:paraId="0141CBE5" w14:textId="491F4DDB" w:rsidR="00EA6910" w:rsidRDefault="00EA6910" w:rsidP="002B4A57">
      <w:pPr>
        <w:keepNext/>
        <w:rPr>
          <w:rFonts w:cs="Times New Roman"/>
          <w:b/>
          <w:bCs/>
          <w:szCs w:val="24"/>
        </w:rPr>
      </w:pPr>
      <w:r>
        <w:rPr>
          <w:rFonts w:cs="Times New Roman"/>
          <w:b/>
          <w:bCs/>
          <w:szCs w:val="24"/>
        </w:rPr>
        <w:t>REFERENCES</w:t>
      </w:r>
    </w:p>
    <w:sdt>
      <w:sdtPr>
        <w:rPr>
          <w:rFonts w:cs="Times New Roman"/>
          <w:bCs/>
          <w:color w:val="000000"/>
          <w:szCs w:val="24"/>
        </w:rPr>
        <w:tag w:val="MENDELEY_BIBLIOGRAPHY"/>
        <w:id w:val="2064284788"/>
        <w:placeholder>
          <w:docPart w:val="DefaultPlaceholder_-1854013440"/>
        </w:placeholder>
      </w:sdtPr>
      <w:sdtContent>
        <w:p w14:paraId="705967AF" w14:textId="77777777" w:rsidR="00CF213F" w:rsidRDefault="00CF213F">
          <w:pPr>
            <w:autoSpaceDE w:val="0"/>
            <w:autoSpaceDN w:val="0"/>
            <w:ind w:hanging="640"/>
            <w:divId w:val="100104903"/>
            <w:rPr>
              <w:rFonts w:eastAsia="Times New Roman"/>
              <w:szCs w:val="24"/>
            </w:rPr>
          </w:pPr>
          <w:r>
            <w:rPr>
              <w:rFonts w:eastAsia="Times New Roman"/>
            </w:rPr>
            <w:t xml:space="preserve">1. </w:t>
          </w:r>
          <w:r>
            <w:rPr>
              <w:rFonts w:eastAsia="Times New Roman"/>
            </w:rPr>
            <w:tab/>
            <w:t>Covidence systematic review software.</w:t>
          </w:r>
        </w:p>
        <w:p w14:paraId="30EBA05B" w14:textId="77777777" w:rsidR="00CF213F" w:rsidRDefault="00CF213F">
          <w:pPr>
            <w:autoSpaceDE w:val="0"/>
            <w:autoSpaceDN w:val="0"/>
            <w:ind w:hanging="640"/>
            <w:divId w:val="1098601028"/>
            <w:rPr>
              <w:rFonts w:eastAsia="Times New Roman"/>
            </w:rPr>
          </w:pPr>
          <w:r>
            <w:rPr>
              <w:rFonts w:eastAsia="Times New Roman"/>
            </w:rPr>
            <w:t xml:space="preserve">2. </w:t>
          </w:r>
          <w:r>
            <w:rPr>
              <w:rFonts w:eastAsia="Times New Roman"/>
            </w:rPr>
            <w:tab/>
            <w:t xml:space="preserve">Woods DW, Piacentini J, Himle MB, Chang S. Premonitory Urge for Tics Scale (PUTS): initial psychometric results and examination of the premonitory urge phenomenon in youths with Tic disorders. </w:t>
          </w:r>
          <w:r>
            <w:rPr>
              <w:rFonts w:eastAsia="Times New Roman"/>
              <w:i/>
              <w:iCs/>
            </w:rPr>
            <w:t>J Dev Behav Pediatr</w:t>
          </w:r>
          <w:r>
            <w:rPr>
              <w:rFonts w:eastAsia="Times New Roman"/>
            </w:rPr>
            <w:t xml:space="preserve"> (2005) 26:397–403. doi: 10.1097/00004703-200512000-00001</w:t>
          </w:r>
        </w:p>
        <w:p w14:paraId="5A739F98" w14:textId="77777777" w:rsidR="00CF213F" w:rsidRDefault="00CF213F">
          <w:pPr>
            <w:autoSpaceDE w:val="0"/>
            <w:autoSpaceDN w:val="0"/>
            <w:ind w:hanging="640"/>
            <w:divId w:val="186480234"/>
            <w:rPr>
              <w:rFonts w:eastAsia="Times New Roman"/>
            </w:rPr>
          </w:pPr>
          <w:r>
            <w:rPr>
              <w:rFonts w:eastAsia="Times New Roman"/>
            </w:rPr>
            <w:t xml:space="preserve">3. </w:t>
          </w:r>
          <w:r>
            <w:rPr>
              <w:rFonts w:eastAsia="Times New Roman"/>
            </w:rPr>
            <w:tab/>
            <w:t xml:space="preserve">Steinberg T, Shmuel Baruch S, Harush A, Dar R, Woods D, Piacentini J, Apter A. Tic disorders and the premonitory urge. </w:t>
          </w:r>
          <w:r>
            <w:rPr>
              <w:rFonts w:eastAsia="Times New Roman"/>
              <w:i/>
              <w:iCs/>
            </w:rPr>
            <w:t>J Neural Transm (Vienna)</w:t>
          </w:r>
          <w:r>
            <w:rPr>
              <w:rFonts w:eastAsia="Times New Roman"/>
            </w:rPr>
            <w:t xml:space="preserve"> (2010) 117:277–284. doi: 10.1007/s00702-009-0353-3</w:t>
          </w:r>
        </w:p>
        <w:p w14:paraId="20BE7093" w14:textId="77777777" w:rsidR="00CF213F" w:rsidRDefault="00CF213F">
          <w:pPr>
            <w:autoSpaceDE w:val="0"/>
            <w:autoSpaceDN w:val="0"/>
            <w:ind w:hanging="640"/>
            <w:divId w:val="1649895468"/>
            <w:rPr>
              <w:rFonts w:eastAsia="Times New Roman"/>
            </w:rPr>
          </w:pPr>
          <w:r>
            <w:rPr>
              <w:rFonts w:eastAsia="Times New Roman"/>
            </w:rPr>
            <w:t xml:space="preserve">4. </w:t>
          </w:r>
          <w:r>
            <w:rPr>
              <w:rFonts w:eastAsia="Times New Roman"/>
            </w:rPr>
            <w:tab/>
            <w:t xml:space="preserve">Gulisano M, Calì P, Palermo F, Robertson M, Rizzo R. Premonitory Urges in Patients with Gilles de la Tourette Syndrome: An Italian Translation and a 7-Year Follow-up. </w:t>
          </w:r>
          <w:r>
            <w:rPr>
              <w:rFonts w:eastAsia="Times New Roman"/>
              <w:i/>
              <w:iCs/>
            </w:rPr>
            <w:t>J Child Adolesc Psychopharmacol</w:t>
          </w:r>
          <w:r>
            <w:rPr>
              <w:rFonts w:eastAsia="Times New Roman"/>
            </w:rPr>
            <w:t xml:space="preserve"> (2015) 25:810–816. doi: 10.1089/cap.2014.0154</w:t>
          </w:r>
        </w:p>
        <w:p w14:paraId="44F16F86" w14:textId="77777777" w:rsidR="00CF213F" w:rsidRDefault="00CF213F">
          <w:pPr>
            <w:autoSpaceDE w:val="0"/>
            <w:autoSpaceDN w:val="0"/>
            <w:ind w:hanging="640"/>
            <w:divId w:val="104733802"/>
            <w:rPr>
              <w:rFonts w:eastAsia="Times New Roman"/>
            </w:rPr>
          </w:pPr>
          <w:r>
            <w:rPr>
              <w:rFonts w:eastAsia="Times New Roman"/>
            </w:rPr>
            <w:lastRenderedPageBreak/>
            <w:t xml:space="preserve">5. </w:t>
          </w:r>
          <w:r>
            <w:rPr>
              <w:rFonts w:eastAsia="Times New Roman"/>
            </w:rPr>
            <w:tab/>
            <w:t xml:space="preserve">Raines JM, Edwards KR, Sherman MF, Higginson CI, Winnick JB, Navin K, Gettings JM, Conteh F, Bennett SM, Specht MW. Premonitory Urge for Tics Scale (PUTS): replication and extension of psychometric properties in youth with chronic tic disorders (CTDs). </w:t>
          </w:r>
          <w:r>
            <w:rPr>
              <w:rFonts w:eastAsia="Times New Roman"/>
              <w:i/>
              <w:iCs/>
            </w:rPr>
            <w:t>J Neural Transm (Vienna)</w:t>
          </w:r>
          <w:r>
            <w:rPr>
              <w:rFonts w:eastAsia="Times New Roman"/>
            </w:rPr>
            <w:t xml:space="preserve"> (2018) 125:727–734. doi: 10.1007/s00702-017-1818-4</w:t>
          </w:r>
        </w:p>
        <w:p w14:paraId="7D504363" w14:textId="77777777" w:rsidR="00CF213F" w:rsidRDefault="00CF213F">
          <w:pPr>
            <w:autoSpaceDE w:val="0"/>
            <w:autoSpaceDN w:val="0"/>
            <w:ind w:hanging="640"/>
            <w:divId w:val="671220521"/>
            <w:rPr>
              <w:rFonts w:eastAsia="Times New Roman"/>
            </w:rPr>
          </w:pPr>
          <w:r>
            <w:rPr>
              <w:rFonts w:eastAsia="Times New Roman"/>
            </w:rPr>
            <w:t xml:space="preserve">6. </w:t>
          </w:r>
          <w:r>
            <w:rPr>
              <w:rFonts w:eastAsia="Times New Roman"/>
            </w:rPr>
            <w:tab/>
            <w:t xml:space="preserve">Forcadell E, Garcia-Delgar B, Nicolau R, Pérez-Vigil A, Cordovilla C, Lázaro L, Ibáñez L, Mir P, Madruga-Garrido M, Correa-Vela M, et al. Tic disorders and premonitory urges: validation of the Spanish-language version of the Premonitory Urge for Tics Scale in children and adolescents. </w:t>
          </w:r>
          <w:r>
            <w:rPr>
              <w:rFonts w:eastAsia="Times New Roman"/>
              <w:i/>
              <w:iCs/>
            </w:rPr>
            <w:t>Neurologia (Engl Ed)</w:t>
          </w:r>
          <w:r>
            <w:rPr>
              <w:rFonts w:eastAsia="Times New Roman"/>
            </w:rPr>
            <w:t xml:space="preserve"> (2022) doi: 10.1016/j.nrleng.2020.09.005</w:t>
          </w:r>
        </w:p>
        <w:p w14:paraId="0B3639C2" w14:textId="77777777" w:rsidR="00CF213F" w:rsidRDefault="00CF213F">
          <w:pPr>
            <w:autoSpaceDE w:val="0"/>
            <w:autoSpaceDN w:val="0"/>
            <w:ind w:hanging="640"/>
            <w:divId w:val="1031341923"/>
            <w:rPr>
              <w:rFonts w:eastAsia="Times New Roman"/>
            </w:rPr>
          </w:pPr>
          <w:r>
            <w:rPr>
              <w:rFonts w:eastAsia="Times New Roman"/>
            </w:rPr>
            <w:t xml:space="preserve">7. </w:t>
          </w:r>
          <w:r>
            <w:rPr>
              <w:rFonts w:eastAsia="Times New Roman"/>
            </w:rPr>
            <w:tab/>
            <w:t xml:space="preserve">Openneer TJC, Tárnok Z, Bognar E, Benaroya-Milshtein N, Garcia-Delgar B, Morer A, Steinberg T, Hoekstra PJ, Dietrich A. The Premonitory Urge for Tics Scale in a large sample of children and adolescents: psychometric properties in a developmental context. An EMTICS study. </w:t>
          </w:r>
          <w:r>
            <w:rPr>
              <w:rFonts w:eastAsia="Times New Roman"/>
              <w:i/>
              <w:iCs/>
            </w:rPr>
            <w:t>Eur Child Adolesc Psychiatry</w:t>
          </w:r>
          <w:r>
            <w:rPr>
              <w:rFonts w:eastAsia="Times New Roman"/>
            </w:rPr>
            <w:t xml:space="preserve"> (2020) 29:1411–1424. doi: 10.1007/s00787-019-01450-1</w:t>
          </w:r>
        </w:p>
        <w:p w14:paraId="3A5286A4" w14:textId="77777777" w:rsidR="00CF213F" w:rsidRDefault="00CF213F">
          <w:pPr>
            <w:autoSpaceDE w:val="0"/>
            <w:autoSpaceDN w:val="0"/>
            <w:ind w:hanging="640"/>
            <w:divId w:val="1727680655"/>
            <w:rPr>
              <w:rFonts w:eastAsia="Times New Roman"/>
            </w:rPr>
          </w:pPr>
          <w:r>
            <w:rPr>
              <w:rFonts w:eastAsia="Times New Roman"/>
            </w:rPr>
            <w:t xml:space="preserve">8. </w:t>
          </w:r>
          <w:r>
            <w:rPr>
              <w:rFonts w:eastAsia="Times New Roman"/>
            </w:rPr>
            <w:tab/>
            <w:t xml:space="preserve">Li Y, Woods DW, Gu Y, Yu L, Yan J, Wen F, Wang F, Liu J, Cui Y. Psychometric Properties of the Chinese Version of the Premonitory Urge for Tics Scale: A Preliminary Report. </w:t>
          </w:r>
          <w:r>
            <w:rPr>
              <w:rFonts w:eastAsia="Times New Roman"/>
              <w:i/>
              <w:iCs/>
            </w:rPr>
            <w:t>Front Psychol</w:t>
          </w:r>
          <w:r>
            <w:rPr>
              <w:rFonts w:eastAsia="Times New Roman"/>
            </w:rPr>
            <w:t xml:space="preserve"> (2021) 12:573803. doi: 10.3389/fpsyg.2021.573803</w:t>
          </w:r>
        </w:p>
        <w:p w14:paraId="0B042024" w14:textId="77777777" w:rsidR="00CF213F" w:rsidRDefault="00CF213F">
          <w:pPr>
            <w:autoSpaceDE w:val="0"/>
            <w:autoSpaceDN w:val="0"/>
            <w:ind w:hanging="640"/>
            <w:divId w:val="505096143"/>
            <w:rPr>
              <w:rFonts w:eastAsia="Times New Roman"/>
            </w:rPr>
          </w:pPr>
          <w:r>
            <w:rPr>
              <w:rFonts w:eastAsia="Times New Roman"/>
            </w:rPr>
            <w:t xml:space="preserve">9. </w:t>
          </w:r>
          <w:r>
            <w:rPr>
              <w:rFonts w:eastAsia="Times New Roman"/>
            </w:rPr>
            <w:tab/>
            <w:t xml:space="preserve">Baumung L, Müller-Vahl K, Dyke K, Jackson G, Jackson S, Golm D, Münchau A, Brandt V. Developing the Premonitory Urges for Tic Disorders Scale-Revised (PUTS-R). </w:t>
          </w:r>
          <w:r>
            <w:rPr>
              <w:rFonts w:eastAsia="Times New Roman"/>
              <w:i/>
              <w:iCs/>
            </w:rPr>
            <w:t>J Neuropsychol</w:t>
          </w:r>
          <w:r>
            <w:rPr>
              <w:rFonts w:eastAsia="Times New Roman"/>
            </w:rPr>
            <w:t xml:space="preserve"> (2021) 15:129–142. doi: 10.1111/jnp.12216</w:t>
          </w:r>
        </w:p>
        <w:p w14:paraId="3851C165" w14:textId="77777777" w:rsidR="00CF213F" w:rsidRDefault="00CF213F">
          <w:pPr>
            <w:autoSpaceDE w:val="0"/>
            <w:autoSpaceDN w:val="0"/>
            <w:ind w:hanging="640"/>
            <w:divId w:val="1117336070"/>
            <w:rPr>
              <w:rFonts w:eastAsia="Times New Roman"/>
            </w:rPr>
          </w:pPr>
          <w:r>
            <w:rPr>
              <w:rFonts w:eastAsia="Times New Roman"/>
            </w:rPr>
            <w:t xml:space="preserve">10. </w:t>
          </w:r>
          <w:r>
            <w:rPr>
              <w:rFonts w:eastAsia="Times New Roman"/>
            </w:rPr>
            <w:tab/>
            <w:t xml:space="preserve">Matsuda N, Nonaka M, Kono T, Fujio M, Nobuyoshi M, Kano Y. Premonitory Awareness Facilitates Tic Suppression: Subscales of the Premonitory Urge for Tics Scale and a New Self-Report Questionnaire for Tic-Associated Sensations. </w:t>
          </w:r>
          <w:r>
            <w:rPr>
              <w:rFonts w:eastAsia="Times New Roman"/>
              <w:i/>
              <w:iCs/>
            </w:rPr>
            <w:t>Front Psychiatry</w:t>
          </w:r>
          <w:r>
            <w:rPr>
              <w:rFonts w:eastAsia="Times New Roman"/>
            </w:rPr>
            <w:t xml:space="preserve"> (2020) 11:592. doi: 10.3389/fpsyt.2020.00592</w:t>
          </w:r>
        </w:p>
        <w:p w14:paraId="33752200" w14:textId="77777777" w:rsidR="00CF213F" w:rsidRDefault="00CF213F">
          <w:pPr>
            <w:autoSpaceDE w:val="0"/>
            <w:autoSpaceDN w:val="0"/>
            <w:ind w:hanging="640"/>
            <w:divId w:val="442379185"/>
            <w:rPr>
              <w:rFonts w:eastAsia="Times New Roman"/>
            </w:rPr>
          </w:pPr>
          <w:r>
            <w:rPr>
              <w:rFonts w:eastAsia="Times New Roman"/>
            </w:rPr>
            <w:t xml:space="preserve">11. </w:t>
          </w:r>
          <w:r>
            <w:rPr>
              <w:rFonts w:eastAsia="Times New Roman"/>
            </w:rPr>
            <w:tab/>
            <w:t xml:space="preserve">Brandt VC, Beck C, Sajin V, Anders S, Münchau A. Convergent validity of the PUTS. </w:t>
          </w:r>
          <w:r>
            <w:rPr>
              <w:rFonts w:eastAsia="Times New Roman"/>
              <w:i/>
              <w:iCs/>
            </w:rPr>
            <w:t>Front Psychiatry</w:t>
          </w:r>
          <w:r>
            <w:rPr>
              <w:rFonts w:eastAsia="Times New Roman"/>
            </w:rPr>
            <w:t xml:space="preserve"> (2016) 7: doi: 10.3389/fpsyt.2016.00051</w:t>
          </w:r>
        </w:p>
        <w:p w14:paraId="2FA61977" w14:textId="77777777" w:rsidR="00CF213F" w:rsidRDefault="00CF213F">
          <w:pPr>
            <w:autoSpaceDE w:val="0"/>
            <w:autoSpaceDN w:val="0"/>
            <w:ind w:hanging="640"/>
            <w:divId w:val="1145590435"/>
            <w:rPr>
              <w:rFonts w:eastAsia="Times New Roman"/>
            </w:rPr>
          </w:pPr>
          <w:r>
            <w:rPr>
              <w:rFonts w:eastAsia="Times New Roman"/>
            </w:rPr>
            <w:t xml:space="preserve">12. </w:t>
          </w:r>
          <w:r>
            <w:rPr>
              <w:rFonts w:eastAsia="Times New Roman"/>
            </w:rPr>
            <w:tab/>
            <w:t xml:space="preserve">Edwards KR, Raines JM, Winnick JB, Sherman MF, Higginson CI, Navin K, Conteh F, Ricketts EJ, Specht MW. Sex and psychiatric comorbidity correlates of the premonitory urge for tic scale in youth with persistent tic disorders. </w:t>
          </w:r>
          <w:r>
            <w:rPr>
              <w:rFonts w:eastAsia="Times New Roman"/>
              <w:i/>
              <w:iCs/>
            </w:rPr>
            <w:t>J Neural Transm (Vienna)</w:t>
          </w:r>
          <w:r>
            <w:rPr>
              <w:rFonts w:eastAsia="Times New Roman"/>
            </w:rPr>
            <w:t xml:space="preserve"> (2020) 127:977–985. doi: 10.1007/s00702-020-02151-9</w:t>
          </w:r>
        </w:p>
        <w:p w14:paraId="122BBE4E" w14:textId="77777777" w:rsidR="00CF213F" w:rsidRDefault="00CF213F">
          <w:pPr>
            <w:autoSpaceDE w:val="0"/>
            <w:autoSpaceDN w:val="0"/>
            <w:ind w:hanging="640"/>
            <w:divId w:val="1494562358"/>
            <w:rPr>
              <w:rFonts w:eastAsia="Times New Roman"/>
            </w:rPr>
          </w:pPr>
          <w:r>
            <w:rPr>
              <w:rFonts w:eastAsia="Times New Roman"/>
            </w:rPr>
            <w:t xml:space="preserve">13. </w:t>
          </w:r>
          <w:r>
            <w:rPr>
              <w:rFonts w:eastAsia="Times New Roman"/>
            </w:rPr>
            <w:tab/>
            <w:t xml:space="preserve">Zinner SH, Conelea CA, Glew GM, Woods DW, Budman CL. Peer victimization in youth with Tourette syndrome and other chronic tic disorders. </w:t>
          </w:r>
          <w:r>
            <w:rPr>
              <w:rFonts w:eastAsia="Times New Roman"/>
              <w:i/>
              <w:iCs/>
            </w:rPr>
            <w:t>Child Psychiatry Hum Dev</w:t>
          </w:r>
          <w:r>
            <w:rPr>
              <w:rFonts w:eastAsia="Times New Roman"/>
            </w:rPr>
            <w:t xml:space="preserve"> (2012) 43:124–136. doi: https://dx.doi.org/10.1007/s10578-011-0249-y</w:t>
          </w:r>
        </w:p>
        <w:p w14:paraId="3330622C" w14:textId="77777777" w:rsidR="00CF213F" w:rsidRDefault="00CF213F">
          <w:pPr>
            <w:autoSpaceDE w:val="0"/>
            <w:autoSpaceDN w:val="0"/>
            <w:ind w:hanging="640"/>
            <w:divId w:val="1055665334"/>
            <w:rPr>
              <w:rFonts w:eastAsia="Times New Roman"/>
            </w:rPr>
          </w:pPr>
          <w:r>
            <w:rPr>
              <w:rFonts w:eastAsia="Times New Roman"/>
            </w:rPr>
            <w:t xml:space="preserve">14. </w:t>
          </w:r>
          <w:r>
            <w:rPr>
              <w:rFonts w:eastAsia="Times New Roman"/>
            </w:rPr>
            <w:tab/>
            <w:t xml:space="preserve">Rozenman M, Johnson OE, Chang SW, Woods DW, Walkup JT, Wilhelm S, Peterson A, Scahill L, Piacentini J. Relationships between Premonitory Urge and Anxiety in Youth with Chronic Tic Disorders. </w:t>
          </w:r>
          <w:r>
            <w:rPr>
              <w:rFonts w:eastAsia="Times New Roman"/>
              <w:i/>
              <w:iCs/>
            </w:rPr>
            <w:t>Child Health Care</w:t>
          </w:r>
          <w:r>
            <w:rPr>
              <w:rFonts w:eastAsia="Times New Roman"/>
            </w:rPr>
            <w:t xml:space="preserve"> (2015) 44:235–248. doi: 10.1080/02739615.2014.986328</w:t>
          </w:r>
        </w:p>
        <w:p w14:paraId="6232EF6C" w14:textId="77777777" w:rsidR="00CF213F" w:rsidRDefault="00CF213F">
          <w:pPr>
            <w:autoSpaceDE w:val="0"/>
            <w:autoSpaceDN w:val="0"/>
            <w:ind w:hanging="640"/>
            <w:divId w:val="1397897243"/>
            <w:rPr>
              <w:rFonts w:eastAsia="Times New Roman"/>
            </w:rPr>
          </w:pPr>
          <w:r>
            <w:rPr>
              <w:rFonts w:eastAsia="Times New Roman"/>
            </w:rPr>
            <w:t xml:space="preserve">15. </w:t>
          </w:r>
          <w:r>
            <w:rPr>
              <w:rFonts w:eastAsia="Times New Roman"/>
            </w:rPr>
            <w:tab/>
            <w:t xml:space="preserve">Reese HE, Scahill L, Peterson AL, Crowe K, Woods DW, Piacentini J, Walkup JT, Wilhelm S. The premonitory urge to tic: measurement, characteristics, and correlates in older adolescents and adults. </w:t>
          </w:r>
          <w:r>
            <w:rPr>
              <w:rFonts w:eastAsia="Times New Roman"/>
              <w:i/>
              <w:iCs/>
            </w:rPr>
            <w:t>Behav Ther</w:t>
          </w:r>
          <w:r>
            <w:rPr>
              <w:rFonts w:eastAsia="Times New Roman"/>
            </w:rPr>
            <w:t xml:space="preserve"> (2014) 45:177–186. doi: 10.1016/j.beth.2013.09.002</w:t>
          </w:r>
        </w:p>
        <w:p w14:paraId="57180056" w14:textId="77777777" w:rsidR="00CF213F" w:rsidRDefault="00CF213F">
          <w:pPr>
            <w:autoSpaceDE w:val="0"/>
            <w:autoSpaceDN w:val="0"/>
            <w:ind w:hanging="640"/>
            <w:divId w:val="1874421780"/>
            <w:rPr>
              <w:rFonts w:eastAsia="Times New Roman"/>
            </w:rPr>
          </w:pPr>
          <w:r>
            <w:rPr>
              <w:rFonts w:eastAsia="Times New Roman"/>
            </w:rPr>
            <w:lastRenderedPageBreak/>
            <w:t xml:space="preserve">16. </w:t>
          </w:r>
          <w:r>
            <w:rPr>
              <w:rFonts w:eastAsia="Times New Roman"/>
            </w:rPr>
            <w:tab/>
            <w:t xml:space="preserve">Pile V, Lau JYF, Topor M, Hedderly T, Robinson S. Interoceptive Accuracy in Youth with Tic Disorders: Exploring Links with Premonitory Urge, Anxiety and Quality of Life. </w:t>
          </w:r>
          <w:r>
            <w:rPr>
              <w:rFonts w:eastAsia="Times New Roman"/>
              <w:i/>
              <w:iCs/>
            </w:rPr>
            <w:t>J Autism Dev Disord</w:t>
          </w:r>
          <w:r>
            <w:rPr>
              <w:rFonts w:eastAsia="Times New Roman"/>
            </w:rPr>
            <w:t xml:space="preserve"> (2018) 48:3474–3482. doi: 10.1007/s10803-018-3608-8</w:t>
          </w:r>
        </w:p>
        <w:p w14:paraId="4ED1D7FB" w14:textId="77777777" w:rsidR="00CF213F" w:rsidRDefault="00CF213F">
          <w:pPr>
            <w:autoSpaceDE w:val="0"/>
            <w:autoSpaceDN w:val="0"/>
            <w:ind w:hanging="640"/>
            <w:divId w:val="1925071966"/>
            <w:rPr>
              <w:rFonts w:eastAsia="Times New Roman"/>
            </w:rPr>
          </w:pPr>
          <w:r>
            <w:rPr>
              <w:rFonts w:eastAsia="Times New Roman"/>
            </w:rPr>
            <w:t xml:space="preserve">17. </w:t>
          </w:r>
          <w:r>
            <w:rPr>
              <w:rFonts w:eastAsia="Times New Roman"/>
            </w:rPr>
            <w:tab/>
            <w:t xml:space="preserve">Kyriazi M, Kalyva E, Vargiami E, Krikonis K, Zafeiriou D. Premonitory Urges and Their Link With Tic Severity in Children and Adolescents With Tic Disorders. </w:t>
          </w:r>
          <w:r>
            <w:rPr>
              <w:rFonts w:eastAsia="Times New Roman"/>
              <w:i/>
              <w:iCs/>
            </w:rPr>
            <w:t>Front Psychiatry</w:t>
          </w:r>
          <w:r>
            <w:rPr>
              <w:rFonts w:eastAsia="Times New Roman"/>
            </w:rPr>
            <w:t xml:space="preserve"> (2019) 10:569. doi: 10.3389/fpsyt.2019.00569</w:t>
          </w:r>
        </w:p>
        <w:p w14:paraId="635791DF" w14:textId="77777777" w:rsidR="00CF213F" w:rsidRDefault="00CF213F">
          <w:pPr>
            <w:autoSpaceDE w:val="0"/>
            <w:autoSpaceDN w:val="0"/>
            <w:ind w:hanging="640"/>
            <w:divId w:val="1627006789"/>
            <w:rPr>
              <w:rFonts w:eastAsia="Times New Roman"/>
            </w:rPr>
          </w:pPr>
          <w:r>
            <w:rPr>
              <w:rFonts w:eastAsia="Times New Roman"/>
            </w:rPr>
            <w:t xml:space="preserve">18. </w:t>
          </w:r>
          <w:r>
            <w:rPr>
              <w:rFonts w:eastAsia="Times New Roman"/>
            </w:rPr>
            <w:tab/>
            <w:t xml:space="preserve">Kim M, Chung SK, Yang JC, Park JI, Nam SH, Park TW. Development of the Korean Form of the Premonitory Urge for Tics Scale: A Reliability and Validity Study. </w:t>
          </w:r>
          <w:r>
            <w:rPr>
              <w:rFonts w:eastAsia="Times New Roman"/>
              <w:i/>
              <w:iCs/>
            </w:rPr>
            <w:t>Soa Chongsonyon Chongsin Uihak</w:t>
          </w:r>
          <w:r>
            <w:rPr>
              <w:rFonts w:eastAsia="Times New Roman"/>
            </w:rPr>
            <w:t xml:space="preserve"> (2020) 31:146–153. doi: 10.5765/jkacap.200013</w:t>
          </w:r>
        </w:p>
        <w:p w14:paraId="3184021D" w14:textId="77777777" w:rsidR="00CF213F" w:rsidRDefault="00CF213F">
          <w:pPr>
            <w:autoSpaceDE w:val="0"/>
            <w:autoSpaceDN w:val="0"/>
            <w:ind w:hanging="640"/>
            <w:divId w:val="495806042"/>
            <w:rPr>
              <w:rFonts w:eastAsia="Times New Roman"/>
            </w:rPr>
          </w:pPr>
          <w:r>
            <w:rPr>
              <w:rFonts w:eastAsia="Times New Roman"/>
            </w:rPr>
            <w:t xml:space="preserve">19. </w:t>
          </w:r>
          <w:r>
            <w:rPr>
              <w:rFonts w:eastAsia="Times New Roman"/>
            </w:rPr>
            <w:tab/>
            <w:t xml:space="preserve">Crossley E, Seri S, Stern JS, Robertson MM, Cavanna AE. Premonitory urges for tics in adult patients with Tourette syndrome. </w:t>
          </w:r>
          <w:r>
            <w:rPr>
              <w:rFonts w:eastAsia="Times New Roman"/>
              <w:i/>
              <w:iCs/>
            </w:rPr>
            <w:t>Brain Dev</w:t>
          </w:r>
          <w:r>
            <w:rPr>
              <w:rFonts w:eastAsia="Times New Roman"/>
            </w:rPr>
            <w:t xml:space="preserve"> (2014) 36:45–50. doi: 10.1016/j.braindev.2012.12.010</w:t>
          </w:r>
        </w:p>
        <w:p w14:paraId="3051CDCE" w14:textId="77777777" w:rsidR="00CF213F" w:rsidRDefault="00CF213F">
          <w:pPr>
            <w:autoSpaceDE w:val="0"/>
            <w:autoSpaceDN w:val="0"/>
            <w:ind w:hanging="640"/>
            <w:divId w:val="819345912"/>
            <w:rPr>
              <w:rFonts w:eastAsia="Times New Roman"/>
            </w:rPr>
          </w:pPr>
          <w:r>
            <w:rPr>
              <w:rFonts w:eastAsia="Times New Roman"/>
            </w:rPr>
            <w:t xml:space="preserve">20. </w:t>
          </w:r>
          <w:r>
            <w:rPr>
              <w:rFonts w:eastAsia="Times New Roman"/>
            </w:rPr>
            <w:tab/>
            <w:t xml:space="preserve">Isaacs D, Key AP, Cascio CJ, Conley AC, Walker HC, Wallace MT, Claassen DO. Sensory hypersensitivity severity and association with obsessive-compulsive symptoms in adults with tic disorder. </w:t>
          </w:r>
          <w:r>
            <w:rPr>
              <w:rFonts w:eastAsia="Times New Roman"/>
              <w:i/>
              <w:iCs/>
            </w:rPr>
            <w:t>Neuropsychiatr Dis Treat</w:t>
          </w:r>
          <w:r>
            <w:rPr>
              <w:rFonts w:eastAsia="Times New Roman"/>
            </w:rPr>
            <w:t xml:space="preserve"> (2020) 16:2591–2601. doi: 10.2147/NDT.S274165</w:t>
          </w:r>
        </w:p>
        <w:p w14:paraId="4D512550" w14:textId="77777777" w:rsidR="00CF213F" w:rsidRDefault="00CF213F">
          <w:pPr>
            <w:autoSpaceDE w:val="0"/>
            <w:autoSpaceDN w:val="0"/>
            <w:ind w:hanging="640"/>
            <w:divId w:val="1855806730"/>
            <w:rPr>
              <w:rFonts w:eastAsia="Times New Roman"/>
            </w:rPr>
          </w:pPr>
          <w:r>
            <w:rPr>
              <w:rFonts w:eastAsia="Times New Roman"/>
            </w:rPr>
            <w:t xml:space="preserve">21. </w:t>
          </w:r>
          <w:r>
            <w:rPr>
              <w:rFonts w:eastAsia="Times New Roman"/>
            </w:rPr>
            <w:tab/>
            <w:t xml:space="preserve">Schütteler C, Woitecki K, Döpfner M, Gerlach AL. Interoception and Premonitory Urges in Children and Adolescents With Tic Disorders. </w:t>
          </w:r>
          <w:r>
            <w:rPr>
              <w:rFonts w:eastAsia="Times New Roman"/>
              <w:i/>
              <w:iCs/>
            </w:rPr>
            <w:t>Clin Psychol Eur</w:t>
          </w:r>
          <w:r>
            <w:rPr>
              <w:rFonts w:eastAsia="Times New Roman"/>
            </w:rPr>
            <w:t xml:space="preserve"> (2023) 5:e8185-. doi: 10.32872/cpe.8185</w:t>
          </w:r>
        </w:p>
        <w:p w14:paraId="3D1140DC" w14:textId="77777777" w:rsidR="00CF213F" w:rsidRDefault="00CF213F">
          <w:pPr>
            <w:autoSpaceDE w:val="0"/>
            <w:autoSpaceDN w:val="0"/>
            <w:ind w:hanging="640"/>
            <w:divId w:val="1607230875"/>
            <w:rPr>
              <w:rFonts w:eastAsia="Times New Roman"/>
            </w:rPr>
          </w:pPr>
          <w:r>
            <w:rPr>
              <w:rFonts w:eastAsia="Times New Roman"/>
            </w:rPr>
            <w:t xml:space="preserve">22. </w:t>
          </w:r>
          <w:r>
            <w:rPr>
              <w:rFonts w:eastAsia="Times New Roman"/>
            </w:rPr>
            <w:tab/>
            <w:t xml:space="preserve">Sutherland Owens AN, Miguel EC, Swerdlow NR. Sensory gating scales and premonitory urges in Tourette syndrome. </w:t>
          </w:r>
          <w:r>
            <w:rPr>
              <w:rFonts w:eastAsia="Times New Roman"/>
              <w:i/>
              <w:iCs/>
            </w:rPr>
            <w:t>ScientificWorldJournal</w:t>
          </w:r>
          <w:r>
            <w:rPr>
              <w:rFonts w:eastAsia="Times New Roman"/>
            </w:rPr>
            <w:t xml:space="preserve"> (2011) 11:736–741. doi: 10.1100/tsw.2011.57</w:t>
          </w:r>
        </w:p>
        <w:p w14:paraId="59F206BF" w14:textId="77777777" w:rsidR="00CF213F" w:rsidRDefault="00CF213F">
          <w:pPr>
            <w:autoSpaceDE w:val="0"/>
            <w:autoSpaceDN w:val="0"/>
            <w:ind w:hanging="640"/>
            <w:divId w:val="475807166"/>
            <w:rPr>
              <w:rFonts w:eastAsia="Times New Roman"/>
            </w:rPr>
          </w:pPr>
          <w:r>
            <w:rPr>
              <w:rFonts w:eastAsia="Times New Roman"/>
            </w:rPr>
            <w:t xml:space="preserve">23. </w:t>
          </w:r>
          <w:r>
            <w:rPr>
              <w:rFonts w:eastAsia="Times New Roman"/>
            </w:rPr>
            <w:tab/>
            <w:t xml:space="preserve">Gerasch S, Kanaan AS, Jakubovski E, Muller-Vahl KR. Aripiprazole improves associated comorbid conditions in addition to tics in adult patients with Gilles de la Tourette Syndrome. </w:t>
          </w:r>
          <w:r>
            <w:rPr>
              <w:rFonts w:eastAsia="Times New Roman"/>
              <w:i/>
              <w:iCs/>
            </w:rPr>
            <w:t>Front Neurosci</w:t>
          </w:r>
          <w:r>
            <w:rPr>
              <w:rFonts w:eastAsia="Times New Roman"/>
            </w:rPr>
            <w:t xml:space="preserve"> (2016) 10:416. doi: https://dx.doi.org/10.3389/fnins.2016.00416</w:t>
          </w:r>
        </w:p>
        <w:p w14:paraId="34F9AA86" w14:textId="77777777" w:rsidR="00CF213F" w:rsidRDefault="00CF213F">
          <w:pPr>
            <w:autoSpaceDE w:val="0"/>
            <w:autoSpaceDN w:val="0"/>
            <w:ind w:hanging="640"/>
            <w:divId w:val="716054638"/>
            <w:rPr>
              <w:rFonts w:eastAsia="Times New Roman"/>
            </w:rPr>
          </w:pPr>
          <w:r>
            <w:rPr>
              <w:rFonts w:eastAsia="Times New Roman"/>
            </w:rPr>
            <w:t xml:space="preserve">24. </w:t>
          </w:r>
          <w:r>
            <w:rPr>
              <w:rFonts w:eastAsia="Times New Roman"/>
            </w:rPr>
            <w:tab/>
            <w:t xml:space="preserve">Rajagopal S, Cavanna AE. Premonitory urges and repetitive behaviours in adult patients with Tourette syndrome. </w:t>
          </w:r>
          <w:r>
            <w:rPr>
              <w:rFonts w:eastAsia="Times New Roman"/>
              <w:i/>
              <w:iCs/>
            </w:rPr>
            <w:t>Neurol Sci</w:t>
          </w:r>
          <w:r>
            <w:rPr>
              <w:rFonts w:eastAsia="Times New Roman"/>
            </w:rPr>
            <w:t xml:space="preserve"> (2014) 35:969–971. doi: 10.1007/s10072-014-1706-8</w:t>
          </w:r>
        </w:p>
        <w:p w14:paraId="690FA80D" w14:textId="77777777" w:rsidR="00CF213F" w:rsidRDefault="00CF213F">
          <w:pPr>
            <w:autoSpaceDE w:val="0"/>
            <w:autoSpaceDN w:val="0"/>
            <w:ind w:hanging="640"/>
            <w:divId w:val="702636348"/>
            <w:rPr>
              <w:rFonts w:eastAsia="Times New Roman"/>
            </w:rPr>
          </w:pPr>
          <w:r>
            <w:rPr>
              <w:rFonts w:eastAsia="Times New Roman"/>
            </w:rPr>
            <w:t xml:space="preserve">25. </w:t>
          </w:r>
          <w:r>
            <w:rPr>
              <w:rFonts w:eastAsia="Times New Roman"/>
            </w:rPr>
            <w:tab/>
            <w:t xml:space="preserve">Steinberg T, Harush A, Barnea M, Dar R, Piacentini J, Woods D, Shmuel-Baruch S, Apter A. Tic-related cognition, sensory phenomena, and anxiety in children and adolescents with Tourette syndrome. </w:t>
          </w:r>
          <w:r>
            <w:rPr>
              <w:rFonts w:eastAsia="Times New Roman"/>
              <w:i/>
              <w:iCs/>
            </w:rPr>
            <w:t>Compr Psychiatry</w:t>
          </w:r>
          <w:r>
            <w:rPr>
              <w:rFonts w:eastAsia="Times New Roman"/>
            </w:rPr>
            <w:t xml:space="preserve"> (2013) 54:462–466. doi: 10.1016/j.comppsych.2012.12.012</w:t>
          </w:r>
        </w:p>
        <w:p w14:paraId="18AEDE9B" w14:textId="77777777" w:rsidR="00CF213F" w:rsidRDefault="00CF213F">
          <w:pPr>
            <w:autoSpaceDE w:val="0"/>
            <w:autoSpaceDN w:val="0"/>
            <w:ind w:hanging="640"/>
            <w:divId w:val="1307973893"/>
            <w:rPr>
              <w:rFonts w:eastAsia="Times New Roman"/>
            </w:rPr>
          </w:pPr>
          <w:r>
            <w:rPr>
              <w:rFonts w:eastAsia="Times New Roman"/>
            </w:rPr>
            <w:t xml:space="preserve">26. </w:t>
          </w:r>
          <w:r>
            <w:rPr>
              <w:rFonts w:eastAsia="Times New Roman"/>
            </w:rPr>
            <w:tab/>
            <w:t xml:space="preserve">Eddy CM, Cavanna AE. Premonitory Urges in Adults With Complicated and Uncomplicated Tourette Syndrome. </w:t>
          </w:r>
          <w:r>
            <w:rPr>
              <w:rFonts w:eastAsia="Times New Roman"/>
              <w:i/>
              <w:iCs/>
            </w:rPr>
            <w:t>Behav Modif</w:t>
          </w:r>
          <w:r>
            <w:rPr>
              <w:rFonts w:eastAsia="Times New Roman"/>
            </w:rPr>
            <w:t xml:space="preserve"> (2014) 38:264–275. doi: https://dx.doi.org/10.1177/0145445513504432</w:t>
          </w:r>
        </w:p>
        <w:p w14:paraId="079E98A9" w14:textId="77777777" w:rsidR="00CF213F" w:rsidRDefault="00CF213F">
          <w:pPr>
            <w:autoSpaceDE w:val="0"/>
            <w:autoSpaceDN w:val="0"/>
            <w:ind w:hanging="640"/>
            <w:divId w:val="1629503706"/>
            <w:rPr>
              <w:rFonts w:eastAsia="Times New Roman"/>
            </w:rPr>
          </w:pPr>
          <w:r>
            <w:rPr>
              <w:rFonts w:eastAsia="Times New Roman"/>
            </w:rPr>
            <w:t xml:space="preserve">27. </w:t>
          </w:r>
          <w:r>
            <w:rPr>
              <w:rFonts w:eastAsia="Times New Roman"/>
            </w:rPr>
            <w:tab/>
            <w:t xml:space="preserve">Ramsey KA, Essoe JK, Storch EA, Lewin AB, Murphy TK, McGuire JF. Urge Intolerance and Impairment Among Youth with Tourette’s and Chronic Tic Disorders. </w:t>
          </w:r>
          <w:r>
            <w:rPr>
              <w:rFonts w:eastAsia="Times New Roman"/>
              <w:i/>
              <w:iCs/>
            </w:rPr>
            <w:t>Child Psychiatry Hum Dev</w:t>
          </w:r>
          <w:r>
            <w:rPr>
              <w:rFonts w:eastAsia="Times New Roman"/>
            </w:rPr>
            <w:t xml:space="preserve"> (2021) 52:761–771. doi: 10.1007/s10578-020-01085-3</w:t>
          </w:r>
        </w:p>
        <w:p w14:paraId="6A532F48" w14:textId="77777777" w:rsidR="00CF213F" w:rsidRDefault="00CF213F">
          <w:pPr>
            <w:autoSpaceDE w:val="0"/>
            <w:autoSpaceDN w:val="0"/>
            <w:ind w:hanging="640"/>
            <w:divId w:val="76829691"/>
            <w:rPr>
              <w:rFonts w:eastAsia="Times New Roman"/>
            </w:rPr>
          </w:pPr>
          <w:r>
            <w:rPr>
              <w:rFonts w:eastAsia="Times New Roman"/>
            </w:rPr>
            <w:t xml:space="preserve">28. </w:t>
          </w:r>
          <w:r>
            <w:rPr>
              <w:rFonts w:eastAsia="Times New Roman"/>
            </w:rPr>
            <w:tab/>
            <w:t xml:space="preserve">Barnea M, Benaroya-Milshtein N, Gilboa-Sechtman E, Woods DW, Piacentini J, Fennig S, Apter A, Steinberg T. Subjective versus objective measures of tic severity in Tourette </w:t>
          </w:r>
          <w:r>
            <w:rPr>
              <w:rFonts w:eastAsia="Times New Roman"/>
            </w:rPr>
            <w:lastRenderedPageBreak/>
            <w:t xml:space="preserve">syndrome - The influence of environment. </w:t>
          </w:r>
          <w:r>
            <w:rPr>
              <w:rFonts w:eastAsia="Times New Roman"/>
              <w:i/>
              <w:iCs/>
            </w:rPr>
            <w:t>Psychiatry Res</w:t>
          </w:r>
          <w:r>
            <w:rPr>
              <w:rFonts w:eastAsia="Times New Roman"/>
            </w:rPr>
            <w:t xml:space="preserve"> (2016) 242:204–209. doi: 10.1016/j.psychres.2016.05.047</w:t>
          </w:r>
        </w:p>
        <w:p w14:paraId="1449DD96" w14:textId="77777777" w:rsidR="00CF213F" w:rsidRDefault="00CF213F">
          <w:pPr>
            <w:autoSpaceDE w:val="0"/>
            <w:autoSpaceDN w:val="0"/>
            <w:ind w:hanging="640"/>
            <w:divId w:val="1643195840"/>
            <w:rPr>
              <w:rFonts w:eastAsia="Times New Roman"/>
            </w:rPr>
          </w:pPr>
          <w:r>
            <w:rPr>
              <w:rFonts w:eastAsia="Times New Roman"/>
            </w:rPr>
            <w:t xml:space="preserve">29. </w:t>
          </w:r>
          <w:r>
            <w:rPr>
              <w:rFonts w:eastAsia="Times New Roman"/>
            </w:rPr>
            <w:tab/>
            <w:t xml:space="preserve">Jackson SR, Loayza J, Crighton M, Sigurdsson HP, Dyke K, Jackson GM. The role of the insula in the generation of motor tics and the experience of the premonitory urge-to-tic in Tourette syndrome. </w:t>
          </w:r>
          <w:r>
            <w:rPr>
              <w:rFonts w:eastAsia="Times New Roman"/>
              <w:i/>
              <w:iCs/>
            </w:rPr>
            <w:t>Cortex</w:t>
          </w:r>
          <w:r>
            <w:rPr>
              <w:rFonts w:eastAsia="Times New Roman"/>
            </w:rPr>
            <w:t xml:space="preserve"> (2020) 126:119–133. doi: 10.1016/j.cortex.2019.12.021</w:t>
          </w:r>
        </w:p>
        <w:p w14:paraId="70C683B4" w14:textId="77777777" w:rsidR="00CF213F" w:rsidRDefault="00CF213F">
          <w:pPr>
            <w:autoSpaceDE w:val="0"/>
            <w:autoSpaceDN w:val="0"/>
            <w:ind w:hanging="640"/>
            <w:divId w:val="1112550139"/>
            <w:rPr>
              <w:rFonts w:eastAsia="Times New Roman"/>
            </w:rPr>
          </w:pPr>
          <w:r>
            <w:rPr>
              <w:rFonts w:eastAsia="Times New Roman"/>
            </w:rPr>
            <w:t xml:space="preserve">30. </w:t>
          </w:r>
          <w:r>
            <w:rPr>
              <w:rFonts w:eastAsia="Times New Roman"/>
            </w:rPr>
            <w:tab/>
            <w:t xml:space="preserve">Muller-Vahl KR, Riemann L, Bokemeyer S. Tourette patients’ misbelief of a tic rebound is due to overall difficulties in reliable tic rating. </w:t>
          </w:r>
          <w:r>
            <w:rPr>
              <w:rFonts w:eastAsia="Times New Roman"/>
              <w:i/>
              <w:iCs/>
            </w:rPr>
            <w:t>J Psychosom Res</w:t>
          </w:r>
          <w:r>
            <w:rPr>
              <w:rFonts w:eastAsia="Times New Roman"/>
            </w:rPr>
            <w:t xml:space="preserve"> (2014) 76:472–476. doi: https://dx.doi.org/10.1016/j.jpsychores.2014.03.003</w:t>
          </w:r>
        </w:p>
        <w:p w14:paraId="0AB783C9" w14:textId="77777777" w:rsidR="00CF213F" w:rsidRDefault="00CF213F">
          <w:pPr>
            <w:autoSpaceDE w:val="0"/>
            <w:autoSpaceDN w:val="0"/>
            <w:ind w:hanging="640"/>
            <w:divId w:val="1761293100"/>
            <w:rPr>
              <w:rFonts w:eastAsia="Times New Roman"/>
            </w:rPr>
          </w:pPr>
          <w:r>
            <w:rPr>
              <w:rFonts w:eastAsia="Times New Roman"/>
            </w:rPr>
            <w:t xml:space="preserve">31. </w:t>
          </w:r>
          <w:r>
            <w:rPr>
              <w:rFonts w:eastAsia="Times New Roman"/>
            </w:rPr>
            <w:tab/>
            <w:t xml:space="preserve">Isaacs DA, Riordan HR, Claassen DO. Clinical Correlates of Health-Related Quality of Life in Adults With Chronic Tic Disorder. </w:t>
          </w:r>
          <w:r>
            <w:rPr>
              <w:rFonts w:eastAsia="Times New Roman"/>
              <w:i/>
              <w:iCs/>
            </w:rPr>
            <w:t>Front Psychiatry</w:t>
          </w:r>
          <w:r>
            <w:rPr>
              <w:rFonts w:eastAsia="Times New Roman"/>
            </w:rPr>
            <w:t xml:space="preserve"> (2021) 12:619854. doi: https://dx.doi.org/10.3389/fpsyt.2021.619854</w:t>
          </w:r>
        </w:p>
        <w:p w14:paraId="3D475F01" w14:textId="77777777" w:rsidR="00CF213F" w:rsidRDefault="00CF213F">
          <w:pPr>
            <w:autoSpaceDE w:val="0"/>
            <w:autoSpaceDN w:val="0"/>
            <w:ind w:hanging="640"/>
            <w:divId w:val="840051721"/>
            <w:rPr>
              <w:rFonts w:eastAsia="Times New Roman"/>
            </w:rPr>
          </w:pPr>
          <w:r>
            <w:rPr>
              <w:rFonts w:eastAsia="Times New Roman"/>
            </w:rPr>
            <w:t xml:space="preserve">32. </w:t>
          </w:r>
          <w:r>
            <w:rPr>
              <w:rFonts w:eastAsia="Times New Roman"/>
            </w:rPr>
            <w:tab/>
            <w:t xml:space="preserve">Narapareddy A, Eckland MR, Riordan HR, Cascio CJ, Isaacs DA. Altered Interoceptive Sensibility in Adults With Chronic Tic Disorder. </w:t>
          </w:r>
          <w:r>
            <w:rPr>
              <w:rFonts w:eastAsia="Times New Roman"/>
              <w:i/>
              <w:iCs/>
            </w:rPr>
            <w:t>Front Psychiatry</w:t>
          </w:r>
          <w:r>
            <w:rPr>
              <w:rFonts w:eastAsia="Times New Roman"/>
            </w:rPr>
            <w:t xml:space="preserve"> (2022) 13: doi: 10.3389/fpsyt.2022.914897</w:t>
          </w:r>
        </w:p>
        <w:p w14:paraId="761490E9" w14:textId="77777777" w:rsidR="00CF213F" w:rsidRDefault="00CF213F">
          <w:pPr>
            <w:autoSpaceDE w:val="0"/>
            <w:autoSpaceDN w:val="0"/>
            <w:ind w:hanging="640"/>
            <w:divId w:val="1921522977"/>
            <w:rPr>
              <w:rFonts w:eastAsia="Times New Roman"/>
            </w:rPr>
          </w:pPr>
          <w:r>
            <w:rPr>
              <w:rFonts w:eastAsia="Times New Roman"/>
            </w:rPr>
            <w:t xml:space="preserve">33. </w:t>
          </w:r>
          <w:r>
            <w:rPr>
              <w:rFonts w:eastAsia="Times New Roman"/>
            </w:rPr>
            <w:tab/>
            <w:t xml:space="preserve">Ganos C, Kahl U, Schunke O, Kühn S, Haggard P, Gerloff C, Roessner V, Thomalla G, Münchau A. Are premonitory urges a prerequisite of tic inhibition in Gilles de la Tourette syndrome? </w:t>
          </w:r>
          <w:r>
            <w:rPr>
              <w:rFonts w:eastAsia="Times New Roman"/>
              <w:i/>
              <w:iCs/>
            </w:rPr>
            <w:t>J Neurol Neurosurg Psychiatry</w:t>
          </w:r>
          <w:r>
            <w:rPr>
              <w:rFonts w:eastAsia="Times New Roman"/>
            </w:rPr>
            <w:t xml:space="preserve"> (2012) 83:975–978. doi: 10.1136/jnnp-2012-303033</w:t>
          </w:r>
        </w:p>
        <w:p w14:paraId="0E083BE6" w14:textId="77777777" w:rsidR="00CF213F" w:rsidRDefault="00CF213F">
          <w:pPr>
            <w:autoSpaceDE w:val="0"/>
            <w:autoSpaceDN w:val="0"/>
            <w:ind w:hanging="640"/>
            <w:divId w:val="41442715"/>
            <w:rPr>
              <w:rFonts w:eastAsia="Times New Roman"/>
            </w:rPr>
          </w:pPr>
          <w:r>
            <w:rPr>
              <w:rFonts w:eastAsia="Times New Roman"/>
            </w:rPr>
            <w:t xml:space="preserve">34. </w:t>
          </w:r>
          <w:r>
            <w:rPr>
              <w:rFonts w:eastAsia="Times New Roman"/>
            </w:rPr>
            <w:tab/>
            <w:t xml:space="preserve">Kano Y, Matsuda N, Nonaka M, Fujio M, Kuwabara H, Kono T. Sensory phenomena related to tics, obsessive-compulsive symptoms, and global functioning in Tourette syndrome. </w:t>
          </w:r>
          <w:r>
            <w:rPr>
              <w:rFonts w:eastAsia="Times New Roman"/>
              <w:i/>
              <w:iCs/>
            </w:rPr>
            <w:t>Compr Psychiatry</w:t>
          </w:r>
          <w:r>
            <w:rPr>
              <w:rFonts w:eastAsia="Times New Roman"/>
            </w:rPr>
            <w:t xml:space="preserve"> (2015) 62:141–146. doi: 10.1016/j.comppsych.2015.07.006</w:t>
          </w:r>
        </w:p>
        <w:p w14:paraId="6CEEA6C4" w14:textId="77777777" w:rsidR="00CF213F" w:rsidRDefault="00CF213F">
          <w:pPr>
            <w:autoSpaceDE w:val="0"/>
            <w:autoSpaceDN w:val="0"/>
            <w:ind w:hanging="640"/>
            <w:divId w:val="680667036"/>
            <w:rPr>
              <w:rFonts w:eastAsia="Times New Roman"/>
            </w:rPr>
          </w:pPr>
          <w:r>
            <w:rPr>
              <w:rFonts w:eastAsia="Times New Roman"/>
            </w:rPr>
            <w:t xml:space="preserve">35. </w:t>
          </w:r>
          <w:r>
            <w:rPr>
              <w:rFonts w:eastAsia="Times New Roman"/>
            </w:rPr>
            <w:tab/>
            <w:t xml:space="preserve">Ganos C, Garrido A, Navalpotro-Gómez I, Ricciardi L, Martino D, Edwards MJ, Tsakiris M, Haggard P, Bhatia KP. Premonitory urge to tic in Tourette’s is associated with interoceptive awareness. </w:t>
          </w:r>
          <w:r>
            <w:rPr>
              <w:rFonts w:eastAsia="Times New Roman"/>
              <w:i/>
              <w:iCs/>
            </w:rPr>
            <w:t>Mov Disord</w:t>
          </w:r>
          <w:r>
            <w:rPr>
              <w:rFonts w:eastAsia="Times New Roman"/>
            </w:rPr>
            <w:t xml:space="preserve"> (2015) 30:1198–1202. doi: 10.1002/mds.26228</w:t>
          </w:r>
        </w:p>
        <w:p w14:paraId="1A80A098" w14:textId="77777777" w:rsidR="00CF213F" w:rsidRDefault="00CF213F">
          <w:pPr>
            <w:autoSpaceDE w:val="0"/>
            <w:autoSpaceDN w:val="0"/>
            <w:ind w:hanging="640"/>
            <w:divId w:val="715858431"/>
            <w:rPr>
              <w:rFonts w:eastAsia="Times New Roman"/>
            </w:rPr>
          </w:pPr>
          <w:r>
            <w:rPr>
              <w:rFonts w:eastAsia="Times New Roman"/>
            </w:rPr>
            <w:t xml:space="preserve">36. </w:t>
          </w:r>
          <w:r>
            <w:rPr>
              <w:rFonts w:eastAsia="Times New Roman"/>
            </w:rPr>
            <w:tab/>
            <w:t xml:space="preserve">Draper A, Jackson GM, Morgan PS, Jackson SR. Premonitory urges are associated with decreased grey matter thickness within the insula and sensorimotor cortex in young people with Tourette syndrome. </w:t>
          </w:r>
          <w:r>
            <w:rPr>
              <w:rFonts w:eastAsia="Times New Roman"/>
              <w:i/>
              <w:iCs/>
            </w:rPr>
            <w:t>J Neuropsychol</w:t>
          </w:r>
          <w:r>
            <w:rPr>
              <w:rFonts w:eastAsia="Times New Roman"/>
            </w:rPr>
            <w:t xml:space="preserve"> (2016) 10:143–153. doi: 10.1111/jnp.12089</w:t>
          </w:r>
        </w:p>
        <w:p w14:paraId="539DB691" w14:textId="77777777" w:rsidR="00CF213F" w:rsidRDefault="00CF213F">
          <w:pPr>
            <w:autoSpaceDE w:val="0"/>
            <w:autoSpaceDN w:val="0"/>
            <w:ind w:hanging="640"/>
            <w:divId w:val="886331871"/>
            <w:rPr>
              <w:rFonts w:eastAsia="Times New Roman"/>
            </w:rPr>
          </w:pPr>
          <w:r>
            <w:rPr>
              <w:rFonts w:eastAsia="Times New Roman"/>
            </w:rPr>
            <w:t xml:space="preserve">37. </w:t>
          </w:r>
          <w:r>
            <w:rPr>
              <w:rFonts w:eastAsia="Times New Roman"/>
            </w:rPr>
            <w:tab/>
            <w:t xml:space="preserve">Gu Y, Li Y, Cui Y. Correlation between premonitory urges and tic symptoms in a Chinese population with tic disorders. </w:t>
          </w:r>
          <w:r>
            <w:rPr>
              <w:rFonts w:eastAsia="Times New Roman"/>
              <w:i/>
              <w:iCs/>
            </w:rPr>
            <w:t>Pediatr Investig</w:t>
          </w:r>
          <w:r>
            <w:rPr>
              <w:rFonts w:eastAsia="Times New Roman"/>
            </w:rPr>
            <w:t xml:space="preserve"> (2020) 4:86–90. doi: 10.1002/ped4.12189</w:t>
          </w:r>
        </w:p>
        <w:p w14:paraId="6471C03A" w14:textId="77777777" w:rsidR="00CF213F" w:rsidRDefault="00CF213F">
          <w:pPr>
            <w:autoSpaceDE w:val="0"/>
            <w:autoSpaceDN w:val="0"/>
            <w:ind w:hanging="640"/>
            <w:divId w:val="1589388455"/>
            <w:rPr>
              <w:rFonts w:eastAsia="Times New Roman"/>
            </w:rPr>
          </w:pPr>
          <w:r>
            <w:rPr>
              <w:rFonts w:eastAsia="Times New Roman"/>
            </w:rPr>
            <w:t xml:space="preserve">38. </w:t>
          </w:r>
          <w:r>
            <w:rPr>
              <w:rFonts w:eastAsia="Times New Roman"/>
            </w:rPr>
            <w:tab/>
            <w:t xml:space="preserve">Ramsey KA, De Nadai AS, Espil FM, Ricketts E, Stiede JT, Schild J, Specht MW, Woods DW, Bennet S, Walkup JT, et al. Urge intolerance predicts tic severity and impairment among adults with Tourette syndrome and chronic tic disorders. </w:t>
          </w:r>
          <w:r>
            <w:rPr>
              <w:rFonts w:eastAsia="Times New Roman"/>
              <w:i/>
              <w:iCs/>
            </w:rPr>
            <w:t>Front Psychiatry</w:t>
          </w:r>
          <w:r>
            <w:rPr>
              <w:rFonts w:eastAsia="Times New Roman"/>
            </w:rPr>
            <w:t xml:space="preserve"> (2022) 13:929413. doi: https://dx.doi.org/10.3389/fpsyt.2022.929413</w:t>
          </w:r>
        </w:p>
        <w:p w14:paraId="7AE84BF4" w14:textId="77777777" w:rsidR="00CF213F" w:rsidRDefault="00CF213F">
          <w:pPr>
            <w:autoSpaceDE w:val="0"/>
            <w:autoSpaceDN w:val="0"/>
            <w:ind w:hanging="640"/>
            <w:divId w:val="781606998"/>
            <w:rPr>
              <w:rFonts w:eastAsia="Times New Roman"/>
            </w:rPr>
          </w:pPr>
          <w:r>
            <w:rPr>
              <w:rFonts w:eastAsia="Times New Roman"/>
            </w:rPr>
            <w:t xml:space="preserve">39. </w:t>
          </w:r>
          <w:r>
            <w:rPr>
              <w:rFonts w:eastAsia="Times New Roman"/>
            </w:rPr>
            <w:tab/>
            <w:t xml:space="preserve">Capriotti MR, Espil FM, Conelea CA, Woods DW. Environmental factors as potential determinants of premonitory urge severity in youth with Tourette syndrome. </w:t>
          </w:r>
          <w:r>
            <w:rPr>
              <w:rFonts w:eastAsia="Times New Roman"/>
              <w:i/>
              <w:iCs/>
            </w:rPr>
            <w:t>J Obsessive Compuls Relat Disord</w:t>
          </w:r>
          <w:r>
            <w:rPr>
              <w:rFonts w:eastAsia="Times New Roman"/>
            </w:rPr>
            <w:t xml:space="preserve"> (2013) 2:37–42. doi: https://dx.doi.org/10.1016/j.jocrd.2012.10.004</w:t>
          </w:r>
        </w:p>
        <w:p w14:paraId="3CB6DC82" w14:textId="77777777" w:rsidR="00CF213F" w:rsidRDefault="00CF213F">
          <w:pPr>
            <w:autoSpaceDE w:val="0"/>
            <w:autoSpaceDN w:val="0"/>
            <w:ind w:hanging="640"/>
            <w:divId w:val="1723367278"/>
            <w:rPr>
              <w:rFonts w:eastAsia="Times New Roman"/>
            </w:rPr>
          </w:pPr>
          <w:r>
            <w:rPr>
              <w:rFonts w:eastAsia="Times New Roman"/>
            </w:rPr>
            <w:lastRenderedPageBreak/>
            <w:t xml:space="preserve">40. </w:t>
          </w:r>
          <w:r>
            <w:rPr>
              <w:rFonts w:eastAsia="Times New Roman"/>
            </w:rPr>
            <w:tab/>
            <w:t xml:space="preserve">Brandt V, Otte JH, Fremer C, Jakubovski E, Müller-Vahl K. Non-just-right experiences are more closely related to OCD than tics in Tourette patients. </w:t>
          </w:r>
          <w:r>
            <w:rPr>
              <w:rFonts w:eastAsia="Times New Roman"/>
              <w:i/>
              <w:iCs/>
            </w:rPr>
            <w:t>Sci Rep</w:t>
          </w:r>
          <w:r>
            <w:rPr>
              <w:rFonts w:eastAsia="Times New Roman"/>
            </w:rPr>
            <w:t xml:space="preserve"> (2023) 13:19627. doi: 10.1038/s41598-023-37658-0</w:t>
          </w:r>
        </w:p>
        <w:p w14:paraId="4E362D49" w14:textId="77777777" w:rsidR="00CF213F" w:rsidRDefault="00CF213F">
          <w:pPr>
            <w:autoSpaceDE w:val="0"/>
            <w:autoSpaceDN w:val="0"/>
            <w:ind w:hanging="640"/>
            <w:divId w:val="1119645903"/>
            <w:rPr>
              <w:rFonts w:eastAsia="Times New Roman"/>
            </w:rPr>
          </w:pPr>
          <w:r>
            <w:rPr>
              <w:rFonts w:eastAsia="Times New Roman"/>
            </w:rPr>
            <w:t xml:space="preserve">41. </w:t>
          </w:r>
          <w:r>
            <w:rPr>
              <w:rFonts w:eastAsia="Times New Roman"/>
            </w:rPr>
            <w:tab/>
            <w:t xml:space="preserve">Kano Y, Fujio M, Kaji N, Matsuda N, Nonaka M, Kono T. Changes in Sensory Phenomena, Tics, Obsessive-Compulsive Symptoms, and Global Functioning of Tourette Syndrome: A Follow-Up After Four Years. </w:t>
          </w:r>
          <w:r>
            <w:rPr>
              <w:rFonts w:eastAsia="Times New Roman"/>
              <w:i/>
              <w:iCs/>
            </w:rPr>
            <w:t>Front Psychiatry</w:t>
          </w:r>
          <w:r>
            <w:rPr>
              <w:rFonts w:eastAsia="Times New Roman"/>
            </w:rPr>
            <w:t xml:space="preserve"> (2020) 11:619. doi: 10.3389/fpsyt.2020.00619</w:t>
          </w:r>
        </w:p>
        <w:p w14:paraId="0F741CFE" w14:textId="77777777" w:rsidR="00CF213F" w:rsidRDefault="00CF213F">
          <w:pPr>
            <w:autoSpaceDE w:val="0"/>
            <w:autoSpaceDN w:val="0"/>
            <w:ind w:hanging="640"/>
            <w:divId w:val="1800026454"/>
            <w:rPr>
              <w:rFonts w:eastAsia="Times New Roman"/>
            </w:rPr>
          </w:pPr>
          <w:r>
            <w:rPr>
              <w:rFonts w:eastAsia="Times New Roman"/>
            </w:rPr>
            <w:t xml:space="preserve">42. </w:t>
          </w:r>
          <w:r>
            <w:rPr>
              <w:rFonts w:eastAsia="Times New Roman"/>
            </w:rPr>
            <w:tab/>
            <w:t xml:space="preserve">Brandt VC, Niessen E, Ganos C, Kahl U, Bäumer T, Münchau A. Altered synaptic plasticity in Tourette’s syndrome and its relationship to motor skill learning. </w:t>
          </w:r>
          <w:r>
            <w:rPr>
              <w:rFonts w:eastAsia="Times New Roman"/>
              <w:i/>
              <w:iCs/>
            </w:rPr>
            <w:t>PLoS One</w:t>
          </w:r>
          <w:r>
            <w:rPr>
              <w:rFonts w:eastAsia="Times New Roman"/>
            </w:rPr>
            <w:t xml:space="preserve"> (2014) 9:e98417-. doi: 10.1371/journal.pone.0098417</w:t>
          </w:r>
        </w:p>
        <w:p w14:paraId="7488FD15" w14:textId="77777777" w:rsidR="00CF213F" w:rsidRDefault="00CF213F">
          <w:pPr>
            <w:autoSpaceDE w:val="0"/>
            <w:autoSpaceDN w:val="0"/>
            <w:ind w:hanging="640"/>
            <w:divId w:val="590623905"/>
            <w:rPr>
              <w:rFonts w:eastAsia="Times New Roman"/>
            </w:rPr>
          </w:pPr>
          <w:r>
            <w:rPr>
              <w:rFonts w:eastAsia="Times New Roman"/>
            </w:rPr>
            <w:t xml:space="preserve">43. </w:t>
          </w:r>
          <w:r>
            <w:rPr>
              <w:rFonts w:eastAsia="Times New Roman"/>
            </w:rPr>
            <w:tab/>
            <w:t xml:space="preserve">McGuire JF, McBride N, Piacentini J, Johnco C, Lewin AB, Murphy TK, Storch EA. The premonitory urge revisited: An individualized premonitory urge for tics scale. </w:t>
          </w:r>
          <w:r>
            <w:rPr>
              <w:rFonts w:eastAsia="Times New Roman"/>
              <w:i/>
              <w:iCs/>
            </w:rPr>
            <w:t>J Psychiatr Res</w:t>
          </w:r>
          <w:r>
            <w:rPr>
              <w:rFonts w:eastAsia="Times New Roman"/>
            </w:rPr>
            <w:t xml:space="preserve"> (2016) 83:176–183. doi: 10.1016/j.jpsychires.2016.09.007</w:t>
          </w:r>
        </w:p>
        <w:p w14:paraId="46621367" w14:textId="77777777" w:rsidR="00CF213F" w:rsidRDefault="00CF213F">
          <w:pPr>
            <w:autoSpaceDE w:val="0"/>
            <w:autoSpaceDN w:val="0"/>
            <w:ind w:hanging="640"/>
            <w:divId w:val="317930045"/>
            <w:rPr>
              <w:rFonts w:eastAsia="Times New Roman"/>
            </w:rPr>
          </w:pPr>
          <w:r>
            <w:rPr>
              <w:rFonts w:eastAsia="Times New Roman"/>
            </w:rPr>
            <w:t xml:space="preserve">44. </w:t>
          </w:r>
          <w:r>
            <w:rPr>
              <w:rFonts w:eastAsia="Times New Roman"/>
            </w:rPr>
            <w:tab/>
            <w:t xml:space="preserve">Larsh TR, Huddleston DA, Horn PS, Wu SW, Cecil KM, Jackson HS, Edden RAE, Mostofsky SH, Gilbert DL. From urges to tics in children with Tourette syndrome: associations with supplementary motor area GABA and right motor cortex physiology. </w:t>
          </w:r>
          <w:r>
            <w:rPr>
              <w:rFonts w:eastAsia="Times New Roman"/>
              <w:i/>
              <w:iCs/>
            </w:rPr>
            <w:t>Cereb Cortex</w:t>
          </w:r>
          <w:r>
            <w:rPr>
              <w:rFonts w:eastAsia="Times New Roman"/>
            </w:rPr>
            <w:t xml:space="preserve"> (2022) doi: https://dx.doi.org/10.1093/cercor/bhac316</w:t>
          </w:r>
        </w:p>
        <w:p w14:paraId="3B8F2B2A" w14:textId="77777777" w:rsidR="00CF213F" w:rsidRDefault="00CF213F">
          <w:pPr>
            <w:autoSpaceDE w:val="0"/>
            <w:autoSpaceDN w:val="0"/>
            <w:ind w:hanging="640"/>
            <w:divId w:val="1404378602"/>
            <w:rPr>
              <w:rFonts w:eastAsia="Times New Roman"/>
            </w:rPr>
          </w:pPr>
          <w:r>
            <w:rPr>
              <w:rFonts w:eastAsia="Times New Roman"/>
            </w:rPr>
            <w:t xml:space="preserve">45. </w:t>
          </w:r>
          <w:r>
            <w:rPr>
              <w:rFonts w:eastAsia="Times New Roman"/>
            </w:rPr>
            <w:tab/>
            <w:t xml:space="preserve">Batschelett MA, Huddleston DA, Crocetti D, Horn PS, Mostofsky SH, Gilbert DL. Biomarkers of tic severity in children with Tourette syndrome: Motor cortex inhibition measured with transcranial magnetic stimulation. </w:t>
          </w:r>
          <w:r>
            <w:rPr>
              <w:rFonts w:eastAsia="Times New Roman"/>
              <w:i/>
              <w:iCs/>
            </w:rPr>
            <w:t>Dev Med Child Neurol</w:t>
          </w:r>
          <w:r>
            <w:rPr>
              <w:rFonts w:eastAsia="Times New Roman"/>
            </w:rPr>
            <w:t xml:space="preserve"> (2023) 65:1321–1331. doi: 10.1111/dmcn.15578</w:t>
          </w:r>
        </w:p>
        <w:p w14:paraId="7E77AE70" w14:textId="77777777" w:rsidR="00CF213F" w:rsidRDefault="00CF213F">
          <w:pPr>
            <w:autoSpaceDE w:val="0"/>
            <w:autoSpaceDN w:val="0"/>
            <w:ind w:hanging="640"/>
            <w:divId w:val="405886914"/>
            <w:rPr>
              <w:rFonts w:eastAsia="Times New Roman"/>
            </w:rPr>
          </w:pPr>
          <w:r>
            <w:rPr>
              <w:rFonts w:eastAsia="Times New Roman"/>
            </w:rPr>
            <w:t xml:space="preserve">46. </w:t>
          </w:r>
          <w:r>
            <w:rPr>
              <w:rFonts w:eastAsia="Times New Roman"/>
            </w:rPr>
            <w:tab/>
            <w:t xml:space="preserve">Che G, Ren W, McGuire JF, Li P, Zhao Z, Tian J, Zhang J, Zhang Y. Clinical evaluation of premonitory urges in children and adolescents using the Chinese version of Individualized Premonitory Urge for Tics Scale. </w:t>
          </w:r>
          <w:r>
            <w:rPr>
              <w:rFonts w:eastAsia="Times New Roman"/>
              <w:i/>
              <w:iCs/>
            </w:rPr>
            <w:t>Front Psychiatry</w:t>
          </w:r>
          <w:r>
            <w:rPr>
              <w:rFonts w:eastAsia="Times New Roman"/>
            </w:rPr>
            <w:t xml:space="preserve"> (2023) 14:1224825. doi: 10.3389/fpsyt.2023.1224825</w:t>
          </w:r>
        </w:p>
        <w:p w14:paraId="506C0A21" w14:textId="77777777" w:rsidR="00CF213F" w:rsidRDefault="00CF213F">
          <w:pPr>
            <w:autoSpaceDE w:val="0"/>
            <w:autoSpaceDN w:val="0"/>
            <w:ind w:hanging="640"/>
            <w:divId w:val="1022392767"/>
            <w:rPr>
              <w:rFonts w:eastAsia="Times New Roman"/>
            </w:rPr>
          </w:pPr>
          <w:r>
            <w:rPr>
              <w:rFonts w:eastAsia="Times New Roman"/>
            </w:rPr>
            <w:t xml:space="preserve">47. </w:t>
          </w:r>
          <w:r>
            <w:rPr>
              <w:rFonts w:eastAsia="Times New Roman"/>
            </w:rPr>
            <w:tab/>
            <w:t xml:space="preserve">Li Y, Yan JJ, Cui YH. Clinical characteristics of pediatric patients with treatment-refractory Tourette syndrome: An evidence-based survey in a Chinese population. </w:t>
          </w:r>
          <w:r>
            <w:rPr>
              <w:rFonts w:eastAsia="Times New Roman"/>
              <w:i/>
              <w:iCs/>
            </w:rPr>
            <w:t>World J Psychiatry</w:t>
          </w:r>
          <w:r>
            <w:rPr>
              <w:rFonts w:eastAsia="Times New Roman"/>
            </w:rPr>
            <w:t xml:space="preserve"> (2022) 12:958–969. doi: 10.5498/wjp.v12.i7.958</w:t>
          </w:r>
        </w:p>
        <w:p w14:paraId="5BCD6F2D" w14:textId="77777777" w:rsidR="00CF213F" w:rsidRDefault="00CF213F">
          <w:pPr>
            <w:autoSpaceDE w:val="0"/>
            <w:autoSpaceDN w:val="0"/>
            <w:ind w:hanging="640"/>
            <w:divId w:val="894513145"/>
            <w:rPr>
              <w:rFonts w:eastAsia="Times New Roman"/>
            </w:rPr>
          </w:pPr>
          <w:r>
            <w:rPr>
              <w:rFonts w:eastAsia="Times New Roman"/>
            </w:rPr>
            <w:t xml:space="preserve">48. </w:t>
          </w:r>
          <w:r>
            <w:rPr>
              <w:rFonts w:eastAsia="Times New Roman"/>
            </w:rPr>
            <w:tab/>
            <w:t xml:space="preserve">Sambrani T, Jakubovski E, Muller-Vahl KR. New insights into clinical characteristics of Gilles de la Tourette syndrome: Findings in 1032 patients from a single German center. </w:t>
          </w:r>
          <w:r>
            <w:rPr>
              <w:rFonts w:eastAsia="Times New Roman"/>
              <w:i/>
              <w:iCs/>
            </w:rPr>
            <w:t>Front Neurosci</w:t>
          </w:r>
          <w:r>
            <w:rPr>
              <w:rFonts w:eastAsia="Times New Roman"/>
            </w:rPr>
            <w:t xml:space="preserve"> (2016) 10:415. doi: https://dx.doi.org/10.3389/fnins.2016.00415</w:t>
          </w:r>
        </w:p>
        <w:p w14:paraId="732EED5B" w14:textId="77777777" w:rsidR="00CF213F" w:rsidRDefault="00CF213F">
          <w:pPr>
            <w:autoSpaceDE w:val="0"/>
            <w:autoSpaceDN w:val="0"/>
            <w:ind w:hanging="640"/>
            <w:divId w:val="173349503"/>
            <w:rPr>
              <w:rFonts w:eastAsia="Times New Roman"/>
            </w:rPr>
          </w:pPr>
          <w:r>
            <w:rPr>
              <w:rFonts w:eastAsia="Times New Roman"/>
            </w:rPr>
            <w:t xml:space="preserve">49. </w:t>
          </w:r>
          <w:r>
            <w:rPr>
              <w:rFonts w:eastAsia="Times New Roman"/>
            </w:rPr>
            <w:tab/>
            <w:t xml:space="preserve">Eapen V, Robertson MM. Are there distinct subtypes in Tourette syndrome? Pure-Tourette syndrome versus Tourette syndrome-plus, and simple versus complex tics. </w:t>
          </w:r>
          <w:r>
            <w:rPr>
              <w:rFonts w:eastAsia="Times New Roman"/>
              <w:i/>
              <w:iCs/>
            </w:rPr>
            <w:t>Neuropsychiatr Dis Treat</w:t>
          </w:r>
          <w:r>
            <w:rPr>
              <w:rFonts w:eastAsia="Times New Roman"/>
            </w:rPr>
            <w:t xml:space="preserve"> (2015) 11:1431–1436. doi: https://dx.doi.org/10.2147/NDT.S72284</w:t>
          </w:r>
        </w:p>
        <w:p w14:paraId="6A54BE5B" w14:textId="77777777" w:rsidR="00CF213F" w:rsidRDefault="00CF213F">
          <w:pPr>
            <w:autoSpaceDE w:val="0"/>
            <w:autoSpaceDN w:val="0"/>
            <w:ind w:hanging="640"/>
            <w:divId w:val="474446589"/>
            <w:rPr>
              <w:rFonts w:eastAsia="Times New Roman"/>
            </w:rPr>
          </w:pPr>
          <w:r>
            <w:rPr>
              <w:rFonts w:eastAsia="Times New Roman"/>
            </w:rPr>
            <w:t xml:space="preserve">50. </w:t>
          </w:r>
          <w:r>
            <w:rPr>
              <w:rFonts w:eastAsia="Times New Roman"/>
            </w:rPr>
            <w:tab/>
            <w:t xml:space="preserve">Kaczyńska J, Janik P. Tonic Tics in Gilles de la Tourette Syndrome. </w:t>
          </w:r>
          <w:r>
            <w:rPr>
              <w:rFonts w:eastAsia="Times New Roman"/>
              <w:i/>
              <w:iCs/>
            </w:rPr>
            <w:t>Neuropediatrics</w:t>
          </w:r>
          <w:r>
            <w:rPr>
              <w:rFonts w:eastAsia="Times New Roman"/>
            </w:rPr>
            <w:t xml:space="preserve"> (2021) 52:370–376. doi: 10.1055/s-0040-1722689</w:t>
          </w:r>
        </w:p>
        <w:p w14:paraId="5017A477" w14:textId="77777777" w:rsidR="00CF213F" w:rsidRDefault="00CF213F">
          <w:pPr>
            <w:autoSpaceDE w:val="0"/>
            <w:autoSpaceDN w:val="0"/>
            <w:ind w:hanging="640"/>
            <w:divId w:val="1832139596"/>
            <w:rPr>
              <w:rFonts w:eastAsia="Times New Roman"/>
            </w:rPr>
          </w:pPr>
          <w:r>
            <w:rPr>
              <w:rFonts w:eastAsia="Times New Roman"/>
            </w:rPr>
            <w:t xml:space="preserve">51. </w:t>
          </w:r>
          <w:r>
            <w:rPr>
              <w:rFonts w:eastAsia="Times New Roman"/>
            </w:rPr>
            <w:tab/>
            <w:t xml:space="preserve">Crossley E, Cavanna AE. Sensory phenomena: clinical correlates and impact on quality of life in adult patients with Tourette syndrome. </w:t>
          </w:r>
          <w:r>
            <w:rPr>
              <w:rFonts w:eastAsia="Times New Roman"/>
              <w:i/>
              <w:iCs/>
            </w:rPr>
            <w:t>Psychiatry Res</w:t>
          </w:r>
          <w:r>
            <w:rPr>
              <w:rFonts w:eastAsia="Times New Roman"/>
            </w:rPr>
            <w:t xml:space="preserve"> (2013) 209:705–710. doi: 10.1016/j.psychres.2013.04.019</w:t>
          </w:r>
        </w:p>
        <w:p w14:paraId="360D494A" w14:textId="77777777" w:rsidR="00CF213F" w:rsidRDefault="00CF213F">
          <w:pPr>
            <w:autoSpaceDE w:val="0"/>
            <w:autoSpaceDN w:val="0"/>
            <w:ind w:hanging="640"/>
            <w:divId w:val="1971739920"/>
            <w:rPr>
              <w:rFonts w:eastAsia="Times New Roman"/>
            </w:rPr>
          </w:pPr>
          <w:r>
            <w:rPr>
              <w:rFonts w:eastAsia="Times New Roman"/>
            </w:rPr>
            <w:lastRenderedPageBreak/>
            <w:t xml:space="preserve">52. </w:t>
          </w:r>
          <w:r>
            <w:rPr>
              <w:rFonts w:eastAsia="Times New Roman"/>
            </w:rPr>
            <w:tab/>
            <w:t xml:space="preserve">Brandt V, Essing J, Jakubovski E, Müller-Vahl K. Premonitory Urge and Tic Severity, Comorbidities, and Quality of Life in Chronic Tic Disorders. </w:t>
          </w:r>
          <w:r>
            <w:rPr>
              <w:rFonts w:eastAsia="Times New Roman"/>
              <w:i/>
              <w:iCs/>
            </w:rPr>
            <w:t>Mov Disord Clin Pract</w:t>
          </w:r>
          <w:r>
            <w:rPr>
              <w:rFonts w:eastAsia="Times New Roman"/>
            </w:rPr>
            <w:t xml:space="preserve"> (2023) 10:922–932. doi: 10.1002/mdc3.13742</w:t>
          </w:r>
        </w:p>
        <w:p w14:paraId="36C1707A" w14:textId="77777777" w:rsidR="00CF213F" w:rsidRDefault="00CF213F">
          <w:pPr>
            <w:autoSpaceDE w:val="0"/>
            <w:autoSpaceDN w:val="0"/>
            <w:ind w:hanging="640"/>
            <w:divId w:val="1200432346"/>
            <w:rPr>
              <w:rFonts w:eastAsia="Times New Roman"/>
            </w:rPr>
          </w:pPr>
          <w:r>
            <w:rPr>
              <w:rFonts w:eastAsia="Times New Roman"/>
            </w:rPr>
            <w:t xml:space="preserve">53. </w:t>
          </w:r>
          <w:r>
            <w:rPr>
              <w:rFonts w:eastAsia="Times New Roman"/>
            </w:rPr>
            <w:tab/>
            <w:t xml:space="preserve">Langelage J, Verrel J, Friedrich J, Siekmann A, Schappert R, Bluschke A, Roessner V, Paulus T, Bäumer T, Frings C, et al. Urge-tic associations in children and adolescents with Tourette syndrome. </w:t>
          </w:r>
          <w:r>
            <w:rPr>
              <w:rFonts w:eastAsia="Times New Roman"/>
              <w:i/>
              <w:iCs/>
            </w:rPr>
            <w:t>Sci Rep</w:t>
          </w:r>
          <w:r>
            <w:rPr>
              <w:rFonts w:eastAsia="Times New Roman"/>
            </w:rPr>
            <w:t xml:space="preserve"> (2022) 12: doi: 10.1038/s41598-022-19685-5</w:t>
          </w:r>
        </w:p>
        <w:p w14:paraId="3604D4EF" w14:textId="77777777" w:rsidR="00CF213F" w:rsidRDefault="00CF213F">
          <w:pPr>
            <w:autoSpaceDE w:val="0"/>
            <w:autoSpaceDN w:val="0"/>
            <w:ind w:hanging="640"/>
            <w:divId w:val="1238173731"/>
            <w:rPr>
              <w:rFonts w:eastAsia="Times New Roman"/>
            </w:rPr>
          </w:pPr>
          <w:r>
            <w:rPr>
              <w:rFonts w:eastAsia="Times New Roman"/>
            </w:rPr>
            <w:t xml:space="preserve">54. </w:t>
          </w:r>
          <w:r>
            <w:rPr>
              <w:rFonts w:eastAsia="Times New Roman"/>
            </w:rPr>
            <w:tab/>
            <w:t xml:space="preserve">Silvestri PR, Chiarotti F, Giustini S, Cardona F. Alexithymia and tic disorders: a study on a sample of children and their mothers. </w:t>
          </w:r>
          <w:r>
            <w:rPr>
              <w:rFonts w:eastAsia="Times New Roman"/>
              <w:i/>
              <w:iCs/>
            </w:rPr>
            <w:t>Eur Child Adolesc Psychiatry</w:t>
          </w:r>
          <w:r>
            <w:rPr>
              <w:rFonts w:eastAsia="Times New Roman"/>
            </w:rPr>
            <w:t xml:space="preserve"> (2019) 28:461–470. doi: https://dx.doi.org/10.1007/s00787-018-1209-x</w:t>
          </w:r>
        </w:p>
        <w:p w14:paraId="72699BC7" w14:textId="77777777" w:rsidR="00CF213F" w:rsidRDefault="00CF213F">
          <w:pPr>
            <w:autoSpaceDE w:val="0"/>
            <w:autoSpaceDN w:val="0"/>
            <w:ind w:hanging="640"/>
            <w:divId w:val="563415567"/>
            <w:rPr>
              <w:rFonts w:eastAsia="Times New Roman"/>
            </w:rPr>
          </w:pPr>
          <w:r>
            <w:rPr>
              <w:rFonts w:eastAsia="Times New Roman"/>
            </w:rPr>
            <w:t xml:space="preserve">55. </w:t>
          </w:r>
          <w:r>
            <w:rPr>
              <w:rFonts w:eastAsia="Times New Roman"/>
            </w:rPr>
            <w:tab/>
            <w:t xml:space="preserve">Hagstrøm J, Spang KS, Vangkilde S, Maigaard K, Skov L, Pagsberg AK, Jepsen JRM, Plessen KJ. An observational study of emotion regulation in children with Tourette syndrome. </w:t>
          </w:r>
          <w:r>
            <w:rPr>
              <w:rFonts w:eastAsia="Times New Roman"/>
              <w:i/>
              <w:iCs/>
            </w:rPr>
            <w:t>J Child Psychol Psychiatry</w:t>
          </w:r>
          <w:r>
            <w:rPr>
              <w:rFonts w:eastAsia="Times New Roman"/>
            </w:rPr>
            <w:t xml:space="preserve"> (2021) 62:790–797. doi: 10.1111/jcpp.13375</w:t>
          </w:r>
        </w:p>
        <w:p w14:paraId="588A2205" w14:textId="77777777" w:rsidR="00CF213F" w:rsidRDefault="00CF213F">
          <w:pPr>
            <w:autoSpaceDE w:val="0"/>
            <w:autoSpaceDN w:val="0"/>
            <w:ind w:hanging="640"/>
            <w:divId w:val="1923951881"/>
            <w:rPr>
              <w:rFonts w:eastAsia="Times New Roman"/>
            </w:rPr>
          </w:pPr>
          <w:r>
            <w:rPr>
              <w:rFonts w:eastAsia="Times New Roman"/>
            </w:rPr>
            <w:t xml:space="preserve">56. </w:t>
          </w:r>
          <w:r>
            <w:rPr>
              <w:rFonts w:eastAsia="Times New Roman"/>
            </w:rPr>
            <w:tab/>
            <w:t xml:space="preserve">Cavanna AE, David K, Orth M, Robertson MM. Predictors during childhood of future health-related quality of life in adults with Gilles de la Tourette syndrome. </w:t>
          </w:r>
          <w:r>
            <w:rPr>
              <w:rFonts w:eastAsia="Times New Roman"/>
              <w:i/>
              <w:iCs/>
            </w:rPr>
            <w:t>European Journal of Paediatric Neurology</w:t>
          </w:r>
          <w:r>
            <w:rPr>
              <w:rFonts w:eastAsia="Times New Roman"/>
            </w:rPr>
            <w:t xml:space="preserve"> (2012) 16:605–612. doi: https://dx.doi.org/10.1016/j.ejpn.2012.02.004</w:t>
          </w:r>
        </w:p>
        <w:p w14:paraId="4647F5E7" w14:textId="77777777" w:rsidR="00CF213F" w:rsidRDefault="00CF213F">
          <w:pPr>
            <w:autoSpaceDE w:val="0"/>
            <w:autoSpaceDN w:val="0"/>
            <w:ind w:hanging="640"/>
            <w:divId w:val="1027217011"/>
            <w:rPr>
              <w:rFonts w:eastAsia="Times New Roman"/>
            </w:rPr>
          </w:pPr>
          <w:r>
            <w:rPr>
              <w:rFonts w:eastAsia="Times New Roman"/>
            </w:rPr>
            <w:t xml:space="preserve">57. </w:t>
          </w:r>
          <w:r>
            <w:rPr>
              <w:rFonts w:eastAsia="Times New Roman"/>
            </w:rPr>
            <w:tab/>
            <w:t xml:space="preserve">Kang NR, Kim HJ, Moon DS, Kwack YS. Effects of Group Comprehensive Behavioral Intervention for Tics in Children With Tourette’s Disorder and Chronic Tic Disorder. </w:t>
          </w:r>
          <w:r>
            <w:rPr>
              <w:rFonts w:eastAsia="Times New Roman"/>
              <w:i/>
              <w:iCs/>
            </w:rPr>
            <w:t>Soa Chongsonyon Chongsin Uihak</w:t>
          </w:r>
          <w:r>
            <w:rPr>
              <w:rFonts w:eastAsia="Times New Roman"/>
            </w:rPr>
            <w:t xml:space="preserve"> (2022) 33:91–98. doi: 10.5765/jkacap.220013</w:t>
          </w:r>
        </w:p>
        <w:p w14:paraId="51B181D3" w14:textId="77777777" w:rsidR="00CF213F" w:rsidRDefault="00CF213F">
          <w:pPr>
            <w:autoSpaceDE w:val="0"/>
            <w:autoSpaceDN w:val="0"/>
            <w:ind w:hanging="640"/>
            <w:divId w:val="1239171031"/>
            <w:rPr>
              <w:rFonts w:eastAsia="Times New Roman"/>
            </w:rPr>
          </w:pPr>
          <w:r>
            <w:rPr>
              <w:rFonts w:eastAsia="Times New Roman"/>
            </w:rPr>
            <w:t xml:space="preserve">58. </w:t>
          </w:r>
          <w:r>
            <w:rPr>
              <w:rFonts w:eastAsia="Times New Roman"/>
            </w:rPr>
            <w:tab/>
            <w:t xml:space="preserve">Houghton DC, Capriotti MR, Scahill LD, Wilhelm S, Peterson AL, Walkup JT, Piacentini J, Woods DW. Investigating Habituation to Premonitory Urges in Behavior Therapy for Tic Disorders. </w:t>
          </w:r>
          <w:r>
            <w:rPr>
              <w:rFonts w:eastAsia="Times New Roman"/>
              <w:i/>
              <w:iCs/>
            </w:rPr>
            <w:t>Behav Ther</w:t>
          </w:r>
          <w:r>
            <w:rPr>
              <w:rFonts w:eastAsia="Times New Roman"/>
            </w:rPr>
            <w:t xml:space="preserve"> (2017) 48:834–846. doi: https://dx.doi.org/10.1016/j.beth.2017.08.004</w:t>
          </w:r>
        </w:p>
        <w:p w14:paraId="21CE4C81" w14:textId="77777777" w:rsidR="00CF213F" w:rsidRDefault="00CF213F">
          <w:pPr>
            <w:autoSpaceDE w:val="0"/>
            <w:autoSpaceDN w:val="0"/>
            <w:ind w:hanging="640"/>
            <w:divId w:val="692415635"/>
            <w:rPr>
              <w:rFonts w:eastAsia="Times New Roman"/>
            </w:rPr>
          </w:pPr>
          <w:r>
            <w:rPr>
              <w:rFonts w:eastAsia="Times New Roman"/>
            </w:rPr>
            <w:t xml:space="preserve">59. </w:t>
          </w:r>
          <w:r>
            <w:rPr>
              <w:rFonts w:eastAsia="Times New Roman"/>
            </w:rPr>
            <w:tab/>
            <w:t xml:space="preserve">Deckersbach T, Chou T, Britton JC, Carlson LE, Reese HE, Siev J, Scahill L, Piacentini JC, Woods DW, Walkup JT, et al. Neural correlates of behavior therapy for Tourette’s disorder. </w:t>
          </w:r>
          <w:r>
            <w:rPr>
              <w:rFonts w:eastAsia="Times New Roman"/>
              <w:i/>
              <w:iCs/>
            </w:rPr>
            <w:t>Psychiatry Res</w:t>
          </w:r>
          <w:r>
            <w:rPr>
              <w:rFonts w:eastAsia="Times New Roman"/>
            </w:rPr>
            <w:t xml:space="preserve"> (2014) 224:269–274. doi: 10.1016/j.pscychresns.2014.09.003</w:t>
          </w:r>
        </w:p>
        <w:p w14:paraId="0259A3F8" w14:textId="77777777" w:rsidR="00CF213F" w:rsidRDefault="00CF213F">
          <w:pPr>
            <w:autoSpaceDE w:val="0"/>
            <w:autoSpaceDN w:val="0"/>
            <w:ind w:hanging="640"/>
            <w:divId w:val="2038963379"/>
            <w:rPr>
              <w:rFonts w:eastAsia="Times New Roman"/>
            </w:rPr>
          </w:pPr>
          <w:r>
            <w:rPr>
              <w:rFonts w:eastAsia="Times New Roman"/>
            </w:rPr>
            <w:t xml:space="preserve">60. </w:t>
          </w:r>
          <w:r>
            <w:rPr>
              <w:rFonts w:eastAsia="Times New Roman"/>
            </w:rPr>
            <w:tab/>
            <w:t xml:space="preserve">Nonaka M, Matsuda N, Kono T, Fujio M, Scahill L, Kano Y. Preliminary Study of Behavioral Therapy for Tourette Syndrome Patients in Japan. </w:t>
          </w:r>
          <w:r>
            <w:rPr>
              <w:rFonts w:eastAsia="Times New Roman"/>
              <w:i/>
              <w:iCs/>
            </w:rPr>
            <w:t>Children’s Health Care</w:t>
          </w:r>
          <w:r>
            <w:rPr>
              <w:rFonts w:eastAsia="Times New Roman"/>
            </w:rPr>
            <w:t xml:space="preserve"> (2015) 44:293–306. doi: https://dx.doi.org/10.1080/02739615.2014.979922</w:t>
          </w:r>
        </w:p>
        <w:p w14:paraId="43F40FED" w14:textId="77777777" w:rsidR="00CF213F" w:rsidRDefault="00CF213F">
          <w:pPr>
            <w:autoSpaceDE w:val="0"/>
            <w:autoSpaceDN w:val="0"/>
            <w:ind w:hanging="640"/>
            <w:divId w:val="320501550"/>
            <w:rPr>
              <w:rFonts w:eastAsia="Times New Roman"/>
            </w:rPr>
          </w:pPr>
          <w:r>
            <w:rPr>
              <w:rFonts w:eastAsia="Times New Roman"/>
            </w:rPr>
            <w:t xml:space="preserve">61. </w:t>
          </w:r>
          <w:r>
            <w:rPr>
              <w:rFonts w:eastAsia="Times New Roman"/>
            </w:rPr>
            <w:tab/>
            <w:t xml:space="preserve">Verdellen CW, Hoogduin CA, Kato BS, Keijsers GP, Cath DC, Hoijtink HB. Habituation of premonitory sensations during exposure and response prevention treatment in Tourette’s syndrome. </w:t>
          </w:r>
          <w:r>
            <w:rPr>
              <w:rFonts w:eastAsia="Times New Roman"/>
              <w:i/>
              <w:iCs/>
            </w:rPr>
            <w:t>Behav Modif</w:t>
          </w:r>
          <w:r>
            <w:rPr>
              <w:rFonts w:eastAsia="Times New Roman"/>
            </w:rPr>
            <w:t xml:space="preserve"> (2008) 32:215–227. doi: 10.1177/0145445507309020</w:t>
          </w:r>
        </w:p>
        <w:p w14:paraId="0513BEBC" w14:textId="77777777" w:rsidR="00CF213F" w:rsidRDefault="00CF213F">
          <w:pPr>
            <w:autoSpaceDE w:val="0"/>
            <w:autoSpaceDN w:val="0"/>
            <w:ind w:hanging="640"/>
            <w:divId w:val="1169171448"/>
            <w:rPr>
              <w:rFonts w:eastAsia="Times New Roman"/>
            </w:rPr>
          </w:pPr>
          <w:r>
            <w:rPr>
              <w:rFonts w:eastAsia="Times New Roman"/>
            </w:rPr>
            <w:t xml:space="preserve">62. </w:t>
          </w:r>
          <w:r>
            <w:rPr>
              <w:rFonts w:eastAsia="Times New Roman"/>
            </w:rPr>
            <w:tab/>
            <w:t xml:space="preserve">van de Griendt J, van den Berg NME, Verdellen CWJ, Cath DC, Verbraak M. Working Mechanisms of Exposure and Response Prevention in the Treatment of Tourette Syndrome and Tic Disorders Revisited: No Evidence for within-Session Habituation to Premonitory Urges. </w:t>
          </w:r>
          <w:r>
            <w:rPr>
              <w:rFonts w:eastAsia="Times New Roman"/>
              <w:i/>
              <w:iCs/>
            </w:rPr>
            <w:t>J Clin Med</w:t>
          </w:r>
          <w:r>
            <w:rPr>
              <w:rFonts w:eastAsia="Times New Roman"/>
            </w:rPr>
            <w:t xml:space="preserve"> (2023) 12: doi: 10.3390/jcm12227087</w:t>
          </w:r>
        </w:p>
        <w:p w14:paraId="6188EF49" w14:textId="77777777" w:rsidR="00CF213F" w:rsidRDefault="00CF213F">
          <w:pPr>
            <w:autoSpaceDE w:val="0"/>
            <w:autoSpaceDN w:val="0"/>
            <w:ind w:hanging="640"/>
            <w:divId w:val="1712925207"/>
            <w:rPr>
              <w:rFonts w:eastAsia="Times New Roman"/>
            </w:rPr>
          </w:pPr>
          <w:r>
            <w:rPr>
              <w:rFonts w:eastAsia="Times New Roman"/>
            </w:rPr>
            <w:t xml:space="preserve">63. </w:t>
          </w:r>
          <w:r>
            <w:rPr>
              <w:rFonts w:eastAsia="Times New Roman"/>
            </w:rPr>
            <w:tab/>
            <w:t xml:space="preserve">Heijerman-Holtgrefe AP, Verdellen CWJ, van de Griendt JMTM, Beljaars LPL, Kan KJ, Cath D, Hoekstra PJ, Huyser C, Utens EMWJ. Tackle your Tics: pilot findings of a brief, intensive group-based exposure therapy program for children with tic disorders. </w:t>
          </w:r>
          <w:r>
            <w:rPr>
              <w:rFonts w:eastAsia="Times New Roman"/>
              <w:i/>
              <w:iCs/>
            </w:rPr>
            <w:t>Eur Child Adolesc Psychiatry</w:t>
          </w:r>
          <w:r>
            <w:rPr>
              <w:rFonts w:eastAsia="Times New Roman"/>
            </w:rPr>
            <w:t xml:space="preserve"> (2021) 30:461–473. doi: https://dx.doi.org/10.1007/s00787-020-01532-5</w:t>
          </w:r>
        </w:p>
        <w:p w14:paraId="5D50BE2D" w14:textId="77777777" w:rsidR="00CF213F" w:rsidRDefault="00CF213F">
          <w:pPr>
            <w:autoSpaceDE w:val="0"/>
            <w:autoSpaceDN w:val="0"/>
            <w:ind w:hanging="640"/>
            <w:divId w:val="1195732712"/>
            <w:rPr>
              <w:rFonts w:eastAsia="Times New Roman"/>
            </w:rPr>
          </w:pPr>
          <w:r>
            <w:rPr>
              <w:rFonts w:eastAsia="Times New Roman"/>
            </w:rPr>
            <w:lastRenderedPageBreak/>
            <w:t xml:space="preserve">64. </w:t>
          </w:r>
          <w:r>
            <w:rPr>
              <w:rFonts w:eastAsia="Times New Roman"/>
            </w:rPr>
            <w:tab/>
            <w:t xml:space="preserve">Nissen JB, Parner ET, Thomsen PH. Predictors of therapeutic treatment outcome in adolescent chronic tic disorders. </w:t>
          </w:r>
          <w:r>
            <w:rPr>
              <w:rFonts w:eastAsia="Times New Roman"/>
              <w:i/>
              <w:iCs/>
            </w:rPr>
            <w:t>BJPsych Open</w:t>
          </w:r>
          <w:r>
            <w:rPr>
              <w:rFonts w:eastAsia="Times New Roman"/>
            </w:rPr>
            <w:t xml:space="preserve"> (2019) 5:e74-. doi: 10.1192/bjo.2019.56</w:t>
          </w:r>
        </w:p>
        <w:p w14:paraId="7D9CAB72" w14:textId="77777777" w:rsidR="00CF213F" w:rsidRDefault="00CF213F">
          <w:pPr>
            <w:autoSpaceDE w:val="0"/>
            <w:autoSpaceDN w:val="0"/>
            <w:ind w:hanging="640"/>
            <w:divId w:val="1429042980"/>
            <w:rPr>
              <w:rFonts w:eastAsia="Times New Roman"/>
            </w:rPr>
          </w:pPr>
          <w:r>
            <w:rPr>
              <w:rFonts w:eastAsia="Times New Roman"/>
            </w:rPr>
            <w:t xml:space="preserve">65. </w:t>
          </w:r>
          <w:r>
            <w:rPr>
              <w:rFonts w:eastAsia="Times New Roman"/>
            </w:rPr>
            <w:tab/>
            <w:t xml:space="preserve">Sukhodolsky DG, Woods DW, Piacentini J, Wilhelm S, Peterson AL, Katsovich L, Dziura J, Walkup JT, Scahill L. Moderators and predictors of response to behavior therapy for tics in Tourette syndrome. </w:t>
          </w:r>
          <w:r>
            <w:rPr>
              <w:rFonts w:eastAsia="Times New Roman"/>
              <w:i/>
              <w:iCs/>
            </w:rPr>
            <w:t>Neurology</w:t>
          </w:r>
          <w:r>
            <w:rPr>
              <w:rFonts w:eastAsia="Times New Roman"/>
            </w:rPr>
            <w:t xml:space="preserve"> (2017) 88:1029–1036. doi: https://dx.doi.org/10.1212/WNL.0000000000003710</w:t>
          </w:r>
        </w:p>
        <w:p w14:paraId="7E6A3237" w14:textId="77777777" w:rsidR="00CF213F" w:rsidRDefault="00CF213F">
          <w:pPr>
            <w:autoSpaceDE w:val="0"/>
            <w:autoSpaceDN w:val="0"/>
            <w:ind w:hanging="640"/>
            <w:divId w:val="1020854606"/>
            <w:rPr>
              <w:rFonts w:eastAsia="Times New Roman"/>
            </w:rPr>
          </w:pPr>
          <w:r>
            <w:rPr>
              <w:rFonts w:eastAsia="Times New Roman"/>
            </w:rPr>
            <w:t xml:space="preserve">66. </w:t>
          </w:r>
          <w:r>
            <w:rPr>
              <w:rFonts w:eastAsia="Times New Roman"/>
            </w:rPr>
            <w:tab/>
            <w:t xml:space="preserve">Gilbert DL, Budman CL, Singer HS, Kurlan R, Chipkin RE. A D1 receptor antagonist, ecopipam, for treatment of tics in tourette syndrome. </w:t>
          </w:r>
          <w:r>
            <w:rPr>
              <w:rFonts w:eastAsia="Times New Roman"/>
              <w:i/>
              <w:iCs/>
            </w:rPr>
            <w:t>Clin Neuropharmacol</w:t>
          </w:r>
          <w:r>
            <w:rPr>
              <w:rFonts w:eastAsia="Times New Roman"/>
            </w:rPr>
            <w:t xml:space="preserve"> (2014) 37:26–30. doi: https://dx.doi.org/10.1097/WNF.0000000000000017</w:t>
          </w:r>
        </w:p>
        <w:p w14:paraId="4B156749" w14:textId="77777777" w:rsidR="00CF213F" w:rsidRDefault="00CF213F">
          <w:pPr>
            <w:autoSpaceDE w:val="0"/>
            <w:autoSpaceDN w:val="0"/>
            <w:ind w:hanging="640"/>
            <w:divId w:val="89475285"/>
            <w:rPr>
              <w:rFonts w:eastAsia="Times New Roman"/>
            </w:rPr>
          </w:pPr>
          <w:r>
            <w:rPr>
              <w:rFonts w:eastAsia="Times New Roman"/>
            </w:rPr>
            <w:t xml:space="preserve">67. </w:t>
          </w:r>
          <w:r>
            <w:rPr>
              <w:rFonts w:eastAsia="Times New Roman"/>
            </w:rPr>
            <w:tab/>
            <w:t xml:space="preserve">Jankovic J, Jimenez-Shahed J, Brown LW. A randomised, double-blind, placebo-controlled study of topiramate in the treatment of Tourette syndrome. </w:t>
          </w:r>
          <w:r>
            <w:rPr>
              <w:rFonts w:eastAsia="Times New Roman"/>
              <w:i/>
              <w:iCs/>
            </w:rPr>
            <w:t>J Neurol Neurosurg Psychiatry</w:t>
          </w:r>
          <w:r>
            <w:rPr>
              <w:rFonts w:eastAsia="Times New Roman"/>
            </w:rPr>
            <w:t xml:space="preserve"> (2010) 81:70–73. doi: https://dx.doi.org/10.1136/jnnp.2009.185348</w:t>
          </w:r>
        </w:p>
        <w:p w14:paraId="0F282660" w14:textId="77777777" w:rsidR="00CF213F" w:rsidRDefault="00CF213F">
          <w:pPr>
            <w:autoSpaceDE w:val="0"/>
            <w:autoSpaceDN w:val="0"/>
            <w:ind w:hanging="640"/>
            <w:divId w:val="704670854"/>
            <w:rPr>
              <w:rFonts w:eastAsia="Times New Roman"/>
            </w:rPr>
          </w:pPr>
          <w:r>
            <w:rPr>
              <w:rFonts w:eastAsia="Times New Roman"/>
            </w:rPr>
            <w:t xml:space="preserve">68. </w:t>
          </w:r>
          <w:r>
            <w:rPr>
              <w:rFonts w:eastAsia="Times New Roman"/>
            </w:rPr>
            <w:tab/>
            <w:t xml:space="preserve">McGuire JF, Ginder N, Ramsey K, Essoe JKY, Ricketts EJ, McCracken JT, Piacentini J. Optimizing behavior therapy for youth with Tourette’s disorder. </w:t>
          </w:r>
          <w:r>
            <w:rPr>
              <w:rFonts w:eastAsia="Times New Roman"/>
              <w:i/>
              <w:iCs/>
            </w:rPr>
            <w:t>Neuropsychopharmacology</w:t>
          </w:r>
          <w:r>
            <w:rPr>
              <w:rFonts w:eastAsia="Times New Roman"/>
            </w:rPr>
            <w:t xml:space="preserve"> (2020) 45:2114–2119. doi: https://dx.doi.org/10.1038/s41386-020-0762-4</w:t>
          </w:r>
        </w:p>
        <w:p w14:paraId="1254F5F6" w14:textId="77777777" w:rsidR="00CF213F" w:rsidRDefault="00CF213F">
          <w:pPr>
            <w:autoSpaceDE w:val="0"/>
            <w:autoSpaceDN w:val="0"/>
            <w:ind w:hanging="640"/>
            <w:divId w:val="1732148373"/>
            <w:rPr>
              <w:rFonts w:eastAsia="Times New Roman"/>
            </w:rPr>
          </w:pPr>
          <w:r>
            <w:rPr>
              <w:rFonts w:eastAsia="Times New Roman"/>
            </w:rPr>
            <w:t xml:space="preserve">69. </w:t>
          </w:r>
          <w:r>
            <w:rPr>
              <w:rFonts w:eastAsia="Times New Roman"/>
            </w:rPr>
            <w:tab/>
            <w:t xml:space="preserve">Jankovic J. Botulinum toxin in the treatment of dystonic tics. </w:t>
          </w:r>
          <w:r>
            <w:rPr>
              <w:rFonts w:eastAsia="Times New Roman"/>
              <w:i/>
              <w:iCs/>
            </w:rPr>
            <w:t>Movement Disorders</w:t>
          </w:r>
          <w:r>
            <w:rPr>
              <w:rFonts w:eastAsia="Times New Roman"/>
            </w:rPr>
            <w:t xml:space="preserve"> (1994) 9:347–349. doi: http://dx.doi.org/10.1002/mds.870090315</w:t>
          </w:r>
        </w:p>
        <w:p w14:paraId="606CA3F9" w14:textId="77777777" w:rsidR="00CF213F" w:rsidRDefault="00CF213F">
          <w:pPr>
            <w:autoSpaceDE w:val="0"/>
            <w:autoSpaceDN w:val="0"/>
            <w:ind w:hanging="640"/>
            <w:divId w:val="193617357"/>
            <w:rPr>
              <w:rFonts w:eastAsia="Times New Roman"/>
            </w:rPr>
          </w:pPr>
          <w:r>
            <w:rPr>
              <w:rFonts w:eastAsia="Times New Roman"/>
            </w:rPr>
            <w:t xml:space="preserve">70. </w:t>
          </w:r>
          <w:r>
            <w:rPr>
              <w:rFonts w:eastAsia="Times New Roman"/>
            </w:rPr>
            <w:tab/>
            <w:t xml:space="preserve">Kwak CH, Hanna PA, Jankovic J. Botulinum toxin in the treatment of tics. </w:t>
          </w:r>
          <w:r>
            <w:rPr>
              <w:rFonts w:eastAsia="Times New Roman"/>
              <w:i/>
              <w:iCs/>
            </w:rPr>
            <w:t>Arch Neurol</w:t>
          </w:r>
          <w:r>
            <w:rPr>
              <w:rFonts w:eastAsia="Times New Roman"/>
            </w:rPr>
            <w:t xml:space="preserve"> (2000) 57:1190–1193. doi: http://dx.doi.org/10.1001/archneur.57.8.1190</w:t>
          </w:r>
        </w:p>
        <w:p w14:paraId="42DB7DD8" w14:textId="77777777" w:rsidR="00CF213F" w:rsidRDefault="00CF213F">
          <w:pPr>
            <w:autoSpaceDE w:val="0"/>
            <w:autoSpaceDN w:val="0"/>
            <w:ind w:hanging="640"/>
            <w:divId w:val="830482983"/>
            <w:rPr>
              <w:rFonts w:eastAsia="Times New Roman"/>
            </w:rPr>
          </w:pPr>
          <w:r>
            <w:rPr>
              <w:rFonts w:eastAsia="Times New Roman"/>
            </w:rPr>
            <w:t xml:space="preserve">71. </w:t>
          </w:r>
          <w:r>
            <w:rPr>
              <w:rFonts w:eastAsia="Times New Roman"/>
            </w:rPr>
            <w:tab/>
            <w:t xml:space="preserve">Marras C, Andrews D, Sime E, Lang AE. Botulinum toxin for simple motor tics: A randomized, double-blind, controlled clinical trial. </w:t>
          </w:r>
          <w:r>
            <w:rPr>
              <w:rFonts w:eastAsia="Times New Roman"/>
              <w:i/>
              <w:iCs/>
            </w:rPr>
            <w:t>Neurology</w:t>
          </w:r>
          <w:r>
            <w:rPr>
              <w:rFonts w:eastAsia="Times New Roman"/>
            </w:rPr>
            <w:t xml:space="preserve"> (2001) 56:605–610. doi: http://dx.doi.org/10.1212/WNL.56.5.605</w:t>
          </w:r>
        </w:p>
        <w:p w14:paraId="7977A101" w14:textId="77777777" w:rsidR="00CF213F" w:rsidRDefault="00CF213F">
          <w:pPr>
            <w:autoSpaceDE w:val="0"/>
            <w:autoSpaceDN w:val="0"/>
            <w:ind w:hanging="640"/>
            <w:divId w:val="1060833781"/>
            <w:rPr>
              <w:rFonts w:eastAsia="Times New Roman"/>
            </w:rPr>
          </w:pPr>
          <w:r>
            <w:rPr>
              <w:rFonts w:eastAsia="Times New Roman"/>
            </w:rPr>
            <w:t xml:space="preserve">72. </w:t>
          </w:r>
          <w:r>
            <w:rPr>
              <w:rFonts w:eastAsia="Times New Roman"/>
            </w:rPr>
            <w:tab/>
            <w:t xml:space="preserve">Kwak C, Dat Vuong K, Jankovic J. Premonitory sensory phenomenon in Tourette’s syndrome. </w:t>
          </w:r>
          <w:r>
            <w:rPr>
              <w:rFonts w:eastAsia="Times New Roman"/>
              <w:i/>
              <w:iCs/>
            </w:rPr>
            <w:t>Mov Disord</w:t>
          </w:r>
          <w:r>
            <w:rPr>
              <w:rFonts w:eastAsia="Times New Roman"/>
            </w:rPr>
            <w:t xml:space="preserve"> (2003) 18:1530–1533. doi: 10.1002/mds.10618</w:t>
          </w:r>
        </w:p>
        <w:p w14:paraId="7D68A5E3" w14:textId="77777777" w:rsidR="00CF213F" w:rsidRDefault="00CF213F">
          <w:pPr>
            <w:autoSpaceDE w:val="0"/>
            <w:autoSpaceDN w:val="0"/>
            <w:ind w:hanging="640"/>
            <w:divId w:val="1396264"/>
            <w:rPr>
              <w:rFonts w:eastAsia="Times New Roman"/>
            </w:rPr>
          </w:pPr>
          <w:r>
            <w:rPr>
              <w:rFonts w:eastAsia="Times New Roman"/>
            </w:rPr>
            <w:t xml:space="preserve">73. </w:t>
          </w:r>
          <w:r>
            <w:rPr>
              <w:rFonts w:eastAsia="Times New Roman"/>
            </w:rPr>
            <w:tab/>
            <w:t xml:space="preserve">Rath JJG, Tavy DLJ, Wertenbroek AAACM, van Woerkom TCAM, de Bruijn SFTM. Botulinum toxin type A in simple motor tics: Short-term and long-term treatment-effects. </w:t>
          </w:r>
          <w:r>
            <w:rPr>
              <w:rFonts w:eastAsia="Times New Roman"/>
              <w:i/>
              <w:iCs/>
            </w:rPr>
            <w:t>Parkinsonism Relat Disord</w:t>
          </w:r>
          <w:r>
            <w:rPr>
              <w:rFonts w:eastAsia="Times New Roman"/>
            </w:rPr>
            <w:t xml:space="preserve"> (2010) 16:478–481. doi: https://dx.doi.org/10.1016/j.parkreldis.2009.11.011</w:t>
          </w:r>
        </w:p>
        <w:p w14:paraId="32B0DF57" w14:textId="77777777" w:rsidR="00CF213F" w:rsidRDefault="00CF213F">
          <w:pPr>
            <w:autoSpaceDE w:val="0"/>
            <w:autoSpaceDN w:val="0"/>
            <w:ind w:hanging="640"/>
            <w:divId w:val="2007125865"/>
            <w:rPr>
              <w:rFonts w:eastAsia="Times New Roman"/>
            </w:rPr>
          </w:pPr>
          <w:r>
            <w:rPr>
              <w:rFonts w:eastAsia="Times New Roman"/>
            </w:rPr>
            <w:t xml:space="preserve">74. </w:t>
          </w:r>
          <w:r>
            <w:rPr>
              <w:rFonts w:eastAsia="Times New Roman"/>
            </w:rPr>
            <w:tab/>
            <w:t xml:space="preserve">Porta M, Maggioni G, Ottaviani F, Schindler A. Treatment of phonic tics in patients with Tourette’s syndrome using botulinum toxin type A. </w:t>
          </w:r>
          <w:r>
            <w:rPr>
              <w:rFonts w:eastAsia="Times New Roman"/>
              <w:i/>
              <w:iCs/>
            </w:rPr>
            <w:t>Neurol Sci</w:t>
          </w:r>
          <w:r>
            <w:rPr>
              <w:rFonts w:eastAsia="Times New Roman"/>
            </w:rPr>
            <w:t xml:space="preserve"> (2004) 24:420–423. doi: 10.1007/s10072-003-0201-4</w:t>
          </w:r>
        </w:p>
        <w:p w14:paraId="4674D968" w14:textId="77777777" w:rsidR="00CF213F" w:rsidRDefault="00CF213F">
          <w:pPr>
            <w:autoSpaceDE w:val="0"/>
            <w:autoSpaceDN w:val="0"/>
            <w:ind w:hanging="640"/>
            <w:divId w:val="487938251"/>
            <w:rPr>
              <w:rFonts w:eastAsia="Times New Roman"/>
            </w:rPr>
          </w:pPr>
          <w:r>
            <w:rPr>
              <w:rFonts w:eastAsia="Times New Roman"/>
            </w:rPr>
            <w:t xml:space="preserve">75. </w:t>
          </w:r>
          <w:r>
            <w:rPr>
              <w:rFonts w:eastAsia="Times New Roman"/>
            </w:rPr>
            <w:tab/>
            <w:t xml:space="preserve">Di Lazzaro G, Magrinelli F, Ganos C, Bhatia KP. The Need to Tic. </w:t>
          </w:r>
          <w:r>
            <w:rPr>
              <w:rFonts w:eastAsia="Times New Roman"/>
              <w:i/>
              <w:iCs/>
            </w:rPr>
            <w:t>Mov Disord Clin Pract</w:t>
          </w:r>
          <w:r>
            <w:rPr>
              <w:rFonts w:eastAsia="Times New Roman"/>
            </w:rPr>
            <w:t xml:space="preserve"> (2020) 7:863–864. doi: 10.1002/mdc3.13023</w:t>
          </w:r>
        </w:p>
        <w:p w14:paraId="0BC54B98" w14:textId="77777777" w:rsidR="00CF213F" w:rsidRDefault="00CF213F">
          <w:pPr>
            <w:autoSpaceDE w:val="0"/>
            <w:autoSpaceDN w:val="0"/>
            <w:ind w:hanging="640"/>
            <w:divId w:val="2124378866"/>
            <w:rPr>
              <w:rFonts w:eastAsia="Times New Roman"/>
            </w:rPr>
          </w:pPr>
          <w:r>
            <w:rPr>
              <w:rFonts w:eastAsia="Times New Roman"/>
            </w:rPr>
            <w:t xml:space="preserve">76. </w:t>
          </w:r>
          <w:r>
            <w:rPr>
              <w:rFonts w:eastAsia="Times New Roman"/>
            </w:rPr>
            <w:tab/>
            <w:t xml:space="preserve">Muller-Vahl KR, Fremer C, Beals C, Ivkovic J, Loft H, Schindler C. Monoacylglycerol Lipase Inhibition in Tourette Syndrome: A 12-Week, Randomized, Controlled Study. </w:t>
          </w:r>
          <w:r>
            <w:rPr>
              <w:rFonts w:eastAsia="Times New Roman"/>
              <w:i/>
              <w:iCs/>
            </w:rPr>
            <w:t>Movement Disorders</w:t>
          </w:r>
          <w:r>
            <w:rPr>
              <w:rFonts w:eastAsia="Times New Roman"/>
            </w:rPr>
            <w:t xml:space="preserve"> (2021) 36:2413–2418. doi: https://dx.doi.org/10.1002/mds.28681</w:t>
          </w:r>
        </w:p>
        <w:p w14:paraId="2AF1AD68" w14:textId="77777777" w:rsidR="00CF213F" w:rsidRDefault="00CF213F">
          <w:pPr>
            <w:autoSpaceDE w:val="0"/>
            <w:autoSpaceDN w:val="0"/>
            <w:ind w:hanging="640"/>
            <w:divId w:val="1537625131"/>
            <w:rPr>
              <w:rFonts w:eastAsia="Times New Roman"/>
            </w:rPr>
          </w:pPr>
          <w:r>
            <w:rPr>
              <w:rFonts w:eastAsia="Times New Roman"/>
            </w:rPr>
            <w:lastRenderedPageBreak/>
            <w:t xml:space="preserve">77. </w:t>
          </w:r>
          <w:r>
            <w:rPr>
              <w:rFonts w:eastAsia="Times New Roman"/>
            </w:rPr>
            <w:tab/>
            <w:t xml:space="preserve">Muller-Vahl KR, Fremer C, Beals C, Ivkovic J, Loft H, Schindler C. Endocannabinoid Modulation Using Monoacylglycerol Lipase Inhibition in Tourette Syndrome: A Phase 1 Randomized, Placebo-Controlled Study. </w:t>
          </w:r>
          <w:r>
            <w:rPr>
              <w:rFonts w:eastAsia="Times New Roman"/>
              <w:i/>
              <w:iCs/>
            </w:rPr>
            <w:t>Pharmacopsychiatry</w:t>
          </w:r>
          <w:r>
            <w:rPr>
              <w:rFonts w:eastAsia="Times New Roman"/>
            </w:rPr>
            <w:t xml:space="preserve"> (2022) 55:148–156. doi: https://dx.doi.org/10.1055/a-1675-3494</w:t>
          </w:r>
        </w:p>
        <w:p w14:paraId="1496488C" w14:textId="77777777" w:rsidR="00CF213F" w:rsidRDefault="00CF213F">
          <w:pPr>
            <w:autoSpaceDE w:val="0"/>
            <w:autoSpaceDN w:val="0"/>
            <w:ind w:hanging="640"/>
            <w:divId w:val="660885468"/>
            <w:rPr>
              <w:rFonts w:eastAsia="Times New Roman"/>
            </w:rPr>
          </w:pPr>
          <w:r>
            <w:rPr>
              <w:rFonts w:eastAsia="Times New Roman"/>
            </w:rPr>
            <w:t xml:space="preserve">78. </w:t>
          </w:r>
          <w:r>
            <w:rPr>
              <w:rFonts w:eastAsia="Times New Roman"/>
            </w:rPr>
            <w:tab/>
            <w:t xml:space="preserve">Müller-Vahl KR, Kolbe H, Schneider U, Emrich HM. Cannabinoids: possible role in patho-physiology and therapy of Gilles de la Tourette syndrome. </w:t>
          </w:r>
          <w:r>
            <w:rPr>
              <w:rFonts w:eastAsia="Times New Roman"/>
              <w:i/>
              <w:iCs/>
            </w:rPr>
            <w:t>Acta Psychiatr Scand</w:t>
          </w:r>
          <w:r>
            <w:rPr>
              <w:rFonts w:eastAsia="Times New Roman"/>
            </w:rPr>
            <w:t xml:space="preserve"> (1998) 98:502–506. doi: 10.1111/j.1600-0447.1998.tb10127.x</w:t>
          </w:r>
        </w:p>
        <w:p w14:paraId="6469ED90" w14:textId="77777777" w:rsidR="00CF213F" w:rsidRDefault="00CF213F">
          <w:pPr>
            <w:autoSpaceDE w:val="0"/>
            <w:autoSpaceDN w:val="0"/>
            <w:ind w:hanging="640"/>
            <w:divId w:val="1178930624"/>
            <w:rPr>
              <w:rFonts w:eastAsia="Times New Roman"/>
            </w:rPr>
          </w:pPr>
          <w:r>
            <w:rPr>
              <w:rFonts w:eastAsia="Times New Roman"/>
            </w:rPr>
            <w:t xml:space="preserve">79. </w:t>
          </w:r>
          <w:r>
            <w:rPr>
              <w:rFonts w:eastAsia="Times New Roman"/>
            </w:rPr>
            <w:tab/>
            <w:t xml:space="preserve">Anis S, Zalomek C, Korczyn AD, Rosenberg A, Giladi N, Gurevich T. Medical Cannabis for Gilles de la Tourette Syndrome: An Open-Label Prospective Study. </w:t>
          </w:r>
          <w:r>
            <w:rPr>
              <w:rFonts w:eastAsia="Times New Roman"/>
              <w:i/>
              <w:iCs/>
            </w:rPr>
            <w:t>Behavioural Neurology</w:t>
          </w:r>
          <w:r>
            <w:rPr>
              <w:rFonts w:eastAsia="Times New Roman"/>
            </w:rPr>
            <w:t xml:space="preserve"> (2022) 2022:5141773. doi: 10.1155/2022/5141773</w:t>
          </w:r>
        </w:p>
        <w:p w14:paraId="4ECB8AD3" w14:textId="77777777" w:rsidR="00CF213F" w:rsidRDefault="00CF213F">
          <w:pPr>
            <w:autoSpaceDE w:val="0"/>
            <w:autoSpaceDN w:val="0"/>
            <w:ind w:hanging="640"/>
            <w:divId w:val="438792081"/>
            <w:rPr>
              <w:rFonts w:eastAsia="Times New Roman"/>
            </w:rPr>
          </w:pPr>
          <w:r>
            <w:rPr>
              <w:rFonts w:eastAsia="Times New Roman"/>
            </w:rPr>
            <w:t xml:space="preserve">80. </w:t>
          </w:r>
          <w:r>
            <w:rPr>
              <w:rFonts w:eastAsia="Times New Roman"/>
            </w:rPr>
            <w:tab/>
            <w:t xml:space="preserve">Abi-Jaoude E, Bhikram T, Parveen F, Levenbach J, Lafreniere-Roula M, Sandor P. A Double-Blind, Randomized, Controlled Crossover Trial of Cannabis in Adults with Tourette Syndrome. </w:t>
          </w:r>
          <w:r>
            <w:rPr>
              <w:rFonts w:eastAsia="Times New Roman"/>
              <w:i/>
              <w:iCs/>
            </w:rPr>
            <w:t>Cannabis Cannabinoid Res</w:t>
          </w:r>
          <w:r>
            <w:rPr>
              <w:rFonts w:eastAsia="Times New Roman"/>
            </w:rPr>
            <w:t xml:space="preserve"> (2022) doi: 10.1089/can.2022.0091</w:t>
          </w:r>
        </w:p>
        <w:p w14:paraId="71998E80" w14:textId="77777777" w:rsidR="00CF213F" w:rsidRDefault="00CF213F">
          <w:pPr>
            <w:autoSpaceDE w:val="0"/>
            <w:autoSpaceDN w:val="0"/>
            <w:ind w:hanging="640"/>
            <w:divId w:val="800879294"/>
            <w:rPr>
              <w:rFonts w:eastAsia="Times New Roman"/>
            </w:rPr>
          </w:pPr>
          <w:r>
            <w:rPr>
              <w:rFonts w:eastAsia="Times New Roman"/>
            </w:rPr>
            <w:t xml:space="preserve">81. </w:t>
          </w:r>
          <w:r>
            <w:rPr>
              <w:rFonts w:eastAsia="Times New Roman"/>
            </w:rPr>
            <w:tab/>
            <w:t xml:space="preserve">Silver AA, Shytle RD, Sanberg PR. Clinical Experience With Transdermal Nicotine Patch in Tourette Syndrome. </w:t>
          </w:r>
          <w:r>
            <w:rPr>
              <w:rFonts w:eastAsia="Times New Roman"/>
              <w:i/>
              <w:iCs/>
            </w:rPr>
            <w:t>CNS Spectr</w:t>
          </w:r>
          <w:r>
            <w:rPr>
              <w:rFonts w:eastAsia="Times New Roman"/>
            </w:rPr>
            <w:t xml:space="preserve"> (1999) 4:68–76. doi: 10.1017/S1092852900011408</w:t>
          </w:r>
        </w:p>
        <w:p w14:paraId="2AFCBA24" w14:textId="77777777" w:rsidR="00CF213F" w:rsidRDefault="00CF213F">
          <w:pPr>
            <w:autoSpaceDE w:val="0"/>
            <w:autoSpaceDN w:val="0"/>
            <w:ind w:hanging="640"/>
            <w:divId w:val="99420623"/>
            <w:rPr>
              <w:rFonts w:eastAsia="Times New Roman"/>
            </w:rPr>
          </w:pPr>
          <w:r>
            <w:rPr>
              <w:rFonts w:eastAsia="Times New Roman"/>
            </w:rPr>
            <w:t xml:space="preserve">82. </w:t>
          </w:r>
          <w:r>
            <w:rPr>
              <w:rFonts w:eastAsia="Times New Roman"/>
            </w:rPr>
            <w:tab/>
            <w:t xml:space="preserve">Szejko N, Fremer C, Sühs KW, Macul Ferreira de Barros P, Müller-Vahl KR. Intravenous Immunoglobulin Treatment Did Not Improve Tics in a Patient With Gilles de la Tourette Syndrome and Intrathecal Antibody Synthesis. </w:t>
          </w:r>
          <w:r>
            <w:rPr>
              <w:rFonts w:eastAsia="Times New Roman"/>
              <w:i/>
              <w:iCs/>
            </w:rPr>
            <w:t>Front Neurol</w:t>
          </w:r>
          <w:r>
            <w:rPr>
              <w:rFonts w:eastAsia="Times New Roman"/>
            </w:rPr>
            <w:t xml:space="preserve"> (2020) 11:110. doi: 10.3389/fneur.2020.00110</w:t>
          </w:r>
        </w:p>
        <w:p w14:paraId="3C7DB14C" w14:textId="77777777" w:rsidR="00CF213F" w:rsidRDefault="00CF213F">
          <w:pPr>
            <w:autoSpaceDE w:val="0"/>
            <w:autoSpaceDN w:val="0"/>
            <w:ind w:hanging="640"/>
            <w:divId w:val="1108429995"/>
            <w:rPr>
              <w:rFonts w:eastAsia="Times New Roman"/>
            </w:rPr>
          </w:pPr>
          <w:r>
            <w:rPr>
              <w:rFonts w:eastAsia="Times New Roman"/>
            </w:rPr>
            <w:t xml:space="preserve">83. </w:t>
          </w:r>
          <w:r>
            <w:rPr>
              <w:rFonts w:eastAsia="Times New Roman"/>
            </w:rPr>
            <w:tab/>
            <w:t xml:space="preserve">Szejko N, Jakubovski E, Fremer C, Muller-Vahl KR. Vaporized Cannabis Is Effective and Well-Tolerated in an Adolescent with Tourette Syndrome. </w:t>
          </w:r>
          <w:r>
            <w:rPr>
              <w:rFonts w:eastAsia="Times New Roman"/>
              <w:i/>
              <w:iCs/>
            </w:rPr>
            <w:t>Med Cannabis Cannabinoids</w:t>
          </w:r>
          <w:r>
            <w:rPr>
              <w:rFonts w:eastAsia="Times New Roman"/>
            </w:rPr>
            <w:t xml:space="preserve"> (2019) 2:60–64. doi: https://dx.doi.org/10.1159/000496355</w:t>
          </w:r>
        </w:p>
        <w:p w14:paraId="3D078F9E" w14:textId="77777777" w:rsidR="00CF213F" w:rsidRDefault="00CF213F">
          <w:pPr>
            <w:autoSpaceDE w:val="0"/>
            <w:autoSpaceDN w:val="0"/>
            <w:ind w:hanging="640"/>
            <w:divId w:val="1670476676"/>
            <w:rPr>
              <w:rFonts w:eastAsia="Times New Roman"/>
            </w:rPr>
          </w:pPr>
          <w:r>
            <w:rPr>
              <w:rFonts w:eastAsia="Times New Roman"/>
            </w:rPr>
            <w:t xml:space="preserve">84. </w:t>
          </w:r>
          <w:r>
            <w:rPr>
              <w:rFonts w:eastAsia="Times New Roman"/>
            </w:rPr>
            <w:tab/>
            <w:t xml:space="preserve">Bhikram T, Crawley A, Arnold P, Abi-Jaoude E, Sandor P. Neuroimaging the emotional modulation of urge inhibition in Tourette Syndrome. </w:t>
          </w:r>
          <w:r>
            <w:rPr>
              <w:rFonts w:eastAsia="Times New Roman"/>
              <w:i/>
              <w:iCs/>
            </w:rPr>
            <w:t>Cortex</w:t>
          </w:r>
          <w:r>
            <w:rPr>
              <w:rFonts w:eastAsia="Times New Roman"/>
            </w:rPr>
            <w:t xml:space="preserve"> (2021) 135:341–351. doi: 10.1016/j.cortex.2020.10.010</w:t>
          </w:r>
        </w:p>
        <w:p w14:paraId="661D8686" w14:textId="77777777" w:rsidR="00CF213F" w:rsidRDefault="00CF213F">
          <w:pPr>
            <w:autoSpaceDE w:val="0"/>
            <w:autoSpaceDN w:val="0"/>
            <w:ind w:hanging="640"/>
            <w:divId w:val="1129126987"/>
            <w:rPr>
              <w:rFonts w:eastAsia="Times New Roman"/>
            </w:rPr>
          </w:pPr>
          <w:r>
            <w:rPr>
              <w:rFonts w:eastAsia="Times New Roman"/>
            </w:rPr>
            <w:t xml:space="preserve">85. </w:t>
          </w:r>
          <w:r>
            <w:rPr>
              <w:rFonts w:eastAsia="Times New Roman"/>
            </w:rPr>
            <w:tab/>
            <w:t xml:space="preserve">Eddy CM, Cavanna AE, Rickards HE, Hansen PC. Temporo-parietal dysfunction in Tourette syndrome: Insights from an fMRI study of Theory of Mind. </w:t>
          </w:r>
          <w:r>
            <w:rPr>
              <w:rFonts w:eastAsia="Times New Roman"/>
              <w:i/>
              <w:iCs/>
            </w:rPr>
            <w:t>J Psychiatr Res</w:t>
          </w:r>
          <w:r>
            <w:rPr>
              <w:rFonts w:eastAsia="Times New Roman"/>
            </w:rPr>
            <w:t xml:space="preserve"> (2016) 81:102–111. doi: 10.1016/j.jpsychires.2016.07.002</w:t>
          </w:r>
        </w:p>
        <w:p w14:paraId="15BEB2A0" w14:textId="77777777" w:rsidR="00CF213F" w:rsidRDefault="00CF213F">
          <w:pPr>
            <w:autoSpaceDE w:val="0"/>
            <w:autoSpaceDN w:val="0"/>
            <w:ind w:hanging="640"/>
            <w:divId w:val="2052419948"/>
            <w:rPr>
              <w:rFonts w:eastAsia="Times New Roman"/>
            </w:rPr>
          </w:pPr>
          <w:r>
            <w:rPr>
              <w:rFonts w:eastAsia="Times New Roman"/>
            </w:rPr>
            <w:t xml:space="preserve">86. </w:t>
          </w:r>
          <w:r>
            <w:rPr>
              <w:rFonts w:eastAsia="Times New Roman"/>
            </w:rPr>
            <w:tab/>
            <w:t xml:space="preserve">Eddy CM, Cavanna AE, Hansen PC. Empathy and aversion: the neural signature of mentalizing in Tourette syndrome. </w:t>
          </w:r>
          <w:r>
            <w:rPr>
              <w:rFonts w:eastAsia="Times New Roman"/>
              <w:i/>
              <w:iCs/>
            </w:rPr>
            <w:t>Psychol Med</w:t>
          </w:r>
          <w:r>
            <w:rPr>
              <w:rFonts w:eastAsia="Times New Roman"/>
            </w:rPr>
            <w:t xml:space="preserve"> (2017) 47:507–517. doi: https://dx.doi.org/10.1017/S0033291716002725</w:t>
          </w:r>
        </w:p>
        <w:p w14:paraId="4FD765D6" w14:textId="77777777" w:rsidR="00CF213F" w:rsidRDefault="00CF213F">
          <w:pPr>
            <w:autoSpaceDE w:val="0"/>
            <w:autoSpaceDN w:val="0"/>
            <w:ind w:hanging="640"/>
            <w:divId w:val="1648046360"/>
            <w:rPr>
              <w:rFonts w:eastAsia="Times New Roman"/>
            </w:rPr>
          </w:pPr>
          <w:r>
            <w:rPr>
              <w:rFonts w:eastAsia="Times New Roman"/>
            </w:rPr>
            <w:t xml:space="preserve">87. </w:t>
          </w:r>
          <w:r>
            <w:rPr>
              <w:rFonts w:eastAsia="Times New Roman"/>
            </w:rPr>
            <w:tab/>
            <w:t xml:space="preserve">Rae CL, Parkinson J, Betka S, Gouldvan Praag CD, Bouyagoub S, Polyanska L, Larsson DEO, Harrison NA, Garfinkel SN, Critchley HD. Amplified engagement of prefrontal cortex during control of voluntary action in Tourette syndrome. </w:t>
          </w:r>
          <w:r>
            <w:rPr>
              <w:rFonts w:eastAsia="Times New Roman"/>
              <w:i/>
              <w:iCs/>
            </w:rPr>
            <w:t>Brain Commun</w:t>
          </w:r>
          <w:r>
            <w:rPr>
              <w:rFonts w:eastAsia="Times New Roman"/>
            </w:rPr>
            <w:t xml:space="preserve"> (2020) 2:18. doi: https://doi.org/10.1093/braincomms/fcaa199</w:t>
          </w:r>
        </w:p>
        <w:p w14:paraId="156AA80C" w14:textId="77777777" w:rsidR="00CF213F" w:rsidRDefault="00CF213F">
          <w:pPr>
            <w:autoSpaceDE w:val="0"/>
            <w:autoSpaceDN w:val="0"/>
            <w:ind w:hanging="640"/>
            <w:divId w:val="159153277"/>
            <w:rPr>
              <w:rFonts w:eastAsia="Times New Roman"/>
            </w:rPr>
          </w:pPr>
          <w:r>
            <w:rPr>
              <w:rFonts w:eastAsia="Times New Roman"/>
            </w:rPr>
            <w:t xml:space="preserve">88. </w:t>
          </w:r>
          <w:r>
            <w:rPr>
              <w:rFonts w:eastAsia="Times New Roman"/>
            </w:rPr>
            <w:tab/>
            <w:t xml:space="preserve">Rae CL, Raykov P, Ambridge EM, Colling LJ, Gould van Praag CD, Bouyagoub S, Polanski L, Larsson DEO, Critchley HD. Elevated representational similarity of voluntary action and </w:t>
          </w:r>
          <w:r>
            <w:rPr>
              <w:rFonts w:eastAsia="Times New Roman"/>
            </w:rPr>
            <w:lastRenderedPageBreak/>
            <w:t xml:space="preserve">inhibition in Tourette syndrome. </w:t>
          </w:r>
          <w:r>
            <w:rPr>
              <w:rFonts w:eastAsia="Times New Roman"/>
              <w:i/>
              <w:iCs/>
            </w:rPr>
            <w:t>Brain Commun</w:t>
          </w:r>
          <w:r>
            <w:rPr>
              <w:rFonts w:eastAsia="Times New Roman"/>
            </w:rPr>
            <w:t xml:space="preserve"> (2023) 5:fcad224-. doi: 10.1093/braincomms/fcad224</w:t>
          </w:r>
        </w:p>
        <w:p w14:paraId="37BD9E04" w14:textId="77777777" w:rsidR="00CF213F" w:rsidRDefault="00CF213F">
          <w:pPr>
            <w:autoSpaceDE w:val="0"/>
            <w:autoSpaceDN w:val="0"/>
            <w:ind w:hanging="640"/>
            <w:divId w:val="1786849357"/>
            <w:rPr>
              <w:rFonts w:eastAsia="Times New Roman"/>
            </w:rPr>
          </w:pPr>
          <w:r>
            <w:rPr>
              <w:rFonts w:eastAsia="Times New Roman"/>
            </w:rPr>
            <w:t xml:space="preserve">89. </w:t>
          </w:r>
          <w:r>
            <w:rPr>
              <w:rFonts w:eastAsia="Times New Roman"/>
            </w:rPr>
            <w:tab/>
            <w:t xml:space="preserve">Tinaz S, Malone P, Hallett M, Horovitz SG. Role of the right dorsal anterior insula in the urge to tic in Tourette syndrome. </w:t>
          </w:r>
          <w:r>
            <w:rPr>
              <w:rFonts w:eastAsia="Times New Roman"/>
              <w:i/>
              <w:iCs/>
            </w:rPr>
            <w:t>Mov Disord</w:t>
          </w:r>
          <w:r>
            <w:rPr>
              <w:rFonts w:eastAsia="Times New Roman"/>
            </w:rPr>
            <w:t xml:space="preserve"> (2015) 30:1190–1197. doi: 10.1002/mds.26230</w:t>
          </w:r>
        </w:p>
        <w:p w14:paraId="0063C823" w14:textId="77777777" w:rsidR="00CF213F" w:rsidRDefault="00CF213F">
          <w:pPr>
            <w:autoSpaceDE w:val="0"/>
            <w:autoSpaceDN w:val="0"/>
            <w:ind w:hanging="640"/>
            <w:divId w:val="573006605"/>
            <w:rPr>
              <w:rFonts w:eastAsia="Times New Roman"/>
            </w:rPr>
          </w:pPr>
          <w:r>
            <w:rPr>
              <w:rFonts w:eastAsia="Times New Roman"/>
            </w:rPr>
            <w:t xml:space="preserve">90. </w:t>
          </w:r>
          <w:r>
            <w:rPr>
              <w:rFonts w:eastAsia="Times New Roman"/>
            </w:rPr>
            <w:tab/>
            <w:t xml:space="preserve">Rae CL, Polyanska L, Gould van Praag CD, Parkinson J, Bouyagoub S, Nagai Y, Seth AK, Harrison NA, Garfinkel SN, Critchley HD. Face perception enhances insula and motor network reactivity in Tourette syndrome. </w:t>
          </w:r>
          <w:r>
            <w:rPr>
              <w:rFonts w:eastAsia="Times New Roman"/>
              <w:i/>
              <w:iCs/>
            </w:rPr>
            <w:t>Brain</w:t>
          </w:r>
          <w:r>
            <w:rPr>
              <w:rFonts w:eastAsia="Times New Roman"/>
            </w:rPr>
            <w:t xml:space="preserve"> (2018) 141:3249–3261. doi: 10.1093/brain/awy254</w:t>
          </w:r>
        </w:p>
        <w:p w14:paraId="0F01A189" w14:textId="77777777" w:rsidR="00CF213F" w:rsidRDefault="00CF213F">
          <w:pPr>
            <w:autoSpaceDE w:val="0"/>
            <w:autoSpaceDN w:val="0"/>
            <w:ind w:hanging="640"/>
            <w:divId w:val="209154026"/>
            <w:rPr>
              <w:rFonts w:eastAsia="Times New Roman"/>
            </w:rPr>
          </w:pPr>
          <w:r>
            <w:rPr>
              <w:rFonts w:eastAsia="Times New Roman"/>
            </w:rPr>
            <w:t xml:space="preserve">91. </w:t>
          </w:r>
          <w:r>
            <w:rPr>
              <w:rFonts w:eastAsia="Times New Roman"/>
            </w:rPr>
            <w:tab/>
            <w:t xml:space="preserve">Bhikram T, Arnold P, Crawley A, Abi-Jaoude E, Sandor P. The functional connectivity profile of tics and obsessive-compulsive symptoms in Tourette Syndrome. </w:t>
          </w:r>
          <w:r>
            <w:rPr>
              <w:rFonts w:eastAsia="Times New Roman"/>
              <w:i/>
              <w:iCs/>
            </w:rPr>
            <w:t>J Psychiatr Res</w:t>
          </w:r>
          <w:r>
            <w:rPr>
              <w:rFonts w:eastAsia="Times New Roman"/>
            </w:rPr>
            <w:t xml:space="preserve"> (2020) 123:128–135. doi: 10.1016/j.jpsychires.2020.01.019</w:t>
          </w:r>
        </w:p>
        <w:p w14:paraId="4C9ECECD" w14:textId="77777777" w:rsidR="00CF213F" w:rsidRDefault="00CF213F">
          <w:pPr>
            <w:autoSpaceDE w:val="0"/>
            <w:autoSpaceDN w:val="0"/>
            <w:ind w:hanging="640"/>
            <w:divId w:val="241568051"/>
            <w:rPr>
              <w:rFonts w:eastAsia="Times New Roman"/>
            </w:rPr>
          </w:pPr>
          <w:r>
            <w:rPr>
              <w:rFonts w:eastAsia="Times New Roman"/>
            </w:rPr>
            <w:t xml:space="preserve">92. </w:t>
          </w:r>
          <w:r>
            <w:rPr>
              <w:rFonts w:eastAsia="Times New Roman"/>
            </w:rPr>
            <w:tab/>
            <w:t xml:space="preserve">Tinaz S, Belluscio BA, Malone P, van der Veen JW, Hallett M, Horovitz SG. Role of the sensorimotor cortex in Tourette syndrome using multimodal imaging. </w:t>
          </w:r>
          <w:r>
            <w:rPr>
              <w:rFonts w:eastAsia="Times New Roman"/>
              <w:i/>
              <w:iCs/>
            </w:rPr>
            <w:t>Hum Brain Mapp</w:t>
          </w:r>
          <w:r>
            <w:rPr>
              <w:rFonts w:eastAsia="Times New Roman"/>
            </w:rPr>
            <w:t xml:space="preserve"> (2014) 35:5834–5846. doi: 10.1002/hbm.22588</w:t>
          </w:r>
        </w:p>
        <w:p w14:paraId="03706201" w14:textId="77777777" w:rsidR="00CF213F" w:rsidRDefault="00CF213F">
          <w:pPr>
            <w:autoSpaceDE w:val="0"/>
            <w:autoSpaceDN w:val="0"/>
            <w:ind w:hanging="640"/>
            <w:divId w:val="1950820818"/>
            <w:rPr>
              <w:rFonts w:eastAsia="Times New Roman"/>
            </w:rPr>
          </w:pPr>
          <w:r>
            <w:rPr>
              <w:rFonts w:eastAsia="Times New Roman"/>
            </w:rPr>
            <w:t xml:space="preserve">93. </w:t>
          </w:r>
          <w:r>
            <w:rPr>
              <w:rFonts w:eastAsia="Times New Roman"/>
            </w:rPr>
            <w:tab/>
            <w:t xml:space="preserve">Loo SK, Miyakoshi M, Tung K, Lloyd E, Salgari G, Dillon A, Chang S, Piacentini J, Makeig S. Neural activation and connectivity during cued eye blinks in Chronic Tic Disorders. </w:t>
          </w:r>
          <w:r>
            <w:rPr>
              <w:rFonts w:eastAsia="Times New Roman"/>
              <w:i/>
              <w:iCs/>
            </w:rPr>
            <w:t>Neuroimage Clin</w:t>
          </w:r>
          <w:r>
            <w:rPr>
              <w:rFonts w:eastAsia="Times New Roman"/>
            </w:rPr>
            <w:t xml:space="preserve"> (2019) 24:101956. doi: 10.1016/j.nicl.2019.101956</w:t>
          </w:r>
        </w:p>
        <w:p w14:paraId="096C69A7" w14:textId="77777777" w:rsidR="00CF213F" w:rsidRDefault="00CF213F">
          <w:pPr>
            <w:autoSpaceDE w:val="0"/>
            <w:autoSpaceDN w:val="0"/>
            <w:ind w:hanging="640"/>
            <w:divId w:val="1615475439"/>
            <w:rPr>
              <w:rFonts w:eastAsia="Times New Roman"/>
            </w:rPr>
          </w:pPr>
          <w:r>
            <w:rPr>
              <w:rFonts w:eastAsia="Times New Roman"/>
            </w:rPr>
            <w:t xml:space="preserve">94. </w:t>
          </w:r>
          <w:r>
            <w:rPr>
              <w:rFonts w:eastAsia="Times New Roman"/>
            </w:rPr>
            <w:tab/>
            <w:t xml:space="preserve">Niccolai V, Korczok S, Finis J, Jonas M, Thomalla G, Siebner HR, Müller-Vahl K, Münchau A, Schnitzler A, Biermann-Ruben K. A peek into premonitory urges in Tourette syndrome: Temporal evolution of neurophysiological oscillatory signatures. </w:t>
          </w:r>
          <w:r>
            <w:rPr>
              <w:rFonts w:eastAsia="Times New Roman"/>
              <w:i/>
              <w:iCs/>
            </w:rPr>
            <w:t>Parkinsonism Relat Disord</w:t>
          </w:r>
          <w:r>
            <w:rPr>
              <w:rFonts w:eastAsia="Times New Roman"/>
            </w:rPr>
            <w:t xml:space="preserve"> (2019) 65:153–158. doi: 10.1016/j.parkreldis.2019.05.039</w:t>
          </w:r>
        </w:p>
        <w:p w14:paraId="1F1DE25E" w14:textId="77777777" w:rsidR="00CF213F" w:rsidRDefault="00CF213F">
          <w:pPr>
            <w:autoSpaceDE w:val="0"/>
            <w:autoSpaceDN w:val="0"/>
            <w:ind w:hanging="640"/>
            <w:divId w:val="419300719"/>
            <w:rPr>
              <w:rFonts w:eastAsia="Times New Roman"/>
            </w:rPr>
          </w:pPr>
          <w:r>
            <w:rPr>
              <w:rFonts w:eastAsia="Times New Roman"/>
            </w:rPr>
            <w:t xml:space="preserve">95. </w:t>
          </w:r>
          <w:r>
            <w:rPr>
              <w:rFonts w:eastAsia="Times New Roman"/>
            </w:rPr>
            <w:tab/>
            <w:t xml:space="preserve">Ganos C, Kahl U, Brandt V, Schunke O, Baumer T, Thomalla G, Roessner V, Haggard P, Munchau A, Kuhn S. The neural correlates of tic inhibition in Gilles de la Tourette syndrome. </w:t>
          </w:r>
          <w:r>
            <w:rPr>
              <w:rFonts w:eastAsia="Times New Roman"/>
              <w:i/>
              <w:iCs/>
            </w:rPr>
            <w:t>Movement Disorders</w:t>
          </w:r>
          <w:r>
            <w:rPr>
              <w:rFonts w:eastAsia="Times New Roman"/>
            </w:rPr>
            <w:t xml:space="preserve"> (2014) 29:S409-. doi: https://dx.doi.org/10.1002/mds.25914</w:t>
          </w:r>
        </w:p>
        <w:p w14:paraId="5881FA8D" w14:textId="77777777" w:rsidR="00CF213F" w:rsidRDefault="00CF213F">
          <w:pPr>
            <w:autoSpaceDE w:val="0"/>
            <w:autoSpaceDN w:val="0"/>
            <w:ind w:hanging="640"/>
            <w:divId w:val="2056541151"/>
            <w:rPr>
              <w:rFonts w:eastAsia="Times New Roman"/>
            </w:rPr>
          </w:pPr>
          <w:r>
            <w:rPr>
              <w:rFonts w:eastAsia="Times New Roman"/>
            </w:rPr>
            <w:t xml:space="preserve">96. </w:t>
          </w:r>
          <w:r>
            <w:rPr>
              <w:rFonts w:eastAsia="Times New Roman"/>
            </w:rPr>
            <w:tab/>
            <w:t xml:space="preserve">He JL, Mikkelsen M, Huddleston DA, Crocetti D, Cecil KM, Singer HS, Edden RAE, Gilbert DL, Mostofsky SH, Puts NAJ. Frequency and Intensity of Premonitory Urges-to-Tic in Tourette Syndrome Is Associated With Supplementary Motor Area GABA+ Levels. </w:t>
          </w:r>
          <w:r>
            <w:rPr>
              <w:rFonts w:eastAsia="Times New Roman"/>
              <w:i/>
              <w:iCs/>
            </w:rPr>
            <w:t>Movement Disorders</w:t>
          </w:r>
          <w:r>
            <w:rPr>
              <w:rFonts w:eastAsia="Times New Roman"/>
            </w:rPr>
            <w:t xml:space="preserve"> (2022) 37:563–573. doi: https://dx.doi.org/10.1002/mds.28868</w:t>
          </w:r>
        </w:p>
        <w:p w14:paraId="0D75DB3A" w14:textId="77777777" w:rsidR="00CF213F" w:rsidRDefault="00CF213F">
          <w:pPr>
            <w:autoSpaceDE w:val="0"/>
            <w:autoSpaceDN w:val="0"/>
            <w:ind w:hanging="640"/>
            <w:divId w:val="685330373"/>
            <w:rPr>
              <w:rFonts w:eastAsia="Times New Roman"/>
            </w:rPr>
          </w:pPr>
          <w:r>
            <w:rPr>
              <w:rFonts w:eastAsia="Times New Roman"/>
            </w:rPr>
            <w:t xml:space="preserve">97. </w:t>
          </w:r>
          <w:r>
            <w:rPr>
              <w:rFonts w:eastAsia="Times New Roman"/>
            </w:rPr>
            <w:tab/>
            <w:t xml:space="preserve">Kanaan AS, Gerasch S, García-García I, Lampe L, Pampel A, Anwander A, Near J, Möller HE, Müller-Vahl K. Pathological glutamatergic neurotransmission in Gilles de la Tourette syndrome. </w:t>
          </w:r>
          <w:r>
            <w:rPr>
              <w:rFonts w:eastAsia="Times New Roman"/>
              <w:i/>
              <w:iCs/>
            </w:rPr>
            <w:t>Brain</w:t>
          </w:r>
          <w:r>
            <w:rPr>
              <w:rFonts w:eastAsia="Times New Roman"/>
            </w:rPr>
            <w:t xml:space="preserve"> (2017) 140:218–234. doi: 10.1093/brain/aww285</w:t>
          </w:r>
        </w:p>
        <w:p w14:paraId="7D67F80A" w14:textId="77777777" w:rsidR="00CF213F" w:rsidRDefault="00CF213F">
          <w:pPr>
            <w:autoSpaceDE w:val="0"/>
            <w:autoSpaceDN w:val="0"/>
            <w:ind w:hanging="640"/>
            <w:divId w:val="1671331319"/>
            <w:rPr>
              <w:rFonts w:eastAsia="Times New Roman"/>
            </w:rPr>
          </w:pPr>
          <w:r>
            <w:rPr>
              <w:rFonts w:eastAsia="Times New Roman"/>
            </w:rPr>
            <w:t xml:space="preserve">98. </w:t>
          </w:r>
          <w:r>
            <w:rPr>
              <w:rFonts w:eastAsia="Times New Roman"/>
            </w:rPr>
            <w:tab/>
            <w:t xml:space="preserve">Draganski B, Martino D, Cavanna AE, Hutton C, Orth M, Robertson MM, Critchley HD, Frackowiak RS. Multispectral brain morphometry in Tourette syndrome persisting into adulthood. </w:t>
          </w:r>
          <w:r>
            <w:rPr>
              <w:rFonts w:eastAsia="Times New Roman"/>
              <w:i/>
              <w:iCs/>
            </w:rPr>
            <w:t>Brain</w:t>
          </w:r>
          <w:r>
            <w:rPr>
              <w:rFonts w:eastAsia="Times New Roman"/>
            </w:rPr>
            <w:t xml:space="preserve"> (2010) 133:3661–3675. doi: https://dx.doi.org/10.1093/brain/awq300</w:t>
          </w:r>
        </w:p>
        <w:p w14:paraId="18A38BC6" w14:textId="77777777" w:rsidR="00CF213F" w:rsidRDefault="00CF213F">
          <w:pPr>
            <w:autoSpaceDE w:val="0"/>
            <w:autoSpaceDN w:val="0"/>
            <w:ind w:hanging="640"/>
            <w:divId w:val="209995396"/>
            <w:rPr>
              <w:rFonts w:eastAsia="Times New Roman"/>
            </w:rPr>
          </w:pPr>
          <w:r>
            <w:rPr>
              <w:rFonts w:eastAsia="Times New Roman"/>
            </w:rPr>
            <w:t xml:space="preserve">99. </w:t>
          </w:r>
          <w:r>
            <w:rPr>
              <w:rFonts w:eastAsia="Times New Roman"/>
            </w:rPr>
            <w:tab/>
            <w:t xml:space="preserve">Sigurdsson HP, Pépés SE, Jackson GM, Draper A, Morgan PS, Jackson SR. Alterations in the microstructure of white matter in children and adolescents with Tourette syndrome measured using tract-based spatial statistics and probabilistic tractography. </w:t>
          </w:r>
          <w:r>
            <w:rPr>
              <w:rFonts w:eastAsia="Times New Roman"/>
              <w:i/>
              <w:iCs/>
            </w:rPr>
            <w:t>Cortex</w:t>
          </w:r>
          <w:r>
            <w:rPr>
              <w:rFonts w:eastAsia="Times New Roman"/>
            </w:rPr>
            <w:t xml:space="preserve"> (2018) 104:75–89. doi: 10.1016/j.cortex.2018.04.004</w:t>
          </w:r>
        </w:p>
        <w:p w14:paraId="5535F33C" w14:textId="77777777" w:rsidR="00CF213F" w:rsidRDefault="00CF213F">
          <w:pPr>
            <w:autoSpaceDE w:val="0"/>
            <w:autoSpaceDN w:val="0"/>
            <w:ind w:hanging="640"/>
            <w:divId w:val="1435444782"/>
            <w:rPr>
              <w:rFonts w:eastAsia="Times New Roman"/>
            </w:rPr>
          </w:pPr>
          <w:r>
            <w:rPr>
              <w:rFonts w:eastAsia="Times New Roman"/>
            </w:rPr>
            <w:lastRenderedPageBreak/>
            <w:t xml:space="preserve">100. </w:t>
          </w:r>
          <w:r>
            <w:rPr>
              <w:rFonts w:eastAsia="Times New Roman"/>
            </w:rPr>
            <w:tab/>
            <w:t xml:space="preserve">Sigurdsson HP, Jackson SR, Jolley L, Mitchell E, Jackson GM. Alterations in cerebellar grey matter structure and covariance networks in young people with Tourette syndrome. </w:t>
          </w:r>
          <w:r>
            <w:rPr>
              <w:rFonts w:eastAsia="Times New Roman"/>
              <w:i/>
              <w:iCs/>
            </w:rPr>
            <w:t>Cortex</w:t>
          </w:r>
          <w:r>
            <w:rPr>
              <w:rFonts w:eastAsia="Times New Roman"/>
            </w:rPr>
            <w:t xml:space="preserve"> (2020) 126:1–15. doi: 10.1016/j.cortex.2019.12.022</w:t>
          </w:r>
        </w:p>
        <w:p w14:paraId="11C12981" w14:textId="77777777" w:rsidR="00CF213F" w:rsidRDefault="00CF213F">
          <w:pPr>
            <w:autoSpaceDE w:val="0"/>
            <w:autoSpaceDN w:val="0"/>
            <w:ind w:hanging="640"/>
            <w:divId w:val="1478186752"/>
            <w:rPr>
              <w:rFonts w:eastAsia="Times New Roman"/>
            </w:rPr>
          </w:pPr>
          <w:r>
            <w:rPr>
              <w:rFonts w:eastAsia="Times New Roman"/>
            </w:rPr>
            <w:t xml:space="preserve">101. </w:t>
          </w:r>
          <w:r>
            <w:rPr>
              <w:rFonts w:eastAsia="Times New Roman"/>
            </w:rPr>
            <w:tab/>
            <w:t xml:space="preserve">Sigurdsson HP, Jackson SR, Kim S, Dyke K, Jackson GM. A feasibility study for somatomotor cortical mapping in Tourette syndrome using neuronavigated transcranial magnetic stimulation. </w:t>
          </w:r>
          <w:r>
            <w:rPr>
              <w:rFonts w:eastAsia="Times New Roman"/>
              <w:i/>
              <w:iCs/>
            </w:rPr>
            <w:t>Cortex</w:t>
          </w:r>
          <w:r>
            <w:rPr>
              <w:rFonts w:eastAsia="Times New Roman"/>
            </w:rPr>
            <w:t xml:space="preserve"> (2020) 129:175–187. doi: 10.1016/j.cortex.2020.04.014</w:t>
          </w:r>
        </w:p>
        <w:p w14:paraId="3A61F223" w14:textId="77777777" w:rsidR="00CF213F" w:rsidRDefault="00CF213F">
          <w:pPr>
            <w:autoSpaceDE w:val="0"/>
            <w:autoSpaceDN w:val="0"/>
            <w:ind w:hanging="640"/>
            <w:divId w:val="1084687238"/>
            <w:rPr>
              <w:rFonts w:eastAsia="Times New Roman"/>
            </w:rPr>
          </w:pPr>
          <w:r>
            <w:rPr>
              <w:rFonts w:eastAsia="Times New Roman"/>
            </w:rPr>
            <w:t xml:space="preserve">102. </w:t>
          </w:r>
          <w:r>
            <w:rPr>
              <w:rFonts w:eastAsia="Times New Roman"/>
            </w:rPr>
            <w:tab/>
            <w:t xml:space="preserve">Jackson SR, Sigurdsson HP, Dyke K, Condon M, Jackson GM. The role of the cingulate cortex in the generation of motor tics and the experience of the premonitory urge-to-tic in Tourette syndrome. </w:t>
          </w:r>
          <w:r>
            <w:rPr>
              <w:rFonts w:eastAsia="Times New Roman"/>
              <w:i/>
              <w:iCs/>
            </w:rPr>
            <w:t>J Neuropsychol</w:t>
          </w:r>
          <w:r>
            <w:rPr>
              <w:rFonts w:eastAsia="Times New Roman"/>
            </w:rPr>
            <w:t xml:space="preserve"> (2021) 15:340–362. doi: 10.1111/jnp.12242</w:t>
          </w:r>
        </w:p>
        <w:p w14:paraId="5A92EC00" w14:textId="77777777" w:rsidR="00CF213F" w:rsidRDefault="00CF213F">
          <w:pPr>
            <w:autoSpaceDE w:val="0"/>
            <w:autoSpaceDN w:val="0"/>
            <w:ind w:hanging="640"/>
            <w:divId w:val="617567702"/>
            <w:rPr>
              <w:rFonts w:eastAsia="Times New Roman"/>
            </w:rPr>
          </w:pPr>
          <w:r>
            <w:rPr>
              <w:rFonts w:eastAsia="Times New Roman"/>
            </w:rPr>
            <w:t xml:space="preserve">103. </w:t>
          </w:r>
          <w:r>
            <w:rPr>
              <w:rFonts w:eastAsia="Times New Roman"/>
            </w:rPr>
            <w:tab/>
            <w:t xml:space="preserve">Hampson M, Tokoglu F, King RA, Constable RT, Leckman JF. Brain areas coactivating with motor cortex during chronic motor tics and intentional movements. </w:t>
          </w:r>
          <w:r>
            <w:rPr>
              <w:rFonts w:eastAsia="Times New Roman"/>
              <w:i/>
              <w:iCs/>
            </w:rPr>
            <w:t>Biol Psychiatry</w:t>
          </w:r>
          <w:r>
            <w:rPr>
              <w:rFonts w:eastAsia="Times New Roman"/>
            </w:rPr>
            <w:t xml:space="preserve"> (2009) 65:594–599. doi: 10.1016/j.biopsych.2008.11.012</w:t>
          </w:r>
        </w:p>
        <w:p w14:paraId="51749A2F" w14:textId="77777777" w:rsidR="00CF213F" w:rsidRDefault="00CF213F">
          <w:pPr>
            <w:autoSpaceDE w:val="0"/>
            <w:autoSpaceDN w:val="0"/>
            <w:ind w:hanging="640"/>
            <w:divId w:val="83495858"/>
            <w:rPr>
              <w:rFonts w:eastAsia="Times New Roman"/>
            </w:rPr>
          </w:pPr>
          <w:r>
            <w:rPr>
              <w:rFonts w:eastAsia="Times New Roman"/>
            </w:rPr>
            <w:t xml:space="preserve">104. </w:t>
          </w:r>
          <w:r>
            <w:rPr>
              <w:rFonts w:eastAsia="Times New Roman"/>
            </w:rPr>
            <w:tab/>
            <w:t xml:space="preserve">Bohlhalter S, Goldfine A, Matteson S, Garraux G, Hanakawa T, Kansaku K, Wurzman R, Hallett M. Neural correlates of tic generation in Tourette syndrome: an event-related functional MRI study. </w:t>
          </w:r>
          <w:r>
            <w:rPr>
              <w:rFonts w:eastAsia="Times New Roman"/>
              <w:i/>
              <w:iCs/>
            </w:rPr>
            <w:t>Brain</w:t>
          </w:r>
          <w:r>
            <w:rPr>
              <w:rFonts w:eastAsia="Times New Roman"/>
            </w:rPr>
            <w:t xml:space="preserve"> (2006) 129:2029–2037. doi: 10.1093/brain/awl050</w:t>
          </w:r>
        </w:p>
        <w:p w14:paraId="014BE348" w14:textId="77777777" w:rsidR="00CF213F" w:rsidRDefault="00CF213F">
          <w:pPr>
            <w:autoSpaceDE w:val="0"/>
            <w:autoSpaceDN w:val="0"/>
            <w:ind w:hanging="640"/>
            <w:divId w:val="1055927184"/>
            <w:rPr>
              <w:rFonts w:eastAsia="Times New Roman"/>
            </w:rPr>
          </w:pPr>
          <w:r>
            <w:rPr>
              <w:rFonts w:eastAsia="Times New Roman"/>
            </w:rPr>
            <w:t xml:space="preserve">105. </w:t>
          </w:r>
          <w:r>
            <w:rPr>
              <w:rFonts w:eastAsia="Times New Roman"/>
            </w:rPr>
            <w:tab/>
            <w:t xml:space="preserve">Duggal HS, Nizamie SH. Bereitschaftspotential in tic disorders: a preliminary observation. </w:t>
          </w:r>
          <w:r>
            <w:rPr>
              <w:rFonts w:eastAsia="Times New Roman"/>
              <w:i/>
              <w:iCs/>
            </w:rPr>
            <w:t>Neurol India</w:t>
          </w:r>
          <w:r>
            <w:rPr>
              <w:rFonts w:eastAsia="Times New Roman"/>
            </w:rPr>
            <w:t xml:space="preserve"> (2002) 50:487–489.</w:t>
          </w:r>
        </w:p>
        <w:p w14:paraId="575AEB57" w14:textId="77777777" w:rsidR="00CF213F" w:rsidRDefault="00CF213F">
          <w:pPr>
            <w:autoSpaceDE w:val="0"/>
            <w:autoSpaceDN w:val="0"/>
            <w:ind w:hanging="640"/>
            <w:divId w:val="1202133362"/>
            <w:rPr>
              <w:rFonts w:eastAsia="Times New Roman"/>
            </w:rPr>
          </w:pPr>
          <w:r>
            <w:rPr>
              <w:rFonts w:eastAsia="Times New Roman"/>
            </w:rPr>
            <w:t xml:space="preserve">106. </w:t>
          </w:r>
          <w:r>
            <w:rPr>
              <w:rFonts w:eastAsia="Times New Roman"/>
            </w:rPr>
            <w:tab/>
            <w:t xml:space="preserve">Morera Maiquez B, Jackson GM, Jackson SR. Examining the neural antecedents of tics in Tourette syndrome using electroencephalography. </w:t>
          </w:r>
          <w:r>
            <w:rPr>
              <w:rFonts w:eastAsia="Times New Roman"/>
              <w:i/>
              <w:iCs/>
            </w:rPr>
            <w:t>J Neuropsychol</w:t>
          </w:r>
          <w:r>
            <w:rPr>
              <w:rFonts w:eastAsia="Times New Roman"/>
            </w:rPr>
            <w:t xml:space="preserve"> (2022) 16:1–20. doi: 10.1111/jnp.12245</w:t>
          </w:r>
        </w:p>
        <w:p w14:paraId="56034C8F" w14:textId="77777777" w:rsidR="00CF213F" w:rsidRDefault="00CF213F">
          <w:pPr>
            <w:autoSpaceDE w:val="0"/>
            <w:autoSpaceDN w:val="0"/>
            <w:ind w:hanging="640"/>
            <w:divId w:val="673457734"/>
            <w:rPr>
              <w:rFonts w:eastAsia="Times New Roman"/>
            </w:rPr>
          </w:pPr>
          <w:r>
            <w:rPr>
              <w:rFonts w:eastAsia="Times New Roman"/>
            </w:rPr>
            <w:t xml:space="preserve">107. </w:t>
          </w:r>
          <w:r>
            <w:rPr>
              <w:rFonts w:eastAsia="Times New Roman"/>
            </w:rPr>
            <w:tab/>
            <w:t xml:space="preserve">Zapparoli L, Devoto F, Mariano M, Seghezzi S, Servello D, Porta M, Paulesu E. Mapping Gilles de la Tourette syndrome through the distress and relief associated with tic-related behaviors: an fMRI study. </w:t>
          </w:r>
          <w:r>
            <w:rPr>
              <w:rFonts w:eastAsia="Times New Roman"/>
              <w:i/>
              <w:iCs/>
            </w:rPr>
            <w:t>Transl Psychiatry</w:t>
          </w:r>
          <w:r>
            <w:rPr>
              <w:rFonts w:eastAsia="Times New Roman"/>
            </w:rPr>
            <w:t xml:space="preserve"> (2024) 14:7. doi: 10.1038/s41398-023-02711-z</w:t>
          </w:r>
        </w:p>
        <w:p w14:paraId="3B172801" w14:textId="579CFB17" w:rsidR="00EA6910" w:rsidRPr="00986E35" w:rsidRDefault="00CF213F" w:rsidP="002B4A57">
          <w:pPr>
            <w:keepNext/>
            <w:rPr>
              <w:rFonts w:cs="Times New Roman"/>
              <w:b/>
              <w:bCs/>
              <w:szCs w:val="24"/>
            </w:rPr>
          </w:pPr>
          <w:r>
            <w:rPr>
              <w:rFonts w:eastAsia="Times New Roman"/>
            </w:rPr>
            <w:t> </w:t>
          </w:r>
        </w:p>
      </w:sdtContent>
    </w:sdt>
    <w:p w14:paraId="58F1AED1" w14:textId="77777777" w:rsidR="00DE23E8" w:rsidRPr="001549D3" w:rsidRDefault="00DE23E8" w:rsidP="00654E8F">
      <w:pPr>
        <w:spacing w:before="240"/>
      </w:pPr>
    </w:p>
    <w:sectPr w:rsidR="00DE23E8"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798AAB" w14:textId="77777777" w:rsidR="002E7C99" w:rsidRDefault="002E7C99" w:rsidP="00117666">
      <w:pPr>
        <w:spacing w:after="0"/>
      </w:pPr>
      <w:r>
        <w:separator/>
      </w:r>
    </w:p>
  </w:endnote>
  <w:endnote w:type="continuationSeparator" w:id="0">
    <w:p w14:paraId="69F4B58F" w14:textId="77777777" w:rsidR="002E7C99" w:rsidRDefault="002E7C9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425102"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4D054D26"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425102"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085E15EB"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00B8E" w14:textId="77777777" w:rsidR="002E7C99" w:rsidRDefault="002E7C99" w:rsidP="00117666">
      <w:pPr>
        <w:spacing w:after="0"/>
      </w:pPr>
      <w:r>
        <w:separator/>
      </w:r>
    </w:p>
  </w:footnote>
  <w:footnote w:type="continuationSeparator" w:id="0">
    <w:p w14:paraId="7065C42A" w14:textId="77777777" w:rsidR="002E7C99" w:rsidRDefault="002E7C9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425102"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425102"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11185"/>
    <w:multiLevelType w:val="hybridMultilevel"/>
    <w:tmpl w:val="B31A6B1C"/>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577416"/>
    <w:multiLevelType w:val="hybridMultilevel"/>
    <w:tmpl w:val="B52863C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A68794F"/>
    <w:multiLevelType w:val="hybridMultilevel"/>
    <w:tmpl w:val="0B2E2A76"/>
    <w:lvl w:ilvl="0" w:tplc="FFFFFFFF">
      <w:start w:val="3"/>
      <w:numFmt w:val="lowerLetter"/>
      <w:lvlText w:val="%1."/>
      <w:lvlJc w:val="left"/>
      <w:pPr>
        <w:tabs>
          <w:tab w:val="num" w:pos="720"/>
        </w:tabs>
        <w:ind w:left="720" w:hanging="360"/>
      </w:pPr>
    </w:lvl>
    <w:lvl w:ilvl="1" w:tplc="0409001B">
      <w:start w:val="1"/>
      <w:numFmt w:val="lowerRoman"/>
      <w:lvlText w:val="%2."/>
      <w:lvlJc w:val="right"/>
      <w:pPr>
        <w:ind w:left="1440" w:hanging="360"/>
      </w:pPr>
    </w:lvl>
    <w:lvl w:ilvl="2" w:tplc="FFFFFFFF">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 w15:restartNumberingAfterBreak="0">
    <w:nsid w:val="0BDC389E"/>
    <w:multiLevelType w:val="hybridMultilevel"/>
    <w:tmpl w:val="AFEEAA76"/>
    <w:lvl w:ilvl="0" w:tplc="3CDC49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B72C7"/>
    <w:multiLevelType w:val="hybridMultilevel"/>
    <w:tmpl w:val="42F2925E"/>
    <w:lvl w:ilvl="0" w:tplc="24148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F1E82"/>
    <w:multiLevelType w:val="hybridMultilevel"/>
    <w:tmpl w:val="2CA2C72E"/>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98A0676"/>
    <w:multiLevelType w:val="hybridMultilevel"/>
    <w:tmpl w:val="FAEA9B4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8A60BC"/>
    <w:multiLevelType w:val="multilevel"/>
    <w:tmpl w:val="CF28D60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0D4677"/>
    <w:multiLevelType w:val="hybridMultilevel"/>
    <w:tmpl w:val="FCCCCA92"/>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04090013">
      <w:start w:val="1"/>
      <w:numFmt w:val="upperRoman"/>
      <w:lvlText w:val="%3."/>
      <w:lvlJc w:val="righ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C612A5"/>
    <w:multiLevelType w:val="hybridMultilevel"/>
    <w:tmpl w:val="459A9256"/>
    <w:lvl w:ilvl="0" w:tplc="58AE74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3" w15:restartNumberingAfterBreak="0">
    <w:nsid w:val="1F9B313F"/>
    <w:multiLevelType w:val="hybridMultilevel"/>
    <w:tmpl w:val="3746E304"/>
    <w:lvl w:ilvl="0" w:tplc="04090013">
      <w:start w:val="1"/>
      <w:numFmt w:val="upp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 w15:restartNumberingAfterBreak="0">
    <w:nsid w:val="22194254"/>
    <w:multiLevelType w:val="hybridMultilevel"/>
    <w:tmpl w:val="B11C077E"/>
    <w:lvl w:ilvl="0" w:tplc="E4180452">
      <w:start w:val="2"/>
      <w:numFmt w:val="lowerLetter"/>
      <w:lvlText w:val="%1."/>
      <w:lvlJc w:val="left"/>
      <w:pPr>
        <w:tabs>
          <w:tab w:val="num" w:pos="720"/>
        </w:tabs>
        <w:ind w:left="720" w:hanging="360"/>
      </w:pPr>
    </w:lvl>
    <w:lvl w:ilvl="1" w:tplc="3BAA5E4C" w:tentative="1">
      <w:start w:val="1"/>
      <w:numFmt w:val="decimal"/>
      <w:lvlText w:val="%2."/>
      <w:lvlJc w:val="left"/>
      <w:pPr>
        <w:tabs>
          <w:tab w:val="num" w:pos="1440"/>
        </w:tabs>
        <w:ind w:left="1440" w:hanging="360"/>
      </w:pPr>
    </w:lvl>
    <w:lvl w:ilvl="2" w:tplc="1D0E1CEA" w:tentative="1">
      <w:start w:val="1"/>
      <w:numFmt w:val="decimal"/>
      <w:lvlText w:val="%3."/>
      <w:lvlJc w:val="left"/>
      <w:pPr>
        <w:tabs>
          <w:tab w:val="num" w:pos="2160"/>
        </w:tabs>
        <w:ind w:left="2160" w:hanging="360"/>
      </w:pPr>
    </w:lvl>
    <w:lvl w:ilvl="3" w:tplc="BFCCA2A4" w:tentative="1">
      <w:start w:val="1"/>
      <w:numFmt w:val="decimal"/>
      <w:lvlText w:val="%4."/>
      <w:lvlJc w:val="left"/>
      <w:pPr>
        <w:tabs>
          <w:tab w:val="num" w:pos="2880"/>
        </w:tabs>
        <w:ind w:left="2880" w:hanging="360"/>
      </w:pPr>
    </w:lvl>
    <w:lvl w:ilvl="4" w:tplc="1178A01A" w:tentative="1">
      <w:start w:val="1"/>
      <w:numFmt w:val="decimal"/>
      <w:lvlText w:val="%5."/>
      <w:lvlJc w:val="left"/>
      <w:pPr>
        <w:tabs>
          <w:tab w:val="num" w:pos="3600"/>
        </w:tabs>
        <w:ind w:left="3600" w:hanging="360"/>
      </w:pPr>
    </w:lvl>
    <w:lvl w:ilvl="5" w:tplc="A37081F6" w:tentative="1">
      <w:start w:val="1"/>
      <w:numFmt w:val="decimal"/>
      <w:lvlText w:val="%6."/>
      <w:lvlJc w:val="left"/>
      <w:pPr>
        <w:tabs>
          <w:tab w:val="num" w:pos="4320"/>
        </w:tabs>
        <w:ind w:left="4320" w:hanging="360"/>
      </w:pPr>
    </w:lvl>
    <w:lvl w:ilvl="6" w:tplc="3C4EFB80" w:tentative="1">
      <w:start w:val="1"/>
      <w:numFmt w:val="decimal"/>
      <w:lvlText w:val="%7."/>
      <w:lvlJc w:val="left"/>
      <w:pPr>
        <w:tabs>
          <w:tab w:val="num" w:pos="5040"/>
        </w:tabs>
        <w:ind w:left="5040" w:hanging="360"/>
      </w:pPr>
    </w:lvl>
    <w:lvl w:ilvl="7" w:tplc="221E1A68" w:tentative="1">
      <w:start w:val="1"/>
      <w:numFmt w:val="decimal"/>
      <w:lvlText w:val="%8."/>
      <w:lvlJc w:val="left"/>
      <w:pPr>
        <w:tabs>
          <w:tab w:val="num" w:pos="5760"/>
        </w:tabs>
        <w:ind w:left="5760" w:hanging="360"/>
      </w:pPr>
    </w:lvl>
    <w:lvl w:ilvl="8" w:tplc="6DCEDA8E" w:tentative="1">
      <w:start w:val="1"/>
      <w:numFmt w:val="decimal"/>
      <w:lvlText w:val="%9."/>
      <w:lvlJc w:val="left"/>
      <w:pPr>
        <w:tabs>
          <w:tab w:val="num" w:pos="6480"/>
        </w:tabs>
        <w:ind w:left="6480" w:hanging="360"/>
      </w:pPr>
    </w:lvl>
  </w:abstractNum>
  <w:abstractNum w:abstractNumId="1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53463EF"/>
    <w:multiLevelType w:val="multilevel"/>
    <w:tmpl w:val="3A567E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704441"/>
    <w:multiLevelType w:val="hybridMultilevel"/>
    <w:tmpl w:val="778E1C1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4E3047"/>
    <w:multiLevelType w:val="hybridMultilevel"/>
    <w:tmpl w:val="A64C40A8"/>
    <w:lvl w:ilvl="0" w:tplc="ECE25FD2">
      <w:start w:val="3"/>
      <w:numFmt w:val="lowerLetter"/>
      <w:lvlText w:val="%1."/>
      <w:lvlJc w:val="left"/>
      <w:pPr>
        <w:tabs>
          <w:tab w:val="num" w:pos="720"/>
        </w:tabs>
        <w:ind w:left="720" w:hanging="360"/>
      </w:pPr>
    </w:lvl>
    <w:lvl w:ilvl="1" w:tplc="56B267E6">
      <w:start w:val="1"/>
      <w:numFmt w:val="decimal"/>
      <w:lvlText w:val="%2."/>
      <w:lvlJc w:val="left"/>
      <w:pPr>
        <w:tabs>
          <w:tab w:val="num" w:pos="1440"/>
        </w:tabs>
        <w:ind w:left="1440" w:hanging="360"/>
      </w:pPr>
    </w:lvl>
    <w:lvl w:ilvl="2" w:tplc="82E8670A">
      <w:start w:val="1"/>
      <w:numFmt w:val="decimal"/>
      <w:lvlText w:val="%3."/>
      <w:lvlJc w:val="left"/>
      <w:pPr>
        <w:tabs>
          <w:tab w:val="num" w:pos="2160"/>
        </w:tabs>
        <w:ind w:left="2160" w:hanging="360"/>
      </w:pPr>
    </w:lvl>
    <w:lvl w:ilvl="3" w:tplc="55700234" w:tentative="1">
      <w:start w:val="1"/>
      <w:numFmt w:val="decimal"/>
      <w:lvlText w:val="%4."/>
      <w:lvlJc w:val="left"/>
      <w:pPr>
        <w:tabs>
          <w:tab w:val="num" w:pos="2880"/>
        </w:tabs>
        <w:ind w:left="2880" w:hanging="360"/>
      </w:pPr>
    </w:lvl>
    <w:lvl w:ilvl="4" w:tplc="F662AE84" w:tentative="1">
      <w:start w:val="1"/>
      <w:numFmt w:val="decimal"/>
      <w:lvlText w:val="%5."/>
      <w:lvlJc w:val="left"/>
      <w:pPr>
        <w:tabs>
          <w:tab w:val="num" w:pos="3600"/>
        </w:tabs>
        <w:ind w:left="3600" w:hanging="360"/>
      </w:pPr>
    </w:lvl>
    <w:lvl w:ilvl="5" w:tplc="A2CC00DC" w:tentative="1">
      <w:start w:val="1"/>
      <w:numFmt w:val="decimal"/>
      <w:lvlText w:val="%6."/>
      <w:lvlJc w:val="left"/>
      <w:pPr>
        <w:tabs>
          <w:tab w:val="num" w:pos="4320"/>
        </w:tabs>
        <w:ind w:left="4320" w:hanging="360"/>
      </w:pPr>
    </w:lvl>
    <w:lvl w:ilvl="6" w:tplc="4134F424" w:tentative="1">
      <w:start w:val="1"/>
      <w:numFmt w:val="decimal"/>
      <w:lvlText w:val="%7."/>
      <w:lvlJc w:val="left"/>
      <w:pPr>
        <w:tabs>
          <w:tab w:val="num" w:pos="5040"/>
        </w:tabs>
        <w:ind w:left="5040" w:hanging="360"/>
      </w:pPr>
    </w:lvl>
    <w:lvl w:ilvl="7" w:tplc="CD967886" w:tentative="1">
      <w:start w:val="1"/>
      <w:numFmt w:val="decimal"/>
      <w:lvlText w:val="%8."/>
      <w:lvlJc w:val="left"/>
      <w:pPr>
        <w:tabs>
          <w:tab w:val="num" w:pos="5760"/>
        </w:tabs>
        <w:ind w:left="5760" w:hanging="360"/>
      </w:pPr>
    </w:lvl>
    <w:lvl w:ilvl="8" w:tplc="2C3EA16A" w:tentative="1">
      <w:start w:val="1"/>
      <w:numFmt w:val="decimal"/>
      <w:lvlText w:val="%9."/>
      <w:lvlJc w:val="left"/>
      <w:pPr>
        <w:tabs>
          <w:tab w:val="num" w:pos="6480"/>
        </w:tabs>
        <w:ind w:left="6480" w:hanging="360"/>
      </w:pPr>
    </w:lvl>
  </w:abstractNum>
  <w:abstractNum w:abstractNumId="19" w15:restartNumberingAfterBreak="0">
    <w:nsid w:val="37795C5B"/>
    <w:multiLevelType w:val="multilevel"/>
    <w:tmpl w:val="939E917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7E2CF3"/>
    <w:multiLevelType w:val="hybridMultilevel"/>
    <w:tmpl w:val="49801274"/>
    <w:lvl w:ilvl="0" w:tplc="D474EE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8043F7"/>
    <w:multiLevelType w:val="hybridMultilevel"/>
    <w:tmpl w:val="76006DDE"/>
    <w:lvl w:ilvl="0" w:tplc="400EB8C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EA052C"/>
    <w:multiLevelType w:val="hybridMultilevel"/>
    <w:tmpl w:val="464EAE24"/>
    <w:lvl w:ilvl="0" w:tplc="1876EA2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8D4DE4"/>
    <w:multiLevelType w:val="hybridMultilevel"/>
    <w:tmpl w:val="C4569A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F1C2E32"/>
    <w:multiLevelType w:val="hybridMultilevel"/>
    <w:tmpl w:val="52E8F9D8"/>
    <w:lvl w:ilvl="0" w:tplc="A3B28E72">
      <w:start w:val="95"/>
      <w:numFmt w:val="bullet"/>
      <w:lvlText w:val=""/>
      <w:lvlJc w:val="left"/>
      <w:pPr>
        <w:ind w:left="720" w:hanging="360"/>
      </w:pPr>
      <w:rPr>
        <w:rFonts w:ascii="Symbol" w:eastAsiaTheme="minorHAnsi"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A450AD"/>
    <w:multiLevelType w:val="hybridMultilevel"/>
    <w:tmpl w:val="8F2E43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B44799"/>
    <w:multiLevelType w:val="hybridMultilevel"/>
    <w:tmpl w:val="DBCA67C0"/>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7B866FE"/>
    <w:multiLevelType w:val="multilevel"/>
    <w:tmpl w:val="FB56949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1A27E2"/>
    <w:multiLevelType w:val="hybridMultilevel"/>
    <w:tmpl w:val="2B5A83C0"/>
    <w:lvl w:ilvl="0" w:tplc="D61A3672">
      <w:start w:val="1"/>
      <w:numFmt w:val="lowerRoman"/>
      <w:lvlText w:val="%1."/>
      <w:lvlJc w:val="righ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8B722D8"/>
    <w:multiLevelType w:val="hybridMultilevel"/>
    <w:tmpl w:val="E9C60C56"/>
    <w:lvl w:ilvl="0" w:tplc="984C18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F86EA2"/>
    <w:multiLevelType w:val="hybridMultilevel"/>
    <w:tmpl w:val="190429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2F087C"/>
    <w:multiLevelType w:val="hybridMultilevel"/>
    <w:tmpl w:val="99BE9B26"/>
    <w:lvl w:ilvl="0" w:tplc="A3C098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C72849"/>
    <w:multiLevelType w:val="hybridMultilevel"/>
    <w:tmpl w:val="876EED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3132CE8"/>
    <w:multiLevelType w:val="hybridMultilevel"/>
    <w:tmpl w:val="D9B8FD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4415E38"/>
    <w:multiLevelType w:val="hybridMultilevel"/>
    <w:tmpl w:val="00E6B9B8"/>
    <w:lvl w:ilvl="0" w:tplc="04090017">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6" w15:restartNumberingAfterBreak="0">
    <w:nsid w:val="654B2E29"/>
    <w:multiLevelType w:val="hybridMultilevel"/>
    <w:tmpl w:val="D5965C72"/>
    <w:lvl w:ilvl="0" w:tplc="0D1684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94131F"/>
    <w:multiLevelType w:val="hybridMultilevel"/>
    <w:tmpl w:val="FF1458B6"/>
    <w:lvl w:ilvl="0" w:tplc="ADDC5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0" w15:restartNumberingAfterBreak="0">
    <w:nsid w:val="6B044605"/>
    <w:multiLevelType w:val="hybridMultilevel"/>
    <w:tmpl w:val="506487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D71F35"/>
    <w:multiLevelType w:val="hybridMultilevel"/>
    <w:tmpl w:val="B52863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6014422"/>
    <w:multiLevelType w:val="multilevel"/>
    <w:tmpl w:val="0C7423D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2012EE"/>
    <w:multiLevelType w:val="hybridMultilevel"/>
    <w:tmpl w:val="F5844AEA"/>
    <w:lvl w:ilvl="0" w:tplc="7B886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ED3CB4"/>
    <w:multiLevelType w:val="hybridMultilevel"/>
    <w:tmpl w:val="7566302A"/>
    <w:lvl w:ilvl="0" w:tplc="04090019">
      <w:start w:val="1"/>
      <w:numFmt w:val="lowerLetter"/>
      <w:lvlText w:val="%1."/>
      <w:lvlJc w:val="left"/>
      <w:pPr>
        <w:ind w:left="1440" w:hanging="360"/>
      </w:pPr>
    </w:lvl>
    <w:lvl w:ilvl="1" w:tplc="04090013">
      <w:start w:val="1"/>
      <w:numFmt w:val="upp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E0713C5"/>
    <w:multiLevelType w:val="hybridMultilevel"/>
    <w:tmpl w:val="455C41AA"/>
    <w:lvl w:ilvl="0" w:tplc="21BA3A76">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1115517">
    <w:abstractNumId w:val="1"/>
  </w:num>
  <w:num w:numId="2" w16cid:durableId="1683165481">
    <w:abstractNumId w:val="25"/>
  </w:num>
  <w:num w:numId="3" w16cid:durableId="615480040">
    <w:abstractNumId w:val="6"/>
  </w:num>
  <w:num w:numId="4" w16cid:durableId="1566183234">
    <w:abstractNumId w:val="38"/>
  </w:num>
  <w:num w:numId="5" w16cid:durableId="18077027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15"/>
  </w:num>
  <w:num w:numId="7" w16cid:durableId="1359550598">
    <w:abstractNumId w:val="39"/>
  </w:num>
  <w:num w:numId="8" w16cid:durableId="1559510671">
    <w:abstractNumId w:val="39"/>
  </w:num>
  <w:num w:numId="9" w16cid:durableId="1734543462">
    <w:abstractNumId w:val="39"/>
  </w:num>
  <w:num w:numId="10" w16cid:durableId="708839681">
    <w:abstractNumId w:val="39"/>
  </w:num>
  <w:num w:numId="11" w16cid:durableId="2046978920">
    <w:abstractNumId w:val="39"/>
  </w:num>
  <w:num w:numId="12" w16cid:durableId="2124614653">
    <w:abstractNumId w:val="39"/>
  </w:num>
  <w:num w:numId="13" w16cid:durableId="150105246">
    <w:abstractNumId w:val="15"/>
  </w:num>
  <w:num w:numId="14" w16cid:durableId="515769853">
    <w:abstractNumId w:val="12"/>
  </w:num>
  <w:num w:numId="15" w16cid:durableId="1753046014">
    <w:abstractNumId w:val="12"/>
  </w:num>
  <w:num w:numId="16" w16cid:durableId="665939894">
    <w:abstractNumId w:val="12"/>
  </w:num>
  <w:num w:numId="17" w16cid:durableId="2078749421">
    <w:abstractNumId w:val="12"/>
  </w:num>
  <w:num w:numId="18" w16cid:durableId="825047625">
    <w:abstractNumId w:val="12"/>
  </w:num>
  <w:num w:numId="19" w16cid:durableId="803810417">
    <w:abstractNumId w:val="12"/>
  </w:num>
  <w:num w:numId="20" w16cid:durableId="68115480">
    <w:abstractNumId w:val="24"/>
  </w:num>
  <w:num w:numId="21" w16cid:durableId="1538661762">
    <w:abstractNumId w:val="43"/>
  </w:num>
  <w:num w:numId="22" w16cid:durableId="1629507257">
    <w:abstractNumId w:val="37"/>
  </w:num>
  <w:num w:numId="23" w16cid:durableId="1273323459">
    <w:abstractNumId w:val="5"/>
  </w:num>
  <w:num w:numId="24" w16cid:durableId="450365542">
    <w:abstractNumId w:val="32"/>
  </w:num>
  <w:num w:numId="25" w16cid:durableId="579872407">
    <w:abstractNumId w:val="22"/>
  </w:num>
  <w:num w:numId="26" w16cid:durableId="225455537">
    <w:abstractNumId w:val="11"/>
  </w:num>
  <w:num w:numId="27" w16cid:durableId="2134785983">
    <w:abstractNumId w:val="30"/>
  </w:num>
  <w:num w:numId="28" w16cid:durableId="693460683">
    <w:abstractNumId w:val="20"/>
  </w:num>
  <w:num w:numId="29" w16cid:durableId="873035797">
    <w:abstractNumId w:val="4"/>
  </w:num>
  <w:num w:numId="30" w16cid:durableId="1833259059">
    <w:abstractNumId w:val="8"/>
  </w:num>
  <w:num w:numId="31" w16cid:durableId="2021882210">
    <w:abstractNumId w:val="36"/>
  </w:num>
  <w:num w:numId="32" w16cid:durableId="2099253836">
    <w:abstractNumId w:val="45"/>
  </w:num>
  <w:num w:numId="33" w16cid:durableId="1883864053">
    <w:abstractNumId w:val="40"/>
  </w:num>
  <w:num w:numId="34" w16cid:durableId="138378113">
    <w:abstractNumId w:val="26"/>
  </w:num>
  <w:num w:numId="35" w16cid:durableId="1000235978">
    <w:abstractNumId w:val="31"/>
  </w:num>
  <w:num w:numId="36" w16cid:durableId="187763586">
    <w:abstractNumId w:val="21"/>
  </w:num>
  <w:num w:numId="37" w16cid:durableId="897209320">
    <w:abstractNumId w:val="16"/>
  </w:num>
  <w:num w:numId="38" w16cid:durableId="156115570">
    <w:abstractNumId w:val="16"/>
  </w:num>
  <w:num w:numId="39" w16cid:durableId="181170021">
    <w:abstractNumId w:val="16"/>
  </w:num>
  <w:num w:numId="40" w16cid:durableId="81143509">
    <w:abstractNumId w:val="16"/>
    <w:lvlOverride w:ilvl="0">
      <w:lvl w:ilvl="0">
        <w:numFmt w:val="decimal"/>
        <w:lvlText w:val=""/>
        <w:lvlJc w:val="left"/>
      </w:lvl>
    </w:lvlOverride>
    <w:lvlOverride w:ilvl="1">
      <w:lvl w:ilvl="1">
        <w:numFmt w:val="lowerLetter"/>
        <w:lvlText w:val="%2."/>
        <w:lvlJc w:val="left"/>
      </w:lvl>
    </w:lvlOverride>
  </w:num>
  <w:num w:numId="41" w16cid:durableId="1991403429">
    <w:abstractNumId w:val="19"/>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42" w16cid:durableId="926111352">
    <w:abstractNumId w:val="19"/>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43" w16cid:durableId="1407528446">
    <w:abstractNumId w:val="18"/>
  </w:num>
  <w:num w:numId="44" w16cid:durableId="1248002674">
    <w:abstractNumId w:val="18"/>
  </w:num>
  <w:num w:numId="45" w16cid:durableId="1823421846">
    <w:abstractNumId w:val="42"/>
    <w:lvlOverride w:ilvl="0">
      <w:lvl w:ilvl="0">
        <w:numFmt w:val="decimal"/>
        <w:lvlText w:val="%1."/>
        <w:lvlJc w:val="left"/>
      </w:lvl>
    </w:lvlOverride>
  </w:num>
  <w:num w:numId="46" w16cid:durableId="421151384">
    <w:abstractNumId w:val="42"/>
    <w:lvlOverride w:ilvl="0">
      <w:lvl w:ilvl="0">
        <w:numFmt w:val="decimal"/>
        <w:lvlText w:val="%1."/>
        <w:lvlJc w:val="left"/>
      </w:lvl>
    </w:lvlOverride>
    <w:lvlOverride w:ilvl="1">
      <w:lvl w:ilvl="1">
        <w:numFmt w:val="lowerLetter"/>
        <w:lvlText w:val="%2."/>
        <w:lvlJc w:val="left"/>
      </w:lvl>
    </w:lvlOverride>
  </w:num>
  <w:num w:numId="47" w16cid:durableId="2144108285">
    <w:abstractNumId w:val="14"/>
  </w:num>
  <w:num w:numId="48" w16cid:durableId="1040739407">
    <w:abstractNumId w:val="28"/>
    <w:lvlOverride w:ilvl="0">
      <w:lvl w:ilvl="0">
        <w:numFmt w:val="decimal"/>
        <w:lvlText w:val="%1."/>
        <w:lvlJc w:val="left"/>
      </w:lvl>
    </w:lvlOverride>
  </w:num>
  <w:num w:numId="49" w16cid:durableId="1819372086">
    <w:abstractNumId w:val="44"/>
  </w:num>
  <w:num w:numId="50" w16cid:durableId="266424166">
    <w:abstractNumId w:val="33"/>
  </w:num>
  <w:num w:numId="51" w16cid:durableId="1011175899">
    <w:abstractNumId w:val="0"/>
  </w:num>
  <w:num w:numId="52" w16cid:durableId="820511826">
    <w:abstractNumId w:val="23"/>
  </w:num>
  <w:num w:numId="53" w16cid:durableId="1237204923">
    <w:abstractNumId w:val="34"/>
  </w:num>
  <w:num w:numId="54" w16cid:durableId="2020614638">
    <w:abstractNumId w:val="41"/>
  </w:num>
  <w:num w:numId="55" w16cid:durableId="1671830590">
    <w:abstractNumId w:val="7"/>
  </w:num>
  <w:num w:numId="56" w16cid:durableId="1279413060">
    <w:abstractNumId w:val="27"/>
  </w:num>
  <w:num w:numId="57" w16cid:durableId="974725344">
    <w:abstractNumId w:val="2"/>
  </w:num>
  <w:num w:numId="58" w16cid:durableId="588195929">
    <w:abstractNumId w:val="3"/>
  </w:num>
  <w:num w:numId="59" w16cid:durableId="400953283">
    <w:abstractNumId w:val="29"/>
  </w:num>
  <w:num w:numId="60" w16cid:durableId="584925776">
    <w:abstractNumId w:val="17"/>
  </w:num>
  <w:num w:numId="61" w16cid:durableId="1467234316">
    <w:abstractNumId w:val="9"/>
  </w:num>
  <w:num w:numId="62" w16cid:durableId="266037541">
    <w:abstractNumId w:val="10"/>
  </w:num>
  <w:num w:numId="63" w16cid:durableId="1731921339">
    <w:abstractNumId w:val="35"/>
  </w:num>
  <w:num w:numId="64" w16cid:durableId="20139942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642B"/>
    <w:rsid w:val="00007010"/>
    <w:rsid w:val="00011682"/>
    <w:rsid w:val="0001436A"/>
    <w:rsid w:val="00034304"/>
    <w:rsid w:val="00035434"/>
    <w:rsid w:val="00035FFD"/>
    <w:rsid w:val="0003601B"/>
    <w:rsid w:val="00041904"/>
    <w:rsid w:val="00041FF3"/>
    <w:rsid w:val="00052A14"/>
    <w:rsid w:val="00077D53"/>
    <w:rsid w:val="00086A13"/>
    <w:rsid w:val="000B2A06"/>
    <w:rsid w:val="000D0186"/>
    <w:rsid w:val="000D4555"/>
    <w:rsid w:val="000E2CD8"/>
    <w:rsid w:val="000E3F95"/>
    <w:rsid w:val="000E5647"/>
    <w:rsid w:val="000E6528"/>
    <w:rsid w:val="00105FD9"/>
    <w:rsid w:val="001077F0"/>
    <w:rsid w:val="00117666"/>
    <w:rsid w:val="00131C86"/>
    <w:rsid w:val="0014128B"/>
    <w:rsid w:val="0014252E"/>
    <w:rsid w:val="001446DF"/>
    <w:rsid w:val="001549D3"/>
    <w:rsid w:val="00154F31"/>
    <w:rsid w:val="00160065"/>
    <w:rsid w:val="00160C94"/>
    <w:rsid w:val="00166D5A"/>
    <w:rsid w:val="00172AB4"/>
    <w:rsid w:val="00177D84"/>
    <w:rsid w:val="001855BB"/>
    <w:rsid w:val="001A1335"/>
    <w:rsid w:val="001A7939"/>
    <w:rsid w:val="001B29FA"/>
    <w:rsid w:val="001C08DF"/>
    <w:rsid w:val="001C0E31"/>
    <w:rsid w:val="001C647E"/>
    <w:rsid w:val="001D5890"/>
    <w:rsid w:val="001D677D"/>
    <w:rsid w:val="001E39DF"/>
    <w:rsid w:val="001E44D5"/>
    <w:rsid w:val="001E4F29"/>
    <w:rsid w:val="00227399"/>
    <w:rsid w:val="0023476A"/>
    <w:rsid w:val="00237308"/>
    <w:rsid w:val="00240AAB"/>
    <w:rsid w:val="00267D18"/>
    <w:rsid w:val="00281818"/>
    <w:rsid w:val="00285ADF"/>
    <w:rsid w:val="002868E2"/>
    <w:rsid w:val="002869C3"/>
    <w:rsid w:val="002936E4"/>
    <w:rsid w:val="00294609"/>
    <w:rsid w:val="002A0F4D"/>
    <w:rsid w:val="002B4A57"/>
    <w:rsid w:val="002B60DF"/>
    <w:rsid w:val="002C2BC1"/>
    <w:rsid w:val="002C74CA"/>
    <w:rsid w:val="002D3386"/>
    <w:rsid w:val="002D57F5"/>
    <w:rsid w:val="002D6CFD"/>
    <w:rsid w:val="002E401D"/>
    <w:rsid w:val="002E433F"/>
    <w:rsid w:val="002E7C99"/>
    <w:rsid w:val="002F3F88"/>
    <w:rsid w:val="002F6A41"/>
    <w:rsid w:val="0031479C"/>
    <w:rsid w:val="00324C37"/>
    <w:rsid w:val="003309CB"/>
    <w:rsid w:val="0033664E"/>
    <w:rsid w:val="003544FB"/>
    <w:rsid w:val="00364647"/>
    <w:rsid w:val="00364AE7"/>
    <w:rsid w:val="00372698"/>
    <w:rsid w:val="003732AC"/>
    <w:rsid w:val="00376C30"/>
    <w:rsid w:val="003B1429"/>
    <w:rsid w:val="003B2A96"/>
    <w:rsid w:val="003B31BE"/>
    <w:rsid w:val="003B3259"/>
    <w:rsid w:val="003B5FF3"/>
    <w:rsid w:val="003B6C5D"/>
    <w:rsid w:val="003D2F2D"/>
    <w:rsid w:val="003E3C6D"/>
    <w:rsid w:val="003F097C"/>
    <w:rsid w:val="003F4F66"/>
    <w:rsid w:val="00401590"/>
    <w:rsid w:val="00403C67"/>
    <w:rsid w:val="00406E19"/>
    <w:rsid w:val="00411F7D"/>
    <w:rsid w:val="00413458"/>
    <w:rsid w:val="00413781"/>
    <w:rsid w:val="00413CF1"/>
    <w:rsid w:val="00421E6A"/>
    <w:rsid w:val="00425102"/>
    <w:rsid w:val="00444007"/>
    <w:rsid w:val="0044673E"/>
    <w:rsid w:val="00446C41"/>
    <w:rsid w:val="00447801"/>
    <w:rsid w:val="00452E9C"/>
    <w:rsid w:val="00453729"/>
    <w:rsid w:val="00456AB5"/>
    <w:rsid w:val="0045743B"/>
    <w:rsid w:val="00466CA5"/>
    <w:rsid w:val="004735C8"/>
    <w:rsid w:val="00476552"/>
    <w:rsid w:val="00492B09"/>
    <w:rsid w:val="004961FF"/>
    <w:rsid w:val="004A278A"/>
    <w:rsid w:val="004A4F42"/>
    <w:rsid w:val="004A5B99"/>
    <w:rsid w:val="004B1DE4"/>
    <w:rsid w:val="004B3012"/>
    <w:rsid w:val="004B7549"/>
    <w:rsid w:val="004C028E"/>
    <w:rsid w:val="004D24D3"/>
    <w:rsid w:val="004D340D"/>
    <w:rsid w:val="004F38E3"/>
    <w:rsid w:val="004F3B1A"/>
    <w:rsid w:val="00501F01"/>
    <w:rsid w:val="00517A89"/>
    <w:rsid w:val="0052335B"/>
    <w:rsid w:val="005250F2"/>
    <w:rsid w:val="005315A8"/>
    <w:rsid w:val="005334C3"/>
    <w:rsid w:val="00536F1F"/>
    <w:rsid w:val="00537C03"/>
    <w:rsid w:val="005516DB"/>
    <w:rsid w:val="005528C5"/>
    <w:rsid w:val="005721CC"/>
    <w:rsid w:val="0057371A"/>
    <w:rsid w:val="0057593A"/>
    <w:rsid w:val="0058065D"/>
    <w:rsid w:val="005845AF"/>
    <w:rsid w:val="00593EEA"/>
    <w:rsid w:val="005A5EEE"/>
    <w:rsid w:val="005B1296"/>
    <w:rsid w:val="005B1968"/>
    <w:rsid w:val="005C5523"/>
    <w:rsid w:val="005D05FD"/>
    <w:rsid w:val="005D40A2"/>
    <w:rsid w:val="005F6425"/>
    <w:rsid w:val="00603405"/>
    <w:rsid w:val="00605AD0"/>
    <w:rsid w:val="00605EA3"/>
    <w:rsid w:val="006375C7"/>
    <w:rsid w:val="0064487C"/>
    <w:rsid w:val="006460D5"/>
    <w:rsid w:val="00654633"/>
    <w:rsid w:val="00654E8F"/>
    <w:rsid w:val="00660D05"/>
    <w:rsid w:val="00665894"/>
    <w:rsid w:val="0067010F"/>
    <w:rsid w:val="006820B1"/>
    <w:rsid w:val="00691703"/>
    <w:rsid w:val="006A7742"/>
    <w:rsid w:val="006B0649"/>
    <w:rsid w:val="006B32D3"/>
    <w:rsid w:val="006B32FB"/>
    <w:rsid w:val="006B7D14"/>
    <w:rsid w:val="006C4A76"/>
    <w:rsid w:val="006C7270"/>
    <w:rsid w:val="006E4CC6"/>
    <w:rsid w:val="006E6DA2"/>
    <w:rsid w:val="006E6F2B"/>
    <w:rsid w:val="006E723E"/>
    <w:rsid w:val="006F2EC2"/>
    <w:rsid w:val="007015D0"/>
    <w:rsid w:val="00701727"/>
    <w:rsid w:val="0070566C"/>
    <w:rsid w:val="00714C50"/>
    <w:rsid w:val="007157B4"/>
    <w:rsid w:val="00722043"/>
    <w:rsid w:val="00725A7D"/>
    <w:rsid w:val="00726DE0"/>
    <w:rsid w:val="00733C0F"/>
    <w:rsid w:val="0073565F"/>
    <w:rsid w:val="00746496"/>
    <w:rsid w:val="007501BE"/>
    <w:rsid w:val="007579D9"/>
    <w:rsid w:val="007651F4"/>
    <w:rsid w:val="00774258"/>
    <w:rsid w:val="0077791D"/>
    <w:rsid w:val="0078413C"/>
    <w:rsid w:val="00785F24"/>
    <w:rsid w:val="00790BB3"/>
    <w:rsid w:val="007A09EE"/>
    <w:rsid w:val="007A498C"/>
    <w:rsid w:val="007A550C"/>
    <w:rsid w:val="007B53DB"/>
    <w:rsid w:val="007C206C"/>
    <w:rsid w:val="007C3B1F"/>
    <w:rsid w:val="007D2CE4"/>
    <w:rsid w:val="007E02C9"/>
    <w:rsid w:val="007E3AE9"/>
    <w:rsid w:val="007F1180"/>
    <w:rsid w:val="007F3E7F"/>
    <w:rsid w:val="00803D24"/>
    <w:rsid w:val="00806264"/>
    <w:rsid w:val="008102CE"/>
    <w:rsid w:val="00817DD6"/>
    <w:rsid w:val="008245AC"/>
    <w:rsid w:val="0083569E"/>
    <w:rsid w:val="00876775"/>
    <w:rsid w:val="00885156"/>
    <w:rsid w:val="00891040"/>
    <w:rsid w:val="008A4565"/>
    <w:rsid w:val="008A5EF1"/>
    <w:rsid w:val="008B7729"/>
    <w:rsid w:val="008C389D"/>
    <w:rsid w:val="008D2583"/>
    <w:rsid w:val="008E10C4"/>
    <w:rsid w:val="008F5D94"/>
    <w:rsid w:val="009000E5"/>
    <w:rsid w:val="00902688"/>
    <w:rsid w:val="00910414"/>
    <w:rsid w:val="009129EE"/>
    <w:rsid w:val="009151AA"/>
    <w:rsid w:val="0091590F"/>
    <w:rsid w:val="00916226"/>
    <w:rsid w:val="00923AB9"/>
    <w:rsid w:val="00923B74"/>
    <w:rsid w:val="0093429D"/>
    <w:rsid w:val="00935494"/>
    <w:rsid w:val="00937121"/>
    <w:rsid w:val="00937A70"/>
    <w:rsid w:val="00943573"/>
    <w:rsid w:val="009450A0"/>
    <w:rsid w:val="009458C6"/>
    <w:rsid w:val="00965524"/>
    <w:rsid w:val="00965550"/>
    <w:rsid w:val="00967F4B"/>
    <w:rsid w:val="0097092F"/>
    <w:rsid w:val="00970F7D"/>
    <w:rsid w:val="00973168"/>
    <w:rsid w:val="00986BFD"/>
    <w:rsid w:val="00986E35"/>
    <w:rsid w:val="00992CD5"/>
    <w:rsid w:val="00994A3D"/>
    <w:rsid w:val="00994EDC"/>
    <w:rsid w:val="00996674"/>
    <w:rsid w:val="009A75A6"/>
    <w:rsid w:val="009B4F25"/>
    <w:rsid w:val="009C0260"/>
    <w:rsid w:val="009C2B12"/>
    <w:rsid w:val="009C70F3"/>
    <w:rsid w:val="009D2003"/>
    <w:rsid w:val="009D41C3"/>
    <w:rsid w:val="009E1D7E"/>
    <w:rsid w:val="009E261E"/>
    <w:rsid w:val="009E46B8"/>
    <w:rsid w:val="009E789B"/>
    <w:rsid w:val="009F07A9"/>
    <w:rsid w:val="00A10C32"/>
    <w:rsid w:val="00A154D1"/>
    <w:rsid w:val="00A174D9"/>
    <w:rsid w:val="00A30F55"/>
    <w:rsid w:val="00A42D73"/>
    <w:rsid w:val="00A50BE1"/>
    <w:rsid w:val="00A54356"/>
    <w:rsid w:val="00A569CD"/>
    <w:rsid w:val="00A61F5A"/>
    <w:rsid w:val="00A71183"/>
    <w:rsid w:val="00A91306"/>
    <w:rsid w:val="00A927EA"/>
    <w:rsid w:val="00A94B58"/>
    <w:rsid w:val="00AA2041"/>
    <w:rsid w:val="00AB6167"/>
    <w:rsid w:val="00AB6715"/>
    <w:rsid w:val="00AC097C"/>
    <w:rsid w:val="00AD54B2"/>
    <w:rsid w:val="00AE68BC"/>
    <w:rsid w:val="00AF2B67"/>
    <w:rsid w:val="00B023A6"/>
    <w:rsid w:val="00B05E70"/>
    <w:rsid w:val="00B1527F"/>
    <w:rsid w:val="00B1671E"/>
    <w:rsid w:val="00B22DC6"/>
    <w:rsid w:val="00B23B3D"/>
    <w:rsid w:val="00B25977"/>
    <w:rsid w:val="00B25EB8"/>
    <w:rsid w:val="00B32F0E"/>
    <w:rsid w:val="00B354E1"/>
    <w:rsid w:val="00B37F4D"/>
    <w:rsid w:val="00B42D47"/>
    <w:rsid w:val="00B563AA"/>
    <w:rsid w:val="00B57401"/>
    <w:rsid w:val="00B74251"/>
    <w:rsid w:val="00B74A89"/>
    <w:rsid w:val="00B7656F"/>
    <w:rsid w:val="00B80654"/>
    <w:rsid w:val="00B82DED"/>
    <w:rsid w:val="00B85D3F"/>
    <w:rsid w:val="00BD13C1"/>
    <w:rsid w:val="00BE3211"/>
    <w:rsid w:val="00BF4837"/>
    <w:rsid w:val="00C079AA"/>
    <w:rsid w:val="00C1194C"/>
    <w:rsid w:val="00C153A7"/>
    <w:rsid w:val="00C158E6"/>
    <w:rsid w:val="00C200BE"/>
    <w:rsid w:val="00C20FD6"/>
    <w:rsid w:val="00C50589"/>
    <w:rsid w:val="00C50716"/>
    <w:rsid w:val="00C50BEC"/>
    <w:rsid w:val="00C52A7B"/>
    <w:rsid w:val="00C5334D"/>
    <w:rsid w:val="00C56BAF"/>
    <w:rsid w:val="00C60AF8"/>
    <w:rsid w:val="00C656C9"/>
    <w:rsid w:val="00C679AA"/>
    <w:rsid w:val="00C75972"/>
    <w:rsid w:val="00C80455"/>
    <w:rsid w:val="00C83C5E"/>
    <w:rsid w:val="00C94CDD"/>
    <w:rsid w:val="00C95DF3"/>
    <w:rsid w:val="00CA0455"/>
    <w:rsid w:val="00CA08D1"/>
    <w:rsid w:val="00CA2036"/>
    <w:rsid w:val="00CA6DD1"/>
    <w:rsid w:val="00CB6FA7"/>
    <w:rsid w:val="00CC0A3A"/>
    <w:rsid w:val="00CC6064"/>
    <w:rsid w:val="00CD066B"/>
    <w:rsid w:val="00CE4FEE"/>
    <w:rsid w:val="00CF213F"/>
    <w:rsid w:val="00D0618E"/>
    <w:rsid w:val="00D27D1B"/>
    <w:rsid w:val="00D30AFF"/>
    <w:rsid w:val="00D4611F"/>
    <w:rsid w:val="00D56A8A"/>
    <w:rsid w:val="00D60D70"/>
    <w:rsid w:val="00D61D7A"/>
    <w:rsid w:val="00D6790D"/>
    <w:rsid w:val="00D713FC"/>
    <w:rsid w:val="00D772F7"/>
    <w:rsid w:val="00D84A0C"/>
    <w:rsid w:val="00D90AFC"/>
    <w:rsid w:val="00D9630B"/>
    <w:rsid w:val="00DA7A14"/>
    <w:rsid w:val="00DA7C86"/>
    <w:rsid w:val="00DB2DA0"/>
    <w:rsid w:val="00DB59C3"/>
    <w:rsid w:val="00DB5E83"/>
    <w:rsid w:val="00DB644B"/>
    <w:rsid w:val="00DC259A"/>
    <w:rsid w:val="00DD1A99"/>
    <w:rsid w:val="00DD1F61"/>
    <w:rsid w:val="00DD29DC"/>
    <w:rsid w:val="00DD6B14"/>
    <w:rsid w:val="00DE0508"/>
    <w:rsid w:val="00DE14BE"/>
    <w:rsid w:val="00DE23E8"/>
    <w:rsid w:val="00DF16E0"/>
    <w:rsid w:val="00DF45E5"/>
    <w:rsid w:val="00E02C83"/>
    <w:rsid w:val="00E044BE"/>
    <w:rsid w:val="00E20854"/>
    <w:rsid w:val="00E27340"/>
    <w:rsid w:val="00E3309C"/>
    <w:rsid w:val="00E42232"/>
    <w:rsid w:val="00E52377"/>
    <w:rsid w:val="00E5545E"/>
    <w:rsid w:val="00E56CD2"/>
    <w:rsid w:val="00E62D9A"/>
    <w:rsid w:val="00E64E17"/>
    <w:rsid w:val="00E650F7"/>
    <w:rsid w:val="00E866C9"/>
    <w:rsid w:val="00E909EE"/>
    <w:rsid w:val="00E92E96"/>
    <w:rsid w:val="00E95129"/>
    <w:rsid w:val="00EA3D3C"/>
    <w:rsid w:val="00EA6910"/>
    <w:rsid w:val="00EA73C3"/>
    <w:rsid w:val="00EB335F"/>
    <w:rsid w:val="00EC4AA4"/>
    <w:rsid w:val="00EC6306"/>
    <w:rsid w:val="00ED7AE0"/>
    <w:rsid w:val="00F03A63"/>
    <w:rsid w:val="00F04E9F"/>
    <w:rsid w:val="00F1267B"/>
    <w:rsid w:val="00F14980"/>
    <w:rsid w:val="00F27845"/>
    <w:rsid w:val="00F31D0C"/>
    <w:rsid w:val="00F41EC6"/>
    <w:rsid w:val="00F448F4"/>
    <w:rsid w:val="00F45AC1"/>
    <w:rsid w:val="00F46900"/>
    <w:rsid w:val="00F47F23"/>
    <w:rsid w:val="00F5084C"/>
    <w:rsid w:val="00F534F5"/>
    <w:rsid w:val="00F61D89"/>
    <w:rsid w:val="00F741B0"/>
    <w:rsid w:val="00F75127"/>
    <w:rsid w:val="00F76494"/>
    <w:rsid w:val="00F77B55"/>
    <w:rsid w:val="00F81B7C"/>
    <w:rsid w:val="00F8640A"/>
    <w:rsid w:val="00F86CA8"/>
    <w:rsid w:val="00F90310"/>
    <w:rsid w:val="00F9342D"/>
    <w:rsid w:val="00F953B2"/>
    <w:rsid w:val="00FA4D61"/>
    <w:rsid w:val="00FC388F"/>
    <w:rsid w:val="00FC3EDD"/>
    <w:rsid w:val="00FC5551"/>
    <w:rsid w:val="00FD1026"/>
    <w:rsid w:val="00FE616E"/>
    <w:rsid w:val="00FF3C7A"/>
    <w:rsid w:val="00FF7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table" w:styleId="PlainTable1">
    <w:name w:val="Plain Table 1"/>
    <w:basedOn w:val="TableNormal"/>
    <w:uiPriority w:val="41"/>
    <w:rsid w:val="00986E35"/>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86E35"/>
    <w:pPr>
      <w:spacing w:after="0" w:line="240" w:lineRule="auto"/>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86E35"/>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986E35"/>
    <w:pPr>
      <w:spacing w:after="0" w:line="240" w:lineRule="auto"/>
    </w:pPr>
    <w:rPr>
      <w:sz w:val="24"/>
      <w:szCs w:val="24"/>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86E35"/>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86E35"/>
    <w:rPr>
      <w:color w:val="605E5C"/>
      <w:shd w:val="clear" w:color="auto" w:fill="E1DFDD"/>
    </w:rPr>
  </w:style>
  <w:style w:type="character" w:styleId="PlaceholderText">
    <w:name w:val="Placeholder Text"/>
    <w:basedOn w:val="DefaultParagraphFont"/>
    <w:uiPriority w:val="99"/>
    <w:semiHidden/>
    <w:rsid w:val="006701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30889">
      <w:bodyDiv w:val="1"/>
      <w:marLeft w:val="0"/>
      <w:marRight w:val="0"/>
      <w:marTop w:val="0"/>
      <w:marBottom w:val="0"/>
      <w:divBdr>
        <w:top w:val="none" w:sz="0" w:space="0" w:color="auto"/>
        <w:left w:val="none" w:sz="0" w:space="0" w:color="auto"/>
        <w:bottom w:val="none" w:sz="0" w:space="0" w:color="auto"/>
        <w:right w:val="none" w:sz="0" w:space="0" w:color="auto"/>
      </w:divBdr>
      <w:divsChild>
        <w:div w:id="367410595">
          <w:marLeft w:val="640"/>
          <w:marRight w:val="0"/>
          <w:marTop w:val="0"/>
          <w:marBottom w:val="0"/>
          <w:divBdr>
            <w:top w:val="none" w:sz="0" w:space="0" w:color="auto"/>
            <w:left w:val="none" w:sz="0" w:space="0" w:color="auto"/>
            <w:bottom w:val="none" w:sz="0" w:space="0" w:color="auto"/>
            <w:right w:val="none" w:sz="0" w:space="0" w:color="auto"/>
          </w:divBdr>
        </w:div>
        <w:div w:id="683291439">
          <w:marLeft w:val="640"/>
          <w:marRight w:val="0"/>
          <w:marTop w:val="0"/>
          <w:marBottom w:val="0"/>
          <w:divBdr>
            <w:top w:val="none" w:sz="0" w:space="0" w:color="auto"/>
            <w:left w:val="none" w:sz="0" w:space="0" w:color="auto"/>
            <w:bottom w:val="none" w:sz="0" w:space="0" w:color="auto"/>
            <w:right w:val="none" w:sz="0" w:space="0" w:color="auto"/>
          </w:divBdr>
        </w:div>
        <w:div w:id="888151808">
          <w:marLeft w:val="640"/>
          <w:marRight w:val="0"/>
          <w:marTop w:val="0"/>
          <w:marBottom w:val="0"/>
          <w:divBdr>
            <w:top w:val="none" w:sz="0" w:space="0" w:color="auto"/>
            <w:left w:val="none" w:sz="0" w:space="0" w:color="auto"/>
            <w:bottom w:val="none" w:sz="0" w:space="0" w:color="auto"/>
            <w:right w:val="none" w:sz="0" w:space="0" w:color="auto"/>
          </w:divBdr>
        </w:div>
        <w:div w:id="1119881478">
          <w:marLeft w:val="640"/>
          <w:marRight w:val="0"/>
          <w:marTop w:val="0"/>
          <w:marBottom w:val="0"/>
          <w:divBdr>
            <w:top w:val="none" w:sz="0" w:space="0" w:color="auto"/>
            <w:left w:val="none" w:sz="0" w:space="0" w:color="auto"/>
            <w:bottom w:val="none" w:sz="0" w:space="0" w:color="auto"/>
            <w:right w:val="none" w:sz="0" w:space="0" w:color="auto"/>
          </w:divBdr>
        </w:div>
        <w:div w:id="1026715629">
          <w:marLeft w:val="640"/>
          <w:marRight w:val="0"/>
          <w:marTop w:val="0"/>
          <w:marBottom w:val="0"/>
          <w:divBdr>
            <w:top w:val="none" w:sz="0" w:space="0" w:color="auto"/>
            <w:left w:val="none" w:sz="0" w:space="0" w:color="auto"/>
            <w:bottom w:val="none" w:sz="0" w:space="0" w:color="auto"/>
            <w:right w:val="none" w:sz="0" w:space="0" w:color="auto"/>
          </w:divBdr>
        </w:div>
        <w:div w:id="271784615">
          <w:marLeft w:val="640"/>
          <w:marRight w:val="0"/>
          <w:marTop w:val="0"/>
          <w:marBottom w:val="0"/>
          <w:divBdr>
            <w:top w:val="none" w:sz="0" w:space="0" w:color="auto"/>
            <w:left w:val="none" w:sz="0" w:space="0" w:color="auto"/>
            <w:bottom w:val="none" w:sz="0" w:space="0" w:color="auto"/>
            <w:right w:val="none" w:sz="0" w:space="0" w:color="auto"/>
          </w:divBdr>
        </w:div>
        <w:div w:id="191118926">
          <w:marLeft w:val="640"/>
          <w:marRight w:val="0"/>
          <w:marTop w:val="0"/>
          <w:marBottom w:val="0"/>
          <w:divBdr>
            <w:top w:val="none" w:sz="0" w:space="0" w:color="auto"/>
            <w:left w:val="none" w:sz="0" w:space="0" w:color="auto"/>
            <w:bottom w:val="none" w:sz="0" w:space="0" w:color="auto"/>
            <w:right w:val="none" w:sz="0" w:space="0" w:color="auto"/>
          </w:divBdr>
        </w:div>
        <w:div w:id="1052387600">
          <w:marLeft w:val="640"/>
          <w:marRight w:val="0"/>
          <w:marTop w:val="0"/>
          <w:marBottom w:val="0"/>
          <w:divBdr>
            <w:top w:val="none" w:sz="0" w:space="0" w:color="auto"/>
            <w:left w:val="none" w:sz="0" w:space="0" w:color="auto"/>
            <w:bottom w:val="none" w:sz="0" w:space="0" w:color="auto"/>
            <w:right w:val="none" w:sz="0" w:space="0" w:color="auto"/>
          </w:divBdr>
        </w:div>
        <w:div w:id="1385907637">
          <w:marLeft w:val="640"/>
          <w:marRight w:val="0"/>
          <w:marTop w:val="0"/>
          <w:marBottom w:val="0"/>
          <w:divBdr>
            <w:top w:val="none" w:sz="0" w:space="0" w:color="auto"/>
            <w:left w:val="none" w:sz="0" w:space="0" w:color="auto"/>
            <w:bottom w:val="none" w:sz="0" w:space="0" w:color="auto"/>
            <w:right w:val="none" w:sz="0" w:space="0" w:color="auto"/>
          </w:divBdr>
        </w:div>
        <w:div w:id="1541670523">
          <w:marLeft w:val="640"/>
          <w:marRight w:val="0"/>
          <w:marTop w:val="0"/>
          <w:marBottom w:val="0"/>
          <w:divBdr>
            <w:top w:val="none" w:sz="0" w:space="0" w:color="auto"/>
            <w:left w:val="none" w:sz="0" w:space="0" w:color="auto"/>
            <w:bottom w:val="none" w:sz="0" w:space="0" w:color="auto"/>
            <w:right w:val="none" w:sz="0" w:space="0" w:color="auto"/>
          </w:divBdr>
        </w:div>
        <w:div w:id="843394109">
          <w:marLeft w:val="640"/>
          <w:marRight w:val="0"/>
          <w:marTop w:val="0"/>
          <w:marBottom w:val="0"/>
          <w:divBdr>
            <w:top w:val="none" w:sz="0" w:space="0" w:color="auto"/>
            <w:left w:val="none" w:sz="0" w:space="0" w:color="auto"/>
            <w:bottom w:val="none" w:sz="0" w:space="0" w:color="auto"/>
            <w:right w:val="none" w:sz="0" w:space="0" w:color="auto"/>
          </w:divBdr>
        </w:div>
        <w:div w:id="626618946">
          <w:marLeft w:val="640"/>
          <w:marRight w:val="0"/>
          <w:marTop w:val="0"/>
          <w:marBottom w:val="0"/>
          <w:divBdr>
            <w:top w:val="none" w:sz="0" w:space="0" w:color="auto"/>
            <w:left w:val="none" w:sz="0" w:space="0" w:color="auto"/>
            <w:bottom w:val="none" w:sz="0" w:space="0" w:color="auto"/>
            <w:right w:val="none" w:sz="0" w:space="0" w:color="auto"/>
          </w:divBdr>
        </w:div>
        <w:div w:id="1710179692">
          <w:marLeft w:val="640"/>
          <w:marRight w:val="0"/>
          <w:marTop w:val="0"/>
          <w:marBottom w:val="0"/>
          <w:divBdr>
            <w:top w:val="none" w:sz="0" w:space="0" w:color="auto"/>
            <w:left w:val="none" w:sz="0" w:space="0" w:color="auto"/>
            <w:bottom w:val="none" w:sz="0" w:space="0" w:color="auto"/>
            <w:right w:val="none" w:sz="0" w:space="0" w:color="auto"/>
          </w:divBdr>
        </w:div>
        <w:div w:id="1629237588">
          <w:marLeft w:val="640"/>
          <w:marRight w:val="0"/>
          <w:marTop w:val="0"/>
          <w:marBottom w:val="0"/>
          <w:divBdr>
            <w:top w:val="none" w:sz="0" w:space="0" w:color="auto"/>
            <w:left w:val="none" w:sz="0" w:space="0" w:color="auto"/>
            <w:bottom w:val="none" w:sz="0" w:space="0" w:color="auto"/>
            <w:right w:val="none" w:sz="0" w:space="0" w:color="auto"/>
          </w:divBdr>
        </w:div>
        <w:div w:id="1814105163">
          <w:marLeft w:val="640"/>
          <w:marRight w:val="0"/>
          <w:marTop w:val="0"/>
          <w:marBottom w:val="0"/>
          <w:divBdr>
            <w:top w:val="none" w:sz="0" w:space="0" w:color="auto"/>
            <w:left w:val="none" w:sz="0" w:space="0" w:color="auto"/>
            <w:bottom w:val="none" w:sz="0" w:space="0" w:color="auto"/>
            <w:right w:val="none" w:sz="0" w:space="0" w:color="auto"/>
          </w:divBdr>
        </w:div>
        <w:div w:id="336809735">
          <w:marLeft w:val="640"/>
          <w:marRight w:val="0"/>
          <w:marTop w:val="0"/>
          <w:marBottom w:val="0"/>
          <w:divBdr>
            <w:top w:val="none" w:sz="0" w:space="0" w:color="auto"/>
            <w:left w:val="none" w:sz="0" w:space="0" w:color="auto"/>
            <w:bottom w:val="none" w:sz="0" w:space="0" w:color="auto"/>
            <w:right w:val="none" w:sz="0" w:space="0" w:color="auto"/>
          </w:divBdr>
        </w:div>
        <w:div w:id="1397633075">
          <w:marLeft w:val="640"/>
          <w:marRight w:val="0"/>
          <w:marTop w:val="0"/>
          <w:marBottom w:val="0"/>
          <w:divBdr>
            <w:top w:val="none" w:sz="0" w:space="0" w:color="auto"/>
            <w:left w:val="none" w:sz="0" w:space="0" w:color="auto"/>
            <w:bottom w:val="none" w:sz="0" w:space="0" w:color="auto"/>
            <w:right w:val="none" w:sz="0" w:space="0" w:color="auto"/>
          </w:divBdr>
        </w:div>
        <w:div w:id="662510691">
          <w:marLeft w:val="640"/>
          <w:marRight w:val="0"/>
          <w:marTop w:val="0"/>
          <w:marBottom w:val="0"/>
          <w:divBdr>
            <w:top w:val="none" w:sz="0" w:space="0" w:color="auto"/>
            <w:left w:val="none" w:sz="0" w:space="0" w:color="auto"/>
            <w:bottom w:val="none" w:sz="0" w:space="0" w:color="auto"/>
            <w:right w:val="none" w:sz="0" w:space="0" w:color="auto"/>
          </w:divBdr>
        </w:div>
        <w:div w:id="446705619">
          <w:marLeft w:val="640"/>
          <w:marRight w:val="0"/>
          <w:marTop w:val="0"/>
          <w:marBottom w:val="0"/>
          <w:divBdr>
            <w:top w:val="none" w:sz="0" w:space="0" w:color="auto"/>
            <w:left w:val="none" w:sz="0" w:space="0" w:color="auto"/>
            <w:bottom w:val="none" w:sz="0" w:space="0" w:color="auto"/>
            <w:right w:val="none" w:sz="0" w:space="0" w:color="auto"/>
          </w:divBdr>
        </w:div>
        <w:div w:id="1185906210">
          <w:marLeft w:val="640"/>
          <w:marRight w:val="0"/>
          <w:marTop w:val="0"/>
          <w:marBottom w:val="0"/>
          <w:divBdr>
            <w:top w:val="none" w:sz="0" w:space="0" w:color="auto"/>
            <w:left w:val="none" w:sz="0" w:space="0" w:color="auto"/>
            <w:bottom w:val="none" w:sz="0" w:space="0" w:color="auto"/>
            <w:right w:val="none" w:sz="0" w:space="0" w:color="auto"/>
          </w:divBdr>
        </w:div>
        <w:div w:id="14353213">
          <w:marLeft w:val="640"/>
          <w:marRight w:val="0"/>
          <w:marTop w:val="0"/>
          <w:marBottom w:val="0"/>
          <w:divBdr>
            <w:top w:val="none" w:sz="0" w:space="0" w:color="auto"/>
            <w:left w:val="none" w:sz="0" w:space="0" w:color="auto"/>
            <w:bottom w:val="none" w:sz="0" w:space="0" w:color="auto"/>
            <w:right w:val="none" w:sz="0" w:space="0" w:color="auto"/>
          </w:divBdr>
        </w:div>
        <w:div w:id="1218516161">
          <w:marLeft w:val="640"/>
          <w:marRight w:val="0"/>
          <w:marTop w:val="0"/>
          <w:marBottom w:val="0"/>
          <w:divBdr>
            <w:top w:val="none" w:sz="0" w:space="0" w:color="auto"/>
            <w:left w:val="none" w:sz="0" w:space="0" w:color="auto"/>
            <w:bottom w:val="none" w:sz="0" w:space="0" w:color="auto"/>
            <w:right w:val="none" w:sz="0" w:space="0" w:color="auto"/>
          </w:divBdr>
        </w:div>
        <w:div w:id="1328096865">
          <w:marLeft w:val="640"/>
          <w:marRight w:val="0"/>
          <w:marTop w:val="0"/>
          <w:marBottom w:val="0"/>
          <w:divBdr>
            <w:top w:val="none" w:sz="0" w:space="0" w:color="auto"/>
            <w:left w:val="none" w:sz="0" w:space="0" w:color="auto"/>
            <w:bottom w:val="none" w:sz="0" w:space="0" w:color="auto"/>
            <w:right w:val="none" w:sz="0" w:space="0" w:color="auto"/>
          </w:divBdr>
        </w:div>
        <w:div w:id="1663587139">
          <w:marLeft w:val="640"/>
          <w:marRight w:val="0"/>
          <w:marTop w:val="0"/>
          <w:marBottom w:val="0"/>
          <w:divBdr>
            <w:top w:val="none" w:sz="0" w:space="0" w:color="auto"/>
            <w:left w:val="none" w:sz="0" w:space="0" w:color="auto"/>
            <w:bottom w:val="none" w:sz="0" w:space="0" w:color="auto"/>
            <w:right w:val="none" w:sz="0" w:space="0" w:color="auto"/>
          </w:divBdr>
        </w:div>
        <w:div w:id="1197087566">
          <w:marLeft w:val="640"/>
          <w:marRight w:val="0"/>
          <w:marTop w:val="0"/>
          <w:marBottom w:val="0"/>
          <w:divBdr>
            <w:top w:val="none" w:sz="0" w:space="0" w:color="auto"/>
            <w:left w:val="none" w:sz="0" w:space="0" w:color="auto"/>
            <w:bottom w:val="none" w:sz="0" w:space="0" w:color="auto"/>
            <w:right w:val="none" w:sz="0" w:space="0" w:color="auto"/>
          </w:divBdr>
        </w:div>
        <w:div w:id="508449527">
          <w:marLeft w:val="640"/>
          <w:marRight w:val="0"/>
          <w:marTop w:val="0"/>
          <w:marBottom w:val="0"/>
          <w:divBdr>
            <w:top w:val="none" w:sz="0" w:space="0" w:color="auto"/>
            <w:left w:val="none" w:sz="0" w:space="0" w:color="auto"/>
            <w:bottom w:val="none" w:sz="0" w:space="0" w:color="auto"/>
            <w:right w:val="none" w:sz="0" w:space="0" w:color="auto"/>
          </w:divBdr>
        </w:div>
        <w:div w:id="1872958902">
          <w:marLeft w:val="640"/>
          <w:marRight w:val="0"/>
          <w:marTop w:val="0"/>
          <w:marBottom w:val="0"/>
          <w:divBdr>
            <w:top w:val="none" w:sz="0" w:space="0" w:color="auto"/>
            <w:left w:val="none" w:sz="0" w:space="0" w:color="auto"/>
            <w:bottom w:val="none" w:sz="0" w:space="0" w:color="auto"/>
            <w:right w:val="none" w:sz="0" w:space="0" w:color="auto"/>
          </w:divBdr>
        </w:div>
        <w:div w:id="2094736421">
          <w:marLeft w:val="640"/>
          <w:marRight w:val="0"/>
          <w:marTop w:val="0"/>
          <w:marBottom w:val="0"/>
          <w:divBdr>
            <w:top w:val="none" w:sz="0" w:space="0" w:color="auto"/>
            <w:left w:val="none" w:sz="0" w:space="0" w:color="auto"/>
            <w:bottom w:val="none" w:sz="0" w:space="0" w:color="auto"/>
            <w:right w:val="none" w:sz="0" w:space="0" w:color="auto"/>
          </w:divBdr>
        </w:div>
        <w:div w:id="825440807">
          <w:marLeft w:val="640"/>
          <w:marRight w:val="0"/>
          <w:marTop w:val="0"/>
          <w:marBottom w:val="0"/>
          <w:divBdr>
            <w:top w:val="none" w:sz="0" w:space="0" w:color="auto"/>
            <w:left w:val="none" w:sz="0" w:space="0" w:color="auto"/>
            <w:bottom w:val="none" w:sz="0" w:space="0" w:color="auto"/>
            <w:right w:val="none" w:sz="0" w:space="0" w:color="auto"/>
          </w:divBdr>
        </w:div>
        <w:div w:id="219706444">
          <w:marLeft w:val="640"/>
          <w:marRight w:val="0"/>
          <w:marTop w:val="0"/>
          <w:marBottom w:val="0"/>
          <w:divBdr>
            <w:top w:val="none" w:sz="0" w:space="0" w:color="auto"/>
            <w:left w:val="none" w:sz="0" w:space="0" w:color="auto"/>
            <w:bottom w:val="none" w:sz="0" w:space="0" w:color="auto"/>
            <w:right w:val="none" w:sz="0" w:space="0" w:color="auto"/>
          </w:divBdr>
        </w:div>
        <w:div w:id="528491773">
          <w:marLeft w:val="640"/>
          <w:marRight w:val="0"/>
          <w:marTop w:val="0"/>
          <w:marBottom w:val="0"/>
          <w:divBdr>
            <w:top w:val="none" w:sz="0" w:space="0" w:color="auto"/>
            <w:left w:val="none" w:sz="0" w:space="0" w:color="auto"/>
            <w:bottom w:val="none" w:sz="0" w:space="0" w:color="auto"/>
            <w:right w:val="none" w:sz="0" w:space="0" w:color="auto"/>
          </w:divBdr>
        </w:div>
        <w:div w:id="318311122">
          <w:marLeft w:val="640"/>
          <w:marRight w:val="0"/>
          <w:marTop w:val="0"/>
          <w:marBottom w:val="0"/>
          <w:divBdr>
            <w:top w:val="none" w:sz="0" w:space="0" w:color="auto"/>
            <w:left w:val="none" w:sz="0" w:space="0" w:color="auto"/>
            <w:bottom w:val="none" w:sz="0" w:space="0" w:color="auto"/>
            <w:right w:val="none" w:sz="0" w:space="0" w:color="auto"/>
          </w:divBdr>
        </w:div>
        <w:div w:id="720985940">
          <w:marLeft w:val="640"/>
          <w:marRight w:val="0"/>
          <w:marTop w:val="0"/>
          <w:marBottom w:val="0"/>
          <w:divBdr>
            <w:top w:val="none" w:sz="0" w:space="0" w:color="auto"/>
            <w:left w:val="none" w:sz="0" w:space="0" w:color="auto"/>
            <w:bottom w:val="none" w:sz="0" w:space="0" w:color="auto"/>
            <w:right w:val="none" w:sz="0" w:space="0" w:color="auto"/>
          </w:divBdr>
        </w:div>
        <w:div w:id="906307333">
          <w:marLeft w:val="640"/>
          <w:marRight w:val="0"/>
          <w:marTop w:val="0"/>
          <w:marBottom w:val="0"/>
          <w:divBdr>
            <w:top w:val="none" w:sz="0" w:space="0" w:color="auto"/>
            <w:left w:val="none" w:sz="0" w:space="0" w:color="auto"/>
            <w:bottom w:val="none" w:sz="0" w:space="0" w:color="auto"/>
            <w:right w:val="none" w:sz="0" w:space="0" w:color="auto"/>
          </w:divBdr>
        </w:div>
        <w:div w:id="157115836">
          <w:marLeft w:val="640"/>
          <w:marRight w:val="0"/>
          <w:marTop w:val="0"/>
          <w:marBottom w:val="0"/>
          <w:divBdr>
            <w:top w:val="none" w:sz="0" w:space="0" w:color="auto"/>
            <w:left w:val="none" w:sz="0" w:space="0" w:color="auto"/>
            <w:bottom w:val="none" w:sz="0" w:space="0" w:color="auto"/>
            <w:right w:val="none" w:sz="0" w:space="0" w:color="auto"/>
          </w:divBdr>
        </w:div>
        <w:div w:id="23990713">
          <w:marLeft w:val="640"/>
          <w:marRight w:val="0"/>
          <w:marTop w:val="0"/>
          <w:marBottom w:val="0"/>
          <w:divBdr>
            <w:top w:val="none" w:sz="0" w:space="0" w:color="auto"/>
            <w:left w:val="none" w:sz="0" w:space="0" w:color="auto"/>
            <w:bottom w:val="none" w:sz="0" w:space="0" w:color="auto"/>
            <w:right w:val="none" w:sz="0" w:space="0" w:color="auto"/>
          </w:divBdr>
        </w:div>
        <w:div w:id="1822379064">
          <w:marLeft w:val="640"/>
          <w:marRight w:val="0"/>
          <w:marTop w:val="0"/>
          <w:marBottom w:val="0"/>
          <w:divBdr>
            <w:top w:val="none" w:sz="0" w:space="0" w:color="auto"/>
            <w:left w:val="none" w:sz="0" w:space="0" w:color="auto"/>
            <w:bottom w:val="none" w:sz="0" w:space="0" w:color="auto"/>
            <w:right w:val="none" w:sz="0" w:space="0" w:color="auto"/>
          </w:divBdr>
        </w:div>
        <w:div w:id="757596793">
          <w:marLeft w:val="640"/>
          <w:marRight w:val="0"/>
          <w:marTop w:val="0"/>
          <w:marBottom w:val="0"/>
          <w:divBdr>
            <w:top w:val="none" w:sz="0" w:space="0" w:color="auto"/>
            <w:left w:val="none" w:sz="0" w:space="0" w:color="auto"/>
            <w:bottom w:val="none" w:sz="0" w:space="0" w:color="auto"/>
            <w:right w:val="none" w:sz="0" w:space="0" w:color="auto"/>
          </w:divBdr>
        </w:div>
        <w:div w:id="1383477750">
          <w:marLeft w:val="640"/>
          <w:marRight w:val="0"/>
          <w:marTop w:val="0"/>
          <w:marBottom w:val="0"/>
          <w:divBdr>
            <w:top w:val="none" w:sz="0" w:space="0" w:color="auto"/>
            <w:left w:val="none" w:sz="0" w:space="0" w:color="auto"/>
            <w:bottom w:val="none" w:sz="0" w:space="0" w:color="auto"/>
            <w:right w:val="none" w:sz="0" w:space="0" w:color="auto"/>
          </w:divBdr>
        </w:div>
        <w:div w:id="954410984">
          <w:marLeft w:val="640"/>
          <w:marRight w:val="0"/>
          <w:marTop w:val="0"/>
          <w:marBottom w:val="0"/>
          <w:divBdr>
            <w:top w:val="none" w:sz="0" w:space="0" w:color="auto"/>
            <w:left w:val="none" w:sz="0" w:space="0" w:color="auto"/>
            <w:bottom w:val="none" w:sz="0" w:space="0" w:color="auto"/>
            <w:right w:val="none" w:sz="0" w:space="0" w:color="auto"/>
          </w:divBdr>
        </w:div>
        <w:div w:id="47000843">
          <w:marLeft w:val="640"/>
          <w:marRight w:val="0"/>
          <w:marTop w:val="0"/>
          <w:marBottom w:val="0"/>
          <w:divBdr>
            <w:top w:val="none" w:sz="0" w:space="0" w:color="auto"/>
            <w:left w:val="none" w:sz="0" w:space="0" w:color="auto"/>
            <w:bottom w:val="none" w:sz="0" w:space="0" w:color="auto"/>
            <w:right w:val="none" w:sz="0" w:space="0" w:color="auto"/>
          </w:divBdr>
        </w:div>
        <w:div w:id="461924310">
          <w:marLeft w:val="640"/>
          <w:marRight w:val="0"/>
          <w:marTop w:val="0"/>
          <w:marBottom w:val="0"/>
          <w:divBdr>
            <w:top w:val="none" w:sz="0" w:space="0" w:color="auto"/>
            <w:left w:val="none" w:sz="0" w:space="0" w:color="auto"/>
            <w:bottom w:val="none" w:sz="0" w:space="0" w:color="auto"/>
            <w:right w:val="none" w:sz="0" w:space="0" w:color="auto"/>
          </w:divBdr>
        </w:div>
        <w:div w:id="671184287">
          <w:marLeft w:val="640"/>
          <w:marRight w:val="0"/>
          <w:marTop w:val="0"/>
          <w:marBottom w:val="0"/>
          <w:divBdr>
            <w:top w:val="none" w:sz="0" w:space="0" w:color="auto"/>
            <w:left w:val="none" w:sz="0" w:space="0" w:color="auto"/>
            <w:bottom w:val="none" w:sz="0" w:space="0" w:color="auto"/>
            <w:right w:val="none" w:sz="0" w:space="0" w:color="auto"/>
          </w:divBdr>
        </w:div>
        <w:div w:id="45951368">
          <w:marLeft w:val="640"/>
          <w:marRight w:val="0"/>
          <w:marTop w:val="0"/>
          <w:marBottom w:val="0"/>
          <w:divBdr>
            <w:top w:val="none" w:sz="0" w:space="0" w:color="auto"/>
            <w:left w:val="none" w:sz="0" w:space="0" w:color="auto"/>
            <w:bottom w:val="none" w:sz="0" w:space="0" w:color="auto"/>
            <w:right w:val="none" w:sz="0" w:space="0" w:color="auto"/>
          </w:divBdr>
        </w:div>
        <w:div w:id="1367291700">
          <w:marLeft w:val="640"/>
          <w:marRight w:val="0"/>
          <w:marTop w:val="0"/>
          <w:marBottom w:val="0"/>
          <w:divBdr>
            <w:top w:val="none" w:sz="0" w:space="0" w:color="auto"/>
            <w:left w:val="none" w:sz="0" w:space="0" w:color="auto"/>
            <w:bottom w:val="none" w:sz="0" w:space="0" w:color="auto"/>
            <w:right w:val="none" w:sz="0" w:space="0" w:color="auto"/>
          </w:divBdr>
        </w:div>
        <w:div w:id="1619481459">
          <w:marLeft w:val="640"/>
          <w:marRight w:val="0"/>
          <w:marTop w:val="0"/>
          <w:marBottom w:val="0"/>
          <w:divBdr>
            <w:top w:val="none" w:sz="0" w:space="0" w:color="auto"/>
            <w:left w:val="none" w:sz="0" w:space="0" w:color="auto"/>
            <w:bottom w:val="none" w:sz="0" w:space="0" w:color="auto"/>
            <w:right w:val="none" w:sz="0" w:space="0" w:color="auto"/>
          </w:divBdr>
        </w:div>
        <w:div w:id="1948613907">
          <w:marLeft w:val="640"/>
          <w:marRight w:val="0"/>
          <w:marTop w:val="0"/>
          <w:marBottom w:val="0"/>
          <w:divBdr>
            <w:top w:val="none" w:sz="0" w:space="0" w:color="auto"/>
            <w:left w:val="none" w:sz="0" w:space="0" w:color="auto"/>
            <w:bottom w:val="none" w:sz="0" w:space="0" w:color="auto"/>
            <w:right w:val="none" w:sz="0" w:space="0" w:color="auto"/>
          </w:divBdr>
        </w:div>
        <w:div w:id="1771505535">
          <w:marLeft w:val="640"/>
          <w:marRight w:val="0"/>
          <w:marTop w:val="0"/>
          <w:marBottom w:val="0"/>
          <w:divBdr>
            <w:top w:val="none" w:sz="0" w:space="0" w:color="auto"/>
            <w:left w:val="none" w:sz="0" w:space="0" w:color="auto"/>
            <w:bottom w:val="none" w:sz="0" w:space="0" w:color="auto"/>
            <w:right w:val="none" w:sz="0" w:space="0" w:color="auto"/>
          </w:divBdr>
        </w:div>
        <w:div w:id="312947988">
          <w:marLeft w:val="640"/>
          <w:marRight w:val="0"/>
          <w:marTop w:val="0"/>
          <w:marBottom w:val="0"/>
          <w:divBdr>
            <w:top w:val="none" w:sz="0" w:space="0" w:color="auto"/>
            <w:left w:val="none" w:sz="0" w:space="0" w:color="auto"/>
            <w:bottom w:val="none" w:sz="0" w:space="0" w:color="auto"/>
            <w:right w:val="none" w:sz="0" w:space="0" w:color="auto"/>
          </w:divBdr>
        </w:div>
        <w:div w:id="1440418789">
          <w:marLeft w:val="640"/>
          <w:marRight w:val="0"/>
          <w:marTop w:val="0"/>
          <w:marBottom w:val="0"/>
          <w:divBdr>
            <w:top w:val="none" w:sz="0" w:space="0" w:color="auto"/>
            <w:left w:val="none" w:sz="0" w:space="0" w:color="auto"/>
            <w:bottom w:val="none" w:sz="0" w:space="0" w:color="auto"/>
            <w:right w:val="none" w:sz="0" w:space="0" w:color="auto"/>
          </w:divBdr>
        </w:div>
        <w:div w:id="1559169090">
          <w:marLeft w:val="640"/>
          <w:marRight w:val="0"/>
          <w:marTop w:val="0"/>
          <w:marBottom w:val="0"/>
          <w:divBdr>
            <w:top w:val="none" w:sz="0" w:space="0" w:color="auto"/>
            <w:left w:val="none" w:sz="0" w:space="0" w:color="auto"/>
            <w:bottom w:val="none" w:sz="0" w:space="0" w:color="auto"/>
            <w:right w:val="none" w:sz="0" w:space="0" w:color="auto"/>
          </w:divBdr>
        </w:div>
        <w:div w:id="1330717053">
          <w:marLeft w:val="640"/>
          <w:marRight w:val="0"/>
          <w:marTop w:val="0"/>
          <w:marBottom w:val="0"/>
          <w:divBdr>
            <w:top w:val="none" w:sz="0" w:space="0" w:color="auto"/>
            <w:left w:val="none" w:sz="0" w:space="0" w:color="auto"/>
            <w:bottom w:val="none" w:sz="0" w:space="0" w:color="auto"/>
            <w:right w:val="none" w:sz="0" w:space="0" w:color="auto"/>
          </w:divBdr>
        </w:div>
        <w:div w:id="1155292289">
          <w:marLeft w:val="640"/>
          <w:marRight w:val="0"/>
          <w:marTop w:val="0"/>
          <w:marBottom w:val="0"/>
          <w:divBdr>
            <w:top w:val="none" w:sz="0" w:space="0" w:color="auto"/>
            <w:left w:val="none" w:sz="0" w:space="0" w:color="auto"/>
            <w:bottom w:val="none" w:sz="0" w:space="0" w:color="auto"/>
            <w:right w:val="none" w:sz="0" w:space="0" w:color="auto"/>
          </w:divBdr>
        </w:div>
        <w:div w:id="1889295232">
          <w:marLeft w:val="640"/>
          <w:marRight w:val="0"/>
          <w:marTop w:val="0"/>
          <w:marBottom w:val="0"/>
          <w:divBdr>
            <w:top w:val="none" w:sz="0" w:space="0" w:color="auto"/>
            <w:left w:val="none" w:sz="0" w:space="0" w:color="auto"/>
            <w:bottom w:val="none" w:sz="0" w:space="0" w:color="auto"/>
            <w:right w:val="none" w:sz="0" w:space="0" w:color="auto"/>
          </w:divBdr>
        </w:div>
        <w:div w:id="1495336457">
          <w:marLeft w:val="640"/>
          <w:marRight w:val="0"/>
          <w:marTop w:val="0"/>
          <w:marBottom w:val="0"/>
          <w:divBdr>
            <w:top w:val="none" w:sz="0" w:space="0" w:color="auto"/>
            <w:left w:val="none" w:sz="0" w:space="0" w:color="auto"/>
            <w:bottom w:val="none" w:sz="0" w:space="0" w:color="auto"/>
            <w:right w:val="none" w:sz="0" w:space="0" w:color="auto"/>
          </w:divBdr>
        </w:div>
        <w:div w:id="605426305">
          <w:marLeft w:val="640"/>
          <w:marRight w:val="0"/>
          <w:marTop w:val="0"/>
          <w:marBottom w:val="0"/>
          <w:divBdr>
            <w:top w:val="none" w:sz="0" w:space="0" w:color="auto"/>
            <w:left w:val="none" w:sz="0" w:space="0" w:color="auto"/>
            <w:bottom w:val="none" w:sz="0" w:space="0" w:color="auto"/>
            <w:right w:val="none" w:sz="0" w:space="0" w:color="auto"/>
          </w:divBdr>
        </w:div>
        <w:div w:id="1824858060">
          <w:marLeft w:val="640"/>
          <w:marRight w:val="0"/>
          <w:marTop w:val="0"/>
          <w:marBottom w:val="0"/>
          <w:divBdr>
            <w:top w:val="none" w:sz="0" w:space="0" w:color="auto"/>
            <w:left w:val="none" w:sz="0" w:space="0" w:color="auto"/>
            <w:bottom w:val="none" w:sz="0" w:space="0" w:color="auto"/>
            <w:right w:val="none" w:sz="0" w:space="0" w:color="auto"/>
          </w:divBdr>
        </w:div>
        <w:div w:id="1601526082">
          <w:marLeft w:val="640"/>
          <w:marRight w:val="0"/>
          <w:marTop w:val="0"/>
          <w:marBottom w:val="0"/>
          <w:divBdr>
            <w:top w:val="none" w:sz="0" w:space="0" w:color="auto"/>
            <w:left w:val="none" w:sz="0" w:space="0" w:color="auto"/>
            <w:bottom w:val="none" w:sz="0" w:space="0" w:color="auto"/>
            <w:right w:val="none" w:sz="0" w:space="0" w:color="auto"/>
          </w:divBdr>
        </w:div>
        <w:div w:id="1691367889">
          <w:marLeft w:val="640"/>
          <w:marRight w:val="0"/>
          <w:marTop w:val="0"/>
          <w:marBottom w:val="0"/>
          <w:divBdr>
            <w:top w:val="none" w:sz="0" w:space="0" w:color="auto"/>
            <w:left w:val="none" w:sz="0" w:space="0" w:color="auto"/>
            <w:bottom w:val="none" w:sz="0" w:space="0" w:color="auto"/>
            <w:right w:val="none" w:sz="0" w:space="0" w:color="auto"/>
          </w:divBdr>
        </w:div>
        <w:div w:id="638992549">
          <w:marLeft w:val="640"/>
          <w:marRight w:val="0"/>
          <w:marTop w:val="0"/>
          <w:marBottom w:val="0"/>
          <w:divBdr>
            <w:top w:val="none" w:sz="0" w:space="0" w:color="auto"/>
            <w:left w:val="none" w:sz="0" w:space="0" w:color="auto"/>
            <w:bottom w:val="none" w:sz="0" w:space="0" w:color="auto"/>
            <w:right w:val="none" w:sz="0" w:space="0" w:color="auto"/>
          </w:divBdr>
        </w:div>
        <w:div w:id="90787301">
          <w:marLeft w:val="640"/>
          <w:marRight w:val="0"/>
          <w:marTop w:val="0"/>
          <w:marBottom w:val="0"/>
          <w:divBdr>
            <w:top w:val="none" w:sz="0" w:space="0" w:color="auto"/>
            <w:left w:val="none" w:sz="0" w:space="0" w:color="auto"/>
            <w:bottom w:val="none" w:sz="0" w:space="0" w:color="auto"/>
            <w:right w:val="none" w:sz="0" w:space="0" w:color="auto"/>
          </w:divBdr>
        </w:div>
        <w:div w:id="1641954234">
          <w:marLeft w:val="640"/>
          <w:marRight w:val="0"/>
          <w:marTop w:val="0"/>
          <w:marBottom w:val="0"/>
          <w:divBdr>
            <w:top w:val="none" w:sz="0" w:space="0" w:color="auto"/>
            <w:left w:val="none" w:sz="0" w:space="0" w:color="auto"/>
            <w:bottom w:val="none" w:sz="0" w:space="0" w:color="auto"/>
            <w:right w:val="none" w:sz="0" w:space="0" w:color="auto"/>
          </w:divBdr>
        </w:div>
        <w:div w:id="1918006732">
          <w:marLeft w:val="640"/>
          <w:marRight w:val="0"/>
          <w:marTop w:val="0"/>
          <w:marBottom w:val="0"/>
          <w:divBdr>
            <w:top w:val="none" w:sz="0" w:space="0" w:color="auto"/>
            <w:left w:val="none" w:sz="0" w:space="0" w:color="auto"/>
            <w:bottom w:val="none" w:sz="0" w:space="0" w:color="auto"/>
            <w:right w:val="none" w:sz="0" w:space="0" w:color="auto"/>
          </w:divBdr>
        </w:div>
        <w:div w:id="1140272050">
          <w:marLeft w:val="640"/>
          <w:marRight w:val="0"/>
          <w:marTop w:val="0"/>
          <w:marBottom w:val="0"/>
          <w:divBdr>
            <w:top w:val="none" w:sz="0" w:space="0" w:color="auto"/>
            <w:left w:val="none" w:sz="0" w:space="0" w:color="auto"/>
            <w:bottom w:val="none" w:sz="0" w:space="0" w:color="auto"/>
            <w:right w:val="none" w:sz="0" w:space="0" w:color="auto"/>
          </w:divBdr>
        </w:div>
        <w:div w:id="1679233799">
          <w:marLeft w:val="640"/>
          <w:marRight w:val="0"/>
          <w:marTop w:val="0"/>
          <w:marBottom w:val="0"/>
          <w:divBdr>
            <w:top w:val="none" w:sz="0" w:space="0" w:color="auto"/>
            <w:left w:val="none" w:sz="0" w:space="0" w:color="auto"/>
            <w:bottom w:val="none" w:sz="0" w:space="0" w:color="auto"/>
            <w:right w:val="none" w:sz="0" w:space="0" w:color="auto"/>
          </w:divBdr>
        </w:div>
        <w:div w:id="3018944">
          <w:marLeft w:val="640"/>
          <w:marRight w:val="0"/>
          <w:marTop w:val="0"/>
          <w:marBottom w:val="0"/>
          <w:divBdr>
            <w:top w:val="none" w:sz="0" w:space="0" w:color="auto"/>
            <w:left w:val="none" w:sz="0" w:space="0" w:color="auto"/>
            <w:bottom w:val="none" w:sz="0" w:space="0" w:color="auto"/>
            <w:right w:val="none" w:sz="0" w:space="0" w:color="auto"/>
          </w:divBdr>
        </w:div>
        <w:div w:id="751970750">
          <w:marLeft w:val="640"/>
          <w:marRight w:val="0"/>
          <w:marTop w:val="0"/>
          <w:marBottom w:val="0"/>
          <w:divBdr>
            <w:top w:val="none" w:sz="0" w:space="0" w:color="auto"/>
            <w:left w:val="none" w:sz="0" w:space="0" w:color="auto"/>
            <w:bottom w:val="none" w:sz="0" w:space="0" w:color="auto"/>
            <w:right w:val="none" w:sz="0" w:space="0" w:color="auto"/>
          </w:divBdr>
        </w:div>
        <w:div w:id="2124765682">
          <w:marLeft w:val="640"/>
          <w:marRight w:val="0"/>
          <w:marTop w:val="0"/>
          <w:marBottom w:val="0"/>
          <w:divBdr>
            <w:top w:val="none" w:sz="0" w:space="0" w:color="auto"/>
            <w:left w:val="none" w:sz="0" w:space="0" w:color="auto"/>
            <w:bottom w:val="none" w:sz="0" w:space="0" w:color="auto"/>
            <w:right w:val="none" w:sz="0" w:space="0" w:color="auto"/>
          </w:divBdr>
        </w:div>
        <w:div w:id="879048682">
          <w:marLeft w:val="640"/>
          <w:marRight w:val="0"/>
          <w:marTop w:val="0"/>
          <w:marBottom w:val="0"/>
          <w:divBdr>
            <w:top w:val="none" w:sz="0" w:space="0" w:color="auto"/>
            <w:left w:val="none" w:sz="0" w:space="0" w:color="auto"/>
            <w:bottom w:val="none" w:sz="0" w:space="0" w:color="auto"/>
            <w:right w:val="none" w:sz="0" w:space="0" w:color="auto"/>
          </w:divBdr>
        </w:div>
        <w:div w:id="659041318">
          <w:marLeft w:val="640"/>
          <w:marRight w:val="0"/>
          <w:marTop w:val="0"/>
          <w:marBottom w:val="0"/>
          <w:divBdr>
            <w:top w:val="none" w:sz="0" w:space="0" w:color="auto"/>
            <w:left w:val="none" w:sz="0" w:space="0" w:color="auto"/>
            <w:bottom w:val="none" w:sz="0" w:space="0" w:color="auto"/>
            <w:right w:val="none" w:sz="0" w:space="0" w:color="auto"/>
          </w:divBdr>
        </w:div>
        <w:div w:id="1205561116">
          <w:marLeft w:val="640"/>
          <w:marRight w:val="0"/>
          <w:marTop w:val="0"/>
          <w:marBottom w:val="0"/>
          <w:divBdr>
            <w:top w:val="none" w:sz="0" w:space="0" w:color="auto"/>
            <w:left w:val="none" w:sz="0" w:space="0" w:color="auto"/>
            <w:bottom w:val="none" w:sz="0" w:space="0" w:color="auto"/>
            <w:right w:val="none" w:sz="0" w:space="0" w:color="auto"/>
          </w:divBdr>
        </w:div>
        <w:div w:id="995107769">
          <w:marLeft w:val="640"/>
          <w:marRight w:val="0"/>
          <w:marTop w:val="0"/>
          <w:marBottom w:val="0"/>
          <w:divBdr>
            <w:top w:val="none" w:sz="0" w:space="0" w:color="auto"/>
            <w:left w:val="none" w:sz="0" w:space="0" w:color="auto"/>
            <w:bottom w:val="none" w:sz="0" w:space="0" w:color="auto"/>
            <w:right w:val="none" w:sz="0" w:space="0" w:color="auto"/>
          </w:divBdr>
        </w:div>
        <w:div w:id="2055346742">
          <w:marLeft w:val="640"/>
          <w:marRight w:val="0"/>
          <w:marTop w:val="0"/>
          <w:marBottom w:val="0"/>
          <w:divBdr>
            <w:top w:val="none" w:sz="0" w:space="0" w:color="auto"/>
            <w:left w:val="none" w:sz="0" w:space="0" w:color="auto"/>
            <w:bottom w:val="none" w:sz="0" w:space="0" w:color="auto"/>
            <w:right w:val="none" w:sz="0" w:space="0" w:color="auto"/>
          </w:divBdr>
        </w:div>
        <w:div w:id="411972348">
          <w:marLeft w:val="640"/>
          <w:marRight w:val="0"/>
          <w:marTop w:val="0"/>
          <w:marBottom w:val="0"/>
          <w:divBdr>
            <w:top w:val="none" w:sz="0" w:space="0" w:color="auto"/>
            <w:left w:val="none" w:sz="0" w:space="0" w:color="auto"/>
            <w:bottom w:val="none" w:sz="0" w:space="0" w:color="auto"/>
            <w:right w:val="none" w:sz="0" w:space="0" w:color="auto"/>
          </w:divBdr>
        </w:div>
        <w:div w:id="34160084">
          <w:marLeft w:val="640"/>
          <w:marRight w:val="0"/>
          <w:marTop w:val="0"/>
          <w:marBottom w:val="0"/>
          <w:divBdr>
            <w:top w:val="none" w:sz="0" w:space="0" w:color="auto"/>
            <w:left w:val="none" w:sz="0" w:space="0" w:color="auto"/>
            <w:bottom w:val="none" w:sz="0" w:space="0" w:color="auto"/>
            <w:right w:val="none" w:sz="0" w:space="0" w:color="auto"/>
          </w:divBdr>
        </w:div>
        <w:div w:id="369182529">
          <w:marLeft w:val="640"/>
          <w:marRight w:val="0"/>
          <w:marTop w:val="0"/>
          <w:marBottom w:val="0"/>
          <w:divBdr>
            <w:top w:val="none" w:sz="0" w:space="0" w:color="auto"/>
            <w:left w:val="none" w:sz="0" w:space="0" w:color="auto"/>
            <w:bottom w:val="none" w:sz="0" w:space="0" w:color="auto"/>
            <w:right w:val="none" w:sz="0" w:space="0" w:color="auto"/>
          </w:divBdr>
        </w:div>
        <w:div w:id="825822426">
          <w:marLeft w:val="640"/>
          <w:marRight w:val="0"/>
          <w:marTop w:val="0"/>
          <w:marBottom w:val="0"/>
          <w:divBdr>
            <w:top w:val="none" w:sz="0" w:space="0" w:color="auto"/>
            <w:left w:val="none" w:sz="0" w:space="0" w:color="auto"/>
            <w:bottom w:val="none" w:sz="0" w:space="0" w:color="auto"/>
            <w:right w:val="none" w:sz="0" w:space="0" w:color="auto"/>
          </w:divBdr>
        </w:div>
        <w:div w:id="500004351">
          <w:marLeft w:val="640"/>
          <w:marRight w:val="0"/>
          <w:marTop w:val="0"/>
          <w:marBottom w:val="0"/>
          <w:divBdr>
            <w:top w:val="none" w:sz="0" w:space="0" w:color="auto"/>
            <w:left w:val="none" w:sz="0" w:space="0" w:color="auto"/>
            <w:bottom w:val="none" w:sz="0" w:space="0" w:color="auto"/>
            <w:right w:val="none" w:sz="0" w:space="0" w:color="auto"/>
          </w:divBdr>
        </w:div>
        <w:div w:id="1885632938">
          <w:marLeft w:val="640"/>
          <w:marRight w:val="0"/>
          <w:marTop w:val="0"/>
          <w:marBottom w:val="0"/>
          <w:divBdr>
            <w:top w:val="none" w:sz="0" w:space="0" w:color="auto"/>
            <w:left w:val="none" w:sz="0" w:space="0" w:color="auto"/>
            <w:bottom w:val="none" w:sz="0" w:space="0" w:color="auto"/>
            <w:right w:val="none" w:sz="0" w:space="0" w:color="auto"/>
          </w:divBdr>
        </w:div>
        <w:div w:id="651756470">
          <w:marLeft w:val="640"/>
          <w:marRight w:val="0"/>
          <w:marTop w:val="0"/>
          <w:marBottom w:val="0"/>
          <w:divBdr>
            <w:top w:val="none" w:sz="0" w:space="0" w:color="auto"/>
            <w:left w:val="none" w:sz="0" w:space="0" w:color="auto"/>
            <w:bottom w:val="none" w:sz="0" w:space="0" w:color="auto"/>
            <w:right w:val="none" w:sz="0" w:space="0" w:color="auto"/>
          </w:divBdr>
        </w:div>
        <w:div w:id="1425226895">
          <w:marLeft w:val="640"/>
          <w:marRight w:val="0"/>
          <w:marTop w:val="0"/>
          <w:marBottom w:val="0"/>
          <w:divBdr>
            <w:top w:val="none" w:sz="0" w:space="0" w:color="auto"/>
            <w:left w:val="none" w:sz="0" w:space="0" w:color="auto"/>
            <w:bottom w:val="none" w:sz="0" w:space="0" w:color="auto"/>
            <w:right w:val="none" w:sz="0" w:space="0" w:color="auto"/>
          </w:divBdr>
        </w:div>
        <w:div w:id="1108619891">
          <w:marLeft w:val="640"/>
          <w:marRight w:val="0"/>
          <w:marTop w:val="0"/>
          <w:marBottom w:val="0"/>
          <w:divBdr>
            <w:top w:val="none" w:sz="0" w:space="0" w:color="auto"/>
            <w:left w:val="none" w:sz="0" w:space="0" w:color="auto"/>
            <w:bottom w:val="none" w:sz="0" w:space="0" w:color="auto"/>
            <w:right w:val="none" w:sz="0" w:space="0" w:color="auto"/>
          </w:divBdr>
        </w:div>
        <w:div w:id="241372603">
          <w:marLeft w:val="640"/>
          <w:marRight w:val="0"/>
          <w:marTop w:val="0"/>
          <w:marBottom w:val="0"/>
          <w:divBdr>
            <w:top w:val="none" w:sz="0" w:space="0" w:color="auto"/>
            <w:left w:val="none" w:sz="0" w:space="0" w:color="auto"/>
            <w:bottom w:val="none" w:sz="0" w:space="0" w:color="auto"/>
            <w:right w:val="none" w:sz="0" w:space="0" w:color="auto"/>
          </w:divBdr>
        </w:div>
        <w:div w:id="1191795533">
          <w:marLeft w:val="640"/>
          <w:marRight w:val="0"/>
          <w:marTop w:val="0"/>
          <w:marBottom w:val="0"/>
          <w:divBdr>
            <w:top w:val="none" w:sz="0" w:space="0" w:color="auto"/>
            <w:left w:val="none" w:sz="0" w:space="0" w:color="auto"/>
            <w:bottom w:val="none" w:sz="0" w:space="0" w:color="auto"/>
            <w:right w:val="none" w:sz="0" w:space="0" w:color="auto"/>
          </w:divBdr>
        </w:div>
        <w:div w:id="893546517">
          <w:marLeft w:val="640"/>
          <w:marRight w:val="0"/>
          <w:marTop w:val="0"/>
          <w:marBottom w:val="0"/>
          <w:divBdr>
            <w:top w:val="none" w:sz="0" w:space="0" w:color="auto"/>
            <w:left w:val="none" w:sz="0" w:space="0" w:color="auto"/>
            <w:bottom w:val="none" w:sz="0" w:space="0" w:color="auto"/>
            <w:right w:val="none" w:sz="0" w:space="0" w:color="auto"/>
          </w:divBdr>
        </w:div>
        <w:div w:id="168495733">
          <w:marLeft w:val="640"/>
          <w:marRight w:val="0"/>
          <w:marTop w:val="0"/>
          <w:marBottom w:val="0"/>
          <w:divBdr>
            <w:top w:val="none" w:sz="0" w:space="0" w:color="auto"/>
            <w:left w:val="none" w:sz="0" w:space="0" w:color="auto"/>
            <w:bottom w:val="none" w:sz="0" w:space="0" w:color="auto"/>
            <w:right w:val="none" w:sz="0" w:space="0" w:color="auto"/>
          </w:divBdr>
        </w:div>
        <w:div w:id="733967505">
          <w:marLeft w:val="640"/>
          <w:marRight w:val="0"/>
          <w:marTop w:val="0"/>
          <w:marBottom w:val="0"/>
          <w:divBdr>
            <w:top w:val="none" w:sz="0" w:space="0" w:color="auto"/>
            <w:left w:val="none" w:sz="0" w:space="0" w:color="auto"/>
            <w:bottom w:val="none" w:sz="0" w:space="0" w:color="auto"/>
            <w:right w:val="none" w:sz="0" w:space="0" w:color="auto"/>
          </w:divBdr>
        </w:div>
        <w:div w:id="3095205">
          <w:marLeft w:val="640"/>
          <w:marRight w:val="0"/>
          <w:marTop w:val="0"/>
          <w:marBottom w:val="0"/>
          <w:divBdr>
            <w:top w:val="none" w:sz="0" w:space="0" w:color="auto"/>
            <w:left w:val="none" w:sz="0" w:space="0" w:color="auto"/>
            <w:bottom w:val="none" w:sz="0" w:space="0" w:color="auto"/>
            <w:right w:val="none" w:sz="0" w:space="0" w:color="auto"/>
          </w:divBdr>
        </w:div>
        <w:div w:id="1402556300">
          <w:marLeft w:val="640"/>
          <w:marRight w:val="0"/>
          <w:marTop w:val="0"/>
          <w:marBottom w:val="0"/>
          <w:divBdr>
            <w:top w:val="none" w:sz="0" w:space="0" w:color="auto"/>
            <w:left w:val="none" w:sz="0" w:space="0" w:color="auto"/>
            <w:bottom w:val="none" w:sz="0" w:space="0" w:color="auto"/>
            <w:right w:val="none" w:sz="0" w:space="0" w:color="auto"/>
          </w:divBdr>
        </w:div>
        <w:div w:id="1496650028">
          <w:marLeft w:val="640"/>
          <w:marRight w:val="0"/>
          <w:marTop w:val="0"/>
          <w:marBottom w:val="0"/>
          <w:divBdr>
            <w:top w:val="none" w:sz="0" w:space="0" w:color="auto"/>
            <w:left w:val="none" w:sz="0" w:space="0" w:color="auto"/>
            <w:bottom w:val="none" w:sz="0" w:space="0" w:color="auto"/>
            <w:right w:val="none" w:sz="0" w:space="0" w:color="auto"/>
          </w:divBdr>
        </w:div>
        <w:div w:id="1599479781">
          <w:marLeft w:val="640"/>
          <w:marRight w:val="0"/>
          <w:marTop w:val="0"/>
          <w:marBottom w:val="0"/>
          <w:divBdr>
            <w:top w:val="none" w:sz="0" w:space="0" w:color="auto"/>
            <w:left w:val="none" w:sz="0" w:space="0" w:color="auto"/>
            <w:bottom w:val="none" w:sz="0" w:space="0" w:color="auto"/>
            <w:right w:val="none" w:sz="0" w:space="0" w:color="auto"/>
          </w:divBdr>
        </w:div>
        <w:div w:id="351300919">
          <w:marLeft w:val="640"/>
          <w:marRight w:val="0"/>
          <w:marTop w:val="0"/>
          <w:marBottom w:val="0"/>
          <w:divBdr>
            <w:top w:val="none" w:sz="0" w:space="0" w:color="auto"/>
            <w:left w:val="none" w:sz="0" w:space="0" w:color="auto"/>
            <w:bottom w:val="none" w:sz="0" w:space="0" w:color="auto"/>
            <w:right w:val="none" w:sz="0" w:space="0" w:color="auto"/>
          </w:divBdr>
        </w:div>
        <w:div w:id="2110351188">
          <w:marLeft w:val="640"/>
          <w:marRight w:val="0"/>
          <w:marTop w:val="0"/>
          <w:marBottom w:val="0"/>
          <w:divBdr>
            <w:top w:val="none" w:sz="0" w:space="0" w:color="auto"/>
            <w:left w:val="none" w:sz="0" w:space="0" w:color="auto"/>
            <w:bottom w:val="none" w:sz="0" w:space="0" w:color="auto"/>
            <w:right w:val="none" w:sz="0" w:space="0" w:color="auto"/>
          </w:divBdr>
        </w:div>
        <w:div w:id="895554432">
          <w:marLeft w:val="640"/>
          <w:marRight w:val="0"/>
          <w:marTop w:val="0"/>
          <w:marBottom w:val="0"/>
          <w:divBdr>
            <w:top w:val="none" w:sz="0" w:space="0" w:color="auto"/>
            <w:left w:val="none" w:sz="0" w:space="0" w:color="auto"/>
            <w:bottom w:val="none" w:sz="0" w:space="0" w:color="auto"/>
            <w:right w:val="none" w:sz="0" w:space="0" w:color="auto"/>
          </w:divBdr>
        </w:div>
        <w:div w:id="339351869">
          <w:marLeft w:val="640"/>
          <w:marRight w:val="0"/>
          <w:marTop w:val="0"/>
          <w:marBottom w:val="0"/>
          <w:divBdr>
            <w:top w:val="none" w:sz="0" w:space="0" w:color="auto"/>
            <w:left w:val="none" w:sz="0" w:space="0" w:color="auto"/>
            <w:bottom w:val="none" w:sz="0" w:space="0" w:color="auto"/>
            <w:right w:val="none" w:sz="0" w:space="0" w:color="auto"/>
          </w:divBdr>
        </w:div>
        <w:div w:id="1023284832">
          <w:marLeft w:val="640"/>
          <w:marRight w:val="0"/>
          <w:marTop w:val="0"/>
          <w:marBottom w:val="0"/>
          <w:divBdr>
            <w:top w:val="none" w:sz="0" w:space="0" w:color="auto"/>
            <w:left w:val="none" w:sz="0" w:space="0" w:color="auto"/>
            <w:bottom w:val="none" w:sz="0" w:space="0" w:color="auto"/>
            <w:right w:val="none" w:sz="0" w:space="0" w:color="auto"/>
          </w:divBdr>
        </w:div>
        <w:div w:id="1617058853">
          <w:marLeft w:val="640"/>
          <w:marRight w:val="0"/>
          <w:marTop w:val="0"/>
          <w:marBottom w:val="0"/>
          <w:divBdr>
            <w:top w:val="none" w:sz="0" w:space="0" w:color="auto"/>
            <w:left w:val="none" w:sz="0" w:space="0" w:color="auto"/>
            <w:bottom w:val="none" w:sz="0" w:space="0" w:color="auto"/>
            <w:right w:val="none" w:sz="0" w:space="0" w:color="auto"/>
          </w:divBdr>
        </w:div>
        <w:div w:id="232471573">
          <w:marLeft w:val="640"/>
          <w:marRight w:val="0"/>
          <w:marTop w:val="0"/>
          <w:marBottom w:val="0"/>
          <w:divBdr>
            <w:top w:val="none" w:sz="0" w:space="0" w:color="auto"/>
            <w:left w:val="none" w:sz="0" w:space="0" w:color="auto"/>
            <w:bottom w:val="none" w:sz="0" w:space="0" w:color="auto"/>
            <w:right w:val="none" w:sz="0" w:space="0" w:color="auto"/>
          </w:divBdr>
        </w:div>
        <w:div w:id="2108038757">
          <w:marLeft w:val="640"/>
          <w:marRight w:val="0"/>
          <w:marTop w:val="0"/>
          <w:marBottom w:val="0"/>
          <w:divBdr>
            <w:top w:val="none" w:sz="0" w:space="0" w:color="auto"/>
            <w:left w:val="none" w:sz="0" w:space="0" w:color="auto"/>
            <w:bottom w:val="none" w:sz="0" w:space="0" w:color="auto"/>
            <w:right w:val="none" w:sz="0" w:space="0" w:color="auto"/>
          </w:divBdr>
        </w:div>
        <w:div w:id="362562671">
          <w:marLeft w:val="640"/>
          <w:marRight w:val="0"/>
          <w:marTop w:val="0"/>
          <w:marBottom w:val="0"/>
          <w:divBdr>
            <w:top w:val="none" w:sz="0" w:space="0" w:color="auto"/>
            <w:left w:val="none" w:sz="0" w:space="0" w:color="auto"/>
            <w:bottom w:val="none" w:sz="0" w:space="0" w:color="auto"/>
            <w:right w:val="none" w:sz="0" w:space="0" w:color="auto"/>
          </w:divBdr>
        </w:div>
        <w:div w:id="2048330407">
          <w:marLeft w:val="640"/>
          <w:marRight w:val="0"/>
          <w:marTop w:val="0"/>
          <w:marBottom w:val="0"/>
          <w:divBdr>
            <w:top w:val="none" w:sz="0" w:space="0" w:color="auto"/>
            <w:left w:val="none" w:sz="0" w:space="0" w:color="auto"/>
            <w:bottom w:val="none" w:sz="0" w:space="0" w:color="auto"/>
            <w:right w:val="none" w:sz="0" w:space="0" w:color="auto"/>
          </w:divBdr>
        </w:div>
        <w:div w:id="796071464">
          <w:marLeft w:val="640"/>
          <w:marRight w:val="0"/>
          <w:marTop w:val="0"/>
          <w:marBottom w:val="0"/>
          <w:divBdr>
            <w:top w:val="none" w:sz="0" w:space="0" w:color="auto"/>
            <w:left w:val="none" w:sz="0" w:space="0" w:color="auto"/>
            <w:bottom w:val="none" w:sz="0" w:space="0" w:color="auto"/>
            <w:right w:val="none" w:sz="0" w:space="0" w:color="auto"/>
          </w:divBdr>
        </w:div>
        <w:div w:id="433093124">
          <w:marLeft w:val="640"/>
          <w:marRight w:val="0"/>
          <w:marTop w:val="0"/>
          <w:marBottom w:val="0"/>
          <w:divBdr>
            <w:top w:val="none" w:sz="0" w:space="0" w:color="auto"/>
            <w:left w:val="none" w:sz="0" w:space="0" w:color="auto"/>
            <w:bottom w:val="none" w:sz="0" w:space="0" w:color="auto"/>
            <w:right w:val="none" w:sz="0" w:space="0" w:color="auto"/>
          </w:divBdr>
        </w:div>
        <w:div w:id="560674853">
          <w:marLeft w:val="640"/>
          <w:marRight w:val="0"/>
          <w:marTop w:val="0"/>
          <w:marBottom w:val="0"/>
          <w:divBdr>
            <w:top w:val="none" w:sz="0" w:space="0" w:color="auto"/>
            <w:left w:val="none" w:sz="0" w:space="0" w:color="auto"/>
            <w:bottom w:val="none" w:sz="0" w:space="0" w:color="auto"/>
            <w:right w:val="none" w:sz="0" w:space="0" w:color="auto"/>
          </w:divBdr>
        </w:div>
        <w:div w:id="110246817">
          <w:marLeft w:val="640"/>
          <w:marRight w:val="0"/>
          <w:marTop w:val="0"/>
          <w:marBottom w:val="0"/>
          <w:divBdr>
            <w:top w:val="none" w:sz="0" w:space="0" w:color="auto"/>
            <w:left w:val="none" w:sz="0" w:space="0" w:color="auto"/>
            <w:bottom w:val="none" w:sz="0" w:space="0" w:color="auto"/>
            <w:right w:val="none" w:sz="0" w:space="0" w:color="auto"/>
          </w:divBdr>
        </w:div>
        <w:div w:id="932712291">
          <w:marLeft w:val="640"/>
          <w:marRight w:val="0"/>
          <w:marTop w:val="0"/>
          <w:marBottom w:val="0"/>
          <w:divBdr>
            <w:top w:val="none" w:sz="0" w:space="0" w:color="auto"/>
            <w:left w:val="none" w:sz="0" w:space="0" w:color="auto"/>
            <w:bottom w:val="none" w:sz="0" w:space="0" w:color="auto"/>
            <w:right w:val="none" w:sz="0" w:space="0" w:color="auto"/>
          </w:divBdr>
        </w:div>
        <w:div w:id="1489207205">
          <w:marLeft w:val="640"/>
          <w:marRight w:val="0"/>
          <w:marTop w:val="0"/>
          <w:marBottom w:val="0"/>
          <w:divBdr>
            <w:top w:val="none" w:sz="0" w:space="0" w:color="auto"/>
            <w:left w:val="none" w:sz="0" w:space="0" w:color="auto"/>
            <w:bottom w:val="none" w:sz="0" w:space="0" w:color="auto"/>
            <w:right w:val="none" w:sz="0" w:space="0" w:color="auto"/>
          </w:divBdr>
        </w:div>
      </w:divsChild>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18199690">
      <w:bodyDiv w:val="1"/>
      <w:marLeft w:val="0"/>
      <w:marRight w:val="0"/>
      <w:marTop w:val="0"/>
      <w:marBottom w:val="0"/>
      <w:divBdr>
        <w:top w:val="none" w:sz="0" w:space="0" w:color="auto"/>
        <w:left w:val="none" w:sz="0" w:space="0" w:color="auto"/>
        <w:bottom w:val="none" w:sz="0" w:space="0" w:color="auto"/>
        <w:right w:val="none" w:sz="0" w:space="0" w:color="auto"/>
      </w:divBdr>
      <w:divsChild>
        <w:div w:id="899902377">
          <w:marLeft w:val="640"/>
          <w:marRight w:val="0"/>
          <w:marTop w:val="0"/>
          <w:marBottom w:val="0"/>
          <w:divBdr>
            <w:top w:val="none" w:sz="0" w:space="0" w:color="auto"/>
            <w:left w:val="none" w:sz="0" w:space="0" w:color="auto"/>
            <w:bottom w:val="none" w:sz="0" w:space="0" w:color="auto"/>
            <w:right w:val="none" w:sz="0" w:space="0" w:color="auto"/>
          </w:divBdr>
        </w:div>
        <w:div w:id="1478304998">
          <w:marLeft w:val="640"/>
          <w:marRight w:val="0"/>
          <w:marTop w:val="0"/>
          <w:marBottom w:val="0"/>
          <w:divBdr>
            <w:top w:val="none" w:sz="0" w:space="0" w:color="auto"/>
            <w:left w:val="none" w:sz="0" w:space="0" w:color="auto"/>
            <w:bottom w:val="none" w:sz="0" w:space="0" w:color="auto"/>
            <w:right w:val="none" w:sz="0" w:space="0" w:color="auto"/>
          </w:divBdr>
        </w:div>
        <w:div w:id="465007923">
          <w:marLeft w:val="640"/>
          <w:marRight w:val="0"/>
          <w:marTop w:val="0"/>
          <w:marBottom w:val="0"/>
          <w:divBdr>
            <w:top w:val="none" w:sz="0" w:space="0" w:color="auto"/>
            <w:left w:val="none" w:sz="0" w:space="0" w:color="auto"/>
            <w:bottom w:val="none" w:sz="0" w:space="0" w:color="auto"/>
            <w:right w:val="none" w:sz="0" w:space="0" w:color="auto"/>
          </w:divBdr>
        </w:div>
        <w:div w:id="1362052610">
          <w:marLeft w:val="640"/>
          <w:marRight w:val="0"/>
          <w:marTop w:val="0"/>
          <w:marBottom w:val="0"/>
          <w:divBdr>
            <w:top w:val="none" w:sz="0" w:space="0" w:color="auto"/>
            <w:left w:val="none" w:sz="0" w:space="0" w:color="auto"/>
            <w:bottom w:val="none" w:sz="0" w:space="0" w:color="auto"/>
            <w:right w:val="none" w:sz="0" w:space="0" w:color="auto"/>
          </w:divBdr>
        </w:div>
        <w:div w:id="1434277520">
          <w:marLeft w:val="640"/>
          <w:marRight w:val="0"/>
          <w:marTop w:val="0"/>
          <w:marBottom w:val="0"/>
          <w:divBdr>
            <w:top w:val="none" w:sz="0" w:space="0" w:color="auto"/>
            <w:left w:val="none" w:sz="0" w:space="0" w:color="auto"/>
            <w:bottom w:val="none" w:sz="0" w:space="0" w:color="auto"/>
            <w:right w:val="none" w:sz="0" w:space="0" w:color="auto"/>
          </w:divBdr>
        </w:div>
        <w:div w:id="49086515">
          <w:marLeft w:val="640"/>
          <w:marRight w:val="0"/>
          <w:marTop w:val="0"/>
          <w:marBottom w:val="0"/>
          <w:divBdr>
            <w:top w:val="none" w:sz="0" w:space="0" w:color="auto"/>
            <w:left w:val="none" w:sz="0" w:space="0" w:color="auto"/>
            <w:bottom w:val="none" w:sz="0" w:space="0" w:color="auto"/>
            <w:right w:val="none" w:sz="0" w:space="0" w:color="auto"/>
          </w:divBdr>
        </w:div>
        <w:div w:id="897280285">
          <w:marLeft w:val="640"/>
          <w:marRight w:val="0"/>
          <w:marTop w:val="0"/>
          <w:marBottom w:val="0"/>
          <w:divBdr>
            <w:top w:val="none" w:sz="0" w:space="0" w:color="auto"/>
            <w:left w:val="none" w:sz="0" w:space="0" w:color="auto"/>
            <w:bottom w:val="none" w:sz="0" w:space="0" w:color="auto"/>
            <w:right w:val="none" w:sz="0" w:space="0" w:color="auto"/>
          </w:divBdr>
        </w:div>
        <w:div w:id="514658755">
          <w:marLeft w:val="640"/>
          <w:marRight w:val="0"/>
          <w:marTop w:val="0"/>
          <w:marBottom w:val="0"/>
          <w:divBdr>
            <w:top w:val="none" w:sz="0" w:space="0" w:color="auto"/>
            <w:left w:val="none" w:sz="0" w:space="0" w:color="auto"/>
            <w:bottom w:val="none" w:sz="0" w:space="0" w:color="auto"/>
            <w:right w:val="none" w:sz="0" w:space="0" w:color="auto"/>
          </w:divBdr>
        </w:div>
        <w:div w:id="1710379427">
          <w:marLeft w:val="640"/>
          <w:marRight w:val="0"/>
          <w:marTop w:val="0"/>
          <w:marBottom w:val="0"/>
          <w:divBdr>
            <w:top w:val="none" w:sz="0" w:space="0" w:color="auto"/>
            <w:left w:val="none" w:sz="0" w:space="0" w:color="auto"/>
            <w:bottom w:val="none" w:sz="0" w:space="0" w:color="auto"/>
            <w:right w:val="none" w:sz="0" w:space="0" w:color="auto"/>
          </w:divBdr>
        </w:div>
        <w:div w:id="108817825">
          <w:marLeft w:val="640"/>
          <w:marRight w:val="0"/>
          <w:marTop w:val="0"/>
          <w:marBottom w:val="0"/>
          <w:divBdr>
            <w:top w:val="none" w:sz="0" w:space="0" w:color="auto"/>
            <w:left w:val="none" w:sz="0" w:space="0" w:color="auto"/>
            <w:bottom w:val="none" w:sz="0" w:space="0" w:color="auto"/>
            <w:right w:val="none" w:sz="0" w:space="0" w:color="auto"/>
          </w:divBdr>
        </w:div>
        <w:div w:id="1644654482">
          <w:marLeft w:val="640"/>
          <w:marRight w:val="0"/>
          <w:marTop w:val="0"/>
          <w:marBottom w:val="0"/>
          <w:divBdr>
            <w:top w:val="none" w:sz="0" w:space="0" w:color="auto"/>
            <w:left w:val="none" w:sz="0" w:space="0" w:color="auto"/>
            <w:bottom w:val="none" w:sz="0" w:space="0" w:color="auto"/>
            <w:right w:val="none" w:sz="0" w:space="0" w:color="auto"/>
          </w:divBdr>
        </w:div>
        <w:div w:id="1363897735">
          <w:marLeft w:val="640"/>
          <w:marRight w:val="0"/>
          <w:marTop w:val="0"/>
          <w:marBottom w:val="0"/>
          <w:divBdr>
            <w:top w:val="none" w:sz="0" w:space="0" w:color="auto"/>
            <w:left w:val="none" w:sz="0" w:space="0" w:color="auto"/>
            <w:bottom w:val="none" w:sz="0" w:space="0" w:color="auto"/>
            <w:right w:val="none" w:sz="0" w:space="0" w:color="auto"/>
          </w:divBdr>
        </w:div>
        <w:div w:id="16582193">
          <w:marLeft w:val="640"/>
          <w:marRight w:val="0"/>
          <w:marTop w:val="0"/>
          <w:marBottom w:val="0"/>
          <w:divBdr>
            <w:top w:val="none" w:sz="0" w:space="0" w:color="auto"/>
            <w:left w:val="none" w:sz="0" w:space="0" w:color="auto"/>
            <w:bottom w:val="none" w:sz="0" w:space="0" w:color="auto"/>
            <w:right w:val="none" w:sz="0" w:space="0" w:color="auto"/>
          </w:divBdr>
        </w:div>
        <w:div w:id="324627657">
          <w:marLeft w:val="640"/>
          <w:marRight w:val="0"/>
          <w:marTop w:val="0"/>
          <w:marBottom w:val="0"/>
          <w:divBdr>
            <w:top w:val="none" w:sz="0" w:space="0" w:color="auto"/>
            <w:left w:val="none" w:sz="0" w:space="0" w:color="auto"/>
            <w:bottom w:val="none" w:sz="0" w:space="0" w:color="auto"/>
            <w:right w:val="none" w:sz="0" w:space="0" w:color="auto"/>
          </w:divBdr>
        </w:div>
        <w:div w:id="2064909770">
          <w:marLeft w:val="640"/>
          <w:marRight w:val="0"/>
          <w:marTop w:val="0"/>
          <w:marBottom w:val="0"/>
          <w:divBdr>
            <w:top w:val="none" w:sz="0" w:space="0" w:color="auto"/>
            <w:left w:val="none" w:sz="0" w:space="0" w:color="auto"/>
            <w:bottom w:val="none" w:sz="0" w:space="0" w:color="auto"/>
            <w:right w:val="none" w:sz="0" w:space="0" w:color="auto"/>
          </w:divBdr>
        </w:div>
        <w:div w:id="574363107">
          <w:marLeft w:val="640"/>
          <w:marRight w:val="0"/>
          <w:marTop w:val="0"/>
          <w:marBottom w:val="0"/>
          <w:divBdr>
            <w:top w:val="none" w:sz="0" w:space="0" w:color="auto"/>
            <w:left w:val="none" w:sz="0" w:space="0" w:color="auto"/>
            <w:bottom w:val="none" w:sz="0" w:space="0" w:color="auto"/>
            <w:right w:val="none" w:sz="0" w:space="0" w:color="auto"/>
          </w:divBdr>
        </w:div>
        <w:div w:id="1168713936">
          <w:marLeft w:val="640"/>
          <w:marRight w:val="0"/>
          <w:marTop w:val="0"/>
          <w:marBottom w:val="0"/>
          <w:divBdr>
            <w:top w:val="none" w:sz="0" w:space="0" w:color="auto"/>
            <w:left w:val="none" w:sz="0" w:space="0" w:color="auto"/>
            <w:bottom w:val="none" w:sz="0" w:space="0" w:color="auto"/>
            <w:right w:val="none" w:sz="0" w:space="0" w:color="auto"/>
          </w:divBdr>
        </w:div>
        <w:div w:id="1071729972">
          <w:marLeft w:val="640"/>
          <w:marRight w:val="0"/>
          <w:marTop w:val="0"/>
          <w:marBottom w:val="0"/>
          <w:divBdr>
            <w:top w:val="none" w:sz="0" w:space="0" w:color="auto"/>
            <w:left w:val="none" w:sz="0" w:space="0" w:color="auto"/>
            <w:bottom w:val="none" w:sz="0" w:space="0" w:color="auto"/>
            <w:right w:val="none" w:sz="0" w:space="0" w:color="auto"/>
          </w:divBdr>
        </w:div>
        <w:div w:id="1440829874">
          <w:marLeft w:val="640"/>
          <w:marRight w:val="0"/>
          <w:marTop w:val="0"/>
          <w:marBottom w:val="0"/>
          <w:divBdr>
            <w:top w:val="none" w:sz="0" w:space="0" w:color="auto"/>
            <w:left w:val="none" w:sz="0" w:space="0" w:color="auto"/>
            <w:bottom w:val="none" w:sz="0" w:space="0" w:color="auto"/>
            <w:right w:val="none" w:sz="0" w:space="0" w:color="auto"/>
          </w:divBdr>
        </w:div>
        <w:div w:id="933561639">
          <w:marLeft w:val="640"/>
          <w:marRight w:val="0"/>
          <w:marTop w:val="0"/>
          <w:marBottom w:val="0"/>
          <w:divBdr>
            <w:top w:val="none" w:sz="0" w:space="0" w:color="auto"/>
            <w:left w:val="none" w:sz="0" w:space="0" w:color="auto"/>
            <w:bottom w:val="none" w:sz="0" w:space="0" w:color="auto"/>
            <w:right w:val="none" w:sz="0" w:space="0" w:color="auto"/>
          </w:divBdr>
        </w:div>
        <w:div w:id="1128166562">
          <w:marLeft w:val="640"/>
          <w:marRight w:val="0"/>
          <w:marTop w:val="0"/>
          <w:marBottom w:val="0"/>
          <w:divBdr>
            <w:top w:val="none" w:sz="0" w:space="0" w:color="auto"/>
            <w:left w:val="none" w:sz="0" w:space="0" w:color="auto"/>
            <w:bottom w:val="none" w:sz="0" w:space="0" w:color="auto"/>
            <w:right w:val="none" w:sz="0" w:space="0" w:color="auto"/>
          </w:divBdr>
        </w:div>
        <w:div w:id="478421175">
          <w:marLeft w:val="640"/>
          <w:marRight w:val="0"/>
          <w:marTop w:val="0"/>
          <w:marBottom w:val="0"/>
          <w:divBdr>
            <w:top w:val="none" w:sz="0" w:space="0" w:color="auto"/>
            <w:left w:val="none" w:sz="0" w:space="0" w:color="auto"/>
            <w:bottom w:val="none" w:sz="0" w:space="0" w:color="auto"/>
            <w:right w:val="none" w:sz="0" w:space="0" w:color="auto"/>
          </w:divBdr>
        </w:div>
        <w:div w:id="521283294">
          <w:marLeft w:val="640"/>
          <w:marRight w:val="0"/>
          <w:marTop w:val="0"/>
          <w:marBottom w:val="0"/>
          <w:divBdr>
            <w:top w:val="none" w:sz="0" w:space="0" w:color="auto"/>
            <w:left w:val="none" w:sz="0" w:space="0" w:color="auto"/>
            <w:bottom w:val="none" w:sz="0" w:space="0" w:color="auto"/>
            <w:right w:val="none" w:sz="0" w:space="0" w:color="auto"/>
          </w:divBdr>
        </w:div>
        <w:div w:id="761150250">
          <w:marLeft w:val="640"/>
          <w:marRight w:val="0"/>
          <w:marTop w:val="0"/>
          <w:marBottom w:val="0"/>
          <w:divBdr>
            <w:top w:val="none" w:sz="0" w:space="0" w:color="auto"/>
            <w:left w:val="none" w:sz="0" w:space="0" w:color="auto"/>
            <w:bottom w:val="none" w:sz="0" w:space="0" w:color="auto"/>
            <w:right w:val="none" w:sz="0" w:space="0" w:color="auto"/>
          </w:divBdr>
        </w:div>
        <w:div w:id="1266771618">
          <w:marLeft w:val="640"/>
          <w:marRight w:val="0"/>
          <w:marTop w:val="0"/>
          <w:marBottom w:val="0"/>
          <w:divBdr>
            <w:top w:val="none" w:sz="0" w:space="0" w:color="auto"/>
            <w:left w:val="none" w:sz="0" w:space="0" w:color="auto"/>
            <w:bottom w:val="none" w:sz="0" w:space="0" w:color="auto"/>
            <w:right w:val="none" w:sz="0" w:space="0" w:color="auto"/>
          </w:divBdr>
        </w:div>
        <w:div w:id="199243083">
          <w:marLeft w:val="640"/>
          <w:marRight w:val="0"/>
          <w:marTop w:val="0"/>
          <w:marBottom w:val="0"/>
          <w:divBdr>
            <w:top w:val="none" w:sz="0" w:space="0" w:color="auto"/>
            <w:left w:val="none" w:sz="0" w:space="0" w:color="auto"/>
            <w:bottom w:val="none" w:sz="0" w:space="0" w:color="auto"/>
            <w:right w:val="none" w:sz="0" w:space="0" w:color="auto"/>
          </w:divBdr>
        </w:div>
        <w:div w:id="64963069">
          <w:marLeft w:val="640"/>
          <w:marRight w:val="0"/>
          <w:marTop w:val="0"/>
          <w:marBottom w:val="0"/>
          <w:divBdr>
            <w:top w:val="none" w:sz="0" w:space="0" w:color="auto"/>
            <w:left w:val="none" w:sz="0" w:space="0" w:color="auto"/>
            <w:bottom w:val="none" w:sz="0" w:space="0" w:color="auto"/>
            <w:right w:val="none" w:sz="0" w:space="0" w:color="auto"/>
          </w:divBdr>
        </w:div>
        <w:div w:id="512381689">
          <w:marLeft w:val="640"/>
          <w:marRight w:val="0"/>
          <w:marTop w:val="0"/>
          <w:marBottom w:val="0"/>
          <w:divBdr>
            <w:top w:val="none" w:sz="0" w:space="0" w:color="auto"/>
            <w:left w:val="none" w:sz="0" w:space="0" w:color="auto"/>
            <w:bottom w:val="none" w:sz="0" w:space="0" w:color="auto"/>
            <w:right w:val="none" w:sz="0" w:space="0" w:color="auto"/>
          </w:divBdr>
        </w:div>
        <w:div w:id="1283533065">
          <w:marLeft w:val="640"/>
          <w:marRight w:val="0"/>
          <w:marTop w:val="0"/>
          <w:marBottom w:val="0"/>
          <w:divBdr>
            <w:top w:val="none" w:sz="0" w:space="0" w:color="auto"/>
            <w:left w:val="none" w:sz="0" w:space="0" w:color="auto"/>
            <w:bottom w:val="none" w:sz="0" w:space="0" w:color="auto"/>
            <w:right w:val="none" w:sz="0" w:space="0" w:color="auto"/>
          </w:divBdr>
        </w:div>
        <w:div w:id="1333295619">
          <w:marLeft w:val="640"/>
          <w:marRight w:val="0"/>
          <w:marTop w:val="0"/>
          <w:marBottom w:val="0"/>
          <w:divBdr>
            <w:top w:val="none" w:sz="0" w:space="0" w:color="auto"/>
            <w:left w:val="none" w:sz="0" w:space="0" w:color="auto"/>
            <w:bottom w:val="none" w:sz="0" w:space="0" w:color="auto"/>
            <w:right w:val="none" w:sz="0" w:space="0" w:color="auto"/>
          </w:divBdr>
        </w:div>
        <w:div w:id="1948810839">
          <w:marLeft w:val="640"/>
          <w:marRight w:val="0"/>
          <w:marTop w:val="0"/>
          <w:marBottom w:val="0"/>
          <w:divBdr>
            <w:top w:val="none" w:sz="0" w:space="0" w:color="auto"/>
            <w:left w:val="none" w:sz="0" w:space="0" w:color="auto"/>
            <w:bottom w:val="none" w:sz="0" w:space="0" w:color="auto"/>
            <w:right w:val="none" w:sz="0" w:space="0" w:color="auto"/>
          </w:divBdr>
        </w:div>
        <w:div w:id="11566524">
          <w:marLeft w:val="640"/>
          <w:marRight w:val="0"/>
          <w:marTop w:val="0"/>
          <w:marBottom w:val="0"/>
          <w:divBdr>
            <w:top w:val="none" w:sz="0" w:space="0" w:color="auto"/>
            <w:left w:val="none" w:sz="0" w:space="0" w:color="auto"/>
            <w:bottom w:val="none" w:sz="0" w:space="0" w:color="auto"/>
            <w:right w:val="none" w:sz="0" w:space="0" w:color="auto"/>
          </w:divBdr>
        </w:div>
        <w:div w:id="1053113657">
          <w:marLeft w:val="640"/>
          <w:marRight w:val="0"/>
          <w:marTop w:val="0"/>
          <w:marBottom w:val="0"/>
          <w:divBdr>
            <w:top w:val="none" w:sz="0" w:space="0" w:color="auto"/>
            <w:left w:val="none" w:sz="0" w:space="0" w:color="auto"/>
            <w:bottom w:val="none" w:sz="0" w:space="0" w:color="auto"/>
            <w:right w:val="none" w:sz="0" w:space="0" w:color="auto"/>
          </w:divBdr>
        </w:div>
        <w:div w:id="1251309114">
          <w:marLeft w:val="640"/>
          <w:marRight w:val="0"/>
          <w:marTop w:val="0"/>
          <w:marBottom w:val="0"/>
          <w:divBdr>
            <w:top w:val="none" w:sz="0" w:space="0" w:color="auto"/>
            <w:left w:val="none" w:sz="0" w:space="0" w:color="auto"/>
            <w:bottom w:val="none" w:sz="0" w:space="0" w:color="auto"/>
            <w:right w:val="none" w:sz="0" w:space="0" w:color="auto"/>
          </w:divBdr>
        </w:div>
        <w:div w:id="809639646">
          <w:marLeft w:val="640"/>
          <w:marRight w:val="0"/>
          <w:marTop w:val="0"/>
          <w:marBottom w:val="0"/>
          <w:divBdr>
            <w:top w:val="none" w:sz="0" w:space="0" w:color="auto"/>
            <w:left w:val="none" w:sz="0" w:space="0" w:color="auto"/>
            <w:bottom w:val="none" w:sz="0" w:space="0" w:color="auto"/>
            <w:right w:val="none" w:sz="0" w:space="0" w:color="auto"/>
          </w:divBdr>
        </w:div>
        <w:div w:id="1038623524">
          <w:marLeft w:val="640"/>
          <w:marRight w:val="0"/>
          <w:marTop w:val="0"/>
          <w:marBottom w:val="0"/>
          <w:divBdr>
            <w:top w:val="none" w:sz="0" w:space="0" w:color="auto"/>
            <w:left w:val="none" w:sz="0" w:space="0" w:color="auto"/>
            <w:bottom w:val="none" w:sz="0" w:space="0" w:color="auto"/>
            <w:right w:val="none" w:sz="0" w:space="0" w:color="auto"/>
          </w:divBdr>
        </w:div>
        <w:div w:id="533887252">
          <w:marLeft w:val="640"/>
          <w:marRight w:val="0"/>
          <w:marTop w:val="0"/>
          <w:marBottom w:val="0"/>
          <w:divBdr>
            <w:top w:val="none" w:sz="0" w:space="0" w:color="auto"/>
            <w:left w:val="none" w:sz="0" w:space="0" w:color="auto"/>
            <w:bottom w:val="none" w:sz="0" w:space="0" w:color="auto"/>
            <w:right w:val="none" w:sz="0" w:space="0" w:color="auto"/>
          </w:divBdr>
        </w:div>
        <w:div w:id="539442332">
          <w:marLeft w:val="640"/>
          <w:marRight w:val="0"/>
          <w:marTop w:val="0"/>
          <w:marBottom w:val="0"/>
          <w:divBdr>
            <w:top w:val="none" w:sz="0" w:space="0" w:color="auto"/>
            <w:left w:val="none" w:sz="0" w:space="0" w:color="auto"/>
            <w:bottom w:val="none" w:sz="0" w:space="0" w:color="auto"/>
            <w:right w:val="none" w:sz="0" w:space="0" w:color="auto"/>
          </w:divBdr>
        </w:div>
        <w:div w:id="1097605330">
          <w:marLeft w:val="640"/>
          <w:marRight w:val="0"/>
          <w:marTop w:val="0"/>
          <w:marBottom w:val="0"/>
          <w:divBdr>
            <w:top w:val="none" w:sz="0" w:space="0" w:color="auto"/>
            <w:left w:val="none" w:sz="0" w:space="0" w:color="auto"/>
            <w:bottom w:val="none" w:sz="0" w:space="0" w:color="auto"/>
            <w:right w:val="none" w:sz="0" w:space="0" w:color="auto"/>
          </w:divBdr>
        </w:div>
        <w:div w:id="816142862">
          <w:marLeft w:val="640"/>
          <w:marRight w:val="0"/>
          <w:marTop w:val="0"/>
          <w:marBottom w:val="0"/>
          <w:divBdr>
            <w:top w:val="none" w:sz="0" w:space="0" w:color="auto"/>
            <w:left w:val="none" w:sz="0" w:space="0" w:color="auto"/>
            <w:bottom w:val="none" w:sz="0" w:space="0" w:color="auto"/>
            <w:right w:val="none" w:sz="0" w:space="0" w:color="auto"/>
          </w:divBdr>
        </w:div>
        <w:div w:id="1859616520">
          <w:marLeft w:val="640"/>
          <w:marRight w:val="0"/>
          <w:marTop w:val="0"/>
          <w:marBottom w:val="0"/>
          <w:divBdr>
            <w:top w:val="none" w:sz="0" w:space="0" w:color="auto"/>
            <w:left w:val="none" w:sz="0" w:space="0" w:color="auto"/>
            <w:bottom w:val="none" w:sz="0" w:space="0" w:color="auto"/>
            <w:right w:val="none" w:sz="0" w:space="0" w:color="auto"/>
          </w:divBdr>
        </w:div>
        <w:div w:id="1924946883">
          <w:marLeft w:val="640"/>
          <w:marRight w:val="0"/>
          <w:marTop w:val="0"/>
          <w:marBottom w:val="0"/>
          <w:divBdr>
            <w:top w:val="none" w:sz="0" w:space="0" w:color="auto"/>
            <w:left w:val="none" w:sz="0" w:space="0" w:color="auto"/>
            <w:bottom w:val="none" w:sz="0" w:space="0" w:color="auto"/>
            <w:right w:val="none" w:sz="0" w:space="0" w:color="auto"/>
          </w:divBdr>
        </w:div>
        <w:div w:id="1901673464">
          <w:marLeft w:val="640"/>
          <w:marRight w:val="0"/>
          <w:marTop w:val="0"/>
          <w:marBottom w:val="0"/>
          <w:divBdr>
            <w:top w:val="none" w:sz="0" w:space="0" w:color="auto"/>
            <w:left w:val="none" w:sz="0" w:space="0" w:color="auto"/>
            <w:bottom w:val="none" w:sz="0" w:space="0" w:color="auto"/>
            <w:right w:val="none" w:sz="0" w:space="0" w:color="auto"/>
          </w:divBdr>
        </w:div>
        <w:div w:id="831919315">
          <w:marLeft w:val="640"/>
          <w:marRight w:val="0"/>
          <w:marTop w:val="0"/>
          <w:marBottom w:val="0"/>
          <w:divBdr>
            <w:top w:val="none" w:sz="0" w:space="0" w:color="auto"/>
            <w:left w:val="none" w:sz="0" w:space="0" w:color="auto"/>
            <w:bottom w:val="none" w:sz="0" w:space="0" w:color="auto"/>
            <w:right w:val="none" w:sz="0" w:space="0" w:color="auto"/>
          </w:divBdr>
        </w:div>
        <w:div w:id="1869221545">
          <w:marLeft w:val="640"/>
          <w:marRight w:val="0"/>
          <w:marTop w:val="0"/>
          <w:marBottom w:val="0"/>
          <w:divBdr>
            <w:top w:val="none" w:sz="0" w:space="0" w:color="auto"/>
            <w:left w:val="none" w:sz="0" w:space="0" w:color="auto"/>
            <w:bottom w:val="none" w:sz="0" w:space="0" w:color="auto"/>
            <w:right w:val="none" w:sz="0" w:space="0" w:color="auto"/>
          </w:divBdr>
        </w:div>
        <w:div w:id="80806270">
          <w:marLeft w:val="640"/>
          <w:marRight w:val="0"/>
          <w:marTop w:val="0"/>
          <w:marBottom w:val="0"/>
          <w:divBdr>
            <w:top w:val="none" w:sz="0" w:space="0" w:color="auto"/>
            <w:left w:val="none" w:sz="0" w:space="0" w:color="auto"/>
            <w:bottom w:val="none" w:sz="0" w:space="0" w:color="auto"/>
            <w:right w:val="none" w:sz="0" w:space="0" w:color="auto"/>
          </w:divBdr>
        </w:div>
        <w:div w:id="1140421589">
          <w:marLeft w:val="640"/>
          <w:marRight w:val="0"/>
          <w:marTop w:val="0"/>
          <w:marBottom w:val="0"/>
          <w:divBdr>
            <w:top w:val="none" w:sz="0" w:space="0" w:color="auto"/>
            <w:left w:val="none" w:sz="0" w:space="0" w:color="auto"/>
            <w:bottom w:val="none" w:sz="0" w:space="0" w:color="auto"/>
            <w:right w:val="none" w:sz="0" w:space="0" w:color="auto"/>
          </w:divBdr>
        </w:div>
        <w:div w:id="1692563137">
          <w:marLeft w:val="640"/>
          <w:marRight w:val="0"/>
          <w:marTop w:val="0"/>
          <w:marBottom w:val="0"/>
          <w:divBdr>
            <w:top w:val="none" w:sz="0" w:space="0" w:color="auto"/>
            <w:left w:val="none" w:sz="0" w:space="0" w:color="auto"/>
            <w:bottom w:val="none" w:sz="0" w:space="0" w:color="auto"/>
            <w:right w:val="none" w:sz="0" w:space="0" w:color="auto"/>
          </w:divBdr>
        </w:div>
        <w:div w:id="2012682680">
          <w:marLeft w:val="640"/>
          <w:marRight w:val="0"/>
          <w:marTop w:val="0"/>
          <w:marBottom w:val="0"/>
          <w:divBdr>
            <w:top w:val="none" w:sz="0" w:space="0" w:color="auto"/>
            <w:left w:val="none" w:sz="0" w:space="0" w:color="auto"/>
            <w:bottom w:val="none" w:sz="0" w:space="0" w:color="auto"/>
            <w:right w:val="none" w:sz="0" w:space="0" w:color="auto"/>
          </w:divBdr>
        </w:div>
        <w:div w:id="1055203415">
          <w:marLeft w:val="640"/>
          <w:marRight w:val="0"/>
          <w:marTop w:val="0"/>
          <w:marBottom w:val="0"/>
          <w:divBdr>
            <w:top w:val="none" w:sz="0" w:space="0" w:color="auto"/>
            <w:left w:val="none" w:sz="0" w:space="0" w:color="auto"/>
            <w:bottom w:val="none" w:sz="0" w:space="0" w:color="auto"/>
            <w:right w:val="none" w:sz="0" w:space="0" w:color="auto"/>
          </w:divBdr>
        </w:div>
        <w:div w:id="1124884125">
          <w:marLeft w:val="640"/>
          <w:marRight w:val="0"/>
          <w:marTop w:val="0"/>
          <w:marBottom w:val="0"/>
          <w:divBdr>
            <w:top w:val="none" w:sz="0" w:space="0" w:color="auto"/>
            <w:left w:val="none" w:sz="0" w:space="0" w:color="auto"/>
            <w:bottom w:val="none" w:sz="0" w:space="0" w:color="auto"/>
            <w:right w:val="none" w:sz="0" w:space="0" w:color="auto"/>
          </w:divBdr>
        </w:div>
        <w:div w:id="1224871178">
          <w:marLeft w:val="640"/>
          <w:marRight w:val="0"/>
          <w:marTop w:val="0"/>
          <w:marBottom w:val="0"/>
          <w:divBdr>
            <w:top w:val="none" w:sz="0" w:space="0" w:color="auto"/>
            <w:left w:val="none" w:sz="0" w:space="0" w:color="auto"/>
            <w:bottom w:val="none" w:sz="0" w:space="0" w:color="auto"/>
            <w:right w:val="none" w:sz="0" w:space="0" w:color="auto"/>
          </w:divBdr>
        </w:div>
        <w:div w:id="970553240">
          <w:marLeft w:val="640"/>
          <w:marRight w:val="0"/>
          <w:marTop w:val="0"/>
          <w:marBottom w:val="0"/>
          <w:divBdr>
            <w:top w:val="none" w:sz="0" w:space="0" w:color="auto"/>
            <w:left w:val="none" w:sz="0" w:space="0" w:color="auto"/>
            <w:bottom w:val="none" w:sz="0" w:space="0" w:color="auto"/>
            <w:right w:val="none" w:sz="0" w:space="0" w:color="auto"/>
          </w:divBdr>
        </w:div>
        <w:div w:id="513039916">
          <w:marLeft w:val="640"/>
          <w:marRight w:val="0"/>
          <w:marTop w:val="0"/>
          <w:marBottom w:val="0"/>
          <w:divBdr>
            <w:top w:val="none" w:sz="0" w:space="0" w:color="auto"/>
            <w:left w:val="none" w:sz="0" w:space="0" w:color="auto"/>
            <w:bottom w:val="none" w:sz="0" w:space="0" w:color="auto"/>
            <w:right w:val="none" w:sz="0" w:space="0" w:color="auto"/>
          </w:divBdr>
        </w:div>
        <w:div w:id="1670136464">
          <w:marLeft w:val="640"/>
          <w:marRight w:val="0"/>
          <w:marTop w:val="0"/>
          <w:marBottom w:val="0"/>
          <w:divBdr>
            <w:top w:val="none" w:sz="0" w:space="0" w:color="auto"/>
            <w:left w:val="none" w:sz="0" w:space="0" w:color="auto"/>
            <w:bottom w:val="none" w:sz="0" w:space="0" w:color="auto"/>
            <w:right w:val="none" w:sz="0" w:space="0" w:color="auto"/>
          </w:divBdr>
        </w:div>
        <w:div w:id="481970328">
          <w:marLeft w:val="640"/>
          <w:marRight w:val="0"/>
          <w:marTop w:val="0"/>
          <w:marBottom w:val="0"/>
          <w:divBdr>
            <w:top w:val="none" w:sz="0" w:space="0" w:color="auto"/>
            <w:left w:val="none" w:sz="0" w:space="0" w:color="auto"/>
            <w:bottom w:val="none" w:sz="0" w:space="0" w:color="auto"/>
            <w:right w:val="none" w:sz="0" w:space="0" w:color="auto"/>
          </w:divBdr>
        </w:div>
        <w:div w:id="528954110">
          <w:marLeft w:val="640"/>
          <w:marRight w:val="0"/>
          <w:marTop w:val="0"/>
          <w:marBottom w:val="0"/>
          <w:divBdr>
            <w:top w:val="none" w:sz="0" w:space="0" w:color="auto"/>
            <w:left w:val="none" w:sz="0" w:space="0" w:color="auto"/>
            <w:bottom w:val="none" w:sz="0" w:space="0" w:color="auto"/>
            <w:right w:val="none" w:sz="0" w:space="0" w:color="auto"/>
          </w:divBdr>
        </w:div>
        <w:div w:id="1564103867">
          <w:marLeft w:val="640"/>
          <w:marRight w:val="0"/>
          <w:marTop w:val="0"/>
          <w:marBottom w:val="0"/>
          <w:divBdr>
            <w:top w:val="none" w:sz="0" w:space="0" w:color="auto"/>
            <w:left w:val="none" w:sz="0" w:space="0" w:color="auto"/>
            <w:bottom w:val="none" w:sz="0" w:space="0" w:color="auto"/>
            <w:right w:val="none" w:sz="0" w:space="0" w:color="auto"/>
          </w:divBdr>
        </w:div>
        <w:div w:id="901989593">
          <w:marLeft w:val="640"/>
          <w:marRight w:val="0"/>
          <w:marTop w:val="0"/>
          <w:marBottom w:val="0"/>
          <w:divBdr>
            <w:top w:val="none" w:sz="0" w:space="0" w:color="auto"/>
            <w:left w:val="none" w:sz="0" w:space="0" w:color="auto"/>
            <w:bottom w:val="none" w:sz="0" w:space="0" w:color="auto"/>
            <w:right w:val="none" w:sz="0" w:space="0" w:color="auto"/>
          </w:divBdr>
        </w:div>
        <w:div w:id="1684237896">
          <w:marLeft w:val="640"/>
          <w:marRight w:val="0"/>
          <w:marTop w:val="0"/>
          <w:marBottom w:val="0"/>
          <w:divBdr>
            <w:top w:val="none" w:sz="0" w:space="0" w:color="auto"/>
            <w:left w:val="none" w:sz="0" w:space="0" w:color="auto"/>
            <w:bottom w:val="none" w:sz="0" w:space="0" w:color="auto"/>
            <w:right w:val="none" w:sz="0" w:space="0" w:color="auto"/>
          </w:divBdr>
        </w:div>
        <w:div w:id="1723871028">
          <w:marLeft w:val="640"/>
          <w:marRight w:val="0"/>
          <w:marTop w:val="0"/>
          <w:marBottom w:val="0"/>
          <w:divBdr>
            <w:top w:val="none" w:sz="0" w:space="0" w:color="auto"/>
            <w:left w:val="none" w:sz="0" w:space="0" w:color="auto"/>
            <w:bottom w:val="none" w:sz="0" w:space="0" w:color="auto"/>
            <w:right w:val="none" w:sz="0" w:space="0" w:color="auto"/>
          </w:divBdr>
        </w:div>
        <w:div w:id="2044556488">
          <w:marLeft w:val="640"/>
          <w:marRight w:val="0"/>
          <w:marTop w:val="0"/>
          <w:marBottom w:val="0"/>
          <w:divBdr>
            <w:top w:val="none" w:sz="0" w:space="0" w:color="auto"/>
            <w:left w:val="none" w:sz="0" w:space="0" w:color="auto"/>
            <w:bottom w:val="none" w:sz="0" w:space="0" w:color="auto"/>
            <w:right w:val="none" w:sz="0" w:space="0" w:color="auto"/>
          </w:divBdr>
        </w:div>
        <w:div w:id="1245795511">
          <w:marLeft w:val="640"/>
          <w:marRight w:val="0"/>
          <w:marTop w:val="0"/>
          <w:marBottom w:val="0"/>
          <w:divBdr>
            <w:top w:val="none" w:sz="0" w:space="0" w:color="auto"/>
            <w:left w:val="none" w:sz="0" w:space="0" w:color="auto"/>
            <w:bottom w:val="none" w:sz="0" w:space="0" w:color="auto"/>
            <w:right w:val="none" w:sz="0" w:space="0" w:color="auto"/>
          </w:divBdr>
        </w:div>
        <w:div w:id="460731661">
          <w:marLeft w:val="640"/>
          <w:marRight w:val="0"/>
          <w:marTop w:val="0"/>
          <w:marBottom w:val="0"/>
          <w:divBdr>
            <w:top w:val="none" w:sz="0" w:space="0" w:color="auto"/>
            <w:left w:val="none" w:sz="0" w:space="0" w:color="auto"/>
            <w:bottom w:val="none" w:sz="0" w:space="0" w:color="auto"/>
            <w:right w:val="none" w:sz="0" w:space="0" w:color="auto"/>
          </w:divBdr>
        </w:div>
        <w:div w:id="1233546631">
          <w:marLeft w:val="640"/>
          <w:marRight w:val="0"/>
          <w:marTop w:val="0"/>
          <w:marBottom w:val="0"/>
          <w:divBdr>
            <w:top w:val="none" w:sz="0" w:space="0" w:color="auto"/>
            <w:left w:val="none" w:sz="0" w:space="0" w:color="auto"/>
            <w:bottom w:val="none" w:sz="0" w:space="0" w:color="auto"/>
            <w:right w:val="none" w:sz="0" w:space="0" w:color="auto"/>
          </w:divBdr>
        </w:div>
        <w:div w:id="147672603">
          <w:marLeft w:val="640"/>
          <w:marRight w:val="0"/>
          <w:marTop w:val="0"/>
          <w:marBottom w:val="0"/>
          <w:divBdr>
            <w:top w:val="none" w:sz="0" w:space="0" w:color="auto"/>
            <w:left w:val="none" w:sz="0" w:space="0" w:color="auto"/>
            <w:bottom w:val="none" w:sz="0" w:space="0" w:color="auto"/>
            <w:right w:val="none" w:sz="0" w:space="0" w:color="auto"/>
          </w:divBdr>
        </w:div>
        <w:div w:id="1854492761">
          <w:marLeft w:val="640"/>
          <w:marRight w:val="0"/>
          <w:marTop w:val="0"/>
          <w:marBottom w:val="0"/>
          <w:divBdr>
            <w:top w:val="none" w:sz="0" w:space="0" w:color="auto"/>
            <w:left w:val="none" w:sz="0" w:space="0" w:color="auto"/>
            <w:bottom w:val="none" w:sz="0" w:space="0" w:color="auto"/>
            <w:right w:val="none" w:sz="0" w:space="0" w:color="auto"/>
          </w:divBdr>
        </w:div>
        <w:div w:id="1986857820">
          <w:marLeft w:val="640"/>
          <w:marRight w:val="0"/>
          <w:marTop w:val="0"/>
          <w:marBottom w:val="0"/>
          <w:divBdr>
            <w:top w:val="none" w:sz="0" w:space="0" w:color="auto"/>
            <w:left w:val="none" w:sz="0" w:space="0" w:color="auto"/>
            <w:bottom w:val="none" w:sz="0" w:space="0" w:color="auto"/>
            <w:right w:val="none" w:sz="0" w:space="0" w:color="auto"/>
          </w:divBdr>
        </w:div>
        <w:div w:id="1217278499">
          <w:marLeft w:val="640"/>
          <w:marRight w:val="0"/>
          <w:marTop w:val="0"/>
          <w:marBottom w:val="0"/>
          <w:divBdr>
            <w:top w:val="none" w:sz="0" w:space="0" w:color="auto"/>
            <w:left w:val="none" w:sz="0" w:space="0" w:color="auto"/>
            <w:bottom w:val="none" w:sz="0" w:space="0" w:color="auto"/>
            <w:right w:val="none" w:sz="0" w:space="0" w:color="auto"/>
          </w:divBdr>
        </w:div>
        <w:div w:id="1836996609">
          <w:marLeft w:val="640"/>
          <w:marRight w:val="0"/>
          <w:marTop w:val="0"/>
          <w:marBottom w:val="0"/>
          <w:divBdr>
            <w:top w:val="none" w:sz="0" w:space="0" w:color="auto"/>
            <w:left w:val="none" w:sz="0" w:space="0" w:color="auto"/>
            <w:bottom w:val="none" w:sz="0" w:space="0" w:color="auto"/>
            <w:right w:val="none" w:sz="0" w:space="0" w:color="auto"/>
          </w:divBdr>
        </w:div>
        <w:div w:id="809178579">
          <w:marLeft w:val="640"/>
          <w:marRight w:val="0"/>
          <w:marTop w:val="0"/>
          <w:marBottom w:val="0"/>
          <w:divBdr>
            <w:top w:val="none" w:sz="0" w:space="0" w:color="auto"/>
            <w:left w:val="none" w:sz="0" w:space="0" w:color="auto"/>
            <w:bottom w:val="none" w:sz="0" w:space="0" w:color="auto"/>
            <w:right w:val="none" w:sz="0" w:space="0" w:color="auto"/>
          </w:divBdr>
        </w:div>
        <w:div w:id="1115054963">
          <w:marLeft w:val="640"/>
          <w:marRight w:val="0"/>
          <w:marTop w:val="0"/>
          <w:marBottom w:val="0"/>
          <w:divBdr>
            <w:top w:val="none" w:sz="0" w:space="0" w:color="auto"/>
            <w:left w:val="none" w:sz="0" w:space="0" w:color="auto"/>
            <w:bottom w:val="none" w:sz="0" w:space="0" w:color="auto"/>
            <w:right w:val="none" w:sz="0" w:space="0" w:color="auto"/>
          </w:divBdr>
        </w:div>
        <w:div w:id="1769740438">
          <w:marLeft w:val="640"/>
          <w:marRight w:val="0"/>
          <w:marTop w:val="0"/>
          <w:marBottom w:val="0"/>
          <w:divBdr>
            <w:top w:val="none" w:sz="0" w:space="0" w:color="auto"/>
            <w:left w:val="none" w:sz="0" w:space="0" w:color="auto"/>
            <w:bottom w:val="none" w:sz="0" w:space="0" w:color="auto"/>
            <w:right w:val="none" w:sz="0" w:space="0" w:color="auto"/>
          </w:divBdr>
        </w:div>
        <w:div w:id="837353756">
          <w:marLeft w:val="640"/>
          <w:marRight w:val="0"/>
          <w:marTop w:val="0"/>
          <w:marBottom w:val="0"/>
          <w:divBdr>
            <w:top w:val="none" w:sz="0" w:space="0" w:color="auto"/>
            <w:left w:val="none" w:sz="0" w:space="0" w:color="auto"/>
            <w:bottom w:val="none" w:sz="0" w:space="0" w:color="auto"/>
            <w:right w:val="none" w:sz="0" w:space="0" w:color="auto"/>
          </w:divBdr>
        </w:div>
        <w:div w:id="525293897">
          <w:marLeft w:val="640"/>
          <w:marRight w:val="0"/>
          <w:marTop w:val="0"/>
          <w:marBottom w:val="0"/>
          <w:divBdr>
            <w:top w:val="none" w:sz="0" w:space="0" w:color="auto"/>
            <w:left w:val="none" w:sz="0" w:space="0" w:color="auto"/>
            <w:bottom w:val="none" w:sz="0" w:space="0" w:color="auto"/>
            <w:right w:val="none" w:sz="0" w:space="0" w:color="auto"/>
          </w:divBdr>
        </w:div>
        <w:div w:id="2038459314">
          <w:marLeft w:val="640"/>
          <w:marRight w:val="0"/>
          <w:marTop w:val="0"/>
          <w:marBottom w:val="0"/>
          <w:divBdr>
            <w:top w:val="none" w:sz="0" w:space="0" w:color="auto"/>
            <w:left w:val="none" w:sz="0" w:space="0" w:color="auto"/>
            <w:bottom w:val="none" w:sz="0" w:space="0" w:color="auto"/>
            <w:right w:val="none" w:sz="0" w:space="0" w:color="auto"/>
          </w:divBdr>
        </w:div>
        <w:div w:id="1030649152">
          <w:marLeft w:val="640"/>
          <w:marRight w:val="0"/>
          <w:marTop w:val="0"/>
          <w:marBottom w:val="0"/>
          <w:divBdr>
            <w:top w:val="none" w:sz="0" w:space="0" w:color="auto"/>
            <w:left w:val="none" w:sz="0" w:space="0" w:color="auto"/>
            <w:bottom w:val="none" w:sz="0" w:space="0" w:color="auto"/>
            <w:right w:val="none" w:sz="0" w:space="0" w:color="auto"/>
          </w:divBdr>
        </w:div>
        <w:div w:id="1378778835">
          <w:marLeft w:val="640"/>
          <w:marRight w:val="0"/>
          <w:marTop w:val="0"/>
          <w:marBottom w:val="0"/>
          <w:divBdr>
            <w:top w:val="none" w:sz="0" w:space="0" w:color="auto"/>
            <w:left w:val="none" w:sz="0" w:space="0" w:color="auto"/>
            <w:bottom w:val="none" w:sz="0" w:space="0" w:color="auto"/>
            <w:right w:val="none" w:sz="0" w:space="0" w:color="auto"/>
          </w:divBdr>
        </w:div>
        <w:div w:id="385960013">
          <w:marLeft w:val="640"/>
          <w:marRight w:val="0"/>
          <w:marTop w:val="0"/>
          <w:marBottom w:val="0"/>
          <w:divBdr>
            <w:top w:val="none" w:sz="0" w:space="0" w:color="auto"/>
            <w:left w:val="none" w:sz="0" w:space="0" w:color="auto"/>
            <w:bottom w:val="none" w:sz="0" w:space="0" w:color="auto"/>
            <w:right w:val="none" w:sz="0" w:space="0" w:color="auto"/>
          </w:divBdr>
        </w:div>
        <w:div w:id="1421753556">
          <w:marLeft w:val="640"/>
          <w:marRight w:val="0"/>
          <w:marTop w:val="0"/>
          <w:marBottom w:val="0"/>
          <w:divBdr>
            <w:top w:val="none" w:sz="0" w:space="0" w:color="auto"/>
            <w:left w:val="none" w:sz="0" w:space="0" w:color="auto"/>
            <w:bottom w:val="none" w:sz="0" w:space="0" w:color="auto"/>
            <w:right w:val="none" w:sz="0" w:space="0" w:color="auto"/>
          </w:divBdr>
        </w:div>
        <w:div w:id="911432086">
          <w:marLeft w:val="640"/>
          <w:marRight w:val="0"/>
          <w:marTop w:val="0"/>
          <w:marBottom w:val="0"/>
          <w:divBdr>
            <w:top w:val="none" w:sz="0" w:space="0" w:color="auto"/>
            <w:left w:val="none" w:sz="0" w:space="0" w:color="auto"/>
            <w:bottom w:val="none" w:sz="0" w:space="0" w:color="auto"/>
            <w:right w:val="none" w:sz="0" w:space="0" w:color="auto"/>
          </w:divBdr>
        </w:div>
        <w:div w:id="24446582">
          <w:marLeft w:val="640"/>
          <w:marRight w:val="0"/>
          <w:marTop w:val="0"/>
          <w:marBottom w:val="0"/>
          <w:divBdr>
            <w:top w:val="none" w:sz="0" w:space="0" w:color="auto"/>
            <w:left w:val="none" w:sz="0" w:space="0" w:color="auto"/>
            <w:bottom w:val="none" w:sz="0" w:space="0" w:color="auto"/>
            <w:right w:val="none" w:sz="0" w:space="0" w:color="auto"/>
          </w:divBdr>
        </w:div>
        <w:div w:id="2033454779">
          <w:marLeft w:val="640"/>
          <w:marRight w:val="0"/>
          <w:marTop w:val="0"/>
          <w:marBottom w:val="0"/>
          <w:divBdr>
            <w:top w:val="none" w:sz="0" w:space="0" w:color="auto"/>
            <w:left w:val="none" w:sz="0" w:space="0" w:color="auto"/>
            <w:bottom w:val="none" w:sz="0" w:space="0" w:color="auto"/>
            <w:right w:val="none" w:sz="0" w:space="0" w:color="auto"/>
          </w:divBdr>
        </w:div>
        <w:div w:id="665281655">
          <w:marLeft w:val="640"/>
          <w:marRight w:val="0"/>
          <w:marTop w:val="0"/>
          <w:marBottom w:val="0"/>
          <w:divBdr>
            <w:top w:val="none" w:sz="0" w:space="0" w:color="auto"/>
            <w:left w:val="none" w:sz="0" w:space="0" w:color="auto"/>
            <w:bottom w:val="none" w:sz="0" w:space="0" w:color="auto"/>
            <w:right w:val="none" w:sz="0" w:space="0" w:color="auto"/>
          </w:divBdr>
        </w:div>
        <w:div w:id="1516267092">
          <w:marLeft w:val="640"/>
          <w:marRight w:val="0"/>
          <w:marTop w:val="0"/>
          <w:marBottom w:val="0"/>
          <w:divBdr>
            <w:top w:val="none" w:sz="0" w:space="0" w:color="auto"/>
            <w:left w:val="none" w:sz="0" w:space="0" w:color="auto"/>
            <w:bottom w:val="none" w:sz="0" w:space="0" w:color="auto"/>
            <w:right w:val="none" w:sz="0" w:space="0" w:color="auto"/>
          </w:divBdr>
        </w:div>
        <w:div w:id="1185945650">
          <w:marLeft w:val="640"/>
          <w:marRight w:val="0"/>
          <w:marTop w:val="0"/>
          <w:marBottom w:val="0"/>
          <w:divBdr>
            <w:top w:val="none" w:sz="0" w:space="0" w:color="auto"/>
            <w:left w:val="none" w:sz="0" w:space="0" w:color="auto"/>
            <w:bottom w:val="none" w:sz="0" w:space="0" w:color="auto"/>
            <w:right w:val="none" w:sz="0" w:space="0" w:color="auto"/>
          </w:divBdr>
        </w:div>
        <w:div w:id="1362173099">
          <w:marLeft w:val="640"/>
          <w:marRight w:val="0"/>
          <w:marTop w:val="0"/>
          <w:marBottom w:val="0"/>
          <w:divBdr>
            <w:top w:val="none" w:sz="0" w:space="0" w:color="auto"/>
            <w:left w:val="none" w:sz="0" w:space="0" w:color="auto"/>
            <w:bottom w:val="none" w:sz="0" w:space="0" w:color="auto"/>
            <w:right w:val="none" w:sz="0" w:space="0" w:color="auto"/>
          </w:divBdr>
        </w:div>
        <w:div w:id="1719739431">
          <w:marLeft w:val="640"/>
          <w:marRight w:val="0"/>
          <w:marTop w:val="0"/>
          <w:marBottom w:val="0"/>
          <w:divBdr>
            <w:top w:val="none" w:sz="0" w:space="0" w:color="auto"/>
            <w:left w:val="none" w:sz="0" w:space="0" w:color="auto"/>
            <w:bottom w:val="none" w:sz="0" w:space="0" w:color="auto"/>
            <w:right w:val="none" w:sz="0" w:space="0" w:color="auto"/>
          </w:divBdr>
        </w:div>
        <w:div w:id="1971015306">
          <w:marLeft w:val="640"/>
          <w:marRight w:val="0"/>
          <w:marTop w:val="0"/>
          <w:marBottom w:val="0"/>
          <w:divBdr>
            <w:top w:val="none" w:sz="0" w:space="0" w:color="auto"/>
            <w:left w:val="none" w:sz="0" w:space="0" w:color="auto"/>
            <w:bottom w:val="none" w:sz="0" w:space="0" w:color="auto"/>
            <w:right w:val="none" w:sz="0" w:space="0" w:color="auto"/>
          </w:divBdr>
        </w:div>
        <w:div w:id="881595587">
          <w:marLeft w:val="640"/>
          <w:marRight w:val="0"/>
          <w:marTop w:val="0"/>
          <w:marBottom w:val="0"/>
          <w:divBdr>
            <w:top w:val="none" w:sz="0" w:space="0" w:color="auto"/>
            <w:left w:val="none" w:sz="0" w:space="0" w:color="auto"/>
            <w:bottom w:val="none" w:sz="0" w:space="0" w:color="auto"/>
            <w:right w:val="none" w:sz="0" w:space="0" w:color="auto"/>
          </w:divBdr>
        </w:div>
        <w:div w:id="359864489">
          <w:marLeft w:val="640"/>
          <w:marRight w:val="0"/>
          <w:marTop w:val="0"/>
          <w:marBottom w:val="0"/>
          <w:divBdr>
            <w:top w:val="none" w:sz="0" w:space="0" w:color="auto"/>
            <w:left w:val="none" w:sz="0" w:space="0" w:color="auto"/>
            <w:bottom w:val="none" w:sz="0" w:space="0" w:color="auto"/>
            <w:right w:val="none" w:sz="0" w:space="0" w:color="auto"/>
          </w:divBdr>
        </w:div>
        <w:div w:id="408695981">
          <w:marLeft w:val="640"/>
          <w:marRight w:val="0"/>
          <w:marTop w:val="0"/>
          <w:marBottom w:val="0"/>
          <w:divBdr>
            <w:top w:val="none" w:sz="0" w:space="0" w:color="auto"/>
            <w:left w:val="none" w:sz="0" w:space="0" w:color="auto"/>
            <w:bottom w:val="none" w:sz="0" w:space="0" w:color="auto"/>
            <w:right w:val="none" w:sz="0" w:space="0" w:color="auto"/>
          </w:divBdr>
        </w:div>
        <w:div w:id="1786388543">
          <w:marLeft w:val="640"/>
          <w:marRight w:val="0"/>
          <w:marTop w:val="0"/>
          <w:marBottom w:val="0"/>
          <w:divBdr>
            <w:top w:val="none" w:sz="0" w:space="0" w:color="auto"/>
            <w:left w:val="none" w:sz="0" w:space="0" w:color="auto"/>
            <w:bottom w:val="none" w:sz="0" w:space="0" w:color="auto"/>
            <w:right w:val="none" w:sz="0" w:space="0" w:color="auto"/>
          </w:divBdr>
        </w:div>
        <w:div w:id="400173195">
          <w:marLeft w:val="640"/>
          <w:marRight w:val="0"/>
          <w:marTop w:val="0"/>
          <w:marBottom w:val="0"/>
          <w:divBdr>
            <w:top w:val="none" w:sz="0" w:space="0" w:color="auto"/>
            <w:left w:val="none" w:sz="0" w:space="0" w:color="auto"/>
            <w:bottom w:val="none" w:sz="0" w:space="0" w:color="auto"/>
            <w:right w:val="none" w:sz="0" w:space="0" w:color="auto"/>
          </w:divBdr>
        </w:div>
        <w:div w:id="1588924080">
          <w:marLeft w:val="640"/>
          <w:marRight w:val="0"/>
          <w:marTop w:val="0"/>
          <w:marBottom w:val="0"/>
          <w:divBdr>
            <w:top w:val="none" w:sz="0" w:space="0" w:color="auto"/>
            <w:left w:val="none" w:sz="0" w:space="0" w:color="auto"/>
            <w:bottom w:val="none" w:sz="0" w:space="0" w:color="auto"/>
            <w:right w:val="none" w:sz="0" w:space="0" w:color="auto"/>
          </w:divBdr>
        </w:div>
        <w:div w:id="222449563">
          <w:marLeft w:val="640"/>
          <w:marRight w:val="0"/>
          <w:marTop w:val="0"/>
          <w:marBottom w:val="0"/>
          <w:divBdr>
            <w:top w:val="none" w:sz="0" w:space="0" w:color="auto"/>
            <w:left w:val="none" w:sz="0" w:space="0" w:color="auto"/>
            <w:bottom w:val="none" w:sz="0" w:space="0" w:color="auto"/>
            <w:right w:val="none" w:sz="0" w:space="0" w:color="auto"/>
          </w:divBdr>
        </w:div>
        <w:div w:id="383219377">
          <w:marLeft w:val="640"/>
          <w:marRight w:val="0"/>
          <w:marTop w:val="0"/>
          <w:marBottom w:val="0"/>
          <w:divBdr>
            <w:top w:val="none" w:sz="0" w:space="0" w:color="auto"/>
            <w:left w:val="none" w:sz="0" w:space="0" w:color="auto"/>
            <w:bottom w:val="none" w:sz="0" w:space="0" w:color="auto"/>
            <w:right w:val="none" w:sz="0" w:space="0" w:color="auto"/>
          </w:divBdr>
        </w:div>
        <w:div w:id="574362282">
          <w:marLeft w:val="640"/>
          <w:marRight w:val="0"/>
          <w:marTop w:val="0"/>
          <w:marBottom w:val="0"/>
          <w:divBdr>
            <w:top w:val="none" w:sz="0" w:space="0" w:color="auto"/>
            <w:left w:val="none" w:sz="0" w:space="0" w:color="auto"/>
            <w:bottom w:val="none" w:sz="0" w:space="0" w:color="auto"/>
            <w:right w:val="none" w:sz="0" w:space="0" w:color="auto"/>
          </w:divBdr>
        </w:div>
        <w:div w:id="544875082">
          <w:marLeft w:val="640"/>
          <w:marRight w:val="0"/>
          <w:marTop w:val="0"/>
          <w:marBottom w:val="0"/>
          <w:divBdr>
            <w:top w:val="none" w:sz="0" w:space="0" w:color="auto"/>
            <w:left w:val="none" w:sz="0" w:space="0" w:color="auto"/>
            <w:bottom w:val="none" w:sz="0" w:space="0" w:color="auto"/>
            <w:right w:val="none" w:sz="0" w:space="0" w:color="auto"/>
          </w:divBdr>
        </w:div>
        <w:div w:id="1927305489">
          <w:marLeft w:val="640"/>
          <w:marRight w:val="0"/>
          <w:marTop w:val="0"/>
          <w:marBottom w:val="0"/>
          <w:divBdr>
            <w:top w:val="none" w:sz="0" w:space="0" w:color="auto"/>
            <w:left w:val="none" w:sz="0" w:space="0" w:color="auto"/>
            <w:bottom w:val="none" w:sz="0" w:space="0" w:color="auto"/>
            <w:right w:val="none" w:sz="0" w:space="0" w:color="auto"/>
          </w:divBdr>
        </w:div>
        <w:div w:id="1922985598">
          <w:marLeft w:val="640"/>
          <w:marRight w:val="0"/>
          <w:marTop w:val="0"/>
          <w:marBottom w:val="0"/>
          <w:divBdr>
            <w:top w:val="none" w:sz="0" w:space="0" w:color="auto"/>
            <w:left w:val="none" w:sz="0" w:space="0" w:color="auto"/>
            <w:bottom w:val="none" w:sz="0" w:space="0" w:color="auto"/>
            <w:right w:val="none" w:sz="0" w:space="0" w:color="auto"/>
          </w:divBdr>
        </w:div>
        <w:div w:id="10574814">
          <w:marLeft w:val="640"/>
          <w:marRight w:val="0"/>
          <w:marTop w:val="0"/>
          <w:marBottom w:val="0"/>
          <w:divBdr>
            <w:top w:val="none" w:sz="0" w:space="0" w:color="auto"/>
            <w:left w:val="none" w:sz="0" w:space="0" w:color="auto"/>
            <w:bottom w:val="none" w:sz="0" w:space="0" w:color="auto"/>
            <w:right w:val="none" w:sz="0" w:space="0" w:color="auto"/>
          </w:divBdr>
        </w:div>
        <w:div w:id="1690643736">
          <w:marLeft w:val="640"/>
          <w:marRight w:val="0"/>
          <w:marTop w:val="0"/>
          <w:marBottom w:val="0"/>
          <w:divBdr>
            <w:top w:val="none" w:sz="0" w:space="0" w:color="auto"/>
            <w:left w:val="none" w:sz="0" w:space="0" w:color="auto"/>
            <w:bottom w:val="none" w:sz="0" w:space="0" w:color="auto"/>
            <w:right w:val="none" w:sz="0" w:space="0" w:color="auto"/>
          </w:divBdr>
        </w:div>
        <w:div w:id="196088029">
          <w:marLeft w:val="640"/>
          <w:marRight w:val="0"/>
          <w:marTop w:val="0"/>
          <w:marBottom w:val="0"/>
          <w:divBdr>
            <w:top w:val="none" w:sz="0" w:space="0" w:color="auto"/>
            <w:left w:val="none" w:sz="0" w:space="0" w:color="auto"/>
            <w:bottom w:val="none" w:sz="0" w:space="0" w:color="auto"/>
            <w:right w:val="none" w:sz="0" w:space="0" w:color="auto"/>
          </w:divBdr>
        </w:div>
        <w:div w:id="1779182405">
          <w:marLeft w:val="640"/>
          <w:marRight w:val="0"/>
          <w:marTop w:val="0"/>
          <w:marBottom w:val="0"/>
          <w:divBdr>
            <w:top w:val="none" w:sz="0" w:space="0" w:color="auto"/>
            <w:left w:val="none" w:sz="0" w:space="0" w:color="auto"/>
            <w:bottom w:val="none" w:sz="0" w:space="0" w:color="auto"/>
            <w:right w:val="none" w:sz="0" w:space="0" w:color="auto"/>
          </w:divBdr>
        </w:div>
        <w:div w:id="365838615">
          <w:marLeft w:val="640"/>
          <w:marRight w:val="0"/>
          <w:marTop w:val="0"/>
          <w:marBottom w:val="0"/>
          <w:divBdr>
            <w:top w:val="none" w:sz="0" w:space="0" w:color="auto"/>
            <w:left w:val="none" w:sz="0" w:space="0" w:color="auto"/>
            <w:bottom w:val="none" w:sz="0" w:space="0" w:color="auto"/>
            <w:right w:val="none" w:sz="0" w:space="0" w:color="auto"/>
          </w:divBdr>
        </w:div>
      </w:divsChild>
    </w:div>
    <w:div w:id="572204022">
      <w:bodyDiv w:val="1"/>
      <w:marLeft w:val="0"/>
      <w:marRight w:val="0"/>
      <w:marTop w:val="0"/>
      <w:marBottom w:val="0"/>
      <w:divBdr>
        <w:top w:val="none" w:sz="0" w:space="0" w:color="auto"/>
        <w:left w:val="none" w:sz="0" w:space="0" w:color="auto"/>
        <w:bottom w:val="none" w:sz="0" w:space="0" w:color="auto"/>
        <w:right w:val="none" w:sz="0" w:space="0" w:color="auto"/>
      </w:divBdr>
      <w:divsChild>
        <w:div w:id="479661546">
          <w:marLeft w:val="640"/>
          <w:marRight w:val="0"/>
          <w:marTop w:val="0"/>
          <w:marBottom w:val="0"/>
          <w:divBdr>
            <w:top w:val="none" w:sz="0" w:space="0" w:color="auto"/>
            <w:left w:val="none" w:sz="0" w:space="0" w:color="auto"/>
            <w:bottom w:val="none" w:sz="0" w:space="0" w:color="auto"/>
            <w:right w:val="none" w:sz="0" w:space="0" w:color="auto"/>
          </w:divBdr>
        </w:div>
        <w:div w:id="1440442853">
          <w:marLeft w:val="640"/>
          <w:marRight w:val="0"/>
          <w:marTop w:val="0"/>
          <w:marBottom w:val="0"/>
          <w:divBdr>
            <w:top w:val="none" w:sz="0" w:space="0" w:color="auto"/>
            <w:left w:val="none" w:sz="0" w:space="0" w:color="auto"/>
            <w:bottom w:val="none" w:sz="0" w:space="0" w:color="auto"/>
            <w:right w:val="none" w:sz="0" w:space="0" w:color="auto"/>
          </w:divBdr>
        </w:div>
        <w:div w:id="555706157">
          <w:marLeft w:val="640"/>
          <w:marRight w:val="0"/>
          <w:marTop w:val="0"/>
          <w:marBottom w:val="0"/>
          <w:divBdr>
            <w:top w:val="none" w:sz="0" w:space="0" w:color="auto"/>
            <w:left w:val="none" w:sz="0" w:space="0" w:color="auto"/>
            <w:bottom w:val="none" w:sz="0" w:space="0" w:color="auto"/>
            <w:right w:val="none" w:sz="0" w:space="0" w:color="auto"/>
          </w:divBdr>
        </w:div>
        <w:div w:id="1024213838">
          <w:marLeft w:val="640"/>
          <w:marRight w:val="0"/>
          <w:marTop w:val="0"/>
          <w:marBottom w:val="0"/>
          <w:divBdr>
            <w:top w:val="none" w:sz="0" w:space="0" w:color="auto"/>
            <w:left w:val="none" w:sz="0" w:space="0" w:color="auto"/>
            <w:bottom w:val="none" w:sz="0" w:space="0" w:color="auto"/>
            <w:right w:val="none" w:sz="0" w:space="0" w:color="auto"/>
          </w:divBdr>
        </w:div>
        <w:div w:id="349262282">
          <w:marLeft w:val="640"/>
          <w:marRight w:val="0"/>
          <w:marTop w:val="0"/>
          <w:marBottom w:val="0"/>
          <w:divBdr>
            <w:top w:val="none" w:sz="0" w:space="0" w:color="auto"/>
            <w:left w:val="none" w:sz="0" w:space="0" w:color="auto"/>
            <w:bottom w:val="none" w:sz="0" w:space="0" w:color="auto"/>
            <w:right w:val="none" w:sz="0" w:space="0" w:color="auto"/>
          </w:divBdr>
        </w:div>
        <w:div w:id="1295477367">
          <w:marLeft w:val="640"/>
          <w:marRight w:val="0"/>
          <w:marTop w:val="0"/>
          <w:marBottom w:val="0"/>
          <w:divBdr>
            <w:top w:val="none" w:sz="0" w:space="0" w:color="auto"/>
            <w:left w:val="none" w:sz="0" w:space="0" w:color="auto"/>
            <w:bottom w:val="none" w:sz="0" w:space="0" w:color="auto"/>
            <w:right w:val="none" w:sz="0" w:space="0" w:color="auto"/>
          </w:divBdr>
        </w:div>
        <w:div w:id="200555824">
          <w:marLeft w:val="640"/>
          <w:marRight w:val="0"/>
          <w:marTop w:val="0"/>
          <w:marBottom w:val="0"/>
          <w:divBdr>
            <w:top w:val="none" w:sz="0" w:space="0" w:color="auto"/>
            <w:left w:val="none" w:sz="0" w:space="0" w:color="auto"/>
            <w:bottom w:val="none" w:sz="0" w:space="0" w:color="auto"/>
            <w:right w:val="none" w:sz="0" w:space="0" w:color="auto"/>
          </w:divBdr>
        </w:div>
        <w:div w:id="1835606185">
          <w:marLeft w:val="640"/>
          <w:marRight w:val="0"/>
          <w:marTop w:val="0"/>
          <w:marBottom w:val="0"/>
          <w:divBdr>
            <w:top w:val="none" w:sz="0" w:space="0" w:color="auto"/>
            <w:left w:val="none" w:sz="0" w:space="0" w:color="auto"/>
            <w:bottom w:val="none" w:sz="0" w:space="0" w:color="auto"/>
            <w:right w:val="none" w:sz="0" w:space="0" w:color="auto"/>
          </w:divBdr>
        </w:div>
        <w:div w:id="107698340">
          <w:marLeft w:val="640"/>
          <w:marRight w:val="0"/>
          <w:marTop w:val="0"/>
          <w:marBottom w:val="0"/>
          <w:divBdr>
            <w:top w:val="none" w:sz="0" w:space="0" w:color="auto"/>
            <w:left w:val="none" w:sz="0" w:space="0" w:color="auto"/>
            <w:bottom w:val="none" w:sz="0" w:space="0" w:color="auto"/>
            <w:right w:val="none" w:sz="0" w:space="0" w:color="auto"/>
          </w:divBdr>
        </w:div>
        <w:div w:id="635834228">
          <w:marLeft w:val="640"/>
          <w:marRight w:val="0"/>
          <w:marTop w:val="0"/>
          <w:marBottom w:val="0"/>
          <w:divBdr>
            <w:top w:val="none" w:sz="0" w:space="0" w:color="auto"/>
            <w:left w:val="none" w:sz="0" w:space="0" w:color="auto"/>
            <w:bottom w:val="none" w:sz="0" w:space="0" w:color="auto"/>
            <w:right w:val="none" w:sz="0" w:space="0" w:color="auto"/>
          </w:divBdr>
        </w:div>
        <w:div w:id="1458136941">
          <w:marLeft w:val="640"/>
          <w:marRight w:val="0"/>
          <w:marTop w:val="0"/>
          <w:marBottom w:val="0"/>
          <w:divBdr>
            <w:top w:val="none" w:sz="0" w:space="0" w:color="auto"/>
            <w:left w:val="none" w:sz="0" w:space="0" w:color="auto"/>
            <w:bottom w:val="none" w:sz="0" w:space="0" w:color="auto"/>
            <w:right w:val="none" w:sz="0" w:space="0" w:color="auto"/>
          </w:divBdr>
        </w:div>
        <w:div w:id="1471285391">
          <w:marLeft w:val="640"/>
          <w:marRight w:val="0"/>
          <w:marTop w:val="0"/>
          <w:marBottom w:val="0"/>
          <w:divBdr>
            <w:top w:val="none" w:sz="0" w:space="0" w:color="auto"/>
            <w:left w:val="none" w:sz="0" w:space="0" w:color="auto"/>
            <w:bottom w:val="none" w:sz="0" w:space="0" w:color="auto"/>
            <w:right w:val="none" w:sz="0" w:space="0" w:color="auto"/>
          </w:divBdr>
        </w:div>
        <w:div w:id="1649630472">
          <w:marLeft w:val="640"/>
          <w:marRight w:val="0"/>
          <w:marTop w:val="0"/>
          <w:marBottom w:val="0"/>
          <w:divBdr>
            <w:top w:val="none" w:sz="0" w:space="0" w:color="auto"/>
            <w:left w:val="none" w:sz="0" w:space="0" w:color="auto"/>
            <w:bottom w:val="none" w:sz="0" w:space="0" w:color="auto"/>
            <w:right w:val="none" w:sz="0" w:space="0" w:color="auto"/>
          </w:divBdr>
        </w:div>
        <w:div w:id="652560257">
          <w:marLeft w:val="640"/>
          <w:marRight w:val="0"/>
          <w:marTop w:val="0"/>
          <w:marBottom w:val="0"/>
          <w:divBdr>
            <w:top w:val="none" w:sz="0" w:space="0" w:color="auto"/>
            <w:left w:val="none" w:sz="0" w:space="0" w:color="auto"/>
            <w:bottom w:val="none" w:sz="0" w:space="0" w:color="auto"/>
            <w:right w:val="none" w:sz="0" w:space="0" w:color="auto"/>
          </w:divBdr>
        </w:div>
        <w:div w:id="1281378275">
          <w:marLeft w:val="640"/>
          <w:marRight w:val="0"/>
          <w:marTop w:val="0"/>
          <w:marBottom w:val="0"/>
          <w:divBdr>
            <w:top w:val="none" w:sz="0" w:space="0" w:color="auto"/>
            <w:left w:val="none" w:sz="0" w:space="0" w:color="auto"/>
            <w:bottom w:val="none" w:sz="0" w:space="0" w:color="auto"/>
            <w:right w:val="none" w:sz="0" w:space="0" w:color="auto"/>
          </w:divBdr>
        </w:div>
        <w:div w:id="1527017121">
          <w:marLeft w:val="640"/>
          <w:marRight w:val="0"/>
          <w:marTop w:val="0"/>
          <w:marBottom w:val="0"/>
          <w:divBdr>
            <w:top w:val="none" w:sz="0" w:space="0" w:color="auto"/>
            <w:left w:val="none" w:sz="0" w:space="0" w:color="auto"/>
            <w:bottom w:val="none" w:sz="0" w:space="0" w:color="auto"/>
            <w:right w:val="none" w:sz="0" w:space="0" w:color="auto"/>
          </w:divBdr>
        </w:div>
        <w:div w:id="1102719902">
          <w:marLeft w:val="640"/>
          <w:marRight w:val="0"/>
          <w:marTop w:val="0"/>
          <w:marBottom w:val="0"/>
          <w:divBdr>
            <w:top w:val="none" w:sz="0" w:space="0" w:color="auto"/>
            <w:left w:val="none" w:sz="0" w:space="0" w:color="auto"/>
            <w:bottom w:val="none" w:sz="0" w:space="0" w:color="auto"/>
            <w:right w:val="none" w:sz="0" w:space="0" w:color="auto"/>
          </w:divBdr>
        </w:div>
        <w:div w:id="1696231119">
          <w:marLeft w:val="640"/>
          <w:marRight w:val="0"/>
          <w:marTop w:val="0"/>
          <w:marBottom w:val="0"/>
          <w:divBdr>
            <w:top w:val="none" w:sz="0" w:space="0" w:color="auto"/>
            <w:left w:val="none" w:sz="0" w:space="0" w:color="auto"/>
            <w:bottom w:val="none" w:sz="0" w:space="0" w:color="auto"/>
            <w:right w:val="none" w:sz="0" w:space="0" w:color="auto"/>
          </w:divBdr>
        </w:div>
        <w:div w:id="407113536">
          <w:marLeft w:val="640"/>
          <w:marRight w:val="0"/>
          <w:marTop w:val="0"/>
          <w:marBottom w:val="0"/>
          <w:divBdr>
            <w:top w:val="none" w:sz="0" w:space="0" w:color="auto"/>
            <w:left w:val="none" w:sz="0" w:space="0" w:color="auto"/>
            <w:bottom w:val="none" w:sz="0" w:space="0" w:color="auto"/>
            <w:right w:val="none" w:sz="0" w:space="0" w:color="auto"/>
          </w:divBdr>
        </w:div>
        <w:div w:id="694692825">
          <w:marLeft w:val="640"/>
          <w:marRight w:val="0"/>
          <w:marTop w:val="0"/>
          <w:marBottom w:val="0"/>
          <w:divBdr>
            <w:top w:val="none" w:sz="0" w:space="0" w:color="auto"/>
            <w:left w:val="none" w:sz="0" w:space="0" w:color="auto"/>
            <w:bottom w:val="none" w:sz="0" w:space="0" w:color="auto"/>
            <w:right w:val="none" w:sz="0" w:space="0" w:color="auto"/>
          </w:divBdr>
        </w:div>
        <w:div w:id="1039672716">
          <w:marLeft w:val="640"/>
          <w:marRight w:val="0"/>
          <w:marTop w:val="0"/>
          <w:marBottom w:val="0"/>
          <w:divBdr>
            <w:top w:val="none" w:sz="0" w:space="0" w:color="auto"/>
            <w:left w:val="none" w:sz="0" w:space="0" w:color="auto"/>
            <w:bottom w:val="none" w:sz="0" w:space="0" w:color="auto"/>
            <w:right w:val="none" w:sz="0" w:space="0" w:color="auto"/>
          </w:divBdr>
        </w:div>
        <w:div w:id="198400337">
          <w:marLeft w:val="640"/>
          <w:marRight w:val="0"/>
          <w:marTop w:val="0"/>
          <w:marBottom w:val="0"/>
          <w:divBdr>
            <w:top w:val="none" w:sz="0" w:space="0" w:color="auto"/>
            <w:left w:val="none" w:sz="0" w:space="0" w:color="auto"/>
            <w:bottom w:val="none" w:sz="0" w:space="0" w:color="auto"/>
            <w:right w:val="none" w:sz="0" w:space="0" w:color="auto"/>
          </w:divBdr>
        </w:div>
        <w:div w:id="145558836">
          <w:marLeft w:val="640"/>
          <w:marRight w:val="0"/>
          <w:marTop w:val="0"/>
          <w:marBottom w:val="0"/>
          <w:divBdr>
            <w:top w:val="none" w:sz="0" w:space="0" w:color="auto"/>
            <w:left w:val="none" w:sz="0" w:space="0" w:color="auto"/>
            <w:bottom w:val="none" w:sz="0" w:space="0" w:color="auto"/>
            <w:right w:val="none" w:sz="0" w:space="0" w:color="auto"/>
          </w:divBdr>
        </w:div>
        <w:div w:id="66416434">
          <w:marLeft w:val="640"/>
          <w:marRight w:val="0"/>
          <w:marTop w:val="0"/>
          <w:marBottom w:val="0"/>
          <w:divBdr>
            <w:top w:val="none" w:sz="0" w:space="0" w:color="auto"/>
            <w:left w:val="none" w:sz="0" w:space="0" w:color="auto"/>
            <w:bottom w:val="none" w:sz="0" w:space="0" w:color="auto"/>
            <w:right w:val="none" w:sz="0" w:space="0" w:color="auto"/>
          </w:divBdr>
        </w:div>
        <w:div w:id="1742942853">
          <w:marLeft w:val="640"/>
          <w:marRight w:val="0"/>
          <w:marTop w:val="0"/>
          <w:marBottom w:val="0"/>
          <w:divBdr>
            <w:top w:val="none" w:sz="0" w:space="0" w:color="auto"/>
            <w:left w:val="none" w:sz="0" w:space="0" w:color="auto"/>
            <w:bottom w:val="none" w:sz="0" w:space="0" w:color="auto"/>
            <w:right w:val="none" w:sz="0" w:space="0" w:color="auto"/>
          </w:divBdr>
        </w:div>
        <w:div w:id="1081104328">
          <w:marLeft w:val="640"/>
          <w:marRight w:val="0"/>
          <w:marTop w:val="0"/>
          <w:marBottom w:val="0"/>
          <w:divBdr>
            <w:top w:val="none" w:sz="0" w:space="0" w:color="auto"/>
            <w:left w:val="none" w:sz="0" w:space="0" w:color="auto"/>
            <w:bottom w:val="none" w:sz="0" w:space="0" w:color="auto"/>
            <w:right w:val="none" w:sz="0" w:space="0" w:color="auto"/>
          </w:divBdr>
        </w:div>
        <w:div w:id="761729761">
          <w:marLeft w:val="640"/>
          <w:marRight w:val="0"/>
          <w:marTop w:val="0"/>
          <w:marBottom w:val="0"/>
          <w:divBdr>
            <w:top w:val="none" w:sz="0" w:space="0" w:color="auto"/>
            <w:left w:val="none" w:sz="0" w:space="0" w:color="auto"/>
            <w:bottom w:val="none" w:sz="0" w:space="0" w:color="auto"/>
            <w:right w:val="none" w:sz="0" w:space="0" w:color="auto"/>
          </w:divBdr>
        </w:div>
        <w:div w:id="1291126722">
          <w:marLeft w:val="640"/>
          <w:marRight w:val="0"/>
          <w:marTop w:val="0"/>
          <w:marBottom w:val="0"/>
          <w:divBdr>
            <w:top w:val="none" w:sz="0" w:space="0" w:color="auto"/>
            <w:left w:val="none" w:sz="0" w:space="0" w:color="auto"/>
            <w:bottom w:val="none" w:sz="0" w:space="0" w:color="auto"/>
            <w:right w:val="none" w:sz="0" w:space="0" w:color="auto"/>
          </w:divBdr>
        </w:div>
        <w:div w:id="491793450">
          <w:marLeft w:val="640"/>
          <w:marRight w:val="0"/>
          <w:marTop w:val="0"/>
          <w:marBottom w:val="0"/>
          <w:divBdr>
            <w:top w:val="none" w:sz="0" w:space="0" w:color="auto"/>
            <w:left w:val="none" w:sz="0" w:space="0" w:color="auto"/>
            <w:bottom w:val="none" w:sz="0" w:space="0" w:color="auto"/>
            <w:right w:val="none" w:sz="0" w:space="0" w:color="auto"/>
          </w:divBdr>
        </w:div>
        <w:div w:id="1810171972">
          <w:marLeft w:val="640"/>
          <w:marRight w:val="0"/>
          <w:marTop w:val="0"/>
          <w:marBottom w:val="0"/>
          <w:divBdr>
            <w:top w:val="none" w:sz="0" w:space="0" w:color="auto"/>
            <w:left w:val="none" w:sz="0" w:space="0" w:color="auto"/>
            <w:bottom w:val="none" w:sz="0" w:space="0" w:color="auto"/>
            <w:right w:val="none" w:sz="0" w:space="0" w:color="auto"/>
          </w:divBdr>
        </w:div>
        <w:div w:id="321201100">
          <w:marLeft w:val="640"/>
          <w:marRight w:val="0"/>
          <w:marTop w:val="0"/>
          <w:marBottom w:val="0"/>
          <w:divBdr>
            <w:top w:val="none" w:sz="0" w:space="0" w:color="auto"/>
            <w:left w:val="none" w:sz="0" w:space="0" w:color="auto"/>
            <w:bottom w:val="none" w:sz="0" w:space="0" w:color="auto"/>
            <w:right w:val="none" w:sz="0" w:space="0" w:color="auto"/>
          </w:divBdr>
        </w:div>
        <w:div w:id="1499073302">
          <w:marLeft w:val="640"/>
          <w:marRight w:val="0"/>
          <w:marTop w:val="0"/>
          <w:marBottom w:val="0"/>
          <w:divBdr>
            <w:top w:val="none" w:sz="0" w:space="0" w:color="auto"/>
            <w:left w:val="none" w:sz="0" w:space="0" w:color="auto"/>
            <w:bottom w:val="none" w:sz="0" w:space="0" w:color="auto"/>
            <w:right w:val="none" w:sz="0" w:space="0" w:color="auto"/>
          </w:divBdr>
        </w:div>
        <w:div w:id="1278829089">
          <w:marLeft w:val="640"/>
          <w:marRight w:val="0"/>
          <w:marTop w:val="0"/>
          <w:marBottom w:val="0"/>
          <w:divBdr>
            <w:top w:val="none" w:sz="0" w:space="0" w:color="auto"/>
            <w:left w:val="none" w:sz="0" w:space="0" w:color="auto"/>
            <w:bottom w:val="none" w:sz="0" w:space="0" w:color="auto"/>
            <w:right w:val="none" w:sz="0" w:space="0" w:color="auto"/>
          </w:divBdr>
        </w:div>
        <w:div w:id="645626824">
          <w:marLeft w:val="640"/>
          <w:marRight w:val="0"/>
          <w:marTop w:val="0"/>
          <w:marBottom w:val="0"/>
          <w:divBdr>
            <w:top w:val="none" w:sz="0" w:space="0" w:color="auto"/>
            <w:left w:val="none" w:sz="0" w:space="0" w:color="auto"/>
            <w:bottom w:val="none" w:sz="0" w:space="0" w:color="auto"/>
            <w:right w:val="none" w:sz="0" w:space="0" w:color="auto"/>
          </w:divBdr>
        </w:div>
        <w:div w:id="1478456158">
          <w:marLeft w:val="640"/>
          <w:marRight w:val="0"/>
          <w:marTop w:val="0"/>
          <w:marBottom w:val="0"/>
          <w:divBdr>
            <w:top w:val="none" w:sz="0" w:space="0" w:color="auto"/>
            <w:left w:val="none" w:sz="0" w:space="0" w:color="auto"/>
            <w:bottom w:val="none" w:sz="0" w:space="0" w:color="auto"/>
            <w:right w:val="none" w:sz="0" w:space="0" w:color="auto"/>
          </w:divBdr>
        </w:div>
        <w:div w:id="222958555">
          <w:marLeft w:val="640"/>
          <w:marRight w:val="0"/>
          <w:marTop w:val="0"/>
          <w:marBottom w:val="0"/>
          <w:divBdr>
            <w:top w:val="none" w:sz="0" w:space="0" w:color="auto"/>
            <w:left w:val="none" w:sz="0" w:space="0" w:color="auto"/>
            <w:bottom w:val="none" w:sz="0" w:space="0" w:color="auto"/>
            <w:right w:val="none" w:sz="0" w:space="0" w:color="auto"/>
          </w:divBdr>
        </w:div>
        <w:div w:id="1240559193">
          <w:marLeft w:val="640"/>
          <w:marRight w:val="0"/>
          <w:marTop w:val="0"/>
          <w:marBottom w:val="0"/>
          <w:divBdr>
            <w:top w:val="none" w:sz="0" w:space="0" w:color="auto"/>
            <w:left w:val="none" w:sz="0" w:space="0" w:color="auto"/>
            <w:bottom w:val="none" w:sz="0" w:space="0" w:color="auto"/>
            <w:right w:val="none" w:sz="0" w:space="0" w:color="auto"/>
          </w:divBdr>
        </w:div>
        <w:div w:id="2141874848">
          <w:marLeft w:val="640"/>
          <w:marRight w:val="0"/>
          <w:marTop w:val="0"/>
          <w:marBottom w:val="0"/>
          <w:divBdr>
            <w:top w:val="none" w:sz="0" w:space="0" w:color="auto"/>
            <w:left w:val="none" w:sz="0" w:space="0" w:color="auto"/>
            <w:bottom w:val="none" w:sz="0" w:space="0" w:color="auto"/>
            <w:right w:val="none" w:sz="0" w:space="0" w:color="auto"/>
          </w:divBdr>
        </w:div>
        <w:div w:id="816536283">
          <w:marLeft w:val="640"/>
          <w:marRight w:val="0"/>
          <w:marTop w:val="0"/>
          <w:marBottom w:val="0"/>
          <w:divBdr>
            <w:top w:val="none" w:sz="0" w:space="0" w:color="auto"/>
            <w:left w:val="none" w:sz="0" w:space="0" w:color="auto"/>
            <w:bottom w:val="none" w:sz="0" w:space="0" w:color="auto"/>
            <w:right w:val="none" w:sz="0" w:space="0" w:color="auto"/>
          </w:divBdr>
        </w:div>
        <w:div w:id="752974282">
          <w:marLeft w:val="640"/>
          <w:marRight w:val="0"/>
          <w:marTop w:val="0"/>
          <w:marBottom w:val="0"/>
          <w:divBdr>
            <w:top w:val="none" w:sz="0" w:space="0" w:color="auto"/>
            <w:left w:val="none" w:sz="0" w:space="0" w:color="auto"/>
            <w:bottom w:val="none" w:sz="0" w:space="0" w:color="auto"/>
            <w:right w:val="none" w:sz="0" w:space="0" w:color="auto"/>
          </w:divBdr>
        </w:div>
        <w:div w:id="1508859585">
          <w:marLeft w:val="640"/>
          <w:marRight w:val="0"/>
          <w:marTop w:val="0"/>
          <w:marBottom w:val="0"/>
          <w:divBdr>
            <w:top w:val="none" w:sz="0" w:space="0" w:color="auto"/>
            <w:left w:val="none" w:sz="0" w:space="0" w:color="auto"/>
            <w:bottom w:val="none" w:sz="0" w:space="0" w:color="auto"/>
            <w:right w:val="none" w:sz="0" w:space="0" w:color="auto"/>
          </w:divBdr>
        </w:div>
        <w:div w:id="868567858">
          <w:marLeft w:val="640"/>
          <w:marRight w:val="0"/>
          <w:marTop w:val="0"/>
          <w:marBottom w:val="0"/>
          <w:divBdr>
            <w:top w:val="none" w:sz="0" w:space="0" w:color="auto"/>
            <w:left w:val="none" w:sz="0" w:space="0" w:color="auto"/>
            <w:bottom w:val="none" w:sz="0" w:space="0" w:color="auto"/>
            <w:right w:val="none" w:sz="0" w:space="0" w:color="auto"/>
          </w:divBdr>
        </w:div>
        <w:div w:id="1305623284">
          <w:marLeft w:val="640"/>
          <w:marRight w:val="0"/>
          <w:marTop w:val="0"/>
          <w:marBottom w:val="0"/>
          <w:divBdr>
            <w:top w:val="none" w:sz="0" w:space="0" w:color="auto"/>
            <w:left w:val="none" w:sz="0" w:space="0" w:color="auto"/>
            <w:bottom w:val="none" w:sz="0" w:space="0" w:color="auto"/>
            <w:right w:val="none" w:sz="0" w:space="0" w:color="auto"/>
          </w:divBdr>
        </w:div>
        <w:div w:id="722405583">
          <w:marLeft w:val="640"/>
          <w:marRight w:val="0"/>
          <w:marTop w:val="0"/>
          <w:marBottom w:val="0"/>
          <w:divBdr>
            <w:top w:val="none" w:sz="0" w:space="0" w:color="auto"/>
            <w:left w:val="none" w:sz="0" w:space="0" w:color="auto"/>
            <w:bottom w:val="none" w:sz="0" w:space="0" w:color="auto"/>
            <w:right w:val="none" w:sz="0" w:space="0" w:color="auto"/>
          </w:divBdr>
        </w:div>
        <w:div w:id="7609195">
          <w:marLeft w:val="640"/>
          <w:marRight w:val="0"/>
          <w:marTop w:val="0"/>
          <w:marBottom w:val="0"/>
          <w:divBdr>
            <w:top w:val="none" w:sz="0" w:space="0" w:color="auto"/>
            <w:left w:val="none" w:sz="0" w:space="0" w:color="auto"/>
            <w:bottom w:val="none" w:sz="0" w:space="0" w:color="auto"/>
            <w:right w:val="none" w:sz="0" w:space="0" w:color="auto"/>
          </w:divBdr>
        </w:div>
        <w:div w:id="1905219110">
          <w:marLeft w:val="640"/>
          <w:marRight w:val="0"/>
          <w:marTop w:val="0"/>
          <w:marBottom w:val="0"/>
          <w:divBdr>
            <w:top w:val="none" w:sz="0" w:space="0" w:color="auto"/>
            <w:left w:val="none" w:sz="0" w:space="0" w:color="auto"/>
            <w:bottom w:val="none" w:sz="0" w:space="0" w:color="auto"/>
            <w:right w:val="none" w:sz="0" w:space="0" w:color="auto"/>
          </w:divBdr>
        </w:div>
        <w:div w:id="516122942">
          <w:marLeft w:val="640"/>
          <w:marRight w:val="0"/>
          <w:marTop w:val="0"/>
          <w:marBottom w:val="0"/>
          <w:divBdr>
            <w:top w:val="none" w:sz="0" w:space="0" w:color="auto"/>
            <w:left w:val="none" w:sz="0" w:space="0" w:color="auto"/>
            <w:bottom w:val="none" w:sz="0" w:space="0" w:color="auto"/>
            <w:right w:val="none" w:sz="0" w:space="0" w:color="auto"/>
          </w:divBdr>
        </w:div>
        <w:div w:id="538008224">
          <w:marLeft w:val="640"/>
          <w:marRight w:val="0"/>
          <w:marTop w:val="0"/>
          <w:marBottom w:val="0"/>
          <w:divBdr>
            <w:top w:val="none" w:sz="0" w:space="0" w:color="auto"/>
            <w:left w:val="none" w:sz="0" w:space="0" w:color="auto"/>
            <w:bottom w:val="none" w:sz="0" w:space="0" w:color="auto"/>
            <w:right w:val="none" w:sz="0" w:space="0" w:color="auto"/>
          </w:divBdr>
        </w:div>
        <w:div w:id="1074352568">
          <w:marLeft w:val="640"/>
          <w:marRight w:val="0"/>
          <w:marTop w:val="0"/>
          <w:marBottom w:val="0"/>
          <w:divBdr>
            <w:top w:val="none" w:sz="0" w:space="0" w:color="auto"/>
            <w:left w:val="none" w:sz="0" w:space="0" w:color="auto"/>
            <w:bottom w:val="none" w:sz="0" w:space="0" w:color="auto"/>
            <w:right w:val="none" w:sz="0" w:space="0" w:color="auto"/>
          </w:divBdr>
        </w:div>
        <w:div w:id="232199463">
          <w:marLeft w:val="640"/>
          <w:marRight w:val="0"/>
          <w:marTop w:val="0"/>
          <w:marBottom w:val="0"/>
          <w:divBdr>
            <w:top w:val="none" w:sz="0" w:space="0" w:color="auto"/>
            <w:left w:val="none" w:sz="0" w:space="0" w:color="auto"/>
            <w:bottom w:val="none" w:sz="0" w:space="0" w:color="auto"/>
            <w:right w:val="none" w:sz="0" w:space="0" w:color="auto"/>
          </w:divBdr>
        </w:div>
        <w:div w:id="7485085">
          <w:marLeft w:val="640"/>
          <w:marRight w:val="0"/>
          <w:marTop w:val="0"/>
          <w:marBottom w:val="0"/>
          <w:divBdr>
            <w:top w:val="none" w:sz="0" w:space="0" w:color="auto"/>
            <w:left w:val="none" w:sz="0" w:space="0" w:color="auto"/>
            <w:bottom w:val="none" w:sz="0" w:space="0" w:color="auto"/>
            <w:right w:val="none" w:sz="0" w:space="0" w:color="auto"/>
          </w:divBdr>
        </w:div>
        <w:div w:id="1123114607">
          <w:marLeft w:val="640"/>
          <w:marRight w:val="0"/>
          <w:marTop w:val="0"/>
          <w:marBottom w:val="0"/>
          <w:divBdr>
            <w:top w:val="none" w:sz="0" w:space="0" w:color="auto"/>
            <w:left w:val="none" w:sz="0" w:space="0" w:color="auto"/>
            <w:bottom w:val="none" w:sz="0" w:space="0" w:color="auto"/>
            <w:right w:val="none" w:sz="0" w:space="0" w:color="auto"/>
          </w:divBdr>
        </w:div>
        <w:div w:id="1978026181">
          <w:marLeft w:val="640"/>
          <w:marRight w:val="0"/>
          <w:marTop w:val="0"/>
          <w:marBottom w:val="0"/>
          <w:divBdr>
            <w:top w:val="none" w:sz="0" w:space="0" w:color="auto"/>
            <w:left w:val="none" w:sz="0" w:space="0" w:color="auto"/>
            <w:bottom w:val="none" w:sz="0" w:space="0" w:color="auto"/>
            <w:right w:val="none" w:sz="0" w:space="0" w:color="auto"/>
          </w:divBdr>
        </w:div>
        <w:div w:id="1331641090">
          <w:marLeft w:val="640"/>
          <w:marRight w:val="0"/>
          <w:marTop w:val="0"/>
          <w:marBottom w:val="0"/>
          <w:divBdr>
            <w:top w:val="none" w:sz="0" w:space="0" w:color="auto"/>
            <w:left w:val="none" w:sz="0" w:space="0" w:color="auto"/>
            <w:bottom w:val="none" w:sz="0" w:space="0" w:color="auto"/>
            <w:right w:val="none" w:sz="0" w:space="0" w:color="auto"/>
          </w:divBdr>
        </w:div>
        <w:div w:id="1737313101">
          <w:marLeft w:val="640"/>
          <w:marRight w:val="0"/>
          <w:marTop w:val="0"/>
          <w:marBottom w:val="0"/>
          <w:divBdr>
            <w:top w:val="none" w:sz="0" w:space="0" w:color="auto"/>
            <w:left w:val="none" w:sz="0" w:space="0" w:color="auto"/>
            <w:bottom w:val="none" w:sz="0" w:space="0" w:color="auto"/>
            <w:right w:val="none" w:sz="0" w:space="0" w:color="auto"/>
          </w:divBdr>
        </w:div>
        <w:div w:id="2043628304">
          <w:marLeft w:val="640"/>
          <w:marRight w:val="0"/>
          <w:marTop w:val="0"/>
          <w:marBottom w:val="0"/>
          <w:divBdr>
            <w:top w:val="none" w:sz="0" w:space="0" w:color="auto"/>
            <w:left w:val="none" w:sz="0" w:space="0" w:color="auto"/>
            <w:bottom w:val="none" w:sz="0" w:space="0" w:color="auto"/>
            <w:right w:val="none" w:sz="0" w:space="0" w:color="auto"/>
          </w:divBdr>
        </w:div>
        <w:div w:id="1113859831">
          <w:marLeft w:val="640"/>
          <w:marRight w:val="0"/>
          <w:marTop w:val="0"/>
          <w:marBottom w:val="0"/>
          <w:divBdr>
            <w:top w:val="none" w:sz="0" w:space="0" w:color="auto"/>
            <w:left w:val="none" w:sz="0" w:space="0" w:color="auto"/>
            <w:bottom w:val="none" w:sz="0" w:space="0" w:color="auto"/>
            <w:right w:val="none" w:sz="0" w:space="0" w:color="auto"/>
          </w:divBdr>
        </w:div>
        <w:div w:id="1453549613">
          <w:marLeft w:val="640"/>
          <w:marRight w:val="0"/>
          <w:marTop w:val="0"/>
          <w:marBottom w:val="0"/>
          <w:divBdr>
            <w:top w:val="none" w:sz="0" w:space="0" w:color="auto"/>
            <w:left w:val="none" w:sz="0" w:space="0" w:color="auto"/>
            <w:bottom w:val="none" w:sz="0" w:space="0" w:color="auto"/>
            <w:right w:val="none" w:sz="0" w:space="0" w:color="auto"/>
          </w:divBdr>
        </w:div>
        <w:div w:id="563300917">
          <w:marLeft w:val="640"/>
          <w:marRight w:val="0"/>
          <w:marTop w:val="0"/>
          <w:marBottom w:val="0"/>
          <w:divBdr>
            <w:top w:val="none" w:sz="0" w:space="0" w:color="auto"/>
            <w:left w:val="none" w:sz="0" w:space="0" w:color="auto"/>
            <w:bottom w:val="none" w:sz="0" w:space="0" w:color="auto"/>
            <w:right w:val="none" w:sz="0" w:space="0" w:color="auto"/>
          </w:divBdr>
        </w:div>
        <w:div w:id="1863126592">
          <w:marLeft w:val="640"/>
          <w:marRight w:val="0"/>
          <w:marTop w:val="0"/>
          <w:marBottom w:val="0"/>
          <w:divBdr>
            <w:top w:val="none" w:sz="0" w:space="0" w:color="auto"/>
            <w:left w:val="none" w:sz="0" w:space="0" w:color="auto"/>
            <w:bottom w:val="none" w:sz="0" w:space="0" w:color="auto"/>
            <w:right w:val="none" w:sz="0" w:space="0" w:color="auto"/>
          </w:divBdr>
        </w:div>
        <w:div w:id="988897217">
          <w:marLeft w:val="640"/>
          <w:marRight w:val="0"/>
          <w:marTop w:val="0"/>
          <w:marBottom w:val="0"/>
          <w:divBdr>
            <w:top w:val="none" w:sz="0" w:space="0" w:color="auto"/>
            <w:left w:val="none" w:sz="0" w:space="0" w:color="auto"/>
            <w:bottom w:val="none" w:sz="0" w:space="0" w:color="auto"/>
            <w:right w:val="none" w:sz="0" w:space="0" w:color="auto"/>
          </w:divBdr>
        </w:div>
        <w:div w:id="212500133">
          <w:marLeft w:val="640"/>
          <w:marRight w:val="0"/>
          <w:marTop w:val="0"/>
          <w:marBottom w:val="0"/>
          <w:divBdr>
            <w:top w:val="none" w:sz="0" w:space="0" w:color="auto"/>
            <w:left w:val="none" w:sz="0" w:space="0" w:color="auto"/>
            <w:bottom w:val="none" w:sz="0" w:space="0" w:color="auto"/>
            <w:right w:val="none" w:sz="0" w:space="0" w:color="auto"/>
          </w:divBdr>
        </w:div>
        <w:div w:id="841089706">
          <w:marLeft w:val="640"/>
          <w:marRight w:val="0"/>
          <w:marTop w:val="0"/>
          <w:marBottom w:val="0"/>
          <w:divBdr>
            <w:top w:val="none" w:sz="0" w:space="0" w:color="auto"/>
            <w:left w:val="none" w:sz="0" w:space="0" w:color="auto"/>
            <w:bottom w:val="none" w:sz="0" w:space="0" w:color="auto"/>
            <w:right w:val="none" w:sz="0" w:space="0" w:color="auto"/>
          </w:divBdr>
        </w:div>
        <w:div w:id="769013938">
          <w:marLeft w:val="640"/>
          <w:marRight w:val="0"/>
          <w:marTop w:val="0"/>
          <w:marBottom w:val="0"/>
          <w:divBdr>
            <w:top w:val="none" w:sz="0" w:space="0" w:color="auto"/>
            <w:left w:val="none" w:sz="0" w:space="0" w:color="auto"/>
            <w:bottom w:val="none" w:sz="0" w:space="0" w:color="auto"/>
            <w:right w:val="none" w:sz="0" w:space="0" w:color="auto"/>
          </w:divBdr>
        </w:div>
        <w:div w:id="258098933">
          <w:marLeft w:val="640"/>
          <w:marRight w:val="0"/>
          <w:marTop w:val="0"/>
          <w:marBottom w:val="0"/>
          <w:divBdr>
            <w:top w:val="none" w:sz="0" w:space="0" w:color="auto"/>
            <w:left w:val="none" w:sz="0" w:space="0" w:color="auto"/>
            <w:bottom w:val="none" w:sz="0" w:space="0" w:color="auto"/>
            <w:right w:val="none" w:sz="0" w:space="0" w:color="auto"/>
          </w:divBdr>
        </w:div>
        <w:div w:id="1126510212">
          <w:marLeft w:val="640"/>
          <w:marRight w:val="0"/>
          <w:marTop w:val="0"/>
          <w:marBottom w:val="0"/>
          <w:divBdr>
            <w:top w:val="none" w:sz="0" w:space="0" w:color="auto"/>
            <w:left w:val="none" w:sz="0" w:space="0" w:color="auto"/>
            <w:bottom w:val="none" w:sz="0" w:space="0" w:color="auto"/>
            <w:right w:val="none" w:sz="0" w:space="0" w:color="auto"/>
          </w:divBdr>
        </w:div>
        <w:div w:id="30152017">
          <w:marLeft w:val="640"/>
          <w:marRight w:val="0"/>
          <w:marTop w:val="0"/>
          <w:marBottom w:val="0"/>
          <w:divBdr>
            <w:top w:val="none" w:sz="0" w:space="0" w:color="auto"/>
            <w:left w:val="none" w:sz="0" w:space="0" w:color="auto"/>
            <w:bottom w:val="none" w:sz="0" w:space="0" w:color="auto"/>
            <w:right w:val="none" w:sz="0" w:space="0" w:color="auto"/>
          </w:divBdr>
        </w:div>
        <w:div w:id="1118569829">
          <w:marLeft w:val="640"/>
          <w:marRight w:val="0"/>
          <w:marTop w:val="0"/>
          <w:marBottom w:val="0"/>
          <w:divBdr>
            <w:top w:val="none" w:sz="0" w:space="0" w:color="auto"/>
            <w:left w:val="none" w:sz="0" w:space="0" w:color="auto"/>
            <w:bottom w:val="none" w:sz="0" w:space="0" w:color="auto"/>
            <w:right w:val="none" w:sz="0" w:space="0" w:color="auto"/>
          </w:divBdr>
        </w:div>
        <w:div w:id="1789159696">
          <w:marLeft w:val="640"/>
          <w:marRight w:val="0"/>
          <w:marTop w:val="0"/>
          <w:marBottom w:val="0"/>
          <w:divBdr>
            <w:top w:val="none" w:sz="0" w:space="0" w:color="auto"/>
            <w:left w:val="none" w:sz="0" w:space="0" w:color="auto"/>
            <w:bottom w:val="none" w:sz="0" w:space="0" w:color="auto"/>
            <w:right w:val="none" w:sz="0" w:space="0" w:color="auto"/>
          </w:divBdr>
        </w:div>
        <w:div w:id="858860559">
          <w:marLeft w:val="640"/>
          <w:marRight w:val="0"/>
          <w:marTop w:val="0"/>
          <w:marBottom w:val="0"/>
          <w:divBdr>
            <w:top w:val="none" w:sz="0" w:space="0" w:color="auto"/>
            <w:left w:val="none" w:sz="0" w:space="0" w:color="auto"/>
            <w:bottom w:val="none" w:sz="0" w:space="0" w:color="auto"/>
            <w:right w:val="none" w:sz="0" w:space="0" w:color="auto"/>
          </w:divBdr>
        </w:div>
        <w:div w:id="1214973583">
          <w:marLeft w:val="640"/>
          <w:marRight w:val="0"/>
          <w:marTop w:val="0"/>
          <w:marBottom w:val="0"/>
          <w:divBdr>
            <w:top w:val="none" w:sz="0" w:space="0" w:color="auto"/>
            <w:left w:val="none" w:sz="0" w:space="0" w:color="auto"/>
            <w:bottom w:val="none" w:sz="0" w:space="0" w:color="auto"/>
            <w:right w:val="none" w:sz="0" w:space="0" w:color="auto"/>
          </w:divBdr>
        </w:div>
        <w:div w:id="480511512">
          <w:marLeft w:val="640"/>
          <w:marRight w:val="0"/>
          <w:marTop w:val="0"/>
          <w:marBottom w:val="0"/>
          <w:divBdr>
            <w:top w:val="none" w:sz="0" w:space="0" w:color="auto"/>
            <w:left w:val="none" w:sz="0" w:space="0" w:color="auto"/>
            <w:bottom w:val="none" w:sz="0" w:space="0" w:color="auto"/>
            <w:right w:val="none" w:sz="0" w:space="0" w:color="auto"/>
          </w:divBdr>
        </w:div>
        <w:div w:id="1349870384">
          <w:marLeft w:val="640"/>
          <w:marRight w:val="0"/>
          <w:marTop w:val="0"/>
          <w:marBottom w:val="0"/>
          <w:divBdr>
            <w:top w:val="none" w:sz="0" w:space="0" w:color="auto"/>
            <w:left w:val="none" w:sz="0" w:space="0" w:color="auto"/>
            <w:bottom w:val="none" w:sz="0" w:space="0" w:color="auto"/>
            <w:right w:val="none" w:sz="0" w:space="0" w:color="auto"/>
          </w:divBdr>
        </w:div>
        <w:div w:id="1586573262">
          <w:marLeft w:val="640"/>
          <w:marRight w:val="0"/>
          <w:marTop w:val="0"/>
          <w:marBottom w:val="0"/>
          <w:divBdr>
            <w:top w:val="none" w:sz="0" w:space="0" w:color="auto"/>
            <w:left w:val="none" w:sz="0" w:space="0" w:color="auto"/>
            <w:bottom w:val="none" w:sz="0" w:space="0" w:color="auto"/>
            <w:right w:val="none" w:sz="0" w:space="0" w:color="auto"/>
          </w:divBdr>
        </w:div>
        <w:div w:id="245312941">
          <w:marLeft w:val="640"/>
          <w:marRight w:val="0"/>
          <w:marTop w:val="0"/>
          <w:marBottom w:val="0"/>
          <w:divBdr>
            <w:top w:val="none" w:sz="0" w:space="0" w:color="auto"/>
            <w:left w:val="none" w:sz="0" w:space="0" w:color="auto"/>
            <w:bottom w:val="none" w:sz="0" w:space="0" w:color="auto"/>
            <w:right w:val="none" w:sz="0" w:space="0" w:color="auto"/>
          </w:divBdr>
        </w:div>
        <w:div w:id="1340887487">
          <w:marLeft w:val="640"/>
          <w:marRight w:val="0"/>
          <w:marTop w:val="0"/>
          <w:marBottom w:val="0"/>
          <w:divBdr>
            <w:top w:val="none" w:sz="0" w:space="0" w:color="auto"/>
            <w:left w:val="none" w:sz="0" w:space="0" w:color="auto"/>
            <w:bottom w:val="none" w:sz="0" w:space="0" w:color="auto"/>
            <w:right w:val="none" w:sz="0" w:space="0" w:color="auto"/>
          </w:divBdr>
        </w:div>
        <w:div w:id="633096771">
          <w:marLeft w:val="640"/>
          <w:marRight w:val="0"/>
          <w:marTop w:val="0"/>
          <w:marBottom w:val="0"/>
          <w:divBdr>
            <w:top w:val="none" w:sz="0" w:space="0" w:color="auto"/>
            <w:left w:val="none" w:sz="0" w:space="0" w:color="auto"/>
            <w:bottom w:val="none" w:sz="0" w:space="0" w:color="auto"/>
            <w:right w:val="none" w:sz="0" w:space="0" w:color="auto"/>
          </w:divBdr>
        </w:div>
        <w:div w:id="102002421">
          <w:marLeft w:val="640"/>
          <w:marRight w:val="0"/>
          <w:marTop w:val="0"/>
          <w:marBottom w:val="0"/>
          <w:divBdr>
            <w:top w:val="none" w:sz="0" w:space="0" w:color="auto"/>
            <w:left w:val="none" w:sz="0" w:space="0" w:color="auto"/>
            <w:bottom w:val="none" w:sz="0" w:space="0" w:color="auto"/>
            <w:right w:val="none" w:sz="0" w:space="0" w:color="auto"/>
          </w:divBdr>
        </w:div>
        <w:div w:id="1327129459">
          <w:marLeft w:val="640"/>
          <w:marRight w:val="0"/>
          <w:marTop w:val="0"/>
          <w:marBottom w:val="0"/>
          <w:divBdr>
            <w:top w:val="none" w:sz="0" w:space="0" w:color="auto"/>
            <w:left w:val="none" w:sz="0" w:space="0" w:color="auto"/>
            <w:bottom w:val="none" w:sz="0" w:space="0" w:color="auto"/>
            <w:right w:val="none" w:sz="0" w:space="0" w:color="auto"/>
          </w:divBdr>
        </w:div>
        <w:div w:id="1231648947">
          <w:marLeft w:val="640"/>
          <w:marRight w:val="0"/>
          <w:marTop w:val="0"/>
          <w:marBottom w:val="0"/>
          <w:divBdr>
            <w:top w:val="none" w:sz="0" w:space="0" w:color="auto"/>
            <w:left w:val="none" w:sz="0" w:space="0" w:color="auto"/>
            <w:bottom w:val="none" w:sz="0" w:space="0" w:color="auto"/>
            <w:right w:val="none" w:sz="0" w:space="0" w:color="auto"/>
          </w:divBdr>
        </w:div>
        <w:div w:id="298996581">
          <w:marLeft w:val="640"/>
          <w:marRight w:val="0"/>
          <w:marTop w:val="0"/>
          <w:marBottom w:val="0"/>
          <w:divBdr>
            <w:top w:val="none" w:sz="0" w:space="0" w:color="auto"/>
            <w:left w:val="none" w:sz="0" w:space="0" w:color="auto"/>
            <w:bottom w:val="none" w:sz="0" w:space="0" w:color="auto"/>
            <w:right w:val="none" w:sz="0" w:space="0" w:color="auto"/>
          </w:divBdr>
        </w:div>
        <w:div w:id="1715033584">
          <w:marLeft w:val="640"/>
          <w:marRight w:val="0"/>
          <w:marTop w:val="0"/>
          <w:marBottom w:val="0"/>
          <w:divBdr>
            <w:top w:val="none" w:sz="0" w:space="0" w:color="auto"/>
            <w:left w:val="none" w:sz="0" w:space="0" w:color="auto"/>
            <w:bottom w:val="none" w:sz="0" w:space="0" w:color="auto"/>
            <w:right w:val="none" w:sz="0" w:space="0" w:color="auto"/>
          </w:divBdr>
        </w:div>
        <w:div w:id="2125029420">
          <w:marLeft w:val="640"/>
          <w:marRight w:val="0"/>
          <w:marTop w:val="0"/>
          <w:marBottom w:val="0"/>
          <w:divBdr>
            <w:top w:val="none" w:sz="0" w:space="0" w:color="auto"/>
            <w:left w:val="none" w:sz="0" w:space="0" w:color="auto"/>
            <w:bottom w:val="none" w:sz="0" w:space="0" w:color="auto"/>
            <w:right w:val="none" w:sz="0" w:space="0" w:color="auto"/>
          </w:divBdr>
        </w:div>
        <w:div w:id="293826308">
          <w:marLeft w:val="640"/>
          <w:marRight w:val="0"/>
          <w:marTop w:val="0"/>
          <w:marBottom w:val="0"/>
          <w:divBdr>
            <w:top w:val="none" w:sz="0" w:space="0" w:color="auto"/>
            <w:left w:val="none" w:sz="0" w:space="0" w:color="auto"/>
            <w:bottom w:val="none" w:sz="0" w:space="0" w:color="auto"/>
            <w:right w:val="none" w:sz="0" w:space="0" w:color="auto"/>
          </w:divBdr>
        </w:div>
        <w:div w:id="292713310">
          <w:marLeft w:val="640"/>
          <w:marRight w:val="0"/>
          <w:marTop w:val="0"/>
          <w:marBottom w:val="0"/>
          <w:divBdr>
            <w:top w:val="none" w:sz="0" w:space="0" w:color="auto"/>
            <w:left w:val="none" w:sz="0" w:space="0" w:color="auto"/>
            <w:bottom w:val="none" w:sz="0" w:space="0" w:color="auto"/>
            <w:right w:val="none" w:sz="0" w:space="0" w:color="auto"/>
          </w:divBdr>
        </w:div>
        <w:div w:id="171376808">
          <w:marLeft w:val="640"/>
          <w:marRight w:val="0"/>
          <w:marTop w:val="0"/>
          <w:marBottom w:val="0"/>
          <w:divBdr>
            <w:top w:val="none" w:sz="0" w:space="0" w:color="auto"/>
            <w:left w:val="none" w:sz="0" w:space="0" w:color="auto"/>
            <w:bottom w:val="none" w:sz="0" w:space="0" w:color="auto"/>
            <w:right w:val="none" w:sz="0" w:space="0" w:color="auto"/>
          </w:divBdr>
        </w:div>
        <w:div w:id="1012613633">
          <w:marLeft w:val="640"/>
          <w:marRight w:val="0"/>
          <w:marTop w:val="0"/>
          <w:marBottom w:val="0"/>
          <w:divBdr>
            <w:top w:val="none" w:sz="0" w:space="0" w:color="auto"/>
            <w:left w:val="none" w:sz="0" w:space="0" w:color="auto"/>
            <w:bottom w:val="none" w:sz="0" w:space="0" w:color="auto"/>
            <w:right w:val="none" w:sz="0" w:space="0" w:color="auto"/>
          </w:divBdr>
        </w:div>
        <w:div w:id="939531036">
          <w:marLeft w:val="640"/>
          <w:marRight w:val="0"/>
          <w:marTop w:val="0"/>
          <w:marBottom w:val="0"/>
          <w:divBdr>
            <w:top w:val="none" w:sz="0" w:space="0" w:color="auto"/>
            <w:left w:val="none" w:sz="0" w:space="0" w:color="auto"/>
            <w:bottom w:val="none" w:sz="0" w:space="0" w:color="auto"/>
            <w:right w:val="none" w:sz="0" w:space="0" w:color="auto"/>
          </w:divBdr>
        </w:div>
        <w:div w:id="42677629">
          <w:marLeft w:val="640"/>
          <w:marRight w:val="0"/>
          <w:marTop w:val="0"/>
          <w:marBottom w:val="0"/>
          <w:divBdr>
            <w:top w:val="none" w:sz="0" w:space="0" w:color="auto"/>
            <w:left w:val="none" w:sz="0" w:space="0" w:color="auto"/>
            <w:bottom w:val="none" w:sz="0" w:space="0" w:color="auto"/>
            <w:right w:val="none" w:sz="0" w:space="0" w:color="auto"/>
          </w:divBdr>
        </w:div>
        <w:div w:id="83960755">
          <w:marLeft w:val="640"/>
          <w:marRight w:val="0"/>
          <w:marTop w:val="0"/>
          <w:marBottom w:val="0"/>
          <w:divBdr>
            <w:top w:val="none" w:sz="0" w:space="0" w:color="auto"/>
            <w:left w:val="none" w:sz="0" w:space="0" w:color="auto"/>
            <w:bottom w:val="none" w:sz="0" w:space="0" w:color="auto"/>
            <w:right w:val="none" w:sz="0" w:space="0" w:color="auto"/>
          </w:divBdr>
        </w:div>
        <w:div w:id="463079416">
          <w:marLeft w:val="640"/>
          <w:marRight w:val="0"/>
          <w:marTop w:val="0"/>
          <w:marBottom w:val="0"/>
          <w:divBdr>
            <w:top w:val="none" w:sz="0" w:space="0" w:color="auto"/>
            <w:left w:val="none" w:sz="0" w:space="0" w:color="auto"/>
            <w:bottom w:val="none" w:sz="0" w:space="0" w:color="auto"/>
            <w:right w:val="none" w:sz="0" w:space="0" w:color="auto"/>
          </w:divBdr>
        </w:div>
        <w:div w:id="1218319936">
          <w:marLeft w:val="640"/>
          <w:marRight w:val="0"/>
          <w:marTop w:val="0"/>
          <w:marBottom w:val="0"/>
          <w:divBdr>
            <w:top w:val="none" w:sz="0" w:space="0" w:color="auto"/>
            <w:left w:val="none" w:sz="0" w:space="0" w:color="auto"/>
            <w:bottom w:val="none" w:sz="0" w:space="0" w:color="auto"/>
            <w:right w:val="none" w:sz="0" w:space="0" w:color="auto"/>
          </w:divBdr>
        </w:div>
        <w:div w:id="829718051">
          <w:marLeft w:val="640"/>
          <w:marRight w:val="0"/>
          <w:marTop w:val="0"/>
          <w:marBottom w:val="0"/>
          <w:divBdr>
            <w:top w:val="none" w:sz="0" w:space="0" w:color="auto"/>
            <w:left w:val="none" w:sz="0" w:space="0" w:color="auto"/>
            <w:bottom w:val="none" w:sz="0" w:space="0" w:color="auto"/>
            <w:right w:val="none" w:sz="0" w:space="0" w:color="auto"/>
          </w:divBdr>
        </w:div>
        <w:div w:id="1164971262">
          <w:marLeft w:val="640"/>
          <w:marRight w:val="0"/>
          <w:marTop w:val="0"/>
          <w:marBottom w:val="0"/>
          <w:divBdr>
            <w:top w:val="none" w:sz="0" w:space="0" w:color="auto"/>
            <w:left w:val="none" w:sz="0" w:space="0" w:color="auto"/>
            <w:bottom w:val="none" w:sz="0" w:space="0" w:color="auto"/>
            <w:right w:val="none" w:sz="0" w:space="0" w:color="auto"/>
          </w:divBdr>
        </w:div>
        <w:div w:id="2043702315">
          <w:marLeft w:val="640"/>
          <w:marRight w:val="0"/>
          <w:marTop w:val="0"/>
          <w:marBottom w:val="0"/>
          <w:divBdr>
            <w:top w:val="none" w:sz="0" w:space="0" w:color="auto"/>
            <w:left w:val="none" w:sz="0" w:space="0" w:color="auto"/>
            <w:bottom w:val="none" w:sz="0" w:space="0" w:color="auto"/>
            <w:right w:val="none" w:sz="0" w:space="0" w:color="auto"/>
          </w:divBdr>
        </w:div>
        <w:div w:id="1232810846">
          <w:marLeft w:val="640"/>
          <w:marRight w:val="0"/>
          <w:marTop w:val="0"/>
          <w:marBottom w:val="0"/>
          <w:divBdr>
            <w:top w:val="none" w:sz="0" w:space="0" w:color="auto"/>
            <w:left w:val="none" w:sz="0" w:space="0" w:color="auto"/>
            <w:bottom w:val="none" w:sz="0" w:space="0" w:color="auto"/>
            <w:right w:val="none" w:sz="0" w:space="0" w:color="auto"/>
          </w:divBdr>
        </w:div>
        <w:div w:id="739451093">
          <w:marLeft w:val="640"/>
          <w:marRight w:val="0"/>
          <w:marTop w:val="0"/>
          <w:marBottom w:val="0"/>
          <w:divBdr>
            <w:top w:val="none" w:sz="0" w:space="0" w:color="auto"/>
            <w:left w:val="none" w:sz="0" w:space="0" w:color="auto"/>
            <w:bottom w:val="none" w:sz="0" w:space="0" w:color="auto"/>
            <w:right w:val="none" w:sz="0" w:space="0" w:color="auto"/>
          </w:divBdr>
        </w:div>
        <w:div w:id="662927441">
          <w:marLeft w:val="640"/>
          <w:marRight w:val="0"/>
          <w:marTop w:val="0"/>
          <w:marBottom w:val="0"/>
          <w:divBdr>
            <w:top w:val="none" w:sz="0" w:space="0" w:color="auto"/>
            <w:left w:val="none" w:sz="0" w:space="0" w:color="auto"/>
            <w:bottom w:val="none" w:sz="0" w:space="0" w:color="auto"/>
            <w:right w:val="none" w:sz="0" w:space="0" w:color="auto"/>
          </w:divBdr>
        </w:div>
        <w:div w:id="1860656775">
          <w:marLeft w:val="640"/>
          <w:marRight w:val="0"/>
          <w:marTop w:val="0"/>
          <w:marBottom w:val="0"/>
          <w:divBdr>
            <w:top w:val="none" w:sz="0" w:space="0" w:color="auto"/>
            <w:left w:val="none" w:sz="0" w:space="0" w:color="auto"/>
            <w:bottom w:val="none" w:sz="0" w:space="0" w:color="auto"/>
            <w:right w:val="none" w:sz="0" w:space="0" w:color="auto"/>
          </w:divBdr>
        </w:div>
        <w:div w:id="223684541">
          <w:marLeft w:val="640"/>
          <w:marRight w:val="0"/>
          <w:marTop w:val="0"/>
          <w:marBottom w:val="0"/>
          <w:divBdr>
            <w:top w:val="none" w:sz="0" w:space="0" w:color="auto"/>
            <w:left w:val="none" w:sz="0" w:space="0" w:color="auto"/>
            <w:bottom w:val="none" w:sz="0" w:space="0" w:color="auto"/>
            <w:right w:val="none" w:sz="0" w:space="0" w:color="auto"/>
          </w:divBdr>
        </w:div>
        <w:div w:id="427040845">
          <w:marLeft w:val="640"/>
          <w:marRight w:val="0"/>
          <w:marTop w:val="0"/>
          <w:marBottom w:val="0"/>
          <w:divBdr>
            <w:top w:val="none" w:sz="0" w:space="0" w:color="auto"/>
            <w:left w:val="none" w:sz="0" w:space="0" w:color="auto"/>
            <w:bottom w:val="none" w:sz="0" w:space="0" w:color="auto"/>
            <w:right w:val="none" w:sz="0" w:space="0" w:color="auto"/>
          </w:divBdr>
        </w:div>
        <w:div w:id="1183085207">
          <w:marLeft w:val="640"/>
          <w:marRight w:val="0"/>
          <w:marTop w:val="0"/>
          <w:marBottom w:val="0"/>
          <w:divBdr>
            <w:top w:val="none" w:sz="0" w:space="0" w:color="auto"/>
            <w:left w:val="none" w:sz="0" w:space="0" w:color="auto"/>
            <w:bottom w:val="none" w:sz="0" w:space="0" w:color="auto"/>
            <w:right w:val="none" w:sz="0" w:space="0" w:color="auto"/>
          </w:divBdr>
        </w:div>
        <w:div w:id="971595850">
          <w:marLeft w:val="640"/>
          <w:marRight w:val="0"/>
          <w:marTop w:val="0"/>
          <w:marBottom w:val="0"/>
          <w:divBdr>
            <w:top w:val="none" w:sz="0" w:space="0" w:color="auto"/>
            <w:left w:val="none" w:sz="0" w:space="0" w:color="auto"/>
            <w:bottom w:val="none" w:sz="0" w:space="0" w:color="auto"/>
            <w:right w:val="none" w:sz="0" w:space="0" w:color="auto"/>
          </w:divBdr>
        </w:div>
        <w:div w:id="686829879">
          <w:marLeft w:val="640"/>
          <w:marRight w:val="0"/>
          <w:marTop w:val="0"/>
          <w:marBottom w:val="0"/>
          <w:divBdr>
            <w:top w:val="none" w:sz="0" w:space="0" w:color="auto"/>
            <w:left w:val="none" w:sz="0" w:space="0" w:color="auto"/>
            <w:bottom w:val="none" w:sz="0" w:space="0" w:color="auto"/>
            <w:right w:val="none" w:sz="0" w:space="0" w:color="auto"/>
          </w:divBdr>
        </w:div>
        <w:div w:id="520776702">
          <w:marLeft w:val="640"/>
          <w:marRight w:val="0"/>
          <w:marTop w:val="0"/>
          <w:marBottom w:val="0"/>
          <w:divBdr>
            <w:top w:val="none" w:sz="0" w:space="0" w:color="auto"/>
            <w:left w:val="none" w:sz="0" w:space="0" w:color="auto"/>
            <w:bottom w:val="none" w:sz="0" w:space="0" w:color="auto"/>
            <w:right w:val="none" w:sz="0" w:space="0" w:color="auto"/>
          </w:divBdr>
        </w:div>
        <w:div w:id="93215295">
          <w:marLeft w:val="640"/>
          <w:marRight w:val="0"/>
          <w:marTop w:val="0"/>
          <w:marBottom w:val="0"/>
          <w:divBdr>
            <w:top w:val="none" w:sz="0" w:space="0" w:color="auto"/>
            <w:left w:val="none" w:sz="0" w:space="0" w:color="auto"/>
            <w:bottom w:val="none" w:sz="0" w:space="0" w:color="auto"/>
            <w:right w:val="none" w:sz="0" w:space="0" w:color="auto"/>
          </w:divBdr>
        </w:div>
        <w:div w:id="1322930322">
          <w:marLeft w:val="640"/>
          <w:marRight w:val="0"/>
          <w:marTop w:val="0"/>
          <w:marBottom w:val="0"/>
          <w:divBdr>
            <w:top w:val="none" w:sz="0" w:space="0" w:color="auto"/>
            <w:left w:val="none" w:sz="0" w:space="0" w:color="auto"/>
            <w:bottom w:val="none" w:sz="0" w:space="0" w:color="auto"/>
            <w:right w:val="none" w:sz="0" w:space="0" w:color="auto"/>
          </w:divBdr>
        </w:div>
      </w:divsChild>
    </w:div>
    <w:div w:id="579946468">
      <w:bodyDiv w:val="1"/>
      <w:marLeft w:val="0"/>
      <w:marRight w:val="0"/>
      <w:marTop w:val="0"/>
      <w:marBottom w:val="0"/>
      <w:divBdr>
        <w:top w:val="none" w:sz="0" w:space="0" w:color="auto"/>
        <w:left w:val="none" w:sz="0" w:space="0" w:color="auto"/>
        <w:bottom w:val="none" w:sz="0" w:space="0" w:color="auto"/>
        <w:right w:val="none" w:sz="0" w:space="0" w:color="auto"/>
      </w:divBdr>
      <w:divsChild>
        <w:div w:id="1420447358">
          <w:marLeft w:val="640"/>
          <w:marRight w:val="0"/>
          <w:marTop w:val="0"/>
          <w:marBottom w:val="0"/>
          <w:divBdr>
            <w:top w:val="none" w:sz="0" w:space="0" w:color="auto"/>
            <w:left w:val="none" w:sz="0" w:space="0" w:color="auto"/>
            <w:bottom w:val="none" w:sz="0" w:space="0" w:color="auto"/>
            <w:right w:val="none" w:sz="0" w:space="0" w:color="auto"/>
          </w:divBdr>
        </w:div>
        <w:div w:id="1447508573">
          <w:marLeft w:val="640"/>
          <w:marRight w:val="0"/>
          <w:marTop w:val="0"/>
          <w:marBottom w:val="0"/>
          <w:divBdr>
            <w:top w:val="none" w:sz="0" w:space="0" w:color="auto"/>
            <w:left w:val="none" w:sz="0" w:space="0" w:color="auto"/>
            <w:bottom w:val="none" w:sz="0" w:space="0" w:color="auto"/>
            <w:right w:val="none" w:sz="0" w:space="0" w:color="auto"/>
          </w:divBdr>
        </w:div>
        <w:div w:id="606159117">
          <w:marLeft w:val="640"/>
          <w:marRight w:val="0"/>
          <w:marTop w:val="0"/>
          <w:marBottom w:val="0"/>
          <w:divBdr>
            <w:top w:val="none" w:sz="0" w:space="0" w:color="auto"/>
            <w:left w:val="none" w:sz="0" w:space="0" w:color="auto"/>
            <w:bottom w:val="none" w:sz="0" w:space="0" w:color="auto"/>
            <w:right w:val="none" w:sz="0" w:space="0" w:color="auto"/>
          </w:divBdr>
        </w:div>
        <w:div w:id="469443554">
          <w:marLeft w:val="640"/>
          <w:marRight w:val="0"/>
          <w:marTop w:val="0"/>
          <w:marBottom w:val="0"/>
          <w:divBdr>
            <w:top w:val="none" w:sz="0" w:space="0" w:color="auto"/>
            <w:left w:val="none" w:sz="0" w:space="0" w:color="auto"/>
            <w:bottom w:val="none" w:sz="0" w:space="0" w:color="auto"/>
            <w:right w:val="none" w:sz="0" w:space="0" w:color="auto"/>
          </w:divBdr>
        </w:div>
        <w:div w:id="353003301">
          <w:marLeft w:val="640"/>
          <w:marRight w:val="0"/>
          <w:marTop w:val="0"/>
          <w:marBottom w:val="0"/>
          <w:divBdr>
            <w:top w:val="none" w:sz="0" w:space="0" w:color="auto"/>
            <w:left w:val="none" w:sz="0" w:space="0" w:color="auto"/>
            <w:bottom w:val="none" w:sz="0" w:space="0" w:color="auto"/>
            <w:right w:val="none" w:sz="0" w:space="0" w:color="auto"/>
          </w:divBdr>
        </w:div>
        <w:div w:id="400325993">
          <w:marLeft w:val="640"/>
          <w:marRight w:val="0"/>
          <w:marTop w:val="0"/>
          <w:marBottom w:val="0"/>
          <w:divBdr>
            <w:top w:val="none" w:sz="0" w:space="0" w:color="auto"/>
            <w:left w:val="none" w:sz="0" w:space="0" w:color="auto"/>
            <w:bottom w:val="none" w:sz="0" w:space="0" w:color="auto"/>
            <w:right w:val="none" w:sz="0" w:space="0" w:color="auto"/>
          </w:divBdr>
        </w:div>
        <w:div w:id="1508716656">
          <w:marLeft w:val="640"/>
          <w:marRight w:val="0"/>
          <w:marTop w:val="0"/>
          <w:marBottom w:val="0"/>
          <w:divBdr>
            <w:top w:val="none" w:sz="0" w:space="0" w:color="auto"/>
            <w:left w:val="none" w:sz="0" w:space="0" w:color="auto"/>
            <w:bottom w:val="none" w:sz="0" w:space="0" w:color="auto"/>
            <w:right w:val="none" w:sz="0" w:space="0" w:color="auto"/>
          </w:divBdr>
        </w:div>
        <w:div w:id="1175923205">
          <w:marLeft w:val="640"/>
          <w:marRight w:val="0"/>
          <w:marTop w:val="0"/>
          <w:marBottom w:val="0"/>
          <w:divBdr>
            <w:top w:val="none" w:sz="0" w:space="0" w:color="auto"/>
            <w:left w:val="none" w:sz="0" w:space="0" w:color="auto"/>
            <w:bottom w:val="none" w:sz="0" w:space="0" w:color="auto"/>
            <w:right w:val="none" w:sz="0" w:space="0" w:color="auto"/>
          </w:divBdr>
        </w:div>
        <w:div w:id="335229159">
          <w:marLeft w:val="640"/>
          <w:marRight w:val="0"/>
          <w:marTop w:val="0"/>
          <w:marBottom w:val="0"/>
          <w:divBdr>
            <w:top w:val="none" w:sz="0" w:space="0" w:color="auto"/>
            <w:left w:val="none" w:sz="0" w:space="0" w:color="auto"/>
            <w:bottom w:val="none" w:sz="0" w:space="0" w:color="auto"/>
            <w:right w:val="none" w:sz="0" w:space="0" w:color="auto"/>
          </w:divBdr>
        </w:div>
        <w:div w:id="579410087">
          <w:marLeft w:val="640"/>
          <w:marRight w:val="0"/>
          <w:marTop w:val="0"/>
          <w:marBottom w:val="0"/>
          <w:divBdr>
            <w:top w:val="none" w:sz="0" w:space="0" w:color="auto"/>
            <w:left w:val="none" w:sz="0" w:space="0" w:color="auto"/>
            <w:bottom w:val="none" w:sz="0" w:space="0" w:color="auto"/>
            <w:right w:val="none" w:sz="0" w:space="0" w:color="auto"/>
          </w:divBdr>
        </w:div>
        <w:div w:id="990400811">
          <w:marLeft w:val="640"/>
          <w:marRight w:val="0"/>
          <w:marTop w:val="0"/>
          <w:marBottom w:val="0"/>
          <w:divBdr>
            <w:top w:val="none" w:sz="0" w:space="0" w:color="auto"/>
            <w:left w:val="none" w:sz="0" w:space="0" w:color="auto"/>
            <w:bottom w:val="none" w:sz="0" w:space="0" w:color="auto"/>
            <w:right w:val="none" w:sz="0" w:space="0" w:color="auto"/>
          </w:divBdr>
        </w:div>
        <w:div w:id="2039813812">
          <w:marLeft w:val="640"/>
          <w:marRight w:val="0"/>
          <w:marTop w:val="0"/>
          <w:marBottom w:val="0"/>
          <w:divBdr>
            <w:top w:val="none" w:sz="0" w:space="0" w:color="auto"/>
            <w:left w:val="none" w:sz="0" w:space="0" w:color="auto"/>
            <w:bottom w:val="none" w:sz="0" w:space="0" w:color="auto"/>
            <w:right w:val="none" w:sz="0" w:space="0" w:color="auto"/>
          </w:divBdr>
        </w:div>
        <w:div w:id="92290539">
          <w:marLeft w:val="640"/>
          <w:marRight w:val="0"/>
          <w:marTop w:val="0"/>
          <w:marBottom w:val="0"/>
          <w:divBdr>
            <w:top w:val="none" w:sz="0" w:space="0" w:color="auto"/>
            <w:left w:val="none" w:sz="0" w:space="0" w:color="auto"/>
            <w:bottom w:val="none" w:sz="0" w:space="0" w:color="auto"/>
            <w:right w:val="none" w:sz="0" w:space="0" w:color="auto"/>
          </w:divBdr>
        </w:div>
        <w:div w:id="1745103490">
          <w:marLeft w:val="640"/>
          <w:marRight w:val="0"/>
          <w:marTop w:val="0"/>
          <w:marBottom w:val="0"/>
          <w:divBdr>
            <w:top w:val="none" w:sz="0" w:space="0" w:color="auto"/>
            <w:left w:val="none" w:sz="0" w:space="0" w:color="auto"/>
            <w:bottom w:val="none" w:sz="0" w:space="0" w:color="auto"/>
            <w:right w:val="none" w:sz="0" w:space="0" w:color="auto"/>
          </w:divBdr>
        </w:div>
        <w:div w:id="1666207772">
          <w:marLeft w:val="640"/>
          <w:marRight w:val="0"/>
          <w:marTop w:val="0"/>
          <w:marBottom w:val="0"/>
          <w:divBdr>
            <w:top w:val="none" w:sz="0" w:space="0" w:color="auto"/>
            <w:left w:val="none" w:sz="0" w:space="0" w:color="auto"/>
            <w:bottom w:val="none" w:sz="0" w:space="0" w:color="auto"/>
            <w:right w:val="none" w:sz="0" w:space="0" w:color="auto"/>
          </w:divBdr>
        </w:div>
        <w:div w:id="1886943223">
          <w:marLeft w:val="640"/>
          <w:marRight w:val="0"/>
          <w:marTop w:val="0"/>
          <w:marBottom w:val="0"/>
          <w:divBdr>
            <w:top w:val="none" w:sz="0" w:space="0" w:color="auto"/>
            <w:left w:val="none" w:sz="0" w:space="0" w:color="auto"/>
            <w:bottom w:val="none" w:sz="0" w:space="0" w:color="auto"/>
            <w:right w:val="none" w:sz="0" w:space="0" w:color="auto"/>
          </w:divBdr>
        </w:div>
        <w:div w:id="2095011044">
          <w:marLeft w:val="640"/>
          <w:marRight w:val="0"/>
          <w:marTop w:val="0"/>
          <w:marBottom w:val="0"/>
          <w:divBdr>
            <w:top w:val="none" w:sz="0" w:space="0" w:color="auto"/>
            <w:left w:val="none" w:sz="0" w:space="0" w:color="auto"/>
            <w:bottom w:val="none" w:sz="0" w:space="0" w:color="auto"/>
            <w:right w:val="none" w:sz="0" w:space="0" w:color="auto"/>
          </w:divBdr>
        </w:div>
        <w:div w:id="1394238886">
          <w:marLeft w:val="640"/>
          <w:marRight w:val="0"/>
          <w:marTop w:val="0"/>
          <w:marBottom w:val="0"/>
          <w:divBdr>
            <w:top w:val="none" w:sz="0" w:space="0" w:color="auto"/>
            <w:left w:val="none" w:sz="0" w:space="0" w:color="auto"/>
            <w:bottom w:val="none" w:sz="0" w:space="0" w:color="auto"/>
            <w:right w:val="none" w:sz="0" w:space="0" w:color="auto"/>
          </w:divBdr>
        </w:div>
        <w:div w:id="738752419">
          <w:marLeft w:val="640"/>
          <w:marRight w:val="0"/>
          <w:marTop w:val="0"/>
          <w:marBottom w:val="0"/>
          <w:divBdr>
            <w:top w:val="none" w:sz="0" w:space="0" w:color="auto"/>
            <w:left w:val="none" w:sz="0" w:space="0" w:color="auto"/>
            <w:bottom w:val="none" w:sz="0" w:space="0" w:color="auto"/>
            <w:right w:val="none" w:sz="0" w:space="0" w:color="auto"/>
          </w:divBdr>
        </w:div>
        <w:div w:id="1653171400">
          <w:marLeft w:val="640"/>
          <w:marRight w:val="0"/>
          <w:marTop w:val="0"/>
          <w:marBottom w:val="0"/>
          <w:divBdr>
            <w:top w:val="none" w:sz="0" w:space="0" w:color="auto"/>
            <w:left w:val="none" w:sz="0" w:space="0" w:color="auto"/>
            <w:bottom w:val="none" w:sz="0" w:space="0" w:color="auto"/>
            <w:right w:val="none" w:sz="0" w:space="0" w:color="auto"/>
          </w:divBdr>
        </w:div>
        <w:div w:id="1722360309">
          <w:marLeft w:val="640"/>
          <w:marRight w:val="0"/>
          <w:marTop w:val="0"/>
          <w:marBottom w:val="0"/>
          <w:divBdr>
            <w:top w:val="none" w:sz="0" w:space="0" w:color="auto"/>
            <w:left w:val="none" w:sz="0" w:space="0" w:color="auto"/>
            <w:bottom w:val="none" w:sz="0" w:space="0" w:color="auto"/>
            <w:right w:val="none" w:sz="0" w:space="0" w:color="auto"/>
          </w:divBdr>
        </w:div>
        <w:div w:id="918905835">
          <w:marLeft w:val="640"/>
          <w:marRight w:val="0"/>
          <w:marTop w:val="0"/>
          <w:marBottom w:val="0"/>
          <w:divBdr>
            <w:top w:val="none" w:sz="0" w:space="0" w:color="auto"/>
            <w:left w:val="none" w:sz="0" w:space="0" w:color="auto"/>
            <w:bottom w:val="none" w:sz="0" w:space="0" w:color="auto"/>
            <w:right w:val="none" w:sz="0" w:space="0" w:color="auto"/>
          </w:divBdr>
        </w:div>
        <w:div w:id="1278483742">
          <w:marLeft w:val="640"/>
          <w:marRight w:val="0"/>
          <w:marTop w:val="0"/>
          <w:marBottom w:val="0"/>
          <w:divBdr>
            <w:top w:val="none" w:sz="0" w:space="0" w:color="auto"/>
            <w:left w:val="none" w:sz="0" w:space="0" w:color="auto"/>
            <w:bottom w:val="none" w:sz="0" w:space="0" w:color="auto"/>
            <w:right w:val="none" w:sz="0" w:space="0" w:color="auto"/>
          </w:divBdr>
        </w:div>
        <w:div w:id="494031079">
          <w:marLeft w:val="640"/>
          <w:marRight w:val="0"/>
          <w:marTop w:val="0"/>
          <w:marBottom w:val="0"/>
          <w:divBdr>
            <w:top w:val="none" w:sz="0" w:space="0" w:color="auto"/>
            <w:left w:val="none" w:sz="0" w:space="0" w:color="auto"/>
            <w:bottom w:val="none" w:sz="0" w:space="0" w:color="auto"/>
            <w:right w:val="none" w:sz="0" w:space="0" w:color="auto"/>
          </w:divBdr>
        </w:div>
        <w:div w:id="1617247705">
          <w:marLeft w:val="640"/>
          <w:marRight w:val="0"/>
          <w:marTop w:val="0"/>
          <w:marBottom w:val="0"/>
          <w:divBdr>
            <w:top w:val="none" w:sz="0" w:space="0" w:color="auto"/>
            <w:left w:val="none" w:sz="0" w:space="0" w:color="auto"/>
            <w:bottom w:val="none" w:sz="0" w:space="0" w:color="auto"/>
            <w:right w:val="none" w:sz="0" w:space="0" w:color="auto"/>
          </w:divBdr>
        </w:div>
        <w:div w:id="1383288804">
          <w:marLeft w:val="640"/>
          <w:marRight w:val="0"/>
          <w:marTop w:val="0"/>
          <w:marBottom w:val="0"/>
          <w:divBdr>
            <w:top w:val="none" w:sz="0" w:space="0" w:color="auto"/>
            <w:left w:val="none" w:sz="0" w:space="0" w:color="auto"/>
            <w:bottom w:val="none" w:sz="0" w:space="0" w:color="auto"/>
            <w:right w:val="none" w:sz="0" w:space="0" w:color="auto"/>
          </w:divBdr>
        </w:div>
        <w:div w:id="2129617842">
          <w:marLeft w:val="640"/>
          <w:marRight w:val="0"/>
          <w:marTop w:val="0"/>
          <w:marBottom w:val="0"/>
          <w:divBdr>
            <w:top w:val="none" w:sz="0" w:space="0" w:color="auto"/>
            <w:left w:val="none" w:sz="0" w:space="0" w:color="auto"/>
            <w:bottom w:val="none" w:sz="0" w:space="0" w:color="auto"/>
            <w:right w:val="none" w:sz="0" w:space="0" w:color="auto"/>
          </w:divBdr>
        </w:div>
        <w:div w:id="1344088426">
          <w:marLeft w:val="640"/>
          <w:marRight w:val="0"/>
          <w:marTop w:val="0"/>
          <w:marBottom w:val="0"/>
          <w:divBdr>
            <w:top w:val="none" w:sz="0" w:space="0" w:color="auto"/>
            <w:left w:val="none" w:sz="0" w:space="0" w:color="auto"/>
            <w:bottom w:val="none" w:sz="0" w:space="0" w:color="auto"/>
            <w:right w:val="none" w:sz="0" w:space="0" w:color="auto"/>
          </w:divBdr>
        </w:div>
        <w:div w:id="1220939762">
          <w:marLeft w:val="640"/>
          <w:marRight w:val="0"/>
          <w:marTop w:val="0"/>
          <w:marBottom w:val="0"/>
          <w:divBdr>
            <w:top w:val="none" w:sz="0" w:space="0" w:color="auto"/>
            <w:left w:val="none" w:sz="0" w:space="0" w:color="auto"/>
            <w:bottom w:val="none" w:sz="0" w:space="0" w:color="auto"/>
            <w:right w:val="none" w:sz="0" w:space="0" w:color="auto"/>
          </w:divBdr>
        </w:div>
        <w:div w:id="844127846">
          <w:marLeft w:val="640"/>
          <w:marRight w:val="0"/>
          <w:marTop w:val="0"/>
          <w:marBottom w:val="0"/>
          <w:divBdr>
            <w:top w:val="none" w:sz="0" w:space="0" w:color="auto"/>
            <w:left w:val="none" w:sz="0" w:space="0" w:color="auto"/>
            <w:bottom w:val="none" w:sz="0" w:space="0" w:color="auto"/>
            <w:right w:val="none" w:sz="0" w:space="0" w:color="auto"/>
          </w:divBdr>
        </w:div>
        <w:div w:id="542984625">
          <w:marLeft w:val="640"/>
          <w:marRight w:val="0"/>
          <w:marTop w:val="0"/>
          <w:marBottom w:val="0"/>
          <w:divBdr>
            <w:top w:val="none" w:sz="0" w:space="0" w:color="auto"/>
            <w:left w:val="none" w:sz="0" w:space="0" w:color="auto"/>
            <w:bottom w:val="none" w:sz="0" w:space="0" w:color="auto"/>
            <w:right w:val="none" w:sz="0" w:space="0" w:color="auto"/>
          </w:divBdr>
        </w:div>
        <w:div w:id="484736124">
          <w:marLeft w:val="640"/>
          <w:marRight w:val="0"/>
          <w:marTop w:val="0"/>
          <w:marBottom w:val="0"/>
          <w:divBdr>
            <w:top w:val="none" w:sz="0" w:space="0" w:color="auto"/>
            <w:left w:val="none" w:sz="0" w:space="0" w:color="auto"/>
            <w:bottom w:val="none" w:sz="0" w:space="0" w:color="auto"/>
            <w:right w:val="none" w:sz="0" w:space="0" w:color="auto"/>
          </w:divBdr>
        </w:div>
        <w:div w:id="1327634542">
          <w:marLeft w:val="640"/>
          <w:marRight w:val="0"/>
          <w:marTop w:val="0"/>
          <w:marBottom w:val="0"/>
          <w:divBdr>
            <w:top w:val="none" w:sz="0" w:space="0" w:color="auto"/>
            <w:left w:val="none" w:sz="0" w:space="0" w:color="auto"/>
            <w:bottom w:val="none" w:sz="0" w:space="0" w:color="auto"/>
            <w:right w:val="none" w:sz="0" w:space="0" w:color="auto"/>
          </w:divBdr>
        </w:div>
        <w:div w:id="899023869">
          <w:marLeft w:val="640"/>
          <w:marRight w:val="0"/>
          <w:marTop w:val="0"/>
          <w:marBottom w:val="0"/>
          <w:divBdr>
            <w:top w:val="none" w:sz="0" w:space="0" w:color="auto"/>
            <w:left w:val="none" w:sz="0" w:space="0" w:color="auto"/>
            <w:bottom w:val="none" w:sz="0" w:space="0" w:color="auto"/>
            <w:right w:val="none" w:sz="0" w:space="0" w:color="auto"/>
          </w:divBdr>
        </w:div>
        <w:div w:id="434862503">
          <w:marLeft w:val="640"/>
          <w:marRight w:val="0"/>
          <w:marTop w:val="0"/>
          <w:marBottom w:val="0"/>
          <w:divBdr>
            <w:top w:val="none" w:sz="0" w:space="0" w:color="auto"/>
            <w:left w:val="none" w:sz="0" w:space="0" w:color="auto"/>
            <w:bottom w:val="none" w:sz="0" w:space="0" w:color="auto"/>
            <w:right w:val="none" w:sz="0" w:space="0" w:color="auto"/>
          </w:divBdr>
        </w:div>
        <w:div w:id="453987800">
          <w:marLeft w:val="640"/>
          <w:marRight w:val="0"/>
          <w:marTop w:val="0"/>
          <w:marBottom w:val="0"/>
          <w:divBdr>
            <w:top w:val="none" w:sz="0" w:space="0" w:color="auto"/>
            <w:left w:val="none" w:sz="0" w:space="0" w:color="auto"/>
            <w:bottom w:val="none" w:sz="0" w:space="0" w:color="auto"/>
            <w:right w:val="none" w:sz="0" w:space="0" w:color="auto"/>
          </w:divBdr>
        </w:div>
        <w:div w:id="1774544402">
          <w:marLeft w:val="640"/>
          <w:marRight w:val="0"/>
          <w:marTop w:val="0"/>
          <w:marBottom w:val="0"/>
          <w:divBdr>
            <w:top w:val="none" w:sz="0" w:space="0" w:color="auto"/>
            <w:left w:val="none" w:sz="0" w:space="0" w:color="auto"/>
            <w:bottom w:val="none" w:sz="0" w:space="0" w:color="auto"/>
            <w:right w:val="none" w:sz="0" w:space="0" w:color="auto"/>
          </w:divBdr>
        </w:div>
        <w:div w:id="1863010934">
          <w:marLeft w:val="640"/>
          <w:marRight w:val="0"/>
          <w:marTop w:val="0"/>
          <w:marBottom w:val="0"/>
          <w:divBdr>
            <w:top w:val="none" w:sz="0" w:space="0" w:color="auto"/>
            <w:left w:val="none" w:sz="0" w:space="0" w:color="auto"/>
            <w:bottom w:val="none" w:sz="0" w:space="0" w:color="auto"/>
            <w:right w:val="none" w:sz="0" w:space="0" w:color="auto"/>
          </w:divBdr>
        </w:div>
        <w:div w:id="468481666">
          <w:marLeft w:val="640"/>
          <w:marRight w:val="0"/>
          <w:marTop w:val="0"/>
          <w:marBottom w:val="0"/>
          <w:divBdr>
            <w:top w:val="none" w:sz="0" w:space="0" w:color="auto"/>
            <w:left w:val="none" w:sz="0" w:space="0" w:color="auto"/>
            <w:bottom w:val="none" w:sz="0" w:space="0" w:color="auto"/>
            <w:right w:val="none" w:sz="0" w:space="0" w:color="auto"/>
          </w:divBdr>
        </w:div>
        <w:div w:id="1926064785">
          <w:marLeft w:val="640"/>
          <w:marRight w:val="0"/>
          <w:marTop w:val="0"/>
          <w:marBottom w:val="0"/>
          <w:divBdr>
            <w:top w:val="none" w:sz="0" w:space="0" w:color="auto"/>
            <w:left w:val="none" w:sz="0" w:space="0" w:color="auto"/>
            <w:bottom w:val="none" w:sz="0" w:space="0" w:color="auto"/>
            <w:right w:val="none" w:sz="0" w:space="0" w:color="auto"/>
          </w:divBdr>
        </w:div>
        <w:div w:id="1640918733">
          <w:marLeft w:val="640"/>
          <w:marRight w:val="0"/>
          <w:marTop w:val="0"/>
          <w:marBottom w:val="0"/>
          <w:divBdr>
            <w:top w:val="none" w:sz="0" w:space="0" w:color="auto"/>
            <w:left w:val="none" w:sz="0" w:space="0" w:color="auto"/>
            <w:bottom w:val="none" w:sz="0" w:space="0" w:color="auto"/>
            <w:right w:val="none" w:sz="0" w:space="0" w:color="auto"/>
          </w:divBdr>
        </w:div>
        <w:div w:id="1413236579">
          <w:marLeft w:val="640"/>
          <w:marRight w:val="0"/>
          <w:marTop w:val="0"/>
          <w:marBottom w:val="0"/>
          <w:divBdr>
            <w:top w:val="none" w:sz="0" w:space="0" w:color="auto"/>
            <w:left w:val="none" w:sz="0" w:space="0" w:color="auto"/>
            <w:bottom w:val="none" w:sz="0" w:space="0" w:color="auto"/>
            <w:right w:val="none" w:sz="0" w:space="0" w:color="auto"/>
          </w:divBdr>
        </w:div>
        <w:div w:id="1019816964">
          <w:marLeft w:val="640"/>
          <w:marRight w:val="0"/>
          <w:marTop w:val="0"/>
          <w:marBottom w:val="0"/>
          <w:divBdr>
            <w:top w:val="none" w:sz="0" w:space="0" w:color="auto"/>
            <w:left w:val="none" w:sz="0" w:space="0" w:color="auto"/>
            <w:bottom w:val="none" w:sz="0" w:space="0" w:color="auto"/>
            <w:right w:val="none" w:sz="0" w:space="0" w:color="auto"/>
          </w:divBdr>
        </w:div>
        <w:div w:id="819923536">
          <w:marLeft w:val="640"/>
          <w:marRight w:val="0"/>
          <w:marTop w:val="0"/>
          <w:marBottom w:val="0"/>
          <w:divBdr>
            <w:top w:val="none" w:sz="0" w:space="0" w:color="auto"/>
            <w:left w:val="none" w:sz="0" w:space="0" w:color="auto"/>
            <w:bottom w:val="none" w:sz="0" w:space="0" w:color="auto"/>
            <w:right w:val="none" w:sz="0" w:space="0" w:color="auto"/>
          </w:divBdr>
        </w:div>
        <w:div w:id="545878272">
          <w:marLeft w:val="640"/>
          <w:marRight w:val="0"/>
          <w:marTop w:val="0"/>
          <w:marBottom w:val="0"/>
          <w:divBdr>
            <w:top w:val="none" w:sz="0" w:space="0" w:color="auto"/>
            <w:left w:val="none" w:sz="0" w:space="0" w:color="auto"/>
            <w:bottom w:val="none" w:sz="0" w:space="0" w:color="auto"/>
            <w:right w:val="none" w:sz="0" w:space="0" w:color="auto"/>
          </w:divBdr>
        </w:div>
        <w:div w:id="657461701">
          <w:marLeft w:val="640"/>
          <w:marRight w:val="0"/>
          <w:marTop w:val="0"/>
          <w:marBottom w:val="0"/>
          <w:divBdr>
            <w:top w:val="none" w:sz="0" w:space="0" w:color="auto"/>
            <w:left w:val="none" w:sz="0" w:space="0" w:color="auto"/>
            <w:bottom w:val="none" w:sz="0" w:space="0" w:color="auto"/>
            <w:right w:val="none" w:sz="0" w:space="0" w:color="auto"/>
          </w:divBdr>
        </w:div>
        <w:div w:id="819809342">
          <w:marLeft w:val="640"/>
          <w:marRight w:val="0"/>
          <w:marTop w:val="0"/>
          <w:marBottom w:val="0"/>
          <w:divBdr>
            <w:top w:val="none" w:sz="0" w:space="0" w:color="auto"/>
            <w:left w:val="none" w:sz="0" w:space="0" w:color="auto"/>
            <w:bottom w:val="none" w:sz="0" w:space="0" w:color="auto"/>
            <w:right w:val="none" w:sz="0" w:space="0" w:color="auto"/>
          </w:divBdr>
        </w:div>
        <w:div w:id="167260201">
          <w:marLeft w:val="640"/>
          <w:marRight w:val="0"/>
          <w:marTop w:val="0"/>
          <w:marBottom w:val="0"/>
          <w:divBdr>
            <w:top w:val="none" w:sz="0" w:space="0" w:color="auto"/>
            <w:left w:val="none" w:sz="0" w:space="0" w:color="auto"/>
            <w:bottom w:val="none" w:sz="0" w:space="0" w:color="auto"/>
            <w:right w:val="none" w:sz="0" w:space="0" w:color="auto"/>
          </w:divBdr>
        </w:div>
        <w:div w:id="555704213">
          <w:marLeft w:val="640"/>
          <w:marRight w:val="0"/>
          <w:marTop w:val="0"/>
          <w:marBottom w:val="0"/>
          <w:divBdr>
            <w:top w:val="none" w:sz="0" w:space="0" w:color="auto"/>
            <w:left w:val="none" w:sz="0" w:space="0" w:color="auto"/>
            <w:bottom w:val="none" w:sz="0" w:space="0" w:color="auto"/>
            <w:right w:val="none" w:sz="0" w:space="0" w:color="auto"/>
          </w:divBdr>
        </w:div>
        <w:div w:id="1817916011">
          <w:marLeft w:val="640"/>
          <w:marRight w:val="0"/>
          <w:marTop w:val="0"/>
          <w:marBottom w:val="0"/>
          <w:divBdr>
            <w:top w:val="none" w:sz="0" w:space="0" w:color="auto"/>
            <w:left w:val="none" w:sz="0" w:space="0" w:color="auto"/>
            <w:bottom w:val="none" w:sz="0" w:space="0" w:color="auto"/>
            <w:right w:val="none" w:sz="0" w:space="0" w:color="auto"/>
          </w:divBdr>
        </w:div>
        <w:div w:id="1251621092">
          <w:marLeft w:val="640"/>
          <w:marRight w:val="0"/>
          <w:marTop w:val="0"/>
          <w:marBottom w:val="0"/>
          <w:divBdr>
            <w:top w:val="none" w:sz="0" w:space="0" w:color="auto"/>
            <w:left w:val="none" w:sz="0" w:space="0" w:color="auto"/>
            <w:bottom w:val="none" w:sz="0" w:space="0" w:color="auto"/>
            <w:right w:val="none" w:sz="0" w:space="0" w:color="auto"/>
          </w:divBdr>
        </w:div>
        <w:div w:id="445929819">
          <w:marLeft w:val="640"/>
          <w:marRight w:val="0"/>
          <w:marTop w:val="0"/>
          <w:marBottom w:val="0"/>
          <w:divBdr>
            <w:top w:val="none" w:sz="0" w:space="0" w:color="auto"/>
            <w:left w:val="none" w:sz="0" w:space="0" w:color="auto"/>
            <w:bottom w:val="none" w:sz="0" w:space="0" w:color="auto"/>
            <w:right w:val="none" w:sz="0" w:space="0" w:color="auto"/>
          </w:divBdr>
        </w:div>
        <w:div w:id="613362496">
          <w:marLeft w:val="640"/>
          <w:marRight w:val="0"/>
          <w:marTop w:val="0"/>
          <w:marBottom w:val="0"/>
          <w:divBdr>
            <w:top w:val="none" w:sz="0" w:space="0" w:color="auto"/>
            <w:left w:val="none" w:sz="0" w:space="0" w:color="auto"/>
            <w:bottom w:val="none" w:sz="0" w:space="0" w:color="auto"/>
            <w:right w:val="none" w:sz="0" w:space="0" w:color="auto"/>
          </w:divBdr>
        </w:div>
        <w:div w:id="1010452547">
          <w:marLeft w:val="640"/>
          <w:marRight w:val="0"/>
          <w:marTop w:val="0"/>
          <w:marBottom w:val="0"/>
          <w:divBdr>
            <w:top w:val="none" w:sz="0" w:space="0" w:color="auto"/>
            <w:left w:val="none" w:sz="0" w:space="0" w:color="auto"/>
            <w:bottom w:val="none" w:sz="0" w:space="0" w:color="auto"/>
            <w:right w:val="none" w:sz="0" w:space="0" w:color="auto"/>
          </w:divBdr>
        </w:div>
        <w:div w:id="1582568291">
          <w:marLeft w:val="640"/>
          <w:marRight w:val="0"/>
          <w:marTop w:val="0"/>
          <w:marBottom w:val="0"/>
          <w:divBdr>
            <w:top w:val="none" w:sz="0" w:space="0" w:color="auto"/>
            <w:left w:val="none" w:sz="0" w:space="0" w:color="auto"/>
            <w:bottom w:val="none" w:sz="0" w:space="0" w:color="auto"/>
            <w:right w:val="none" w:sz="0" w:space="0" w:color="auto"/>
          </w:divBdr>
        </w:div>
        <w:div w:id="1480344597">
          <w:marLeft w:val="640"/>
          <w:marRight w:val="0"/>
          <w:marTop w:val="0"/>
          <w:marBottom w:val="0"/>
          <w:divBdr>
            <w:top w:val="none" w:sz="0" w:space="0" w:color="auto"/>
            <w:left w:val="none" w:sz="0" w:space="0" w:color="auto"/>
            <w:bottom w:val="none" w:sz="0" w:space="0" w:color="auto"/>
            <w:right w:val="none" w:sz="0" w:space="0" w:color="auto"/>
          </w:divBdr>
        </w:div>
        <w:div w:id="68843992">
          <w:marLeft w:val="640"/>
          <w:marRight w:val="0"/>
          <w:marTop w:val="0"/>
          <w:marBottom w:val="0"/>
          <w:divBdr>
            <w:top w:val="none" w:sz="0" w:space="0" w:color="auto"/>
            <w:left w:val="none" w:sz="0" w:space="0" w:color="auto"/>
            <w:bottom w:val="none" w:sz="0" w:space="0" w:color="auto"/>
            <w:right w:val="none" w:sz="0" w:space="0" w:color="auto"/>
          </w:divBdr>
        </w:div>
        <w:div w:id="120347255">
          <w:marLeft w:val="640"/>
          <w:marRight w:val="0"/>
          <w:marTop w:val="0"/>
          <w:marBottom w:val="0"/>
          <w:divBdr>
            <w:top w:val="none" w:sz="0" w:space="0" w:color="auto"/>
            <w:left w:val="none" w:sz="0" w:space="0" w:color="auto"/>
            <w:bottom w:val="none" w:sz="0" w:space="0" w:color="auto"/>
            <w:right w:val="none" w:sz="0" w:space="0" w:color="auto"/>
          </w:divBdr>
        </w:div>
        <w:div w:id="464202601">
          <w:marLeft w:val="640"/>
          <w:marRight w:val="0"/>
          <w:marTop w:val="0"/>
          <w:marBottom w:val="0"/>
          <w:divBdr>
            <w:top w:val="none" w:sz="0" w:space="0" w:color="auto"/>
            <w:left w:val="none" w:sz="0" w:space="0" w:color="auto"/>
            <w:bottom w:val="none" w:sz="0" w:space="0" w:color="auto"/>
            <w:right w:val="none" w:sz="0" w:space="0" w:color="auto"/>
          </w:divBdr>
        </w:div>
        <w:div w:id="1727143684">
          <w:marLeft w:val="640"/>
          <w:marRight w:val="0"/>
          <w:marTop w:val="0"/>
          <w:marBottom w:val="0"/>
          <w:divBdr>
            <w:top w:val="none" w:sz="0" w:space="0" w:color="auto"/>
            <w:left w:val="none" w:sz="0" w:space="0" w:color="auto"/>
            <w:bottom w:val="none" w:sz="0" w:space="0" w:color="auto"/>
            <w:right w:val="none" w:sz="0" w:space="0" w:color="auto"/>
          </w:divBdr>
        </w:div>
        <w:div w:id="1858034130">
          <w:marLeft w:val="640"/>
          <w:marRight w:val="0"/>
          <w:marTop w:val="0"/>
          <w:marBottom w:val="0"/>
          <w:divBdr>
            <w:top w:val="none" w:sz="0" w:space="0" w:color="auto"/>
            <w:left w:val="none" w:sz="0" w:space="0" w:color="auto"/>
            <w:bottom w:val="none" w:sz="0" w:space="0" w:color="auto"/>
            <w:right w:val="none" w:sz="0" w:space="0" w:color="auto"/>
          </w:divBdr>
        </w:div>
        <w:div w:id="1948350840">
          <w:marLeft w:val="640"/>
          <w:marRight w:val="0"/>
          <w:marTop w:val="0"/>
          <w:marBottom w:val="0"/>
          <w:divBdr>
            <w:top w:val="none" w:sz="0" w:space="0" w:color="auto"/>
            <w:left w:val="none" w:sz="0" w:space="0" w:color="auto"/>
            <w:bottom w:val="none" w:sz="0" w:space="0" w:color="auto"/>
            <w:right w:val="none" w:sz="0" w:space="0" w:color="auto"/>
          </w:divBdr>
        </w:div>
        <w:div w:id="710347562">
          <w:marLeft w:val="640"/>
          <w:marRight w:val="0"/>
          <w:marTop w:val="0"/>
          <w:marBottom w:val="0"/>
          <w:divBdr>
            <w:top w:val="none" w:sz="0" w:space="0" w:color="auto"/>
            <w:left w:val="none" w:sz="0" w:space="0" w:color="auto"/>
            <w:bottom w:val="none" w:sz="0" w:space="0" w:color="auto"/>
            <w:right w:val="none" w:sz="0" w:space="0" w:color="auto"/>
          </w:divBdr>
        </w:div>
        <w:div w:id="1280992997">
          <w:marLeft w:val="640"/>
          <w:marRight w:val="0"/>
          <w:marTop w:val="0"/>
          <w:marBottom w:val="0"/>
          <w:divBdr>
            <w:top w:val="none" w:sz="0" w:space="0" w:color="auto"/>
            <w:left w:val="none" w:sz="0" w:space="0" w:color="auto"/>
            <w:bottom w:val="none" w:sz="0" w:space="0" w:color="auto"/>
            <w:right w:val="none" w:sz="0" w:space="0" w:color="auto"/>
          </w:divBdr>
        </w:div>
        <w:div w:id="2096322225">
          <w:marLeft w:val="640"/>
          <w:marRight w:val="0"/>
          <w:marTop w:val="0"/>
          <w:marBottom w:val="0"/>
          <w:divBdr>
            <w:top w:val="none" w:sz="0" w:space="0" w:color="auto"/>
            <w:left w:val="none" w:sz="0" w:space="0" w:color="auto"/>
            <w:bottom w:val="none" w:sz="0" w:space="0" w:color="auto"/>
            <w:right w:val="none" w:sz="0" w:space="0" w:color="auto"/>
          </w:divBdr>
        </w:div>
        <w:div w:id="1922984932">
          <w:marLeft w:val="640"/>
          <w:marRight w:val="0"/>
          <w:marTop w:val="0"/>
          <w:marBottom w:val="0"/>
          <w:divBdr>
            <w:top w:val="none" w:sz="0" w:space="0" w:color="auto"/>
            <w:left w:val="none" w:sz="0" w:space="0" w:color="auto"/>
            <w:bottom w:val="none" w:sz="0" w:space="0" w:color="auto"/>
            <w:right w:val="none" w:sz="0" w:space="0" w:color="auto"/>
          </w:divBdr>
        </w:div>
        <w:div w:id="727846268">
          <w:marLeft w:val="640"/>
          <w:marRight w:val="0"/>
          <w:marTop w:val="0"/>
          <w:marBottom w:val="0"/>
          <w:divBdr>
            <w:top w:val="none" w:sz="0" w:space="0" w:color="auto"/>
            <w:left w:val="none" w:sz="0" w:space="0" w:color="auto"/>
            <w:bottom w:val="none" w:sz="0" w:space="0" w:color="auto"/>
            <w:right w:val="none" w:sz="0" w:space="0" w:color="auto"/>
          </w:divBdr>
        </w:div>
        <w:div w:id="1582256882">
          <w:marLeft w:val="640"/>
          <w:marRight w:val="0"/>
          <w:marTop w:val="0"/>
          <w:marBottom w:val="0"/>
          <w:divBdr>
            <w:top w:val="none" w:sz="0" w:space="0" w:color="auto"/>
            <w:left w:val="none" w:sz="0" w:space="0" w:color="auto"/>
            <w:bottom w:val="none" w:sz="0" w:space="0" w:color="auto"/>
            <w:right w:val="none" w:sz="0" w:space="0" w:color="auto"/>
          </w:divBdr>
        </w:div>
        <w:div w:id="541600858">
          <w:marLeft w:val="640"/>
          <w:marRight w:val="0"/>
          <w:marTop w:val="0"/>
          <w:marBottom w:val="0"/>
          <w:divBdr>
            <w:top w:val="none" w:sz="0" w:space="0" w:color="auto"/>
            <w:left w:val="none" w:sz="0" w:space="0" w:color="auto"/>
            <w:bottom w:val="none" w:sz="0" w:space="0" w:color="auto"/>
            <w:right w:val="none" w:sz="0" w:space="0" w:color="auto"/>
          </w:divBdr>
        </w:div>
        <w:div w:id="404840583">
          <w:marLeft w:val="640"/>
          <w:marRight w:val="0"/>
          <w:marTop w:val="0"/>
          <w:marBottom w:val="0"/>
          <w:divBdr>
            <w:top w:val="none" w:sz="0" w:space="0" w:color="auto"/>
            <w:left w:val="none" w:sz="0" w:space="0" w:color="auto"/>
            <w:bottom w:val="none" w:sz="0" w:space="0" w:color="auto"/>
            <w:right w:val="none" w:sz="0" w:space="0" w:color="auto"/>
          </w:divBdr>
        </w:div>
        <w:div w:id="865293685">
          <w:marLeft w:val="640"/>
          <w:marRight w:val="0"/>
          <w:marTop w:val="0"/>
          <w:marBottom w:val="0"/>
          <w:divBdr>
            <w:top w:val="none" w:sz="0" w:space="0" w:color="auto"/>
            <w:left w:val="none" w:sz="0" w:space="0" w:color="auto"/>
            <w:bottom w:val="none" w:sz="0" w:space="0" w:color="auto"/>
            <w:right w:val="none" w:sz="0" w:space="0" w:color="auto"/>
          </w:divBdr>
        </w:div>
        <w:div w:id="2079090589">
          <w:marLeft w:val="640"/>
          <w:marRight w:val="0"/>
          <w:marTop w:val="0"/>
          <w:marBottom w:val="0"/>
          <w:divBdr>
            <w:top w:val="none" w:sz="0" w:space="0" w:color="auto"/>
            <w:left w:val="none" w:sz="0" w:space="0" w:color="auto"/>
            <w:bottom w:val="none" w:sz="0" w:space="0" w:color="auto"/>
            <w:right w:val="none" w:sz="0" w:space="0" w:color="auto"/>
          </w:divBdr>
        </w:div>
        <w:div w:id="101002257">
          <w:marLeft w:val="640"/>
          <w:marRight w:val="0"/>
          <w:marTop w:val="0"/>
          <w:marBottom w:val="0"/>
          <w:divBdr>
            <w:top w:val="none" w:sz="0" w:space="0" w:color="auto"/>
            <w:left w:val="none" w:sz="0" w:space="0" w:color="auto"/>
            <w:bottom w:val="none" w:sz="0" w:space="0" w:color="auto"/>
            <w:right w:val="none" w:sz="0" w:space="0" w:color="auto"/>
          </w:divBdr>
        </w:div>
        <w:div w:id="336688102">
          <w:marLeft w:val="640"/>
          <w:marRight w:val="0"/>
          <w:marTop w:val="0"/>
          <w:marBottom w:val="0"/>
          <w:divBdr>
            <w:top w:val="none" w:sz="0" w:space="0" w:color="auto"/>
            <w:left w:val="none" w:sz="0" w:space="0" w:color="auto"/>
            <w:bottom w:val="none" w:sz="0" w:space="0" w:color="auto"/>
            <w:right w:val="none" w:sz="0" w:space="0" w:color="auto"/>
          </w:divBdr>
        </w:div>
        <w:div w:id="2024891567">
          <w:marLeft w:val="640"/>
          <w:marRight w:val="0"/>
          <w:marTop w:val="0"/>
          <w:marBottom w:val="0"/>
          <w:divBdr>
            <w:top w:val="none" w:sz="0" w:space="0" w:color="auto"/>
            <w:left w:val="none" w:sz="0" w:space="0" w:color="auto"/>
            <w:bottom w:val="none" w:sz="0" w:space="0" w:color="auto"/>
            <w:right w:val="none" w:sz="0" w:space="0" w:color="auto"/>
          </w:divBdr>
        </w:div>
        <w:div w:id="644816484">
          <w:marLeft w:val="640"/>
          <w:marRight w:val="0"/>
          <w:marTop w:val="0"/>
          <w:marBottom w:val="0"/>
          <w:divBdr>
            <w:top w:val="none" w:sz="0" w:space="0" w:color="auto"/>
            <w:left w:val="none" w:sz="0" w:space="0" w:color="auto"/>
            <w:bottom w:val="none" w:sz="0" w:space="0" w:color="auto"/>
            <w:right w:val="none" w:sz="0" w:space="0" w:color="auto"/>
          </w:divBdr>
        </w:div>
        <w:div w:id="1968775313">
          <w:marLeft w:val="640"/>
          <w:marRight w:val="0"/>
          <w:marTop w:val="0"/>
          <w:marBottom w:val="0"/>
          <w:divBdr>
            <w:top w:val="none" w:sz="0" w:space="0" w:color="auto"/>
            <w:left w:val="none" w:sz="0" w:space="0" w:color="auto"/>
            <w:bottom w:val="none" w:sz="0" w:space="0" w:color="auto"/>
            <w:right w:val="none" w:sz="0" w:space="0" w:color="auto"/>
          </w:divBdr>
        </w:div>
        <w:div w:id="1770075477">
          <w:marLeft w:val="640"/>
          <w:marRight w:val="0"/>
          <w:marTop w:val="0"/>
          <w:marBottom w:val="0"/>
          <w:divBdr>
            <w:top w:val="none" w:sz="0" w:space="0" w:color="auto"/>
            <w:left w:val="none" w:sz="0" w:space="0" w:color="auto"/>
            <w:bottom w:val="none" w:sz="0" w:space="0" w:color="auto"/>
            <w:right w:val="none" w:sz="0" w:space="0" w:color="auto"/>
          </w:divBdr>
        </w:div>
        <w:div w:id="446387669">
          <w:marLeft w:val="640"/>
          <w:marRight w:val="0"/>
          <w:marTop w:val="0"/>
          <w:marBottom w:val="0"/>
          <w:divBdr>
            <w:top w:val="none" w:sz="0" w:space="0" w:color="auto"/>
            <w:left w:val="none" w:sz="0" w:space="0" w:color="auto"/>
            <w:bottom w:val="none" w:sz="0" w:space="0" w:color="auto"/>
            <w:right w:val="none" w:sz="0" w:space="0" w:color="auto"/>
          </w:divBdr>
        </w:div>
        <w:div w:id="2063212330">
          <w:marLeft w:val="640"/>
          <w:marRight w:val="0"/>
          <w:marTop w:val="0"/>
          <w:marBottom w:val="0"/>
          <w:divBdr>
            <w:top w:val="none" w:sz="0" w:space="0" w:color="auto"/>
            <w:left w:val="none" w:sz="0" w:space="0" w:color="auto"/>
            <w:bottom w:val="none" w:sz="0" w:space="0" w:color="auto"/>
            <w:right w:val="none" w:sz="0" w:space="0" w:color="auto"/>
          </w:divBdr>
        </w:div>
        <w:div w:id="573778400">
          <w:marLeft w:val="640"/>
          <w:marRight w:val="0"/>
          <w:marTop w:val="0"/>
          <w:marBottom w:val="0"/>
          <w:divBdr>
            <w:top w:val="none" w:sz="0" w:space="0" w:color="auto"/>
            <w:left w:val="none" w:sz="0" w:space="0" w:color="auto"/>
            <w:bottom w:val="none" w:sz="0" w:space="0" w:color="auto"/>
            <w:right w:val="none" w:sz="0" w:space="0" w:color="auto"/>
          </w:divBdr>
        </w:div>
        <w:div w:id="93596126">
          <w:marLeft w:val="640"/>
          <w:marRight w:val="0"/>
          <w:marTop w:val="0"/>
          <w:marBottom w:val="0"/>
          <w:divBdr>
            <w:top w:val="none" w:sz="0" w:space="0" w:color="auto"/>
            <w:left w:val="none" w:sz="0" w:space="0" w:color="auto"/>
            <w:bottom w:val="none" w:sz="0" w:space="0" w:color="auto"/>
            <w:right w:val="none" w:sz="0" w:space="0" w:color="auto"/>
          </w:divBdr>
        </w:div>
        <w:div w:id="1206914130">
          <w:marLeft w:val="640"/>
          <w:marRight w:val="0"/>
          <w:marTop w:val="0"/>
          <w:marBottom w:val="0"/>
          <w:divBdr>
            <w:top w:val="none" w:sz="0" w:space="0" w:color="auto"/>
            <w:left w:val="none" w:sz="0" w:space="0" w:color="auto"/>
            <w:bottom w:val="none" w:sz="0" w:space="0" w:color="auto"/>
            <w:right w:val="none" w:sz="0" w:space="0" w:color="auto"/>
          </w:divBdr>
        </w:div>
        <w:div w:id="859077998">
          <w:marLeft w:val="640"/>
          <w:marRight w:val="0"/>
          <w:marTop w:val="0"/>
          <w:marBottom w:val="0"/>
          <w:divBdr>
            <w:top w:val="none" w:sz="0" w:space="0" w:color="auto"/>
            <w:left w:val="none" w:sz="0" w:space="0" w:color="auto"/>
            <w:bottom w:val="none" w:sz="0" w:space="0" w:color="auto"/>
            <w:right w:val="none" w:sz="0" w:space="0" w:color="auto"/>
          </w:divBdr>
        </w:div>
        <w:div w:id="45686560">
          <w:marLeft w:val="640"/>
          <w:marRight w:val="0"/>
          <w:marTop w:val="0"/>
          <w:marBottom w:val="0"/>
          <w:divBdr>
            <w:top w:val="none" w:sz="0" w:space="0" w:color="auto"/>
            <w:left w:val="none" w:sz="0" w:space="0" w:color="auto"/>
            <w:bottom w:val="none" w:sz="0" w:space="0" w:color="auto"/>
            <w:right w:val="none" w:sz="0" w:space="0" w:color="auto"/>
          </w:divBdr>
        </w:div>
        <w:div w:id="386148019">
          <w:marLeft w:val="640"/>
          <w:marRight w:val="0"/>
          <w:marTop w:val="0"/>
          <w:marBottom w:val="0"/>
          <w:divBdr>
            <w:top w:val="none" w:sz="0" w:space="0" w:color="auto"/>
            <w:left w:val="none" w:sz="0" w:space="0" w:color="auto"/>
            <w:bottom w:val="none" w:sz="0" w:space="0" w:color="auto"/>
            <w:right w:val="none" w:sz="0" w:space="0" w:color="auto"/>
          </w:divBdr>
        </w:div>
        <w:div w:id="598492087">
          <w:marLeft w:val="640"/>
          <w:marRight w:val="0"/>
          <w:marTop w:val="0"/>
          <w:marBottom w:val="0"/>
          <w:divBdr>
            <w:top w:val="none" w:sz="0" w:space="0" w:color="auto"/>
            <w:left w:val="none" w:sz="0" w:space="0" w:color="auto"/>
            <w:bottom w:val="none" w:sz="0" w:space="0" w:color="auto"/>
            <w:right w:val="none" w:sz="0" w:space="0" w:color="auto"/>
          </w:divBdr>
        </w:div>
        <w:div w:id="1707485262">
          <w:marLeft w:val="640"/>
          <w:marRight w:val="0"/>
          <w:marTop w:val="0"/>
          <w:marBottom w:val="0"/>
          <w:divBdr>
            <w:top w:val="none" w:sz="0" w:space="0" w:color="auto"/>
            <w:left w:val="none" w:sz="0" w:space="0" w:color="auto"/>
            <w:bottom w:val="none" w:sz="0" w:space="0" w:color="auto"/>
            <w:right w:val="none" w:sz="0" w:space="0" w:color="auto"/>
          </w:divBdr>
        </w:div>
        <w:div w:id="1201699875">
          <w:marLeft w:val="640"/>
          <w:marRight w:val="0"/>
          <w:marTop w:val="0"/>
          <w:marBottom w:val="0"/>
          <w:divBdr>
            <w:top w:val="none" w:sz="0" w:space="0" w:color="auto"/>
            <w:left w:val="none" w:sz="0" w:space="0" w:color="auto"/>
            <w:bottom w:val="none" w:sz="0" w:space="0" w:color="auto"/>
            <w:right w:val="none" w:sz="0" w:space="0" w:color="auto"/>
          </w:divBdr>
        </w:div>
        <w:div w:id="1917587201">
          <w:marLeft w:val="640"/>
          <w:marRight w:val="0"/>
          <w:marTop w:val="0"/>
          <w:marBottom w:val="0"/>
          <w:divBdr>
            <w:top w:val="none" w:sz="0" w:space="0" w:color="auto"/>
            <w:left w:val="none" w:sz="0" w:space="0" w:color="auto"/>
            <w:bottom w:val="none" w:sz="0" w:space="0" w:color="auto"/>
            <w:right w:val="none" w:sz="0" w:space="0" w:color="auto"/>
          </w:divBdr>
        </w:div>
        <w:div w:id="650913171">
          <w:marLeft w:val="640"/>
          <w:marRight w:val="0"/>
          <w:marTop w:val="0"/>
          <w:marBottom w:val="0"/>
          <w:divBdr>
            <w:top w:val="none" w:sz="0" w:space="0" w:color="auto"/>
            <w:left w:val="none" w:sz="0" w:space="0" w:color="auto"/>
            <w:bottom w:val="none" w:sz="0" w:space="0" w:color="auto"/>
            <w:right w:val="none" w:sz="0" w:space="0" w:color="auto"/>
          </w:divBdr>
        </w:div>
        <w:div w:id="502861242">
          <w:marLeft w:val="640"/>
          <w:marRight w:val="0"/>
          <w:marTop w:val="0"/>
          <w:marBottom w:val="0"/>
          <w:divBdr>
            <w:top w:val="none" w:sz="0" w:space="0" w:color="auto"/>
            <w:left w:val="none" w:sz="0" w:space="0" w:color="auto"/>
            <w:bottom w:val="none" w:sz="0" w:space="0" w:color="auto"/>
            <w:right w:val="none" w:sz="0" w:space="0" w:color="auto"/>
          </w:divBdr>
        </w:div>
        <w:div w:id="784231887">
          <w:marLeft w:val="640"/>
          <w:marRight w:val="0"/>
          <w:marTop w:val="0"/>
          <w:marBottom w:val="0"/>
          <w:divBdr>
            <w:top w:val="none" w:sz="0" w:space="0" w:color="auto"/>
            <w:left w:val="none" w:sz="0" w:space="0" w:color="auto"/>
            <w:bottom w:val="none" w:sz="0" w:space="0" w:color="auto"/>
            <w:right w:val="none" w:sz="0" w:space="0" w:color="auto"/>
          </w:divBdr>
        </w:div>
        <w:div w:id="975452703">
          <w:marLeft w:val="640"/>
          <w:marRight w:val="0"/>
          <w:marTop w:val="0"/>
          <w:marBottom w:val="0"/>
          <w:divBdr>
            <w:top w:val="none" w:sz="0" w:space="0" w:color="auto"/>
            <w:left w:val="none" w:sz="0" w:space="0" w:color="auto"/>
            <w:bottom w:val="none" w:sz="0" w:space="0" w:color="auto"/>
            <w:right w:val="none" w:sz="0" w:space="0" w:color="auto"/>
          </w:divBdr>
        </w:div>
        <w:div w:id="1565600037">
          <w:marLeft w:val="640"/>
          <w:marRight w:val="0"/>
          <w:marTop w:val="0"/>
          <w:marBottom w:val="0"/>
          <w:divBdr>
            <w:top w:val="none" w:sz="0" w:space="0" w:color="auto"/>
            <w:left w:val="none" w:sz="0" w:space="0" w:color="auto"/>
            <w:bottom w:val="none" w:sz="0" w:space="0" w:color="auto"/>
            <w:right w:val="none" w:sz="0" w:space="0" w:color="auto"/>
          </w:divBdr>
        </w:div>
        <w:div w:id="253513092">
          <w:marLeft w:val="640"/>
          <w:marRight w:val="0"/>
          <w:marTop w:val="0"/>
          <w:marBottom w:val="0"/>
          <w:divBdr>
            <w:top w:val="none" w:sz="0" w:space="0" w:color="auto"/>
            <w:left w:val="none" w:sz="0" w:space="0" w:color="auto"/>
            <w:bottom w:val="none" w:sz="0" w:space="0" w:color="auto"/>
            <w:right w:val="none" w:sz="0" w:space="0" w:color="auto"/>
          </w:divBdr>
        </w:div>
        <w:div w:id="1297830486">
          <w:marLeft w:val="640"/>
          <w:marRight w:val="0"/>
          <w:marTop w:val="0"/>
          <w:marBottom w:val="0"/>
          <w:divBdr>
            <w:top w:val="none" w:sz="0" w:space="0" w:color="auto"/>
            <w:left w:val="none" w:sz="0" w:space="0" w:color="auto"/>
            <w:bottom w:val="none" w:sz="0" w:space="0" w:color="auto"/>
            <w:right w:val="none" w:sz="0" w:space="0" w:color="auto"/>
          </w:divBdr>
        </w:div>
        <w:div w:id="1531605913">
          <w:marLeft w:val="640"/>
          <w:marRight w:val="0"/>
          <w:marTop w:val="0"/>
          <w:marBottom w:val="0"/>
          <w:divBdr>
            <w:top w:val="none" w:sz="0" w:space="0" w:color="auto"/>
            <w:left w:val="none" w:sz="0" w:space="0" w:color="auto"/>
            <w:bottom w:val="none" w:sz="0" w:space="0" w:color="auto"/>
            <w:right w:val="none" w:sz="0" w:space="0" w:color="auto"/>
          </w:divBdr>
        </w:div>
        <w:div w:id="1460302806">
          <w:marLeft w:val="640"/>
          <w:marRight w:val="0"/>
          <w:marTop w:val="0"/>
          <w:marBottom w:val="0"/>
          <w:divBdr>
            <w:top w:val="none" w:sz="0" w:space="0" w:color="auto"/>
            <w:left w:val="none" w:sz="0" w:space="0" w:color="auto"/>
            <w:bottom w:val="none" w:sz="0" w:space="0" w:color="auto"/>
            <w:right w:val="none" w:sz="0" w:space="0" w:color="auto"/>
          </w:divBdr>
        </w:div>
        <w:div w:id="87626800">
          <w:marLeft w:val="640"/>
          <w:marRight w:val="0"/>
          <w:marTop w:val="0"/>
          <w:marBottom w:val="0"/>
          <w:divBdr>
            <w:top w:val="none" w:sz="0" w:space="0" w:color="auto"/>
            <w:left w:val="none" w:sz="0" w:space="0" w:color="auto"/>
            <w:bottom w:val="none" w:sz="0" w:space="0" w:color="auto"/>
            <w:right w:val="none" w:sz="0" w:space="0" w:color="auto"/>
          </w:divBdr>
        </w:div>
        <w:div w:id="130365770">
          <w:marLeft w:val="640"/>
          <w:marRight w:val="0"/>
          <w:marTop w:val="0"/>
          <w:marBottom w:val="0"/>
          <w:divBdr>
            <w:top w:val="none" w:sz="0" w:space="0" w:color="auto"/>
            <w:left w:val="none" w:sz="0" w:space="0" w:color="auto"/>
            <w:bottom w:val="none" w:sz="0" w:space="0" w:color="auto"/>
            <w:right w:val="none" w:sz="0" w:space="0" w:color="auto"/>
          </w:divBdr>
        </w:div>
        <w:div w:id="1755395461">
          <w:marLeft w:val="640"/>
          <w:marRight w:val="0"/>
          <w:marTop w:val="0"/>
          <w:marBottom w:val="0"/>
          <w:divBdr>
            <w:top w:val="none" w:sz="0" w:space="0" w:color="auto"/>
            <w:left w:val="none" w:sz="0" w:space="0" w:color="auto"/>
            <w:bottom w:val="none" w:sz="0" w:space="0" w:color="auto"/>
            <w:right w:val="none" w:sz="0" w:space="0" w:color="auto"/>
          </w:divBdr>
        </w:div>
        <w:div w:id="1027096369">
          <w:marLeft w:val="640"/>
          <w:marRight w:val="0"/>
          <w:marTop w:val="0"/>
          <w:marBottom w:val="0"/>
          <w:divBdr>
            <w:top w:val="none" w:sz="0" w:space="0" w:color="auto"/>
            <w:left w:val="none" w:sz="0" w:space="0" w:color="auto"/>
            <w:bottom w:val="none" w:sz="0" w:space="0" w:color="auto"/>
            <w:right w:val="none" w:sz="0" w:space="0" w:color="auto"/>
          </w:divBdr>
        </w:div>
        <w:div w:id="1705712598">
          <w:marLeft w:val="640"/>
          <w:marRight w:val="0"/>
          <w:marTop w:val="0"/>
          <w:marBottom w:val="0"/>
          <w:divBdr>
            <w:top w:val="none" w:sz="0" w:space="0" w:color="auto"/>
            <w:left w:val="none" w:sz="0" w:space="0" w:color="auto"/>
            <w:bottom w:val="none" w:sz="0" w:space="0" w:color="auto"/>
            <w:right w:val="none" w:sz="0" w:space="0" w:color="auto"/>
          </w:divBdr>
        </w:div>
        <w:div w:id="1940675993">
          <w:marLeft w:val="640"/>
          <w:marRight w:val="0"/>
          <w:marTop w:val="0"/>
          <w:marBottom w:val="0"/>
          <w:divBdr>
            <w:top w:val="none" w:sz="0" w:space="0" w:color="auto"/>
            <w:left w:val="none" w:sz="0" w:space="0" w:color="auto"/>
            <w:bottom w:val="none" w:sz="0" w:space="0" w:color="auto"/>
            <w:right w:val="none" w:sz="0" w:space="0" w:color="auto"/>
          </w:divBdr>
        </w:div>
        <w:div w:id="1494908914">
          <w:marLeft w:val="640"/>
          <w:marRight w:val="0"/>
          <w:marTop w:val="0"/>
          <w:marBottom w:val="0"/>
          <w:divBdr>
            <w:top w:val="none" w:sz="0" w:space="0" w:color="auto"/>
            <w:left w:val="none" w:sz="0" w:space="0" w:color="auto"/>
            <w:bottom w:val="none" w:sz="0" w:space="0" w:color="auto"/>
            <w:right w:val="none" w:sz="0" w:space="0" w:color="auto"/>
          </w:divBdr>
        </w:div>
      </w:divsChild>
    </w:div>
    <w:div w:id="760026814">
      <w:bodyDiv w:val="1"/>
      <w:marLeft w:val="0"/>
      <w:marRight w:val="0"/>
      <w:marTop w:val="0"/>
      <w:marBottom w:val="0"/>
      <w:divBdr>
        <w:top w:val="none" w:sz="0" w:space="0" w:color="auto"/>
        <w:left w:val="none" w:sz="0" w:space="0" w:color="auto"/>
        <w:bottom w:val="none" w:sz="0" w:space="0" w:color="auto"/>
        <w:right w:val="none" w:sz="0" w:space="0" w:color="auto"/>
      </w:divBdr>
      <w:divsChild>
        <w:div w:id="1242332452">
          <w:marLeft w:val="640"/>
          <w:marRight w:val="0"/>
          <w:marTop w:val="0"/>
          <w:marBottom w:val="0"/>
          <w:divBdr>
            <w:top w:val="none" w:sz="0" w:space="0" w:color="auto"/>
            <w:left w:val="none" w:sz="0" w:space="0" w:color="auto"/>
            <w:bottom w:val="none" w:sz="0" w:space="0" w:color="auto"/>
            <w:right w:val="none" w:sz="0" w:space="0" w:color="auto"/>
          </w:divBdr>
        </w:div>
        <w:div w:id="10450555">
          <w:marLeft w:val="640"/>
          <w:marRight w:val="0"/>
          <w:marTop w:val="0"/>
          <w:marBottom w:val="0"/>
          <w:divBdr>
            <w:top w:val="none" w:sz="0" w:space="0" w:color="auto"/>
            <w:left w:val="none" w:sz="0" w:space="0" w:color="auto"/>
            <w:bottom w:val="none" w:sz="0" w:space="0" w:color="auto"/>
            <w:right w:val="none" w:sz="0" w:space="0" w:color="auto"/>
          </w:divBdr>
        </w:div>
        <w:div w:id="80033844">
          <w:marLeft w:val="640"/>
          <w:marRight w:val="0"/>
          <w:marTop w:val="0"/>
          <w:marBottom w:val="0"/>
          <w:divBdr>
            <w:top w:val="none" w:sz="0" w:space="0" w:color="auto"/>
            <w:left w:val="none" w:sz="0" w:space="0" w:color="auto"/>
            <w:bottom w:val="none" w:sz="0" w:space="0" w:color="auto"/>
            <w:right w:val="none" w:sz="0" w:space="0" w:color="auto"/>
          </w:divBdr>
        </w:div>
        <w:div w:id="1109157922">
          <w:marLeft w:val="640"/>
          <w:marRight w:val="0"/>
          <w:marTop w:val="0"/>
          <w:marBottom w:val="0"/>
          <w:divBdr>
            <w:top w:val="none" w:sz="0" w:space="0" w:color="auto"/>
            <w:left w:val="none" w:sz="0" w:space="0" w:color="auto"/>
            <w:bottom w:val="none" w:sz="0" w:space="0" w:color="auto"/>
            <w:right w:val="none" w:sz="0" w:space="0" w:color="auto"/>
          </w:divBdr>
        </w:div>
        <w:div w:id="161088967">
          <w:marLeft w:val="640"/>
          <w:marRight w:val="0"/>
          <w:marTop w:val="0"/>
          <w:marBottom w:val="0"/>
          <w:divBdr>
            <w:top w:val="none" w:sz="0" w:space="0" w:color="auto"/>
            <w:left w:val="none" w:sz="0" w:space="0" w:color="auto"/>
            <w:bottom w:val="none" w:sz="0" w:space="0" w:color="auto"/>
            <w:right w:val="none" w:sz="0" w:space="0" w:color="auto"/>
          </w:divBdr>
        </w:div>
        <w:div w:id="688720234">
          <w:marLeft w:val="640"/>
          <w:marRight w:val="0"/>
          <w:marTop w:val="0"/>
          <w:marBottom w:val="0"/>
          <w:divBdr>
            <w:top w:val="none" w:sz="0" w:space="0" w:color="auto"/>
            <w:left w:val="none" w:sz="0" w:space="0" w:color="auto"/>
            <w:bottom w:val="none" w:sz="0" w:space="0" w:color="auto"/>
            <w:right w:val="none" w:sz="0" w:space="0" w:color="auto"/>
          </w:divBdr>
        </w:div>
        <w:div w:id="711072097">
          <w:marLeft w:val="640"/>
          <w:marRight w:val="0"/>
          <w:marTop w:val="0"/>
          <w:marBottom w:val="0"/>
          <w:divBdr>
            <w:top w:val="none" w:sz="0" w:space="0" w:color="auto"/>
            <w:left w:val="none" w:sz="0" w:space="0" w:color="auto"/>
            <w:bottom w:val="none" w:sz="0" w:space="0" w:color="auto"/>
            <w:right w:val="none" w:sz="0" w:space="0" w:color="auto"/>
          </w:divBdr>
        </w:div>
        <w:div w:id="543058872">
          <w:marLeft w:val="640"/>
          <w:marRight w:val="0"/>
          <w:marTop w:val="0"/>
          <w:marBottom w:val="0"/>
          <w:divBdr>
            <w:top w:val="none" w:sz="0" w:space="0" w:color="auto"/>
            <w:left w:val="none" w:sz="0" w:space="0" w:color="auto"/>
            <w:bottom w:val="none" w:sz="0" w:space="0" w:color="auto"/>
            <w:right w:val="none" w:sz="0" w:space="0" w:color="auto"/>
          </w:divBdr>
        </w:div>
        <w:div w:id="309557018">
          <w:marLeft w:val="640"/>
          <w:marRight w:val="0"/>
          <w:marTop w:val="0"/>
          <w:marBottom w:val="0"/>
          <w:divBdr>
            <w:top w:val="none" w:sz="0" w:space="0" w:color="auto"/>
            <w:left w:val="none" w:sz="0" w:space="0" w:color="auto"/>
            <w:bottom w:val="none" w:sz="0" w:space="0" w:color="auto"/>
            <w:right w:val="none" w:sz="0" w:space="0" w:color="auto"/>
          </w:divBdr>
        </w:div>
        <w:div w:id="1558277679">
          <w:marLeft w:val="640"/>
          <w:marRight w:val="0"/>
          <w:marTop w:val="0"/>
          <w:marBottom w:val="0"/>
          <w:divBdr>
            <w:top w:val="none" w:sz="0" w:space="0" w:color="auto"/>
            <w:left w:val="none" w:sz="0" w:space="0" w:color="auto"/>
            <w:bottom w:val="none" w:sz="0" w:space="0" w:color="auto"/>
            <w:right w:val="none" w:sz="0" w:space="0" w:color="auto"/>
          </w:divBdr>
        </w:div>
        <w:div w:id="793328467">
          <w:marLeft w:val="640"/>
          <w:marRight w:val="0"/>
          <w:marTop w:val="0"/>
          <w:marBottom w:val="0"/>
          <w:divBdr>
            <w:top w:val="none" w:sz="0" w:space="0" w:color="auto"/>
            <w:left w:val="none" w:sz="0" w:space="0" w:color="auto"/>
            <w:bottom w:val="none" w:sz="0" w:space="0" w:color="auto"/>
            <w:right w:val="none" w:sz="0" w:space="0" w:color="auto"/>
          </w:divBdr>
        </w:div>
        <w:div w:id="184029105">
          <w:marLeft w:val="640"/>
          <w:marRight w:val="0"/>
          <w:marTop w:val="0"/>
          <w:marBottom w:val="0"/>
          <w:divBdr>
            <w:top w:val="none" w:sz="0" w:space="0" w:color="auto"/>
            <w:left w:val="none" w:sz="0" w:space="0" w:color="auto"/>
            <w:bottom w:val="none" w:sz="0" w:space="0" w:color="auto"/>
            <w:right w:val="none" w:sz="0" w:space="0" w:color="auto"/>
          </w:divBdr>
        </w:div>
        <w:div w:id="143084062">
          <w:marLeft w:val="640"/>
          <w:marRight w:val="0"/>
          <w:marTop w:val="0"/>
          <w:marBottom w:val="0"/>
          <w:divBdr>
            <w:top w:val="none" w:sz="0" w:space="0" w:color="auto"/>
            <w:left w:val="none" w:sz="0" w:space="0" w:color="auto"/>
            <w:bottom w:val="none" w:sz="0" w:space="0" w:color="auto"/>
            <w:right w:val="none" w:sz="0" w:space="0" w:color="auto"/>
          </w:divBdr>
        </w:div>
        <w:div w:id="115293685">
          <w:marLeft w:val="640"/>
          <w:marRight w:val="0"/>
          <w:marTop w:val="0"/>
          <w:marBottom w:val="0"/>
          <w:divBdr>
            <w:top w:val="none" w:sz="0" w:space="0" w:color="auto"/>
            <w:left w:val="none" w:sz="0" w:space="0" w:color="auto"/>
            <w:bottom w:val="none" w:sz="0" w:space="0" w:color="auto"/>
            <w:right w:val="none" w:sz="0" w:space="0" w:color="auto"/>
          </w:divBdr>
        </w:div>
        <w:div w:id="1845515349">
          <w:marLeft w:val="640"/>
          <w:marRight w:val="0"/>
          <w:marTop w:val="0"/>
          <w:marBottom w:val="0"/>
          <w:divBdr>
            <w:top w:val="none" w:sz="0" w:space="0" w:color="auto"/>
            <w:left w:val="none" w:sz="0" w:space="0" w:color="auto"/>
            <w:bottom w:val="none" w:sz="0" w:space="0" w:color="auto"/>
            <w:right w:val="none" w:sz="0" w:space="0" w:color="auto"/>
          </w:divBdr>
        </w:div>
        <w:div w:id="1534033883">
          <w:marLeft w:val="640"/>
          <w:marRight w:val="0"/>
          <w:marTop w:val="0"/>
          <w:marBottom w:val="0"/>
          <w:divBdr>
            <w:top w:val="none" w:sz="0" w:space="0" w:color="auto"/>
            <w:left w:val="none" w:sz="0" w:space="0" w:color="auto"/>
            <w:bottom w:val="none" w:sz="0" w:space="0" w:color="auto"/>
            <w:right w:val="none" w:sz="0" w:space="0" w:color="auto"/>
          </w:divBdr>
        </w:div>
        <w:div w:id="421533000">
          <w:marLeft w:val="640"/>
          <w:marRight w:val="0"/>
          <w:marTop w:val="0"/>
          <w:marBottom w:val="0"/>
          <w:divBdr>
            <w:top w:val="none" w:sz="0" w:space="0" w:color="auto"/>
            <w:left w:val="none" w:sz="0" w:space="0" w:color="auto"/>
            <w:bottom w:val="none" w:sz="0" w:space="0" w:color="auto"/>
            <w:right w:val="none" w:sz="0" w:space="0" w:color="auto"/>
          </w:divBdr>
        </w:div>
        <w:div w:id="1888955541">
          <w:marLeft w:val="640"/>
          <w:marRight w:val="0"/>
          <w:marTop w:val="0"/>
          <w:marBottom w:val="0"/>
          <w:divBdr>
            <w:top w:val="none" w:sz="0" w:space="0" w:color="auto"/>
            <w:left w:val="none" w:sz="0" w:space="0" w:color="auto"/>
            <w:bottom w:val="none" w:sz="0" w:space="0" w:color="auto"/>
            <w:right w:val="none" w:sz="0" w:space="0" w:color="auto"/>
          </w:divBdr>
        </w:div>
        <w:div w:id="1789198471">
          <w:marLeft w:val="640"/>
          <w:marRight w:val="0"/>
          <w:marTop w:val="0"/>
          <w:marBottom w:val="0"/>
          <w:divBdr>
            <w:top w:val="none" w:sz="0" w:space="0" w:color="auto"/>
            <w:left w:val="none" w:sz="0" w:space="0" w:color="auto"/>
            <w:bottom w:val="none" w:sz="0" w:space="0" w:color="auto"/>
            <w:right w:val="none" w:sz="0" w:space="0" w:color="auto"/>
          </w:divBdr>
        </w:div>
        <w:div w:id="1094012050">
          <w:marLeft w:val="640"/>
          <w:marRight w:val="0"/>
          <w:marTop w:val="0"/>
          <w:marBottom w:val="0"/>
          <w:divBdr>
            <w:top w:val="none" w:sz="0" w:space="0" w:color="auto"/>
            <w:left w:val="none" w:sz="0" w:space="0" w:color="auto"/>
            <w:bottom w:val="none" w:sz="0" w:space="0" w:color="auto"/>
            <w:right w:val="none" w:sz="0" w:space="0" w:color="auto"/>
          </w:divBdr>
        </w:div>
        <w:div w:id="354700405">
          <w:marLeft w:val="640"/>
          <w:marRight w:val="0"/>
          <w:marTop w:val="0"/>
          <w:marBottom w:val="0"/>
          <w:divBdr>
            <w:top w:val="none" w:sz="0" w:space="0" w:color="auto"/>
            <w:left w:val="none" w:sz="0" w:space="0" w:color="auto"/>
            <w:bottom w:val="none" w:sz="0" w:space="0" w:color="auto"/>
            <w:right w:val="none" w:sz="0" w:space="0" w:color="auto"/>
          </w:divBdr>
        </w:div>
        <w:div w:id="1333292141">
          <w:marLeft w:val="640"/>
          <w:marRight w:val="0"/>
          <w:marTop w:val="0"/>
          <w:marBottom w:val="0"/>
          <w:divBdr>
            <w:top w:val="none" w:sz="0" w:space="0" w:color="auto"/>
            <w:left w:val="none" w:sz="0" w:space="0" w:color="auto"/>
            <w:bottom w:val="none" w:sz="0" w:space="0" w:color="auto"/>
            <w:right w:val="none" w:sz="0" w:space="0" w:color="auto"/>
          </w:divBdr>
        </w:div>
        <w:div w:id="1211183694">
          <w:marLeft w:val="640"/>
          <w:marRight w:val="0"/>
          <w:marTop w:val="0"/>
          <w:marBottom w:val="0"/>
          <w:divBdr>
            <w:top w:val="none" w:sz="0" w:space="0" w:color="auto"/>
            <w:left w:val="none" w:sz="0" w:space="0" w:color="auto"/>
            <w:bottom w:val="none" w:sz="0" w:space="0" w:color="auto"/>
            <w:right w:val="none" w:sz="0" w:space="0" w:color="auto"/>
          </w:divBdr>
        </w:div>
        <w:div w:id="1769695523">
          <w:marLeft w:val="640"/>
          <w:marRight w:val="0"/>
          <w:marTop w:val="0"/>
          <w:marBottom w:val="0"/>
          <w:divBdr>
            <w:top w:val="none" w:sz="0" w:space="0" w:color="auto"/>
            <w:left w:val="none" w:sz="0" w:space="0" w:color="auto"/>
            <w:bottom w:val="none" w:sz="0" w:space="0" w:color="auto"/>
            <w:right w:val="none" w:sz="0" w:space="0" w:color="auto"/>
          </w:divBdr>
        </w:div>
        <w:div w:id="425855050">
          <w:marLeft w:val="640"/>
          <w:marRight w:val="0"/>
          <w:marTop w:val="0"/>
          <w:marBottom w:val="0"/>
          <w:divBdr>
            <w:top w:val="none" w:sz="0" w:space="0" w:color="auto"/>
            <w:left w:val="none" w:sz="0" w:space="0" w:color="auto"/>
            <w:bottom w:val="none" w:sz="0" w:space="0" w:color="auto"/>
            <w:right w:val="none" w:sz="0" w:space="0" w:color="auto"/>
          </w:divBdr>
        </w:div>
        <w:div w:id="98841366">
          <w:marLeft w:val="640"/>
          <w:marRight w:val="0"/>
          <w:marTop w:val="0"/>
          <w:marBottom w:val="0"/>
          <w:divBdr>
            <w:top w:val="none" w:sz="0" w:space="0" w:color="auto"/>
            <w:left w:val="none" w:sz="0" w:space="0" w:color="auto"/>
            <w:bottom w:val="none" w:sz="0" w:space="0" w:color="auto"/>
            <w:right w:val="none" w:sz="0" w:space="0" w:color="auto"/>
          </w:divBdr>
        </w:div>
        <w:div w:id="1717967405">
          <w:marLeft w:val="640"/>
          <w:marRight w:val="0"/>
          <w:marTop w:val="0"/>
          <w:marBottom w:val="0"/>
          <w:divBdr>
            <w:top w:val="none" w:sz="0" w:space="0" w:color="auto"/>
            <w:left w:val="none" w:sz="0" w:space="0" w:color="auto"/>
            <w:bottom w:val="none" w:sz="0" w:space="0" w:color="auto"/>
            <w:right w:val="none" w:sz="0" w:space="0" w:color="auto"/>
          </w:divBdr>
        </w:div>
        <w:div w:id="1076976977">
          <w:marLeft w:val="640"/>
          <w:marRight w:val="0"/>
          <w:marTop w:val="0"/>
          <w:marBottom w:val="0"/>
          <w:divBdr>
            <w:top w:val="none" w:sz="0" w:space="0" w:color="auto"/>
            <w:left w:val="none" w:sz="0" w:space="0" w:color="auto"/>
            <w:bottom w:val="none" w:sz="0" w:space="0" w:color="auto"/>
            <w:right w:val="none" w:sz="0" w:space="0" w:color="auto"/>
          </w:divBdr>
        </w:div>
        <w:div w:id="420103148">
          <w:marLeft w:val="640"/>
          <w:marRight w:val="0"/>
          <w:marTop w:val="0"/>
          <w:marBottom w:val="0"/>
          <w:divBdr>
            <w:top w:val="none" w:sz="0" w:space="0" w:color="auto"/>
            <w:left w:val="none" w:sz="0" w:space="0" w:color="auto"/>
            <w:bottom w:val="none" w:sz="0" w:space="0" w:color="auto"/>
            <w:right w:val="none" w:sz="0" w:space="0" w:color="auto"/>
          </w:divBdr>
        </w:div>
        <w:div w:id="1500928566">
          <w:marLeft w:val="640"/>
          <w:marRight w:val="0"/>
          <w:marTop w:val="0"/>
          <w:marBottom w:val="0"/>
          <w:divBdr>
            <w:top w:val="none" w:sz="0" w:space="0" w:color="auto"/>
            <w:left w:val="none" w:sz="0" w:space="0" w:color="auto"/>
            <w:bottom w:val="none" w:sz="0" w:space="0" w:color="auto"/>
            <w:right w:val="none" w:sz="0" w:space="0" w:color="auto"/>
          </w:divBdr>
        </w:div>
        <w:div w:id="1708097141">
          <w:marLeft w:val="640"/>
          <w:marRight w:val="0"/>
          <w:marTop w:val="0"/>
          <w:marBottom w:val="0"/>
          <w:divBdr>
            <w:top w:val="none" w:sz="0" w:space="0" w:color="auto"/>
            <w:left w:val="none" w:sz="0" w:space="0" w:color="auto"/>
            <w:bottom w:val="none" w:sz="0" w:space="0" w:color="auto"/>
            <w:right w:val="none" w:sz="0" w:space="0" w:color="auto"/>
          </w:divBdr>
        </w:div>
        <w:div w:id="82459252">
          <w:marLeft w:val="640"/>
          <w:marRight w:val="0"/>
          <w:marTop w:val="0"/>
          <w:marBottom w:val="0"/>
          <w:divBdr>
            <w:top w:val="none" w:sz="0" w:space="0" w:color="auto"/>
            <w:left w:val="none" w:sz="0" w:space="0" w:color="auto"/>
            <w:bottom w:val="none" w:sz="0" w:space="0" w:color="auto"/>
            <w:right w:val="none" w:sz="0" w:space="0" w:color="auto"/>
          </w:divBdr>
        </w:div>
        <w:div w:id="531067153">
          <w:marLeft w:val="640"/>
          <w:marRight w:val="0"/>
          <w:marTop w:val="0"/>
          <w:marBottom w:val="0"/>
          <w:divBdr>
            <w:top w:val="none" w:sz="0" w:space="0" w:color="auto"/>
            <w:left w:val="none" w:sz="0" w:space="0" w:color="auto"/>
            <w:bottom w:val="none" w:sz="0" w:space="0" w:color="auto"/>
            <w:right w:val="none" w:sz="0" w:space="0" w:color="auto"/>
          </w:divBdr>
        </w:div>
        <w:div w:id="1093743282">
          <w:marLeft w:val="640"/>
          <w:marRight w:val="0"/>
          <w:marTop w:val="0"/>
          <w:marBottom w:val="0"/>
          <w:divBdr>
            <w:top w:val="none" w:sz="0" w:space="0" w:color="auto"/>
            <w:left w:val="none" w:sz="0" w:space="0" w:color="auto"/>
            <w:bottom w:val="none" w:sz="0" w:space="0" w:color="auto"/>
            <w:right w:val="none" w:sz="0" w:space="0" w:color="auto"/>
          </w:divBdr>
        </w:div>
        <w:div w:id="1805928312">
          <w:marLeft w:val="640"/>
          <w:marRight w:val="0"/>
          <w:marTop w:val="0"/>
          <w:marBottom w:val="0"/>
          <w:divBdr>
            <w:top w:val="none" w:sz="0" w:space="0" w:color="auto"/>
            <w:left w:val="none" w:sz="0" w:space="0" w:color="auto"/>
            <w:bottom w:val="none" w:sz="0" w:space="0" w:color="auto"/>
            <w:right w:val="none" w:sz="0" w:space="0" w:color="auto"/>
          </w:divBdr>
        </w:div>
        <w:div w:id="1675718202">
          <w:marLeft w:val="640"/>
          <w:marRight w:val="0"/>
          <w:marTop w:val="0"/>
          <w:marBottom w:val="0"/>
          <w:divBdr>
            <w:top w:val="none" w:sz="0" w:space="0" w:color="auto"/>
            <w:left w:val="none" w:sz="0" w:space="0" w:color="auto"/>
            <w:bottom w:val="none" w:sz="0" w:space="0" w:color="auto"/>
            <w:right w:val="none" w:sz="0" w:space="0" w:color="auto"/>
          </w:divBdr>
        </w:div>
        <w:div w:id="1401559844">
          <w:marLeft w:val="640"/>
          <w:marRight w:val="0"/>
          <w:marTop w:val="0"/>
          <w:marBottom w:val="0"/>
          <w:divBdr>
            <w:top w:val="none" w:sz="0" w:space="0" w:color="auto"/>
            <w:left w:val="none" w:sz="0" w:space="0" w:color="auto"/>
            <w:bottom w:val="none" w:sz="0" w:space="0" w:color="auto"/>
            <w:right w:val="none" w:sz="0" w:space="0" w:color="auto"/>
          </w:divBdr>
        </w:div>
        <w:div w:id="1306544103">
          <w:marLeft w:val="640"/>
          <w:marRight w:val="0"/>
          <w:marTop w:val="0"/>
          <w:marBottom w:val="0"/>
          <w:divBdr>
            <w:top w:val="none" w:sz="0" w:space="0" w:color="auto"/>
            <w:left w:val="none" w:sz="0" w:space="0" w:color="auto"/>
            <w:bottom w:val="none" w:sz="0" w:space="0" w:color="auto"/>
            <w:right w:val="none" w:sz="0" w:space="0" w:color="auto"/>
          </w:divBdr>
        </w:div>
        <w:div w:id="2041080527">
          <w:marLeft w:val="640"/>
          <w:marRight w:val="0"/>
          <w:marTop w:val="0"/>
          <w:marBottom w:val="0"/>
          <w:divBdr>
            <w:top w:val="none" w:sz="0" w:space="0" w:color="auto"/>
            <w:left w:val="none" w:sz="0" w:space="0" w:color="auto"/>
            <w:bottom w:val="none" w:sz="0" w:space="0" w:color="auto"/>
            <w:right w:val="none" w:sz="0" w:space="0" w:color="auto"/>
          </w:divBdr>
        </w:div>
        <w:div w:id="933823061">
          <w:marLeft w:val="640"/>
          <w:marRight w:val="0"/>
          <w:marTop w:val="0"/>
          <w:marBottom w:val="0"/>
          <w:divBdr>
            <w:top w:val="none" w:sz="0" w:space="0" w:color="auto"/>
            <w:left w:val="none" w:sz="0" w:space="0" w:color="auto"/>
            <w:bottom w:val="none" w:sz="0" w:space="0" w:color="auto"/>
            <w:right w:val="none" w:sz="0" w:space="0" w:color="auto"/>
          </w:divBdr>
        </w:div>
        <w:div w:id="2006274010">
          <w:marLeft w:val="640"/>
          <w:marRight w:val="0"/>
          <w:marTop w:val="0"/>
          <w:marBottom w:val="0"/>
          <w:divBdr>
            <w:top w:val="none" w:sz="0" w:space="0" w:color="auto"/>
            <w:left w:val="none" w:sz="0" w:space="0" w:color="auto"/>
            <w:bottom w:val="none" w:sz="0" w:space="0" w:color="auto"/>
            <w:right w:val="none" w:sz="0" w:space="0" w:color="auto"/>
          </w:divBdr>
        </w:div>
        <w:div w:id="1957758203">
          <w:marLeft w:val="640"/>
          <w:marRight w:val="0"/>
          <w:marTop w:val="0"/>
          <w:marBottom w:val="0"/>
          <w:divBdr>
            <w:top w:val="none" w:sz="0" w:space="0" w:color="auto"/>
            <w:left w:val="none" w:sz="0" w:space="0" w:color="auto"/>
            <w:bottom w:val="none" w:sz="0" w:space="0" w:color="auto"/>
            <w:right w:val="none" w:sz="0" w:space="0" w:color="auto"/>
          </w:divBdr>
        </w:div>
        <w:div w:id="588151548">
          <w:marLeft w:val="640"/>
          <w:marRight w:val="0"/>
          <w:marTop w:val="0"/>
          <w:marBottom w:val="0"/>
          <w:divBdr>
            <w:top w:val="none" w:sz="0" w:space="0" w:color="auto"/>
            <w:left w:val="none" w:sz="0" w:space="0" w:color="auto"/>
            <w:bottom w:val="none" w:sz="0" w:space="0" w:color="auto"/>
            <w:right w:val="none" w:sz="0" w:space="0" w:color="auto"/>
          </w:divBdr>
        </w:div>
        <w:div w:id="969047517">
          <w:marLeft w:val="640"/>
          <w:marRight w:val="0"/>
          <w:marTop w:val="0"/>
          <w:marBottom w:val="0"/>
          <w:divBdr>
            <w:top w:val="none" w:sz="0" w:space="0" w:color="auto"/>
            <w:left w:val="none" w:sz="0" w:space="0" w:color="auto"/>
            <w:bottom w:val="none" w:sz="0" w:space="0" w:color="auto"/>
            <w:right w:val="none" w:sz="0" w:space="0" w:color="auto"/>
          </w:divBdr>
        </w:div>
        <w:div w:id="1170829704">
          <w:marLeft w:val="640"/>
          <w:marRight w:val="0"/>
          <w:marTop w:val="0"/>
          <w:marBottom w:val="0"/>
          <w:divBdr>
            <w:top w:val="none" w:sz="0" w:space="0" w:color="auto"/>
            <w:left w:val="none" w:sz="0" w:space="0" w:color="auto"/>
            <w:bottom w:val="none" w:sz="0" w:space="0" w:color="auto"/>
            <w:right w:val="none" w:sz="0" w:space="0" w:color="auto"/>
          </w:divBdr>
        </w:div>
        <w:div w:id="544755875">
          <w:marLeft w:val="640"/>
          <w:marRight w:val="0"/>
          <w:marTop w:val="0"/>
          <w:marBottom w:val="0"/>
          <w:divBdr>
            <w:top w:val="none" w:sz="0" w:space="0" w:color="auto"/>
            <w:left w:val="none" w:sz="0" w:space="0" w:color="auto"/>
            <w:bottom w:val="none" w:sz="0" w:space="0" w:color="auto"/>
            <w:right w:val="none" w:sz="0" w:space="0" w:color="auto"/>
          </w:divBdr>
        </w:div>
        <w:div w:id="716009652">
          <w:marLeft w:val="640"/>
          <w:marRight w:val="0"/>
          <w:marTop w:val="0"/>
          <w:marBottom w:val="0"/>
          <w:divBdr>
            <w:top w:val="none" w:sz="0" w:space="0" w:color="auto"/>
            <w:left w:val="none" w:sz="0" w:space="0" w:color="auto"/>
            <w:bottom w:val="none" w:sz="0" w:space="0" w:color="auto"/>
            <w:right w:val="none" w:sz="0" w:space="0" w:color="auto"/>
          </w:divBdr>
        </w:div>
        <w:div w:id="1712025153">
          <w:marLeft w:val="640"/>
          <w:marRight w:val="0"/>
          <w:marTop w:val="0"/>
          <w:marBottom w:val="0"/>
          <w:divBdr>
            <w:top w:val="none" w:sz="0" w:space="0" w:color="auto"/>
            <w:left w:val="none" w:sz="0" w:space="0" w:color="auto"/>
            <w:bottom w:val="none" w:sz="0" w:space="0" w:color="auto"/>
            <w:right w:val="none" w:sz="0" w:space="0" w:color="auto"/>
          </w:divBdr>
        </w:div>
        <w:div w:id="1687901552">
          <w:marLeft w:val="640"/>
          <w:marRight w:val="0"/>
          <w:marTop w:val="0"/>
          <w:marBottom w:val="0"/>
          <w:divBdr>
            <w:top w:val="none" w:sz="0" w:space="0" w:color="auto"/>
            <w:left w:val="none" w:sz="0" w:space="0" w:color="auto"/>
            <w:bottom w:val="none" w:sz="0" w:space="0" w:color="auto"/>
            <w:right w:val="none" w:sz="0" w:space="0" w:color="auto"/>
          </w:divBdr>
        </w:div>
        <w:div w:id="1049648150">
          <w:marLeft w:val="640"/>
          <w:marRight w:val="0"/>
          <w:marTop w:val="0"/>
          <w:marBottom w:val="0"/>
          <w:divBdr>
            <w:top w:val="none" w:sz="0" w:space="0" w:color="auto"/>
            <w:left w:val="none" w:sz="0" w:space="0" w:color="auto"/>
            <w:bottom w:val="none" w:sz="0" w:space="0" w:color="auto"/>
            <w:right w:val="none" w:sz="0" w:space="0" w:color="auto"/>
          </w:divBdr>
        </w:div>
        <w:div w:id="1743478594">
          <w:marLeft w:val="640"/>
          <w:marRight w:val="0"/>
          <w:marTop w:val="0"/>
          <w:marBottom w:val="0"/>
          <w:divBdr>
            <w:top w:val="none" w:sz="0" w:space="0" w:color="auto"/>
            <w:left w:val="none" w:sz="0" w:space="0" w:color="auto"/>
            <w:bottom w:val="none" w:sz="0" w:space="0" w:color="auto"/>
            <w:right w:val="none" w:sz="0" w:space="0" w:color="auto"/>
          </w:divBdr>
        </w:div>
        <w:div w:id="31811540">
          <w:marLeft w:val="640"/>
          <w:marRight w:val="0"/>
          <w:marTop w:val="0"/>
          <w:marBottom w:val="0"/>
          <w:divBdr>
            <w:top w:val="none" w:sz="0" w:space="0" w:color="auto"/>
            <w:left w:val="none" w:sz="0" w:space="0" w:color="auto"/>
            <w:bottom w:val="none" w:sz="0" w:space="0" w:color="auto"/>
            <w:right w:val="none" w:sz="0" w:space="0" w:color="auto"/>
          </w:divBdr>
        </w:div>
        <w:div w:id="1449619740">
          <w:marLeft w:val="640"/>
          <w:marRight w:val="0"/>
          <w:marTop w:val="0"/>
          <w:marBottom w:val="0"/>
          <w:divBdr>
            <w:top w:val="none" w:sz="0" w:space="0" w:color="auto"/>
            <w:left w:val="none" w:sz="0" w:space="0" w:color="auto"/>
            <w:bottom w:val="none" w:sz="0" w:space="0" w:color="auto"/>
            <w:right w:val="none" w:sz="0" w:space="0" w:color="auto"/>
          </w:divBdr>
        </w:div>
        <w:div w:id="1617173508">
          <w:marLeft w:val="640"/>
          <w:marRight w:val="0"/>
          <w:marTop w:val="0"/>
          <w:marBottom w:val="0"/>
          <w:divBdr>
            <w:top w:val="none" w:sz="0" w:space="0" w:color="auto"/>
            <w:left w:val="none" w:sz="0" w:space="0" w:color="auto"/>
            <w:bottom w:val="none" w:sz="0" w:space="0" w:color="auto"/>
            <w:right w:val="none" w:sz="0" w:space="0" w:color="auto"/>
          </w:divBdr>
        </w:div>
        <w:div w:id="1373378907">
          <w:marLeft w:val="640"/>
          <w:marRight w:val="0"/>
          <w:marTop w:val="0"/>
          <w:marBottom w:val="0"/>
          <w:divBdr>
            <w:top w:val="none" w:sz="0" w:space="0" w:color="auto"/>
            <w:left w:val="none" w:sz="0" w:space="0" w:color="auto"/>
            <w:bottom w:val="none" w:sz="0" w:space="0" w:color="auto"/>
            <w:right w:val="none" w:sz="0" w:space="0" w:color="auto"/>
          </w:divBdr>
        </w:div>
        <w:div w:id="977563524">
          <w:marLeft w:val="640"/>
          <w:marRight w:val="0"/>
          <w:marTop w:val="0"/>
          <w:marBottom w:val="0"/>
          <w:divBdr>
            <w:top w:val="none" w:sz="0" w:space="0" w:color="auto"/>
            <w:left w:val="none" w:sz="0" w:space="0" w:color="auto"/>
            <w:bottom w:val="none" w:sz="0" w:space="0" w:color="auto"/>
            <w:right w:val="none" w:sz="0" w:space="0" w:color="auto"/>
          </w:divBdr>
        </w:div>
        <w:div w:id="918245728">
          <w:marLeft w:val="640"/>
          <w:marRight w:val="0"/>
          <w:marTop w:val="0"/>
          <w:marBottom w:val="0"/>
          <w:divBdr>
            <w:top w:val="none" w:sz="0" w:space="0" w:color="auto"/>
            <w:left w:val="none" w:sz="0" w:space="0" w:color="auto"/>
            <w:bottom w:val="none" w:sz="0" w:space="0" w:color="auto"/>
            <w:right w:val="none" w:sz="0" w:space="0" w:color="auto"/>
          </w:divBdr>
        </w:div>
        <w:div w:id="2035381712">
          <w:marLeft w:val="640"/>
          <w:marRight w:val="0"/>
          <w:marTop w:val="0"/>
          <w:marBottom w:val="0"/>
          <w:divBdr>
            <w:top w:val="none" w:sz="0" w:space="0" w:color="auto"/>
            <w:left w:val="none" w:sz="0" w:space="0" w:color="auto"/>
            <w:bottom w:val="none" w:sz="0" w:space="0" w:color="auto"/>
            <w:right w:val="none" w:sz="0" w:space="0" w:color="auto"/>
          </w:divBdr>
        </w:div>
        <w:div w:id="1482387438">
          <w:marLeft w:val="640"/>
          <w:marRight w:val="0"/>
          <w:marTop w:val="0"/>
          <w:marBottom w:val="0"/>
          <w:divBdr>
            <w:top w:val="none" w:sz="0" w:space="0" w:color="auto"/>
            <w:left w:val="none" w:sz="0" w:space="0" w:color="auto"/>
            <w:bottom w:val="none" w:sz="0" w:space="0" w:color="auto"/>
            <w:right w:val="none" w:sz="0" w:space="0" w:color="auto"/>
          </w:divBdr>
        </w:div>
        <w:div w:id="665943089">
          <w:marLeft w:val="640"/>
          <w:marRight w:val="0"/>
          <w:marTop w:val="0"/>
          <w:marBottom w:val="0"/>
          <w:divBdr>
            <w:top w:val="none" w:sz="0" w:space="0" w:color="auto"/>
            <w:left w:val="none" w:sz="0" w:space="0" w:color="auto"/>
            <w:bottom w:val="none" w:sz="0" w:space="0" w:color="auto"/>
            <w:right w:val="none" w:sz="0" w:space="0" w:color="auto"/>
          </w:divBdr>
        </w:div>
        <w:div w:id="217328809">
          <w:marLeft w:val="640"/>
          <w:marRight w:val="0"/>
          <w:marTop w:val="0"/>
          <w:marBottom w:val="0"/>
          <w:divBdr>
            <w:top w:val="none" w:sz="0" w:space="0" w:color="auto"/>
            <w:left w:val="none" w:sz="0" w:space="0" w:color="auto"/>
            <w:bottom w:val="none" w:sz="0" w:space="0" w:color="auto"/>
            <w:right w:val="none" w:sz="0" w:space="0" w:color="auto"/>
          </w:divBdr>
        </w:div>
        <w:div w:id="1773865984">
          <w:marLeft w:val="640"/>
          <w:marRight w:val="0"/>
          <w:marTop w:val="0"/>
          <w:marBottom w:val="0"/>
          <w:divBdr>
            <w:top w:val="none" w:sz="0" w:space="0" w:color="auto"/>
            <w:left w:val="none" w:sz="0" w:space="0" w:color="auto"/>
            <w:bottom w:val="none" w:sz="0" w:space="0" w:color="auto"/>
            <w:right w:val="none" w:sz="0" w:space="0" w:color="auto"/>
          </w:divBdr>
        </w:div>
        <w:div w:id="1961841094">
          <w:marLeft w:val="640"/>
          <w:marRight w:val="0"/>
          <w:marTop w:val="0"/>
          <w:marBottom w:val="0"/>
          <w:divBdr>
            <w:top w:val="none" w:sz="0" w:space="0" w:color="auto"/>
            <w:left w:val="none" w:sz="0" w:space="0" w:color="auto"/>
            <w:bottom w:val="none" w:sz="0" w:space="0" w:color="auto"/>
            <w:right w:val="none" w:sz="0" w:space="0" w:color="auto"/>
          </w:divBdr>
        </w:div>
        <w:div w:id="1201892774">
          <w:marLeft w:val="640"/>
          <w:marRight w:val="0"/>
          <w:marTop w:val="0"/>
          <w:marBottom w:val="0"/>
          <w:divBdr>
            <w:top w:val="none" w:sz="0" w:space="0" w:color="auto"/>
            <w:left w:val="none" w:sz="0" w:space="0" w:color="auto"/>
            <w:bottom w:val="none" w:sz="0" w:space="0" w:color="auto"/>
            <w:right w:val="none" w:sz="0" w:space="0" w:color="auto"/>
          </w:divBdr>
        </w:div>
        <w:div w:id="481429126">
          <w:marLeft w:val="640"/>
          <w:marRight w:val="0"/>
          <w:marTop w:val="0"/>
          <w:marBottom w:val="0"/>
          <w:divBdr>
            <w:top w:val="none" w:sz="0" w:space="0" w:color="auto"/>
            <w:left w:val="none" w:sz="0" w:space="0" w:color="auto"/>
            <w:bottom w:val="none" w:sz="0" w:space="0" w:color="auto"/>
            <w:right w:val="none" w:sz="0" w:space="0" w:color="auto"/>
          </w:divBdr>
        </w:div>
        <w:div w:id="1261643278">
          <w:marLeft w:val="640"/>
          <w:marRight w:val="0"/>
          <w:marTop w:val="0"/>
          <w:marBottom w:val="0"/>
          <w:divBdr>
            <w:top w:val="none" w:sz="0" w:space="0" w:color="auto"/>
            <w:left w:val="none" w:sz="0" w:space="0" w:color="auto"/>
            <w:bottom w:val="none" w:sz="0" w:space="0" w:color="auto"/>
            <w:right w:val="none" w:sz="0" w:space="0" w:color="auto"/>
          </w:divBdr>
        </w:div>
        <w:div w:id="2076194262">
          <w:marLeft w:val="640"/>
          <w:marRight w:val="0"/>
          <w:marTop w:val="0"/>
          <w:marBottom w:val="0"/>
          <w:divBdr>
            <w:top w:val="none" w:sz="0" w:space="0" w:color="auto"/>
            <w:left w:val="none" w:sz="0" w:space="0" w:color="auto"/>
            <w:bottom w:val="none" w:sz="0" w:space="0" w:color="auto"/>
            <w:right w:val="none" w:sz="0" w:space="0" w:color="auto"/>
          </w:divBdr>
        </w:div>
        <w:div w:id="1538854847">
          <w:marLeft w:val="640"/>
          <w:marRight w:val="0"/>
          <w:marTop w:val="0"/>
          <w:marBottom w:val="0"/>
          <w:divBdr>
            <w:top w:val="none" w:sz="0" w:space="0" w:color="auto"/>
            <w:left w:val="none" w:sz="0" w:space="0" w:color="auto"/>
            <w:bottom w:val="none" w:sz="0" w:space="0" w:color="auto"/>
            <w:right w:val="none" w:sz="0" w:space="0" w:color="auto"/>
          </w:divBdr>
        </w:div>
        <w:div w:id="321929040">
          <w:marLeft w:val="640"/>
          <w:marRight w:val="0"/>
          <w:marTop w:val="0"/>
          <w:marBottom w:val="0"/>
          <w:divBdr>
            <w:top w:val="none" w:sz="0" w:space="0" w:color="auto"/>
            <w:left w:val="none" w:sz="0" w:space="0" w:color="auto"/>
            <w:bottom w:val="none" w:sz="0" w:space="0" w:color="auto"/>
            <w:right w:val="none" w:sz="0" w:space="0" w:color="auto"/>
          </w:divBdr>
        </w:div>
        <w:div w:id="1917083125">
          <w:marLeft w:val="640"/>
          <w:marRight w:val="0"/>
          <w:marTop w:val="0"/>
          <w:marBottom w:val="0"/>
          <w:divBdr>
            <w:top w:val="none" w:sz="0" w:space="0" w:color="auto"/>
            <w:left w:val="none" w:sz="0" w:space="0" w:color="auto"/>
            <w:bottom w:val="none" w:sz="0" w:space="0" w:color="auto"/>
            <w:right w:val="none" w:sz="0" w:space="0" w:color="auto"/>
          </w:divBdr>
        </w:div>
        <w:div w:id="411053570">
          <w:marLeft w:val="640"/>
          <w:marRight w:val="0"/>
          <w:marTop w:val="0"/>
          <w:marBottom w:val="0"/>
          <w:divBdr>
            <w:top w:val="none" w:sz="0" w:space="0" w:color="auto"/>
            <w:left w:val="none" w:sz="0" w:space="0" w:color="auto"/>
            <w:bottom w:val="none" w:sz="0" w:space="0" w:color="auto"/>
            <w:right w:val="none" w:sz="0" w:space="0" w:color="auto"/>
          </w:divBdr>
        </w:div>
        <w:div w:id="444034842">
          <w:marLeft w:val="640"/>
          <w:marRight w:val="0"/>
          <w:marTop w:val="0"/>
          <w:marBottom w:val="0"/>
          <w:divBdr>
            <w:top w:val="none" w:sz="0" w:space="0" w:color="auto"/>
            <w:left w:val="none" w:sz="0" w:space="0" w:color="auto"/>
            <w:bottom w:val="none" w:sz="0" w:space="0" w:color="auto"/>
            <w:right w:val="none" w:sz="0" w:space="0" w:color="auto"/>
          </w:divBdr>
        </w:div>
        <w:div w:id="1355839699">
          <w:marLeft w:val="640"/>
          <w:marRight w:val="0"/>
          <w:marTop w:val="0"/>
          <w:marBottom w:val="0"/>
          <w:divBdr>
            <w:top w:val="none" w:sz="0" w:space="0" w:color="auto"/>
            <w:left w:val="none" w:sz="0" w:space="0" w:color="auto"/>
            <w:bottom w:val="none" w:sz="0" w:space="0" w:color="auto"/>
            <w:right w:val="none" w:sz="0" w:space="0" w:color="auto"/>
          </w:divBdr>
        </w:div>
        <w:div w:id="1906602412">
          <w:marLeft w:val="640"/>
          <w:marRight w:val="0"/>
          <w:marTop w:val="0"/>
          <w:marBottom w:val="0"/>
          <w:divBdr>
            <w:top w:val="none" w:sz="0" w:space="0" w:color="auto"/>
            <w:left w:val="none" w:sz="0" w:space="0" w:color="auto"/>
            <w:bottom w:val="none" w:sz="0" w:space="0" w:color="auto"/>
            <w:right w:val="none" w:sz="0" w:space="0" w:color="auto"/>
          </w:divBdr>
        </w:div>
        <w:div w:id="72941988">
          <w:marLeft w:val="640"/>
          <w:marRight w:val="0"/>
          <w:marTop w:val="0"/>
          <w:marBottom w:val="0"/>
          <w:divBdr>
            <w:top w:val="none" w:sz="0" w:space="0" w:color="auto"/>
            <w:left w:val="none" w:sz="0" w:space="0" w:color="auto"/>
            <w:bottom w:val="none" w:sz="0" w:space="0" w:color="auto"/>
            <w:right w:val="none" w:sz="0" w:space="0" w:color="auto"/>
          </w:divBdr>
        </w:div>
        <w:div w:id="1785228455">
          <w:marLeft w:val="640"/>
          <w:marRight w:val="0"/>
          <w:marTop w:val="0"/>
          <w:marBottom w:val="0"/>
          <w:divBdr>
            <w:top w:val="none" w:sz="0" w:space="0" w:color="auto"/>
            <w:left w:val="none" w:sz="0" w:space="0" w:color="auto"/>
            <w:bottom w:val="none" w:sz="0" w:space="0" w:color="auto"/>
            <w:right w:val="none" w:sz="0" w:space="0" w:color="auto"/>
          </w:divBdr>
        </w:div>
        <w:div w:id="1879008276">
          <w:marLeft w:val="640"/>
          <w:marRight w:val="0"/>
          <w:marTop w:val="0"/>
          <w:marBottom w:val="0"/>
          <w:divBdr>
            <w:top w:val="none" w:sz="0" w:space="0" w:color="auto"/>
            <w:left w:val="none" w:sz="0" w:space="0" w:color="auto"/>
            <w:bottom w:val="none" w:sz="0" w:space="0" w:color="auto"/>
            <w:right w:val="none" w:sz="0" w:space="0" w:color="auto"/>
          </w:divBdr>
        </w:div>
        <w:div w:id="2062514943">
          <w:marLeft w:val="640"/>
          <w:marRight w:val="0"/>
          <w:marTop w:val="0"/>
          <w:marBottom w:val="0"/>
          <w:divBdr>
            <w:top w:val="none" w:sz="0" w:space="0" w:color="auto"/>
            <w:left w:val="none" w:sz="0" w:space="0" w:color="auto"/>
            <w:bottom w:val="none" w:sz="0" w:space="0" w:color="auto"/>
            <w:right w:val="none" w:sz="0" w:space="0" w:color="auto"/>
          </w:divBdr>
        </w:div>
        <w:div w:id="854920060">
          <w:marLeft w:val="640"/>
          <w:marRight w:val="0"/>
          <w:marTop w:val="0"/>
          <w:marBottom w:val="0"/>
          <w:divBdr>
            <w:top w:val="none" w:sz="0" w:space="0" w:color="auto"/>
            <w:left w:val="none" w:sz="0" w:space="0" w:color="auto"/>
            <w:bottom w:val="none" w:sz="0" w:space="0" w:color="auto"/>
            <w:right w:val="none" w:sz="0" w:space="0" w:color="auto"/>
          </w:divBdr>
        </w:div>
        <w:div w:id="309603431">
          <w:marLeft w:val="640"/>
          <w:marRight w:val="0"/>
          <w:marTop w:val="0"/>
          <w:marBottom w:val="0"/>
          <w:divBdr>
            <w:top w:val="none" w:sz="0" w:space="0" w:color="auto"/>
            <w:left w:val="none" w:sz="0" w:space="0" w:color="auto"/>
            <w:bottom w:val="none" w:sz="0" w:space="0" w:color="auto"/>
            <w:right w:val="none" w:sz="0" w:space="0" w:color="auto"/>
          </w:divBdr>
        </w:div>
        <w:div w:id="132598859">
          <w:marLeft w:val="640"/>
          <w:marRight w:val="0"/>
          <w:marTop w:val="0"/>
          <w:marBottom w:val="0"/>
          <w:divBdr>
            <w:top w:val="none" w:sz="0" w:space="0" w:color="auto"/>
            <w:left w:val="none" w:sz="0" w:space="0" w:color="auto"/>
            <w:bottom w:val="none" w:sz="0" w:space="0" w:color="auto"/>
            <w:right w:val="none" w:sz="0" w:space="0" w:color="auto"/>
          </w:divBdr>
        </w:div>
        <w:div w:id="1901623943">
          <w:marLeft w:val="640"/>
          <w:marRight w:val="0"/>
          <w:marTop w:val="0"/>
          <w:marBottom w:val="0"/>
          <w:divBdr>
            <w:top w:val="none" w:sz="0" w:space="0" w:color="auto"/>
            <w:left w:val="none" w:sz="0" w:space="0" w:color="auto"/>
            <w:bottom w:val="none" w:sz="0" w:space="0" w:color="auto"/>
            <w:right w:val="none" w:sz="0" w:space="0" w:color="auto"/>
          </w:divBdr>
        </w:div>
        <w:div w:id="1179614941">
          <w:marLeft w:val="640"/>
          <w:marRight w:val="0"/>
          <w:marTop w:val="0"/>
          <w:marBottom w:val="0"/>
          <w:divBdr>
            <w:top w:val="none" w:sz="0" w:space="0" w:color="auto"/>
            <w:left w:val="none" w:sz="0" w:space="0" w:color="auto"/>
            <w:bottom w:val="none" w:sz="0" w:space="0" w:color="auto"/>
            <w:right w:val="none" w:sz="0" w:space="0" w:color="auto"/>
          </w:divBdr>
        </w:div>
        <w:div w:id="78646892">
          <w:marLeft w:val="640"/>
          <w:marRight w:val="0"/>
          <w:marTop w:val="0"/>
          <w:marBottom w:val="0"/>
          <w:divBdr>
            <w:top w:val="none" w:sz="0" w:space="0" w:color="auto"/>
            <w:left w:val="none" w:sz="0" w:space="0" w:color="auto"/>
            <w:bottom w:val="none" w:sz="0" w:space="0" w:color="auto"/>
            <w:right w:val="none" w:sz="0" w:space="0" w:color="auto"/>
          </w:divBdr>
        </w:div>
        <w:div w:id="1107039288">
          <w:marLeft w:val="640"/>
          <w:marRight w:val="0"/>
          <w:marTop w:val="0"/>
          <w:marBottom w:val="0"/>
          <w:divBdr>
            <w:top w:val="none" w:sz="0" w:space="0" w:color="auto"/>
            <w:left w:val="none" w:sz="0" w:space="0" w:color="auto"/>
            <w:bottom w:val="none" w:sz="0" w:space="0" w:color="auto"/>
            <w:right w:val="none" w:sz="0" w:space="0" w:color="auto"/>
          </w:divBdr>
        </w:div>
        <w:div w:id="761149061">
          <w:marLeft w:val="640"/>
          <w:marRight w:val="0"/>
          <w:marTop w:val="0"/>
          <w:marBottom w:val="0"/>
          <w:divBdr>
            <w:top w:val="none" w:sz="0" w:space="0" w:color="auto"/>
            <w:left w:val="none" w:sz="0" w:space="0" w:color="auto"/>
            <w:bottom w:val="none" w:sz="0" w:space="0" w:color="auto"/>
            <w:right w:val="none" w:sz="0" w:space="0" w:color="auto"/>
          </w:divBdr>
        </w:div>
        <w:div w:id="423302437">
          <w:marLeft w:val="640"/>
          <w:marRight w:val="0"/>
          <w:marTop w:val="0"/>
          <w:marBottom w:val="0"/>
          <w:divBdr>
            <w:top w:val="none" w:sz="0" w:space="0" w:color="auto"/>
            <w:left w:val="none" w:sz="0" w:space="0" w:color="auto"/>
            <w:bottom w:val="none" w:sz="0" w:space="0" w:color="auto"/>
            <w:right w:val="none" w:sz="0" w:space="0" w:color="auto"/>
          </w:divBdr>
        </w:div>
        <w:div w:id="716977045">
          <w:marLeft w:val="640"/>
          <w:marRight w:val="0"/>
          <w:marTop w:val="0"/>
          <w:marBottom w:val="0"/>
          <w:divBdr>
            <w:top w:val="none" w:sz="0" w:space="0" w:color="auto"/>
            <w:left w:val="none" w:sz="0" w:space="0" w:color="auto"/>
            <w:bottom w:val="none" w:sz="0" w:space="0" w:color="auto"/>
            <w:right w:val="none" w:sz="0" w:space="0" w:color="auto"/>
          </w:divBdr>
        </w:div>
        <w:div w:id="2056811926">
          <w:marLeft w:val="640"/>
          <w:marRight w:val="0"/>
          <w:marTop w:val="0"/>
          <w:marBottom w:val="0"/>
          <w:divBdr>
            <w:top w:val="none" w:sz="0" w:space="0" w:color="auto"/>
            <w:left w:val="none" w:sz="0" w:space="0" w:color="auto"/>
            <w:bottom w:val="none" w:sz="0" w:space="0" w:color="auto"/>
            <w:right w:val="none" w:sz="0" w:space="0" w:color="auto"/>
          </w:divBdr>
        </w:div>
        <w:div w:id="812254174">
          <w:marLeft w:val="640"/>
          <w:marRight w:val="0"/>
          <w:marTop w:val="0"/>
          <w:marBottom w:val="0"/>
          <w:divBdr>
            <w:top w:val="none" w:sz="0" w:space="0" w:color="auto"/>
            <w:left w:val="none" w:sz="0" w:space="0" w:color="auto"/>
            <w:bottom w:val="none" w:sz="0" w:space="0" w:color="auto"/>
            <w:right w:val="none" w:sz="0" w:space="0" w:color="auto"/>
          </w:divBdr>
        </w:div>
        <w:div w:id="1568298526">
          <w:marLeft w:val="640"/>
          <w:marRight w:val="0"/>
          <w:marTop w:val="0"/>
          <w:marBottom w:val="0"/>
          <w:divBdr>
            <w:top w:val="none" w:sz="0" w:space="0" w:color="auto"/>
            <w:left w:val="none" w:sz="0" w:space="0" w:color="auto"/>
            <w:bottom w:val="none" w:sz="0" w:space="0" w:color="auto"/>
            <w:right w:val="none" w:sz="0" w:space="0" w:color="auto"/>
          </w:divBdr>
        </w:div>
        <w:div w:id="1868980516">
          <w:marLeft w:val="640"/>
          <w:marRight w:val="0"/>
          <w:marTop w:val="0"/>
          <w:marBottom w:val="0"/>
          <w:divBdr>
            <w:top w:val="none" w:sz="0" w:space="0" w:color="auto"/>
            <w:left w:val="none" w:sz="0" w:space="0" w:color="auto"/>
            <w:bottom w:val="none" w:sz="0" w:space="0" w:color="auto"/>
            <w:right w:val="none" w:sz="0" w:space="0" w:color="auto"/>
          </w:divBdr>
        </w:div>
        <w:div w:id="1313026394">
          <w:marLeft w:val="640"/>
          <w:marRight w:val="0"/>
          <w:marTop w:val="0"/>
          <w:marBottom w:val="0"/>
          <w:divBdr>
            <w:top w:val="none" w:sz="0" w:space="0" w:color="auto"/>
            <w:left w:val="none" w:sz="0" w:space="0" w:color="auto"/>
            <w:bottom w:val="none" w:sz="0" w:space="0" w:color="auto"/>
            <w:right w:val="none" w:sz="0" w:space="0" w:color="auto"/>
          </w:divBdr>
        </w:div>
        <w:div w:id="1348941667">
          <w:marLeft w:val="640"/>
          <w:marRight w:val="0"/>
          <w:marTop w:val="0"/>
          <w:marBottom w:val="0"/>
          <w:divBdr>
            <w:top w:val="none" w:sz="0" w:space="0" w:color="auto"/>
            <w:left w:val="none" w:sz="0" w:space="0" w:color="auto"/>
            <w:bottom w:val="none" w:sz="0" w:space="0" w:color="auto"/>
            <w:right w:val="none" w:sz="0" w:space="0" w:color="auto"/>
          </w:divBdr>
        </w:div>
        <w:div w:id="1519654601">
          <w:marLeft w:val="640"/>
          <w:marRight w:val="0"/>
          <w:marTop w:val="0"/>
          <w:marBottom w:val="0"/>
          <w:divBdr>
            <w:top w:val="none" w:sz="0" w:space="0" w:color="auto"/>
            <w:left w:val="none" w:sz="0" w:space="0" w:color="auto"/>
            <w:bottom w:val="none" w:sz="0" w:space="0" w:color="auto"/>
            <w:right w:val="none" w:sz="0" w:space="0" w:color="auto"/>
          </w:divBdr>
        </w:div>
        <w:div w:id="424345684">
          <w:marLeft w:val="640"/>
          <w:marRight w:val="0"/>
          <w:marTop w:val="0"/>
          <w:marBottom w:val="0"/>
          <w:divBdr>
            <w:top w:val="none" w:sz="0" w:space="0" w:color="auto"/>
            <w:left w:val="none" w:sz="0" w:space="0" w:color="auto"/>
            <w:bottom w:val="none" w:sz="0" w:space="0" w:color="auto"/>
            <w:right w:val="none" w:sz="0" w:space="0" w:color="auto"/>
          </w:divBdr>
        </w:div>
        <w:div w:id="589431030">
          <w:marLeft w:val="640"/>
          <w:marRight w:val="0"/>
          <w:marTop w:val="0"/>
          <w:marBottom w:val="0"/>
          <w:divBdr>
            <w:top w:val="none" w:sz="0" w:space="0" w:color="auto"/>
            <w:left w:val="none" w:sz="0" w:space="0" w:color="auto"/>
            <w:bottom w:val="none" w:sz="0" w:space="0" w:color="auto"/>
            <w:right w:val="none" w:sz="0" w:space="0" w:color="auto"/>
          </w:divBdr>
        </w:div>
        <w:div w:id="1795371315">
          <w:marLeft w:val="640"/>
          <w:marRight w:val="0"/>
          <w:marTop w:val="0"/>
          <w:marBottom w:val="0"/>
          <w:divBdr>
            <w:top w:val="none" w:sz="0" w:space="0" w:color="auto"/>
            <w:left w:val="none" w:sz="0" w:space="0" w:color="auto"/>
            <w:bottom w:val="none" w:sz="0" w:space="0" w:color="auto"/>
            <w:right w:val="none" w:sz="0" w:space="0" w:color="auto"/>
          </w:divBdr>
        </w:div>
        <w:div w:id="1983151710">
          <w:marLeft w:val="640"/>
          <w:marRight w:val="0"/>
          <w:marTop w:val="0"/>
          <w:marBottom w:val="0"/>
          <w:divBdr>
            <w:top w:val="none" w:sz="0" w:space="0" w:color="auto"/>
            <w:left w:val="none" w:sz="0" w:space="0" w:color="auto"/>
            <w:bottom w:val="none" w:sz="0" w:space="0" w:color="auto"/>
            <w:right w:val="none" w:sz="0" w:space="0" w:color="auto"/>
          </w:divBdr>
        </w:div>
        <w:div w:id="3829115">
          <w:marLeft w:val="640"/>
          <w:marRight w:val="0"/>
          <w:marTop w:val="0"/>
          <w:marBottom w:val="0"/>
          <w:divBdr>
            <w:top w:val="none" w:sz="0" w:space="0" w:color="auto"/>
            <w:left w:val="none" w:sz="0" w:space="0" w:color="auto"/>
            <w:bottom w:val="none" w:sz="0" w:space="0" w:color="auto"/>
            <w:right w:val="none" w:sz="0" w:space="0" w:color="auto"/>
          </w:divBdr>
        </w:div>
        <w:div w:id="1121417721">
          <w:marLeft w:val="640"/>
          <w:marRight w:val="0"/>
          <w:marTop w:val="0"/>
          <w:marBottom w:val="0"/>
          <w:divBdr>
            <w:top w:val="none" w:sz="0" w:space="0" w:color="auto"/>
            <w:left w:val="none" w:sz="0" w:space="0" w:color="auto"/>
            <w:bottom w:val="none" w:sz="0" w:space="0" w:color="auto"/>
            <w:right w:val="none" w:sz="0" w:space="0" w:color="auto"/>
          </w:divBdr>
        </w:div>
        <w:div w:id="1826434417">
          <w:marLeft w:val="640"/>
          <w:marRight w:val="0"/>
          <w:marTop w:val="0"/>
          <w:marBottom w:val="0"/>
          <w:divBdr>
            <w:top w:val="none" w:sz="0" w:space="0" w:color="auto"/>
            <w:left w:val="none" w:sz="0" w:space="0" w:color="auto"/>
            <w:bottom w:val="none" w:sz="0" w:space="0" w:color="auto"/>
            <w:right w:val="none" w:sz="0" w:space="0" w:color="auto"/>
          </w:divBdr>
        </w:div>
        <w:div w:id="1752968655">
          <w:marLeft w:val="640"/>
          <w:marRight w:val="0"/>
          <w:marTop w:val="0"/>
          <w:marBottom w:val="0"/>
          <w:divBdr>
            <w:top w:val="none" w:sz="0" w:space="0" w:color="auto"/>
            <w:left w:val="none" w:sz="0" w:space="0" w:color="auto"/>
            <w:bottom w:val="none" w:sz="0" w:space="0" w:color="auto"/>
            <w:right w:val="none" w:sz="0" w:space="0" w:color="auto"/>
          </w:divBdr>
        </w:div>
        <w:div w:id="1889294696">
          <w:marLeft w:val="640"/>
          <w:marRight w:val="0"/>
          <w:marTop w:val="0"/>
          <w:marBottom w:val="0"/>
          <w:divBdr>
            <w:top w:val="none" w:sz="0" w:space="0" w:color="auto"/>
            <w:left w:val="none" w:sz="0" w:space="0" w:color="auto"/>
            <w:bottom w:val="none" w:sz="0" w:space="0" w:color="auto"/>
            <w:right w:val="none" w:sz="0" w:space="0" w:color="auto"/>
          </w:divBdr>
        </w:div>
        <w:div w:id="232466917">
          <w:marLeft w:val="640"/>
          <w:marRight w:val="0"/>
          <w:marTop w:val="0"/>
          <w:marBottom w:val="0"/>
          <w:divBdr>
            <w:top w:val="none" w:sz="0" w:space="0" w:color="auto"/>
            <w:left w:val="none" w:sz="0" w:space="0" w:color="auto"/>
            <w:bottom w:val="none" w:sz="0" w:space="0" w:color="auto"/>
            <w:right w:val="none" w:sz="0" w:space="0" w:color="auto"/>
          </w:divBdr>
        </w:div>
        <w:div w:id="1186478686">
          <w:marLeft w:val="640"/>
          <w:marRight w:val="0"/>
          <w:marTop w:val="0"/>
          <w:marBottom w:val="0"/>
          <w:divBdr>
            <w:top w:val="none" w:sz="0" w:space="0" w:color="auto"/>
            <w:left w:val="none" w:sz="0" w:space="0" w:color="auto"/>
            <w:bottom w:val="none" w:sz="0" w:space="0" w:color="auto"/>
            <w:right w:val="none" w:sz="0" w:space="0" w:color="auto"/>
          </w:divBdr>
        </w:div>
        <w:div w:id="1335381128">
          <w:marLeft w:val="640"/>
          <w:marRight w:val="0"/>
          <w:marTop w:val="0"/>
          <w:marBottom w:val="0"/>
          <w:divBdr>
            <w:top w:val="none" w:sz="0" w:space="0" w:color="auto"/>
            <w:left w:val="none" w:sz="0" w:space="0" w:color="auto"/>
            <w:bottom w:val="none" w:sz="0" w:space="0" w:color="auto"/>
            <w:right w:val="none" w:sz="0" w:space="0" w:color="auto"/>
          </w:divBdr>
        </w:div>
      </w:divsChild>
    </w:div>
    <w:div w:id="871694724">
      <w:bodyDiv w:val="1"/>
      <w:marLeft w:val="0"/>
      <w:marRight w:val="0"/>
      <w:marTop w:val="0"/>
      <w:marBottom w:val="0"/>
      <w:divBdr>
        <w:top w:val="none" w:sz="0" w:space="0" w:color="auto"/>
        <w:left w:val="none" w:sz="0" w:space="0" w:color="auto"/>
        <w:bottom w:val="none" w:sz="0" w:space="0" w:color="auto"/>
        <w:right w:val="none" w:sz="0" w:space="0" w:color="auto"/>
      </w:divBdr>
      <w:divsChild>
        <w:div w:id="1152675891">
          <w:marLeft w:val="640"/>
          <w:marRight w:val="0"/>
          <w:marTop w:val="0"/>
          <w:marBottom w:val="0"/>
          <w:divBdr>
            <w:top w:val="none" w:sz="0" w:space="0" w:color="auto"/>
            <w:left w:val="none" w:sz="0" w:space="0" w:color="auto"/>
            <w:bottom w:val="none" w:sz="0" w:space="0" w:color="auto"/>
            <w:right w:val="none" w:sz="0" w:space="0" w:color="auto"/>
          </w:divBdr>
        </w:div>
        <w:div w:id="1838612711">
          <w:marLeft w:val="640"/>
          <w:marRight w:val="0"/>
          <w:marTop w:val="0"/>
          <w:marBottom w:val="0"/>
          <w:divBdr>
            <w:top w:val="none" w:sz="0" w:space="0" w:color="auto"/>
            <w:left w:val="none" w:sz="0" w:space="0" w:color="auto"/>
            <w:bottom w:val="none" w:sz="0" w:space="0" w:color="auto"/>
            <w:right w:val="none" w:sz="0" w:space="0" w:color="auto"/>
          </w:divBdr>
        </w:div>
        <w:div w:id="901257732">
          <w:marLeft w:val="640"/>
          <w:marRight w:val="0"/>
          <w:marTop w:val="0"/>
          <w:marBottom w:val="0"/>
          <w:divBdr>
            <w:top w:val="none" w:sz="0" w:space="0" w:color="auto"/>
            <w:left w:val="none" w:sz="0" w:space="0" w:color="auto"/>
            <w:bottom w:val="none" w:sz="0" w:space="0" w:color="auto"/>
            <w:right w:val="none" w:sz="0" w:space="0" w:color="auto"/>
          </w:divBdr>
        </w:div>
        <w:div w:id="292639396">
          <w:marLeft w:val="640"/>
          <w:marRight w:val="0"/>
          <w:marTop w:val="0"/>
          <w:marBottom w:val="0"/>
          <w:divBdr>
            <w:top w:val="none" w:sz="0" w:space="0" w:color="auto"/>
            <w:left w:val="none" w:sz="0" w:space="0" w:color="auto"/>
            <w:bottom w:val="none" w:sz="0" w:space="0" w:color="auto"/>
            <w:right w:val="none" w:sz="0" w:space="0" w:color="auto"/>
          </w:divBdr>
        </w:div>
        <w:div w:id="79447783">
          <w:marLeft w:val="640"/>
          <w:marRight w:val="0"/>
          <w:marTop w:val="0"/>
          <w:marBottom w:val="0"/>
          <w:divBdr>
            <w:top w:val="none" w:sz="0" w:space="0" w:color="auto"/>
            <w:left w:val="none" w:sz="0" w:space="0" w:color="auto"/>
            <w:bottom w:val="none" w:sz="0" w:space="0" w:color="auto"/>
            <w:right w:val="none" w:sz="0" w:space="0" w:color="auto"/>
          </w:divBdr>
        </w:div>
        <w:div w:id="884485803">
          <w:marLeft w:val="640"/>
          <w:marRight w:val="0"/>
          <w:marTop w:val="0"/>
          <w:marBottom w:val="0"/>
          <w:divBdr>
            <w:top w:val="none" w:sz="0" w:space="0" w:color="auto"/>
            <w:left w:val="none" w:sz="0" w:space="0" w:color="auto"/>
            <w:bottom w:val="none" w:sz="0" w:space="0" w:color="auto"/>
            <w:right w:val="none" w:sz="0" w:space="0" w:color="auto"/>
          </w:divBdr>
        </w:div>
        <w:div w:id="1699044194">
          <w:marLeft w:val="640"/>
          <w:marRight w:val="0"/>
          <w:marTop w:val="0"/>
          <w:marBottom w:val="0"/>
          <w:divBdr>
            <w:top w:val="none" w:sz="0" w:space="0" w:color="auto"/>
            <w:left w:val="none" w:sz="0" w:space="0" w:color="auto"/>
            <w:bottom w:val="none" w:sz="0" w:space="0" w:color="auto"/>
            <w:right w:val="none" w:sz="0" w:space="0" w:color="auto"/>
          </w:divBdr>
        </w:div>
        <w:div w:id="1384450786">
          <w:marLeft w:val="640"/>
          <w:marRight w:val="0"/>
          <w:marTop w:val="0"/>
          <w:marBottom w:val="0"/>
          <w:divBdr>
            <w:top w:val="none" w:sz="0" w:space="0" w:color="auto"/>
            <w:left w:val="none" w:sz="0" w:space="0" w:color="auto"/>
            <w:bottom w:val="none" w:sz="0" w:space="0" w:color="auto"/>
            <w:right w:val="none" w:sz="0" w:space="0" w:color="auto"/>
          </w:divBdr>
        </w:div>
        <w:div w:id="2060861650">
          <w:marLeft w:val="640"/>
          <w:marRight w:val="0"/>
          <w:marTop w:val="0"/>
          <w:marBottom w:val="0"/>
          <w:divBdr>
            <w:top w:val="none" w:sz="0" w:space="0" w:color="auto"/>
            <w:left w:val="none" w:sz="0" w:space="0" w:color="auto"/>
            <w:bottom w:val="none" w:sz="0" w:space="0" w:color="auto"/>
            <w:right w:val="none" w:sz="0" w:space="0" w:color="auto"/>
          </w:divBdr>
        </w:div>
        <w:div w:id="1350839350">
          <w:marLeft w:val="640"/>
          <w:marRight w:val="0"/>
          <w:marTop w:val="0"/>
          <w:marBottom w:val="0"/>
          <w:divBdr>
            <w:top w:val="none" w:sz="0" w:space="0" w:color="auto"/>
            <w:left w:val="none" w:sz="0" w:space="0" w:color="auto"/>
            <w:bottom w:val="none" w:sz="0" w:space="0" w:color="auto"/>
            <w:right w:val="none" w:sz="0" w:space="0" w:color="auto"/>
          </w:divBdr>
        </w:div>
        <w:div w:id="579406226">
          <w:marLeft w:val="640"/>
          <w:marRight w:val="0"/>
          <w:marTop w:val="0"/>
          <w:marBottom w:val="0"/>
          <w:divBdr>
            <w:top w:val="none" w:sz="0" w:space="0" w:color="auto"/>
            <w:left w:val="none" w:sz="0" w:space="0" w:color="auto"/>
            <w:bottom w:val="none" w:sz="0" w:space="0" w:color="auto"/>
            <w:right w:val="none" w:sz="0" w:space="0" w:color="auto"/>
          </w:divBdr>
        </w:div>
        <w:div w:id="757795705">
          <w:marLeft w:val="640"/>
          <w:marRight w:val="0"/>
          <w:marTop w:val="0"/>
          <w:marBottom w:val="0"/>
          <w:divBdr>
            <w:top w:val="none" w:sz="0" w:space="0" w:color="auto"/>
            <w:left w:val="none" w:sz="0" w:space="0" w:color="auto"/>
            <w:bottom w:val="none" w:sz="0" w:space="0" w:color="auto"/>
            <w:right w:val="none" w:sz="0" w:space="0" w:color="auto"/>
          </w:divBdr>
        </w:div>
        <w:div w:id="838345899">
          <w:marLeft w:val="640"/>
          <w:marRight w:val="0"/>
          <w:marTop w:val="0"/>
          <w:marBottom w:val="0"/>
          <w:divBdr>
            <w:top w:val="none" w:sz="0" w:space="0" w:color="auto"/>
            <w:left w:val="none" w:sz="0" w:space="0" w:color="auto"/>
            <w:bottom w:val="none" w:sz="0" w:space="0" w:color="auto"/>
            <w:right w:val="none" w:sz="0" w:space="0" w:color="auto"/>
          </w:divBdr>
        </w:div>
        <w:div w:id="1062756128">
          <w:marLeft w:val="640"/>
          <w:marRight w:val="0"/>
          <w:marTop w:val="0"/>
          <w:marBottom w:val="0"/>
          <w:divBdr>
            <w:top w:val="none" w:sz="0" w:space="0" w:color="auto"/>
            <w:left w:val="none" w:sz="0" w:space="0" w:color="auto"/>
            <w:bottom w:val="none" w:sz="0" w:space="0" w:color="auto"/>
            <w:right w:val="none" w:sz="0" w:space="0" w:color="auto"/>
          </w:divBdr>
        </w:div>
        <w:div w:id="1699895019">
          <w:marLeft w:val="640"/>
          <w:marRight w:val="0"/>
          <w:marTop w:val="0"/>
          <w:marBottom w:val="0"/>
          <w:divBdr>
            <w:top w:val="none" w:sz="0" w:space="0" w:color="auto"/>
            <w:left w:val="none" w:sz="0" w:space="0" w:color="auto"/>
            <w:bottom w:val="none" w:sz="0" w:space="0" w:color="auto"/>
            <w:right w:val="none" w:sz="0" w:space="0" w:color="auto"/>
          </w:divBdr>
        </w:div>
        <w:div w:id="706486889">
          <w:marLeft w:val="640"/>
          <w:marRight w:val="0"/>
          <w:marTop w:val="0"/>
          <w:marBottom w:val="0"/>
          <w:divBdr>
            <w:top w:val="none" w:sz="0" w:space="0" w:color="auto"/>
            <w:left w:val="none" w:sz="0" w:space="0" w:color="auto"/>
            <w:bottom w:val="none" w:sz="0" w:space="0" w:color="auto"/>
            <w:right w:val="none" w:sz="0" w:space="0" w:color="auto"/>
          </w:divBdr>
        </w:div>
        <w:div w:id="731657130">
          <w:marLeft w:val="640"/>
          <w:marRight w:val="0"/>
          <w:marTop w:val="0"/>
          <w:marBottom w:val="0"/>
          <w:divBdr>
            <w:top w:val="none" w:sz="0" w:space="0" w:color="auto"/>
            <w:left w:val="none" w:sz="0" w:space="0" w:color="auto"/>
            <w:bottom w:val="none" w:sz="0" w:space="0" w:color="auto"/>
            <w:right w:val="none" w:sz="0" w:space="0" w:color="auto"/>
          </w:divBdr>
        </w:div>
        <w:div w:id="250354620">
          <w:marLeft w:val="640"/>
          <w:marRight w:val="0"/>
          <w:marTop w:val="0"/>
          <w:marBottom w:val="0"/>
          <w:divBdr>
            <w:top w:val="none" w:sz="0" w:space="0" w:color="auto"/>
            <w:left w:val="none" w:sz="0" w:space="0" w:color="auto"/>
            <w:bottom w:val="none" w:sz="0" w:space="0" w:color="auto"/>
            <w:right w:val="none" w:sz="0" w:space="0" w:color="auto"/>
          </w:divBdr>
        </w:div>
        <w:div w:id="271207680">
          <w:marLeft w:val="640"/>
          <w:marRight w:val="0"/>
          <w:marTop w:val="0"/>
          <w:marBottom w:val="0"/>
          <w:divBdr>
            <w:top w:val="none" w:sz="0" w:space="0" w:color="auto"/>
            <w:left w:val="none" w:sz="0" w:space="0" w:color="auto"/>
            <w:bottom w:val="none" w:sz="0" w:space="0" w:color="auto"/>
            <w:right w:val="none" w:sz="0" w:space="0" w:color="auto"/>
          </w:divBdr>
        </w:div>
        <w:div w:id="556820918">
          <w:marLeft w:val="640"/>
          <w:marRight w:val="0"/>
          <w:marTop w:val="0"/>
          <w:marBottom w:val="0"/>
          <w:divBdr>
            <w:top w:val="none" w:sz="0" w:space="0" w:color="auto"/>
            <w:left w:val="none" w:sz="0" w:space="0" w:color="auto"/>
            <w:bottom w:val="none" w:sz="0" w:space="0" w:color="auto"/>
            <w:right w:val="none" w:sz="0" w:space="0" w:color="auto"/>
          </w:divBdr>
        </w:div>
        <w:div w:id="33241427">
          <w:marLeft w:val="640"/>
          <w:marRight w:val="0"/>
          <w:marTop w:val="0"/>
          <w:marBottom w:val="0"/>
          <w:divBdr>
            <w:top w:val="none" w:sz="0" w:space="0" w:color="auto"/>
            <w:left w:val="none" w:sz="0" w:space="0" w:color="auto"/>
            <w:bottom w:val="none" w:sz="0" w:space="0" w:color="auto"/>
            <w:right w:val="none" w:sz="0" w:space="0" w:color="auto"/>
          </w:divBdr>
        </w:div>
        <w:div w:id="1241912849">
          <w:marLeft w:val="640"/>
          <w:marRight w:val="0"/>
          <w:marTop w:val="0"/>
          <w:marBottom w:val="0"/>
          <w:divBdr>
            <w:top w:val="none" w:sz="0" w:space="0" w:color="auto"/>
            <w:left w:val="none" w:sz="0" w:space="0" w:color="auto"/>
            <w:bottom w:val="none" w:sz="0" w:space="0" w:color="auto"/>
            <w:right w:val="none" w:sz="0" w:space="0" w:color="auto"/>
          </w:divBdr>
        </w:div>
        <w:div w:id="633172322">
          <w:marLeft w:val="640"/>
          <w:marRight w:val="0"/>
          <w:marTop w:val="0"/>
          <w:marBottom w:val="0"/>
          <w:divBdr>
            <w:top w:val="none" w:sz="0" w:space="0" w:color="auto"/>
            <w:left w:val="none" w:sz="0" w:space="0" w:color="auto"/>
            <w:bottom w:val="none" w:sz="0" w:space="0" w:color="auto"/>
            <w:right w:val="none" w:sz="0" w:space="0" w:color="auto"/>
          </w:divBdr>
        </w:div>
        <w:div w:id="1658654910">
          <w:marLeft w:val="640"/>
          <w:marRight w:val="0"/>
          <w:marTop w:val="0"/>
          <w:marBottom w:val="0"/>
          <w:divBdr>
            <w:top w:val="none" w:sz="0" w:space="0" w:color="auto"/>
            <w:left w:val="none" w:sz="0" w:space="0" w:color="auto"/>
            <w:bottom w:val="none" w:sz="0" w:space="0" w:color="auto"/>
            <w:right w:val="none" w:sz="0" w:space="0" w:color="auto"/>
          </w:divBdr>
        </w:div>
        <w:div w:id="1433474624">
          <w:marLeft w:val="640"/>
          <w:marRight w:val="0"/>
          <w:marTop w:val="0"/>
          <w:marBottom w:val="0"/>
          <w:divBdr>
            <w:top w:val="none" w:sz="0" w:space="0" w:color="auto"/>
            <w:left w:val="none" w:sz="0" w:space="0" w:color="auto"/>
            <w:bottom w:val="none" w:sz="0" w:space="0" w:color="auto"/>
            <w:right w:val="none" w:sz="0" w:space="0" w:color="auto"/>
          </w:divBdr>
        </w:div>
        <w:div w:id="408158329">
          <w:marLeft w:val="640"/>
          <w:marRight w:val="0"/>
          <w:marTop w:val="0"/>
          <w:marBottom w:val="0"/>
          <w:divBdr>
            <w:top w:val="none" w:sz="0" w:space="0" w:color="auto"/>
            <w:left w:val="none" w:sz="0" w:space="0" w:color="auto"/>
            <w:bottom w:val="none" w:sz="0" w:space="0" w:color="auto"/>
            <w:right w:val="none" w:sz="0" w:space="0" w:color="auto"/>
          </w:divBdr>
        </w:div>
        <w:div w:id="953093615">
          <w:marLeft w:val="640"/>
          <w:marRight w:val="0"/>
          <w:marTop w:val="0"/>
          <w:marBottom w:val="0"/>
          <w:divBdr>
            <w:top w:val="none" w:sz="0" w:space="0" w:color="auto"/>
            <w:left w:val="none" w:sz="0" w:space="0" w:color="auto"/>
            <w:bottom w:val="none" w:sz="0" w:space="0" w:color="auto"/>
            <w:right w:val="none" w:sz="0" w:space="0" w:color="auto"/>
          </w:divBdr>
        </w:div>
        <w:div w:id="430247171">
          <w:marLeft w:val="640"/>
          <w:marRight w:val="0"/>
          <w:marTop w:val="0"/>
          <w:marBottom w:val="0"/>
          <w:divBdr>
            <w:top w:val="none" w:sz="0" w:space="0" w:color="auto"/>
            <w:left w:val="none" w:sz="0" w:space="0" w:color="auto"/>
            <w:bottom w:val="none" w:sz="0" w:space="0" w:color="auto"/>
            <w:right w:val="none" w:sz="0" w:space="0" w:color="auto"/>
          </w:divBdr>
        </w:div>
        <w:div w:id="887106980">
          <w:marLeft w:val="640"/>
          <w:marRight w:val="0"/>
          <w:marTop w:val="0"/>
          <w:marBottom w:val="0"/>
          <w:divBdr>
            <w:top w:val="none" w:sz="0" w:space="0" w:color="auto"/>
            <w:left w:val="none" w:sz="0" w:space="0" w:color="auto"/>
            <w:bottom w:val="none" w:sz="0" w:space="0" w:color="auto"/>
            <w:right w:val="none" w:sz="0" w:space="0" w:color="auto"/>
          </w:divBdr>
        </w:div>
        <w:div w:id="161819243">
          <w:marLeft w:val="640"/>
          <w:marRight w:val="0"/>
          <w:marTop w:val="0"/>
          <w:marBottom w:val="0"/>
          <w:divBdr>
            <w:top w:val="none" w:sz="0" w:space="0" w:color="auto"/>
            <w:left w:val="none" w:sz="0" w:space="0" w:color="auto"/>
            <w:bottom w:val="none" w:sz="0" w:space="0" w:color="auto"/>
            <w:right w:val="none" w:sz="0" w:space="0" w:color="auto"/>
          </w:divBdr>
        </w:div>
        <w:div w:id="1716540059">
          <w:marLeft w:val="640"/>
          <w:marRight w:val="0"/>
          <w:marTop w:val="0"/>
          <w:marBottom w:val="0"/>
          <w:divBdr>
            <w:top w:val="none" w:sz="0" w:space="0" w:color="auto"/>
            <w:left w:val="none" w:sz="0" w:space="0" w:color="auto"/>
            <w:bottom w:val="none" w:sz="0" w:space="0" w:color="auto"/>
            <w:right w:val="none" w:sz="0" w:space="0" w:color="auto"/>
          </w:divBdr>
        </w:div>
        <w:div w:id="855343029">
          <w:marLeft w:val="640"/>
          <w:marRight w:val="0"/>
          <w:marTop w:val="0"/>
          <w:marBottom w:val="0"/>
          <w:divBdr>
            <w:top w:val="none" w:sz="0" w:space="0" w:color="auto"/>
            <w:left w:val="none" w:sz="0" w:space="0" w:color="auto"/>
            <w:bottom w:val="none" w:sz="0" w:space="0" w:color="auto"/>
            <w:right w:val="none" w:sz="0" w:space="0" w:color="auto"/>
          </w:divBdr>
        </w:div>
        <w:div w:id="2128694567">
          <w:marLeft w:val="640"/>
          <w:marRight w:val="0"/>
          <w:marTop w:val="0"/>
          <w:marBottom w:val="0"/>
          <w:divBdr>
            <w:top w:val="none" w:sz="0" w:space="0" w:color="auto"/>
            <w:left w:val="none" w:sz="0" w:space="0" w:color="auto"/>
            <w:bottom w:val="none" w:sz="0" w:space="0" w:color="auto"/>
            <w:right w:val="none" w:sz="0" w:space="0" w:color="auto"/>
          </w:divBdr>
        </w:div>
        <w:div w:id="1979608517">
          <w:marLeft w:val="640"/>
          <w:marRight w:val="0"/>
          <w:marTop w:val="0"/>
          <w:marBottom w:val="0"/>
          <w:divBdr>
            <w:top w:val="none" w:sz="0" w:space="0" w:color="auto"/>
            <w:left w:val="none" w:sz="0" w:space="0" w:color="auto"/>
            <w:bottom w:val="none" w:sz="0" w:space="0" w:color="auto"/>
            <w:right w:val="none" w:sz="0" w:space="0" w:color="auto"/>
          </w:divBdr>
        </w:div>
        <w:div w:id="1113472792">
          <w:marLeft w:val="640"/>
          <w:marRight w:val="0"/>
          <w:marTop w:val="0"/>
          <w:marBottom w:val="0"/>
          <w:divBdr>
            <w:top w:val="none" w:sz="0" w:space="0" w:color="auto"/>
            <w:left w:val="none" w:sz="0" w:space="0" w:color="auto"/>
            <w:bottom w:val="none" w:sz="0" w:space="0" w:color="auto"/>
            <w:right w:val="none" w:sz="0" w:space="0" w:color="auto"/>
          </w:divBdr>
        </w:div>
        <w:div w:id="535509539">
          <w:marLeft w:val="640"/>
          <w:marRight w:val="0"/>
          <w:marTop w:val="0"/>
          <w:marBottom w:val="0"/>
          <w:divBdr>
            <w:top w:val="none" w:sz="0" w:space="0" w:color="auto"/>
            <w:left w:val="none" w:sz="0" w:space="0" w:color="auto"/>
            <w:bottom w:val="none" w:sz="0" w:space="0" w:color="auto"/>
            <w:right w:val="none" w:sz="0" w:space="0" w:color="auto"/>
          </w:divBdr>
        </w:div>
        <w:div w:id="1521620613">
          <w:marLeft w:val="640"/>
          <w:marRight w:val="0"/>
          <w:marTop w:val="0"/>
          <w:marBottom w:val="0"/>
          <w:divBdr>
            <w:top w:val="none" w:sz="0" w:space="0" w:color="auto"/>
            <w:left w:val="none" w:sz="0" w:space="0" w:color="auto"/>
            <w:bottom w:val="none" w:sz="0" w:space="0" w:color="auto"/>
            <w:right w:val="none" w:sz="0" w:space="0" w:color="auto"/>
          </w:divBdr>
        </w:div>
        <w:div w:id="1975912408">
          <w:marLeft w:val="640"/>
          <w:marRight w:val="0"/>
          <w:marTop w:val="0"/>
          <w:marBottom w:val="0"/>
          <w:divBdr>
            <w:top w:val="none" w:sz="0" w:space="0" w:color="auto"/>
            <w:left w:val="none" w:sz="0" w:space="0" w:color="auto"/>
            <w:bottom w:val="none" w:sz="0" w:space="0" w:color="auto"/>
            <w:right w:val="none" w:sz="0" w:space="0" w:color="auto"/>
          </w:divBdr>
        </w:div>
        <w:div w:id="74210750">
          <w:marLeft w:val="640"/>
          <w:marRight w:val="0"/>
          <w:marTop w:val="0"/>
          <w:marBottom w:val="0"/>
          <w:divBdr>
            <w:top w:val="none" w:sz="0" w:space="0" w:color="auto"/>
            <w:left w:val="none" w:sz="0" w:space="0" w:color="auto"/>
            <w:bottom w:val="none" w:sz="0" w:space="0" w:color="auto"/>
            <w:right w:val="none" w:sz="0" w:space="0" w:color="auto"/>
          </w:divBdr>
        </w:div>
        <w:div w:id="1785074704">
          <w:marLeft w:val="640"/>
          <w:marRight w:val="0"/>
          <w:marTop w:val="0"/>
          <w:marBottom w:val="0"/>
          <w:divBdr>
            <w:top w:val="none" w:sz="0" w:space="0" w:color="auto"/>
            <w:left w:val="none" w:sz="0" w:space="0" w:color="auto"/>
            <w:bottom w:val="none" w:sz="0" w:space="0" w:color="auto"/>
            <w:right w:val="none" w:sz="0" w:space="0" w:color="auto"/>
          </w:divBdr>
        </w:div>
        <w:div w:id="1107191379">
          <w:marLeft w:val="640"/>
          <w:marRight w:val="0"/>
          <w:marTop w:val="0"/>
          <w:marBottom w:val="0"/>
          <w:divBdr>
            <w:top w:val="none" w:sz="0" w:space="0" w:color="auto"/>
            <w:left w:val="none" w:sz="0" w:space="0" w:color="auto"/>
            <w:bottom w:val="none" w:sz="0" w:space="0" w:color="auto"/>
            <w:right w:val="none" w:sz="0" w:space="0" w:color="auto"/>
          </w:divBdr>
        </w:div>
        <w:div w:id="660735780">
          <w:marLeft w:val="640"/>
          <w:marRight w:val="0"/>
          <w:marTop w:val="0"/>
          <w:marBottom w:val="0"/>
          <w:divBdr>
            <w:top w:val="none" w:sz="0" w:space="0" w:color="auto"/>
            <w:left w:val="none" w:sz="0" w:space="0" w:color="auto"/>
            <w:bottom w:val="none" w:sz="0" w:space="0" w:color="auto"/>
            <w:right w:val="none" w:sz="0" w:space="0" w:color="auto"/>
          </w:divBdr>
        </w:div>
        <w:div w:id="2054974">
          <w:marLeft w:val="640"/>
          <w:marRight w:val="0"/>
          <w:marTop w:val="0"/>
          <w:marBottom w:val="0"/>
          <w:divBdr>
            <w:top w:val="none" w:sz="0" w:space="0" w:color="auto"/>
            <w:left w:val="none" w:sz="0" w:space="0" w:color="auto"/>
            <w:bottom w:val="none" w:sz="0" w:space="0" w:color="auto"/>
            <w:right w:val="none" w:sz="0" w:space="0" w:color="auto"/>
          </w:divBdr>
        </w:div>
        <w:div w:id="2120491476">
          <w:marLeft w:val="640"/>
          <w:marRight w:val="0"/>
          <w:marTop w:val="0"/>
          <w:marBottom w:val="0"/>
          <w:divBdr>
            <w:top w:val="none" w:sz="0" w:space="0" w:color="auto"/>
            <w:left w:val="none" w:sz="0" w:space="0" w:color="auto"/>
            <w:bottom w:val="none" w:sz="0" w:space="0" w:color="auto"/>
            <w:right w:val="none" w:sz="0" w:space="0" w:color="auto"/>
          </w:divBdr>
        </w:div>
        <w:div w:id="1505515193">
          <w:marLeft w:val="640"/>
          <w:marRight w:val="0"/>
          <w:marTop w:val="0"/>
          <w:marBottom w:val="0"/>
          <w:divBdr>
            <w:top w:val="none" w:sz="0" w:space="0" w:color="auto"/>
            <w:left w:val="none" w:sz="0" w:space="0" w:color="auto"/>
            <w:bottom w:val="none" w:sz="0" w:space="0" w:color="auto"/>
            <w:right w:val="none" w:sz="0" w:space="0" w:color="auto"/>
          </w:divBdr>
        </w:div>
        <w:div w:id="152187965">
          <w:marLeft w:val="640"/>
          <w:marRight w:val="0"/>
          <w:marTop w:val="0"/>
          <w:marBottom w:val="0"/>
          <w:divBdr>
            <w:top w:val="none" w:sz="0" w:space="0" w:color="auto"/>
            <w:left w:val="none" w:sz="0" w:space="0" w:color="auto"/>
            <w:bottom w:val="none" w:sz="0" w:space="0" w:color="auto"/>
            <w:right w:val="none" w:sz="0" w:space="0" w:color="auto"/>
          </w:divBdr>
        </w:div>
        <w:div w:id="519901072">
          <w:marLeft w:val="640"/>
          <w:marRight w:val="0"/>
          <w:marTop w:val="0"/>
          <w:marBottom w:val="0"/>
          <w:divBdr>
            <w:top w:val="none" w:sz="0" w:space="0" w:color="auto"/>
            <w:left w:val="none" w:sz="0" w:space="0" w:color="auto"/>
            <w:bottom w:val="none" w:sz="0" w:space="0" w:color="auto"/>
            <w:right w:val="none" w:sz="0" w:space="0" w:color="auto"/>
          </w:divBdr>
        </w:div>
        <w:div w:id="426585717">
          <w:marLeft w:val="640"/>
          <w:marRight w:val="0"/>
          <w:marTop w:val="0"/>
          <w:marBottom w:val="0"/>
          <w:divBdr>
            <w:top w:val="none" w:sz="0" w:space="0" w:color="auto"/>
            <w:left w:val="none" w:sz="0" w:space="0" w:color="auto"/>
            <w:bottom w:val="none" w:sz="0" w:space="0" w:color="auto"/>
            <w:right w:val="none" w:sz="0" w:space="0" w:color="auto"/>
          </w:divBdr>
        </w:div>
        <w:div w:id="1247691048">
          <w:marLeft w:val="640"/>
          <w:marRight w:val="0"/>
          <w:marTop w:val="0"/>
          <w:marBottom w:val="0"/>
          <w:divBdr>
            <w:top w:val="none" w:sz="0" w:space="0" w:color="auto"/>
            <w:left w:val="none" w:sz="0" w:space="0" w:color="auto"/>
            <w:bottom w:val="none" w:sz="0" w:space="0" w:color="auto"/>
            <w:right w:val="none" w:sz="0" w:space="0" w:color="auto"/>
          </w:divBdr>
        </w:div>
        <w:div w:id="732314798">
          <w:marLeft w:val="640"/>
          <w:marRight w:val="0"/>
          <w:marTop w:val="0"/>
          <w:marBottom w:val="0"/>
          <w:divBdr>
            <w:top w:val="none" w:sz="0" w:space="0" w:color="auto"/>
            <w:left w:val="none" w:sz="0" w:space="0" w:color="auto"/>
            <w:bottom w:val="none" w:sz="0" w:space="0" w:color="auto"/>
            <w:right w:val="none" w:sz="0" w:space="0" w:color="auto"/>
          </w:divBdr>
        </w:div>
        <w:div w:id="147941535">
          <w:marLeft w:val="640"/>
          <w:marRight w:val="0"/>
          <w:marTop w:val="0"/>
          <w:marBottom w:val="0"/>
          <w:divBdr>
            <w:top w:val="none" w:sz="0" w:space="0" w:color="auto"/>
            <w:left w:val="none" w:sz="0" w:space="0" w:color="auto"/>
            <w:bottom w:val="none" w:sz="0" w:space="0" w:color="auto"/>
            <w:right w:val="none" w:sz="0" w:space="0" w:color="auto"/>
          </w:divBdr>
        </w:div>
        <w:div w:id="1351028324">
          <w:marLeft w:val="640"/>
          <w:marRight w:val="0"/>
          <w:marTop w:val="0"/>
          <w:marBottom w:val="0"/>
          <w:divBdr>
            <w:top w:val="none" w:sz="0" w:space="0" w:color="auto"/>
            <w:left w:val="none" w:sz="0" w:space="0" w:color="auto"/>
            <w:bottom w:val="none" w:sz="0" w:space="0" w:color="auto"/>
            <w:right w:val="none" w:sz="0" w:space="0" w:color="auto"/>
          </w:divBdr>
        </w:div>
        <w:div w:id="325478751">
          <w:marLeft w:val="640"/>
          <w:marRight w:val="0"/>
          <w:marTop w:val="0"/>
          <w:marBottom w:val="0"/>
          <w:divBdr>
            <w:top w:val="none" w:sz="0" w:space="0" w:color="auto"/>
            <w:left w:val="none" w:sz="0" w:space="0" w:color="auto"/>
            <w:bottom w:val="none" w:sz="0" w:space="0" w:color="auto"/>
            <w:right w:val="none" w:sz="0" w:space="0" w:color="auto"/>
          </w:divBdr>
        </w:div>
        <w:div w:id="165050045">
          <w:marLeft w:val="640"/>
          <w:marRight w:val="0"/>
          <w:marTop w:val="0"/>
          <w:marBottom w:val="0"/>
          <w:divBdr>
            <w:top w:val="none" w:sz="0" w:space="0" w:color="auto"/>
            <w:left w:val="none" w:sz="0" w:space="0" w:color="auto"/>
            <w:bottom w:val="none" w:sz="0" w:space="0" w:color="auto"/>
            <w:right w:val="none" w:sz="0" w:space="0" w:color="auto"/>
          </w:divBdr>
        </w:div>
        <w:div w:id="1725982401">
          <w:marLeft w:val="640"/>
          <w:marRight w:val="0"/>
          <w:marTop w:val="0"/>
          <w:marBottom w:val="0"/>
          <w:divBdr>
            <w:top w:val="none" w:sz="0" w:space="0" w:color="auto"/>
            <w:left w:val="none" w:sz="0" w:space="0" w:color="auto"/>
            <w:bottom w:val="none" w:sz="0" w:space="0" w:color="auto"/>
            <w:right w:val="none" w:sz="0" w:space="0" w:color="auto"/>
          </w:divBdr>
        </w:div>
        <w:div w:id="385566456">
          <w:marLeft w:val="640"/>
          <w:marRight w:val="0"/>
          <w:marTop w:val="0"/>
          <w:marBottom w:val="0"/>
          <w:divBdr>
            <w:top w:val="none" w:sz="0" w:space="0" w:color="auto"/>
            <w:left w:val="none" w:sz="0" w:space="0" w:color="auto"/>
            <w:bottom w:val="none" w:sz="0" w:space="0" w:color="auto"/>
            <w:right w:val="none" w:sz="0" w:space="0" w:color="auto"/>
          </w:divBdr>
        </w:div>
        <w:div w:id="1113595599">
          <w:marLeft w:val="640"/>
          <w:marRight w:val="0"/>
          <w:marTop w:val="0"/>
          <w:marBottom w:val="0"/>
          <w:divBdr>
            <w:top w:val="none" w:sz="0" w:space="0" w:color="auto"/>
            <w:left w:val="none" w:sz="0" w:space="0" w:color="auto"/>
            <w:bottom w:val="none" w:sz="0" w:space="0" w:color="auto"/>
            <w:right w:val="none" w:sz="0" w:space="0" w:color="auto"/>
          </w:divBdr>
        </w:div>
        <w:div w:id="158085708">
          <w:marLeft w:val="640"/>
          <w:marRight w:val="0"/>
          <w:marTop w:val="0"/>
          <w:marBottom w:val="0"/>
          <w:divBdr>
            <w:top w:val="none" w:sz="0" w:space="0" w:color="auto"/>
            <w:left w:val="none" w:sz="0" w:space="0" w:color="auto"/>
            <w:bottom w:val="none" w:sz="0" w:space="0" w:color="auto"/>
            <w:right w:val="none" w:sz="0" w:space="0" w:color="auto"/>
          </w:divBdr>
        </w:div>
        <w:div w:id="781536142">
          <w:marLeft w:val="640"/>
          <w:marRight w:val="0"/>
          <w:marTop w:val="0"/>
          <w:marBottom w:val="0"/>
          <w:divBdr>
            <w:top w:val="none" w:sz="0" w:space="0" w:color="auto"/>
            <w:left w:val="none" w:sz="0" w:space="0" w:color="auto"/>
            <w:bottom w:val="none" w:sz="0" w:space="0" w:color="auto"/>
            <w:right w:val="none" w:sz="0" w:space="0" w:color="auto"/>
          </w:divBdr>
        </w:div>
        <w:div w:id="340665318">
          <w:marLeft w:val="640"/>
          <w:marRight w:val="0"/>
          <w:marTop w:val="0"/>
          <w:marBottom w:val="0"/>
          <w:divBdr>
            <w:top w:val="none" w:sz="0" w:space="0" w:color="auto"/>
            <w:left w:val="none" w:sz="0" w:space="0" w:color="auto"/>
            <w:bottom w:val="none" w:sz="0" w:space="0" w:color="auto"/>
            <w:right w:val="none" w:sz="0" w:space="0" w:color="auto"/>
          </w:divBdr>
        </w:div>
        <w:div w:id="1001279146">
          <w:marLeft w:val="640"/>
          <w:marRight w:val="0"/>
          <w:marTop w:val="0"/>
          <w:marBottom w:val="0"/>
          <w:divBdr>
            <w:top w:val="none" w:sz="0" w:space="0" w:color="auto"/>
            <w:left w:val="none" w:sz="0" w:space="0" w:color="auto"/>
            <w:bottom w:val="none" w:sz="0" w:space="0" w:color="auto"/>
            <w:right w:val="none" w:sz="0" w:space="0" w:color="auto"/>
          </w:divBdr>
        </w:div>
        <w:div w:id="2074112500">
          <w:marLeft w:val="640"/>
          <w:marRight w:val="0"/>
          <w:marTop w:val="0"/>
          <w:marBottom w:val="0"/>
          <w:divBdr>
            <w:top w:val="none" w:sz="0" w:space="0" w:color="auto"/>
            <w:left w:val="none" w:sz="0" w:space="0" w:color="auto"/>
            <w:bottom w:val="none" w:sz="0" w:space="0" w:color="auto"/>
            <w:right w:val="none" w:sz="0" w:space="0" w:color="auto"/>
          </w:divBdr>
        </w:div>
        <w:div w:id="1445613165">
          <w:marLeft w:val="640"/>
          <w:marRight w:val="0"/>
          <w:marTop w:val="0"/>
          <w:marBottom w:val="0"/>
          <w:divBdr>
            <w:top w:val="none" w:sz="0" w:space="0" w:color="auto"/>
            <w:left w:val="none" w:sz="0" w:space="0" w:color="auto"/>
            <w:bottom w:val="none" w:sz="0" w:space="0" w:color="auto"/>
            <w:right w:val="none" w:sz="0" w:space="0" w:color="auto"/>
          </w:divBdr>
        </w:div>
        <w:div w:id="1399937924">
          <w:marLeft w:val="640"/>
          <w:marRight w:val="0"/>
          <w:marTop w:val="0"/>
          <w:marBottom w:val="0"/>
          <w:divBdr>
            <w:top w:val="none" w:sz="0" w:space="0" w:color="auto"/>
            <w:left w:val="none" w:sz="0" w:space="0" w:color="auto"/>
            <w:bottom w:val="none" w:sz="0" w:space="0" w:color="auto"/>
            <w:right w:val="none" w:sz="0" w:space="0" w:color="auto"/>
          </w:divBdr>
        </w:div>
        <w:div w:id="51541838">
          <w:marLeft w:val="640"/>
          <w:marRight w:val="0"/>
          <w:marTop w:val="0"/>
          <w:marBottom w:val="0"/>
          <w:divBdr>
            <w:top w:val="none" w:sz="0" w:space="0" w:color="auto"/>
            <w:left w:val="none" w:sz="0" w:space="0" w:color="auto"/>
            <w:bottom w:val="none" w:sz="0" w:space="0" w:color="auto"/>
            <w:right w:val="none" w:sz="0" w:space="0" w:color="auto"/>
          </w:divBdr>
        </w:div>
        <w:div w:id="121505499">
          <w:marLeft w:val="640"/>
          <w:marRight w:val="0"/>
          <w:marTop w:val="0"/>
          <w:marBottom w:val="0"/>
          <w:divBdr>
            <w:top w:val="none" w:sz="0" w:space="0" w:color="auto"/>
            <w:left w:val="none" w:sz="0" w:space="0" w:color="auto"/>
            <w:bottom w:val="none" w:sz="0" w:space="0" w:color="auto"/>
            <w:right w:val="none" w:sz="0" w:space="0" w:color="auto"/>
          </w:divBdr>
        </w:div>
        <w:div w:id="177433364">
          <w:marLeft w:val="640"/>
          <w:marRight w:val="0"/>
          <w:marTop w:val="0"/>
          <w:marBottom w:val="0"/>
          <w:divBdr>
            <w:top w:val="none" w:sz="0" w:space="0" w:color="auto"/>
            <w:left w:val="none" w:sz="0" w:space="0" w:color="auto"/>
            <w:bottom w:val="none" w:sz="0" w:space="0" w:color="auto"/>
            <w:right w:val="none" w:sz="0" w:space="0" w:color="auto"/>
          </w:divBdr>
        </w:div>
        <w:div w:id="184444736">
          <w:marLeft w:val="640"/>
          <w:marRight w:val="0"/>
          <w:marTop w:val="0"/>
          <w:marBottom w:val="0"/>
          <w:divBdr>
            <w:top w:val="none" w:sz="0" w:space="0" w:color="auto"/>
            <w:left w:val="none" w:sz="0" w:space="0" w:color="auto"/>
            <w:bottom w:val="none" w:sz="0" w:space="0" w:color="auto"/>
            <w:right w:val="none" w:sz="0" w:space="0" w:color="auto"/>
          </w:divBdr>
        </w:div>
        <w:div w:id="776408698">
          <w:marLeft w:val="640"/>
          <w:marRight w:val="0"/>
          <w:marTop w:val="0"/>
          <w:marBottom w:val="0"/>
          <w:divBdr>
            <w:top w:val="none" w:sz="0" w:space="0" w:color="auto"/>
            <w:left w:val="none" w:sz="0" w:space="0" w:color="auto"/>
            <w:bottom w:val="none" w:sz="0" w:space="0" w:color="auto"/>
            <w:right w:val="none" w:sz="0" w:space="0" w:color="auto"/>
          </w:divBdr>
        </w:div>
        <w:div w:id="1495026628">
          <w:marLeft w:val="640"/>
          <w:marRight w:val="0"/>
          <w:marTop w:val="0"/>
          <w:marBottom w:val="0"/>
          <w:divBdr>
            <w:top w:val="none" w:sz="0" w:space="0" w:color="auto"/>
            <w:left w:val="none" w:sz="0" w:space="0" w:color="auto"/>
            <w:bottom w:val="none" w:sz="0" w:space="0" w:color="auto"/>
            <w:right w:val="none" w:sz="0" w:space="0" w:color="auto"/>
          </w:divBdr>
        </w:div>
        <w:div w:id="1194879001">
          <w:marLeft w:val="640"/>
          <w:marRight w:val="0"/>
          <w:marTop w:val="0"/>
          <w:marBottom w:val="0"/>
          <w:divBdr>
            <w:top w:val="none" w:sz="0" w:space="0" w:color="auto"/>
            <w:left w:val="none" w:sz="0" w:space="0" w:color="auto"/>
            <w:bottom w:val="none" w:sz="0" w:space="0" w:color="auto"/>
            <w:right w:val="none" w:sz="0" w:space="0" w:color="auto"/>
          </w:divBdr>
        </w:div>
        <w:div w:id="713047088">
          <w:marLeft w:val="640"/>
          <w:marRight w:val="0"/>
          <w:marTop w:val="0"/>
          <w:marBottom w:val="0"/>
          <w:divBdr>
            <w:top w:val="none" w:sz="0" w:space="0" w:color="auto"/>
            <w:left w:val="none" w:sz="0" w:space="0" w:color="auto"/>
            <w:bottom w:val="none" w:sz="0" w:space="0" w:color="auto"/>
            <w:right w:val="none" w:sz="0" w:space="0" w:color="auto"/>
          </w:divBdr>
        </w:div>
        <w:div w:id="711806219">
          <w:marLeft w:val="640"/>
          <w:marRight w:val="0"/>
          <w:marTop w:val="0"/>
          <w:marBottom w:val="0"/>
          <w:divBdr>
            <w:top w:val="none" w:sz="0" w:space="0" w:color="auto"/>
            <w:left w:val="none" w:sz="0" w:space="0" w:color="auto"/>
            <w:bottom w:val="none" w:sz="0" w:space="0" w:color="auto"/>
            <w:right w:val="none" w:sz="0" w:space="0" w:color="auto"/>
          </w:divBdr>
        </w:div>
        <w:div w:id="1314796351">
          <w:marLeft w:val="640"/>
          <w:marRight w:val="0"/>
          <w:marTop w:val="0"/>
          <w:marBottom w:val="0"/>
          <w:divBdr>
            <w:top w:val="none" w:sz="0" w:space="0" w:color="auto"/>
            <w:left w:val="none" w:sz="0" w:space="0" w:color="auto"/>
            <w:bottom w:val="none" w:sz="0" w:space="0" w:color="auto"/>
            <w:right w:val="none" w:sz="0" w:space="0" w:color="auto"/>
          </w:divBdr>
        </w:div>
        <w:div w:id="78645531">
          <w:marLeft w:val="640"/>
          <w:marRight w:val="0"/>
          <w:marTop w:val="0"/>
          <w:marBottom w:val="0"/>
          <w:divBdr>
            <w:top w:val="none" w:sz="0" w:space="0" w:color="auto"/>
            <w:left w:val="none" w:sz="0" w:space="0" w:color="auto"/>
            <w:bottom w:val="none" w:sz="0" w:space="0" w:color="auto"/>
            <w:right w:val="none" w:sz="0" w:space="0" w:color="auto"/>
          </w:divBdr>
        </w:div>
        <w:div w:id="1322855449">
          <w:marLeft w:val="640"/>
          <w:marRight w:val="0"/>
          <w:marTop w:val="0"/>
          <w:marBottom w:val="0"/>
          <w:divBdr>
            <w:top w:val="none" w:sz="0" w:space="0" w:color="auto"/>
            <w:left w:val="none" w:sz="0" w:space="0" w:color="auto"/>
            <w:bottom w:val="none" w:sz="0" w:space="0" w:color="auto"/>
            <w:right w:val="none" w:sz="0" w:space="0" w:color="auto"/>
          </w:divBdr>
        </w:div>
        <w:div w:id="1616135171">
          <w:marLeft w:val="640"/>
          <w:marRight w:val="0"/>
          <w:marTop w:val="0"/>
          <w:marBottom w:val="0"/>
          <w:divBdr>
            <w:top w:val="none" w:sz="0" w:space="0" w:color="auto"/>
            <w:left w:val="none" w:sz="0" w:space="0" w:color="auto"/>
            <w:bottom w:val="none" w:sz="0" w:space="0" w:color="auto"/>
            <w:right w:val="none" w:sz="0" w:space="0" w:color="auto"/>
          </w:divBdr>
        </w:div>
        <w:div w:id="1348024774">
          <w:marLeft w:val="640"/>
          <w:marRight w:val="0"/>
          <w:marTop w:val="0"/>
          <w:marBottom w:val="0"/>
          <w:divBdr>
            <w:top w:val="none" w:sz="0" w:space="0" w:color="auto"/>
            <w:left w:val="none" w:sz="0" w:space="0" w:color="auto"/>
            <w:bottom w:val="none" w:sz="0" w:space="0" w:color="auto"/>
            <w:right w:val="none" w:sz="0" w:space="0" w:color="auto"/>
          </w:divBdr>
        </w:div>
        <w:div w:id="97216812">
          <w:marLeft w:val="640"/>
          <w:marRight w:val="0"/>
          <w:marTop w:val="0"/>
          <w:marBottom w:val="0"/>
          <w:divBdr>
            <w:top w:val="none" w:sz="0" w:space="0" w:color="auto"/>
            <w:left w:val="none" w:sz="0" w:space="0" w:color="auto"/>
            <w:bottom w:val="none" w:sz="0" w:space="0" w:color="auto"/>
            <w:right w:val="none" w:sz="0" w:space="0" w:color="auto"/>
          </w:divBdr>
        </w:div>
        <w:div w:id="1802529174">
          <w:marLeft w:val="640"/>
          <w:marRight w:val="0"/>
          <w:marTop w:val="0"/>
          <w:marBottom w:val="0"/>
          <w:divBdr>
            <w:top w:val="none" w:sz="0" w:space="0" w:color="auto"/>
            <w:left w:val="none" w:sz="0" w:space="0" w:color="auto"/>
            <w:bottom w:val="none" w:sz="0" w:space="0" w:color="auto"/>
            <w:right w:val="none" w:sz="0" w:space="0" w:color="auto"/>
          </w:divBdr>
        </w:div>
        <w:div w:id="963731766">
          <w:marLeft w:val="640"/>
          <w:marRight w:val="0"/>
          <w:marTop w:val="0"/>
          <w:marBottom w:val="0"/>
          <w:divBdr>
            <w:top w:val="none" w:sz="0" w:space="0" w:color="auto"/>
            <w:left w:val="none" w:sz="0" w:space="0" w:color="auto"/>
            <w:bottom w:val="none" w:sz="0" w:space="0" w:color="auto"/>
            <w:right w:val="none" w:sz="0" w:space="0" w:color="auto"/>
          </w:divBdr>
        </w:div>
        <w:div w:id="85659677">
          <w:marLeft w:val="640"/>
          <w:marRight w:val="0"/>
          <w:marTop w:val="0"/>
          <w:marBottom w:val="0"/>
          <w:divBdr>
            <w:top w:val="none" w:sz="0" w:space="0" w:color="auto"/>
            <w:left w:val="none" w:sz="0" w:space="0" w:color="auto"/>
            <w:bottom w:val="none" w:sz="0" w:space="0" w:color="auto"/>
            <w:right w:val="none" w:sz="0" w:space="0" w:color="auto"/>
          </w:divBdr>
        </w:div>
        <w:div w:id="979001677">
          <w:marLeft w:val="640"/>
          <w:marRight w:val="0"/>
          <w:marTop w:val="0"/>
          <w:marBottom w:val="0"/>
          <w:divBdr>
            <w:top w:val="none" w:sz="0" w:space="0" w:color="auto"/>
            <w:left w:val="none" w:sz="0" w:space="0" w:color="auto"/>
            <w:bottom w:val="none" w:sz="0" w:space="0" w:color="auto"/>
            <w:right w:val="none" w:sz="0" w:space="0" w:color="auto"/>
          </w:divBdr>
        </w:div>
        <w:div w:id="2041124363">
          <w:marLeft w:val="640"/>
          <w:marRight w:val="0"/>
          <w:marTop w:val="0"/>
          <w:marBottom w:val="0"/>
          <w:divBdr>
            <w:top w:val="none" w:sz="0" w:space="0" w:color="auto"/>
            <w:left w:val="none" w:sz="0" w:space="0" w:color="auto"/>
            <w:bottom w:val="none" w:sz="0" w:space="0" w:color="auto"/>
            <w:right w:val="none" w:sz="0" w:space="0" w:color="auto"/>
          </w:divBdr>
        </w:div>
        <w:div w:id="632249131">
          <w:marLeft w:val="640"/>
          <w:marRight w:val="0"/>
          <w:marTop w:val="0"/>
          <w:marBottom w:val="0"/>
          <w:divBdr>
            <w:top w:val="none" w:sz="0" w:space="0" w:color="auto"/>
            <w:left w:val="none" w:sz="0" w:space="0" w:color="auto"/>
            <w:bottom w:val="none" w:sz="0" w:space="0" w:color="auto"/>
            <w:right w:val="none" w:sz="0" w:space="0" w:color="auto"/>
          </w:divBdr>
        </w:div>
        <w:div w:id="645204492">
          <w:marLeft w:val="640"/>
          <w:marRight w:val="0"/>
          <w:marTop w:val="0"/>
          <w:marBottom w:val="0"/>
          <w:divBdr>
            <w:top w:val="none" w:sz="0" w:space="0" w:color="auto"/>
            <w:left w:val="none" w:sz="0" w:space="0" w:color="auto"/>
            <w:bottom w:val="none" w:sz="0" w:space="0" w:color="auto"/>
            <w:right w:val="none" w:sz="0" w:space="0" w:color="auto"/>
          </w:divBdr>
        </w:div>
        <w:div w:id="2007901318">
          <w:marLeft w:val="640"/>
          <w:marRight w:val="0"/>
          <w:marTop w:val="0"/>
          <w:marBottom w:val="0"/>
          <w:divBdr>
            <w:top w:val="none" w:sz="0" w:space="0" w:color="auto"/>
            <w:left w:val="none" w:sz="0" w:space="0" w:color="auto"/>
            <w:bottom w:val="none" w:sz="0" w:space="0" w:color="auto"/>
            <w:right w:val="none" w:sz="0" w:space="0" w:color="auto"/>
          </w:divBdr>
        </w:div>
        <w:div w:id="807674310">
          <w:marLeft w:val="640"/>
          <w:marRight w:val="0"/>
          <w:marTop w:val="0"/>
          <w:marBottom w:val="0"/>
          <w:divBdr>
            <w:top w:val="none" w:sz="0" w:space="0" w:color="auto"/>
            <w:left w:val="none" w:sz="0" w:space="0" w:color="auto"/>
            <w:bottom w:val="none" w:sz="0" w:space="0" w:color="auto"/>
            <w:right w:val="none" w:sz="0" w:space="0" w:color="auto"/>
          </w:divBdr>
        </w:div>
        <w:div w:id="1298683272">
          <w:marLeft w:val="640"/>
          <w:marRight w:val="0"/>
          <w:marTop w:val="0"/>
          <w:marBottom w:val="0"/>
          <w:divBdr>
            <w:top w:val="none" w:sz="0" w:space="0" w:color="auto"/>
            <w:left w:val="none" w:sz="0" w:space="0" w:color="auto"/>
            <w:bottom w:val="none" w:sz="0" w:space="0" w:color="auto"/>
            <w:right w:val="none" w:sz="0" w:space="0" w:color="auto"/>
          </w:divBdr>
        </w:div>
        <w:div w:id="1934777727">
          <w:marLeft w:val="640"/>
          <w:marRight w:val="0"/>
          <w:marTop w:val="0"/>
          <w:marBottom w:val="0"/>
          <w:divBdr>
            <w:top w:val="none" w:sz="0" w:space="0" w:color="auto"/>
            <w:left w:val="none" w:sz="0" w:space="0" w:color="auto"/>
            <w:bottom w:val="none" w:sz="0" w:space="0" w:color="auto"/>
            <w:right w:val="none" w:sz="0" w:space="0" w:color="auto"/>
          </w:divBdr>
        </w:div>
        <w:div w:id="2125877125">
          <w:marLeft w:val="640"/>
          <w:marRight w:val="0"/>
          <w:marTop w:val="0"/>
          <w:marBottom w:val="0"/>
          <w:divBdr>
            <w:top w:val="none" w:sz="0" w:space="0" w:color="auto"/>
            <w:left w:val="none" w:sz="0" w:space="0" w:color="auto"/>
            <w:bottom w:val="none" w:sz="0" w:space="0" w:color="auto"/>
            <w:right w:val="none" w:sz="0" w:space="0" w:color="auto"/>
          </w:divBdr>
        </w:div>
        <w:div w:id="1255748590">
          <w:marLeft w:val="640"/>
          <w:marRight w:val="0"/>
          <w:marTop w:val="0"/>
          <w:marBottom w:val="0"/>
          <w:divBdr>
            <w:top w:val="none" w:sz="0" w:space="0" w:color="auto"/>
            <w:left w:val="none" w:sz="0" w:space="0" w:color="auto"/>
            <w:bottom w:val="none" w:sz="0" w:space="0" w:color="auto"/>
            <w:right w:val="none" w:sz="0" w:space="0" w:color="auto"/>
          </w:divBdr>
        </w:div>
        <w:div w:id="1345716426">
          <w:marLeft w:val="640"/>
          <w:marRight w:val="0"/>
          <w:marTop w:val="0"/>
          <w:marBottom w:val="0"/>
          <w:divBdr>
            <w:top w:val="none" w:sz="0" w:space="0" w:color="auto"/>
            <w:left w:val="none" w:sz="0" w:space="0" w:color="auto"/>
            <w:bottom w:val="none" w:sz="0" w:space="0" w:color="auto"/>
            <w:right w:val="none" w:sz="0" w:space="0" w:color="auto"/>
          </w:divBdr>
        </w:div>
        <w:div w:id="1006788316">
          <w:marLeft w:val="640"/>
          <w:marRight w:val="0"/>
          <w:marTop w:val="0"/>
          <w:marBottom w:val="0"/>
          <w:divBdr>
            <w:top w:val="none" w:sz="0" w:space="0" w:color="auto"/>
            <w:left w:val="none" w:sz="0" w:space="0" w:color="auto"/>
            <w:bottom w:val="none" w:sz="0" w:space="0" w:color="auto"/>
            <w:right w:val="none" w:sz="0" w:space="0" w:color="auto"/>
          </w:divBdr>
        </w:div>
        <w:div w:id="1007900808">
          <w:marLeft w:val="640"/>
          <w:marRight w:val="0"/>
          <w:marTop w:val="0"/>
          <w:marBottom w:val="0"/>
          <w:divBdr>
            <w:top w:val="none" w:sz="0" w:space="0" w:color="auto"/>
            <w:left w:val="none" w:sz="0" w:space="0" w:color="auto"/>
            <w:bottom w:val="none" w:sz="0" w:space="0" w:color="auto"/>
            <w:right w:val="none" w:sz="0" w:space="0" w:color="auto"/>
          </w:divBdr>
        </w:div>
        <w:div w:id="2077166453">
          <w:marLeft w:val="640"/>
          <w:marRight w:val="0"/>
          <w:marTop w:val="0"/>
          <w:marBottom w:val="0"/>
          <w:divBdr>
            <w:top w:val="none" w:sz="0" w:space="0" w:color="auto"/>
            <w:left w:val="none" w:sz="0" w:space="0" w:color="auto"/>
            <w:bottom w:val="none" w:sz="0" w:space="0" w:color="auto"/>
            <w:right w:val="none" w:sz="0" w:space="0" w:color="auto"/>
          </w:divBdr>
        </w:div>
        <w:div w:id="229583818">
          <w:marLeft w:val="640"/>
          <w:marRight w:val="0"/>
          <w:marTop w:val="0"/>
          <w:marBottom w:val="0"/>
          <w:divBdr>
            <w:top w:val="none" w:sz="0" w:space="0" w:color="auto"/>
            <w:left w:val="none" w:sz="0" w:space="0" w:color="auto"/>
            <w:bottom w:val="none" w:sz="0" w:space="0" w:color="auto"/>
            <w:right w:val="none" w:sz="0" w:space="0" w:color="auto"/>
          </w:divBdr>
        </w:div>
        <w:div w:id="1976250247">
          <w:marLeft w:val="640"/>
          <w:marRight w:val="0"/>
          <w:marTop w:val="0"/>
          <w:marBottom w:val="0"/>
          <w:divBdr>
            <w:top w:val="none" w:sz="0" w:space="0" w:color="auto"/>
            <w:left w:val="none" w:sz="0" w:space="0" w:color="auto"/>
            <w:bottom w:val="none" w:sz="0" w:space="0" w:color="auto"/>
            <w:right w:val="none" w:sz="0" w:space="0" w:color="auto"/>
          </w:divBdr>
        </w:div>
        <w:div w:id="1654874805">
          <w:marLeft w:val="640"/>
          <w:marRight w:val="0"/>
          <w:marTop w:val="0"/>
          <w:marBottom w:val="0"/>
          <w:divBdr>
            <w:top w:val="none" w:sz="0" w:space="0" w:color="auto"/>
            <w:left w:val="none" w:sz="0" w:space="0" w:color="auto"/>
            <w:bottom w:val="none" w:sz="0" w:space="0" w:color="auto"/>
            <w:right w:val="none" w:sz="0" w:space="0" w:color="auto"/>
          </w:divBdr>
        </w:div>
        <w:div w:id="1283684830">
          <w:marLeft w:val="640"/>
          <w:marRight w:val="0"/>
          <w:marTop w:val="0"/>
          <w:marBottom w:val="0"/>
          <w:divBdr>
            <w:top w:val="none" w:sz="0" w:space="0" w:color="auto"/>
            <w:left w:val="none" w:sz="0" w:space="0" w:color="auto"/>
            <w:bottom w:val="none" w:sz="0" w:space="0" w:color="auto"/>
            <w:right w:val="none" w:sz="0" w:space="0" w:color="auto"/>
          </w:divBdr>
        </w:div>
        <w:div w:id="1521358353">
          <w:marLeft w:val="640"/>
          <w:marRight w:val="0"/>
          <w:marTop w:val="0"/>
          <w:marBottom w:val="0"/>
          <w:divBdr>
            <w:top w:val="none" w:sz="0" w:space="0" w:color="auto"/>
            <w:left w:val="none" w:sz="0" w:space="0" w:color="auto"/>
            <w:bottom w:val="none" w:sz="0" w:space="0" w:color="auto"/>
            <w:right w:val="none" w:sz="0" w:space="0" w:color="auto"/>
          </w:divBdr>
        </w:div>
        <w:div w:id="105656889">
          <w:marLeft w:val="640"/>
          <w:marRight w:val="0"/>
          <w:marTop w:val="0"/>
          <w:marBottom w:val="0"/>
          <w:divBdr>
            <w:top w:val="none" w:sz="0" w:space="0" w:color="auto"/>
            <w:left w:val="none" w:sz="0" w:space="0" w:color="auto"/>
            <w:bottom w:val="none" w:sz="0" w:space="0" w:color="auto"/>
            <w:right w:val="none" w:sz="0" w:space="0" w:color="auto"/>
          </w:divBdr>
        </w:div>
        <w:div w:id="963921728">
          <w:marLeft w:val="640"/>
          <w:marRight w:val="0"/>
          <w:marTop w:val="0"/>
          <w:marBottom w:val="0"/>
          <w:divBdr>
            <w:top w:val="none" w:sz="0" w:space="0" w:color="auto"/>
            <w:left w:val="none" w:sz="0" w:space="0" w:color="auto"/>
            <w:bottom w:val="none" w:sz="0" w:space="0" w:color="auto"/>
            <w:right w:val="none" w:sz="0" w:space="0" w:color="auto"/>
          </w:divBdr>
        </w:div>
        <w:div w:id="259529495">
          <w:marLeft w:val="640"/>
          <w:marRight w:val="0"/>
          <w:marTop w:val="0"/>
          <w:marBottom w:val="0"/>
          <w:divBdr>
            <w:top w:val="none" w:sz="0" w:space="0" w:color="auto"/>
            <w:left w:val="none" w:sz="0" w:space="0" w:color="auto"/>
            <w:bottom w:val="none" w:sz="0" w:space="0" w:color="auto"/>
            <w:right w:val="none" w:sz="0" w:space="0" w:color="auto"/>
          </w:divBdr>
        </w:div>
        <w:div w:id="1131242030">
          <w:marLeft w:val="640"/>
          <w:marRight w:val="0"/>
          <w:marTop w:val="0"/>
          <w:marBottom w:val="0"/>
          <w:divBdr>
            <w:top w:val="none" w:sz="0" w:space="0" w:color="auto"/>
            <w:left w:val="none" w:sz="0" w:space="0" w:color="auto"/>
            <w:bottom w:val="none" w:sz="0" w:space="0" w:color="auto"/>
            <w:right w:val="none" w:sz="0" w:space="0" w:color="auto"/>
          </w:divBdr>
        </w:div>
        <w:div w:id="454252985">
          <w:marLeft w:val="640"/>
          <w:marRight w:val="0"/>
          <w:marTop w:val="0"/>
          <w:marBottom w:val="0"/>
          <w:divBdr>
            <w:top w:val="none" w:sz="0" w:space="0" w:color="auto"/>
            <w:left w:val="none" w:sz="0" w:space="0" w:color="auto"/>
            <w:bottom w:val="none" w:sz="0" w:space="0" w:color="auto"/>
            <w:right w:val="none" w:sz="0" w:space="0" w:color="auto"/>
          </w:divBdr>
        </w:div>
      </w:divsChild>
    </w:div>
    <w:div w:id="1112627014">
      <w:bodyDiv w:val="1"/>
      <w:marLeft w:val="0"/>
      <w:marRight w:val="0"/>
      <w:marTop w:val="0"/>
      <w:marBottom w:val="0"/>
      <w:divBdr>
        <w:top w:val="none" w:sz="0" w:space="0" w:color="auto"/>
        <w:left w:val="none" w:sz="0" w:space="0" w:color="auto"/>
        <w:bottom w:val="none" w:sz="0" w:space="0" w:color="auto"/>
        <w:right w:val="none" w:sz="0" w:space="0" w:color="auto"/>
      </w:divBdr>
      <w:divsChild>
        <w:div w:id="1244223157">
          <w:marLeft w:val="640"/>
          <w:marRight w:val="0"/>
          <w:marTop w:val="0"/>
          <w:marBottom w:val="0"/>
          <w:divBdr>
            <w:top w:val="none" w:sz="0" w:space="0" w:color="auto"/>
            <w:left w:val="none" w:sz="0" w:space="0" w:color="auto"/>
            <w:bottom w:val="none" w:sz="0" w:space="0" w:color="auto"/>
            <w:right w:val="none" w:sz="0" w:space="0" w:color="auto"/>
          </w:divBdr>
        </w:div>
        <w:div w:id="23555948">
          <w:marLeft w:val="640"/>
          <w:marRight w:val="0"/>
          <w:marTop w:val="0"/>
          <w:marBottom w:val="0"/>
          <w:divBdr>
            <w:top w:val="none" w:sz="0" w:space="0" w:color="auto"/>
            <w:left w:val="none" w:sz="0" w:space="0" w:color="auto"/>
            <w:bottom w:val="none" w:sz="0" w:space="0" w:color="auto"/>
            <w:right w:val="none" w:sz="0" w:space="0" w:color="auto"/>
          </w:divBdr>
        </w:div>
        <w:div w:id="468397274">
          <w:marLeft w:val="640"/>
          <w:marRight w:val="0"/>
          <w:marTop w:val="0"/>
          <w:marBottom w:val="0"/>
          <w:divBdr>
            <w:top w:val="none" w:sz="0" w:space="0" w:color="auto"/>
            <w:left w:val="none" w:sz="0" w:space="0" w:color="auto"/>
            <w:bottom w:val="none" w:sz="0" w:space="0" w:color="auto"/>
            <w:right w:val="none" w:sz="0" w:space="0" w:color="auto"/>
          </w:divBdr>
        </w:div>
        <w:div w:id="864950791">
          <w:marLeft w:val="640"/>
          <w:marRight w:val="0"/>
          <w:marTop w:val="0"/>
          <w:marBottom w:val="0"/>
          <w:divBdr>
            <w:top w:val="none" w:sz="0" w:space="0" w:color="auto"/>
            <w:left w:val="none" w:sz="0" w:space="0" w:color="auto"/>
            <w:bottom w:val="none" w:sz="0" w:space="0" w:color="auto"/>
            <w:right w:val="none" w:sz="0" w:space="0" w:color="auto"/>
          </w:divBdr>
        </w:div>
        <w:div w:id="287275847">
          <w:marLeft w:val="640"/>
          <w:marRight w:val="0"/>
          <w:marTop w:val="0"/>
          <w:marBottom w:val="0"/>
          <w:divBdr>
            <w:top w:val="none" w:sz="0" w:space="0" w:color="auto"/>
            <w:left w:val="none" w:sz="0" w:space="0" w:color="auto"/>
            <w:bottom w:val="none" w:sz="0" w:space="0" w:color="auto"/>
            <w:right w:val="none" w:sz="0" w:space="0" w:color="auto"/>
          </w:divBdr>
        </w:div>
        <w:div w:id="2031640414">
          <w:marLeft w:val="640"/>
          <w:marRight w:val="0"/>
          <w:marTop w:val="0"/>
          <w:marBottom w:val="0"/>
          <w:divBdr>
            <w:top w:val="none" w:sz="0" w:space="0" w:color="auto"/>
            <w:left w:val="none" w:sz="0" w:space="0" w:color="auto"/>
            <w:bottom w:val="none" w:sz="0" w:space="0" w:color="auto"/>
            <w:right w:val="none" w:sz="0" w:space="0" w:color="auto"/>
          </w:divBdr>
        </w:div>
        <w:div w:id="1303652714">
          <w:marLeft w:val="640"/>
          <w:marRight w:val="0"/>
          <w:marTop w:val="0"/>
          <w:marBottom w:val="0"/>
          <w:divBdr>
            <w:top w:val="none" w:sz="0" w:space="0" w:color="auto"/>
            <w:left w:val="none" w:sz="0" w:space="0" w:color="auto"/>
            <w:bottom w:val="none" w:sz="0" w:space="0" w:color="auto"/>
            <w:right w:val="none" w:sz="0" w:space="0" w:color="auto"/>
          </w:divBdr>
        </w:div>
        <w:div w:id="1222912245">
          <w:marLeft w:val="640"/>
          <w:marRight w:val="0"/>
          <w:marTop w:val="0"/>
          <w:marBottom w:val="0"/>
          <w:divBdr>
            <w:top w:val="none" w:sz="0" w:space="0" w:color="auto"/>
            <w:left w:val="none" w:sz="0" w:space="0" w:color="auto"/>
            <w:bottom w:val="none" w:sz="0" w:space="0" w:color="auto"/>
            <w:right w:val="none" w:sz="0" w:space="0" w:color="auto"/>
          </w:divBdr>
        </w:div>
        <w:div w:id="1652446799">
          <w:marLeft w:val="640"/>
          <w:marRight w:val="0"/>
          <w:marTop w:val="0"/>
          <w:marBottom w:val="0"/>
          <w:divBdr>
            <w:top w:val="none" w:sz="0" w:space="0" w:color="auto"/>
            <w:left w:val="none" w:sz="0" w:space="0" w:color="auto"/>
            <w:bottom w:val="none" w:sz="0" w:space="0" w:color="auto"/>
            <w:right w:val="none" w:sz="0" w:space="0" w:color="auto"/>
          </w:divBdr>
        </w:div>
        <w:div w:id="869800581">
          <w:marLeft w:val="640"/>
          <w:marRight w:val="0"/>
          <w:marTop w:val="0"/>
          <w:marBottom w:val="0"/>
          <w:divBdr>
            <w:top w:val="none" w:sz="0" w:space="0" w:color="auto"/>
            <w:left w:val="none" w:sz="0" w:space="0" w:color="auto"/>
            <w:bottom w:val="none" w:sz="0" w:space="0" w:color="auto"/>
            <w:right w:val="none" w:sz="0" w:space="0" w:color="auto"/>
          </w:divBdr>
        </w:div>
        <w:div w:id="1973171995">
          <w:marLeft w:val="640"/>
          <w:marRight w:val="0"/>
          <w:marTop w:val="0"/>
          <w:marBottom w:val="0"/>
          <w:divBdr>
            <w:top w:val="none" w:sz="0" w:space="0" w:color="auto"/>
            <w:left w:val="none" w:sz="0" w:space="0" w:color="auto"/>
            <w:bottom w:val="none" w:sz="0" w:space="0" w:color="auto"/>
            <w:right w:val="none" w:sz="0" w:space="0" w:color="auto"/>
          </w:divBdr>
        </w:div>
        <w:div w:id="634523940">
          <w:marLeft w:val="640"/>
          <w:marRight w:val="0"/>
          <w:marTop w:val="0"/>
          <w:marBottom w:val="0"/>
          <w:divBdr>
            <w:top w:val="none" w:sz="0" w:space="0" w:color="auto"/>
            <w:left w:val="none" w:sz="0" w:space="0" w:color="auto"/>
            <w:bottom w:val="none" w:sz="0" w:space="0" w:color="auto"/>
            <w:right w:val="none" w:sz="0" w:space="0" w:color="auto"/>
          </w:divBdr>
        </w:div>
        <w:div w:id="517544638">
          <w:marLeft w:val="640"/>
          <w:marRight w:val="0"/>
          <w:marTop w:val="0"/>
          <w:marBottom w:val="0"/>
          <w:divBdr>
            <w:top w:val="none" w:sz="0" w:space="0" w:color="auto"/>
            <w:left w:val="none" w:sz="0" w:space="0" w:color="auto"/>
            <w:bottom w:val="none" w:sz="0" w:space="0" w:color="auto"/>
            <w:right w:val="none" w:sz="0" w:space="0" w:color="auto"/>
          </w:divBdr>
        </w:div>
        <w:div w:id="1871793308">
          <w:marLeft w:val="640"/>
          <w:marRight w:val="0"/>
          <w:marTop w:val="0"/>
          <w:marBottom w:val="0"/>
          <w:divBdr>
            <w:top w:val="none" w:sz="0" w:space="0" w:color="auto"/>
            <w:left w:val="none" w:sz="0" w:space="0" w:color="auto"/>
            <w:bottom w:val="none" w:sz="0" w:space="0" w:color="auto"/>
            <w:right w:val="none" w:sz="0" w:space="0" w:color="auto"/>
          </w:divBdr>
        </w:div>
        <w:div w:id="676926985">
          <w:marLeft w:val="640"/>
          <w:marRight w:val="0"/>
          <w:marTop w:val="0"/>
          <w:marBottom w:val="0"/>
          <w:divBdr>
            <w:top w:val="none" w:sz="0" w:space="0" w:color="auto"/>
            <w:left w:val="none" w:sz="0" w:space="0" w:color="auto"/>
            <w:bottom w:val="none" w:sz="0" w:space="0" w:color="auto"/>
            <w:right w:val="none" w:sz="0" w:space="0" w:color="auto"/>
          </w:divBdr>
        </w:div>
        <w:div w:id="1588266362">
          <w:marLeft w:val="640"/>
          <w:marRight w:val="0"/>
          <w:marTop w:val="0"/>
          <w:marBottom w:val="0"/>
          <w:divBdr>
            <w:top w:val="none" w:sz="0" w:space="0" w:color="auto"/>
            <w:left w:val="none" w:sz="0" w:space="0" w:color="auto"/>
            <w:bottom w:val="none" w:sz="0" w:space="0" w:color="auto"/>
            <w:right w:val="none" w:sz="0" w:space="0" w:color="auto"/>
          </w:divBdr>
        </w:div>
        <w:div w:id="371466873">
          <w:marLeft w:val="640"/>
          <w:marRight w:val="0"/>
          <w:marTop w:val="0"/>
          <w:marBottom w:val="0"/>
          <w:divBdr>
            <w:top w:val="none" w:sz="0" w:space="0" w:color="auto"/>
            <w:left w:val="none" w:sz="0" w:space="0" w:color="auto"/>
            <w:bottom w:val="none" w:sz="0" w:space="0" w:color="auto"/>
            <w:right w:val="none" w:sz="0" w:space="0" w:color="auto"/>
          </w:divBdr>
        </w:div>
        <w:div w:id="357321713">
          <w:marLeft w:val="640"/>
          <w:marRight w:val="0"/>
          <w:marTop w:val="0"/>
          <w:marBottom w:val="0"/>
          <w:divBdr>
            <w:top w:val="none" w:sz="0" w:space="0" w:color="auto"/>
            <w:left w:val="none" w:sz="0" w:space="0" w:color="auto"/>
            <w:bottom w:val="none" w:sz="0" w:space="0" w:color="auto"/>
            <w:right w:val="none" w:sz="0" w:space="0" w:color="auto"/>
          </w:divBdr>
        </w:div>
        <w:div w:id="1914201302">
          <w:marLeft w:val="640"/>
          <w:marRight w:val="0"/>
          <w:marTop w:val="0"/>
          <w:marBottom w:val="0"/>
          <w:divBdr>
            <w:top w:val="none" w:sz="0" w:space="0" w:color="auto"/>
            <w:left w:val="none" w:sz="0" w:space="0" w:color="auto"/>
            <w:bottom w:val="none" w:sz="0" w:space="0" w:color="auto"/>
            <w:right w:val="none" w:sz="0" w:space="0" w:color="auto"/>
          </w:divBdr>
        </w:div>
        <w:div w:id="57703946">
          <w:marLeft w:val="640"/>
          <w:marRight w:val="0"/>
          <w:marTop w:val="0"/>
          <w:marBottom w:val="0"/>
          <w:divBdr>
            <w:top w:val="none" w:sz="0" w:space="0" w:color="auto"/>
            <w:left w:val="none" w:sz="0" w:space="0" w:color="auto"/>
            <w:bottom w:val="none" w:sz="0" w:space="0" w:color="auto"/>
            <w:right w:val="none" w:sz="0" w:space="0" w:color="auto"/>
          </w:divBdr>
        </w:div>
        <w:div w:id="2082481165">
          <w:marLeft w:val="640"/>
          <w:marRight w:val="0"/>
          <w:marTop w:val="0"/>
          <w:marBottom w:val="0"/>
          <w:divBdr>
            <w:top w:val="none" w:sz="0" w:space="0" w:color="auto"/>
            <w:left w:val="none" w:sz="0" w:space="0" w:color="auto"/>
            <w:bottom w:val="none" w:sz="0" w:space="0" w:color="auto"/>
            <w:right w:val="none" w:sz="0" w:space="0" w:color="auto"/>
          </w:divBdr>
        </w:div>
        <w:div w:id="421605939">
          <w:marLeft w:val="640"/>
          <w:marRight w:val="0"/>
          <w:marTop w:val="0"/>
          <w:marBottom w:val="0"/>
          <w:divBdr>
            <w:top w:val="none" w:sz="0" w:space="0" w:color="auto"/>
            <w:left w:val="none" w:sz="0" w:space="0" w:color="auto"/>
            <w:bottom w:val="none" w:sz="0" w:space="0" w:color="auto"/>
            <w:right w:val="none" w:sz="0" w:space="0" w:color="auto"/>
          </w:divBdr>
        </w:div>
        <w:div w:id="1779908661">
          <w:marLeft w:val="640"/>
          <w:marRight w:val="0"/>
          <w:marTop w:val="0"/>
          <w:marBottom w:val="0"/>
          <w:divBdr>
            <w:top w:val="none" w:sz="0" w:space="0" w:color="auto"/>
            <w:left w:val="none" w:sz="0" w:space="0" w:color="auto"/>
            <w:bottom w:val="none" w:sz="0" w:space="0" w:color="auto"/>
            <w:right w:val="none" w:sz="0" w:space="0" w:color="auto"/>
          </w:divBdr>
        </w:div>
        <w:div w:id="998197068">
          <w:marLeft w:val="640"/>
          <w:marRight w:val="0"/>
          <w:marTop w:val="0"/>
          <w:marBottom w:val="0"/>
          <w:divBdr>
            <w:top w:val="none" w:sz="0" w:space="0" w:color="auto"/>
            <w:left w:val="none" w:sz="0" w:space="0" w:color="auto"/>
            <w:bottom w:val="none" w:sz="0" w:space="0" w:color="auto"/>
            <w:right w:val="none" w:sz="0" w:space="0" w:color="auto"/>
          </w:divBdr>
        </w:div>
        <w:div w:id="1352416593">
          <w:marLeft w:val="640"/>
          <w:marRight w:val="0"/>
          <w:marTop w:val="0"/>
          <w:marBottom w:val="0"/>
          <w:divBdr>
            <w:top w:val="none" w:sz="0" w:space="0" w:color="auto"/>
            <w:left w:val="none" w:sz="0" w:space="0" w:color="auto"/>
            <w:bottom w:val="none" w:sz="0" w:space="0" w:color="auto"/>
            <w:right w:val="none" w:sz="0" w:space="0" w:color="auto"/>
          </w:divBdr>
        </w:div>
        <w:div w:id="1469517605">
          <w:marLeft w:val="640"/>
          <w:marRight w:val="0"/>
          <w:marTop w:val="0"/>
          <w:marBottom w:val="0"/>
          <w:divBdr>
            <w:top w:val="none" w:sz="0" w:space="0" w:color="auto"/>
            <w:left w:val="none" w:sz="0" w:space="0" w:color="auto"/>
            <w:bottom w:val="none" w:sz="0" w:space="0" w:color="auto"/>
            <w:right w:val="none" w:sz="0" w:space="0" w:color="auto"/>
          </w:divBdr>
        </w:div>
        <w:div w:id="2063871609">
          <w:marLeft w:val="640"/>
          <w:marRight w:val="0"/>
          <w:marTop w:val="0"/>
          <w:marBottom w:val="0"/>
          <w:divBdr>
            <w:top w:val="none" w:sz="0" w:space="0" w:color="auto"/>
            <w:left w:val="none" w:sz="0" w:space="0" w:color="auto"/>
            <w:bottom w:val="none" w:sz="0" w:space="0" w:color="auto"/>
            <w:right w:val="none" w:sz="0" w:space="0" w:color="auto"/>
          </w:divBdr>
        </w:div>
        <w:div w:id="1739866223">
          <w:marLeft w:val="640"/>
          <w:marRight w:val="0"/>
          <w:marTop w:val="0"/>
          <w:marBottom w:val="0"/>
          <w:divBdr>
            <w:top w:val="none" w:sz="0" w:space="0" w:color="auto"/>
            <w:left w:val="none" w:sz="0" w:space="0" w:color="auto"/>
            <w:bottom w:val="none" w:sz="0" w:space="0" w:color="auto"/>
            <w:right w:val="none" w:sz="0" w:space="0" w:color="auto"/>
          </w:divBdr>
        </w:div>
        <w:div w:id="1922717401">
          <w:marLeft w:val="640"/>
          <w:marRight w:val="0"/>
          <w:marTop w:val="0"/>
          <w:marBottom w:val="0"/>
          <w:divBdr>
            <w:top w:val="none" w:sz="0" w:space="0" w:color="auto"/>
            <w:left w:val="none" w:sz="0" w:space="0" w:color="auto"/>
            <w:bottom w:val="none" w:sz="0" w:space="0" w:color="auto"/>
            <w:right w:val="none" w:sz="0" w:space="0" w:color="auto"/>
          </w:divBdr>
        </w:div>
        <w:div w:id="1494755125">
          <w:marLeft w:val="640"/>
          <w:marRight w:val="0"/>
          <w:marTop w:val="0"/>
          <w:marBottom w:val="0"/>
          <w:divBdr>
            <w:top w:val="none" w:sz="0" w:space="0" w:color="auto"/>
            <w:left w:val="none" w:sz="0" w:space="0" w:color="auto"/>
            <w:bottom w:val="none" w:sz="0" w:space="0" w:color="auto"/>
            <w:right w:val="none" w:sz="0" w:space="0" w:color="auto"/>
          </w:divBdr>
        </w:div>
        <w:div w:id="807941102">
          <w:marLeft w:val="640"/>
          <w:marRight w:val="0"/>
          <w:marTop w:val="0"/>
          <w:marBottom w:val="0"/>
          <w:divBdr>
            <w:top w:val="none" w:sz="0" w:space="0" w:color="auto"/>
            <w:left w:val="none" w:sz="0" w:space="0" w:color="auto"/>
            <w:bottom w:val="none" w:sz="0" w:space="0" w:color="auto"/>
            <w:right w:val="none" w:sz="0" w:space="0" w:color="auto"/>
          </w:divBdr>
        </w:div>
        <w:div w:id="980574360">
          <w:marLeft w:val="640"/>
          <w:marRight w:val="0"/>
          <w:marTop w:val="0"/>
          <w:marBottom w:val="0"/>
          <w:divBdr>
            <w:top w:val="none" w:sz="0" w:space="0" w:color="auto"/>
            <w:left w:val="none" w:sz="0" w:space="0" w:color="auto"/>
            <w:bottom w:val="none" w:sz="0" w:space="0" w:color="auto"/>
            <w:right w:val="none" w:sz="0" w:space="0" w:color="auto"/>
          </w:divBdr>
        </w:div>
        <w:div w:id="1102603325">
          <w:marLeft w:val="640"/>
          <w:marRight w:val="0"/>
          <w:marTop w:val="0"/>
          <w:marBottom w:val="0"/>
          <w:divBdr>
            <w:top w:val="none" w:sz="0" w:space="0" w:color="auto"/>
            <w:left w:val="none" w:sz="0" w:space="0" w:color="auto"/>
            <w:bottom w:val="none" w:sz="0" w:space="0" w:color="auto"/>
            <w:right w:val="none" w:sz="0" w:space="0" w:color="auto"/>
          </w:divBdr>
        </w:div>
        <w:div w:id="700666968">
          <w:marLeft w:val="640"/>
          <w:marRight w:val="0"/>
          <w:marTop w:val="0"/>
          <w:marBottom w:val="0"/>
          <w:divBdr>
            <w:top w:val="none" w:sz="0" w:space="0" w:color="auto"/>
            <w:left w:val="none" w:sz="0" w:space="0" w:color="auto"/>
            <w:bottom w:val="none" w:sz="0" w:space="0" w:color="auto"/>
            <w:right w:val="none" w:sz="0" w:space="0" w:color="auto"/>
          </w:divBdr>
        </w:div>
        <w:div w:id="1136991236">
          <w:marLeft w:val="640"/>
          <w:marRight w:val="0"/>
          <w:marTop w:val="0"/>
          <w:marBottom w:val="0"/>
          <w:divBdr>
            <w:top w:val="none" w:sz="0" w:space="0" w:color="auto"/>
            <w:left w:val="none" w:sz="0" w:space="0" w:color="auto"/>
            <w:bottom w:val="none" w:sz="0" w:space="0" w:color="auto"/>
            <w:right w:val="none" w:sz="0" w:space="0" w:color="auto"/>
          </w:divBdr>
        </w:div>
        <w:div w:id="1678076059">
          <w:marLeft w:val="640"/>
          <w:marRight w:val="0"/>
          <w:marTop w:val="0"/>
          <w:marBottom w:val="0"/>
          <w:divBdr>
            <w:top w:val="none" w:sz="0" w:space="0" w:color="auto"/>
            <w:left w:val="none" w:sz="0" w:space="0" w:color="auto"/>
            <w:bottom w:val="none" w:sz="0" w:space="0" w:color="auto"/>
            <w:right w:val="none" w:sz="0" w:space="0" w:color="auto"/>
          </w:divBdr>
        </w:div>
        <w:div w:id="891118555">
          <w:marLeft w:val="640"/>
          <w:marRight w:val="0"/>
          <w:marTop w:val="0"/>
          <w:marBottom w:val="0"/>
          <w:divBdr>
            <w:top w:val="none" w:sz="0" w:space="0" w:color="auto"/>
            <w:left w:val="none" w:sz="0" w:space="0" w:color="auto"/>
            <w:bottom w:val="none" w:sz="0" w:space="0" w:color="auto"/>
            <w:right w:val="none" w:sz="0" w:space="0" w:color="auto"/>
          </w:divBdr>
        </w:div>
        <w:div w:id="1966302244">
          <w:marLeft w:val="640"/>
          <w:marRight w:val="0"/>
          <w:marTop w:val="0"/>
          <w:marBottom w:val="0"/>
          <w:divBdr>
            <w:top w:val="none" w:sz="0" w:space="0" w:color="auto"/>
            <w:left w:val="none" w:sz="0" w:space="0" w:color="auto"/>
            <w:bottom w:val="none" w:sz="0" w:space="0" w:color="auto"/>
            <w:right w:val="none" w:sz="0" w:space="0" w:color="auto"/>
          </w:divBdr>
        </w:div>
        <w:div w:id="1640458780">
          <w:marLeft w:val="640"/>
          <w:marRight w:val="0"/>
          <w:marTop w:val="0"/>
          <w:marBottom w:val="0"/>
          <w:divBdr>
            <w:top w:val="none" w:sz="0" w:space="0" w:color="auto"/>
            <w:left w:val="none" w:sz="0" w:space="0" w:color="auto"/>
            <w:bottom w:val="none" w:sz="0" w:space="0" w:color="auto"/>
            <w:right w:val="none" w:sz="0" w:space="0" w:color="auto"/>
          </w:divBdr>
        </w:div>
        <w:div w:id="1564834981">
          <w:marLeft w:val="640"/>
          <w:marRight w:val="0"/>
          <w:marTop w:val="0"/>
          <w:marBottom w:val="0"/>
          <w:divBdr>
            <w:top w:val="none" w:sz="0" w:space="0" w:color="auto"/>
            <w:left w:val="none" w:sz="0" w:space="0" w:color="auto"/>
            <w:bottom w:val="none" w:sz="0" w:space="0" w:color="auto"/>
            <w:right w:val="none" w:sz="0" w:space="0" w:color="auto"/>
          </w:divBdr>
        </w:div>
        <w:div w:id="1617911362">
          <w:marLeft w:val="640"/>
          <w:marRight w:val="0"/>
          <w:marTop w:val="0"/>
          <w:marBottom w:val="0"/>
          <w:divBdr>
            <w:top w:val="none" w:sz="0" w:space="0" w:color="auto"/>
            <w:left w:val="none" w:sz="0" w:space="0" w:color="auto"/>
            <w:bottom w:val="none" w:sz="0" w:space="0" w:color="auto"/>
            <w:right w:val="none" w:sz="0" w:space="0" w:color="auto"/>
          </w:divBdr>
        </w:div>
        <w:div w:id="789395694">
          <w:marLeft w:val="640"/>
          <w:marRight w:val="0"/>
          <w:marTop w:val="0"/>
          <w:marBottom w:val="0"/>
          <w:divBdr>
            <w:top w:val="none" w:sz="0" w:space="0" w:color="auto"/>
            <w:left w:val="none" w:sz="0" w:space="0" w:color="auto"/>
            <w:bottom w:val="none" w:sz="0" w:space="0" w:color="auto"/>
            <w:right w:val="none" w:sz="0" w:space="0" w:color="auto"/>
          </w:divBdr>
        </w:div>
        <w:div w:id="171459816">
          <w:marLeft w:val="640"/>
          <w:marRight w:val="0"/>
          <w:marTop w:val="0"/>
          <w:marBottom w:val="0"/>
          <w:divBdr>
            <w:top w:val="none" w:sz="0" w:space="0" w:color="auto"/>
            <w:left w:val="none" w:sz="0" w:space="0" w:color="auto"/>
            <w:bottom w:val="none" w:sz="0" w:space="0" w:color="auto"/>
            <w:right w:val="none" w:sz="0" w:space="0" w:color="auto"/>
          </w:divBdr>
        </w:div>
        <w:div w:id="537355536">
          <w:marLeft w:val="640"/>
          <w:marRight w:val="0"/>
          <w:marTop w:val="0"/>
          <w:marBottom w:val="0"/>
          <w:divBdr>
            <w:top w:val="none" w:sz="0" w:space="0" w:color="auto"/>
            <w:left w:val="none" w:sz="0" w:space="0" w:color="auto"/>
            <w:bottom w:val="none" w:sz="0" w:space="0" w:color="auto"/>
            <w:right w:val="none" w:sz="0" w:space="0" w:color="auto"/>
          </w:divBdr>
        </w:div>
        <w:div w:id="950626536">
          <w:marLeft w:val="640"/>
          <w:marRight w:val="0"/>
          <w:marTop w:val="0"/>
          <w:marBottom w:val="0"/>
          <w:divBdr>
            <w:top w:val="none" w:sz="0" w:space="0" w:color="auto"/>
            <w:left w:val="none" w:sz="0" w:space="0" w:color="auto"/>
            <w:bottom w:val="none" w:sz="0" w:space="0" w:color="auto"/>
            <w:right w:val="none" w:sz="0" w:space="0" w:color="auto"/>
          </w:divBdr>
        </w:div>
        <w:div w:id="631256205">
          <w:marLeft w:val="640"/>
          <w:marRight w:val="0"/>
          <w:marTop w:val="0"/>
          <w:marBottom w:val="0"/>
          <w:divBdr>
            <w:top w:val="none" w:sz="0" w:space="0" w:color="auto"/>
            <w:left w:val="none" w:sz="0" w:space="0" w:color="auto"/>
            <w:bottom w:val="none" w:sz="0" w:space="0" w:color="auto"/>
            <w:right w:val="none" w:sz="0" w:space="0" w:color="auto"/>
          </w:divBdr>
        </w:div>
        <w:div w:id="323582337">
          <w:marLeft w:val="640"/>
          <w:marRight w:val="0"/>
          <w:marTop w:val="0"/>
          <w:marBottom w:val="0"/>
          <w:divBdr>
            <w:top w:val="none" w:sz="0" w:space="0" w:color="auto"/>
            <w:left w:val="none" w:sz="0" w:space="0" w:color="auto"/>
            <w:bottom w:val="none" w:sz="0" w:space="0" w:color="auto"/>
            <w:right w:val="none" w:sz="0" w:space="0" w:color="auto"/>
          </w:divBdr>
        </w:div>
        <w:div w:id="99223074">
          <w:marLeft w:val="640"/>
          <w:marRight w:val="0"/>
          <w:marTop w:val="0"/>
          <w:marBottom w:val="0"/>
          <w:divBdr>
            <w:top w:val="none" w:sz="0" w:space="0" w:color="auto"/>
            <w:left w:val="none" w:sz="0" w:space="0" w:color="auto"/>
            <w:bottom w:val="none" w:sz="0" w:space="0" w:color="auto"/>
            <w:right w:val="none" w:sz="0" w:space="0" w:color="auto"/>
          </w:divBdr>
        </w:div>
        <w:div w:id="1229456763">
          <w:marLeft w:val="640"/>
          <w:marRight w:val="0"/>
          <w:marTop w:val="0"/>
          <w:marBottom w:val="0"/>
          <w:divBdr>
            <w:top w:val="none" w:sz="0" w:space="0" w:color="auto"/>
            <w:left w:val="none" w:sz="0" w:space="0" w:color="auto"/>
            <w:bottom w:val="none" w:sz="0" w:space="0" w:color="auto"/>
            <w:right w:val="none" w:sz="0" w:space="0" w:color="auto"/>
          </w:divBdr>
        </w:div>
        <w:div w:id="1221014256">
          <w:marLeft w:val="640"/>
          <w:marRight w:val="0"/>
          <w:marTop w:val="0"/>
          <w:marBottom w:val="0"/>
          <w:divBdr>
            <w:top w:val="none" w:sz="0" w:space="0" w:color="auto"/>
            <w:left w:val="none" w:sz="0" w:space="0" w:color="auto"/>
            <w:bottom w:val="none" w:sz="0" w:space="0" w:color="auto"/>
            <w:right w:val="none" w:sz="0" w:space="0" w:color="auto"/>
          </w:divBdr>
        </w:div>
        <w:div w:id="725421483">
          <w:marLeft w:val="640"/>
          <w:marRight w:val="0"/>
          <w:marTop w:val="0"/>
          <w:marBottom w:val="0"/>
          <w:divBdr>
            <w:top w:val="none" w:sz="0" w:space="0" w:color="auto"/>
            <w:left w:val="none" w:sz="0" w:space="0" w:color="auto"/>
            <w:bottom w:val="none" w:sz="0" w:space="0" w:color="auto"/>
            <w:right w:val="none" w:sz="0" w:space="0" w:color="auto"/>
          </w:divBdr>
        </w:div>
        <w:div w:id="1713722912">
          <w:marLeft w:val="640"/>
          <w:marRight w:val="0"/>
          <w:marTop w:val="0"/>
          <w:marBottom w:val="0"/>
          <w:divBdr>
            <w:top w:val="none" w:sz="0" w:space="0" w:color="auto"/>
            <w:left w:val="none" w:sz="0" w:space="0" w:color="auto"/>
            <w:bottom w:val="none" w:sz="0" w:space="0" w:color="auto"/>
            <w:right w:val="none" w:sz="0" w:space="0" w:color="auto"/>
          </w:divBdr>
        </w:div>
        <w:div w:id="952371084">
          <w:marLeft w:val="640"/>
          <w:marRight w:val="0"/>
          <w:marTop w:val="0"/>
          <w:marBottom w:val="0"/>
          <w:divBdr>
            <w:top w:val="none" w:sz="0" w:space="0" w:color="auto"/>
            <w:left w:val="none" w:sz="0" w:space="0" w:color="auto"/>
            <w:bottom w:val="none" w:sz="0" w:space="0" w:color="auto"/>
            <w:right w:val="none" w:sz="0" w:space="0" w:color="auto"/>
          </w:divBdr>
        </w:div>
        <w:div w:id="260113696">
          <w:marLeft w:val="640"/>
          <w:marRight w:val="0"/>
          <w:marTop w:val="0"/>
          <w:marBottom w:val="0"/>
          <w:divBdr>
            <w:top w:val="none" w:sz="0" w:space="0" w:color="auto"/>
            <w:left w:val="none" w:sz="0" w:space="0" w:color="auto"/>
            <w:bottom w:val="none" w:sz="0" w:space="0" w:color="auto"/>
            <w:right w:val="none" w:sz="0" w:space="0" w:color="auto"/>
          </w:divBdr>
        </w:div>
        <w:div w:id="923614586">
          <w:marLeft w:val="640"/>
          <w:marRight w:val="0"/>
          <w:marTop w:val="0"/>
          <w:marBottom w:val="0"/>
          <w:divBdr>
            <w:top w:val="none" w:sz="0" w:space="0" w:color="auto"/>
            <w:left w:val="none" w:sz="0" w:space="0" w:color="auto"/>
            <w:bottom w:val="none" w:sz="0" w:space="0" w:color="auto"/>
            <w:right w:val="none" w:sz="0" w:space="0" w:color="auto"/>
          </w:divBdr>
        </w:div>
        <w:div w:id="224293237">
          <w:marLeft w:val="640"/>
          <w:marRight w:val="0"/>
          <w:marTop w:val="0"/>
          <w:marBottom w:val="0"/>
          <w:divBdr>
            <w:top w:val="none" w:sz="0" w:space="0" w:color="auto"/>
            <w:left w:val="none" w:sz="0" w:space="0" w:color="auto"/>
            <w:bottom w:val="none" w:sz="0" w:space="0" w:color="auto"/>
            <w:right w:val="none" w:sz="0" w:space="0" w:color="auto"/>
          </w:divBdr>
        </w:div>
        <w:div w:id="1157265289">
          <w:marLeft w:val="640"/>
          <w:marRight w:val="0"/>
          <w:marTop w:val="0"/>
          <w:marBottom w:val="0"/>
          <w:divBdr>
            <w:top w:val="none" w:sz="0" w:space="0" w:color="auto"/>
            <w:left w:val="none" w:sz="0" w:space="0" w:color="auto"/>
            <w:bottom w:val="none" w:sz="0" w:space="0" w:color="auto"/>
            <w:right w:val="none" w:sz="0" w:space="0" w:color="auto"/>
          </w:divBdr>
        </w:div>
        <w:div w:id="1573931879">
          <w:marLeft w:val="640"/>
          <w:marRight w:val="0"/>
          <w:marTop w:val="0"/>
          <w:marBottom w:val="0"/>
          <w:divBdr>
            <w:top w:val="none" w:sz="0" w:space="0" w:color="auto"/>
            <w:left w:val="none" w:sz="0" w:space="0" w:color="auto"/>
            <w:bottom w:val="none" w:sz="0" w:space="0" w:color="auto"/>
            <w:right w:val="none" w:sz="0" w:space="0" w:color="auto"/>
          </w:divBdr>
        </w:div>
        <w:div w:id="1393385182">
          <w:marLeft w:val="640"/>
          <w:marRight w:val="0"/>
          <w:marTop w:val="0"/>
          <w:marBottom w:val="0"/>
          <w:divBdr>
            <w:top w:val="none" w:sz="0" w:space="0" w:color="auto"/>
            <w:left w:val="none" w:sz="0" w:space="0" w:color="auto"/>
            <w:bottom w:val="none" w:sz="0" w:space="0" w:color="auto"/>
            <w:right w:val="none" w:sz="0" w:space="0" w:color="auto"/>
          </w:divBdr>
        </w:div>
        <w:div w:id="402945199">
          <w:marLeft w:val="640"/>
          <w:marRight w:val="0"/>
          <w:marTop w:val="0"/>
          <w:marBottom w:val="0"/>
          <w:divBdr>
            <w:top w:val="none" w:sz="0" w:space="0" w:color="auto"/>
            <w:left w:val="none" w:sz="0" w:space="0" w:color="auto"/>
            <w:bottom w:val="none" w:sz="0" w:space="0" w:color="auto"/>
            <w:right w:val="none" w:sz="0" w:space="0" w:color="auto"/>
          </w:divBdr>
        </w:div>
        <w:div w:id="151600821">
          <w:marLeft w:val="640"/>
          <w:marRight w:val="0"/>
          <w:marTop w:val="0"/>
          <w:marBottom w:val="0"/>
          <w:divBdr>
            <w:top w:val="none" w:sz="0" w:space="0" w:color="auto"/>
            <w:left w:val="none" w:sz="0" w:space="0" w:color="auto"/>
            <w:bottom w:val="none" w:sz="0" w:space="0" w:color="auto"/>
            <w:right w:val="none" w:sz="0" w:space="0" w:color="auto"/>
          </w:divBdr>
        </w:div>
        <w:div w:id="822887599">
          <w:marLeft w:val="640"/>
          <w:marRight w:val="0"/>
          <w:marTop w:val="0"/>
          <w:marBottom w:val="0"/>
          <w:divBdr>
            <w:top w:val="none" w:sz="0" w:space="0" w:color="auto"/>
            <w:left w:val="none" w:sz="0" w:space="0" w:color="auto"/>
            <w:bottom w:val="none" w:sz="0" w:space="0" w:color="auto"/>
            <w:right w:val="none" w:sz="0" w:space="0" w:color="auto"/>
          </w:divBdr>
        </w:div>
        <w:div w:id="415514937">
          <w:marLeft w:val="640"/>
          <w:marRight w:val="0"/>
          <w:marTop w:val="0"/>
          <w:marBottom w:val="0"/>
          <w:divBdr>
            <w:top w:val="none" w:sz="0" w:space="0" w:color="auto"/>
            <w:left w:val="none" w:sz="0" w:space="0" w:color="auto"/>
            <w:bottom w:val="none" w:sz="0" w:space="0" w:color="auto"/>
            <w:right w:val="none" w:sz="0" w:space="0" w:color="auto"/>
          </w:divBdr>
        </w:div>
        <w:div w:id="960261033">
          <w:marLeft w:val="640"/>
          <w:marRight w:val="0"/>
          <w:marTop w:val="0"/>
          <w:marBottom w:val="0"/>
          <w:divBdr>
            <w:top w:val="none" w:sz="0" w:space="0" w:color="auto"/>
            <w:left w:val="none" w:sz="0" w:space="0" w:color="auto"/>
            <w:bottom w:val="none" w:sz="0" w:space="0" w:color="auto"/>
            <w:right w:val="none" w:sz="0" w:space="0" w:color="auto"/>
          </w:divBdr>
        </w:div>
        <w:div w:id="1700277155">
          <w:marLeft w:val="640"/>
          <w:marRight w:val="0"/>
          <w:marTop w:val="0"/>
          <w:marBottom w:val="0"/>
          <w:divBdr>
            <w:top w:val="none" w:sz="0" w:space="0" w:color="auto"/>
            <w:left w:val="none" w:sz="0" w:space="0" w:color="auto"/>
            <w:bottom w:val="none" w:sz="0" w:space="0" w:color="auto"/>
            <w:right w:val="none" w:sz="0" w:space="0" w:color="auto"/>
          </w:divBdr>
        </w:div>
        <w:div w:id="630524077">
          <w:marLeft w:val="640"/>
          <w:marRight w:val="0"/>
          <w:marTop w:val="0"/>
          <w:marBottom w:val="0"/>
          <w:divBdr>
            <w:top w:val="none" w:sz="0" w:space="0" w:color="auto"/>
            <w:left w:val="none" w:sz="0" w:space="0" w:color="auto"/>
            <w:bottom w:val="none" w:sz="0" w:space="0" w:color="auto"/>
            <w:right w:val="none" w:sz="0" w:space="0" w:color="auto"/>
          </w:divBdr>
        </w:div>
        <w:div w:id="1600523264">
          <w:marLeft w:val="640"/>
          <w:marRight w:val="0"/>
          <w:marTop w:val="0"/>
          <w:marBottom w:val="0"/>
          <w:divBdr>
            <w:top w:val="none" w:sz="0" w:space="0" w:color="auto"/>
            <w:left w:val="none" w:sz="0" w:space="0" w:color="auto"/>
            <w:bottom w:val="none" w:sz="0" w:space="0" w:color="auto"/>
            <w:right w:val="none" w:sz="0" w:space="0" w:color="auto"/>
          </w:divBdr>
        </w:div>
        <w:div w:id="1471047161">
          <w:marLeft w:val="640"/>
          <w:marRight w:val="0"/>
          <w:marTop w:val="0"/>
          <w:marBottom w:val="0"/>
          <w:divBdr>
            <w:top w:val="none" w:sz="0" w:space="0" w:color="auto"/>
            <w:left w:val="none" w:sz="0" w:space="0" w:color="auto"/>
            <w:bottom w:val="none" w:sz="0" w:space="0" w:color="auto"/>
            <w:right w:val="none" w:sz="0" w:space="0" w:color="auto"/>
          </w:divBdr>
        </w:div>
        <w:div w:id="584148035">
          <w:marLeft w:val="640"/>
          <w:marRight w:val="0"/>
          <w:marTop w:val="0"/>
          <w:marBottom w:val="0"/>
          <w:divBdr>
            <w:top w:val="none" w:sz="0" w:space="0" w:color="auto"/>
            <w:left w:val="none" w:sz="0" w:space="0" w:color="auto"/>
            <w:bottom w:val="none" w:sz="0" w:space="0" w:color="auto"/>
            <w:right w:val="none" w:sz="0" w:space="0" w:color="auto"/>
          </w:divBdr>
        </w:div>
        <w:div w:id="1996564942">
          <w:marLeft w:val="640"/>
          <w:marRight w:val="0"/>
          <w:marTop w:val="0"/>
          <w:marBottom w:val="0"/>
          <w:divBdr>
            <w:top w:val="none" w:sz="0" w:space="0" w:color="auto"/>
            <w:left w:val="none" w:sz="0" w:space="0" w:color="auto"/>
            <w:bottom w:val="none" w:sz="0" w:space="0" w:color="auto"/>
            <w:right w:val="none" w:sz="0" w:space="0" w:color="auto"/>
          </w:divBdr>
        </w:div>
        <w:div w:id="1610432876">
          <w:marLeft w:val="640"/>
          <w:marRight w:val="0"/>
          <w:marTop w:val="0"/>
          <w:marBottom w:val="0"/>
          <w:divBdr>
            <w:top w:val="none" w:sz="0" w:space="0" w:color="auto"/>
            <w:left w:val="none" w:sz="0" w:space="0" w:color="auto"/>
            <w:bottom w:val="none" w:sz="0" w:space="0" w:color="auto"/>
            <w:right w:val="none" w:sz="0" w:space="0" w:color="auto"/>
          </w:divBdr>
        </w:div>
        <w:div w:id="1602109678">
          <w:marLeft w:val="640"/>
          <w:marRight w:val="0"/>
          <w:marTop w:val="0"/>
          <w:marBottom w:val="0"/>
          <w:divBdr>
            <w:top w:val="none" w:sz="0" w:space="0" w:color="auto"/>
            <w:left w:val="none" w:sz="0" w:space="0" w:color="auto"/>
            <w:bottom w:val="none" w:sz="0" w:space="0" w:color="auto"/>
            <w:right w:val="none" w:sz="0" w:space="0" w:color="auto"/>
          </w:divBdr>
        </w:div>
        <w:div w:id="281887443">
          <w:marLeft w:val="640"/>
          <w:marRight w:val="0"/>
          <w:marTop w:val="0"/>
          <w:marBottom w:val="0"/>
          <w:divBdr>
            <w:top w:val="none" w:sz="0" w:space="0" w:color="auto"/>
            <w:left w:val="none" w:sz="0" w:space="0" w:color="auto"/>
            <w:bottom w:val="none" w:sz="0" w:space="0" w:color="auto"/>
            <w:right w:val="none" w:sz="0" w:space="0" w:color="auto"/>
          </w:divBdr>
        </w:div>
        <w:div w:id="917710600">
          <w:marLeft w:val="640"/>
          <w:marRight w:val="0"/>
          <w:marTop w:val="0"/>
          <w:marBottom w:val="0"/>
          <w:divBdr>
            <w:top w:val="none" w:sz="0" w:space="0" w:color="auto"/>
            <w:left w:val="none" w:sz="0" w:space="0" w:color="auto"/>
            <w:bottom w:val="none" w:sz="0" w:space="0" w:color="auto"/>
            <w:right w:val="none" w:sz="0" w:space="0" w:color="auto"/>
          </w:divBdr>
        </w:div>
        <w:div w:id="1586449917">
          <w:marLeft w:val="640"/>
          <w:marRight w:val="0"/>
          <w:marTop w:val="0"/>
          <w:marBottom w:val="0"/>
          <w:divBdr>
            <w:top w:val="none" w:sz="0" w:space="0" w:color="auto"/>
            <w:left w:val="none" w:sz="0" w:space="0" w:color="auto"/>
            <w:bottom w:val="none" w:sz="0" w:space="0" w:color="auto"/>
            <w:right w:val="none" w:sz="0" w:space="0" w:color="auto"/>
          </w:divBdr>
        </w:div>
        <w:div w:id="2110003698">
          <w:marLeft w:val="640"/>
          <w:marRight w:val="0"/>
          <w:marTop w:val="0"/>
          <w:marBottom w:val="0"/>
          <w:divBdr>
            <w:top w:val="none" w:sz="0" w:space="0" w:color="auto"/>
            <w:left w:val="none" w:sz="0" w:space="0" w:color="auto"/>
            <w:bottom w:val="none" w:sz="0" w:space="0" w:color="auto"/>
            <w:right w:val="none" w:sz="0" w:space="0" w:color="auto"/>
          </w:divBdr>
        </w:div>
        <w:div w:id="1753774061">
          <w:marLeft w:val="640"/>
          <w:marRight w:val="0"/>
          <w:marTop w:val="0"/>
          <w:marBottom w:val="0"/>
          <w:divBdr>
            <w:top w:val="none" w:sz="0" w:space="0" w:color="auto"/>
            <w:left w:val="none" w:sz="0" w:space="0" w:color="auto"/>
            <w:bottom w:val="none" w:sz="0" w:space="0" w:color="auto"/>
            <w:right w:val="none" w:sz="0" w:space="0" w:color="auto"/>
          </w:divBdr>
        </w:div>
        <w:div w:id="1696150190">
          <w:marLeft w:val="640"/>
          <w:marRight w:val="0"/>
          <w:marTop w:val="0"/>
          <w:marBottom w:val="0"/>
          <w:divBdr>
            <w:top w:val="none" w:sz="0" w:space="0" w:color="auto"/>
            <w:left w:val="none" w:sz="0" w:space="0" w:color="auto"/>
            <w:bottom w:val="none" w:sz="0" w:space="0" w:color="auto"/>
            <w:right w:val="none" w:sz="0" w:space="0" w:color="auto"/>
          </w:divBdr>
        </w:div>
        <w:div w:id="1235555639">
          <w:marLeft w:val="640"/>
          <w:marRight w:val="0"/>
          <w:marTop w:val="0"/>
          <w:marBottom w:val="0"/>
          <w:divBdr>
            <w:top w:val="none" w:sz="0" w:space="0" w:color="auto"/>
            <w:left w:val="none" w:sz="0" w:space="0" w:color="auto"/>
            <w:bottom w:val="none" w:sz="0" w:space="0" w:color="auto"/>
            <w:right w:val="none" w:sz="0" w:space="0" w:color="auto"/>
          </w:divBdr>
        </w:div>
        <w:div w:id="1724139547">
          <w:marLeft w:val="640"/>
          <w:marRight w:val="0"/>
          <w:marTop w:val="0"/>
          <w:marBottom w:val="0"/>
          <w:divBdr>
            <w:top w:val="none" w:sz="0" w:space="0" w:color="auto"/>
            <w:left w:val="none" w:sz="0" w:space="0" w:color="auto"/>
            <w:bottom w:val="none" w:sz="0" w:space="0" w:color="auto"/>
            <w:right w:val="none" w:sz="0" w:space="0" w:color="auto"/>
          </w:divBdr>
        </w:div>
        <w:div w:id="1306279269">
          <w:marLeft w:val="640"/>
          <w:marRight w:val="0"/>
          <w:marTop w:val="0"/>
          <w:marBottom w:val="0"/>
          <w:divBdr>
            <w:top w:val="none" w:sz="0" w:space="0" w:color="auto"/>
            <w:left w:val="none" w:sz="0" w:space="0" w:color="auto"/>
            <w:bottom w:val="none" w:sz="0" w:space="0" w:color="auto"/>
            <w:right w:val="none" w:sz="0" w:space="0" w:color="auto"/>
          </w:divBdr>
        </w:div>
        <w:div w:id="1478573495">
          <w:marLeft w:val="640"/>
          <w:marRight w:val="0"/>
          <w:marTop w:val="0"/>
          <w:marBottom w:val="0"/>
          <w:divBdr>
            <w:top w:val="none" w:sz="0" w:space="0" w:color="auto"/>
            <w:left w:val="none" w:sz="0" w:space="0" w:color="auto"/>
            <w:bottom w:val="none" w:sz="0" w:space="0" w:color="auto"/>
            <w:right w:val="none" w:sz="0" w:space="0" w:color="auto"/>
          </w:divBdr>
        </w:div>
        <w:div w:id="901988721">
          <w:marLeft w:val="640"/>
          <w:marRight w:val="0"/>
          <w:marTop w:val="0"/>
          <w:marBottom w:val="0"/>
          <w:divBdr>
            <w:top w:val="none" w:sz="0" w:space="0" w:color="auto"/>
            <w:left w:val="none" w:sz="0" w:space="0" w:color="auto"/>
            <w:bottom w:val="none" w:sz="0" w:space="0" w:color="auto"/>
            <w:right w:val="none" w:sz="0" w:space="0" w:color="auto"/>
          </w:divBdr>
        </w:div>
        <w:div w:id="897786762">
          <w:marLeft w:val="640"/>
          <w:marRight w:val="0"/>
          <w:marTop w:val="0"/>
          <w:marBottom w:val="0"/>
          <w:divBdr>
            <w:top w:val="none" w:sz="0" w:space="0" w:color="auto"/>
            <w:left w:val="none" w:sz="0" w:space="0" w:color="auto"/>
            <w:bottom w:val="none" w:sz="0" w:space="0" w:color="auto"/>
            <w:right w:val="none" w:sz="0" w:space="0" w:color="auto"/>
          </w:divBdr>
        </w:div>
        <w:div w:id="1723283491">
          <w:marLeft w:val="640"/>
          <w:marRight w:val="0"/>
          <w:marTop w:val="0"/>
          <w:marBottom w:val="0"/>
          <w:divBdr>
            <w:top w:val="none" w:sz="0" w:space="0" w:color="auto"/>
            <w:left w:val="none" w:sz="0" w:space="0" w:color="auto"/>
            <w:bottom w:val="none" w:sz="0" w:space="0" w:color="auto"/>
            <w:right w:val="none" w:sz="0" w:space="0" w:color="auto"/>
          </w:divBdr>
        </w:div>
        <w:div w:id="783691878">
          <w:marLeft w:val="640"/>
          <w:marRight w:val="0"/>
          <w:marTop w:val="0"/>
          <w:marBottom w:val="0"/>
          <w:divBdr>
            <w:top w:val="none" w:sz="0" w:space="0" w:color="auto"/>
            <w:left w:val="none" w:sz="0" w:space="0" w:color="auto"/>
            <w:bottom w:val="none" w:sz="0" w:space="0" w:color="auto"/>
            <w:right w:val="none" w:sz="0" w:space="0" w:color="auto"/>
          </w:divBdr>
        </w:div>
        <w:div w:id="1624071489">
          <w:marLeft w:val="640"/>
          <w:marRight w:val="0"/>
          <w:marTop w:val="0"/>
          <w:marBottom w:val="0"/>
          <w:divBdr>
            <w:top w:val="none" w:sz="0" w:space="0" w:color="auto"/>
            <w:left w:val="none" w:sz="0" w:space="0" w:color="auto"/>
            <w:bottom w:val="none" w:sz="0" w:space="0" w:color="auto"/>
            <w:right w:val="none" w:sz="0" w:space="0" w:color="auto"/>
          </w:divBdr>
        </w:div>
        <w:div w:id="645623372">
          <w:marLeft w:val="640"/>
          <w:marRight w:val="0"/>
          <w:marTop w:val="0"/>
          <w:marBottom w:val="0"/>
          <w:divBdr>
            <w:top w:val="none" w:sz="0" w:space="0" w:color="auto"/>
            <w:left w:val="none" w:sz="0" w:space="0" w:color="auto"/>
            <w:bottom w:val="none" w:sz="0" w:space="0" w:color="auto"/>
            <w:right w:val="none" w:sz="0" w:space="0" w:color="auto"/>
          </w:divBdr>
        </w:div>
        <w:div w:id="2002544656">
          <w:marLeft w:val="640"/>
          <w:marRight w:val="0"/>
          <w:marTop w:val="0"/>
          <w:marBottom w:val="0"/>
          <w:divBdr>
            <w:top w:val="none" w:sz="0" w:space="0" w:color="auto"/>
            <w:left w:val="none" w:sz="0" w:space="0" w:color="auto"/>
            <w:bottom w:val="none" w:sz="0" w:space="0" w:color="auto"/>
            <w:right w:val="none" w:sz="0" w:space="0" w:color="auto"/>
          </w:divBdr>
        </w:div>
        <w:div w:id="1260524193">
          <w:marLeft w:val="640"/>
          <w:marRight w:val="0"/>
          <w:marTop w:val="0"/>
          <w:marBottom w:val="0"/>
          <w:divBdr>
            <w:top w:val="none" w:sz="0" w:space="0" w:color="auto"/>
            <w:left w:val="none" w:sz="0" w:space="0" w:color="auto"/>
            <w:bottom w:val="none" w:sz="0" w:space="0" w:color="auto"/>
            <w:right w:val="none" w:sz="0" w:space="0" w:color="auto"/>
          </w:divBdr>
        </w:div>
        <w:div w:id="754593712">
          <w:marLeft w:val="640"/>
          <w:marRight w:val="0"/>
          <w:marTop w:val="0"/>
          <w:marBottom w:val="0"/>
          <w:divBdr>
            <w:top w:val="none" w:sz="0" w:space="0" w:color="auto"/>
            <w:left w:val="none" w:sz="0" w:space="0" w:color="auto"/>
            <w:bottom w:val="none" w:sz="0" w:space="0" w:color="auto"/>
            <w:right w:val="none" w:sz="0" w:space="0" w:color="auto"/>
          </w:divBdr>
        </w:div>
        <w:div w:id="170335647">
          <w:marLeft w:val="640"/>
          <w:marRight w:val="0"/>
          <w:marTop w:val="0"/>
          <w:marBottom w:val="0"/>
          <w:divBdr>
            <w:top w:val="none" w:sz="0" w:space="0" w:color="auto"/>
            <w:left w:val="none" w:sz="0" w:space="0" w:color="auto"/>
            <w:bottom w:val="none" w:sz="0" w:space="0" w:color="auto"/>
            <w:right w:val="none" w:sz="0" w:space="0" w:color="auto"/>
          </w:divBdr>
        </w:div>
        <w:div w:id="1792674214">
          <w:marLeft w:val="640"/>
          <w:marRight w:val="0"/>
          <w:marTop w:val="0"/>
          <w:marBottom w:val="0"/>
          <w:divBdr>
            <w:top w:val="none" w:sz="0" w:space="0" w:color="auto"/>
            <w:left w:val="none" w:sz="0" w:space="0" w:color="auto"/>
            <w:bottom w:val="none" w:sz="0" w:space="0" w:color="auto"/>
            <w:right w:val="none" w:sz="0" w:space="0" w:color="auto"/>
          </w:divBdr>
        </w:div>
        <w:div w:id="933510747">
          <w:marLeft w:val="640"/>
          <w:marRight w:val="0"/>
          <w:marTop w:val="0"/>
          <w:marBottom w:val="0"/>
          <w:divBdr>
            <w:top w:val="none" w:sz="0" w:space="0" w:color="auto"/>
            <w:left w:val="none" w:sz="0" w:space="0" w:color="auto"/>
            <w:bottom w:val="none" w:sz="0" w:space="0" w:color="auto"/>
            <w:right w:val="none" w:sz="0" w:space="0" w:color="auto"/>
          </w:divBdr>
        </w:div>
        <w:div w:id="1384526250">
          <w:marLeft w:val="640"/>
          <w:marRight w:val="0"/>
          <w:marTop w:val="0"/>
          <w:marBottom w:val="0"/>
          <w:divBdr>
            <w:top w:val="none" w:sz="0" w:space="0" w:color="auto"/>
            <w:left w:val="none" w:sz="0" w:space="0" w:color="auto"/>
            <w:bottom w:val="none" w:sz="0" w:space="0" w:color="auto"/>
            <w:right w:val="none" w:sz="0" w:space="0" w:color="auto"/>
          </w:divBdr>
        </w:div>
        <w:div w:id="1591742343">
          <w:marLeft w:val="640"/>
          <w:marRight w:val="0"/>
          <w:marTop w:val="0"/>
          <w:marBottom w:val="0"/>
          <w:divBdr>
            <w:top w:val="none" w:sz="0" w:space="0" w:color="auto"/>
            <w:left w:val="none" w:sz="0" w:space="0" w:color="auto"/>
            <w:bottom w:val="none" w:sz="0" w:space="0" w:color="auto"/>
            <w:right w:val="none" w:sz="0" w:space="0" w:color="auto"/>
          </w:divBdr>
        </w:div>
        <w:div w:id="960041403">
          <w:marLeft w:val="640"/>
          <w:marRight w:val="0"/>
          <w:marTop w:val="0"/>
          <w:marBottom w:val="0"/>
          <w:divBdr>
            <w:top w:val="none" w:sz="0" w:space="0" w:color="auto"/>
            <w:left w:val="none" w:sz="0" w:space="0" w:color="auto"/>
            <w:bottom w:val="none" w:sz="0" w:space="0" w:color="auto"/>
            <w:right w:val="none" w:sz="0" w:space="0" w:color="auto"/>
          </w:divBdr>
        </w:div>
        <w:div w:id="1378166013">
          <w:marLeft w:val="640"/>
          <w:marRight w:val="0"/>
          <w:marTop w:val="0"/>
          <w:marBottom w:val="0"/>
          <w:divBdr>
            <w:top w:val="none" w:sz="0" w:space="0" w:color="auto"/>
            <w:left w:val="none" w:sz="0" w:space="0" w:color="auto"/>
            <w:bottom w:val="none" w:sz="0" w:space="0" w:color="auto"/>
            <w:right w:val="none" w:sz="0" w:space="0" w:color="auto"/>
          </w:divBdr>
        </w:div>
        <w:div w:id="461266423">
          <w:marLeft w:val="640"/>
          <w:marRight w:val="0"/>
          <w:marTop w:val="0"/>
          <w:marBottom w:val="0"/>
          <w:divBdr>
            <w:top w:val="none" w:sz="0" w:space="0" w:color="auto"/>
            <w:left w:val="none" w:sz="0" w:space="0" w:color="auto"/>
            <w:bottom w:val="none" w:sz="0" w:space="0" w:color="auto"/>
            <w:right w:val="none" w:sz="0" w:space="0" w:color="auto"/>
          </w:divBdr>
        </w:div>
        <w:div w:id="1806581440">
          <w:marLeft w:val="640"/>
          <w:marRight w:val="0"/>
          <w:marTop w:val="0"/>
          <w:marBottom w:val="0"/>
          <w:divBdr>
            <w:top w:val="none" w:sz="0" w:space="0" w:color="auto"/>
            <w:left w:val="none" w:sz="0" w:space="0" w:color="auto"/>
            <w:bottom w:val="none" w:sz="0" w:space="0" w:color="auto"/>
            <w:right w:val="none" w:sz="0" w:space="0" w:color="auto"/>
          </w:divBdr>
        </w:div>
        <w:div w:id="1945382059">
          <w:marLeft w:val="640"/>
          <w:marRight w:val="0"/>
          <w:marTop w:val="0"/>
          <w:marBottom w:val="0"/>
          <w:divBdr>
            <w:top w:val="none" w:sz="0" w:space="0" w:color="auto"/>
            <w:left w:val="none" w:sz="0" w:space="0" w:color="auto"/>
            <w:bottom w:val="none" w:sz="0" w:space="0" w:color="auto"/>
            <w:right w:val="none" w:sz="0" w:space="0" w:color="auto"/>
          </w:divBdr>
        </w:div>
        <w:div w:id="815101115">
          <w:marLeft w:val="640"/>
          <w:marRight w:val="0"/>
          <w:marTop w:val="0"/>
          <w:marBottom w:val="0"/>
          <w:divBdr>
            <w:top w:val="none" w:sz="0" w:space="0" w:color="auto"/>
            <w:left w:val="none" w:sz="0" w:space="0" w:color="auto"/>
            <w:bottom w:val="none" w:sz="0" w:space="0" w:color="auto"/>
            <w:right w:val="none" w:sz="0" w:space="0" w:color="auto"/>
          </w:divBdr>
        </w:div>
        <w:div w:id="1413044524">
          <w:marLeft w:val="640"/>
          <w:marRight w:val="0"/>
          <w:marTop w:val="0"/>
          <w:marBottom w:val="0"/>
          <w:divBdr>
            <w:top w:val="none" w:sz="0" w:space="0" w:color="auto"/>
            <w:left w:val="none" w:sz="0" w:space="0" w:color="auto"/>
            <w:bottom w:val="none" w:sz="0" w:space="0" w:color="auto"/>
            <w:right w:val="none" w:sz="0" w:space="0" w:color="auto"/>
          </w:divBdr>
        </w:div>
        <w:div w:id="213468220">
          <w:marLeft w:val="640"/>
          <w:marRight w:val="0"/>
          <w:marTop w:val="0"/>
          <w:marBottom w:val="0"/>
          <w:divBdr>
            <w:top w:val="none" w:sz="0" w:space="0" w:color="auto"/>
            <w:left w:val="none" w:sz="0" w:space="0" w:color="auto"/>
            <w:bottom w:val="none" w:sz="0" w:space="0" w:color="auto"/>
            <w:right w:val="none" w:sz="0" w:space="0" w:color="auto"/>
          </w:divBdr>
        </w:div>
        <w:div w:id="1543248720">
          <w:marLeft w:val="640"/>
          <w:marRight w:val="0"/>
          <w:marTop w:val="0"/>
          <w:marBottom w:val="0"/>
          <w:divBdr>
            <w:top w:val="none" w:sz="0" w:space="0" w:color="auto"/>
            <w:left w:val="none" w:sz="0" w:space="0" w:color="auto"/>
            <w:bottom w:val="none" w:sz="0" w:space="0" w:color="auto"/>
            <w:right w:val="none" w:sz="0" w:space="0" w:color="auto"/>
          </w:divBdr>
        </w:div>
        <w:div w:id="1697268365">
          <w:marLeft w:val="640"/>
          <w:marRight w:val="0"/>
          <w:marTop w:val="0"/>
          <w:marBottom w:val="0"/>
          <w:divBdr>
            <w:top w:val="none" w:sz="0" w:space="0" w:color="auto"/>
            <w:left w:val="none" w:sz="0" w:space="0" w:color="auto"/>
            <w:bottom w:val="none" w:sz="0" w:space="0" w:color="auto"/>
            <w:right w:val="none" w:sz="0" w:space="0" w:color="auto"/>
          </w:divBdr>
        </w:div>
      </w:divsChild>
    </w:div>
    <w:div w:id="1169759795">
      <w:bodyDiv w:val="1"/>
      <w:marLeft w:val="0"/>
      <w:marRight w:val="0"/>
      <w:marTop w:val="0"/>
      <w:marBottom w:val="0"/>
      <w:divBdr>
        <w:top w:val="none" w:sz="0" w:space="0" w:color="auto"/>
        <w:left w:val="none" w:sz="0" w:space="0" w:color="auto"/>
        <w:bottom w:val="none" w:sz="0" w:space="0" w:color="auto"/>
        <w:right w:val="none" w:sz="0" w:space="0" w:color="auto"/>
      </w:divBdr>
      <w:divsChild>
        <w:div w:id="762341685">
          <w:marLeft w:val="640"/>
          <w:marRight w:val="0"/>
          <w:marTop w:val="0"/>
          <w:marBottom w:val="0"/>
          <w:divBdr>
            <w:top w:val="none" w:sz="0" w:space="0" w:color="auto"/>
            <w:left w:val="none" w:sz="0" w:space="0" w:color="auto"/>
            <w:bottom w:val="none" w:sz="0" w:space="0" w:color="auto"/>
            <w:right w:val="none" w:sz="0" w:space="0" w:color="auto"/>
          </w:divBdr>
        </w:div>
        <w:div w:id="961183689">
          <w:marLeft w:val="640"/>
          <w:marRight w:val="0"/>
          <w:marTop w:val="0"/>
          <w:marBottom w:val="0"/>
          <w:divBdr>
            <w:top w:val="none" w:sz="0" w:space="0" w:color="auto"/>
            <w:left w:val="none" w:sz="0" w:space="0" w:color="auto"/>
            <w:bottom w:val="none" w:sz="0" w:space="0" w:color="auto"/>
            <w:right w:val="none" w:sz="0" w:space="0" w:color="auto"/>
          </w:divBdr>
        </w:div>
        <w:div w:id="2082867970">
          <w:marLeft w:val="640"/>
          <w:marRight w:val="0"/>
          <w:marTop w:val="0"/>
          <w:marBottom w:val="0"/>
          <w:divBdr>
            <w:top w:val="none" w:sz="0" w:space="0" w:color="auto"/>
            <w:left w:val="none" w:sz="0" w:space="0" w:color="auto"/>
            <w:bottom w:val="none" w:sz="0" w:space="0" w:color="auto"/>
            <w:right w:val="none" w:sz="0" w:space="0" w:color="auto"/>
          </w:divBdr>
        </w:div>
        <w:div w:id="1298297280">
          <w:marLeft w:val="640"/>
          <w:marRight w:val="0"/>
          <w:marTop w:val="0"/>
          <w:marBottom w:val="0"/>
          <w:divBdr>
            <w:top w:val="none" w:sz="0" w:space="0" w:color="auto"/>
            <w:left w:val="none" w:sz="0" w:space="0" w:color="auto"/>
            <w:bottom w:val="none" w:sz="0" w:space="0" w:color="auto"/>
            <w:right w:val="none" w:sz="0" w:space="0" w:color="auto"/>
          </w:divBdr>
        </w:div>
        <w:div w:id="1992979124">
          <w:marLeft w:val="640"/>
          <w:marRight w:val="0"/>
          <w:marTop w:val="0"/>
          <w:marBottom w:val="0"/>
          <w:divBdr>
            <w:top w:val="none" w:sz="0" w:space="0" w:color="auto"/>
            <w:left w:val="none" w:sz="0" w:space="0" w:color="auto"/>
            <w:bottom w:val="none" w:sz="0" w:space="0" w:color="auto"/>
            <w:right w:val="none" w:sz="0" w:space="0" w:color="auto"/>
          </w:divBdr>
        </w:div>
        <w:div w:id="293216806">
          <w:marLeft w:val="640"/>
          <w:marRight w:val="0"/>
          <w:marTop w:val="0"/>
          <w:marBottom w:val="0"/>
          <w:divBdr>
            <w:top w:val="none" w:sz="0" w:space="0" w:color="auto"/>
            <w:left w:val="none" w:sz="0" w:space="0" w:color="auto"/>
            <w:bottom w:val="none" w:sz="0" w:space="0" w:color="auto"/>
            <w:right w:val="none" w:sz="0" w:space="0" w:color="auto"/>
          </w:divBdr>
        </w:div>
        <w:div w:id="515510162">
          <w:marLeft w:val="640"/>
          <w:marRight w:val="0"/>
          <w:marTop w:val="0"/>
          <w:marBottom w:val="0"/>
          <w:divBdr>
            <w:top w:val="none" w:sz="0" w:space="0" w:color="auto"/>
            <w:left w:val="none" w:sz="0" w:space="0" w:color="auto"/>
            <w:bottom w:val="none" w:sz="0" w:space="0" w:color="auto"/>
            <w:right w:val="none" w:sz="0" w:space="0" w:color="auto"/>
          </w:divBdr>
        </w:div>
        <w:div w:id="1330792928">
          <w:marLeft w:val="640"/>
          <w:marRight w:val="0"/>
          <w:marTop w:val="0"/>
          <w:marBottom w:val="0"/>
          <w:divBdr>
            <w:top w:val="none" w:sz="0" w:space="0" w:color="auto"/>
            <w:left w:val="none" w:sz="0" w:space="0" w:color="auto"/>
            <w:bottom w:val="none" w:sz="0" w:space="0" w:color="auto"/>
            <w:right w:val="none" w:sz="0" w:space="0" w:color="auto"/>
          </w:divBdr>
        </w:div>
        <w:div w:id="1155223348">
          <w:marLeft w:val="640"/>
          <w:marRight w:val="0"/>
          <w:marTop w:val="0"/>
          <w:marBottom w:val="0"/>
          <w:divBdr>
            <w:top w:val="none" w:sz="0" w:space="0" w:color="auto"/>
            <w:left w:val="none" w:sz="0" w:space="0" w:color="auto"/>
            <w:bottom w:val="none" w:sz="0" w:space="0" w:color="auto"/>
            <w:right w:val="none" w:sz="0" w:space="0" w:color="auto"/>
          </w:divBdr>
        </w:div>
        <w:div w:id="283853101">
          <w:marLeft w:val="640"/>
          <w:marRight w:val="0"/>
          <w:marTop w:val="0"/>
          <w:marBottom w:val="0"/>
          <w:divBdr>
            <w:top w:val="none" w:sz="0" w:space="0" w:color="auto"/>
            <w:left w:val="none" w:sz="0" w:space="0" w:color="auto"/>
            <w:bottom w:val="none" w:sz="0" w:space="0" w:color="auto"/>
            <w:right w:val="none" w:sz="0" w:space="0" w:color="auto"/>
          </w:divBdr>
        </w:div>
        <w:div w:id="1695880056">
          <w:marLeft w:val="640"/>
          <w:marRight w:val="0"/>
          <w:marTop w:val="0"/>
          <w:marBottom w:val="0"/>
          <w:divBdr>
            <w:top w:val="none" w:sz="0" w:space="0" w:color="auto"/>
            <w:left w:val="none" w:sz="0" w:space="0" w:color="auto"/>
            <w:bottom w:val="none" w:sz="0" w:space="0" w:color="auto"/>
            <w:right w:val="none" w:sz="0" w:space="0" w:color="auto"/>
          </w:divBdr>
        </w:div>
        <w:div w:id="1660647114">
          <w:marLeft w:val="640"/>
          <w:marRight w:val="0"/>
          <w:marTop w:val="0"/>
          <w:marBottom w:val="0"/>
          <w:divBdr>
            <w:top w:val="none" w:sz="0" w:space="0" w:color="auto"/>
            <w:left w:val="none" w:sz="0" w:space="0" w:color="auto"/>
            <w:bottom w:val="none" w:sz="0" w:space="0" w:color="auto"/>
            <w:right w:val="none" w:sz="0" w:space="0" w:color="auto"/>
          </w:divBdr>
        </w:div>
        <w:div w:id="1200124222">
          <w:marLeft w:val="640"/>
          <w:marRight w:val="0"/>
          <w:marTop w:val="0"/>
          <w:marBottom w:val="0"/>
          <w:divBdr>
            <w:top w:val="none" w:sz="0" w:space="0" w:color="auto"/>
            <w:left w:val="none" w:sz="0" w:space="0" w:color="auto"/>
            <w:bottom w:val="none" w:sz="0" w:space="0" w:color="auto"/>
            <w:right w:val="none" w:sz="0" w:space="0" w:color="auto"/>
          </w:divBdr>
        </w:div>
        <w:div w:id="2092582713">
          <w:marLeft w:val="640"/>
          <w:marRight w:val="0"/>
          <w:marTop w:val="0"/>
          <w:marBottom w:val="0"/>
          <w:divBdr>
            <w:top w:val="none" w:sz="0" w:space="0" w:color="auto"/>
            <w:left w:val="none" w:sz="0" w:space="0" w:color="auto"/>
            <w:bottom w:val="none" w:sz="0" w:space="0" w:color="auto"/>
            <w:right w:val="none" w:sz="0" w:space="0" w:color="auto"/>
          </w:divBdr>
        </w:div>
        <w:div w:id="1872109171">
          <w:marLeft w:val="640"/>
          <w:marRight w:val="0"/>
          <w:marTop w:val="0"/>
          <w:marBottom w:val="0"/>
          <w:divBdr>
            <w:top w:val="none" w:sz="0" w:space="0" w:color="auto"/>
            <w:left w:val="none" w:sz="0" w:space="0" w:color="auto"/>
            <w:bottom w:val="none" w:sz="0" w:space="0" w:color="auto"/>
            <w:right w:val="none" w:sz="0" w:space="0" w:color="auto"/>
          </w:divBdr>
        </w:div>
        <w:div w:id="850755572">
          <w:marLeft w:val="640"/>
          <w:marRight w:val="0"/>
          <w:marTop w:val="0"/>
          <w:marBottom w:val="0"/>
          <w:divBdr>
            <w:top w:val="none" w:sz="0" w:space="0" w:color="auto"/>
            <w:left w:val="none" w:sz="0" w:space="0" w:color="auto"/>
            <w:bottom w:val="none" w:sz="0" w:space="0" w:color="auto"/>
            <w:right w:val="none" w:sz="0" w:space="0" w:color="auto"/>
          </w:divBdr>
        </w:div>
        <w:div w:id="1928462381">
          <w:marLeft w:val="640"/>
          <w:marRight w:val="0"/>
          <w:marTop w:val="0"/>
          <w:marBottom w:val="0"/>
          <w:divBdr>
            <w:top w:val="none" w:sz="0" w:space="0" w:color="auto"/>
            <w:left w:val="none" w:sz="0" w:space="0" w:color="auto"/>
            <w:bottom w:val="none" w:sz="0" w:space="0" w:color="auto"/>
            <w:right w:val="none" w:sz="0" w:space="0" w:color="auto"/>
          </w:divBdr>
        </w:div>
        <w:div w:id="1124425232">
          <w:marLeft w:val="640"/>
          <w:marRight w:val="0"/>
          <w:marTop w:val="0"/>
          <w:marBottom w:val="0"/>
          <w:divBdr>
            <w:top w:val="none" w:sz="0" w:space="0" w:color="auto"/>
            <w:left w:val="none" w:sz="0" w:space="0" w:color="auto"/>
            <w:bottom w:val="none" w:sz="0" w:space="0" w:color="auto"/>
            <w:right w:val="none" w:sz="0" w:space="0" w:color="auto"/>
          </w:divBdr>
        </w:div>
        <w:div w:id="717432690">
          <w:marLeft w:val="640"/>
          <w:marRight w:val="0"/>
          <w:marTop w:val="0"/>
          <w:marBottom w:val="0"/>
          <w:divBdr>
            <w:top w:val="none" w:sz="0" w:space="0" w:color="auto"/>
            <w:left w:val="none" w:sz="0" w:space="0" w:color="auto"/>
            <w:bottom w:val="none" w:sz="0" w:space="0" w:color="auto"/>
            <w:right w:val="none" w:sz="0" w:space="0" w:color="auto"/>
          </w:divBdr>
        </w:div>
        <w:div w:id="1714498633">
          <w:marLeft w:val="640"/>
          <w:marRight w:val="0"/>
          <w:marTop w:val="0"/>
          <w:marBottom w:val="0"/>
          <w:divBdr>
            <w:top w:val="none" w:sz="0" w:space="0" w:color="auto"/>
            <w:left w:val="none" w:sz="0" w:space="0" w:color="auto"/>
            <w:bottom w:val="none" w:sz="0" w:space="0" w:color="auto"/>
            <w:right w:val="none" w:sz="0" w:space="0" w:color="auto"/>
          </w:divBdr>
        </w:div>
        <w:div w:id="14776093">
          <w:marLeft w:val="640"/>
          <w:marRight w:val="0"/>
          <w:marTop w:val="0"/>
          <w:marBottom w:val="0"/>
          <w:divBdr>
            <w:top w:val="none" w:sz="0" w:space="0" w:color="auto"/>
            <w:left w:val="none" w:sz="0" w:space="0" w:color="auto"/>
            <w:bottom w:val="none" w:sz="0" w:space="0" w:color="auto"/>
            <w:right w:val="none" w:sz="0" w:space="0" w:color="auto"/>
          </w:divBdr>
        </w:div>
        <w:div w:id="851451584">
          <w:marLeft w:val="640"/>
          <w:marRight w:val="0"/>
          <w:marTop w:val="0"/>
          <w:marBottom w:val="0"/>
          <w:divBdr>
            <w:top w:val="none" w:sz="0" w:space="0" w:color="auto"/>
            <w:left w:val="none" w:sz="0" w:space="0" w:color="auto"/>
            <w:bottom w:val="none" w:sz="0" w:space="0" w:color="auto"/>
            <w:right w:val="none" w:sz="0" w:space="0" w:color="auto"/>
          </w:divBdr>
        </w:div>
        <w:div w:id="1251550585">
          <w:marLeft w:val="640"/>
          <w:marRight w:val="0"/>
          <w:marTop w:val="0"/>
          <w:marBottom w:val="0"/>
          <w:divBdr>
            <w:top w:val="none" w:sz="0" w:space="0" w:color="auto"/>
            <w:left w:val="none" w:sz="0" w:space="0" w:color="auto"/>
            <w:bottom w:val="none" w:sz="0" w:space="0" w:color="auto"/>
            <w:right w:val="none" w:sz="0" w:space="0" w:color="auto"/>
          </w:divBdr>
        </w:div>
        <w:div w:id="561527390">
          <w:marLeft w:val="640"/>
          <w:marRight w:val="0"/>
          <w:marTop w:val="0"/>
          <w:marBottom w:val="0"/>
          <w:divBdr>
            <w:top w:val="none" w:sz="0" w:space="0" w:color="auto"/>
            <w:left w:val="none" w:sz="0" w:space="0" w:color="auto"/>
            <w:bottom w:val="none" w:sz="0" w:space="0" w:color="auto"/>
            <w:right w:val="none" w:sz="0" w:space="0" w:color="auto"/>
          </w:divBdr>
        </w:div>
        <w:div w:id="1410928748">
          <w:marLeft w:val="640"/>
          <w:marRight w:val="0"/>
          <w:marTop w:val="0"/>
          <w:marBottom w:val="0"/>
          <w:divBdr>
            <w:top w:val="none" w:sz="0" w:space="0" w:color="auto"/>
            <w:left w:val="none" w:sz="0" w:space="0" w:color="auto"/>
            <w:bottom w:val="none" w:sz="0" w:space="0" w:color="auto"/>
            <w:right w:val="none" w:sz="0" w:space="0" w:color="auto"/>
          </w:divBdr>
        </w:div>
        <w:div w:id="163982899">
          <w:marLeft w:val="640"/>
          <w:marRight w:val="0"/>
          <w:marTop w:val="0"/>
          <w:marBottom w:val="0"/>
          <w:divBdr>
            <w:top w:val="none" w:sz="0" w:space="0" w:color="auto"/>
            <w:left w:val="none" w:sz="0" w:space="0" w:color="auto"/>
            <w:bottom w:val="none" w:sz="0" w:space="0" w:color="auto"/>
            <w:right w:val="none" w:sz="0" w:space="0" w:color="auto"/>
          </w:divBdr>
        </w:div>
        <w:div w:id="1638298482">
          <w:marLeft w:val="640"/>
          <w:marRight w:val="0"/>
          <w:marTop w:val="0"/>
          <w:marBottom w:val="0"/>
          <w:divBdr>
            <w:top w:val="none" w:sz="0" w:space="0" w:color="auto"/>
            <w:left w:val="none" w:sz="0" w:space="0" w:color="auto"/>
            <w:bottom w:val="none" w:sz="0" w:space="0" w:color="auto"/>
            <w:right w:val="none" w:sz="0" w:space="0" w:color="auto"/>
          </w:divBdr>
        </w:div>
        <w:div w:id="86849637">
          <w:marLeft w:val="640"/>
          <w:marRight w:val="0"/>
          <w:marTop w:val="0"/>
          <w:marBottom w:val="0"/>
          <w:divBdr>
            <w:top w:val="none" w:sz="0" w:space="0" w:color="auto"/>
            <w:left w:val="none" w:sz="0" w:space="0" w:color="auto"/>
            <w:bottom w:val="none" w:sz="0" w:space="0" w:color="auto"/>
            <w:right w:val="none" w:sz="0" w:space="0" w:color="auto"/>
          </w:divBdr>
        </w:div>
        <w:div w:id="277612217">
          <w:marLeft w:val="640"/>
          <w:marRight w:val="0"/>
          <w:marTop w:val="0"/>
          <w:marBottom w:val="0"/>
          <w:divBdr>
            <w:top w:val="none" w:sz="0" w:space="0" w:color="auto"/>
            <w:left w:val="none" w:sz="0" w:space="0" w:color="auto"/>
            <w:bottom w:val="none" w:sz="0" w:space="0" w:color="auto"/>
            <w:right w:val="none" w:sz="0" w:space="0" w:color="auto"/>
          </w:divBdr>
        </w:div>
        <w:div w:id="1918510815">
          <w:marLeft w:val="640"/>
          <w:marRight w:val="0"/>
          <w:marTop w:val="0"/>
          <w:marBottom w:val="0"/>
          <w:divBdr>
            <w:top w:val="none" w:sz="0" w:space="0" w:color="auto"/>
            <w:left w:val="none" w:sz="0" w:space="0" w:color="auto"/>
            <w:bottom w:val="none" w:sz="0" w:space="0" w:color="auto"/>
            <w:right w:val="none" w:sz="0" w:space="0" w:color="auto"/>
          </w:divBdr>
        </w:div>
        <w:div w:id="1294823834">
          <w:marLeft w:val="640"/>
          <w:marRight w:val="0"/>
          <w:marTop w:val="0"/>
          <w:marBottom w:val="0"/>
          <w:divBdr>
            <w:top w:val="none" w:sz="0" w:space="0" w:color="auto"/>
            <w:left w:val="none" w:sz="0" w:space="0" w:color="auto"/>
            <w:bottom w:val="none" w:sz="0" w:space="0" w:color="auto"/>
            <w:right w:val="none" w:sz="0" w:space="0" w:color="auto"/>
          </w:divBdr>
        </w:div>
        <w:div w:id="1256675087">
          <w:marLeft w:val="640"/>
          <w:marRight w:val="0"/>
          <w:marTop w:val="0"/>
          <w:marBottom w:val="0"/>
          <w:divBdr>
            <w:top w:val="none" w:sz="0" w:space="0" w:color="auto"/>
            <w:left w:val="none" w:sz="0" w:space="0" w:color="auto"/>
            <w:bottom w:val="none" w:sz="0" w:space="0" w:color="auto"/>
            <w:right w:val="none" w:sz="0" w:space="0" w:color="auto"/>
          </w:divBdr>
        </w:div>
        <w:div w:id="153030318">
          <w:marLeft w:val="640"/>
          <w:marRight w:val="0"/>
          <w:marTop w:val="0"/>
          <w:marBottom w:val="0"/>
          <w:divBdr>
            <w:top w:val="none" w:sz="0" w:space="0" w:color="auto"/>
            <w:left w:val="none" w:sz="0" w:space="0" w:color="auto"/>
            <w:bottom w:val="none" w:sz="0" w:space="0" w:color="auto"/>
            <w:right w:val="none" w:sz="0" w:space="0" w:color="auto"/>
          </w:divBdr>
        </w:div>
        <w:div w:id="914819319">
          <w:marLeft w:val="640"/>
          <w:marRight w:val="0"/>
          <w:marTop w:val="0"/>
          <w:marBottom w:val="0"/>
          <w:divBdr>
            <w:top w:val="none" w:sz="0" w:space="0" w:color="auto"/>
            <w:left w:val="none" w:sz="0" w:space="0" w:color="auto"/>
            <w:bottom w:val="none" w:sz="0" w:space="0" w:color="auto"/>
            <w:right w:val="none" w:sz="0" w:space="0" w:color="auto"/>
          </w:divBdr>
        </w:div>
        <w:div w:id="1713187682">
          <w:marLeft w:val="640"/>
          <w:marRight w:val="0"/>
          <w:marTop w:val="0"/>
          <w:marBottom w:val="0"/>
          <w:divBdr>
            <w:top w:val="none" w:sz="0" w:space="0" w:color="auto"/>
            <w:left w:val="none" w:sz="0" w:space="0" w:color="auto"/>
            <w:bottom w:val="none" w:sz="0" w:space="0" w:color="auto"/>
            <w:right w:val="none" w:sz="0" w:space="0" w:color="auto"/>
          </w:divBdr>
        </w:div>
        <w:div w:id="1679966068">
          <w:marLeft w:val="640"/>
          <w:marRight w:val="0"/>
          <w:marTop w:val="0"/>
          <w:marBottom w:val="0"/>
          <w:divBdr>
            <w:top w:val="none" w:sz="0" w:space="0" w:color="auto"/>
            <w:left w:val="none" w:sz="0" w:space="0" w:color="auto"/>
            <w:bottom w:val="none" w:sz="0" w:space="0" w:color="auto"/>
            <w:right w:val="none" w:sz="0" w:space="0" w:color="auto"/>
          </w:divBdr>
        </w:div>
        <w:div w:id="1805195578">
          <w:marLeft w:val="640"/>
          <w:marRight w:val="0"/>
          <w:marTop w:val="0"/>
          <w:marBottom w:val="0"/>
          <w:divBdr>
            <w:top w:val="none" w:sz="0" w:space="0" w:color="auto"/>
            <w:left w:val="none" w:sz="0" w:space="0" w:color="auto"/>
            <w:bottom w:val="none" w:sz="0" w:space="0" w:color="auto"/>
            <w:right w:val="none" w:sz="0" w:space="0" w:color="auto"/>
          </w:divBdr>
        </w:div>
        <w:div w:id="1372150162">
          <w:marLeft w:val="640"/>
          <w:marRight w:val="0"/>
          <w:marTop w:val="0"/>
          <w:marBottom w:val="0"/>
          <w:divBdr>
            <w:top w:val="none" w:sz="0" w:space="0" w:color="auto"/>
            <w:left w:val="none" w:sz="0" w:space="0" w:color="auto"/>
            <w:bottom w:val="none" w:sz="0" w:space="0" w:color="auto"/>
            <w:right w:val="none" w:sz="0" w:space="0" w:color="auto"/>
          </w:divBdr>
        </w:div>
        <w:div w:id="1584611015">
          <w:marLeft w:val="640"/>
          <w:marRight w:val="0"/>
          <w:marTop w:val="0"/>
          <w:marBottom w:val="0"/>
          <w:divBdr>
            <w:top w:val="none" w:sz="0" w:space="0" w:color="auto"/>
            <w:left w:val="none" w:sz="0" w:space="0" w:color="auto"/>
            <w:bottom w:val="none" w:sz="0" w:space="0" w:color="auto"/>
            <w:right w:val="none" w:sz="0" w:space="0" w:color="auto"/>
          </w:divBdr>
        </w:div>
        <w:div w:id="2090688910">
          <w:marLeft w:val="640"/>
          <w:marRight w:val="0"/>
          <w:marTop w:val="0"/>
          <w:marBottom w:val="0"/>
          <w:divBdr>
            <w:top w:val="none" w:sz="0" w:space="0" w:color="auto"/>
            <w:left w:val="none" w:sz="0" w:space="0" w:color="auto"/>
            <w:bottom w:val="none" w:sz="0" w:space="0" w:color="auto"/>
            <w:right w:val="none" w:sz="0" w:space="0" w:color="auto"/>
          </w:divBdr>
        </w:div>
        <w:div w:id="1020014906">
          <w:marLeft w:val="640"/>
          <w:marRight w:val="0"/>
          <w:marTop w:val="0"/>
          <w:marBottom w:val="0"/>
          <w:divBdr>
            <w:top w:val="none" w:sz="0" w:space="0" w:color="auto"/>
            <w:left w:val="none" w:sz="0" w:space="0" w:color="auto"/>
            <w:bottom w:val="none" w:sz="0" w:space="0" w:color="auto"/>
            <w:right w:val="none" w:sz="0" w:space="0" w:color="auto"/>
          </w:divBdr>
        </w:div>
        <w:div w:id="122431862">
          <w:marLeft w:val="640"/>
          <w:marRight w:val="0"/>
          <w:marTop w:val="0"/>
          <w:marBottom w:val="0"/>
          <w:divBdr>
            <w:top w:val="none" w:sz="0" w:space="0" w:color="auto"/>
            <w:left w:val="none" w:sz="0" w:space="0" w:color="auto"/>
            <w:bottom w:val="none" w:sz="0" w:space="0" w:color="auto"/>
            <w:right w:val="none" w:sz="0" w:space="0" w:color="auto"/>
          </w:divBdr>
        </w:div>
        <w:div w:id="561133485">
          <w:marLeft w:val="640"/>
          <w:marRight w:val="0"/>
          <w:marTop w:val="0"/>
          <w:marBottom w:val="0"/>
          <w:divBdr>
            <w:top w:val="none" w:sz="0" w:space="0" w:color="auto"/>
            <w:left w:val="none" w:sz="0" w:space="0" w:color="auto"/>
            <w:bottom w:val="none" w:sz="0" w:space="0" w:color="auto"/>
            <w:right w:val="none" w:sz="0" w:space="0" w:color="auto"/>
          </w:divBdr>
        </w:div>
        <w:div w:id="1945920809">
          <w:marLeft w:val="640"/>
          <w:marRight w:val="0"/>
          <w:marTop w:val="0"/>
          <w:marBottom w:val="0"/>
          <w:divBdr>
            <w:top w:val="none" w:sz="0" w:space="0" w:color="auto"/>
            <w:left w:val="none" w:sz="0" w:space="0" w:color="auto"/>
            <w:bottom w:val="none" w:sz="0" w:space="0" w:color="auto"/>
            <w:right w:val="none" w:sz="0" w:space="0" w:color="auto"/>
          </w:divBdr>
        </w:div>
        <w:div w:id="1800415929">
          <w:marLeft w:val="640"/>
          <w:marRight w:val="0"/>
          <w:marTop w:val="0"/>
          <w:marBottom w:val="0"/>
          <w:divBdr>
            <w:top w:val="none" w:sz="0" w:space="0" w:color="auto"/>
            <w:left w:val="none" w:sz="0" w:space="0" w:color="auto"/>
            <w:bottom w:val="none" w:sz="0" w:space="0" w:color="auto"/>
            <w:right w:val="none" w:sz="0" w:space="0" w:color="auto"/>
          </w:divBdr>
        </w:div>
        <w:div w:id="486752439">
          <w:marLeft w:val="640"/>
          <w:marRight w:val="0"/>
          <w:marTop w:val="0"/>
          <w:marBottom w:val="0"/>
          <w:divBdr>
            <w:top w:val="none" w:sz="0" w:space="0" w:color="auto"/>
            <w:left w:val="none" w:sz="0" w:space="0" w:color="auto"/>
            <w:bottom w:val="none" w:sz="0" w:space="0" w:color="auto"/>
            <w:right w:val="none" w:sz="0" w:space="0" w:color="auto"/>
          </w:divBdr>
        </w:div>
        <w:div w:id="1358695698">
          <w:marLeft w:val="640"/>
          <w:marRight w:val="0"/>
          <w:marTop w:val="0"/>
          <w:marBottom w:val="0"/>
          <w:divBdr>
            <w:top w:val="none" w:sz="0" w:space="0" w:color="auto"/>
            <w:left w:val="none" w:sz="0" w:space="0" w:color="auto"/>
            <w:bottom w:val="none" w:sz="0" w:space="0" w:color="auto"/>
            <w:right w:val="none" w:sz="0" w:space="0" w:color="auto"/>
          </w:divBdr>
        </w:div>
        <w:div w:id="3213165">
          <w:marLeft w:val="640"/>
          <w:marRight w:val="0"/>
          <w:marTop w:val="0"/>
          <w:marBottom w:val="0"/>
          <w:divBdr>
            <w:top w:val="none" w:sz="0" w:space="0" w:color="auto"/>
            <w:left w:val="none" w:sz="0" w:space="0" w:color="auto"/>
            <w:bottom w:val="none" w:sz="0" w:space="0" w:color="auto"/>
            <w:right w:val="none" w:sz="0" w:space="0" w:color="auto"/>
          </w:divBdr>
        </w:div>
        <w:div w:id="1506553841">
          <w:marLeft w:val="640"/>
          <w:marRight w:val="0"/>
          <w:marTop w:val="0"/>
          <w:marBottom w:val="0"/>
          <w:divBdr>
            <w:top w:val="none" w:sz="0" w:space="0" w:color="auto"/>
            <w:left w:val="none" w:sz="0" w:space="0" w:color="auto"/>
            <w:bottom w:val="none" w:sz="0" w:space="0" w:color="auto"/>
            <w:right w:val="none" w:sz="0" w:space="0" w:color="auto"/>
          </w:divBdr>
        </w:div>
        <w:div w:id="1322852050">
          <w:marLeft w:val="640"/>
          <w:marRight w:val="0"/>
          <w:marTop w:val="0"/>
          <w:marBottom w:val="0"/>
          <w:divBdr>
            <w:top w:val="none" w:sz="0" w:space="0" w:color="auto"/>
            <w:left w:val="none" w:sz="0" w:space="0" w:color="auto"/>
            <w:bottom w:val="none" w:sz="0" w:space="0" w:color="auto"/>
            <w:right w:val="none" w:sz="0" w:space="0" w:color="auto"/>
          </w:divBdr>
        </w:div>
        <w:div w:id="1854804939">
          <w:marLeft w:val="640"/>
          <w:marRight w:val="0"/>
          <w:marTop w:val="0"/>
          <w:marBottom w:val="0"/>
          <w:divBdr>
            <w:top w:val="none" w:sz="0" w:space="0" w:color="auto"/>
            <w:left w:val="none" w:sz="0" w:space="0" w:color="auto"/>
            <w:bottom w:val="none" w:sz="0" w:space="0" w:color="auto"/>
            <w:right w:val="none" w:sz="0" w:space="0" w:color="auto"/>
          </w:divBdr>
        </w:div>
        <w:div w:id="1471702521">
          <w:marLeft w:val="640"/>
          <w:marRight w:val="0"/>
          <w:marTop w:val="0"/>
          <w:marBottom w:val="0"/>
          <w:divBdr>
            <w:top w:val="none" w:sz="0" w:space="0" w:color="auto"/>
            <w:left w:val="none" w:sz="0" w:space="0" w:color="auto"/>
            <w:bottom w:val="none" w:sz="0" w:space="0" w:color="auto"/>
            <w:right w:val="none" w:sz="0" w:space="0" w:color="auto"/>
          </w:divBdr>
        </w:div>
        <w:div w:id="722873671">
          <w:marLeft w:val="640"/>
          <w:marRight w:val="0"/>
          <w:marTop w:val="0"/>
          <w:marBottom w:val="0"/>
          <w:divBdr>
            <w:top w:val="none" w:sz="0" w:space="0" w:color="auto"/>
            <w:left w:val="none" w:sz="0" w:space="0" w:color="auto"/>
            <w:bottom w:val="none" w:sz="0" w:space="0" w:color="auto"/>
            <w:right w:val="none" w:sz="0" w:space="0" w:color="auto"/>
          </w:divBdr>
        </w:div>
        <w:div w:id="356975752">
          <w:marLeft w:val="640"/>
          <w:marRight w:val="0"/>
          <w:marTop w:val="0"/>
          <w:marBottom w:val="0"/>
          <w:divBdr>
            <w:top w:val="none" w:sz="0" w:space="0" w:color="auto"/>
            <w:left w:val="none" w:sz="0" w:space="0" w:color="auto"/>
            <w:bottom w:val="none" w:sz="0" w:space="0" w:color="auto"/>
            <w:right w:val="none" w:sz="0" w:space="0" w:color="auto"/>
          </w:divBdr>
        </w:div>
        <w:div w:id="1366177600">
          <w:marLeft w:val="640"/>
          <w:marRight w:val="0"/>
          <w:marTop w:val="0"/>
          <w:marBottom w:val="0"/>
          <w:divBdr>
            <w:top w:val="none" w:sz="0" w:space="0" w:color="auto"/>
            <w:left w:val="none" w:sz="0" w:space="0" w:color="auto"/>
            <w:bottom w:val="none" w:sz="0" w:space="0" w:color="auto"/>
            <w:right w:val="none" w:sz="0" w:space="0" w:color="auto"/>
          </w:divBdr>
        </w:div>
        <w:div w:id="688215286">
          <w:marLeft w:val="640"/>
          <w:marRight w:val="0"/>
          <w:marTop w:val="0"/>
          <w:marBottom w:val="0"/>
          <w:divBdr>
            <w:top w:val="none" w:sz="0" w:space="0" w:color="auto"/>
            <w:left w:val="none" w:sz="0" w:space="0" w:color="auto"/>
            <w:bottom w:val="none" w:sz="0" w:space="0" w:color="auto"/>
            <w:right w:val="none" w:sz="0" w:space="0" w:color="auto"/>
          </w:divBdr>
        </w:div>
        <w:div w:id="7294455">
          <w:marLeft w:val="640"/>
          <w:marRight w:val="0"/>
          <w:marTop w:val="0"/>
          <w:marBottom w:val="0"/>
          <w:divBdr>
            <w:top w:val="none" w:sz="0" w:space="0" w:color="auto"/>
            <w:left w:val="none" w:sz="0" w:space="0" w:color="auto"/>
            <w:bottom w:val="none" w:sz="0" w:space="0" w:color="auto"/>
            <w:right w:val="none" w:sz="0" w:space="0" w:color="auto"/>
          </w:divBdr>
        </w:div>
        <w:div w:id="426847476">
          <w:marLeft w:val="640"/>
          <w:marRight w:val="0"/>
          <w:marTop w:val="0"/>
          <w:marBottom w:val="0"/>
          <w:divBdr>
            <w:top w:val="none" w:sz="0" w:space="0" w:color="auto"/>
            <w:left w:val="none" w:sz="0" w:space="0" w:color="auto"/>
            <w:bottom w:val="none" w:sz="0" w:space="0" w:color="auto"/>
            <w:right w:val="none" w:sz="0" w:space="0" w:color="auto"/>
          </w:divBdr>
        </w:div>
        <w:div w:id="496306431">
          <w:marLeft w:val="640"/>
          <w:marRight w:val="0"/>
          <w:marTop w:val="0"/>
          <w:marBottom w:val="0"/>
          <w:divBdr>
            <w:top w:val="none" w:sz="0" w:space="0" w:color="auto"/>
            <w:left w:val="none" w:sz="0" w:space="0" w:color="auto"/>
            <w:bottom w:val="none" w:sz="0" w:space="0" w:color="auto"/>
            <w:right w:val="none" w:sz="0" w:space="0" w:color="auto"/>
          </w:divBdr>
        </w:div>
        <w:div w:id="393309812">
          <w:marLeft w:val="640"/>
          <w:marRight w:val="0"/>
          <w:marTop w:val="0"/>
          <w:marBottom w:val="0"/>
          <w:divBdr>
            <w:top w:val="none" w:sz="0" w:space="0" w:color="auto"/>
            <w:left w:val="none" w:sz="0" w:space="0" w:color="auto"/>
            <w:bottom w:val="none" w:sz="0" w:space="0" w:color="auto"/>
            <w:right w:val="none" w:sz="0" w:space="0" w:color="auto"/>
          </w:divBdr>
        </w:div>
        <w:div w:id="2008482028">
          <w:marLeft w:val="640"/>
          <w:marRight w:val="0"/>
          <w:marTop w:val="0"/>
          <w:marBottom w:val="0"/>
          <w:divBdr>
            <w:top w:val="none" w:sz="0" w:space="0" w:color="auto"/>
            <w:left w:val="none" w:sz="0" w:space="0" w:color="auto"/>
            <w:bottom w:val="none" w:sz="0" w:space="0" w:color="auto"/>
            <w:right w:val="none" w:sz="0" w:space="0" w:color="auto"/>
          </w:divBdr>
        </w:div>
        <w:div w:id="2012440765">
          <w:marLeft w:val="640"/>
          <w:marRight w:val="0"/>
          <w:marTop w:val="0"/>
          <w:marBottom w:val="0"/>
          <w:divBdr>
            <w:top w:val="none" w:sz="0" w:space="0" w:color="auto"/>
            <w:left w:val="none" w:sz="0" w:space="0" w:color="auto"/>
            <w:bottom w:val="none" w:sz="0" w:space="0" w:color="auto"/>
            <w:right w:val="none" w:sz="0" w:space="0" w:color="auto"/>
          </w:divBdr>
        </w:div>
        <w:div w:id="1324357448">
          <w:marLeft w:val="640"/>
          <w:marRight w:val="0"/>
          <w:marTop w:val="0"/>
          <w:marBottom w:val="0"/>
          <w:divBdr>
            <w:top w:val="none" w:sz="0" w:space="0" w:color="auto"/>
            <w:left w:val="none" w:sz="0" w:space="0" w:color="auto"/>
            <w:bottom w:val="none" w:sz="0" w:space="0" w:color="auto"/>
            <w:right w:val="none" w:sz="0" w:space="0" w:color="auto"/>
          </w:divBdr>
        </w:div>
        <w:div w:id="1089157754">
          <w:marLeft w:val="640"/>
          <w:marRight w:val="0"/>
          <w:marTop w:val="0"/>
          <w:marBottom w:val="0"/>
          <w:divBdr>
            <w:top w:val="none" w:sz="0" w:space="0" w:color="auto"/>
            <w:left w:val="none" w:sz="0" w:space="0" w:color="auto"/>
            <w:bottom w:val="none" w:sz="0" w:space="0" w:color="auto"/>
            <w:right w:val="none" w:sz="0" w:space="0" w:color="auto"/>
          </w:divBdr>
        </w:div>
        <w:div w:id="98112268">
          <w:marLeft w:val="640"/>
          <w:marRight w:val="0"/>
          <w:marTop w:val="0"/>
          <w:marBottom w:val="0"/>
          <w:divBdr>
            <w:top w:val="none" w:sz="0" w:space="0" w:color="auto"/>
            <w:left w:val="none" w:sz="0" w:space="0" w:color="auto"/>
            <w:bottom w:val="none" w:sz="0" w:space="0" w:color="auto"/>
            <w:right w:val="none" w:sz="0" w:space="0" w:color="auto"/>
          </w:divBdr>
        </w:div>
        <w:div w:id="882719134">
          <w:marLeft w:val="640"/>
          <w:marRight w:val="0"/>
          <w:marTop w:val="0"/>
          <w:marBottom w:val="0"/>
          <w:divBdr>
            <w:top w:val="none" w:sz="0" w:space="0" w:color="auto"/>
            <w:left w:val="none" w:sz="0" w:space="0" w:color="auto"/>
            <w:bottom w:val="none" w:sz="0" w:space="0" w:color="auto"/>
            <w:right w:val="none" w:sz="0" w:space="0" w:color="auto"/>
          </w:divBdr>
        </w:div>
        <w:div w:id="2115898164">
          <w:marLeft w:val="640"/>
          <w:marRight w:val="0"/>
          <w:marTop w:val="0"/>
          <w:marBottom w:val="0"/>
          <w:divBdr>
            <w:top w:val="none" w:sz="0" w:space="0" w:color="auto"/>
            <w:left w:val="none" w:sz="0" w:space="0" w:color="auto"/>
            <w:bottom w:val="none" w:sz="0" w:space="0" w:color="auto"/>
            <w:right w:val="none" w:sz="0" w:space="0" w:color="auto"/>
          </w:divBdr>
        </w:div>
        <w:div w:id="1385640132">
          <w:marLeft w:val="640"/>
          <w:marRight w:val="0"/>
          <w:marTop w:val="0"/>
          <w:marBottom w:val="0"/>
          <w:divBdr>
            <w:top w:val="none" w:sz="0" w:space="0" w:color="auto"/>
            <w:left w:val="none" w:sz="0" w:space="0" w:color="auto"/>
            <w:bottom w:val="none" w:sz="0" w:space="0" w:color="auto"/>
            <w:right w:val="none" w:sz="0" w:space="0" w:color="auto"/>
          </w:divBdr>
        </w:div>
        <w:div w:id="1885942020">
          <w:marLeft w:val="640"/>
          <w:marRight w:val="0"/>
          <w:marTop w:val="0"/>
          <w:marBottom w:val="0"/>
          <w:divBdr>
            <w:top w:val="none" w:sz="0" w:space="0" w:color="auto"/>
            <w:left w:val="none" w:sz="0" w:space="0" w:color="auto"/>
            <w:bottom w:val="none" w:sz="0" w:space="0" w:color="auto"/>
            <w:right w:val="none" w:sz="0" w:space="0" w:color="auto"/>
          </w:divBdr>
        </w:div>
        <w:div w:id="65610098">
          <w:marLeft w:val="640"/>
          <w:marRight w:val="0"/>
          <w:marTop w:val="0"/>
          <w:marBottom w:val="0"/>
          <w:divBdr>
            <w:top w:val="none" w:sz="0" w:space="0" w:color="auto"/>
            <w:left w:val="none" w:sz="0" w:space="0" w:color="auto"/>
            <w:bottom w:val="none" w:sz="0" w:space="0" w:color="auto"/>
            <w:right w:val="none" w:sz="0" w:space="0" w:color="auto"/>
          </w:divBdr>
        </w:div>
        <w:div w:id="399866469">
          <w:marLeft w:val="640"/>
          <w:marRight w:val="0"/>
          <w:marTop w:val="0"/>
          <w:marBottom w:val="0"/>
          <w:divBdr>
            <w:top w:val="none" w:sz="0" w:space="0" w:color="auto"/>
            <w:left w:val="none" w:sz="0" w:space="0" w:color="auto"/>
            <w:bottom w:val="none" w:sz="0" w:space="0" w:color="auto"/>
            <w:right w:val="none" w:sz="0" w:space="0" w:color="auto"/>
          </w:divBdr>
        </w:div>
        <w:div w:id="297415580">
          <w:marLeft w:val="640"/>
          <w:marRight w:val="0"/>
          <w:marTop w:val="0"/>
          <w:marBottom w:val="0"/>
          <w:divBdr>
            <w:top w:val="none" w:sz="0" w:space="0" w:color="auto"/>
            <w:left w:val="none" w:sz="0" w:space="0" w:color="auto"/>
            <w:bottom w:val="none" w:sz="0" w:space="0" w:color="auto"/>
            <w:right w:val="none" w:sz="0" w:space="0" w:color="auto"/>
          </w:divBdr>
        </w:div>
        <w:div w:id="57366468">
          <w:marLeft w:val="640"/>
          <w:marRight w:val="0"/>
          <w:marTop w:val="0"/>
          <w:marBottom w:val="0"/>
          <w:divBdr>
            <w:top w:val="none" w:sz="0" w:space="0" w:color="auto"/>
            <w:left w:val="none" w:sz="0" w:space="0" w:color="auto"/>
            <w:bottom w:val="none" w:sz="0" w:space="0" w:color="auto"/>
            <w:right w:val="none" w:sz="0" w:space="0" w:color="auto"/>
          </w:divBdr>
        </w:div>
        <w:div w:id="332730625">
          <w:marLeft w:val="640"/>
          <w:marRight w:val="0"/>
          <w:marTop w:val="0"/>
          <w:marBottom w:val="0"/>
          <w:divBdr>
            <w:top w:val="none" w:sz="0" w:space="0" w:color="auto"/>
            <w:left w:val="none" w:sz="0" w:space="0" w:color="auto"/>
            <w:bottom w:val="none" w:sz="0" w:space="0" w:color="auto"/>
            <w:right w:val="none" w:sz="0" w:space="0" w:color="auto"/>
          </w:divBdr>
        </w:div>
        <w:div w:id="1787843523">
          <w:marLeft w:val="640"/>
          <w:marRight w:val="0"/>
          <w:marTop w:val="0"/>
          <w:marBottom w:val="0"/>
          <w:divBdr>
            <w:top w:val="none" w:sz="0" w:space="0" w:color="auto"/>
            <w:left w:val="none" w:sz="0" w:space="0" w:color="auto"/>
            <w:bottom w:val="none" w:sz="0" w:space="0" w:color="auto"/>
            <w:right w:val="none" w:sz="0" w:space="0" w:color="auto"/>
          </w:divBdr>
        </w:div>
        <w:div w:id="89085710">
          <w:marLeft w:val="640"/>
          <w:marRight w:val="0"/>
          <w:marTop w:val="0"/>
          <w:marBottom w:val="0"/>
          <w:divBdr>
            <w:top w:val="none" w:sz="0" w:space="0" w:color="auto"/>
            <w:left w:val="none" w:sz="0" w:space="0" w:color="auto"/>
            <w:bottom w:val="none" w:sz="0" w:space="0" w:color="auto"/>
            <w:right w:val="none" w:sz="0" w:space="0" w:color="auto"/>
          </w:divBdr>
        </w:div>
        <w:div w:id="1710448899">
          <w:marLeft w:val="640"/>
          <w:marRight w:val="0"/>
          <w:marTop w:val="0"/>
          <w:marBottom w:val="0"/>
          <w:divBdr>
            <w:top w:val="none" w:sz="0" w:space="0" w:color="auto"/>
            <w:left w:val="none" w:sz="0" w:space="0" w:color="auto"/>
            <w:bottom w:val="none" w:sz="0" w:space="0" w:color="auto"/>
            <w:right w:val="none" w:sz="0" w:space="0" w:color="auto"/>
          </w:divBdr>
        </w:div>
        <w:div w:id="1746340239">
          <w:marLeft w:val="640"/>
          <w:marRight w:val="0"/>
          <w:marTop w:val="0"/>
          <w:marBottom w:val="0"/>
          <w:divBdr>
            <w:top w:val="none" w:sz="0" w:space="0" w:color="auto"/>
            <w:left w:val="none" w:sz="0" w:space="0" w:color="auto"/>
            <w:bottom w:val="none" w:sz="0" w:space="0" w:color="auto"/>
            <w:right w:val="none" w:sz="0" w:space="0" w:color="auto"/>
          </w:divBdr>
        </w:div>
        <w:div w:id="1012688360">
          <w:marLeft w:val="640"/>
          <w:marRight w:val="0"/>
          <w:marTop w:val="0"/>
          <w:marBottom w:val="0"/>
          <w:divBdr>
            <w:top w:val="none" w:sz="0" w:space="0" w:color="auto"/>
            <w:left w:val="none" w:sz="0" w:space="0" w:color="auto"/>
            <w:bottom w:val="none" w:sz="0" w:space="0" w:color="auto"/>
            <w:right w:val="none" w:sz="0" w:space="0" w:color="auto"/>
          </w:divBdr>
        </w:div>
        <w:div w:id="388965430">
          <w:marLeft w:val="640"/>
          <w:marRight w:val="0"/>
          <w:marTop w:val="0"/>
          <w:marBottom w:val="0"/>
          <w:divBdr>
            <w:top w:val="none" w:sz="0" w:space="0" w:color="auto"/>
            <w:left w:val="none" w:sz="0" w:space="0" w:color="auto"/>
            <w:bottom w:val="none" w:sz="0" w:space="0" w:color="auto"/>
            <w:right w:val="none" w:sz="0" w:space="0" w:color="auto"/>
          </w:divBdr>
        </w:div>
        <w:div w:id="1033388096">
          <w:marLeft w:val="640"/>
          <w:marRight w:val="0"/>
          <w:marTop w:val="0"/>
          <w:marBottom w:val="0"/>
          <w:divBdr>
            <w:top w:val="none" w:sz="0" w:space="0" w:color="auto"/>
            <w:left w:val="none" w:sz="0" w:space="0" w:color="auto"/>
            <w:bottom w:val="none" w:sz="0" w:space="0" w:color="auto"/>
            <w:right w:val="none" w:sz="0" w:space="0" w:color="auto"/>
          </w:divBdr>
        </w:div>
        <w:div w:id="1654605789">
          <w:marLeft w:val="640"/>
          <w:marRight w:val="0"/>
          <w:marTop w:val="0"/>
          <w:marBottom w:val="0"/>
          <w:divBdr>
            <w:top w:val="none" w:sz="0" w:space="0" w:color="auto"/>
            <w:left w:val="none" w:sz="0" w:space="0" w:color="auto"/>
            <w:bottom w:val="none" w:sz="0" w:space="0" w:color="auto"/>
            <w:right w:val="none" w:sz="0" w:space="0" w:color="auto"/>
          </w:divBdr>
        </w:div>
        <w:div w:id="424309316">
          <w:marLeft w:val="640"/>
          <w:marRight w:val="0"/>
          <w:marTop w:val="0"/>
          <w:marBottom w:val="0"/>
          <w:divBdr>
            <w:top w:val="none" w:sz="0" w:space="0" w:color="auto"/>
            <w:left w:val="none" w:sz="0" w:space="0" w:color="auto"/>
            <w:bottom w:val="none" w:sz="0" w:space="0" w:color="auto"/>
            <w:right w:val="none" w:sz="0" w:space="0" w:color="auto"/>
          </w:divBdr>
        </w:div>
        <w:div w:id="1416245804">
          <w:marLeft w:val="640"/>
          <w:marRight w:val="0"/>
          <w:marTop w:val="0"/>
          <w:marBottom w:val="0"/>
          <w:divBdr>
            <w:top w:val="none" w:sz="0" w:space="0" w:color="auto"/>
            <w:left w:val="none" w:sz="0" w:space="0" w:color="auto"/>
            <w:bottom w:val="none" w:sz="0" w:space="0" w:color="auto"/>
            <w:right w:val="none" w:sz="0" w:space="0" w:color="auto"/>
          </w:divBdr>
        </w:div>
        <w:div w:id="1698195783">
          <w:marLeft w:val="640"/>
          <w:marRight w:val="0"/>
          <w:marTop w:val="0"/>
          <w:marBottom w:val="0"/>
          <w:divBdr>
            <w:top w:val="none" w:sz="0" w:space="0" w:color="auto"/>
            <w:left w:val="none" w:sz="0" w:space="0" w:color="auto"/>
            <w:bottom w:val="none" w:sz="0" w:space="0" w:color="auto"/>
            <w:right w:val="none" w:sz="0" w:space="0" w:color="auto"/>
          </w:divBdr>
        </w:div>
        <w:div w:id="1654724520">
          <w:marLeft w:val="640"/>
          <w:marRight w:val="0"/>
          <w:marTop w:val="0"/>
          <w:marBottom w:val="0"/>
          <w:divBdr>
            <w:top w:val="none" w:sz="0" w:space="0" w:color="auto"/>
            <w:left w:val="none" w:sz="0" w:space="0" w:color="auto"/>
            <w:bottom w:val="none" w:sz="0" w:space="0" w:color="auto"/>
            <w:right w:val="none" w:sz="0" w:space="0" w:color="auto"/>
          </w:divBdr>
        </w:div>
        <w:div w:id="619266885">
          <w:marLeft w:val="640"/>
          <w:marRight w:val="0"/>
          <w:marTop w:val="0"/>
          <w:marBottom w:val="0"/>
          <w:divBdr>
            <w:top w:val="none" w:sz="0" w:space="0" w:color="auto"/>
            <w:left w:val="none" w:sz="0" w:space="0" w:color="auto"/>
            <w:bottom w:val="none" w:sz="0" w:space="0" w:color="auto"/>
            <w:right w:val="none" w:sz="0" w:space="0" w:color="auto"/>
          </w:divBdr>
        </w:div>
        <w:div w:id="1452935503">
          <w:marLeft w:val="640"/>
          <w:marRight w:val="0"/>
          <w:marTop w:val="0"/>
          <w:marBottom w:val="0"/>
          <w:divBdr>
            <w:top w:val="none" w:sz="0" w:space="0" w:color="auto"/>
            <w:left w:val="none" w:sz="0" w:space="0" w:color="auto"/>
            <w:bottom w:val="none" w:sz="0" w:space="0" w:color="auto"/>
            <w:right w:val="none" w:sz="0" w:space="0" w:color="auto"/>
          </w:divBdr>
        </w:div>
        <w:div w:id="486214377">
          <w:marLeft w:val="640"/>
          <w:marRight w:val="0"/>
          <w:marTop w:val="0"/>
          <w:marBottom w:val="0"/>
          <w:divBdr>
            <w:top w:val="none" w:sz="0" w:space="0" w:color="auto"/>
            <w:left w:val="none" w:sz="0" w:space="0" w:color="auto"/>
            <w:bottom w:val="none" w:sz="0" w:space="0" w:color="auto"/>
            <w:right w:val="none" w:sz="0" w:space="0" w:color="auto"/>
          </w:divBdr>
        </w:div>
        <w:div w:id="111831528">
          <w:marLeft w:val="640"/>
          <w:marRight w:val="0"/>
          <w:marTop w:val="0"/>
          <w:marBottom w:val="0"/>
          <w:divBdr>
            <w:top w:val="none" w:sz="0" w:space="0" w:color="auto"/>
            <w:left w:val="none" w:sz="0" w:space="0" w:color="auto"/>
            <w:bottom w:val="none" w:sz="0" w:space="0" w:color="auto"/>
            <w:right w:val="none" w:sz="0" w:space="0" w:color="auto"/>
          </w:divBdr>
        </w:div>
        <w:div w:id="391318881">
          <w:marLeft w:val="640"/>
          <w:marRight w:val="0"/>
          <w:marTop w:val="0"/>
          <w:marBottom w:val="0"/>
          <w:divBdr>
            <w:top w:val="none" w:sz="0" w:space="0" w:color="auto"/>
            <w:left w:val="none" w:sz="0" w:space="0" w:color="auto"/>
            <w:bottom w:val="none" w:sz="0" w:space="0" w:color="auto"/>
            <w:right w:val="none" w:sz="0" w:space="0" w:color="auto"/>
          </w:divBdr>
        </w:div>
        <w:div w:id="1202207865">
          <w:marLeft w:val="640"/>
          <w:marRight w:val="0"/>
          <w:marTop w:val="0"/>
          <w:marBottom w:val="0"/>
          <w:divBdr>
            <w:top w:val="none" w:sz="0" w:space="0" w:color="auto"/>
            <w:left w:val="none" w:sz="0" w:space="0" w:color="auto"/>
            <w:bottom w:val="none" w:sz="0" w:space="0" w:color="auto"/>
            <w:right w:val="none" w:sz="0" w:space="0" w:color="auto"/>
          </w:divBdr>
        </w:div>
        <w:div w:id="432821209">
          <w:marLeft w:val="640"/>
          <w:marRight w:val="0"/>
          <w:marTop w:val="0"/>
          <w:marBottom w:val="0"/>
          <w:divBdr>
            <w:top w:val="none" w:sz="0" w:space="0" w:color="auto"/>
            <w:left w:val="none" w:sz="0" w:space="0" w:color="auto"/>
            <w:bottom w:val="none" w:sz="0" w:space="0" w:color="auto"/>
            <w:right w:val="none" w:sz="0" w:space="0" w:color="auto"/>
          </w:divBdr>
        </w:div>
        <w:div w:id="1423598653">
          <w:marLeft w:val="640"/>
          <w:marRight w:val="0"/>
          <w:marTop w:val="0"/>
          <w:marBottom w:val="0"/>
          <w:divBdr>
            <w:top w:val="none" w:sz="0" w:space="0" w:color="auto"/>
            <w:left w:val="none" w:sz="0" w:space="0" w:color="auto"/>
            <w:bottom w:val="none" w:sz="0" w:space="0" w:color="auto"/>
            <w:right w:val="none" w:sz="0" w:space="0" w:color="auto"/>
          </w:divBdr>
        </w:div>
        <w:div w:id="263850565">
          <w:marLeft w:val="640"/>
          <w:marRight w:val="0"/>
          <w:marTop w:val="0"/>
          <w:marBottom w:val="0"/>
          <w:divBdr>
            <w:top w:val="none" w:sz="0" w:space="0" w:color="auto"/>
            <w:left w:val="none" w:sz="0" w:space="0" w:color="auto"/>
            <w:bottom w:val="none" w:sz="0" w:space="0" w:color="auto"/>
            <w:right w:val="none" w:sz="0" w:space="0" w:color="auto"/>
          </w:divBdr>
        </w:div>
        <w:div w:id="2025940947">
          <w:marLeft w:val="640"/>
          <w:marRight w:val="0"/>
          <w:marTop w:val="0"/>
          <w:marBottom w:val="0"/>
          <w:divBdr>
            <w:top w:val="none" w:sz="0" w:space="0" w:color="auto"/>
            <w:left w:val="none" w:sz="0" w:space="0" w:color="auto"/>
            <w:bottom w:val="none" w:sz="0" w:space="0" w:color="auto"/>
            <w:right w:val="none" w:sz="0" w:space="0" w:color="auto"/>
          </w:divBdr>
        </w:div>
        <w:div w:id="658265965">
          <w:marLeft w:val="640"/>
          <w:marRight w:val="0"/>
          <w:marTop w:val="0"/>
          <w:marBottom w:val="0"/>
          <w:divBdr>
            <w:top w:val="none" w:sz="0" w:space="0" w:color="auto"/>
            <w:left w:val="none" w:sz="0" w:space="0" w:color="auto"/>
            <w:bottom w:val="none" w:sz="0" w:space="0" w:color="auto"/>
            <w:right w:val="none" w:sz="0" w:space="0" w:color="auto"/>
          </w:divBdr>
        </w:div>
        <w:div w:id="219287455">
          <w:marLeft w:val="640"/>
          <w:marRight w:val="0"/>
          <w:marTop w:val="0"/>
          <w:marBottom w:val="0"/>
          <w:divBdr>
            <w:top w:val="none" w:sz="0" w:space="0" w:color="auto"/>
            <w:left w:val="none" w:sz="0" w:space="0" w:color="auto"/>
            <w:bottom w:val="none" w:sz="0" w:space="0" w:color="auto"/>
            <w:right w:val="none" w:sz="0" w:space="0" w:color="auto"/>
          </w:divBdr>
        </w:div>
        <w:div w:id="1283344050">
          <w:marLeft w:val="640"/>
          <w:marRight w:val="0"/>
          <w:marTop w:val="0"/>
          <w:marBottom w:val="0"/>
          <w:divBdr>
            <w:top w:val="none" w:sz="0" w:space="0" w:color="auto"/>
            <w:left w:val="none" w:sz="0" w:space="0" w:color="auto"/>
            <w:bottom w:val="none" w:sz="0" w:space="0" w:color="auto"/>
            <w:right w:val="none" w:sz="0" w:space="0" w:color="auto"/>
          </w:divBdr>
        </w:div>
        <w:div w:id="1082332456">
          <w:marLeft w:val="640"/>
          <w:marRight w:val="0"/>
          <w:marTop w:val="0"/>
          <w:marBottom w:val="0"/>
          <w:divBdr>
            <w:top w:val="none" w:sz="0" w:space="0" w:color="auto"/>
            <w:left w:val="none" w:sz="0" w:space="0" w:color="auto"/>
            <w:bottom w:val="none" w:sz="0" w:space="0" w:color="auto"/>
            <w:right w:val="none" w:sz="0" w:space="0" w:color="auto"/>
          </w:divBdr>
        </w:div>
        <w:div w:id="891966168">
          <w:marLeft w:val="640"/>
          <w:marRight w:val="0"/>
          <w:marTop w:val="0"/>
          <w:marBottom w:val="0"/>
          <w:divBdr>
            <w:top w:val="none" w:sz="0" w:space="0" w:color="auto"/>
            <w:left w:val="none" w:sz="0" w:space="0" w:color="auto"/>
            <w:bottom w:val="none" w:sz="0" w:space="0" w:color="auto"/>
            <w:right w:val="none" w:sz="0" w:space="0" w:color="auto"/>
          </w:divBdr>
        </w:div>
        <w:div w:id="1364209973">
          <w:marLeft w:val="640"/>
          <w:marRight w:val="0"/>
          <w:marTop w:val="0"/>
          <w:marBottom w:val="0"/>
          <w:divBdr>
            <w:top w:val="none" w:sz="0" w:space="0" w:color="auto"/>
            <w:left w:val="none" w:sz="0" w:space="0" w:color="auto"/>
            <w:bottom w:val="none" w:sz="0" w:space="0" w:color="auto"/>
            <w:right w:val="none" w:sz="0" w:space="0" w:color="auto"/>
          </w:divBdr>
        </w:div>
        <w:div w:id="1266308400">
          <w:marLeft w:val="640"/>
          <w:marRight w:val="0"/>
          <w:marTop w:val="0"/>
          <w:marBottom w:val="0"/>
          <w:divBdr>
            <w:top w:val="none" w:sz="0" w:space="0" w:color="auto"/>
            <w:left w:val="none" w:sz="0" w:space="0" w:color="auto"/>
            <w:bottom w:val="none" w:sz="0" w:space="0" w:color="auto"/>
            <w:right w:val="none" w:sz="0" w:space="0" w:color="auto"/>
          </w:divBdr>
        </w:div>
        <w:div w:id="1149248287">
          <w:marLeft w:val="640"/>
          <w:marRight w:val="0"/>
          <w:marTop w:val="0"/>
          <w:marBottom w:val="0"/>
          <w:divBdr>
            <w:top w:val="none" w:sz="0" w:space="0" w:color="auto"/>
            <w:left w:val="none" w:sz="0" w:space="0" w:color="auto"/>
            <w:bottom w:val="none" w:sz="0" w:space="0" w:color="auto"/>
            <w:right w:val="none" w:sz="0" w:space="0" w:color="auto"/>
          </w:divBdr>
        </w:div>
        <w:div w:id="2055810356">
          <w:marLeft w:val="640"/>
          <w:marRight w:val="0"/>
          <w:marTop w:val="0"/>
          <w:marBottom w:val="0"/>
          <w:divBdr>
            <w:top w:val="none" w:sz="0" w:space="0" w:color="auto"/>
            <w:left w:val="none" w:sz="0" w:space="0" w:color="auto"/>
            <w:bottom w:val="none" w:sz="0" w:space="0" w:color="auto"/>
            <w:right w:val="none" w:sz="0" w:space="0" w:color="auto"/>
          </w:divBdr>
        </w:div>
        <w:div w:id="978730369">
          <w:marLeft w:val="640"/>
          <w:marRight w:val="0"/>
          <w:marTop w:val="0"/>
          <w:marBottom w:val="0"/>
          <w:divBdr>
            <w:top w:val="none" w:sz="0" w:space="0" w:color="auto"/>
            <w:left w:val="none" w:sz="0" w:space="0" w:color="auto"/>
            <w:bottom w:val="none" w:sz="0" w:space="0" w:color="auto"/>
            <w:right w:val="none" w:sz="0" w:space="0" w:color="auto"/>
          </w:divBdr>
        </w:div>
        <w:div w:id="435490362">
          <w:marLeft w:val="640"/>
          <w:marRight w:val="0"/>
          <w:marTop w:val="0"/>
          <w:marBottom w:val="0"/>
          <w:divBdr>
            <w:top w:val="none" w:sz="0" w:space="0" w:color="auto"/>
            <w:left w:val="none" w:sz="0" w:space="0" w:color="auto"/>
            <w:bottom w:val="none" w:sz="0" w:space="0" w:color="auto"/>
            <w:right w:val="none" w:sz="0" w:space="0" w:color="auto"/>
          </w:divBdr>
        </w:div>
      </w:divsChild>
    </w:div>
    <w:div w:id="1230579570">
      <w:bodyDiv w:val="1"/>
      <w:marLeft w:val="0"/>
      <w:marRight w:val="0"/>
      <w:marTop w:val="0"/>
      <w:marBottom w:val="0"/>
      <w:divBdr>
        <w:top w:val="none" w:sz="0" w:space="0" w:color="auto"/>
        <w:left w:val="none" w:sz="0" w:space="0" w:color="auto"/>
        <w:bottom w:val="none" w:sz="0" w:space="0" w:color="auto"/>
        <w:right w:val="none" w:sz="0" w:space="0" w:color="auto"/>
      </w:divBdr>
      <w:divsChild>
        <w:div w:id="108667238">
          <w:marLeft w:val="640"/>
          <w:marRight w:val="0"/>
          <w:marTop w:val="0"/>
          <w:marBottom w:val="0"/>
          <w:divBdr>
            <w:top w:val="none" w:sz="0" w:space="0" w:color="auto"/>
            <w:left w:val="none" w:sz="0" w:space="0" w:color="auto"/>
            <w:bottom w:val="none" w:sz="0" w:space="0" w:color="auto"/>
            <w:right w:val="none" w:sz="0" w:space="0" w:color="auto"/>
          </w:divBdr>
        </w:div>
        <w:div w:id="1184786471">
          <w:marLeft w:val="640"/>
          <w:marRight w:val="0"/>
          <w:marTop w:val="0"/>
          <w:marBottom w:val="0"/>
          <w:divBdr>
            <w:top w:val="none" w:sz="0" w:space="0" w:color="auto"/>
            <w:left w:val="none" w:sz="0" w:space="0" w:color="auto"/>
            <w:bottom w:val="none" w:sz="0" w:space="0" w:color="auto"/>
            <w:right w:val="none" w:sz="0" w:space="0" w:color="auto"/>
          </w:divBdr>
        </w:div>
        <w:div w:id="1138911595">
          <w:marLeft w:val="640"/>
          <w:marRight w:val="0"/>
          <w:marTop w:val="0"/>
          <w:marBottom w:val="0"/>
          <w:divBdr>
            <w:top w:val="none" w:sz="0" w:space="0" w:color="auto"/>
            <w:left w:val="none" w:sz="0" w:space="0" w:color="auto"/>
            <w:bottom w:val="none" w:sz="0" w:space="0" w:color="auto"/>
            <w:right w:val="none" w:sz="0" w:space="0" w:color="auto"/>
          </w:divBdr>
        </w:div>
        <w:div w:id="1122725571">
          <w:marLeft w:val="640"/>
          <w:marRight w:val="0"/>
          <w:marTop w:val="0"/>
          <w:marBottom w:val="0"/>
          <w:divBdr>
            <w:top w:val="none" w:sz="0" w:space="0" w:color="auto"/>
            <w:left w:val="none" w:sz="0" w:space="0" w:color="auto"/>
            <w:bottom w:val="none" w:sz="0" w:space="0" w:color="auto"/>
            <w:right w:val="none" w:sz="0" w:space="0" w:color="auto"/>
          </w:divBdr>
        </w:div>
        <w:div w:id="1431200028">
          <w:marLeft w:val="640"/>
          <w:marRight w:val="0"/>
          <w:marTop w:val="0"/>
          <w:marBottom w:val="0"/>
          <w:divBdr>
            <w:top w:val="none" w:sz="0" w:space="0" w:color="auto"/>
            <w:left w:val="none" w:sz="0" w:space="0" w:color="auto"/>
            <w:bottom w:val="none" w:sz="0" w:space="0" w:color="auto"/>
            <w:right w:val="none" w:sz="0" w:space="0" w:color="auto"/>
          </w:divBdr>
        </w:div>
        <w:div w:id="176382498">
          <w:marLeft w:val="640"/>
          <w:marRight w:val="0"/>
          <w:marTop w:val="0"/>
          <w:marBottom w:val="0"/>
          <w:divBdr>
            <w:top w:val="none" w:sz="0" w:space="0" w:color="auto"/>
            <w:left w:val="none" w:sz="0" w:space="0" w:color="auto"/>
            <w:bottom w:val="none" w:sz="0" w:space="0" w:color="auto"/>
            <w:right w:val="none" w:sz="0" w:space="0" w:color="auto"/>
          </w:divBdr>
        </w:div>
        <w:div w:id="1689215780">
          <w:marLeft w:val="640"/>
          <w:marRight w:val="0"/>
          <w:marTop w:val="0"/>
          <w:marBottom w:val="0"/>
          <w:divBdr>
            <w:top w:val="none" w:sz="0" w:space="0" w:color="auto"/>
            <w:left w:val="none" w:sz="0" w:space="0" w:color="auto"/>
            <w:bottom w:val="none" w:sz="0" w:space="0" w:color="auto"/>
            <w:right w:val="none" w:sz="0" w:space="0" w:color="auto"/>
          </w:divBdr>
        </w:div>
        <w:div w:id="284314963">
          <w:marLeft w:val="640"/>
          <w:marRight w:val="0"/>
          <w:marTop w:val="0"/>
          <w:marBottom w:val="0"/>
          <w:divBdr>
            <w:top w:val="none" w:sz="0" w:space="0" w:color="auto"/>
            <w:left w:val="none" w:sz="0" w:space="0" w:color="auto"/>
            <w:bottom w:val="none" w:sz="0" w:space="0" w:color="auto"/>
            <w:right w:val="none" w:sz="0" w:space="0" w:color="auto"/>
          </w:divBdr>
        </w:div>
        <w:div w:id="404454617">
          <w:marLeft w:val="640"/>
          <w:marRight w:val="0"/>
          <w:marTop w:val="0"/>
          <w:marBottom w:val="0"/>
          <w:divBdr>
            <w:top w:val="none" w:sz="0" w:space="0" w:color="auto"/>
            <w:left w:val="none" w:sz="0" w:space="0" w:color="auto"/>
            <w:bottom w:val="none" w:sz="0" w:space="0" w:color="auto"/>
            <w:right w:val="none" w:sz="0" w:space="0" w:color="auto"/>
          </w:divBdr>
        </w:div>
        <w:div w:id="1021006054">
          <w:marLeft w:val="640"/>
          <w:marRight w:val="0"/>
          <w:marTop w:val="0"/>
          <w:marBottom w:val="0"/>
          <w:divBdr>
            <w:top w:val="none" w:sz="0" w:space="0" w:color="auto"/>
            <w:left w:val="none" w:sz="0" w:space="0" w:color="auto"/>
            <w:bottom w:val="none" w:sz="0" w:space="0" w:color="auto"/>
            <w:right w:val="none" w:sz="0" w:space="0" w:color="auto"/>
          </w:divBdr>
        </w:div>
        <w:div w:id="545484441">
          <w:marLeft w:val="640"/>
          <w:marRight w:val="0"/>
          <w:marTop w:val="0"/>
          <w:marBottom w:val="0"/>
          <w:divBdr>
            <w:top w:val="none" w:sz="0" w:space="0" w:color="auto"/>
            <w:left w:val="none" w:sz="0" w:space="0" w:color="auto"/>
            <w:bottom w:val="none" w:sz="0" w:space="0" w:color="auto"/>
            <w:right w:val="none" w:sz="0" w:space="0" w:color="auto"/>
          </w:divBdr>
        </w:div>
        <w:div w:id="339627918">
          <w:marLeft w:val="640"/>
          <w:marRight w:val="0"/>
          <w:marTop w:val="0"/>
          <w:marBottom w:val="0"/>
          <w:divBdr>
            <w:top w:val="none" w:sz="0" w:space="0" w:color="auto"/>
            <w:left w:val="none" w:sz="0" w:space="0" w:color="auto"/>
            <w:bottom w:val="none" w:sz="0" w:space="0" w:color="auto"/>
            <w:right w:val="none" w:sz="0" w:space="0" w:color="auto"/>
          </w:divBdr>
        </w:div>
        <w:div w:id="409936101">
          <w:marLeft w:val="640"/>
          <w:marRight w:val="0"/>
          <w:marTop w:val="0"/>
          <w:marBottom w:val="0"/>
          <w:divBdr>
            <w:top w:val="none" w:sz="0" w:space="0" w:color="auto"/>
            <w:left w:val="none" w:sz="0" w:space="0" w:color="auto"/>
            <w:bottom w:val="none" w:sz="0" w:space="0" w:color="auto"/>
            <w:right w:val="none" w:sz="0" w:space="0" w:color="auto"/>
          </w:divBdr>
        </w:div>
        <w:div w:id="184293333">
          <w:marLeft w:val="640"/>
          <w:marRight w:val="0"/>
          <w:marTop w:val="0"/>
          <w:marBottom w:val="0"/>
          <w:divBdr>
            <w:top w:val="none" w:sz="0" w:space="0" w:color="auto"/>
            <w:left w:val="none" w:sz="0" w:space="0" w:color="auto"/>
            <w:bottom w:val="none" w:sz="0" w:space="0" w:color="auto"/>
            <w:right w:val="none" w:sz="0" w:space="0" w:color="auto"/>
          </w:divBdr>
        </w:div>
        <w:div w:id="1128159584">
          <w:marLeft w:val="640"/>
          <w:marRight w:val="0"/>
          <w:marTop w:val="0"/>
          <w:marBottom w:val="0"/>
          <w:divBdr>
            <w:top w:val="none" w:sz="0" w:space="0" w:color="auto"/>
            <w:left w:val="none" w:sz="0" w:space="0" w:color="auto"/>
            <w:bottom w:val="none" w:sz="0" w:space="0" w:color="auto"/>
            <w:right w:val="none" w:sz="0" w:space="0" w:color="auto"/>
          </w:divBdr>
        </w:div>
        <w:div w:id="1670475099">
          <w:marLeft w:val="640"/>
          <w:marRight w:val="0"/>
          <w:marTop w:val="0"/>
          <w:marBottom w:val="0"/>
          <w:divBdr>
            <w:top w:val="none" w:sz="0" w:space="0" w:color="auto"/>
            <w:left w:val="none" w:sz="0" w:space="0" w:color="auto"/>
            <w:bottom w:val="none" w:sz="0" w:space="0" w:color="auto"/>
            <w:right w:val="none" w:sz="0" w:space="0" w:color="auto"/>
          </w:divBdr>
        </w:div>
        <w:div w:id="1963225122">
          <w:marLeft w:val="640"/>
          <w:marRight w:val="0"/>
          <w:marTop w:val="0"/>
          <w:marBottom w:val="0"/>
          <w:divBdr>
            <w:top w:val="none" w:sz="0" w:space="0" w:color="auto"/>
            <w:left w:val="none" w:sz="0" w:space="0" w:color="auto"/>
            <w:bottom w:val="none" w:sz="0" w:space="0" w:color="auto"/>
            <w:right w:val="none" w:sz="0" w:space="0" w:color="auto"/>
          </w:divBdr>
        </w:div>
        <w:div w:id="1590389358">
          <w:marLeft w:val="640"/>
          <w:marRight w:val="0"/>
          <w:marTop w:val="0"/>
          <w:marBottom w:val="0"/>
          <w:divBdr>
            <w:top w:val="none" w:sz="0" w:space="0" w:color="auto"/>
            <w:left w:val="none" w:sz="0" w:space="0" w:color="auto"/>
            <w:bottom w:val="none" w:sz="0" w:space="0" w:color="auto"/>
            <w:right w:val="none" w:sz="0" w:space="0" w:color="auto"/>
          </w:divBdr>
        </w:div>
        <w:div w:id="589968978">
          <w:marLeft w:val="640"/>
          <w:marRight w:val="0"/>
          <w:marTop w:val="0"/>
          <w:marBottom w:val="0"/>
          <w:divBdr>
            <w:top w:val="none" w:sz="0" w:space="0" w:color="auto"/>
            <w:left w:val="none" w:sz="0" w:space="0" w:color="auto"/>
            <w:bottom w:val="none" w:sz="0" w:space="0" w:color="auto"/>
            <w:right w:val="none" w:sz="0" w:space="0" w:color="auto"/>
          </w:divBdr>
        </w:div>
        <w:div w:id="1873834375">
          <w:marLeft w:val="640"/>
          <w:marRight w:val="0"/>
          <w:marTop w:val="0"/>
          <w:marBottom w:val="0"/>
          <w:divBdr>
            <w:top w:val="none" w:sz="0" w:space="0" w:color="auto"/>
            <w:left w:val="none" w:sz="0" w:space="0" w:color="auto"/>
            <w:bottom w:val="none" w:sz="0" w:space="0" w:color="auto"/>
            <w:right w:val="none" w:sz="0" w:space="0" w:color="auto"/>
          </w:divBdr>
        </w:div>
        <w:div w:id="1787306462">
          <w:marLeft w:val="640"/>
          <w:marRight w:val="0"/>
          <w:marTop w:val="0"/>
          <w:marBottom w:val="0"/>
          <w:divBdr>
            <w:top w:val="none" w:sz="0" w:space="0" w:color="auto"/>
            <w:left w:val="none" w:sz="0" w:space="0" w:color="auto"/>
            <w:bottom w:val="none" w:sz="0" w:space="0" w:color="auto"/>
            <w:right w:val="none" w:sz="0" w:space="0" w:color="auto"/>
          </w:divBdr>
        </w:div>
        <w:div w:id="1539049122">
          <w:marLeft w:val="640"/>
          <w:marRight w:val="0"/>
          <w:marTop w:val="0"/>
          <w:marBottom w:val="0"/>
          <w:divBdr>
            <w:top w:val="none" w:sz="0" w:space="0" w:color="auto"/>
            <w:left w:val="none" w:sz="0" w:space="0" w:color="auto"/>
            <w:bottom w:val="none" w:sz="0" w:space="0" w:color="auto"/>
            <w:right w:val="none" w:sz="0" w:space="0" w:color="auto"/>
          </w:divBdr>
        </w:div>
        <w:div w:id="1858425612">
          <w:marLeft w:val="640"/>
          <w:marRight w:val="0"/>
          <w:marTop w:val="0"/>
          <w:marBottom w:val="0"/>
          <w:divBdr>
            <w:top w:val="none" w:sz="0" w:space="0" w:color="auto"/>
            <w:left w:val="none" w:sz="0" w:space="0" w:color="auto"/>
            <w:bottom w:val="none" w:sz="0" w:space="0" w:color="auto"/>
            <w:right w:val="none" w:sz="0" w:space="0" w:color="auto"/>
          </w:divBdr>
        </w:div>
        <w:div w:id="184682522">
          <w:marLeft w:val="640"/>
          <w:marRight w:val="0"/>
          <w:marTop w:val="0"/>
          <w:marBottom w:val="0"/>
          <w:divBdr>
            <w:top w:val="none" w:sz="0" w:space="0" w:color="auto"/>
            <w:left w:val="none" w:sz="0" w:space="0" w:color="auto"/>
            <w:bottom w:val="none" w:sz="0" w:space="0" w:color="auto"/>
            <w:right w:val="none" w:sz="0" w:space="0" w:color="auto"/>
          </w:divBdr>
        </w:div>
        <w:div w:id="1241866015">
          <w:marLeft w:val="640"/>
          <w:marRight w:val="0"/>
          <w:marTop w:val="0"/>
          <w:marBottom w:val="0"/>
          <w:divBdr>
            <w:top w:val="none" w:sz="0" w:space="0" w:color="auto"/>
            <w:left w:val="none" w:sz="0" w:space="0" w:color="auto"/>
            <w:bottom w:val="none" w:sz="0" w:space="0" w:color="auto"/>
            <w:right w:val="none" w:sz="0" w:space="0" w:color="auto"/>
          </w:divBdr>
        </w:div>
        <w:div w:id="992369803">
          <w:marLeft w:val="640"/>
          <w:marRight w:val="0"/>
          <w:marTop w:val="0"/>
          <w:marBottom w:val="0"/>
          <w:divBdr>
            <w:top w:val="none" w:sz="0" w:space="0" w:color="auto"/>
            <w:left w:val="none" w:sz="0" w:space="0" w:color="auto"/>
            <w:bottom w:val="none" w:sz="0" w:space="0" w:color="auto"/>
            <w:right w:val="none" w:sz="0" w:space="0" w:color="auto"/>
          </w:divBdr>
        </w:div>
        <w:div w:id="2000764502">
          <w:marLeft w:val="640"/>
          <w:marRight w:val="0"/>
          <w:marTop w:val="0"/>
          <w:marBottom w:val="0"/>
          <w:divBdr>
            <w:top w:val="none" w:sz="0" w:space="0" w:color="auto"/>
            <w:left w:val="none" w:sz="0" w:space="0" w:color="auto"/>
            <w:bottom w:val="none" w:sz="0" w:space="0" w:color="auto"/>
            <w:right w:val="none" w:sz="0" w:space="0" w:color="auto"/>
          </w:divBdr>
        </w:div>
        <w:div w:id="206062914">
          <w:marLeft w:val="640"/>
          <w:marRight w:val="0"/>
          <w:marTop w:val="0"/>
          <w:marBottom w:val="0"/>
          <w:divBdr>
            <w:top w:val="none" w:sz="0" w:space="0" w:color="auto"/>
            <w:left w:val="none" w:sz="0" w:space="0" w:color="auto"/>
            <w:bottom w:val="none" w:sz="0" w:space="0" w:color="auto"/>
            <w:right w:val="none" w:sz="0" w:space="0" w:color="auto"/>
          </w:divBdr>
        </w:div>
        <w:div w:id="603617324">
          <w:marLeft w:val="640"/>
          <w:marRight w:val="0"/>
          <w:marTop w:val="0"/>
          <w:marBottom w:val="0"/>
          <w:divBdr>
            <w:top w:val="none" w:sz="0" w:space="0" w:color="auto"/>
            <w:left w:val="none" w:sz="0" w:space="0" w:color="auto"/>
            <w:bottom w:val="none" w:sz="0" w:space="0" w:color="auto"/>
            <w:right w:val="none" w:sz="0" w:space="0" w:color="auto"/>
          </w:divBdr>
        </w:div>
        <w:div w:id="1469084784">
          <w:marLeft w:val="640"/>
          <w:marRight w:val="0"/>
          <w:marTop w:val="0"/>
          <w:marBottom w:val="0"/>
          <w:divBdr>
            <w:top w:val="none" w:sz="0" w:space="0" w:color="auto"/>
            <w:left w:val="none" w:sz="0" w:space="0" w:color="auto"/>
            <w:bottom w:val="none" w:sz="0" w:space="0" w:color="auto"/>
            <w:right w:val="none" w:sz="0" w:space="0" w:color="auto"/>
          </w:divBdr>
        </w:div>
        <w:div w:id="582372499">
          <w:marLeft w:val="640"/>
          <w:marRight w:val="0"/>
          <w:marTop w:val="0"/>
          <w:marBottom w:val="0"/>
          <w:divBdr>
            <w:top w:val="none" w:sz="0" w:space="0" w:color="auto"/>
            <w:left w:val="none" w:sz="0" w:space="0" w:color="auto"/>
            <w:bottom w:val="none" w:sz="0" w:space="0" w:color="auto"/>
            <w:right w:val="none" w:sz="0" w:space="0" w:color="auto"/>
          </w:divBdr>
        </w:div>
        <w:div w:id="1181042528">
          <w:marLeft w:val="640"/>
          <w:marRight w:val="0"/>
          <w:marTop w:val="0"/>
          <w:marBottom w:val="0"/>
          <w:divBdr>
            <w:top w:val="none" w:sz="0" w:space="0" w:color="auto"/>
            <w:left w:val="none" w:sz="0" w:space="0" w:color="auto"/>
            <w:bottom w:val="none" w:sz="0" w:space="0" w:color="auto"/>
            <w:right w:val="none" w:sz="0" w:space="0" w:color="auto"/>
          </w:divBdr>
        </w:div>
        <w:div w:id="1574927930">
          <w:marLeft w:val="640"/>
          <w:marRight w:val="0"/>
          <w:marTop w:val="0"/>
          <w:marBottom w:val="0"/>
          <w:divBdr>
            <w:top w:val="none" w:sz="0" w:space="0" w:color="auto"/>
            <w:left w:val="none" w:sz="0" w:space="0" w:color="auto"/>
            <w:bottom w:val="none" w:sz="0" w:space="0" w:color="auto"/>
            <w:right w:val="none" w:sz="0" w:space="0" w:color="auto"/>
          </w:divBdr>
        </w:div>
        <w:div w:id="676617693">
          <w:marLeft w:val="640"/>
          <w:marRight w:val="0"/>
          <w:marTop w:val="0"/>
          <w:marBottom w:val="0"/>
          <w:divBdr>
            <w:top w:val="none" w:sz="0" w:space="0" w:color="auto"/>
            <w:left w:val="none" w:sz="0" w:space="0" w:color="auto"/>
            <w:bottom w:val="none" w:sz="0" w:space="0" w:color="auto"/>
            <w:right w:val="none" w:sz="0" w:space="0" w:color="auto"/>
          </w:divBdr>
        </w:div>
        <w:div w:id="246041545">
          <w:marLeft w:val="640"/>
          <w:marRight w:val="0"/>
          <w:marTop w:val="0"/>
          <w:marBottom w:val="0"/>
          <w:divBdr>
            <w:top w:val="none" w:sz="0" w:space="0" w:color="auto"/>
            <w:left w:val="none" w:sz="0" w:space="0" w:color="auto"/>
            <w:bottom w:val="none" w:sz="0" w:space="0" w:color="auto"/>
            <w:right w:val="none" w:sz="0" w:space="0" w:color="auto"/>
          </w:divBdr>
        </w:div>
        <w:div w:id="52973446">
          <w:marLeft w:val="640"/>
          <w:marRight w:val="0"/>
          <w:marTop w:val="0"/>
          <w:marBottom w:val="0"/>
          <w:divBdr>
            <w:top w:val="none" w:sz="0" w:space="0" w:color="auto"/>
            <w:left w:val="none" w:sz="0" w:space="0" w:color="auto"/>
            <w:bottom w:val="none" w:sz="0" w:space="0" w:color="auto"/>
            <w:right w:val="none" w:sz="0" w:space="0" w:color="auto"/>
          </w:divBdr>
        </w:div>
        <w:div w:id="1544294155">
          <w:marLeft w:val="640"/>
          <w:marRight w:val="0"/>
          <w:marTop w:val="0"/>
          <w:marBottom w:val="0"/>
          <w:divBdr>
            <w:top w:val="none" w:sz="0" w:space="0" w:color="auto"/>
            <w:left w:val="none" w:sz="0" w:space="0" w:color="auto"/>
            <w:bottom w:val="none" w:sz="0" w:space="0" w:color="auto"/>
            <w:right w:val="none" w:sz="0" w:space="0" w:color="auto"/>
          </w:divBdr>
        </w:div>
        <w:div w:id="920024001">
          <w:marLeft w:val="640"/>
          <w:marRight w:val="0"/>
          <w:marTop w:val="0"/>
          <w:marBottom w:val="0"/>
          <w:divBdr>
            <w:top w:val="none" w:sz="0" w:space="0" w:color="auto"/>
            <w:left w:val="none" w:sz="0" w:space="0" w:color="auto"/>
            <w:bottom w:val="none" w:sz="0" w:space="0" w:color="auto"/>
            <w:right w:val="none" w:sz="0" w:space="0" w:color="auto"/>
          </w:divBdr>
        </w:div>
        <w:div w:id="1413890049">
          <w:marLeft w:val="640"/>
          <w:marRight w:val="0"/>
          <w:marTop w:val="0"/>
          <w:marBottom w:val="0"/>
          <w:divBdr>
            <w:top w:val="none" w:sz="0" w:space="0" w:color="auto"/>
            <w:left w:val="none" w:sz="0" w:space="0" w:color="auto"/>
            <w:bottom w:val="none" w:sz="0" w:space="0" w:color="auto"/>
            <w:right w:val="none" w:sz="0" w:space="0" w:color="auto"/>
          </w:divBdr>
        </w:div>
        <w:div w:id="61218377">
          <w:marLeft w:val="640"/>
          <w:marRight w:val="0"/>
          <w:marTop w:val="0"/>
          <w:marBottom w:val="0"/>
          <w:divBdr>
            <w:top w:val="none" w:sz="0" w:space="0" w:color="auto"/>
            <w:left w:val="none" w:sz="0" w:space="0" w:color="auto"/>
            <w:bottom w:val="none" w:sz="0" w:space="0" w:color="auto"/>
            <w:right w:val="none" w:sz="0" w:space="0" w:color="auto"/>
          </w:divBdr>
        </w:div>
        <w:div w:id="1539703358">
          <w:marLeft w:val="640"/>
          <w:marRight w:val="0"/>
          <w:marTop w:val="0"/>
          <w:marBottom w:val="0"/>
          <w:divBdr>
            <w:top w:val="none" w:sz="0" w:space="0" w:color="auto"/>
            <w:left w:val="none" w:sz="0" w:space="0" w:color="auto"/>
            <w:bottom w:val="none" w:sz="0" w:space="0" w:color="auto"/>
            <w:right w:val="none" w:sz="0" w:space="0" w:color="auto"/>
          </w:divBdr>
        </w:div>
        <w:div w:id="2066026237">
          <w:marLeft w:val="640"/>
          <w:marRight w:val="0"/>
          <w:marTop w:val="0"/>
          <w:marBottom w:val="0"/>
          <w:divBdr>
            <w:top w:val="none" w:sz="0" w:space="0" w:color="auto"/>
            <w:left w:val="none" w:sz="0" w:space="0" w:color="auto"/>
            <w:bottom w:val="none" w:sz="0" w:space="0" w:color="auto"/>
            <w:right w:val="none" w:sz="0" w:space="0" w:color="auto"/>
          </w:divBdr>
        </w:div>
        <w:div w:id="312949535">
          <w:marLeft w:val="640"/>
          <w:marRight w:val="0"/>
          <w:marTop w:val="0"/>
          <w:marBottom w:val="0"/>
          <w:divBdr>
            <w:top w:val="none" w:sz="0" w:space="0" w:color="auto"/>
            <w:left w:val="none" w:sz="0" w:space="0" w:color="auto"/>
            <w:bottom w:val="none" w:sz="0" w:space="0" w:color="auto"/>
            <w:right w:val="none" w:sz="0" w:space="0" w:color="auto"/>
          </w:divBdr>
        </w:div>
        <w:div w:id="544026533">
          <w:marLeft w:val="640"/>
          <w:marRight w:val="0"/>
          <w:marTop w:val="0"/>
          <w:marBottom w:val="0"/>
          <w:divBdr>
            <w:top w:val="none" w:sz="0" w:space="0" w:color="auto"/>
            <w:left w:val="none" w:sz="0" w:space="0" w:color="auto"/>
            <w:bottom w:val="none" w:sz="0" w:space="0" w:color="auto"/>
            <w:right w:val="none" w:sz="0" w:space="0" w:color="auto"/>
          </w:divBdr>
        </w:div>
        <w:div w:id="1896815012">
          <w:marLeft w:val="640"/>
          <w:marRight w:val="0"/>
          <w:marTop w:val="0"/>
          <w:marBottom w:val="0"/>
          <w:divBdr>
            <w:top w:val="none" w:sz="0" w:space="0" w:color="auto"/>
            <w:left w:val="none" w:sz="0" w:space="0" w:color="auto"/>
            <w:bottom w:val="none" w:sz="0" w:space="0" w:color="auto"/>
            <w:right w:val="none" w:sz="0" w:space="0" w:color="auto"/>
          </w:divBdr>
        </w:div>
        <w:div w:id="698237406">
          <w:marLeft w:val="640"/>
          <w:marRight w:val="0"/>
          <w:marTop w:val="0"/>
          <w:marBottom w:val="0"/>
          <w:divBdr>
            <w:top w:val="none" w:sz="0" w:space="0" w:color="auto"/>
            <w:left w:val="none" w:sz="0" w:space="0" w:color="auto"/>
            <w:bottom w:val="none" w:sz="0" w:space="0" w:color="auto"/>
            <w:right w:val="none" w:sz="0" w:space="0" w:color="auto"/>
          </w:divBdr>
        </w:div>
        <w:div w:id="1993635487">
          <w:marLeft w:val="640"/>
          <w:marRight w:val="0"/>
          <w:marTop w:val="0"/>
          <w:marBottom w:val="0"/>
          <w:divBdr>
            <w:top w:val="none" w:sz="0" w:space="0" w:color="auto"/>
            <w:left w:val="none" w:sz="0" w:space="0" w:color="auto"/>
            <w:bottom w:val="none" w:sz="0" w:space="0" w:color="auto"/>
            <w:right w:val="none" w:sz="0" w:space="0" w:color="auto"/>
          </w:divBdr>
        </w:div>
        <w:div w:id="1764453192">
          <w:marLeft w:val="640"/>
          <w:marRight w:val="0"/>
          <w:marTop w:val="0"/>
          <w:marBottom w:val="0"/>
          <w:divBdr>
            <w:top w:val="none" w:sz="0" w:space="0" w:color="auto"/>
            <w:left w:val="none" w:sz="0" w:space="0" w:color="auto"/>
            <w:bottom w:val="none" w:sz="0" w:space="0" w:color="auto"/>
            <w:right w:val="none" w:sz="0" w:space="0" w:color="auto"/>
          </w:divBdr>
        </w:div>
        <w:div w:id="1318876379">
          <w:marLeft w:val="640"/>
          <w:marRight w:val="0"/>
          <w:marTop w:val="0"/>
          <w:marBottom w:val="0"/>
          <w:divBdr>
            <w:top w:val="none" w:sz="0" w:space="0" w:color="auto"/>
            <w:left w:val="none" w:sz="0" w:space="0" w:color="auto"/>
            <w:bottom w:val="none" w:sz="0" w:space="0" w:color="auto"/>
            <w:right w:val="none" w:sz="0" w:space="0" w:color="auto"/>
          </w:divBdr>
        </w:div>
        <w:div w:id="331221317">
          <w:marLeft w:val="640"/>
          <w:marRight w:val="0"/>
          <w:marTop w:val="0"/>
          <w:marBottom w:val="0"/>
          <w:divBdr>
            <w:top w:val="none" w:sz="0" w:space="0" w:color="auto"/>
            <w:left w:val="none" w:sz="0" w:space="0" w:color="auto"/>
            <w:bottom w:val="none" w:sz="0" w:space="0" w:color="auto"/>
            <w:right w:val="none" w:sz="0" w:space="0" w:color="auto"/>
          </w:divBdr>
        </w:div>
        <w:div w:id="828789205">
          <w:marLeft w:val="640"/>
          <w:marRight w:val="0"/>
          <w:marTop w:val="0"/>
          <w:marBottom w:val="0"/>
          <w:divBdr>
            <w:top w:val="none" w:sz="0" w:space="0" w:color="auto"/>
            <w:left w:val="none" w:sz="0" w:space="0" w:color="auto"/>
            <w:bottom w:val="none" w:sz="0" w:space="0" w:color="auto"/>
            <w:right w:val="none" w:sz="0" w:space="0" w:color="auto"/>
          </w:divBdr>
        </w:div>
        <w:div w:id="1854568083">
          <w:marLeft w:val="640"/>
          <w:marRight w:val="0"/>
          <w:marTop w:val="0"/>
          <w:marBottom w:val="0"/>
          <w:divBdr>
            <w:top w:val="none" w:sz="0" w:space="0" w:color="auto"/>
            <w:left w:val="none" w:sz="0" w:space="0" w:color="auto"/>
            <w:bottom w:val="none" w:sz="0" w:space="0" w:color="auto"/>
            <w:right w:val="none" w:sz="0" w:space="0" w:color="auto"/>
          </w:divBdr>
        </w:div>
        <w:div w:id="452866723">
          <w:marLeft w:val="640"/>
          <w:marRight w:val="0"/>
          <w:marTop w:val="0"/>
          <w:marBottom w:val="0"/>
          <w:divBdr>
            <w:top w:val="none" w:sz="0" w:space="0" w:color="auto"/>
            <w:left w:val="none" w:sz="0" w:space="0" w:color="auto"/>
            <w:bottom w:val="none" w:sz="0" w:space="0" w:color="auto"/>
            <w:right w:val="none" w:sz="0" w:space="0" w:color="auto"/>
          </w:divBdr>
        </w:div>
        <w:div w:id="516433941">
          <w:marLeft w:val="640"/>
          <w:marRight w:val="0"/>
          <w:marTop w:val="0"/>
          <w:marBottom w:val="0"/>
          <w:divBdr>
            <w:top w:val="none" w:sz="0" w:space="0" w:color="auto"/>
            <w:left w:val="none" w:sz="0" w:space="0" w:color="auto"/>
            <w:bottom w:val="none" w:sz="0" w:space="0" w:color="auto"/>
            <w:right w:val="none" w:sz="0" w:space="0" w:color="auto"/>
          </w:divBdr>
        </w:div>
        <w:div w:id="1326201211">
          <w:marLeft w:val="640"/>
          <w:marRight w:val="0"/>
          <w:marTop w:val="0"/>
          <w:marBottom w:val="0"/>
          <w:divBdr>
            <w:top w:val="none" w:sz="0" w:space="0" w:color="auto"/>
            <w:left w:val="none" w:sz="0" w:space="0" w:color="auto"/>
            <w:bottom w:val="none" w:sz="0" w:space="0" w:color="auto"/>
            <w:right w:val="none" w:sz="0" w:space="0" w:color="auto"/>
          </w:divBdr>
        </w:div>
        <w:div w:id="1031615316">
          <w:marLeft w:val="640"/>
          <w:marRight w:val="0"/>
          <w:marTop w:val="0"/>
          <w:marBottom w:val="0"/>
          <w:divBdr>
            <w:top w:val="none" w:sz="0" w:space="0" w:color="auto"/>
            <w:left w:val="none" w:sz="0" w:space="0" w:color="auto"/>
            <w:bottom w:val="none" w:sz="0" w:space="0" w:color="auto"/>
            <w:right w:val="none" w:sz="0" w:space="0" w:color="auto"/>
          </w:divBdr>
        </w:div>
        <w:div w:id="786050433">
          <w:marLeft w:val="640"/>
          <w:marRight w:val="0"/>
          <w:marTop w:val="0"/>
          <w:marBottom w:val="0"/>
          <w:divBdr>
            <w:top w:val="none" w:sz="0" w:space="0" w:color="auto"/>
            <w:left w:val="none" w:sz="0" w:space="0" w:color="auto"/>
            <w:bottom w:val="none" w:sz="0" w:space="0" w:color="auto"/>
            <w:right w:val="none" w:sz="0" w:space="0" w:color="auto"/>
          </w:divBdr>
        </w:div>
        <w:div w:id="947858707">
          <w:marLeft w:val="640"/>
          <w:marRight w:val="0"/>
          <w:marTop w:val="0"/>
          <w:marBottom w:val="0"/>
          <w:divBdr>
            <w:top w:val="none" w:sz="0" w:space="0" w:color="auto"/>
            <w:left w:val="none" w:sz="0" w:space="0" w:color="auto"/>
            <w:bottom w:val="none" w:sz="0" w:space="0" w:color="auto"/>
            <w:right w:val="none" w:sz="0" w:space="0" w:color="auto"/>
          </w:divBdr>
        </w:div>
        <w:div w:id="1356465726">
          <w:marLeft w:val="640"/>
          <w:marRight w:val="0"/>
          <w:marTop w:val="0"/>
          <w:marBottom w:val="0"/>
          <w:divBdr>
            <w:top w:val="none" w:sz="0" w:space="0" w:color="auto"/>
            <w:left w:val="none" w:sz="0" w:space="0" w:color="auto"/>
            <w:bottom w:val="none" w:sz="0" w:space="0" w:color="auto"/>
            <w:right w:val="none" w:sz="0" w:space="0" w:color="auto"/>
          </w:divBdr>
        </w:div>
        <w:div w:id="351031265">
          <w:marLeft w:val="640"/>
          <w:marRight w:val="0"/>
          <w:marTop w:val="0"/>
          <w:marBottom w:val="0"/>
          <w:divBdr>
            <w:top w:val="none" w:sz="0" w:space="0" w:color="auto"/>
            <w:left w:val="none" w:sz="0" w:space="0" w:color="auto"/>
            <w:bottom w:val="none" w:sz="0" w:space="0" w:color="auto"/>
            <w:right w:val="none" w:sz="0" w:space="0" w:color="auto"/>
          </w:divBdr>
        </w:div>
        <w:div w:id="200364375">
          <w:marLeft w:val="640"/>
          <w:marRight w:val="0"/>
          <w:marTop w:val="0"/>
          <w:marBottom w:val="0"/>
          <w:divBdr>
            <w:top w:val="none" w:sz="0" w:space="0" w:color="auto"/>
            <w:left w:val="none" w:sz="0" w:space="0" w:color="auto"/>
            <w:bottom w:val="none" w:sz="0" w:space="0" w:color="auto"/>
            <w:right w:val="none" w:sz="0" w:space="0" w:color="auto"/>
          </w:divBdr>
        </w:div>
        <w:div w:id="62798499">
          <w:marLeft w:val="640"/>
          <w:marRight w:val="0"/>
          <w:marTop w:val="0"/>
          <w:marBottom w:val="0"/>
          <w:divBdr>
            <w:top w:val="none" w:sz="0" w:space="0" w:color="auto"/>
            <w:left w:val="none" w:sz="0" w:space="0" w:color="auto"/>
            <w:bottom w:val="none" w:sz="0" w:space="0" w:color="auto"/>
            <w:right w:val="none" w:sz="0" w:space="0" w:color="auto"/>
          </w:divBdr>
        </w:div>
        <w:div w:id="622738241">
          <w:marLeft w:val="640"/>
          <w:marRight w:val="0"/>
          <w:marTop w:val="0"/>
          <w:marBottom w:val="0"/>
          <w:divBdr>
            <w:top w:val="none" w:sz="0" w:space="0" w:color="auto"/>
            <w:left w:val="none" w:sz="0" w:space="0" w:color="auto"/>
            <w:bottom w:val="none" w:sz="0" w:space="0" w:color="auto"/>
            <w:right w:val="none" w:sz="0" w:space="0" w:color="auto"/>
          </w:divBdr>
        </w:div>
        <w:div w:id="1041201390">
          <w:marLeft w:val="640"/>
          <w:marRight w:val="0"/>
          <w:marTop w:val="0"/>
          <w:marBottom w:val="0"/>
          <w:divBdr>
            <w:top w:val="none" w:sz="0" w:space="0" w:color="auto"/>
            <w:left w:val="none" w:sz="0" w:space="0" w:color="auto"/>
            <w:bottom w:val="none" w:sz="0" w:space="0" w:color="auto"/>
            <w:right w:val="none" w:sz="0" w:space="0" w:color="auto"/>
          </w:divBdr>
        </w:div>
        <w:div w:id="1962179862">
          <w:marLeft w:val="640"/>
          <w:marRight w:val="0"/>
          <w:marTop w:val="0"/>
          <w:marBottom w:val="0"/>
          <w:divBdr>
            <w:top w:val="none" w:sz="0" w:space="0" w:color="auto"/>
            <w:left w:val="none" w:sz="0" w:space="0" w:color="auto"/>
            <w:bottom w:val="none" w:sz="0" w:space="0" w:color="auto"/>
            <w:right w:val="none" w:sz="0" w:space="0" w:color="auto"/>
          </w:divBdr>
        </w:div>
        <w:div w:id="1663049571">
          <w:marLeft w:val="640"/>
          <w:marRight w:val="0"/>
          <w:marTop w:val="0"/>
          <w:marBottom w:val="0"/>
          <w:divBdr>
            <w:top w:val="none" w:sz="0" w:space="0" w:color="auto"/>
            <w:left w:val="none" w:sz="0" w:space="0" w:color="auto"/>
            <w:bottom w:val="none" w:sz="0" w:space="0" w:color="auto"/>
            <w:right w:val="none" w:sz="0" w:space="0" w:color="auto"/>
          </w:divBdr>
        </w:div>
        <w:div w:id="499198441">
          <w:marLeft w:val="640"/>
          <w:marRight w:val="0"/>
          <w:marTop w:val="0"/>
          <w:marBottom w:val="0"/>
          <w:divBdr>
            <w:top w:val="none" w:sz="0" w:space="0" w:color="auto"/>
            <w:left w:val="none" w:sz="0" w:space="0" w:color="auto"/>
            <w:bottom w:val="none" w:sz="0" w:space="0" w:color="auto"/>
            <w:right w:val="none" w:sz="0" w:space="0" w:color="auto"/>
          </w:divBdr>
        </w:div>
        <w:div w:id="1968123938">
          <w:marLeft w:val="640"/>
          <w:marRight w:val="0"/>
          <w:marTop w:val="0"/>
          <w:marBottom w:val="0"/>
          <w:divBdr>
            <w:top w:val="none" w:sz="0" w:space="0" w:color="auto"/>
            <w:left w:val="none" w:sz="0" w:space="0" w:color="auto"/>
            <w:bottom w:val="none" w:sz="0" w:space="0" w:color="auto"/>
            <w:right w:val="none" w:sz="0" w:space="0" w:color="auto"/>
          </w:divBdr>
        </w:div>
        <w:div w:id="238057142">
          <w:marLeft w:val="640"/>
          <w:marRight w:val="0"/>
          <w:marTop w:val="0"/>
          <w:marBottom w:val="0"/>
          <w:divBdr>
            <w:top w:val="none" w:sz="0" w:space="0" w:color="auto"/>
            <w:left w:val="none" w:sz="0" w:space="0" w:color="auto"/>
            <w:bottom w:val="none" w:sz="0" w:space="0" w:color="auto"/>
            <w:right w:val="none" w:sz="0" w:space="0" w:color="auto"/>
          </w:divBdr>
        </w:div>
        <w:div w:id="1274436420">
          <w:marLeft w:val="640"/>
          <w:marRight w:val="0"/>
          <w:marTop w:val="0"/>
          <w:marBottom w:val="0"/>
          <w:divBdr>
            <w:top w:val="none" w:sz="0" w:space="0" w:color="auto"/>
            <w:left w:val="none" w:sz="0" w:space="0" w:color="auto"/>
            <w:bottom w:val="none" w:sz="0" w:space="0" w:color="auto"/>
            <w:right w:val="none" w:sz="0" w:space="0" w:color="auto"/>
          </w:divBdr>
        </w:div>
        <w:div w:id="1436098250">
          <w:marLeft w:val="640"/>
          <w:marRight w:val="0"/>
          <w:marTop w:val="0"/>
          <w:marBottom w:val="0"/>
          <w:divBdr>
            <w:top w:val="none" w:sz="0" w:space="0" w:color="auto"/>
            <w:left w:val="none" w:sz="0" w:space="0" w:color="auto"/>
            <w:bottom w:val="none" w:sz="0" w:space="0" w:color="auto"/>
            <w:right w:val="none" w:sz="0" w:space="0" w:color="auto"/>
          </w:divBdr>
        </w:div>
        <w:div w:id="1284725485">
          <w:marLeft w:val="640"/>
          <w:marRight w:val="0"/>
          <w:marTop w:val="0"/>
          <w:marBottom w:val="0"/>
          <w:divBdr>
            <w:top w:val="none" w:sz="0" w:space="0" w:color="auto"/>
            <w:left w:val="none" w:sz="0" w:space="0" w:color="auto"/>
            <w:bottom w:val="none" w:sz="0" w:space="0" w:color="auto"/>
            <w:right w:val="none" w:sz="0" w:space="0" w:color="auto"/>
          </w:divBdr>
        </w:div>
        <w:div w:id="1645968661">
          <w:marLeft w:val="640"/>
          <w:marRight w:val="0"/>
          <w:marTop w:val="0"/>
          <w:marBottom w:val="0"/>
          <w:divBdr>
            <w:top w:val="none" w:sz="0" w:space="0" w:color="auto"/>
            <w:left w:val="none" w:sz="0" w:space="0" w:color="auto"/>
            <w:bottom w:val="none" w:sz="0" w:space="0" w:color="auto"/>
            <w:right w:val="none" w:sz="0" w:space="0" w:color="auto"/>
          </w:divBdr>
        </w:div>
        <w:div w:id="1009873670">
          <w:marLeft w:val="640"/>
          <w:marRight w:val="0"/>
          <w:marTop w:val="0"/>
          <w:marBottom w:val="0"/>
          <w:divBdr>
            <w:top w:val="none" w:sz="0" w:space="0" w:color="auto"/>
            <w:left w:val="none" w:sz="0" w:space="0" w:color="auto"/>
            <w:bottom w:val="none" w:sz="0" w:space="0" w:color="auto"/>
            <w:right w:val="none" w:sz="0" w:space="0" w:color="auto"/>
          </w:divBdr>
        </w:div>
        <w:div w:id="1629313735">
          <w:marLeft w:val="640"/>
          <w:marRight w:val="0"/>
          <w:marTop w:val="0"/>
          <w:marBottom w:val="0"/>
          <w:divBdr>
            <w:top w:val="none" w:sz="0" w:space="0" w:color="auto"/>
            <w:left w:val="none" w:sz="0" w:space="0" w:color="auto"/>
            <w:bottom w:val="none" w:sz="0" w:space="0" w:color="auto"/>
            <w:right w:val="none" w:sz="0" w:space="0" w:color="auto"/>
          </w:divBdr>
        </w:div>
        <w:div w:id="364672157">
          <w:marLeft w:val="640"/>
          <w:marRight w:val="0"/>
          <w:marTop w:val="0"/>
          <w:marBottom w:val="0"/>
          <w:divBdr>
            <w:top w:val="none" w:sz="0" w:space="0" w:color="auto"/>
            <w:left w:val="none" w:sz="0" w:space="0" w:color="auto"/>
            <w:bottom w:val="none" w:sz="0" w:space="0" w:color="auto"/>
            <w:right w:val="none" w:sz="0" w:space="0" w:color="auto"/>
          </w:divBdr>
        </w:div>
        <w:div w:id="1423256075">
          <w:marLeft w:val="640"/>
          <w:marRight w:val="0"/>
          <w:marTop w:val="0"/>
          <w:marBottom w:val="0"/>
          <w:divBdr>
            <w:top w:val="none" w:sz="0" w:space="0" w:color="auto"/>
            <w:left w:val="none" w:sz="0" w:space="0" w:color="auto"/>
            <w:bottom w:val="none" w:sz="0" w:space="0" w:color="auto"/>
            <w:right w:val="none" w:sz="0" w:space="0" w:color="auto"/>
          </w:divBdr>
        </w:div>
        <w:div w:id="1994747365">
          <w:marLeft w:val="640"/>
          <w:marRight w:val="0"/>
          <w:marTop w:val="0"/>
          <w:marBottom w:val="0"/>
          <w:divBdr>
            <w:top w:val="none" w:sz="0" w:space="0" w:color="auto"/>
            <w:left w:val="none" w:sz="0" w:space="0" w:color="auto"/>
            <w:bottom w:val="none" w:sz="0" w:space="0" w:color="auto"/>
            <w:right w:val="none" w:sz="0" w:space="0" w:color="auto"/>
          </w:divBdr>
        </w:div>
        <w:div w:id="380906516">
          <w:marLeft w:val="640"/>
          <w:marRight w:val="0"/>
          <w:marTop w:val="0"/>
          <w:marBottom w:val="0"/>
          <w:divBdr>
            <w:top w:val="none" w:sz="0" w:space="0" w:color="auto"/>
            <w:left w:val="none" w:sz="0" w:space="0" w:color="auto"/>
            <w:bottom w:val="none" w:sz="0" w:space="0" w:color="auto"/>
            <w:right w:val="none" w:sz="0" w:space="0" w:color="auto"/>
          </w:divBdr>
        </w:div>
        <w:div w:id="220405501">
          <w:marLeft w:val="640"/>
          <w:marRight w:val="0"/>
          <w:marTop w:val="0"/>
          <w:marBottom w:val="0"/>
          <w:divBdr>
            <w:top w:val="none" w:sz="0" w:space="0" w:color="auto"/>
            <w:left w:val="none" w:sz="0" w:space="0" w:color="auto"/>
            <w:bottom w:val="none" w:sz="0" w:space="0" w:color="auto"/>
            <w:right w:val="none" w:sz="0" w:space="0" w:color="auto"/>
          </w:divBdr>
        </w:div>
        <w:div w:id="1650937598">
          <w:marLeft w:val="640"/>
          <w:marRight w:val="0"/>
          <w:marTop w:val="0"/>
          <w:marBottom w:val="0"/>
          <w:divBdr>
            <w:top w:val="none" w:sz="0" w:space="0" w:color="auto"/>
            <w:left w:val="none" w:sz="0" w:space="0" w:color="auto"/>
            <w:bottom w:val="none" w:sz="0" w:space="0" w:color="auto"/>
            <w:right w:val="none" w:sz="0" w:space="0" w:color="auto"/>
          </w:divBdr>
        </w:div>
        <w:div w:id="1996180397">
          <w:marLeft w:val="640"/>
          <w:marRight w:val="0"/>
          <w:marTop w:val="0"/>
          <w:marBottom w:val="0"/>
          <w:divBdr>
            <w:top w:val="none" w:sz="0" w:space="0" w:color="auto"/>
            <w:left w:val="none" w:sz="0" w:space="0" w:color="auto"/>
            <w:bottom w:val="none" w:sz="0" w:space="0" w:color="auto"/>
            <w:right w:val="none" w:sz="0" w:space="0" w:color="auto"/>
          </w:divBdr>
        </w:div>
        <w:div w:id="1040860151">
          <w:marLeft w:val="640"/>
          <w:marRight w:val="0"/>
          <w:marTop w:val="0"/>
          <w:marBottom w:val="0"/>
          <w:divBdr>
            <w:top w:val="none" w:sz="0" w:space="0" w:color="auto"/>
            <w:left w:val="none" w:sz="0" w:space="0" w:color="auto"/>
            <w:bottom w:val="none" w:sz="0" w:space="0" w:color="auto"/>
            <w:right w:val="none" w:sz="0" w:space="0" w:color="auto"/>
          </w:divBdr>
        </w:div>
        <w:div w:id="42827482">
          <w:marLeft w:val="640"/>
          <w:marRight w:val="0"/>
          <w:marTop w:val="0"/>
          <w:marBottom w:val="0"/>
          <w:divBdr>
            <w:top w:val="none" w:sz="0" w:space="0" w:color="auto"/>
            <w:left w:val="none" w:sz="0" w:space="0" w:color="auto"/>
            <w:bottom w:val="none" w:sz="0" w:space="0" w:color="auto"/>
            <w:right w:val="none" w:sz="0" w:space="0" w:color="auto"/>
          </w:divBdr>
        </w:div>
        <w:div w:id="493881030">
          <w:marLeft w:val="640"/>
          <w:marRight w:val="0"/>
          <w:marTop w:val="0"/>
          <w:marBottom w:val="0"/>
          <w:divBdr>
            <w:top w:val="none" w:sz="0" w:space="0" w:color="auto"/>
            <w:left w:val="none" w:sz="0" w:space="0" w:color="auto"/>
            <w:bottom w:val="none" w:sz="0" w:space="0" w:color="auto"/>
            <w:right w:val="none" w:sz="0" w:space="0" w:color="auto"/>
          </w:divBdr>
        </w:div>
        <w:div w:id="1754081102">
          <w:marLeft w:val="640"/>
          <w:marRight w:val="0"/>
          <w:marTop w:val="0"/>
          <w:marBottom w:val="0"/>
          <w:divBdr>
            <w:top w:val="none" w:sz="0" w:space="0" w:color="auto"/>
            <w:left w:val="none" w:sz="0" w:space="0" w:color="auto"/>
            <w:bottom w:val="none" w:sz="0" w:space="0" w:color="auto"/>
            <w:right w:val="none" w:sz="0" w:space="0" w:color="auto"/>
          </w:divBdr>
        </w:div>
        <w:div w:id="18167509">
          <w:marLeft w:val="640"/>
          <w:marRight w:val="0"/>
          <w:marTop w:val="0"/>
          <w:marBottom w:val="0"/>
          <w:divBdr>
            <w:top w:val="none" w:sz="0" w:space="0" w:color="auto"/>
            <w:left w:val="none" w:sz="0" w:space="0" w:color="auto"/>
            <w:bottom w:val="none" w:sz="0" w:space="0" w:color="auto"/>
            <w:right w:val="none" w:sz="0" w:space="0" w:color="auto"/>
          </w:divBdr>
        </w:div>
        <w:div w:id="341590396">
          <w:marLeft w:val="640"/>
          <w:marRight w:val="0"/>
          <w:marTop w:val="0"/>
          <w:marBottom w:val="0"/>
          <w:divBdr>
            <w:top w:val="none" w:sz="0" w:space="0" w:color="auto"/>
            <w:left w:val="none" w:sz="0" w:space="0" w:color="auto"/>
            <w:bottom w:val="none" w:sz="0" w:space="0" w:color="auto"/>
            <w:right w:val="none" w:sz="0" w:space="0" w:color="auto"/>
          </w:divBdr>
        </w:div>
        <w:div w:id="1230457498">
          <w:marLeft w:val="640"/>
          <w:marRight w:val="0"/>
          <w:marTop w:val="0"/>
          <w:marBottom w:val="0"/>
          <w:divBdr>
            <w:top w:val="none" w:sz="0" w:space="0" w:color="auto"/>
            <w:left w:val="none" w:sz="0" w:space="0" w:color="auto"/>
            <w:bottom w:val="none" w:sz="0" w:space="0" w:color="auto"/>
            <w:right w:val="none" w:sz="0" w:space="0" w:color="auto"/>
          </w:divBdr>
        </w:div>
        <w:div w:id="470557831">
          <w:marLeft w:val="640"/>
          <w:marRight w:val="0"/>
          <w:marTop w:val="0"/>
          <w:marBottom w:val="0"/>
          <w:divBdr>
            <w:top w:val="none" w:sz="0" w:space="0" w:color="auto"/>
            <w:left w:val="none" w:sz="0" w:space="0" w:color="auto"/>
            <w:bottom w:val="none" w:sz="0" w:space="0" w:color="auto"/>
            <w:right w:val="none" w:sz="0" w:space="0" w:color="auto"/>
          </w:divBdr>
        </w:div>
        <w:div w:id="1459450953">
          <w:marLeft w:val="640"/>
          <w:marRight w:val="0"/>
          <w:marTop w:val="0"/>
          <w:marBottom w:val="0"/>
          <w:divBdr>
            <w:top w:val="none" w:sz="0" w:space="0" w:color="auto"/>
            <w:left w:val="none" w:sz="0" w:space="0" w:color="auto"/>
            <w:bottom w:val="none" w:sz="0" w:space="0" w:color="auto"/>
            <w:right w:val="none" w:sz="0" w:space="0" w:color="auto"/>
          </w:divBdr>
        </w:div>
        <w:div w:id="1111323377">
          <w:marLeft w:val="640"/>
          <w:marRight w:val="0"/>
          <w:marTop w:val="0"/>
          <w:marBottom w:val="0"/>
          <w:divBdr>
            <w:top w:val="none" w:sz="0" w:space="0" w:color="auto"/>
            <w:left w:val="none" w:sz="0" w:space="0" w:color="auto"/>
            <w:bottom w:val="none" w:sz="0" w:space="0" w:color="auto"/>
            <w:right w:val="none" w:sz="0" w:space="0" w:color="auto"/>
          </w:divBdr>
        </w:div>
        <w:div w:id="892080752">
          <w:marLeft w:val="640"/>
          <w:marRight w:val="0"/>
          <w:marTop w:val="0"/>
          <w:marBottom w:val="0"/>
          <w:divBdr>
            <w:top w:val="none" w:sz="0" w:space="0" w:color="auto"/>
            <w:left w:val="none" w:sz="0" w:space="0" w:color="auto"/>
            <w:bottom w:val="none" w:sz="0" w:space="0" w:color="auto"/>
            <w:right w:val="none" w:sz="0" w:space="0" w:color="auto"/>
          </w:divBdr>
        </w:div>
        <w:div w:id="1833524387">
          <w:marLeft w:val="640"/>
          <w:marRight w:val="0"/>
          <w:marTop w:val="0"/>
          <w:marBottom w:val="0"/>
          <w:divBdr>
            <w:top w:val="none" w:sz="0" w:space="0" w:color="auto"/>
            <w:left w:val="none" w:sz="0" w:space="0" w:color="auto"/>
            <w:bottom w:val="none" w:sz="0" w:space="0" w:color="auto"/>
            <w:right w:val="none" w:sz="0" w:space="0" w:color="auto"/>
          </w:divBdr>
        </w:div>
        <w:div w:id="2066946152">
          <w:marLeft w:val="640"/>
          <w:marRight w:val="0"/>
          <w:marTop w:val="0"/>
          <w:marBottom w:val="0"/>
          <w:divBdr>
            <w:top w:val="none" w:sz="0" w:space="0" w:color="auto"/>
            <w:left w:val="none" w:sz="0" w:space="0" w:color="auto"/>
            <w:bottom w:val="none" w:sz="0" w:space="0" w:color="auto"/>
            <w:right w:val="none" w:sz="0" w:space="0" w:color="auto"/>
          </w:divBdr>
        </w:div>
        <w:div w:id="1494417937">
          <w:marLeft w:val="640"/>
          <w:marRight w:val="0"/>
          <w:marTop w:val="0"/>
          <w:marBottom w:val="0"/>
          <w:divBdr>
            <w:top w:val="none" w:sz="0" w:space="0" w:color="auto"/>
            <w:left w:val="none" w:sz="0" w:space="0" w:color="auto"/>
            <w:bottom w:val="none" w:sz="0" w:space="0" w:color="auto"/>
            <w:right w:val="none" w:sz="0" w:space="0" w:color="auto"/>
          </w:divBdr>
        </w:div>
        <w:div w:id="1604410507">
          <w:marLeft w:val="640"/>
          <w:marRight w:val="0"/>
          <w:marTop w:val="0"/>
          <w:marBottom w:val="0"/>
          <w:divBdr>
            <w:top w:val="none" w:sz="0" w:space="0" w:color="auto"/>
            <w:left w:val="none" w:sz="0" w:space="0" w:color="auto"/>
            <w:bottom w:val="none" w:sz="0" w:space="0" w:color="auto"/>
            <w:right w:val="none" w:sz="0" w:space="0" w:color="auto"/>
          </w:divBdr>
        </w:div>
        <w:div w:id="1661351532">
          <w:marLeft w:val="640"/>
          <w:marRight w:val="0"/>
          <w:marTop w:val="0"/>
          <w:marBottom w:val="0"/>
          <w:divBdr>
            <w:top w:val="none" w:sz="0" w:space="0" w:color="auto"/>
            <w:left w:val="none" w:sz="0" w:space="0" w:color="auto"/>
            <w:bottom w:val="none" w:sz="0" w:space="0" w:color="auto"/>
            <w:right w:val="none" w:sz="0" w:space="0" w:color="auto"/>
          </w:divBdr>
        </w:div>
        <w:div w:id="1514567533">
          <w:marLeft w:val="640"/>
          <w:marRight w:val="0"/>
          <w:marTop w:val="0"/>
          <w:marBottom w:val="0"/>
          <w:divBdr>
            <w:top w:val="none" w:sz="0" w:space="0" w:color="auto"/>
            <w:left w:val="none" w:sz="0" w:space="0" w:color="auto"/>
            <w:bottom w:val="none" w:sz="0" w:space="0" w:color="auto"/>
            <w:right w:val="none" w:sz="0" w:space="0" w:color="auto"/>
          </w:divBdr>
        </w:div>
        <w:div w:id="1286275178">
          <w:marLeft w:val="640"/>
          <w:marRight w:val="0"/>
          <w:marTop w:val="0"/>
          <w:marBottom w:val="0"/>
          <w:divBdr>
            <w:top w:val="none" w:sz="0" w:space="0" w:color="auto"/>
            <w:left w:val="none" w:sz="0" w:space="0" w:color="auto"/>
            <w:bottom w:val="none" w:sz="0" w:space="0" w:color="auto"/>
            <w:right w:val="none" w:sz="0" w:space="0" w:color="auto"/>
          </w:divBdr>
        </w:div>
        <w:div w:id="1973831072">
          <w:marLeft w:val="640"/>
          <w:marRight w:val="0"/>
          <w:marTop w:val="0"/>
          <w:marBottom w:val="0"/>
          <w:divBdr>
            <w:top w:val="none" w:sz="0" w:space="0" w:color="auto"/>
            <w:left w:val="none" w:sz="0" w:space="0" w:color="auto"/>
            <w:bottom w:val="none" w:sz="0" w:space="0" w:color="auto"/>
            <w:right w:val="none" w:sz="0" w:space="0" w:color="auto"/>
          </w:divBdr>
        </w:div>
        <w:div w:id="693191046">
          <w:marLeft w:val="640"/>
          <w:marRight w:val="0"/>
          <w:marTop w:val="0"/>
          <w:marBottom w:val="0"/>
          <w:divBdr>
            <w:top w:val="none" w:sz="0" w:space="0" w:color="auto"/>
            <w:left w:val="none" w:sz="0" w:space="0" w:color="auto"/>
            <w:bottom w:val="none" w:sz="0" w:space="0" w:color="auto"/>
            <w:right w:val="none" w:sz="0" w:space="0" w:color="auto"/>
          </w:divBdr>
        </w:div>
        <w:div w:id="1326399101">
          <w:marLeft w:val="640"/>
          <w:marRight w:val="0"/>
          <w:marTop w:val="0"/>
          <w:marBottom w:val="0"/>
          <w:divBdr>
            <w:top w:val="none" w:sz="0" w:space="0" w:color="auto"/>
            <w:left w:val="none" w:sz="0" w:space="0" w:color="auto"/>
            <w:bottom w:val="none" w:sz="0" w:space="0" w:color="auto"/>
            <w:right w:val="none" w:sz="0" w:space="0" w:color="auto"/>
          </w:divBdr>
        </w:div>
        <w:div w:id="1529098074">
          <w:marLeft w:val="640"/>
          <w:marRight w:val="0"/>
          <w:marTop w:val="0"/>
          <w:marBottom w:val="0"/>
          <w:divBdr>
            <w:top w:val="none" w:sz="0" w:space="0" w:color="auto"/>
            <w:left w:val="none" w:sz="0" w:space="0" w:color="auto"/>
            <w:bottom w:val="none" w:sz="0" w:space="0" w:color="auto"/>
            <w:right w:val="none" w:sz="0" w:space="0" w:color="auto"/>
          </w:divBdr>
        </w:div>
        <w:div w:id="427308641">
          <w:marLeft w:val="640"/>
          <w:marRight w:val="0"/>
          <w:marTop w:val="0"/>
          <w:marBottom w:val="0"/>
          <w:divBdr>
            <w:top w:val="none" w:sz="0" w:space="0" w:color="auto"/>
            <w:left w:val="none" w:sz="0" w:space="0" w:color="auto"/>
            <w:bottom w:val="none" w:sz="0" w:space="0" w:color="auto"/>
            <w:right w:val="none" w:sz="0" w:space="0" w:color="auto"/>
          </w:divBdr>
        </w:div>
        <w:div w:id="1084570720">
          <w:marLeft w:val="640"/>
          <w:marRight w:val="0"/>
          <w:marTop w:val="0"/>
          <w:marBottom w:val="0"/>
          <w:divBdr>
            <w:top w:val="none" w:sz="0" w:space="0" w:color="auto"/>
            <w:left w:val="none" w:sz="0" w:space="0" w:color="auto"/>
            <w:bottom w:val="none" w:sz="0" w:space="0" w:color="auto"/>
            <w:right w:val="none" w:sz="0" w:space="0" w:color="auto"/>
          </w:divBdr>
        </w:div>
      </w:divsChild>
    </w:div>
    <w:div w:id="1284265932">
      <w:bodyDiv w:val="1"/>
      <w:marLeft w:val="0"/>
      <w:marRight w:val="0"/>
      <w:marTop w:val="0"/>
      <w:marBottom w:val="0"/>
      <w:divBdr>
        <w:top w:val="none" w:sz="0" w:space="0" w:color="auto"/>
        <w:left w:val="none" w:sz="0" w:space="0" w:color="auto"/>
        <w:bottom w:val="none" w:sz="0" w:space="0" w:color="auto"/>
        <w:right w:val="none" w:sz="0" w:space="0" w:color="auto"/>
      </w:divBdr>
      <w:divsChild>
        <w:div w:id="1009789908">
          <w:marLeft w:val="640"/>
          <w:marRight w:val="0"/>
          <w:marTop w:val="0"/>
          <w:marBottom w:val="0"/>
          <w:divBdr>
            <w:top w:val="none" w:sz="0" w:space="0" w:color="auto"/>
            <w:left w:val="none" w:sz="0" w:space="0" w:color="auto"/>
            <w:bottom w:val="none" w:sz="0" w:space="0" w:color="auto"/>
            <w:right w:val="none" w:sz="0" w:space="0" w:color="auto"/>
          </w:divBdr>
        </w:div>
        <w:div w:id="2097289912">
          <w:marLeft w:val="640"/>
          <w:marRight w:val="0"/>
          <w:marTop w:val="0"/>
          <w:marBottom w:val="0"/>
          <w:divBdr>
            <w:top w:val="none" w:sz="0" w:space="0" w:color="auto"/>
            <w:left w:val="none" w:sz="0" w:space="0" w:color="auto"/>
            <w:bottom w:val="none" w:sz="0" w:space="0" w:color="auto"/>
            <w:right w:val="none" w:sz="0" w:space="0" w:color="auto"/>
          </w:divBdr>
        </w:div>
        <w:div w:id="300691308">
          <w:marLeft w:val="640"/>
          <w:marRight w:val="0"/>
          <w:marTop w:val="0"/>
          <w:marBottom w:val="0"/>
          <w:divBdr>
            <w:top w:val="none" w:sz="0" w:space="0" w:color="auto"/>
            <w:left w:val="none" w:sz="0" w:space="0" w:color="auto"/>
            <w:bottom w:val="none" w:sz="0" w:space="0" w:color="auto"/>
            <w:right w:val="none" w:sz="0" w:space="0" w:color="auto"/>
          </w:divBdr>
        </w:div>
        <w:div w:id="1284775113">
          <w:marLeft w:val="640"/>
          <w:marRight w:val="0"/>
          <w:marTop w:val="0"/>
          <w:marBottom w:val="0"/>
          <w:divBdr>
            <w:top w:val="none" w:sz="0" w:space="0" w:color="auto"/>
            <w:left w:val="none" w:sz="0" w:space="0" w:color="auto"/>
            <w:bottom w:val="none" w:sz="0" w:space="0" w:color="auto"/>
            <w:right w:val="none" w:sz="0" w:space="0" w:color="auto"/>
          </w:divBdr>
        </w:div>
        <w:div w:id="1343512741">
          <w:marLeft w:val="640"/>
          <w:marRight w:val="0"/>
          <w:marTop w:val="0"/>
          <w:marBottom w:val="0"/>
          <w:divBdr>
            <w:top w:val="none" w:sz="0" w:space="0" w:color="auto"/>
            <w:left w:val="none" w:sz="0" w:space="0" w:color="auto"/>
            <w:bottom w:val="none" w:sz="0" w:space="0" w:color="auto"/>
            <w:right w:val="none" w:sz="0" w:space="0" w:color="auto"/>
          </w:divBdr>
        </w:div>
        <w:div w:id="1225067947">
          <w:marLeft w:val="640"/>
          <w:marRight w:val="0"/>
          <w:marTop w:val="0"/>
          <w:marBottom w:val="0"/>
          <w:divBdr>
            <w:top w:val="none" w:sz="0" w:space="0" w:color="auto"/>
            <w:left w:val="none" w:sz="0" w:space="0" w:color="auto"/>
            <w:bottom w:val="none" w:sz="0" w:space="0" w:color="auto"/>
            <w:right w:val="none" w:sz="0" w:space="0" w:color="auto"/>
          </w:divBdr>
        </w:div>
        <w:div w:id="1385447682">
          <w:marLeft w:val="640"/>
          <w:marRight w:val="0"/>
          <w:marTop w:val="0"/>
          <w:marBottom w:val="0"/>
          <w:divBdr>
            <w:top w:val="none" w:sz="0" w:space="0" w:color="auto"/>
            <w:left w:val="none" w:sz="0" w:space="0" w:color="auto"/>
            <w:bottom w:val="none" w:sz="0" w:space="0" w:color="auto"/>
            <w:right w:val="none" w:sz="0" w:space="0" w:color="auto"/>
          </w:divBdr>
        </w:div>
        <w:div w:id="1966544188">
          <w:marLeft w:val="640"/>
          <w:marRight w:val="0"/>
          <w:marTop w:val="0"/>
          <w:marBottom w:val="0"/>
          <w:divBdr>
            <w:top w:val="none" w:sz="0" w:space="0" w:color="auto"/>
            <w:left w:val="none" w:sz="0" w:space="0" w:color="auto"/>
            <w:bottom w:val="none" w:sz="0" w:space="0" w:color="auto"/>
            <w:right w:val="none" w:sz="0" w:space="0" w:color="auto"/>
          </w:divBdr>
        </w:div>
        <w:div w:id="690303983">
          <w:marLeft w:val="640"/>
          <w:marRight w:val="0"/>
          <w:marTop w:val="0"/>
          <w:marBottom w:val="0"/>
          <w:divBdr>
            <w:top w:val="none" w:sz="0" w:space="0" w:color="auto"/>
            <w:left w:val="none" w:sz="0" w:space="0" w:color="auto"/>
            <w:bottom w:val="none" w:sz="0" w:space="0" w:color="auto"/>
            <w:right w:val="none" w:sz="0" w:space="0" w:color="auto"/>
          </w:divBdr>
        </w:div>
        <w:div w:id="2023318474">
          <w:marLeft w:val="640"/>
          <w:marRight w:val="0"/>
          <w:marTop w:val="0"/>
          <w:marBottom w:val="0"/>
          <w:divBdr>
            <w:top w:val="none" w:sz="0" w:space="0" w:color="auto"/>
            <w:left w:val="none" w:sz="0" w:space="0" w:color="auto"/>
            <w:bottom w:val="none" w:sz="0" w:space="0" w:color="auto"/>
            <w:right w:val="none" w:sz="0" w:space="0" w:color="auto"/>
          </w:divBdr>
        </w:div>
        <w:div w:id="1954823034">
          <w:marLeft w:val="640"/>
          <w:marRight w:val="0"/>
          <w:marTop w:val="0"/>
          <w:marBottom w:val="0"/>
          <w:divBdr>
            <w:top w:val="none" w:sz="0" w:space="0" w:color="auto"/>
            <w:left w:val="none" w:sz="0" w:space="0" w:color="auto"/>
            <w:bottom w:val="none" w:sz="0" w:space="0" w:color="auto"/>
            <w:right w:val="none" w:sz="0" w:space="0" w:color="auto"/>
          </w:divBdr>
        </w:div>
        <w:div w:id="1199778654">
          <w:marLeft w:val="640"/>
          <w:marRight w:val="0"/>
          <w:marTop w:val="0"/>
          <w:marBottom w:val="0"/>
          <w:divBdr>
            <w:top w:val="none" w:sz="0" w:space="0" w:color="auto"/>
            <w:left w:val="none" w:sz="0" w:space="0" w:color="auto"/>
            <w:bottom w:val="none" w:sz="0" w:space="0" w:color="auto"/>
            <w:right w:val="none" w:sz="0" w:space="0" w:color="auto"/>
          </w:divBdr>
        </w:div>
        <w:div w:id="1038168042">
          <w:marLeft w:val="640"/>
          <w:marRight w:val="0"/>
          <w:marTop w:val="0"/>
          <w:marBottom w:val="0"/>
          <w:divBdr>
            <w:top w:val="none" w:sz="0" w:space="0" w:color="auto"/>
            <w:left w:val="none" w:sz="0" w:space="0" w:color="auto"/>
            <w:bottom w:val="none" w:sz="0" w:space="0" w:color="auto"/>
            <w:right w:val="none" w:sz="0" w:space="0" w:color="auto"/>
          </w:divBdr>
        </w:div>
        <w:div w:id="1177427244">
          <w:marLeft w:val="640"/>
          <w:marRight w:val="0"/>
          <w:marTop w:val="0"/>
          <w:marBottom w:val="0"/>
          <w:divBdr>
            <w:top w:val="none" w:sz="0" w:space="0" w:color="auto"/>
            <w:left w:val="none" w:sz="0" w:space="0" w:color="auto"/>
            <w:bottom w:val="none" w:sz="0" w:space="0" w:color="auto"/>
            <w:right w:val="none" w:sz="0" w:space="0" w:color="auto"/>
          </w:divBdr>
        </w:div>
        <w:div w:id="840123775">
          <w:marLeft w:val="640"/>
          <w:marRight w:val="0"/>
          <w:marTop w:val="0"/>
          <w:marBottom w:val="0"/>
          <w:divBdr>
            <w:top w:val="none" w:sz="0" w:space="0" w:color="auto"/>
            <w:left w:val="none" w:sz="0" w:space="0" w:color="auto"/>
            <w:bottom w:val="none" w:sz="0" w:space="0" w:color="auto"/>
            <w:right w:val="none" w:sz="0" w:space="0" w:color="auto"/>
          </w:divBdr>
        </w:div>
        <w:div w:id="632179453">
          <w:marLeft w:val="640"/>
          <w:marRight w:val="0"/>
          <w:marTop w:val="0"/>
          <w:marBottom w:val="0"/>
          <w:divBdr>
            <w:top w:val="none" w:sz="0" w:space="0" w:color="auto"/>
            <w:left w:val="none" w:sz="0" w:space="0" w:color="auto"/>
            <w:bottom w:val="none" w:sz="0" w:space="0" w:color="auto"/>
            <w:right w:val="none" w:sz="0" w:space="0" w:color="auto"/>
          </w:divBdr>
        </w:div>
        <w:div w:id="1883204858">
          <w:marLeft w:val="640"/>
          <w:marRight w:val="0"/>
          <w:marTop w:val="0"/>
          <w:marBottom w:val="0"/>
          <w:divBdr>
            <w:top w:val="none" w:sz="0" w:space="0" w:color="auto"/>
            <w:left w:val="none" w:sz="0" w:space="0" w:color="auto"/>
            <w:bottom w:val="none" w:sz="0" w:space="0" w:color="auto"/>
            <w:right w:val="none" w:sz="0" w:space="0" w:color="auto"/>
          </w:divBdr>
        </w:div>
        <w:div w:id="1766992573">
          <w:marLeft w:val="640"/>
          <w:marRight w:val="0"/>
          <w:marTop w:val="0"/>
          <w:marBottom w:val="0"/>
          <w:divBdr>
            <w:top w:val="none" w:sz="0" w:space="0" w:color="auto"/>
            <w:left w:val="none" w:sz="0" w:space="0" w:color="auto"/>
            <w:bottom w:val="none" w:sz="0" w:space="0" w:color="auto"/>
            <w:right w:val="none" w:sz="0" w:space="0" w:color="auto"/>
          </w:divBdr>
        </w:div>
        <w:div w:id="1002468793">
          <w:marLeft w:val="640"/>
          <w:marRight w:val="0"/>
          <w:marTop w:val="0"/>
          <w:marBottom w:val="0"/>
          <w:divBdr>
            <w:top w:val="none" w:sz="0" w:space="0" w:color="auto"/>
            <w:left w:val="none" w:sz="0" w:space="0" w:color="auto"/>
            <w:bottom w:val="none" w:sz="0" w:space="0" w:color="auto"/>
            <w:right w:val="none" w:sz="0" w:space="0" w:color="auto"/>
          </w:divBdr>
        </w:div>
        <w:div w:id="1600332247">
          <w:marLeft w:val="640"/>
          <w:marRight w:val="0"/>
          <w:marTop w:val="0"/>
          <w:marBottom w:val="0"/>
          <w:divBdr>
            <w:top w:val="none" w:sz="0" w:space="0" w:color="auto"/>
            <w:left w:val="none" w:sz="0" w:space="0" w:color="auto"/>
            <w:bottom w:val="none" w:sz="0" w:space="0" w:color="auto"/>
            <w:right w:val="none" w:sz="0" w:space="0" w:color="auto"/>
          </w:divBdr>
        </w:div>
        <w:div w:id="1132600937">
          <w:marLeft w:val="640"/>
          <w:marRight w:val="0"/>
          <w:marTop w:val="0"/>
          <w:marBottom w:val="0"/>
          <w:divBdr>
            <w:top w:val="none" w:sz="0" w:space="0" w:color="auto"/>
            <w:left w:val="none" w:sz="0" w:space="0" w:color="auto"/>
            <w:bottom w:val="none" w:sz="0" w:space="0" w:color="auto"/>
            <w:right w:val="none" w:sz="0" w:space="0" w:color="auto"/>
          </w:divBdr>
        </w:div>
        <w:div w:id="737174497">
          <w:marLeft w:val="640"/>
          <w:marRight w:val="0"/>
          <w:marTop w:val="0"/>
          <w:marBottom w:val="0"/>
          <w:divBdr>
            <w:top w:val="none" w:sz="0" w:space="0" w:color="auto"/>
            <w:left w:val="none" w:sz="0" w:space="0" w:color="auto"/>
            <w:bottom w:val="none" w:sz="0" w:space="0" w:color="auto"/>
            <w:right w:val="none" w:sz="0" w:space="0" w:color="auto"/>
          </w:divBdr>
        </w:div>
        <w:div w:id="1177964412">
          <w:marLeft w:val="640"/>
          <w:marRight w:val="0"/>
          <w:marTop w:val="0"/>
          <w:marBottom w:val="0"/>
          <w:divBdr>
            <w:top w:val="none" w:sz="0" w:space="0" w:color="auto"/>
            <w:left w:val="none" w:sz="0" w:space="0" w:color="auto"/>
            <w:bottom w:val="none" w:sz="0" w:space="0" w:color="auto"/>
            <w:right w:val="none" w:sz="0" w:space="0" w:color="auto"/>
          </w:divBdr>
        </w:div>
        <w:div w:id="1915554697">
          <w:marLeft w:val="640"/>
          <w:marRight w:val="0"/>
          <w:marTop w:val="0"/>
          <w:marBottom w:val="0"/>
          <w:divBdr>
            <w:top w:val="none" w:sz="0" w:space="0" w:color="auto"/>
            <w:left w:val="none" w:sz="0" w:space="0" w:color="auto"/>
            <w:bottom w:val="none" w:sz="0" w:space="0" w:color="auto"/>
            <w:right w:val="none" w:sz="0" w:space="0" w:color="auto"/>
          </w:divBdr>
        </w:div>
        <w:div w:id="342442489">
          <w:marLeft w:val="640"/>
          <w:marRight w:val="0"/>
          <w:marTop w:val="0"/>
          <w:marBottom w:val="0"/>
          <w:divBdr>
            <w:top w:val="none" w:sz="0" w:space="0" w:color="auto"/>
            <w:left w:val="none" w:sz="0" w:space="0" w:color="auto"/>
            <w:bottom w:val="none" w:sz="0" w:space="0" w:color="auto"/>
            <w:right w:val="none" w:sz="0" w:space="0" w:color="auto"/>
          </w:divBdr>
        </w:div>
        <w:div w:id="438839271">
          <w:marLeft w:val="640"/>
          <w:marRight w:val="0"/>
          <w:marTop w:val="0"/>
          <w:marBottom w:val="0"/>
          <w:divBdr>
            <w:top w:val="none" w:sz="0" w:space="0" w:color="auto"/>
            <w:left w:val="none" w:sz="0" w:space="0" w:color="auto"/>
            <w:bottom w:val="none" w:sz="0" w:space="0" w:color="auto"/>
            <w:right w:val="none" w:sz="0" w:space="0" w:color="auto"/>
          </w:divBdr>
        </w:div>
        <w:div w:id="1864975256">
          <w:marLeft w:val="640"/>
          <w:marRight w:val="0"/>
          <w:marTop w:val="0"/>
          <w:marBottom w:val="0"/>
          <w:divBdr>
            <w:top w:val="none" w:sz="0" w:space="0" w:color="auto"/>
            <w:left w:val="none" w:sz="0" w:space="0" w:color="auto"/>
            <w:bottom w:val="none" w:sz="0" w:space="0" w:color="auto"/>
            <w:right w:val="none" w:sz="0" w:space="0" w:color="auto"/>
          </w:divBdr>
        </w:div>
        <w:div w:id="1087923140">
          <w:marLeft w:val="640"/>
          <w:marRight w:val="0"/>
          <w:marTop w:val="0"/>
          <w:marBottom w:val="0"/>
          <w:divBdr>
            <w:top w:val="none" w:sz="0" w:space="0" w:color="auto"/>
            <w:left w:val="none" w:sz="0" w:space="0" w:color="auto"/>
            <w:bottom w:val="none" w:sz="0" w:space="0" w:color="auto"/>
            <w:right w:val="none" w:sz="0" w:space="0" w:color="auto"/>
          </w:divBdr>
        </w:div>
        <w:div w:id="79060410">
          <w:marLeft w:val="640"/>
          <w:marRight w:val="0"/>
          <w:marTop w:val="0"/>
          <w:marBottom w:val="0"/>
          <w:divBdr>
            <w:top w:val="none" w:sz="0" w:space="0" w:color="auto"/>
            <w:left w:val="none" w:sz="0" w:space="0" w:color="auto"/>
            <w:bottom w:val="none" w:sz="0" w:space="0" w:color="auto"/>
            <w:right w:val="none" w:sz="0" w:space="0" w:color="auto"/>
          </w:divBdr>
        </w:div>
        <w:div w:id="1324358396">
          <w:marLeft w:val="640"/>
          <w:marRight w:val="0"/>
          <w:marTop w:val="0"/>
          <w:marBottom w:val="0"/>
          <w:divBdr>
            <w:top w:val="none" w:sz="0" w:space="0" w:color="auto"/>
            <w:left w:val="none" w:sz="0" w:space="0" w:color="auto"/>
            <w:bottom w:val="none" w:sz="0" w:space="0" w:color="auto"/>
            <w:right w:val="none" w:sz="0" w:space="0" w:color="auto"/>
          </w:divBdr>
        </w:div>
        <w:div w:id="1430203191">
          <w:marLeft w:val="640"/>
          <w:marRight w:val="0"/>
          <w:marTop w:val="0"/>
          <w:marBottom w:val="0"/>
          <w:divBdr>
            <w:top w:val="none" w:sz="0" w:space="0" w:color="auto"/>
            <w:left w:val="none" w:sz="0" w:space="0" w:color="auto"/>
            <w:bottom w:val="none" w:sz="0" w:space="0" w:color="auto"/>
            <w:right w:val="none" w:sz="0" w:space="0" w:color="auto"/>
          </w:divBdr>
        </w:div>
        <w:div w:id="1773429560">
          <w:marLeft w:val="640"/>
          <w:marRight w:val="0"/>
          <w:marTop w:val="0"/>
          <w:marBottom w:val="0"/>
          <w:divBdr>
            <w:top w:val="none" w:sz="0" w:space="0" w:color="auto"/>
            <w:left w:val="none" w:sz="0" w:space="0" w:color="auto"/>
            <w:bottom w:val="none" w:sz="0" w:space="0" w:color="auto"/>
            <w:right w:val="none" w:sz="0" w:space="0" w:color="auto"/>
          </w:divBdr>
        </w:div>
        <w:div w:id="2104690875">
          <w:marLeft w:val="640"/>
          <w:marRight w:val="0"/>
          <w:marTop w:val="0"/>
          <w:marBottom w:val="0"/>
          <w:divBdr>
            <w:top w:val="none" w:sz="0" w:space="0" w:color="auto"/>
            <w:left w:val="none" w:sz="0" w:space="0" w:color="auto"/>
            <w:bottom w:val="none" w:sz="0" w:space="0" w:color="auto"/>
            <w:right w:val="none" w:sz="0" w:space="0" w:color="auto"/>
          </w:divBdr>
        </w:div>
        <w:div w:id="1934819504">
          <w:marLeft w:val="640"/>
          <w:marRight w:val="0"/>
          <w:marTop w:val="0"/>
          <w:marBottom w:val="0"/>
          <w:divBdr>
            <w:top w:val="none" w:sz="0" w:space="0" w:color="auto"/>
            <w:left w:val="none" w:sz="0" w:space="0" w:color="auto"/>
            <w:bottom w:val="none" w:sz="0" w:space="0" w:color="auto"/>
            <w:right w:val="none" w:sz="0" w:space="0" w:color="auto"/>
          </w:divBdr>
        </w:div>
        <w:div w:id="1526363912">
          <w:marLeft w:val="640"/>
          <w:marRight w:val="0"/>
          <w:marTop w:val="0"/>
          <w:marBottom w:val="0"/>
          <w:divBdr>
            <w:top w:val="none" w:sz="0" w:space="0" w:color="auto"/>
            <w:left w:val="none" w:sz="0" w:space="0" w:color="auto"/>
            <w:bottom w:val="none" w:sz="0" w:space="0" w:color="auto"/>
            <w:right w:val="none" w:sz="0" w:space="0" w:color="auto"/>
          </w:divBdr>
        </w:div>
        <w:div w:id="531725632">
          <w:marLeft w:val="640"/>
          <w:marRight w:val="0"/>
          <w:marTop w:val="0"/>
          <w:marBottom w:val="0"/>
          <w:divBdr>
            <w:top w:val="none" w:sz="0" w:space="0" w:color="auto"/>
            <w:left w:val="none" w:sz="0" w:space="0" w:color="auto"/>
            <w:bottom w:val="none" w:sz="0" w:space="0" w:color="auto"/>
            <w:right w:val="none" w:sz="0" w:space="0" w:color="auto"/>
          </w:divBdr>
        </w:div>
        <w:div w:id="828013768">
          <w:marLeft w:val="640"/>
          <w:marRight w:val="0"/>
          <w:marTop w:val="0"/>
          <w:marBottom w:val="0"/>
          <w:divBdr>
            <w:top w:val="none" w:sz="0" w:space="0" w:color="auto"/>
            <w:left w:val="none" w:sz="0" w:space="0" w:color="auto"/>
            <w:bottom w:val="none" w:sz="0" w:space="0" w:color="auto"/>
            <w:right w:val="none" w:sz="0" w:space="0" w:color="auto"/>
          </w:divBdr>
        </w:div>
        <w:div w:id="797650122">
          <w:marLeft w:val="640"/>
          <w:marRight w:val="0"/>
          <w:marTop w:val="0"/>
          <w:marBottom w:val="0"/>
          <w:divBdr>
            <w:top w:val="none" w:sz="0" w:space="0" w:color="auto"/>
            <w:left w:val="none" w:sz="0" w:space="0" w:color="auto"/>
            <w:bottom w:val="none" w:sz="0" w:space="0" w:color="auto"/>
            <w:right w:val="none" w:sz="0" w:space="0" w:color="auto"/>
          </w:divBdr>
        </w:div>
        <w:div w:id="1166164817">
          <w:marLeft w:val="640"/>
          <w:marRight w:val="0"/>
          <w:marTop w:val="0"/>
          <w:marBottom w:val="0"/>
          <w:divBdr>
            <w:top w:val="none" w:sz="0" w:space="0" w:color="auto"/>
            <w:left w:val="none" w:sz="0" w:space="0" w:color="auto"/>
            <w:bottom w:val="none" w:sz="0" w:space="0" w:color="auto"/>
            <w:right w:val="none" w:sz="0" w:space="0" w:color="auto"/>
          </w:divBdr>
        </w:div>
        <w:div w:id="259218097">
          <w:marLeft w:val="640"/>
          <w:marRight w:val="0"/>
          <w:marTop w:val="0"/>
          <w:marBottom w:val="0"/>
          <w:divBdr>
            <w:top w:val="none" w:sz="0" w:space="0" w:color="auto"/>
            <w:left w:val="none" w:sz="0" w:space="0" w:color="auto"/>
            <w:bottom w:val="none" w:sz="0" w:space="0" w:color="auto"/>
            <w:right w:val="none" w:sz="0" w:space="0" w:color="auto"/>
          </w:divBdr>
        </w:div>
        <w:div w:id="1681467652">
          <w:marLeft w:val="640"/>
          <w:marRight w:val="0"/>
          <w:marTop w:val="0"/>
          <w:marBottom w:val="0"/>
          <w:divBdr>
            <w:top w:val="none" w:sz="0" w:space="0" w:color="auto"/>
            <w:left w:val="none" w:sz="0" w:space="0" w:color="auto"/>
            <w:bottom w:val="none" w:sz="0" w:space="0" w:color="auto"/>
            <w:right w:val="none" w:sz="0" w:space="0" w:color="auto"/>
          </w:divBdr>
        </w:div>
        <w:div w:id="452288292">
          <w:marLeft w:val="640"/>
          <w:marRight w:val="0"/>
          <w:marTop w:val="0"/>
          <w:marBottom w:val="0"/>
          <w:divBdr>
            <w:top w:val="none" w:sz="0" w:space="0" w:color="auto"/>
            <w:left w:val="none" w:sz="0" w:space="0" w:color="auto"/>
            <w:bottom w:val="none" w:sz="0" w:space="0" w:color="auto"/>
            <w:right w:val="none" w:sz="0" w:space="0" w:color="auto"/>
          </w:divBdr>
        </w:div>
        <w:div w:id="180584000">
          <w:marLeft w:val="640"/>
          <w:marRight w:val="0"/>
          <w:marTop w:val="0"/>
          <w:marBottom w:val="0"/>
          <w:divBdr>
            <w:top w:val="none" w:sz="0" w:space="0" w:color="auto"/>
            <w:left w:val="none" w:sz="0" w:space="0" w:color="auto"/>
            <w:bottom w:val="none" w:sz="0" w:space="0" w:color="auto"/>
            <w:right w:val="none" w:sz="0" w:space="0" w:color="auto"/>
          </w:divBdr>
        </w:div>
        <w:div w:id="42601889">
          <w:marLeft w:val="640"/>
          <w:marRight w:val="0"/>
          <w:marTop w:val="0"/>
          <w:marBottom w:val="0"/>
          <w:divBdr>
            <w:top w:val="none" w:sz="0" w:space="0" w:color="auto"/>
            <w:left w:val="none" w:sz="0" w:space="0" w:color="auto"/>
            <w:bottom w:val="none" w:sz="0" w:space="0" w:color="auto"/>
            <w:right w:val="none" w:sz="0" w:space="0" w:color="auto"/>
          </w:divBdr>
        </w:div>
        <w:div w:id="1751926255">
          <w:marLeft w:val="640"/>
          <w:marRight w:val="0"/>
          <w:marTop w:val="0"/>
          <w:marBottom w:val="0"/>
          <w:divBdr>
            <w:top w:val="none" w:sz="0" w:space="0" w:color="auto"/>
            <w:left w:val="none" w:sz="0" w:space="0" w:color="auto"/>
            <w:bottom w:val="none" w:sz="0" w:space="0" w:color="auto"/>
            <w:right w:val="none" w:sz="0" w:space="0" w:color="auto"/>
          </w:divBdr>
        </w:div>
        <w:div w:id="296030976">
          <w:marLeft w:val="640"/>
          <w:marRight w:val="0"/>
          <w:marTop w:val="0"/>
          <w:marBottom w:val="0"/>
          <w:divBdr>
            <w:top w:val="none" w:sz="0" w:space="0" w:color="auto"/>
            <w:left w:val="none" w:sz="0" w:space="0" w:color="auto"/>
            <w:bottom w:val="none" w:sz="0" w:space="0" w:color="auto"/>
            <w:right w:val="none" w:sz="0" w:space="0" w:color="auto"/>
          </w:divBdr>
        </w:div>
        <w:div w:id="2008440351">
          <w:marLeft w:val="640"/>
          <w:marRight w:val="0"/>
          <w:marTop w:val="0"/>
          <w:marBottom w:val="0"/>
          <w:divBdr>
            <w:top w:val="none" w:sz="0" w:space="0" w:color="auto"/>
            <w:left w:val="none" w:sz="0" w:space="0" w:color="auto"/>
            <w:bottom w:val="none" w:sz="0" w:space="0" w:color="auto"/>
            <w:right w:val="none" w:sz="0" w:space="0" w:color="auto"/>
          </w:divBdr>
        </w:div>
        <w:div w:id="1784182598">
          <w:marLeft w:val="640"/>
          <w:marRight w:val="0"/>
          <w:marTop w:val="0"/>
          <w:marBottom w:val="0"/>
          <w:divBdr>
            <w:top w:val="none" w:sz="0" w:space="0" w:color="auto"/>
            <w:left w:val="none" w:sz="0" w:space="0" w:color="auto"/>
            <w:bottom w:val="none" w:sz="0" w:space="0" w:color="auto"/>
            <w:right w:val="none" w:sz="0" w:space="0" w:color="auto"/>
          </w:divBdr>
        </w:div>
        <w:div w:id="1390684595">
          <w:marLeft w:val="640"/>
          <w:marRight w:val="0"/>
          <w:marTop w:val="0"/>
          <w:marBottom w:val="0"/>
          <w:divBdr>
            <w:top w:val="none" w:sz="0" w:space="0" w:color="auto"/>
            <w:left w:val="none" w:sz="0" w:space="0" w:color="auto"/>
            <w:bottom w:val="none" w:sz="0" w:space="0" w:color="auto"/>
            <w:right w:val="none" w:sz="0" w:space="0" w:color="auto"/>
          </w:divBdr>
        </w:div>
        <w:div w:id="960571482">
          <w:marLeft w:val="640"/>
          <w:marRight w:val="0"/>
          <w:marTop w:val="0"/>
          <w:marBottom w:val="0"/>
          <w:divBdr>
            <w:top w:val="none" w:sz="0" w:space="0" w:color="auto"/>
            <w:left w:val="none" w:sz="0" w:space="0" w:color="auto"/>
            <w:bottom w:val="none" w:sz="0" w:space="0" w:color="auto"/>
            <w:right w:val="none" w:sz="0" w:space="0" w:color="auto"/>
          </w:divBdr>
        </w:div>
        <w:div w:id="109320837">
          <w:marLeft w:val="640"/>
          <w:marRight w:val="0"/>
          <w:marTop w:val="0"/>
          <w:marBottom w:val="0"/>
          <w:divBdr>
            <w:top w:val="none" w:sz="0" w:space="0" w:color="auto"/>
            <w:left w:val="none" w:sz="0" w:space="0" w:color="auto"/>
            <w:bottom w:val="none" w:sz="0" w:space="0" w:color="auto"/>
            <w:right w:val="none" w:sz="0" w:space="0" w:color="auto"/>
          </w:divBdr>
        </w:div>
        <w:div w:id="1756629409">
          <w:marLeft w:val="640"/>
          <w:marRight w:val="0"/>
          <w:marTop w:val="0"/>
          <w:marBottom w:val="0"/>
          <w:divBdr>
            <w:top w:val="none" w:sz="0" w:space="0" w:color="auto"/>
            <w:left w:val="none" w:sz="0" w:space="0" w:color="auto"/>
            <w:bottom w:val="none" w:sz="0" w:space="0" w:color="auto"/>
            <w:right w:val="none" w:sz="0" w:space="0" w:color="auto"/>
          </w:divBdr>
        </w:div>
        <w:div w:id="1680547099">
          <w:marLeft w:val="640"/>
          <w:marRight w:val="0"/>
          <w:marTop w:val="0"/>
          <w:marBottom w:val="0"/>
          <w:divBdr>
            <w:top w:val="none" w:sz="0" w:space="0" w:color="auto"/>
            <w:left w:val="none" w:sz="0" w:space="0" w:color="auto"/>
            <w:bottom w:val="none" w:sz="0" w:space="0" w:color="auto"/>
            <w:right w:val="none" w:sz="0" w:space="0" w:color="auto"/>
          </w:divBdr>
        </w:div>
        <w:div w:id="431586271">
          <w:marLeft w:val="640"/>
          <w:marRight w:val="0"/>
          <w:marTop w:val="0"/>
          <w:marBottom w:val="0"/>
          <w:divBdr>
            <w:top w:val="none" w:sz="0" w:space="0" w:color="auto"/>
            <w:left w:val="none" w:sz="0" w:space="0" w:color="auto"/>
            <w:bottom w:val="none" w:sz="0" w:space="0" w:color="auto"/>
            <w:right w:val="none" w:sz="0" w:space="0" w:color="auto"/>
          </w:divBdr>
        </w:div>
        <w:div w:id="1125660031">
          <w:marLeft w:val="640"/>
          <w:marRight w:val="0"/>
          <w:marTop w:val="0"/>
          <w:marBottom w:val="0"/>
          <w:divBdr>
            <w:top w:val="none" w:sz="0" w:space="0" w:color="auto"/>
            <w:left w:val="none" w:sz="0" w:space="0" w:color="auto"/>
            <w:bottom w:val="none" w:sz="0" w:space="0" w:color="auto"/>
            <w:right w:val="none" w:sz="0" w:space="0" w:color="auto"/>
          </w:divBdr>
        </w:div>
        <w:div w:id="1706826036">
          <w:marLeft w:val="640"/>
          <w:marRight w:val="0"/>
          <w:marTop w:val="0"/>
          <w:marBottom w:val="0"/>
          <w:divBdr>
            <w:top w:val="none" w:sz="0" w:space="0" w:color="auto"/>
            <w:left w:val="none" w:sz="0" w:space="0" w:color="auto"/>
            <w:bottom w:val="none" w:sz="0" w:space="0" w:color="auto"/>
            <w:right w:val="none" w:sz="0" w:space="0" w:color="auto"/>
          </w:divBdr>
        </w:div>
        <w:div w:id="1750806630">
          <w:marLeft w:val="640"/>
          <w:marRight w:val="0"/>
          <w:marTop w:val="0"/>
          <w:marBottom w:val="0"/>
          <w:divBdr>
            <w:top w:val="none" w:sz="0" w:space="0" w:color="auto"/>
            <w:left w:val="none" w:sz="0" w:space="0" w:color="auto"/>
            <w:bottom w:val="none" w:sz="0" w:space="0" w:color="auto"/>
            <w:right w:val="none" w:sz="0" w:space="0" w:color="auto"/>
          </w:divBdr>
        </w:div>
        <w:div w:id="1167095232">
          <w:marLeft w:val="640"/>
          <w:marRight w:val="0"/>
          <w:marTop w:val="0"/>
          <w:marBottom w:val="0"/>
          <w:divBdr>
            <w:top w:val="none" w:sz="0" w:space="0" w:color="auto"/>
            <w:left w:val="none" w:sz="0" w:space="0" w:color="auto"/>
            <w:bottom w:val="none" w:sz="0" w:space="0" w:color="auto"/>
            <w:right w:val="none" w:sz="0" w:space="0" w:color="auto"/>
          </w:divBdr>
        </w:div>
        <w:div w:id="1940984754">
          <w:marLeft w:val="640"/>
          <w:marRight w:val="0"/>
          <w:marTop w:val="0"/>
          <w:marBottom w:val="0"/>
          <w:divBdr>
            <w:top w:val="none" w:sz="0" w:space="0" w:color="auto"/>
            <w:left w:val="none" w:sz="0" w:space="0" w:color="auto"/>
            <w:bottom w:val="none" w:sz="0" w:space="0" w:color="auto"/>
            <w:right w:val="none" w:sz="0" w:space="0" w:color="auto"/>
          </w:divBdr>
        </w:div>
        <w:div w:id="609509349">
          <w:marLeft w:val="640"/>
          <w:marRight w:val="0"/>
          <w:marTop w:val="0"/>
          <w:marBottom w:val="0"/>
          <w:divBdr>
            <w:top w:val="none" w:sz="0" w:space="0" w:color="auto"/>
            <w:left w:val="none" w:sz="0" w:space="0" w:color="auto"/>
            <w:bottom w:val="none" w:sz="0" w:space="0" w:color="auto"/>
            <w:right w:val="none" w:sz="0" w:space="0" w:color="auto"/>
          </w:divBdr>
        </w:div>
        <w:div w:id="104889561">
          <w:marLeft w:val="640"/>
          <w:marRight w:val="0"/>
          <w:marTop w:val="0"/>
          <w:marBottom w:val="0"/>
          <w:divBdr>
            <w:top w:val="none" w:sz="0" w:space="0" w:color="auto"/>
            <w:left w:val="none" w:sz="0" w:space="0" w:color="auto"/>
            <w:bottom w:val="none" w:sz="0" w:space="0" w:color="auto"/>
            <w:right w:val="none" w:sz="0" w:space="0" w:color="auto"/>
          </w:divBdr>
        </w:div>
        <w:div w:id="1197039615">
          <w:marLeft w:val="640"/>
          <w:marRight w:val="0"/>
          <w:marTop w:val="0"/>
          <w:marBottom w:val="0"/>
          <w:divBdr>
            <w:top w:val="none" w:sz="0" w:space="0" w:color="auto"/>
            <w:left w:val="none" w:sz="0" w:space="0" w:color="auto"/>
            <w:bottom w:val="none" w:sz="0" w:space="0" w:color="auto"/>
            <w:right w:val="none" w:sz="0" w:space="0" w:color="auto"/>
          </w:divBdr>
        </w:div>
        <w:div w:id="1284264381">
          <w:marLeft w:val="640"/>
          <w:marRight w:val="0"/>
          <w:marTop w:val="0"/>
          <w:marBottom w:val="0"/>
          <w:divBdr>
            <w:top w:val="none" w:sz="0" w:space="0" w:color="auto"/>
            <w:left w:val="none" w:sz="0" w:space="0" w:color="auto"/>
            <w:bottom w:val="none" w:sz="0" w:space="0" w:color="auto"/>
            <w:right w:val="none" w:sz="0" w:space="0" w:color="auto"/>
          </w:divBdr>
        </w:div>
        <w:div w:id="1862939209">
          <w:marLeft w:val="640"/>
          <w:marRight w:val="0"/>
          <w:marTop w:val="0"/>
          <w:marBottom w:val="0"/>
          <w:divBdr>
            <w:top w:val="none" w:sz="0" w:space="0" w:color="auto"/>
            <w:left w:val="none" w:sz="0" w:space="0" w:color="auto"/>
            <w:bottom w:val="none" w:sz="0" w:space="0" w:color="auto"/>
            <w:right w:val="none" w:sz="0" w:space="0" w:color="auto"/>
          </w:divBdr>
        </w:div>
        <w:div w:id="623194441">
          <w:marLeft w:val="640"/>
          <w:marRight w:val="0"/>
          <w:marTop w:val="0"/>
          <w:marBottom w:val="0"/>
          <w:divBdr>
            <w:top w:val="none" w:sz="0" w:space="0" w:color="auto"/>
            <w:left w:val="none" w:sz="0" w:space="0" w:color="auto"/>
            <w:bottom w:val="none" w:sz="0" w:space="0" w:color="auto"/>
            <w:right w:val="none" w:sz="0" w:space="0" w:color="auto"/>
          </w:divBdr>
        </w:div>
        <w:div w:id="1494104037">
          <w:marLeft w:val="640"/>
          <w:marRight w:val="0"/>
          <w:marTop w:val="0"/>
          <w:marBottom w:val="0"/>
          <w:divBdr>
            <w:top w:val="none" w:sz="0" w:space="0" w:color="auto"/>
            <w:left w:val="none" w:sz="0" w:space="0" w:color="auto"/>
            <w:bottom w:val="none" w:sz="0" w:space="0" w:color="auto"/>
            <w:right w:val="none" w:sz="0" w:space="0" w:color="auto"/>
          </w:divBdr>
        </w:div>
        <w:div w:id="1722903724">
          <w:marLeft w:val="640"/>
          <w:marRight w:val="0"/>
          <w:marTop w:val="0"/>
          <w:marBottom w:val="0"/>
          <w:divBdr>
            <w:top w:val="none" w:sz="0" w:space="0" w:color="auto"/>
            <w:left w:val="none" w:sz="0" w:space="0" w:color="auto"/>
            <w:bottom w:val="none" w:sz="0" w:space="0" w:color="auto"/>
            <w:right w:val="none" w:sz="0" w:space="0" w:color="auto"/>
          </w:divBdr>
        </w:div>
        <w:div w:id="797531216">
          <w:marLeft w:val="640"/>
          <w:marRight w:val="0"/>
          <w:marTop w:val="0"/>
          <w:marBottom w:val="0"/>
          <w:divBdr>
            <w:top w:val="none" w:sz="0" w:space="0" w:color="auto"/>
            <w:left w:val="none" w:sz="0" w:space="0" w:color="auto"/>
            <w:bottom w:val="none" w:sz="0" w:space="0" w:color="auto"/>
            <w:right w:val="none" w:sz="0" w:space="0" w:color="auto"/>
          </w:divBdr>
        </w:div>
        <w:div w:id="387530925">
          <w:marLeft w:val="640"/>
          <w:marRight w:val="0"/>
          <w:marTop w:val="0"/>
          <w:marBottom w:val="0"/>
          <w:divBdr>
            <w:top w:val="none" w:sz="0" w:space="0" w:color="auto"/>
            <w:left w:val="none" w:sz="0" w:space="0" w:color="auto"/>
            <w:bottom w:val="none" w:sz="0" w:space="0" w:color="auto"/>
            <w:right w:val="none" w:sz="0" w:space="0" w:color="auto"/>
          </w:divBdr>
        </w:div>
        <w:div w:id="1129856730">
          <w:marLeft w:val="640"/>
          <w:marRight w:val="0"/>
          <w:marTop w:val="0"/>
          <w:marBottom w:val="0"/>
          <w:divBdr>
            <w:top w:val="none" w:sz="0" w:space="0" w:color="auto"/>
            <w:left w:val="none" w:sz="0" w:space="0" w:color="auto"/>
            <w:bottom w:val="none" w:sz="0" w:space="0" w:color="auto"/>
            <w:right w:val="none" w:sz="0" w:space="0" w:color="auto"/>
          </w:divBdr>
        </w:div>
        <w:div w:id="1086918513">
          <w:marLeft w:val="640"/>
          <w:marRight w:val="0"/>
          <w:marTop w:val="0"/>
          <w:marBottom w:val="0"/>
          <w:divBdr>
            <w:top w:val="none" w:sz="0" w:space="0" w:color="auto"/>
            <w:left w:val="none" w:sz="0" w:space="0" w:color="auto"/>
            <w:bottom w:val="none" w:sz="0" w:space="0" w:color="auto"/>
            <w:right w:val="none" w:sz="0" w:space="0" w:color="auto"/>
          </w:divBdr>
        </w:div>
        <w:div w:id="1678312589">
          <w:marLeft w:val="640"/>
          <w:marRight w:val="0"/>
          <w:marTop w:val="0"/>
          <w:marBottom w:val="0"/>
          <w:divBdr>
            <w:top w:val="none" w:sz="0" w:space="0" w:color="auto"/>
            <w:left w:val="none" w:sz="0" w:space="0" w:color="auto"/>
            <w:bottom w:val="none" w:sz="0" w:space="0" w:color="auto"/>
            <w:right w:val="none" w:sz="0" w:space="0" w:color="auto"/>
          </w:divBdr>
        </w:div>
        <w:div w:id="803428659">
          <w:marLeft w:val="640"/>
          <w:marRight w:val="0"/>
          <w:marTop w:val="0"/>
          <w:marBottom w:val="0"/>
          <w:divBdr>
            <w:top w:val="none" w:sz="0" w:space="0" w:color="auto"/>
            <w:left w:val="none" w:sz="0" w:space="0" w:color="auto"/>
            <w:bottom w:val="none" w:sz="0" w:space="0" w:color="auto"/>
            <w:right w:val="none" w:sz="0" w:space="0" w:color="auto"/>
          </w:divBdr>
        </w:div>
        <w:div w:id="262226889">
          <w:marLeft w:val="640"/>
          <w:marRight w:val="0"/>
          <w:marTop w:val="0"/>
          <w:marBottom w:val="0"/>
          <w:divBdr>
            <w:top w:val="none" w:sz="0" w:space="0" w:color="auto"/>
            <w:left w:val="none" w:sz="0" w:space="0" w:color="auto"/>
            <w:bottom w:val="none" w:sz="0" w:space="0" w:color="auto"/>
            <w:right w:val="none" w:sz="0" w:space="0" w:color="auto"/>
          </w:divBdr>
        </w:div>
        <w:div w:id="523246229">
          <w:marLeft w:val="640"/>
          <w:marRight w:val="0"/>
          <w:marTop w:val="0"/>
          <w:marBottom w:val="0"/>
          <w:divBdr>
            <w:top w:val="none" w:sz="0" w:space="0" w:color="auto"/>
            <w:left w:val="none" w:sz="0" w:space="0" w:color="auto"/>
            <w:bottom w:val="none" w:sz="0" w:space="0" w:color="auto"/>
            <w:right w:val="none" w:sz="0" w:space="0" w:color="auto"/>
          </w:divBdr>
        </w:div>
        <w:div w:id="1624967192">
          <w:marLeft w:val="640"/>
          <w:marRight w:val="0"/>
          <w:marTop w:val="0"/>
          <w:marBottom w:val="0"/>
          <w:divBdr>
            <w:top w:val="none" w:sz="0" w:space="0" w:color="auto"/>
            <w:left w:val="none" w:sz="0" w:space="0" w:color="auto"/>
            <w:bottom w:val="none" w:sz="0" w:space="0" w:color="auto"/>
            <w:right w:val="none" w:sz="0" w:space="0" w:color="auto"/>
          </w:divBdr>
        </w:div>
        <w:div w:id="188684868">
          <w:marLeft w:val="640"/>
          <w:marRight w:val="0"/>
          <w:marTop w:val="0"/>
          <w:marBottom w:val="0"/>
          <w:divBdr>
            <w:top w:val="none" w:sz="0" w:space="0" w:color="auto"/>
            <w:left w:val="none" w:sz="0" w:space="0" w:color="auto"/>
            <w:bottom w:val="none" w:sz="0" w:space="0" w:color="auto"/>
            <w:right w:val="none" w:sz="0" w:space="0" w:color="auto"/>
          </w:divBdr>
        </w:div>
        <w:div w:id="1041441268">
          <w:marLeft w:val="640"/>
          <w:marRight w:val="0"/>
          <w:marTop w:val="0"/>
          <w:marBottom w:val="0"/>
          <w:divBdr>
            <w:top w:val="none" w:sz="0" w:space="0" w:color="auto"/>
            <w:left w:val="none" w:sz="0" w:space="0" w:color="auto"/>
            <w:bottom w:val="none" w:sz="0" w:space="0" w:color="auto"/>
            <w:right w:val="none" w:sz="0" w:space="0" w:color="auto"/>
          </w:divBdr>
        </w:div>
        <w:div w:id="783428059">
          <w:marLeft w:val="640"/>
          <w:marRight w:val="0"/>
          <w:marTop w:val="0"/>
          <w:marBottom w:val="0"/>
          <w:divBdr>
            <w:top w:val="none" w:sz="0" w:space="0" w:color="auto"/>
            <w:left w:val="none" w:sz="0" w:space="0" w:color="auto"/>
            <w:bottom w:val="none" w:sz="0" w:space="0" w:color="auto"/>
            <w:right w:val="none" w:sz="0" w:space="0" w:color="auto"/>
          </w:divBdr>
        </w:div>
        <w:div w:id="981228357">
          <w:marLeft w:val="640"/>
          <w:marRight w:val="0"/>
          <w:marTop w:val="0"/>
          <w:marBottom w:val="0"/>
          <w:divBdr>
            <w:top w:val="none" w:sz="0" w:space="0" w:color="auto"/>
            <w:left w:val="none" w:sz="0" w:space="0" w:color="auto"/>
            <w:bottom w:val="none" w:sz="0" w:space="0" w:color="auto"/>
            <w:right w:val="none" w:sz="0" w:space="0" w:color="auto"/>
          </w:divBdr>
        </w:div>
        <w:div w:id="2003773373">
          <w:marLeft w:val="640"/>
          <w:marRight w:val="0"/>
          <w:marTop w:val="0"/>
          <w:marBottom w:val="0"/>
          <w:divBdr>
            <w:top w:val="none" w:sz="0" w:space="0" w:color="auto"/>
            <w:left w:val="none" w:sz="0" w:space="0" w:color="auto"/>
            <w:bottom w:val="none" w:sz="0" w:space="0" w:color="auto"/>
            <w:right w:val="none" w:sz="0" w:space="0" w:color="auto"/>
          </w:divBdr>
        </w:div>
        <w:div w:id="2143303013">
          <w:marLeft w:val="640"/>
          <w:marRight w:val="0"/>
          <w:marTop w:val="0"/>
          <w:marBottom w:val="0"/>
          <w:divBdr>
            <w:top w:val="none" w:sz="0" w:space="0" w:color="auto"/>
            <w:left w:val="none" w:sz="0" w:space="0" w:color="auto"/>
            <w:bottom w:val="none" w:sz="0" w:space="0" w:color="auto"/>
            <w:right w:val="none" w:sz="0" w:space="0" w:color="auto"/>
          </w:divBdr>
        </w:div>
        <w:div w:id="134415095">
          <w:marLeft w:val="640"/>
          <w:marRight w:val="0"/>
          <w:marTop w:val="0"/>
          <w:marBottom w:val="0"/>
          <w:divBdr>
            <w:top w:val="none" w:sz="0" w:space="0" w:color="auto"/>
            <w:left w:val="none" w:sz="0" w:space="0" w:color="auto"/>
            <w:bottom w:val="none" w:sz="0" w:space="0" w:color="auto"/>
            <w:right w:val="none" w:sz="0" w:space="0" w:color="auto"/>
          </w:divBdr>
        </w:div>
        <w:div w:id="1327972905">
          <w:marLeft w:val="640"/>
          <w:marRight w:val="0"/>
          <w:marTop w:val="0"/>
          <w:marBottom w:val="0"/>
          <w:divBdr>
            <w:top w:val="none" w:sz="0" w:space="0" w:color="auto"/>
            <w:left w:val="none" w:sz="0" w:space="0" w:color="auto"/>
            <w:bottom w:val="none" w:sz="0" w:space="0" w:color="auto"/>
            <w:right w:val="none" w:sz="0" w:space="0" w:color="auto"/>
          </w:divBdr>
        </w:div>
        <w:div w:id="1090663271">
          <w:marLeft w:val="640"/>
          <w:marRight w:val="0"/>
          <w:marTop w:val="0"/>
          <w:marBottom w:val="0"/>
          <w:divBdr>
            <w:top w:val="none" w:sz="0" w:space="0" w:color="auto"/>
            <w:left w:val="none" w:sz="0" w:space="0" w:color="auto"/>
            <w:bottom w:val="none" w:sz="0" w:space="0" w:color="auto"/>
            <w:right w:val="none" w:sz="0" w:space="0" w:color="auto"/>
          </w:divBdr>
        </w:div>
        <w:div w:id="2144885964">
          <w:marLeft w:val="640"/>
          <w:marRight w:val="0"/>
          <w:marTop w:val="0"/>
          <w:marBottom w:val="0"/>
          <w:divBdr>
            <w:top w:val="none" w:sz="0" w:space="0" w:color="auto"/>
            <w:left w:val="none" w:sz="0" w:space="0" w:color="auto"/>
            <w:bottom w:val="none" w:sz="0" w:space="0" w:color="auto"/>
            <w:right w:val="none" w:sz="0" w:space="0" w:color="auto"/>
          </w:divBdr>
        </w:div>
        <w:div w:id="284964697">
          <w:marLeft w:val="640"/>
          <w:marRight w:val="0"/>
          <w:marTop w:val="0"/>
          <w:marBottom w:val="0"/>
          <w:divBdr>
            <w:top w:val="none" w:sz="0" w:space="0" w:color="auto"/>
            <w:left w:val="none" w:sz="0" w:space="0" w:color="auto"/>
            <w:bottom w:val="none" w:sz="0" w:space="0" w:color="auto"/>
            <w:right w:val="none" w:sz="0" w:space="0" w:color="auto"/>
          </w:divBdr>
        </w:div>
        <w:div w:id="1642884740">
          <w:marLeft w:val="640"/>
          <w:marRight w:val="0"/>
          <w:marTop w:val="0"/>
          <w:marBottom w:val="0"/>
          <w:divBdr>
            <w:top w:val="none" w:sz="0" w:space="0" w:color="auto"/>
            <w:left w:val="none" w:sz="0" w:space="0" w:color="auto"/>
            <w:bottom w:val="none" w:sz="0" w:space="0" w:color="auto"/>
            <w:right w:val="none" w:sz="0" w:space="0" w:color="auto"/>
          </w:divBdr>
        </w:div>
        <w:div w:id="1509906703">
          <w:marLeft w:val="640"/>
          <w:marRight w:val="0"/>
          <w:marTop w:val="0"/>
          <w:marBottom w:val="0"/>
          <w:divBdr>
            <w:top w:val="none" w:sz="0" w:space="0" w:color="auto"/>
            <w:left w:val="none" w:sz="0" w:space="0" w:color="auto"/>
            <w:bottom w:val="none" w:sz="0" w:space="0" w:color="auto"/>
            <w:right w:val="none" w:sz="0" w:space="0" w:color="auto"/>
          </w:divBdr>
        </w:div>
        <w:div w:id="1082681362">
          <w:marLeft w:val="640"/>
          <w:marRight w:val="0"/>
          <w:marTop w:val="0"/>
          <w:marBottom w:val="0"/>
          <w:divBdr>
            <w:top w:val="none" w:sz="0" w:space="0" w:color="auto"/>
            <w:left w:val="none" w:sz="0" w:space="0" w:color="auto"/>
            <w:bottom w:val="none" w:sz="0" w:space="0" w:color="auto"/>
            <w:right w:val="none" w:sz="0" w:space="0" w:color="auto"/>
          </w:divBdr>
        </w:div>
        <w:div w:id="321084666">
          <w:marLeft w:val="640"/>
          <w:marRight w:val="0"/>
          <w:marTop w:val="0"/>
          <w:marBottom w:val="0"/>
          <w:divBdr>
            <w:top w:val="none" w:sz="0" w:space="0" w:color="auto"/>
            <w:left w:val="none" w:sz="0" w:space="0" w:color="auto"/>
            <w:bottom w:val="none" w:sz="0" w:space="0" w:color="auto"/>
            <w:right w:val="none" w:sz="0" w:space="0" w:color="auto"/>
          </w:divBdr>
        </w:div>
        <w:div w:id="378480676">
          <w:marLeft w:val="640"/>
          <w:marRight w:val="0"/>
          <w:marTop w:val="0"/>
          <w:marBottom w:val="0"/>
          <w:divBdr>
            <w:top w:val="none" w:sz="0" w:space="0" w:color="auto"/>
            <w:left w:val="none" w:sz="0" w:space="0" w:color="auto"/>
            <w:bottom w:val="none" w:sz="0" w:space="0" w:color="auto"/>
            <w:right w:val="none" w:sz="0" w:space="0" w:color="auto"/>
          </w:divBdr>
        </w:div>
        <w:div w:id="108357717">
          <w:marLeft w:val="640"/>
          <w:marRight w:val="0"/>
          <w:marTop w:val="0"/>
          <w:marBottom w:val="0"/>
          <w:divBdr>
            <w:top w:val="none" w:sz="0" w:space="0" w:color="auto"/>
            <w:left w:val="none" w:sz="0" w:space="0" w:color="auto"/>
            <w:bottom w:val="none" w:sz="0" w:space="0" w:color="auto"/>
            <w:right w:val="none" w:sz="0" w:space="0" w:color="auto"/>
          </w:divBdr>
        </w:div>
        <w:div w:id="657346925">
          <w:marLeft w:val="640"/>
          <w:marRight w:val="0"/>
          <w:marTop w:val="0"/>
          <w:marBottom w:val="0"/>
          <w:divBdr>
            <w:top w:val="none" w:sz="0" w:space="0" w:color="auto"/>
            <w:left w:val="none" w:sz="0" w:space="0" w:color="auto"/>
            <w:bottom w:val="none" w:sz="0" w:space="0" w:color="auto"/>
            <w:right w:val="none" w:sz="0" w:space="0" w:color="auto"/>
          </w:divBdr>
        </w:div>
        <w:div w:id="1603954348">
          <w:marLeft w:val="640"/>
          <w:marRight w:val="0"/>
          <w:marTop w:val="0"/>
          <w:marBottom w:val="0"/>
          <w:divBdr>
            <w:top w:val="none" w:sz="0" w:space="0" w:color="auto"/>
            <w:left w:val="none" w:sz="0" w:space="0" w:color="auto"/>
            <w:bottom w:val="none" w:sz="0" w:space="0" w:color="auto"/>
            <w:right w:val="none" w:sz="0" w:space="0" w:color="auto"/>
          </w:divBdr>
        </w:div>
        <w:div w:id="122895462">
          <w:marLeft w:val="640"/>
          <w:marRight w:val="0"/>
          <w:marTop w:val="0"/>
          <w:marBottom w:val="0"/>
          <w:divBdr>
            <w:top w:val="none" w:sz="0" w:space="0" w:color="auto"/>
            <w:left w:val="none" w:sz="0" w:space="0" w:color="auto"/>
            <w:bottom w:val="none" w:sz="0" w:space="0" w:color="auto"/>
            <w:right w:val="none" w:sz="0" w:space="0" w:color="auto"/>
          </w:divBdr>
        </w:div>
        <w:div w:id="619144037">
          <w:marLeft w:val="640"/>
          <w:marRight w:val="0"/>
          <w:marTop w:val="0"/>
          <w:marBottom w:val="0"/>
          <w:divBdr>
            <w:top w:val="none" w:sz="0" w:space="0" w:color="auto"/>
            <w:left w:val="none" w:sz="0" w:space="0" w:color="auto"/>
            <w:bottom w:val="none" w:sz="0" w:space="0" w:color="auto"/>
            <w:right w:val="none" w:sz="0" w:space="0" w:color="auto"/>
          </w:divBdr>
        </w:div>
        <w:div w:id="1292446197">
          <w:marLeft w:val="640"/>
          <w:marRight w:val="0"/>
          <w:marTop w:val="0"/>
          <w:marBottom w:val="0"/>
          <w:divBdr>
            <w:top w:val="none" w:sz="0" w:space="0" w:color="auto"/>
            <w:left w:val="none" w:sz="0" w:space="0" w:color="auto"/>
            <w:bottom w:val="none" w:sz="0" w:space="0" w:color="auto"/>
            <w:right w:val="none" w:sz="0" w:space="0" w:color="auto"/>
          </w:divBdr>
        </w:div>
        <w:div w:id="630787506">
          <w:marLeft w:val="640"/>
          <w:marRight w:val="0"/>
          <w:marTop w:val="0"/>
          <w:marBottom w:val="0"/>
          <w:divBdr>
            <w:top w:val="none" w:sz="0" w:space="0" w:color="auto"/>
            <w:left w:val="none" w:sz="0" w:space="0" w:color="auto"/>
            <w:bottom w:val="none" w:sz="0" w:space="0" w:color="auto"/>
            <w:right w:val="none" w:sz="0" w:space="0" w:color="auto"/>
          </w:divBdr>
        </w:div>
        <w:div w:id="1875189821">
          <w:marLeft w:val="640"/>
          <w:marRight w:val="0"/>
          <w:marTop w:val="0"/>
          <w:marBottom w:val="0"/>
          <w:divBdr>
            <w:top w:val="none" w:sz="0" w:space="0" w:color="auto"/>
            <w:left w:val="none" w:sz="0" w:space="0" w:color="auto"/>
            <w:bottom w:val="none" w:sz="0" w:space="0" w:color="auto"/>
            <w:right w:val="none" w:sz="0" w:space="0" w:color="auto"/>
          </w:divBdr>
        </w:div>
        <w:div w:id="1660385295">
          <w:marLeft w:val="640"/>
          <w:marRight w:val="0"/>
          <w:marTop w:val="0"/>
          <w:marBottom w:val="0"/>
          <w:divBdr>
            <w:top w:val="none" w:sz="0" w:space="0" w:color="auto"/>
            <w:left w:val="none" w:sz="0" w:space="0" w:color="auto"/>
            <w:bottom w:val="none" w:sz="0" w:space="0" w:color="auto"/>
            <w:right w:val="none" w:sz="0" w:space="0" w:color="auto"/>
          </w:divBdr>
        </w:div>
        <w:div w:id="310519301">
          <w:marLeft w:val="640"/>
          <w:marRight w:val="0"/>
          <w:marTop w:val="0"/>
          <w:marBottom w:val="0"/>
          <w:divBdr>
            <w:top w:val="none" w:sz="0" w:space="0" w:color="auto"/>
            <w:left w:val="none" w:sz="0" w:space="0" w:color="auto"/>
            <w:bottom w:val="none" w:sz="0" w:space="0" w:color="auto"/>
            <w:right w:val="none" w:sz="0" w:space="0" w:color="auto"/>
          </w:divBdr>
        </w:div>
        <w:div w:id="717247806">
          <w:marLeft w:val="640"/>
          <w:marRight w:val="0"/>
          <w:marTop w:val="0"/>
          <w:marBottom w:val="0"/>
          <w:divBdr>
            <w:top w:val="none" w:sz="0" w:space="0" w:color="auto"/>
            <w:left w:val="none" w:sz="0" w:space="0" w:color="auto"/>
            <w:bottom w:val="none" w:sz="0" w:space="0" w:color="auto"/>
            <w:right w:val="none" w:sz="0" w:space="0" w:color="auto"/>
          </w:divBdr>
        </w:div>
        <w:div w:id="1208882789">
          <w:marLeft w:val="640"/>
          <w:marRight w:val="0"/>
          <w:marTop w:val="0"/>
          <w:marBottom w:val="0"/>
          <w:divBdr>
            <w:top w:val="none" w:sz="0" w:space="0" w:color="auto"/>
            <w:left w:val="none" w:sz="0" w:space="0" w:color="auto"/>
            <w:bottom w:val="none" w:sz="0" w:space="0" w:color="auto"/>
            <w:right w:val="none" w:sz="0" w:space="0" w:color="auto"/>
          </w:divBdr>
        </w:div>
        <w:div w:id="496849013">
          <w:marLeft w:val="640"/>
          <w:marRight w:val="0"/>
          <w:marTop w:val="0"/>
          <w:marBottom w:val="0"/>
          <w:divBdr>
            <w:top w:val="none" w:sz="0" w:space="0" w:color="auto"/>
            <w:left w:val="none" w:sz="0" w:space="0" w:color="auto"/>
            <w:bottom w:val="none" w:sz="0" w:space="0" w:color="auto"/>
            <w:right w:val="none" w:sz="0" w:space="0" w:color="auto"/>
          </w:divBdr>
        </w:div>
        <w:div w:id="645088675">
          <w:marLeft w:val="640"/>
          <w:marRight w:val="0"/>
          <w:marTop w:val="0"/>
          <w:marBottom w:val="0"/>
          <w:divBdr>
            <w:top w:val="none" w:sz="0" w:space="0" w:color="auto"/>
            <w:left w:val="none" w:sz="0" w:space="0" w:color="auto"/>
            <w:bottom w:val="none" w:sz="0" w:space="0" w:color="auto"/>
            <w:right w:val="none" w:sz="0" w:space="0" w:color="auto"/>
          </w:divBdr>
        </w:div>
        <w:div w:id="247616723">
          <w:marLeft w:val="640"/>
          <w:marRight w:val="0"/>
          <w:marTop w:val="0"/>
          <w:marBottom w:val="0"/>
          <w:divBdr>
            <w:top w:val="none" w:sz="0" w:space="0" w:color="auto"/>
            <w:left w:val="none" w:sz="0" w:space="0" w:color="auto"/>
            <w:bottom w:val="none" w:sz="0" w:space="0" w:color="auto"/>
            <w:right w:val="none" w:sz="0" w:space="0" w:color="auto"/>
          </w:divBdr>
        </w:div>
      </w:divsChild>
    </w:div>
    <w:div w:id="1351493163">
      <w:bodyDiv w:val="1"/>
      <w:marLeft w:val="0"/>
      <w:marRight w:val="0"/>
      <w:marTop w:val="0"/>
      <w:marBottom w:val="0"/>
      <w:divBdr>
        <w:top w:val="none" w:sz="0" w:space="0" w:color="auto"/>
        <w:left w:val="none" w:sz="0" w:space="0" w:color="auto"/>
        <w:bottom w:val="none" w:sz="0" w:space="0" w:color="auto"/>
        <w:right w:val="none" w:sz="0" w:space="0" w:color="auto"/>
      </w:divBdr>
      <w:divsChild>
        <w:div w:id="100104903">
          <w:marLeft w:val="640"/>
          <w:marRight w:val="0"/>
          <w:marTop w:val="0"/>
          <w:marBottom w:val="0"/>
          <w:divBdr>
            <w:top w:val="none" w:sz="0" w:space="0" w:color="auto"/>
            <w:left w:val="none" w:sz="0" w:space="0" w:color="auto"/>
            <w:bottom w:val="none" w:sz="0" w:space="0" w:color="auto"/>
            <w:right w:val="none" w:sz="0" w:space="0" w:color="auto"/>
          </w:divBdr>
        </w:div>
        <w:div w:id="1098601028">
          <w:marLeft w:val="640"/>
          <w:marRight w:val="0"/>
          <w:marTop w:val="0"/>
          <w:marBottom w:val="0"/>
          <w:divBdr>
            <w:top w:val="none" w:sz="0" w:space="0" w:color="auto"/>
            <w:left w:val="none" w:sz="0" w:space="0" w:color="auto"/>
            <w:bottom w:val="none" w:sz="0" w:space="0" w:color="auto"/>
            <w:right w:val="none" w:sz="0" w:space="0" w:color="auto"/>
          </w:divBdr>
        </w:div>
        <w:div w:id="186480234">
          <w:marLeft w:val="640"/>
          <w:marRight w:val="0"/>
          <w:marTop w:val="0"/>
          <w:marBottom w:val="0"/>
          <w:divBdr>
            <w:top w:val="none" w:sz="0" w:space="0" w:color="auto"/>
            <w:left w:val="none" w:sz="0" w:space="0" w:color="auto"/>
            <w:bottom w:val="none" w:sz="0" w:space="0" w:color="auto"/>
            <w:right w:val="none" w:sz="0" w:space="0" w:color="auto"/>
          </w:divBdr>
        </w:div>
        <w:div w:id="1649895468">
          <w:marLeft w:val="640"/>
          <w:marRight w:val="0"/>
          <w:marTop w:val="0"/>
          <w:marBottom w:val="0"/>
          <w:divBdr>
            <w:top w:val="none" w:sz="0" w:space="0" w:color="auto"/>
            <w:left w:val="none" w:sz="0" w:space="0" w:color="auto"/>
            <w:bottom w:val="none" w:sz="0" w:space="0" w:color="auto"/>
            <w:right w:val="none" w:sz="0" w:space="0" w:color="auto"/>
          </w:divBdr>
        </w:div>
        <w:div w:id="104733802">
          <w:marLeft w:val="640"/>
          <w:marRight w:val="0"/>
          <w:marTop w:val="0"/>
          <w:marBottom w:val="0"/>
          <w:divBdr>
            <w:top w:val="none" w:sz="0" w:space="0" w:color="auto"/>
            <w:left w:val="none" w:sz="0" w:space="0" w:color="auto"/>
            <w:bottom w:val="none" w:sz="0" w:space="0" w:color="auto"/>
            <w:right w:val="none" w:sz="0" w:space="0" w:color="auto"/>
          </w:divBdr>
        </w:div>
        <w:div w:id="671220521">
          <w:marLeft w:val="640"/>
          <w:marRight w:val="0"/>
          <w:marTop w:val="0"/>
          <w:marBottom w:val="0"/>
          <w:divBdr>
            <w:top w:val="none" w:sz="0" w:space="0" w:color="auto"/>
            <w:left w:val="none" w:sz="0" w:space="0" w:color="auto"/>
            <w:bottom w:val="none" w:sz="0" w:space="0" w:color="auto"/>
            <w:right w:val="none" w:sz="0" w:space="0" w:color="auto"/>
          </w:divBdr>
        </w:div>
        <w:div w:id="1031341923">
          <w:marLeft w:val="640"/>
          <w:marRight w:val="0"/>
          <w:marTop w:val="0"/>
          <w:marBottom w:val="0"/>
          <w:divBdr>
            <w:top w:val="none" w:sz="0" w:space="0" w:color="auto"/>
            <w:left w:val="none" w:sz="0" w:space="0" w:color="auto"/>
            <w:bottom w:val="none" w:sz="0" w:space="0" w:color="auto"/>
            <w:right w:val="none" w:sz="0" w:space="0" w:color="auto"/>
          </w:divBdr>
        </w:div>
        <w:div w:id="1727680655">
          <w:marLeft w:val="640"/>
          <w:marRight w:val="0"/>
          <w:marTop w:val="0"/>
          <w:marBottom w:val="0"/>
          <w:divBdr>
            <w:top w:val="none" w:sz="0" w:space="0" w:color="auto"/>
            <w:left w:val="none" w:sz="0" w:space="0" w:color="auto"/>
            <w:bottom w:val="none" w:sz="0" w:space="0" w:color="auto"/>
            <w:right w:val="none" w:sz="0" w:space="0" w:color="auto"/>
          </w:divBdr>
        </w:div>
        <w:div w:id="505096143">
          <w:marLeft w:val="640"/>
          <w:marRight w:val="0"/>
          <w:marTop w:val="0"/>
          <w:marBottom w:val="0"/>
          <w:divBdr>
            <w:top w:val="none" w:sz="0" w:space="0" w:color="auto"/>
            <w:left w:val="none" w:sz="0" w:space="0" w:color="auto"/>
            <w:bottom w:val="none" w:sz="0" w:space="0" w:color="auto"/>
            <w:right w:val="none" w:sz="0" w:space="0" w:color="auto"/>
          </w:divBdr>
        </w:div>
        <w:div w:id="1117336070">
          <w:marLeft w:val="640"/>
          <w:marRight w:val="0"/>
          <w:marTop w:val="0"/>
          <w:marBottom w:val="0"/>
          <w:divBdr>
            <w:top w:val="none" w:sz="0" w:space="0" w:color="auto"/>
            <w:left w:val="none" w:sz="0" w:space="0" w:color="auto"/>
            <w:bottom w:val="none" w:sz="0" w:space="0" w:color="auto"/>
            <w:right w:val="none" w:sz="0" w:space="0" w:color="auto"/>
          </w:divBdr>
        </w:div>
        <w:div w:id="442379185">
          <w:marLeft w:val="640"/>
          <w:marRight w:val="0"/>
          <w:marTop w:val="0"/>
          <w:marBottom w:val="0"/>
          <w:divBdr>
            <w:top w:val="none" w:sz="0" w:space="0" w:color="auto"/>
            <w:left w:val="none" w:sz="0" w:space="0" w:color="auto"/>
            <w:bottom w:val="none" w:sz="0" w:space="0" w:color="auto"/>
            <w:right w:val="none" w:sz="0" w:space="0" w:color="auto"/>
          </w:divBdr>
        </w:div>
        <w:div w:id="1145590435">
          <w:marLeft w:val="640"/>
          <w:marRight w:val="0"/>
          <w:marTop w:val="0"/>
          <w:marBottom w:val="0"/>
          <w:divBdr>
            <w:top w:val="none" w:sz="0" w:space="0" w:color="auto"/>
            <w:left w:val="none" w:sz="0" w:space="0" w:color="auto"/>
            <w:bottom w:val="none" w:sz="0" w:space="0" w:color="auto"/>
            <w:right w:val="none" w:sz="0" w:space="0" w:color="auto"/>
          </w:divBdr>
        </w:div>
        <w:div w:id="1494562358">
          <w:marLeft w:val="640"/>
          <w:marRight w:val="0"/>
          <w:marTop w:val="0"/>
          <w:marBottom w:val="0"/>
          <w:divBdr>
            <w:top w:val="none" w:sz="0" w:space="0" w:color="auto"/>
            <w:left w:val="none" w:sz="0" w:space="0" w:color="auto"/>
            <w:bottom w:val="none" w:sz="0" w:space="0" w:color="auto"/>
            <w:right w:val="none" w:sz="0" w:space="0" w:color="auto"/>
          </w:divBdr>
        </w:div>
        <w:div w:id="1055665334">
          <w:marLeft w:val="640"/>
          <w:marRight w:val="0"/>
          <w:marTop w:val="0"/>
          <w:marBottom w:val="0"/>
          <w:divBdr>
            <w:top w:val="none" w:sz="0" w:space="0" w:color="auto"/>
            <w:left w:val="none" w:sz="0" w:space="0" w:color="auto"/>
            <w:bottom w:val="none" w:sz="0" w:space="0" w:color="auto"/>
            <w:right w:val="none" w:sz="0" w:space="0" w:color="auto"/>
          </w:divBdr>
        </w:div>
        <w:div w:id="1397897243">
          <w:marLeft w:val="640"/>
          <w:marRight w:val="0"/>
          <w:marTop w:val="0"/>
          <w:marBottom w:val="0"/>
          <w:divBdr>
            <w:top w:val="none" w:sz="0" w:space="0" w:color="auto"/>
            <w:left w:val="none" w:sz="0" w:space="0" w:color="auto"/>
            <w:bottom w:val="none" w:sz="0" w:space="0" w:color="auto"/>
            <w:right w:val="none" w:sz="0" w:space="0" w:color="auto"/>
          </w:divBdr>
        </w:div>
        <w:div w:id="1874421780">
          <w:marLeft w:val="640"/>
          <w:marRight w:val="0"/>
          <w:marTop w:val="0"/>
          <w:marBottom w:val="0"/>
          <w:divBdr>
            <w:top w:val="none" w:sz="0" w:space="0" w:color="auto"/>
            <w:left w:val="none" w:sz="0" w:space="0" w:color="auto"/>
            <w:bottom w:val="none" w:sz="0" w:space="0" w:color="auto"/>
            <w:right w:val="none" w:sz="0" w:space="0" w:color="auto"/>
          </w:divBdr>
        </w:div>
        <w:div w:id="1925071966">
          <w:marLeft w:val="640"/>
          <w:marRight w:val="0"/>
          <w:marTop w:val="0"/>
          <w:marBottom w:val="0"/>
          <w:divBdr>
            <w:top w:val="none" w:sz="0" w:space="0" w:color="auto"/>
            <w:left w:val="none" w:sz="0" w:space="0" w:color="auto"/>
            <w:bottom w:val="none" w:sz="0" w:space="0" w:color="auto"/>
            <w:right w:val="none" w:sz="0" w:space="0" w:color="auto"/>
          </w:divBdr>
        </w:div>
        <w:div w:id="1627006789">
          <w:marLeft w:val="640"/>
          <w:marRight w:val="0"/>
          <w:marTop w:val="0"/>
          <w:marBottom w:val="0"/>
          <w:divBdr>
            <w:top w:val="none" w:sz="0" w:space="0" w:color="auto"/>
            <w:left w:val="none" w:sz="0" w:space="0" w:color="auto"/>
            <w:bottom w:val="none" w:sz="0" w:space="0" w:color="auto"/>
            <w:right w:val="none" w:sz="0" w:space="0" w:color="auto"/>
          </w:divBdr>
        </w:div>
        <w:div w:id="495806042">
          <w:marLeft w:val="640"/>
          <w:marRight w:val="0"/>
          <w:marTop w:val="0"/>
          <w:marBottom w:val="0"/>
          <w:divBdr>
            <w:top w:val="none" w:sz="0" w:space="0" w:color="auto"/>
            <w:left w:val="none" w:sz="0" w:space="0" w:color="auto"/>
            <w:bottom w:val="none" w:sz="0" w:space="0" w:color="auto"/>
            <w:right w:val="none" w:sz="0" w:space="0" w:color="auto"/>
          </w:divBdr>
        </w:div>
        <w:div w:id="819345912">
          <w:marLeft w:val="640"/>
          <w:marRight w:val="0"/>
          <w:marTop w:val="0"/>
          <w:marBottom w:val="0"/>
          <w:divBdr>
            <w:top w:val="none" w:sz="0" w:space="0" w:color="auto"/>
            <w:left w:val="none" w:sz="0" w:space="0" w:color="auto"/>
            <w:bottom w:val="none" w:sz="0" w:space="0" w:color="auto"/>
            <w:right w:val="none" w:sz="0" w:space="0" w:color="auto"/>
          </w:divBdr>
        </w:div>
        <w:div w:id="1855806730">
          <w:marLeft w:val="640"/>
          <w:marRight w:val="0"/>
          <w:marTop w:val="0"/>
          <w:marBottom w:val="0"/>
          <w:divBdr>
            <w:top w:val="none" w:sz="0" w:space="0" w:color="auto"/>
            <w:left w:val="none" w:sz="0" w:space="0" w:color="auto"/>
            <w:bottom w:val="none" w:sz="0" w:space="0" w:color="auto"/>
            <w:right w:val="none" w:sz="0" w:space="0" w:color="auto"/>
          </w:divBdr>
        </w:div>
        <w:div w:id="1607230875">
          <w:marLeft w:val="640"/>
          <w:marRight w:val="0"/>
          <w:marTop w:val="0"/>
          <w:marBottom w:val="0"/>
          <w:divBdr>
            <w:top w:val="none" w:sz="0" w:space="0" w:color="auto"/>
            <w:left w:val="none" w:sz="0" w:space="0" w:color="auto"/>
            <w:bottom w:val="none" w:sz="0" w:space="0" w:color="auto"/>
            <w:right w:val="none" w:sz="0" w:space="0" w:color="auto"/>
          </w:divBdr>
        </w:div>
        <w:div w:id="475807166">
          <w:marLeft w:val="640"/>
          <w:marRight w:val="0"/>
          <w:marTop w:val="0"/>
          <w:marBottom w:val="0"/>
          <w:divBdr>
            <w:top w:val="none" w:sz="0" w:space="0" w:color="auto"/>
            <w:left w:val="none" w:sz="0" w:space="0" w:color="auto"/>
            <w:bottom w:val="none" w:sz="0" w:space="0" w:color="auto"/>
            <w:right w:val="none" w:sz="0" w:space="0" w:color="auto"/>
          </w:divBdr>
        </w:div>
        <w:div w:id="716054638">
          <w:marLeft w:val="640"/>
          <w:marRight w:val="0"/>
          <w:marTop w:val="0"/>
          <w:marBottom w:val="0"/>
          <w:divBdr>
            <w:top w:val="none" w:sz="0" w:space="0" w:color="auto"/>
            <w:left w:val="none" w:sz="0" w:space="0" w:color="auto"/>
            <w:bottom w:val="none" w:sz="0" w:space="0" w:color="auto"/>
            <w:right w:val="none" w:sz="0" w:space="0" w:color="auto"/>
          </w:divBdr>
        </w:div>
        <w:div w:id="702636348">
          <w:marLeft w:val="640"/>
          <w:marRight w:val="0"/>
          <w:marTop w:val="0"/>
          <w:marBottom w:val="0"/>
          <w:divBdr>
            <w:top w:val="none" w:sz="0" w:space="0" w:color="auto"/>
            <w:left w:val="none" w:sz="0" w:space="0" w:color="auto"/>
            <w:bottom w:val="none" w:sz="0" w:space="0" w:color="auto"/>
            <w:right w:val="none" w:sz="0" w:space="0" w:color="auto"/>
          </w:divBdr>
        </w:div>
        <w:div w:id="1307973893">
          <w:marLeft w:val="640"/>
          <w:marRight w:val="0"/>
          <w:marTop w:val="0"/>
          <w:marBottom w:val="0"/>
          <w:divBdr>
            <w:top w:val="none" w:sz="0" w:space="0" w:color="auto"/>
            <w:left w:val="none" w:sz="0" w:space="0" w:color="auto"/>
            <w:bottom w:val="none" w:sz="0" w:space="0" w:color="auto"/>
            <w:right w:val="none" w:sz="0" w:space="0" w:color="auto"/>
          </w:divBdr>
        </w:div>
        <w:div w:id="1629503706">
          <w:marLeft w:val="640"/>
          <w:marRight w:val="0"/>
          <w:marTop w:val="0"/>
          <w:marBottom w:val="0"/>
          <w:divBdr>
            <w:top w:val="none" w:sz="0" w:space="0" w:color="auto"/>
            <w:left w:val="none" w:sz="0" w:space="0" w:color="auto"/>
            <w:bottom w:val="none" w:sz="0" w:space="0" w:color="auto"/>
            <w:right w:val="none" w:sz="0" w:space="0" w:color="auto"/>
          </w:divBdr>
        </w:div>
        <w:div w:id="76829691">
          <w:marLeft w:val="640"/>
          <w:marRight w:val="0"/>
          <w:marTop w:val="0"/>
          <w:marBottom w:val="0"/>
          <w:divBdr>
            <w:top w:val="none" w:sz="0" w:space="0" w:color="auto"/>
            <w:left w:val="none" w:sz="0" w:space="0" w:color="auto"/>
            <w:bottom w:val="none" w:sz="0" w:space="0" w:color="auto"/>
            <w:right w:val="none" w:sz="0" w:space="0" w:color="auto"/>
          </w:divBdr>
        </w:div>
        <w:div w:id="1643195840">
          <w:marLeft w:val="640"/>
          <w:marRight w:val="0"/>
          <w:marTop w:val="0"/>
          <w:marBottom w:val="0"/>
          <w:divBdr>
            <w:top w:val="none" w:sz="0" w:space="0" w:color="auto"/>
            <w:left w:val="none" w:sz="0" w:space="0" w:color="auto"/>
            <w:bottom w:val="none" w:sz="0" w:space="0" w:color="auto"/>
            <w:right w:val="none" w:sz="0" w:space="0" w:color="auto"/>
          </w:divBdr>
        </w:div>
        <w:div w:id="1112550139">
          <w:marLeft w:val="640"/>
          <w:marRight w:val="0"/>
          <w:marTop w:val="0"/>
          <w:marBottom w:val="0"/>
          <w:divBdr>
            <w:top w:val="none" w:sz="0" w:space="0" w:color="auto"/>
            <w:left w:val="none" w:sz="0" w:space="0" w:color="auto"/>
            <w:bottom w:val="none" w:sz="0" w:space="0" w:color="auto"/>
            <w:right w:val="none" w:sz="0" w:space="0" w:color="auto"/>
          </w:divBdr>
        </w:div>
        <w:div w:id="1761293100">
          <w:marLeft w:val="640"/>
          <w:marRight w:val="0"/>
          <w:marTop w:val="0"/>
          <w:marBottom w:val="0"/>
          <w:divBdr>
            <w:top w:val="none" w:sz="0" w:space="0" w:color="auto"/>
            <w:left w:val="none" w:sz="0" w:space="0" w:color="auto"/>
            <w:bottom w:val="none" w:sz="0" w:space="0" w:color="auto"/>
            <w:right w:val="none" w:sz="0" w:space="0" w:color="auto"/>
          </w:divBdr>
        </w:div>
        <w:div w:id="840051721">
          <w:marLeft w:val="640"/>
          <w:marRight w:val="0"/>
          <w:marTop w:val="0"/>
          <w:marBottom w:val="0"/>
          <w:divBdr>
            <w:top w:val="none" w:sz="0" w:space="0" w:color="auto"/>
            <w:left w:val="none" w:sz="0" w:space="0" w:color="auto"/>
            <w:bottom w:val="none" w:sz="0" w:space="0" w:color="auto"/>
            <w:right w:val="none" w:sz="0" w:space="0" w:color="auto"/>
          </w:divBdr>
        </w:div>
        <w:div w:id="1921522977">
          <w:marLeft w:val="640"/>
          <w:marRight w:val="0"/>
          <w:marTop w:val="0"/>
          <w:marBottom w:val="0"/>
          <w:divBdr>
            <w:top w:val="none" w:sz="0" w:space="0" w:color="auto"/>
            <w:left w:val="none" w:sz="0" w:space="0" w:color="auto"/>
            <w:bottom w:val="none" w:sz="0" w:space="0" w:color="auto"/>
            <w:right w:val="none" w:sz="0" w:space="0" w:color="auto"/>
          </w:divBdr>
        </w:div>
        <w:div w:id="41442715">
          <w:marLeft w:val="640"/>
          <w:marRight w:val="0"/>
          <w:marTop w:val="0"/>
          <w:marBottom w:val="0"/>
          <w:divBdr>
            <w:top w:val="none" w:sz="0" w:space="0" w:color="auto"/>
            <w:left w:val="none" w:sz="0" w:space="0" w:color="auto"/>
            <w:bottom w:val="none" w:sz="0" w:space="0" w:color="auto"/>
            <w:right w:val="none" w:sz="0" w:space="0" w:color="auto"/>
          </w:divBdr>
        </w:div>
        <w:div w:id="680667036">
          <w:marLeft w:val="640"/>
          <w:marRight w:val="0"/>
          <w:marTop w:val="0"/>
          <w:marBottom w:val="0"/>
          <w:divBdr>
            <w:top w:val="none" w:sz="0" w:space="0" w:color="auto"/>
            <w:left w:val="none" w:sz="0" w:space="0" w:color="auto"/>
            <w:bottom w:val="none" w:sz="0" w:space="0" w:color="auto"/>
            <w:right w:val="none" w:sz="0" w:space="0" w:color="auto"/>
          </w:divBdr>
        </w:div>
        <w:div w:id="715858431">
          <w:marLeft w:val="640"/>
          <w:marRight w:val="0"/>
          <w:marTop w:val="0"/>
          <w:marBottom w:val="0"/>
          <w:divBdr>
            <w:top w:val="none" w:sz="0" w:space="0" w:color="auto"/>
            <w:left w:val="none" w:sz="0" w:space="0" w:color="auto"/>
            <w:bottom w:val="none" w:sz="0" w:space="0" w:color="auto"/>
            <w:right w:val="none" w:sz="0" w:space="0" w:color="auto"/>
          </w:divBdr>
        </w:div>
        <w:div w:id="886331871">
          <w:marLeft w:val="640"/>
          <w:marRight w:val="0"/>
          <w:marTop w:val="0"/>
          <w:marBottom w:val="0"/>
          <w:divBdr>
            <w:top w:val="none" w:sz="0" w:space="0" w:color="auto"/>
            <w:left w:val="none" w:sz="0" w:space="0" w:color="auto"/>
            <w:bottom w:val="none" w:sz="0" w:space="0" w:color="auto"/>
            <w:right w:val="none" w:sz="0" w:space="0" w:color="auto"/>
          </w:divBdr>
        </w:div>
        <w:div w:id="1589388455">
          <w:marLeft w:val="640"/>
          <w:marRight w:val="0"/>
          <w:marTop w:val="0"/>
          <w:marBottom w:val="0"/>
          <w:divBdr>
            <w:top w:val="none" w:sz="0" w:space="0" w:color="auto"/>
            <w:left w:val="none" w:sz="0" w:space="0" w:color="auto"/>
            <w:bottom w:val="none" w:sz="0" w:space="0" w:color="auto"/>
            <w:right w:val="none" w:sz="0" w:space="0" w:color="auto"/>
          </w:divBdr>
        </w:div>
        <w:div w:id="781606998">
          <w:marLeft w:val="640"/>
          <w:marRight w:val="0"/>
          <w:marTop w:val="0"/>
          <w:marBottom w:val="0"/>
          <w:divBdr>
            <w:top w:val="none" w:sz="0" w:space="0" w:color="auto"/>
            <w:left w:val="none" w:sz="0" w:space="0" w:color="auto"/>
            <w:bottom w:val="none" w:sz="0" w:space="0" w:color="auto"/>
            <w:right w:val="none" w:sz="0" w:space="0" w:color="auto"/>
          </w:divBdr>
        </w:div>
        <w:div w:id="1723367278">
          <w:marLeft w:val="640"/>
          <w:marRight w:val="0"/>
          <w:marTop w:val="0"/>
          <w:marBottom w:val="0"/>
          <w:divBdr>
            <w:top w:val="none" w:sz="0" w:space="0" w:color="auto"/>
            <w:left w:val="none" w:sz="0" w:space="0" w:color="auto"/>
            <w:bottom w:val="none" w:sz="0" w:space="0" w:color="auto"/>
            <w:right w:val="none" w:sz="0" w:space="0" w:color="auto"/>
          </w:divBdr>
        </w:div>
        <w:div w:id="1119645903">
          <w:marLeft w:val="640"/>
          <w:marRight w:val="0"/>
          <w:marTop w:val="0"/>
          <w:marBottom w:val="0"/>
          <w:divBdr>
            <w:top w:val="none" w:sz="0" w:space="0" w:color="auto"/>
            <w:left w:val="none" w:sz="0" w:space="0" w:color="auto"/>
            <w:bottom w:val="none" w:sz="0" w:space="0" w:color="auto"/>
            <w:right w:val="none" w:sz="0" w:space="0" w:color="auto"/>
          </w:divBdr>
        </w:div>
        <w:div w:id="1800026454">
          <w:marLeft w:val="640"/>
          <w:marRight w:val="0"/>
          <w:marTop w:val="0"/>
          <w:marBottom w:val="0"/>
          <w:divBdr>
            <w:top w:val="none" w:sz="0" w:space="0" w:color="auto"/>
            <w:left w:val="none" w:sz="0" w:space="0" w:color="auto"/>
            <w:bottom w:val="none" w:sz="0" w:space="0" w:color="auto"/>
            <w:right w:val="none" w:sz="0" w:space="0" w:color="auto"/>
          </w:divBdr>
        </w:div>
        <w:div w:id="590623905">
          <w:marLeft w:val="640"/>
          <w:marRight w:val="0"/>
          <w:marTop w:val="0"/>
          <w:marBottom w:val="0"/>
          <w:divBdr>
            <w:top w:val="none" w:sz="0" w:space="0" w:color="auto"/>
            <w:left w:val="none" w:sz="0" w:space="0" w:color="auto"/>
            <w:bottom w:val="none" w:sz="0" w:space="0" w:color="auto"/>
            <w:right w:val="none" w:sz="0" w:space="0" w:color="auto"/>
          </w:divBdr>
        </w:div>
        <w:div w:id="317930045">
          <w:marLeft w:val="640"/>
          <w:marRight w:val="0"/>
          <w:marTop w:val="0"/>
          <w:marBottom w:val="0"/>
          <w:divBdr>
            <w:top w:val="none" w:sz="0" w:space="0" w:color="auto"/>
            <w:left w:val="none" w:sz="0" w:space="0" w:color="auto"/>
            <w:bottom w:val="none" w:sz="0" w:space="0" w:color="auto"/>
            <w:right w:val="none" w:sz="0" w:space="0" w:color="auto"/>
          </w:divBdr>
        </w:div>
        <w:div w:id="1404378602">
          <w:marLeft w:val="640"/>
          <w:marRight w:val="0"/>
          <w:marTop w:val="0"/>
          <w:marBottom w:val="0"/>
          <w:divBdr>
            <w:top w:val="none" w:sz="0" w:space="0" w:color="auto"/>
            <w:left w:val="none" w:sz="0" w:space="0" w:color="auto"/>
            <w:bottom w:val="none" w:sz="0" w:space="0" w:color="auto"/>
            <w:right w:val="none" w:sz="0" w:space="0" w:color="auto"/>
          </w:divBdr>
        </w:div>
        <w:div w:id="405886914">
          <w:marLeft w:val="640"/>
          <w:marRight w:val="0"/>
          <w:marTop w:val="0"/>
          <w:marBottom w:val="0"/>
          <w:divBdr>
            <w:top w:val="none" w:sz="0" w:space="0" w:color="auto"/>
            <w:left w:val="none" w:sz="0" w:space="0" w:color="auto"/>
            <w:bottom w:val="none" w:sz="0" w:space="0" w:color="auto"/>
            <w:right w:val="none" w:sz="0" w:space="0" w:color="auto"/>
          </w:divBdr>
        </w:div>
        <w:div w:id="1022392767">
          <w:marLeft w:val="640"/>
          <w:marRight w:val="0"/>
          <w:marTop w:val="0"/>
          <w:marBottom w:val="0"/>
          <w:divBdr>
            <w:top w:val="none" w:sz="0" w:space="0" w:color="auto"/>
            <w:left w:val="none" w:sz="0" w:space="0" w:color="auto"/>
            <w:bottom w:val="none" w:sz="0" w:space="0" w:color="auto"/>
            <w:right w:val="none" w:sz="0" w:space="0" w:color="auto"/>
          </w:divBdr>
        </w:div>
        <w:div w:id="894513145">
          <w:marLeft w:val="640"/>
          <w:marRight w:val="0"/>
          <w:marTop w:val="0"/>
          <w:marBottom w:val="0"/>
          <w:divBdr>
            <w:top w:val="none" w:sz="0" w:space="0" w:color="auto"/>
            <w:left w:val="none" w:sz="0" w:space="0" w:color="auto"/>
            <w:bottom w:val="none" w:sz="0" w:space="0" w:color="auto"/>
            <w:right w:val="none" w:sz="0" w:space="0" w:color="auto"/>
          </w:divBdr>
        </w:div>
        <w:div w:id="173349503">
          <w:marLeft w:val="640"/>
          <w:marRight w:val="0"/>
          <w:marTop w:val="0"/>
          <w:marBottom w:val="0"/>
          <w:divBdr>
            <w:top w:val="none" w:sz="0" w:space="0" w:color="auto"/>
            <w:left w:val="none" w:sz="0" w:space="0" w:color="auto"/>
            <w:bottom w:val="none" w:sz="0" w:space="0" w:color="auto"/>
            <w:right w:val="none" w:sz="0" w:space="0" w:color="auto"/>
          </w:divBdr>
        </w:div>
        <w:div w:id="474446589">
          <w:marLeft w:val="640"/>
          <w:marRight w:val="0"/>
          <w:marTop w:val="0"/>
          <w:marBottom w:val="0"/>
          <w:divBdr>
            <w:top w:val="none" w:sz="0" w:space="0" w:color="auto"/>
            <w:left w:val="none" w:sz="0" w:space="0" w:color="auto"/>
            <w:bottom w:val="none" w:sz="0" w:space="0" w:color="auto"/>
            <w:right w:val="none" w:sz="0" w:space="0" w:color="auto"/>
          </w:divBdr>
        </w:div>
        <w:div w:id="1832139596">
          <w:marLeft w:val="640"/>
          <w:marRight w:val="0"/>
          <w:marTop w:val="0"/>
          <w:marBottom w:val="0"/>
          <w:divBdr>
            <w:top w:val="none" w:sz="0" w:space="0" w:color="auto"/>
            <w:left w:val="none" w:sz="0" w:space="0" w:color="auto"/>
            <w:bottom w:val="none" w:sz="0" w:space="0" w:color="auto"/>
            <w:right w:val="none" w:sz="0" w:space="0" w:color="auto"/>
          </w:divBdr>
        </w:div>
        <w:div w:id="1971739920">
          <w:marLeft w:val="640"/>
          <w:marRight w:val="0"/>
          <w:marTop w:val="0"/>
          <w:marBottom w:val="0"/>
          <w:divBdr>
            <w:top w:val="none" w:sz="0" w:space="0" w:color="auto"/>
            <w:left w:val="none" w:sz="0" w:space="0" w:color="auto"/>
            <w:bottom w:val="none" w:sz="0" w:space="0" w:color="auto"/>
            <w:right w:val="none" w:sz="0" w:space="0" w:color="auto"/>
          </w:divBdr>
        </w:div>
        <w:div w:id="1200432346">
          <w:marLeft w:val="640"/>
          <w:marRight w:val="0"/>
          <w:marTop w:val="0"/>
          <w:marBottom w:val="0"/>
          <w:divBdr>
            <w:top w:val="none" w:sz="0" w:space="0" w:color="auto"/>
            <w:left w:val="none" w:sz="0" w:space="0" w:color="auto"/>
            <w:bottom w:val="none" w:sz="0" w:space="0" w:color="auto"/>
            <w:right w:val="none" w:sz="0" w:space="0" w:color="auto"/>
          </w:divBdr>
        </w:div>
        <w:div w:id="1238173731">
          <w:marLeft w:val="640"/>
          <w:marRight w:val="0"/>
          <w:marTop w:val="0"/>
          <w:marBottom w:val="0"/>
          <w:divBdr>
            <w:top w:val="none" w:sz="0" w:space="0" w:color="auto"/>
            <w:left w:val="none" w:sz="0" w:space="0" w:color="auto"/>
            <w:bottom w:val="none" w:sz="0" w:space="0" w:color="auto"/>
            <w:right w:val="none" w:sz="0" w:space="0" w:color="auto"/>
          </w:divBdr>
        </w:div>
        <w:div w:id="563415567">
          <w:marLeft w:val="640"/>
          <w:marRight w:val="0"/>
          <w:marTop w:val="0"/>
          <w:marBottom w:val="0"/>
          <w:divBdr>
            <w:top w:val="none" w:sz="0" w:space="0" w:color="auto"/>
            <w:left w:val="none" w:sz="0" w:space="0" w:color="auto"/>
            <w:bottom w:val="none" w:sz="0" w:space="0" w:color="auto"/>
            <w:right w:val="none" w:sz="0" w:space="0" w:color="auto"/>
          </w:divBdr>
        </w:div>
        <w:div w:id="1923951881">
          <w:marLeft w:val="640"/>
          <w:marRight w:val="0"/>
          <w:marTop w:val="0"/>
          <w:marBottom w:val="0"/>
          <w:divBdr>
            <w:top w:val="none" w:sz="0" w:space="0" w:color="auto"/>
            <w:left w:val="none" w:sz="0" w:space="0" w:color="auto"/>
            <w:bottom w:val="none" w:sz="0" w:space="0" w:color="auto"/>
            <w:right w:val="none" w:sz="0" w:space="0" w:color="auto"/>
          </w:divBdr>
        </w:div>
        <w:div w:id="1027217011">
          <w:marLeft w:val="640"/>
          <w:marRight w:val="0"/>
          <w:marTop w:val="0"/>
          <w:marBottom w:val="0"/>
          <w:divBdr>
            <w:top w:val="none" w:sz="0" w:space="0" w:color="auto"/>
            <w:left w:val="none" w:sz="0" w:space="0" w:color="auto"/>
            <w:bottom w:val="none" w:sz="0" w:space="0" w:color="auto"/>
            <w:right w:val="none" w:sz="0" w:space="0" w:color="auto"/>
          </w:divBdr>
        </w:div>
        <w:div w:id="1239171031">
          <w:marLeft w:val="640"/>
          <w:marRight w:val="0"/>
          <w:marTop w:val="0"/>
          <w:marBottom w:val="0"/>
          <w:divBdr>
            <w:top w:val="none" w:sz="0" w:space="0" w:color="auto"/>
            <w:left w:val="none" w:sz="0" w:space="0" w:color="auto"/>
            <w:bottom w:val="none" w:sz="0" w:space="0" w:color="auto"/>
            <w:right w:val="none" w:sz="0" w:space="0" w:color="auto"/>
          </w:divBdr>
        </w:div>
        <w:div w:id="692415635">
          <w:marLeft w:val="640"/>
          <w:marRight w:val="0"/>
          <w:marTop w:val="0"/>
          <w:marBottom w:val="0"/>
          <w:divBdr>
            <w:top w:val="none" w:sz="0" w:space="0" w:color="auto"/>
            <w:left w:val="none" w:sz="0" w:space="0" w:color="auto"/>
            <w:bottom w:val="none" w:sz="0" w:space="0" w:color="auto"/>
            <w:right w:val="none" w:sz="0" w:space="0" w:color="auto"/>
          </w:divBdr>
        </w:div>
        <w:div w:id="2038963379">
          <w:marLeft w:val="640"/>
          <w:marRight w:val="0"/>
          <w:marTop w:val="0"/>
          <w:marBottom w:val="0"/>
          <w:divBdr>
            <w:top w:val="none" w:sz="0" w:space="0" w:color="auto"/>
            <w:left w:val="none" w:sz="0" w:space="0" w:color="auto"/>
            <w:bottom w:val="none" w:sz="0" w:space="0" w:color="auto"/>
            <w:right w:val="none" w:sz="0" w:space="0" w:color="auto"/>
          </w:divBdr>
        </w:div>
        <w:div w:id="320501550">
          <w:marLeft w:val="640"/>
          <w:marRight w:val="0"/>
          <w:marTop w:val="0"/>
          <w:marBottom w:val="0"/>
          <w:divBdr>
            <w:top w:val="none" w:sz="0" w:space="0" w:color="auto"/>
            <w:left w:val="none" w:sz="0" w:space="0" w:color="auto"/>
            <w:bottom w:val="none" w:sz="0" w:space="0" w:color="auto"/>
            <w:right w:val="none" w:sz="0" w:space="0" w:color="auto"/>
          </w:divBdr>
        </w:div>
        <w:div w:id="1169171448">
          <w:marLeft w:val="640"/>
          <w:marRight w:val="0"/>
          <w:marTop w:val="0"/>
          <w:marBottom w:val="0"/>
          <w:divBdr>
            <w:top w:val="none" w:sz="0" w:space="0" w:color="auto"/>
            <w:left w:val="none" w:sz="0" w:space="0" w:color="auto"/>
            <w:bottom w:val="none" w:sz="0" w:space="0" w:color="auto"/>
            <w:right w:val="none" w:sz="0" w:space="0" w:color="auto"/>
          </w:divBdr>
        </w:div>
        <w:div w:id="1712925207">
          <w:marLeft w:val="640"/>
          <w:marRight w:val="0"/>
          <w:marTop w:val="0"/>
          <w:marBottom w:val="0"/>
          <w:divBdr>
            <w:top w:val="none" w:sz="0" w:space="0" w:color="auto"/>
            <w:left w:val="none" w:sz="0" w:space="0" w:color="auto"/>
            <w:bottom w:val="none" w:sz="0" w:space="0" w:color="auto"/>
            <w:right w:val="none" w:sz="0" w:space="0" w:color="auto"/>
          </w:divBdr>
        </w:div>
        <w:div w:id="1195732712">
          <w:marLeft w:val="640"/>
          <w:marRight w:val="0"/>
          <w:marTop w:val="0"/>
          <w:marBottom w:val="0"/>
          <w:divBdr>
            <w:top w:val="none" w:sz="0" w:space="0" w:color="auto"/>
            <w:left w:val="none" w:sz="0" w:space="0" w:color="auto"/>
            <w:bottom w:val="none" w:sz="0" w:space="0" w:color="auto"/>
            <w:right w:val="none" w:sz="0" w:space="0" w:color="auto"/>
          </w:divBdr>
        </w:div>
        <w:div w:id="1429042980">
          <w:marLeft w:val="640"/>
          <w:marRight w:val="0"/>
          <w:marTop w:val="0"/>
          <w:marBottom w:val="0"/>
          <w:divBdr>
            <w:top w:val="none" w:sz="0" w:space="0" w:color="auto"/>
            <w:left w:val="none" w:sz="0" w:space="0" w:color="auto"/>
            <w:bottom w:val="none" w:sz="0" w:space="0" w:color="auto"/>
            <w:right w:val="none" w:sz="0" w:space="0" w:color="auto"/>
          </w:divBdr>
        </w:div>
        <w:div w:id="1020854606">
          <w:marLeft w:val="640"/>
          <w:marRight w:val="0"/>
          <w:marTop w:val="0"/>
          <w:marBottom w:val="0"/>
          <w:divBdr>
            <w:top w:val="none" w:sz="0" w:space="0" w:color="auto"/>
            <w:left w:val="none" w:sz="0" w:space="0" w:color="auto"/>
            <w:bottom w:val="none" w:sz="0" w:space="0" w:color="auto"/>
            <w:right w:val="none" w:sz="0" w:space="0" w:color="auto"/>
          </w:divBdr>
        </w:div>
        <w:div w:id="89475285">
          <w:marLeft w:val="640"/>
          <w:marRight w:val="0"/>
          <w:marTop w:val="0"/>
          <w:marBottom w:val="0"/>
          <w:divBdr>
            <w:top w:val="none" w:sz="0" w:space="0" w:color="auto"/>
            <w:left w:val="none" w:sz="0" w:space="0" w:color="auto"/>
            <w:bottom w:val="none" w:sz="0" w:space="0" w:color="auto"/>
            <w:right w:val="none" w:sz="0" w:space="0" w:color="auto"/>
          </w:divBdr>
        </w:div>
        <w:div w:id="704670854">
          <w:marLeft w:val="640"/>
          <w:marRight w:val="0"/>
          <w:marTop w:val="0"/>
          <w:marBottom w:val="0"/>
          <w:divBdr>
            <w:top w:val="none" w:sz="0" w:space="0" w:color="auto"/>
            <w:left w:val="none" w:sz="0" w:space="0" w:color="auto"/>
            <w:bottom w:val="none" w:sz="0" w:space="0" w:color="auto"/>
            <w:right w:val="none" w:sz="0" w:space="0" w:color="auto"/>
          </w:divBdr>
        </w:div>
        <w:div w:id="1732148373">
          <w:marLeft w:val="640"/>
          <w:marRight w:val="0"/>
          <w:marTop w:val="0"/>
          <w:marBottom w:val="0"/>
          <w:divBdr>
            <w:top w:val="none" w:sz="0" w:space="0" w:color="auto"/>
            <w:left w:val="none" w:sz="0" w:space="0" w:color="auto"/>
            <w:bottom w:val="none" w:sz="0" w:space="0" w:color="auto"/>
            <w:right w:val="none" w:sz="0" w:space="0" w:color="auto"/>
          </w:divBdr>
        </w:div>
        <w:div w:id="193617357">
          <w:marLeft w:val="640"/>
          <w:marRight w:val="0"/>
          <w:marTop w:val="0"/>
          <w:marBottom w:val="0"/>
          <w:divBdr>
            <w:top w:val="none" w:sz="0" w:space="0" w:color="auto"/>
            <w:left w:val="none" w:sz="0" w:space="0" w:color="auto"/>
            <w:bottom w:val="none" w:sz="0" w:space="0" w:color="auto"/>
            <w:right w:val="none" w:sz="0" w:space="0" w:color="auto"/>
          </w:divBdr>
        </w:div>
        <w:div w:id="830482983">
          <w:marLeft w:val="640"/>
          <w:marRight w:val="0"/>
          <w:marTop w:val="0"/>
          <w:marBottom w:val="0"/>
          <w:divBdr>
            <w:top w:val="none" w:sz="0" w:space="0" w:color="auto"/>
            <w:left w:val="none" w:sz="0" w:space="0" w:color="auto"/>
            <w:bottom w:val="none" w:sz="0" w:space="0" w:color="auto"/>
            <w:right w:val="none" w:sz="0" w:space="0" w:color="auto"/>
          </w:divBdr>
        </w:div>
        <w:div w:id="1060833781">
          <w:marLeft w:val="640"/>
          <w:marRight w:val="0"/>
          <w:marTop w:val="0"/>
          <w:marBottom w:val="0"/>
          <w:divBdr>
            <w:top w:val="none" w:sz="0" w:space="0" w:color="auto"/>
            <w:left w:val="none" w:sz="0" w:space="0" w:color="auto"/>
            <w:bottom w:val="none" w:sz="0" w:space="0" w:color="auto"/>
            <w:right w:val="none" w:sz="0" w:space="0" w:color="auto"/>
          </w:divBdr>
        </w:div>
        <w:div w:id="1396264">
          <w:marLeft w:val="640"/>
          <w:marRight w:val="0"/>
          <w:marTop w:val="0"/>
          <w:marBottom w:val="0"/>
          <w:divBdr>
            <w:top w:val="none" w:sz="0" w:space="0" w:color="auto"/>
            <w:left w:val="none" w:sz="0" w:space="0" w:color="auto"/>
            <w:bottom w:val="none" w:sz="0" w:space="0" w:color="auto"/>
            <w:right w:val="none" w:sz="0" w:space="0" w:color="auto"/>
          </w:divBdr>
        </w:div>
        <w:div w:id="2007125865">
          <w:marLeft w:val="640"/>
          <w:marRight w:val="0"/>
          <w:marTop w:val="0"/>
          <w:marBottom w:val="0"/>
          <w:divBdr>
            <w:top w:val="none" w:sz="0" w:space="0" w:color="auto"/>
            <w:left w:val="none" w:sz="0" w:space="0" w:color="auto"/>
            <w:bottom w:val="none" w:sz="0" w:space="0" w:color="auto"/>
            <w:right w:val="none" w:sz="0" w:space="0" w:color="auto"/>
          </w:divBdr>
        </w:div>
        <w:div w:id="487938251">
          <w:marLeft w:val="640"/>
          <w:marRight w:val="0"/>
          <w:marTop w:val="0"/>
          <w:marBottom w:val="0"/>
          <w:divBdr>
            <w:top w:val="none" w:sz="0" w:space="0" w:color="auto"/>
            <w:left w:val="none" w:sz="0" w:space="0" w:color="auto"/>
            <w:bottom w:val="none" w:sz="0" w:space="0" w:color="auto"/>
            <w:right w:val="none" w:sz="0" w:space="0" w:color="auto"/>
          </w:divBdr>
        </w:div>
        <w:div w:id="2124378866">
          <w:marLeft w:val="640"/>
          <w:marRight w:val="0"/>
          <w:marTop w:val="0"/>
          <w:marBottom w:val="0"/>
          <w:divBdr>
            <w:top w:val="none" w:sz="0" w:space="0" w:color="auto"/>
            <w:left w:val="none" w:sz="0" w:space="0" w:color="auto"/>
            <w:bottom w:val="none" w:sz="0" w:space="0" w:color="auto"/>
            <w:right w:val="none" w:sz="0" w:space="0" w:color="auto"/>
          </w:divBdr>
        </w:div>
        <w:div w:id="1537625131">
          <w:marLeft w:val="640"/>
          <w:marRight w:val="0"/>
          <w:marTop w:val="0"/>
          <w:marBottom w:val="0"/>
          <w:divBdr>
            <w:top w:val="none" w:sz="0" w:space="0" w:color="auto"/>
            <w:left w:val="none" w:sz="0" w:space="0" w:color="auto"/>
            <w:bottom w:val="none" w:sz="0" w:space="0" w:color="auto"/>
            <w:right w:val="none" w:sz="0" w:space="0" w:color="auto"/>
          </w:divBdr>
        </w:div>
        <w:div w:id="660885468">
          <w:marLeft w:val="640"/>
          <w:marRight w:val="0"/>
          <w:marTop w:val="0"/>
          <w:marBottom w:val="0"/>
          <w:divBdr>
            <w:top w:val="none" w:sz="0" w:space="0" w:color="auto"/>
            <w:left w:val="none" w:sz="0" w:space="0" w:color="auto"/>
            <w:bottom w:val="none" w:sz="0" w:space="0" w:color="auto"/>
            <w:right w:val="none" w:sz="0" w:space="0" w:color="auto"/>
          </w:divBdr>
        </w:div>
        <w:div w:id="1178930624">
          <w:marLeft w:val="640"/>
          <w:marRight w:val="0"/>
          <w:marTop w:val="0"/>
          <w:marBottom w:val="0"/>
          <w:divBdr>
            <w:top w:val="none" w:sz="0" w:space="0" w:color="auto"/>
            <w:left w:val="none" w:sz="0" w:space="0" w:color="auto"/>
            <w:bottom w:val="none" w:sz="0" w:space="0" w:color="auto"/>
            <w:right w:val="none" w:sz="0" w:space="0" w:color="auto"/>
          </w:divBdr>
        </w:div>
        <w:div w:id="438792081">
          <w:marLeft w:val="640"/>
          <w:marRight w:val="0"/>
          <w:marTop w:val="0"/>
          <w:marBottom w:val="0"/>
          <w:divBdr>
            <w:top w:val="none" w:sz="0" w:space="0" w:color="auto"/>
            <w:left w:val="none" w:sz="0" w:space="0" w:color="auto"/>
            <w:bottom w:val="none" w:sz="0" w:space="0" w:color="auto"/>
            <w:right w:val="none" w:sz="0" w:space="0" w:color="auto"/>
          </w:divBdr>
        </w:div>
        <w:div w:id="800879294">
          <w:marLeft w:val="640"/>
          <w:marRight w:val="0"/>
          <w:marTop w:val="0"/>
          <w:marBottom w:val="0"/>
          <w:divBdr>
            <w:top w:val="none" w:sz="0" w:space="0" w:color="auto"/>
            <w:left w:val="none" w:sz="0" w:space="0" w:color="auto"/>
            <w:bottom w:val="none" w:sz="0" w:space="0" w:color="auto"/>
            <w:right w:val="none" w:sz="0" w:space="0" w:color="auto"/>
          </w:divBdr>
        </w:div>
        <w:div w:id="99420623">
          <w:marLeft w:val="640"/>
          <w:marRight w:val="0"/>
          <w:marTop w:val="0"/>
          <w:marBottom w:val="0"/>
          <w:divBdr>
            <w:top w:val="none" w:sz="0" w:space="0" w:color="auto"/>
            <w:left w:val="none" w:sz="0" w:space="0" w:color="auto"/>
            <w:bottom w:val="none" w:sz="0" w:space="0" w:color="auto"/>
            <w:right w:val="none" w:sz="0" w:space="0" w:color="auto"/>
          </w:divBdr>
        </w:div>
        <w:div w:id="1108429995">
          <w:marLeft w:val="640"/>
          <w:marRight w:val="0"/>
          <w:marTop w:val="0"/>
          <w:marBottom w:val="0"/>
          <w:divBdr>
            <w:top w:val="none" w:sz="0" w:space="0" w:color="auto"/>
            <w:left w:val="none" w:sz="0" w:space="0" w:color="auto"/>
            <w:bottom w:val="none" w:sz="0" w:space="0" w:color="auto"/>
            <w:right w:val="none" w:sz="0" w:space="0" w:color="auto"/>
          </w:divBdr>
        </w:div>
        <w:div w:id="1670476676">
          <w:marLeft w:val="640"/>
          <w:marRight w:val="0"/>
          <w:marTop w:val="0"/>
          <w:marBottom w:val="0"/>
          <w:divBdr>
            <w:top w:val="none" w:sz="0" w:space="0" w:color="auto"/>
            <w:left w:val="none" w:sz="0" w:space="0" w:color="auto"/>
            <w:bottom w:val="none" w:sz="0" w:space="0" w:color="auto"/>
            <w:right w:val="none" w:sz="0" w:space="0" w:color="auto"/>
          </w:divBdr>
        </w:div>
        <w:div w:id="1129126987">
          <w:marLeft w:val="640"/>
          <w:marRight w:val="0"/>
          <w:marTop w:val="0"/>
          <w:marBottom w:val="0"/>
          <w:divBdr>
            <w:top w:val="none" w:sz="0" w:space="0" w:color="auto"/>
            <w:left w:val="none" w:sz="0" w:space="0" w:color="auto"/>
            <w:bottom w:val="none" w:sz="0" w:space="0" w:color="auto"/>
            <w:right w:val="none" w:sz="0" w:space="0" w:color="auto"/>
          </w:divBdr>
        </w:div>
        <w:div w:id="2052419948">
          <w:marLeft w:val="640"/>
          <w:marRight w:val="0"/>
          <w:marTop w:val="0"/>
          <w:marBottom w:val="0"/>
          <w:divBdr>
            <w:top w:val="none" w:sz="0" w:space="0" w:color="auto"/>
            <w:left w:val="none" w:sz="0" w:space="0" w:color="auto"/>
            <w:bottom w:val="none" w:sz="0" w:space="0" w:color="auto"/>
            <w:right w:val="none" w:sz="0" w:space="0" w:color="auto"/>
          </w:divBdr>
        </w:div>
        <w:div w:id="1648046360">
          <w:marLeft w:val="640"/>
          <w:marRight w:val="0"/>
          <w:marTop w:val="0"/>
          <w:marBottom w:val="0"/>
          <w:divBdr>
            <w:top w:val="none" w:sz="0" w:space="0" w:color="auto"/>
            <w:left w:val="none" w:sz="0" w:space="0" w:color="auto"/>
            <w:bottom w:val="none" w:sz="0" w:space="0" w:color="auto"/>
            <w:right w:val="none" w:sz="0" w:space="0" w:color="auto"/>
          </w:divBdr>
        </w:div>
        <w:div w:id="159153277">
          <w:marLeft w:val="640"/>
          <w:marRight w:val="0"/>
          <w:marTop w:val="0"/>
          <w:marBottom w:val="0"/>
          <w:divBdr>
            <w:top w:val="none" w:sz="0" w:space="0" w:color="auto"/>
            <w:left w:val="none" w:sz="0" w:space="0" w:color="auto"/>
            <w:bottom w:val="none" w:sz="0" w:space="0" w:color="auto"/>
            <w:right w:val="none" w:sz="0" w:space="0" w:color="auto"/>
          </w:divBdr>
        </w:div>
        <w:div w:id="1786849357">
          <w:marLeft w:val="640"/>
          <w:marRight w:val="0"/>
          <w:marTop w:val="0"/>
          <w:marBottom w:val="0"/>
          <w:divBdr>
            <w:top w:val="none" w:sz="0" w:space="0" w:color="auto"/>
            <w:left w:val="none" w:sz="0" w:space="0" w:color="auto"/>
            <w:bottom w:val="none" w:sz="0" w:space="0" w:color="auto"/>
            <w:right w:val="none" w:sz="0" w:space="0" w:color="auto"/>
          </w:divBdr>
        </w:div>
        <w:div w:id="573006605">
          <w:marLeft w:val="640"/>
          <w:marRight w:val="0"/>
          <w:marTop w:val="0"/>
          <w:marBottom w:val="0"/>
          <w:divBdr>
            <w:top w:val="none" w:sz="0" w:space="0" w:color="auto"/>
            <w:left w:val="none" w:sz="0" w:space="0" w:color="auto"/>
            <w:bottom w:val="none" w:sz="0" w:space="0" w:color="auto"/>
            <w:right w:val="none" w:sz="0" w:space="0" w:color="auto"/>
          </w:divBdr>
        </w:div>
        <w:div w:id="209154026">
          <w:marLeft w:val="640"/>
          <w:marRight w:val="0"/>
          <w:marTop w:val="0"/>
          <w:marBottom w:val="0"/>
          <w:divBdr>
            <w:top w:val="none" w:sz="0" w:space="0" w:color="auto"/>
            <w:left w:val="none" w:sz="0" w:space="0" w:color="auto"/>
            <w:bottom w:val="none" w:sz="0" w:space="0" w:color="auto"/>
            <w:right w:val="none" w:sz="0" w:space="0" w:color="auto"/>
          </w:divBdr>
        </w:div>
        <w:div w:id="241568051">
          <w:marLeft w:val="640"/>
          <w:marRight w:val="0"/>
          <w:marTop w:val="0"/>
          <w:marBottom w:val="0"/>
          <w:divBdr>
            <w:top w:val="none" w:sz="0" w:space="0" w:color="auto"/>
            <w:left w:val="none" w:sz="0" w:space="0" w:color="auto"/>
            <w:bottom w:val="none" w:sz="0" w:space="0" w:color="auto"/>
            <w:right w:val="none" w:sz="0" w:space="0" w:color="auto"/>
          </w:divBdr>
        </w:div>
        <w:div w:id="1950820818">
          <w:marLeft w:val="640"/>
          <w:marRight w:val="0"/>
          <w:marTop w:val="0"/>
          <w:marBottom w:val="0"/>
          <w:divBdr>
            <w:top w:val="none" w:sz="0" w:space="0" w:color="auto"/>
            <w:left w:val="none" w:sz="0" w:space="0" w:color="auto"/>
            <w:bottom w:val="none" w:sz="0" w:space="0" w:color="auto"/>
            <w:right w:val="none" w:sz="0" w:space="0" w:color="auto"/>
          </w:divBdr>
        </w:div>
        <w:div w:id="1615475439">
          <w:marLeft w:val="640"/>
          <w:marRight w:val="0"/>
          <w:marTop w:val="0"/>
          <w:marBottom w:val="0"/>
          <w:divBdr>
            <w:top w:val="none" w:sz="0" w:space="0" w:color="auto"/>
            <w:left w:val="none" w:sz="0" w:space="0" w:color="auto"/>
            <w:bottom w:val="none" w:sz="0" w:space="0" w:color="auto"/>
            <w:right w:val="none" w:sz="0" w:space="0" w:color="auto"/>
          </w:divBdr>
        </w:div>
        <w:div w:id="419300719">
          <w:marLeft w:val="640"/>
          <w:marRight w:val="0"/>
          <w:marTop w:val="0"/>
          <w:marBottom w:val="0"/>
          <w:divBdr>
            <w:top w:val="none" w:sz="0" w:space="0" w:color="auto"/>
            <w:left w:val="none" w:sz="0" w:space="0" w:color="auto"/>
            <w:bottom w:val="none" w:sz="0" w:space="0" w:color="auto"/>
            <w:right w:val="none" w:sz="0" w:space="0" w:color="auto"/>
          </w:divBdr>
        </w:div>
        <w:div w:id="2056541151">
          <w:marLeft w:val="640"/>
          <w:marRight w:val="0"/>
          <w:marTop w:val="0"/>
          <w:marBottom w:val="0"/>
          <w:divBdr>
            <w:top w:val="none" w:sz="0" w:space="0" w:color="auto"/>
            <w:left w:val="none" w:sz="0" w:space="0" w:color="auto"/>
            <w:bottom w:val="none" w:sz="0" w:space="0" w:color="auto"/>
            <w:right w:val="none" w:sz="0" w:space="0" w:color="auto"/>
          </w:divBdr>
        </w:div>
        <w:div w:id="685330373">
          <w:marLeft w:val="640"/>
          <w:marRight w:val="0"/>
          <w:marTop w:val="0"/>
          <w:marBottom w:val="0"/>
          <w:divBdr>
            <w:top w:val="none" w:sz="0" w:space="0" w:color="auto"/>
            <w:left w:val="none" w:sz="0" w:space="0" w:color="auto"/>
            <w:bottom w:val="none" w:sz="0" w:space="0" w:color="auto"/>
            <w:right w:val="none" w:sz="0" w:space="0" w:color="auto"/>
          </w:divBdr>
        </w:div>
        <w:div w:id="1671331319">
          <w:marLeft w:val="640"/>
          <w:marRight w:val="0"/>
          <w:marTop w:val="0"/>
          <w:marBottom w:val="0"/>
          <w:divBdr>
            <w:top w:val="none" w:sz="0" w:space="0" w:color="auto"/>
            <w:left w:val="none" w:sz="0" w:space="0" w:color="auto"/>
            <w:bottom w:val="none" w:sz="0" w:space="0" w:color="auto"/>
            <w:right w:val="none" w:sz="0" w:space="0" w:color="auto"/>
          </w:divBdr>
        </w:div>
        <w:div w:id="209995396">
          <w:marLeft w:val="640"/>
          <w:marRight w:val="0"/>
          <w:marTop w:val="0"/>
          <w:marBottom w:val="0"/>
          <w:divBdr>
            <w:top w:val="none" w:sz="0" w:space="0" w:color="auto"/>
            <w:left w:val="none" w:sz="0" w:space="0" w:color="auto"/>
            <w:bottom w:val="none" w:sz="0" w:space="0" w:color="auto"/>
            <w:right w:val="none" w:sz="0" w:space="0" w:color="auto"/>
          </w:divBdr>
        </w:div>
        <w:div w:id="1435444782">
          <w:marLeft w:val="640"/>
          <w:marRight w:val="0"/>
          <w:marTop w:val="0"/>
          <w:marBottom w:val="0"/>
          <w:divBdr>
            <w:top w:val="none" w:sz="0" w:space="0" w:color="auto"/>
            <w:left w:val="none" w:sz="0" w:space="0" w:color="auto"/>
            <w:bottom w:val="none" w:sz="0" w:space="0" w:color="auto"/>
            <w:right w:val="none" w:sz="0" w:space="0" w:color="auto"/>
          </w:divBdr>
        </w:div>
        <w:div w:id="1478186752">
          <w:marLeft w:val="640"/>
          <w:marRight w:val="0"/>
          <w:marTop w:val="0"/>
          <w:marBottom w:val="0"/>
          <w:divBdr>
            <w:top w:val="none" w:sz="0" w:space="0" w:color="auto"/>
            <w:left w:val="none" w:sz="0" w:space="0" w:color="auto"/>
            <w:bottom w:val="none" w:sz="0" w:space="0" w:color="auto"/>
            <w:right w:val="none" w:sz="0" w:space="0" w:color="auto"/>
          </w:divBdr>
        </w:div>
        <w:div w:id="1084687238">
          <w:marLeft w:val="640"/>
          <w:marRight w:val="0"/>
          <w:marTop w:val="0"/>
          <w:marBottom w:val="0"/>
          <w:divBdr>
            <w:top w:val="none" w:sz="0" w:space="0" w:color="auto"/>
            <w:left w:val="none" w:sz="0" w:space="0" w:color="auto"/>
            <w:bottom w:val="none" w:sz="0" w:space="0" w:color="auto"/>
            <w:right w:val="none" w:sz="0" w:space="0" w:color="auto"/>
          </w:divBdr>
        </w:div>
        <w:div w:id="617567702">
          <w:marLeft w:val="640"/>
          <w:marRight w:val="0"/>
          <w:marTop w:val="0"/>
          <w:marBottom w:val="0"/>
          <w:divBdr>
            <w:top w:val="none" w:sz="0" w:space="0" w:color="auto"/>
            <w:left w:val="none" w:sz="0" w:space="0" w:color="auto"/>
            <w:bottom w:val="none" w:sz="0" w:space="0" w:color="auto"/>
            <w:right w:val="none" w:sz="0" w:space="0" w:color="auto"/>
          </w:divBdr>
        </w:div>
        <w:div w:id="83495858">
          <w:marLeft w:val="640"/>
          <w:marRight w:val="0"/>
          <w:marTop w:val="0"/>
          <w:marBottom w:val="0"/>
          <w:divBdr>
            <w:top w:val="none" w:sz="0" w:space="0" w:color="auto"/>
            <w:left w:val="none" w:sz="0" w:space="0" w:color="auto"/>
            <w:bottom w:val="none" w:sz="0" w:space="0" w:color="auto"/>
            <w:right w:val="none" w:sz="0" w:space="0" w:color="auto"/>
          </w:divBdr>
        </w:div>
        <w:div w:id="1055927184">
          <w:marLeft w:val="640"/>
          <w:marRight w:val="0"/>
          <w:marTop w:val="0"/>
          <w:marBottom w:val="0"/>
          <w:divBdr>
            <w:top w:val="none" w:sz="0" w:space="0" w:color="auto"/>
            <w:left w:val="none" w:sz="0" w:space="0" w:color="auto"/>
            <w:bottom w:val="none" w:sz="0" w:space="0" w:color="auto"/>
            <w:right w:val="none" w:sz="0" w:space="0" w:color="auto"/>
          </w:divBdr>
        </w:div>
        <w:div w:id="1202133362">
          <w:marLeft w:val="640"/>
          <w:marRight w:val="0"/>
          <w:marTop w:val="0"/>
          <w:marBottom w:val="0"/>
          <w:divBdr>
            <w:top w:val="none" w:sz="0" w:space="0" w:color="auto"/>
            <w:left w:val="none" w:sz="0" w:space="0" w:color="auto"/>
            <w:bottom w:val="none" w:sz="0" w:space="0" w:color="auto"/>
            <w:right w:val="none" w:sz="0" w:space="0" w:color="auto"/>
          </w:divBdr>
        </w:div>
        <w:div w:id="673457734">
          <w:marLeft w:val="640"/>
          <w:marRight w:val="0"/>
          <w:marTop w:val="0"/>
          <w:marBottom w:val="0"/>
          <w:divBdr>
            <w:top w:val="none" w:sz="0" w:space="0" w:color="auto"/>
            <w:left w:val="none" w:sz="0" w:space="0" w:color="auto"/>
            <w:bottom w:val="none" w:sz="0" w:space="0" w:color="auto"/>
            <w:right w:val="none" w:sz="0" w:space="0" w:color="auto"/>
          </w:divBdr>
        </w:div>
      </w:divsChild>
    </w:div>
    <w:div w:id="1415012961">
      <w:bodyDiv w:val="1"/>
      <w:marLeft w:val="0"/>
      <w:marRight w:val="0"/>
      <w:marTop w:val="0"/>
      <w:marBottom w:val="0"/>
      <w:divBdr>
        <w:top w:val="none" w:sz="0" w:space="0" w:color="auto"/>
        <w:left w:val="none" w:sz="0" w:space="0" w:color="auto"/>
        <w:bottom w:val="none" w:sz="0" w:space="0" w:color="auto"/>
        <w:right w:val="none" w:sz="0" w:space="0" w:color="auto"/>
      </w:divBdr>
      <w:divsChild>
        <w:div w:id="1443067151">
          <w:marLeft w:val="640"/>
          <w:marRight w:val="0"/>
          <w:marTop w:val="0"/>
          <w:marBottom w:val="0"/>
          <w:divBdr>
            <w:top w:val="none" w:sz="0" w:space="0" w:color="auto"/>
            <w:left w:val="none" w:sz="0" w:space="0" w:color="auto"/>
            <w:bottom w:val="none" w:sz="0" w:space="0" w:color="auto"/>
            <w:right w:val="none" w:sz="0" w:space="0" w:color="auto"/>
          </w:divBdr>
        </w:div>
        <w:div w:id="1635672526">
          <w:marLeft w:val="640"/>
          <w:marRight w:val="0"/>
          <w:marTop w:val="0"/>
          <w:marBottom w:val="0"/>
          <w:divBdr>
            <w:top w:val="none" w:sz="0" w:space="0" w:color="auto"/>
            <w:left w:val="none" w:sz="0" w:space="0" w:color="auto"/>
            <w:bottom w:val="none" w:sz="0" w:space="0" w:color="auto"/>
            <w:right w:val="none" w:sz="0" w:space="0" w:color="auto"/>
          </w:divBdr>
        </w:div>
        <w:div w:id="1089617793">
          <w:marLeft w:val="640"/>
          <w:marRight w:val="0"/>
          <w:marTop w:val="0"/>
          <w:marBottom w:val="0"/>
          <w:divBdr>
            <w:top w:val="none" w:sz="0" w:space="0" w:color="auto"/>
            <w:left w:val="none" w:sz="0" w:space="0" w:color="auto"/>
            <w:bottom w:val="none" w:sz="0" w:space="0" w:color="auto"/>
            <w:right w:val="none" w:sz="0" w:space="0" w:color="auto"/>
          </w:divBdr>
        </w:div>
        <w:div w:id="1124614944">
          <w:marLeft w:val="640"/>
          <w:marRight w:val="0"/>
          <w:marTop w:val="0"/>
          <w:marBottom w:val="0"/>
          <w:divBdr>
            <w:top w:val="none" w:sz="0" w:space="0" w:color="auto"/>
            <w:left w:val="none" w:sz="0" w:space="0" w:color="auto"/>
            <w:bottom w:val="none" w:sz="0" w:space="0" w:color="auto"/>
            <w:right w:val="none" w:sz="0" w:space="0" w:color="auto"/>
          </w:divBdr>
        </w:div>
        <w:div w:id="891577107">
          <w:marLeft w:val="640"/>
          <w:marRight w:val="0"/>
          <w:marTop w:val="0"/>
          <w:marBottom w:val="0"/>
          <w:divBdr>
            <w:top w:val="none" w:sz="0" w:space="0" w:color="auto"/>
            <w:left w:val="none" w:sz="0" w:space="0" w:color="auto"/>
            <w:bottom w:val="none" w:sz="0" w:space="0" w:color="auto"/>
            <w:right w:val="none" w:sz="0" w:space="0" w:color="auto"/>
          </w:divBdr>
        </w:div>
        <w:div w:id="136193159">
          <w:marLeft w:val="640"/>
          <w:marRight w:val="0"/>
          <w:marTop w:val="0"/>
          <w:marBottom w:val="0"/>
          <w:divBdr>
            <w:top w:val="none" w:sz="0" w:space="0" w:color="auto"/>
            <w:left w:val="none" w:sz="0" w:space="0" w:color="auto"/>
            <w:bottom w:val="none" w:sz="0" w:space="0" w:color="auto"/>
            <w:right w:val="none" w:sz="0" w:space="0" w:color="auto"/>
          </w:divBdr>
        </w:div>
        <w:div w:id="1716274965">
          <w:marLeft w:val="640"/>
          <w:marRight w:val="0"/>
          <w:marTop w:val="0"/>
          <w:marBottom w:val="0"/>
          <w:divBdr>
            <w:top w:val="none" w:sz="0" w:space="0" w:color="auto"/>
            <w:left w:val="none" w:sz="0" w:space="0" w:color="auto"/>
            <w:bottom w:val="none" w:sz="0" w:space="0" w:color="auto"/>
            <w:right w:val="none" w:sz="0" w:space="0" w:color="auto"/>
          </w:divBdr>
        </w:div>
        <w:div w:id="535002636">
          <w:marLeft w:val="640"/>
          <w:marRight w:val="0"/>
          <w:marTop w:val="0"/>
          <w:marBottom w:val="0"/>
          <w:divBdr>
            <w:top w:val="none" w:sz="0" w:space="0" w:color="auto"/>
            <w:left w:val="none" w:sz="0" w:space="0" w:color="auto"/>
            <w:bottom w:val="none" w:sz="0" w:space="0" w:color="auto"/>
            <w:right w:val="none" w:sz="0" w:space="0" w:color="auto"/>
          </w:divBdr>
        </w:div>
        <w:div w:id="1035616982">
          <w:marLeft w:val="640"/>
          <w:marRight w:val="0"/>
          <w:marTop w:val="0"/>
          <w:marBottom w:val="0"/>
          <w:divBdr>
            <w:top w:val="none" w:sz="0" w:space="0" w:color="auto"/>
            <w:left w:val="none" w:sz="0" w:space="0" w:color="auto"/>
            <w:bottom w:val="none" w:sz="0" w:space="0" w:color="auto"/>
            <w:right w:val="none" w:sz="0" w:space="0" w:color="auto"/>
          </w:divBdr>
        </w:div>
        <w:div w:id="715854012">
          <w:marLeft w:val="640"/>
          <w:marRight w:val="0"/>
          <w:marTop w:val="0"/>
          <w:marBottom w:val="0"/>
          <w:divBdr>
            <w:top w:val="none" w:sz="0" w:space="0" w:color="auto"/>
            <w:left w:val="none" w:sz="0" w:space="0" w:color="auto"/>
            <w:bottom w:val="none" w:sz="0" w:space="0" w:color="auto"/>
            <w:right w:val="none" w:sz="0" w:space="0" w:color="auto"/>
          </w:divBdr>
        </w:div>
        <w:div w:id="179588932">
          <w:marLeft w:val="640"/>
          <w:marRight w:val="0"/>
          <w:marTop w:val="0"/>
          <w:marBottom w:val="0"/>
          <w:divBdr>
            <w:top w:val="none" w:sz="0" w:space="0" w:color="auto"/>
            <w:left w:val="none" w:sz="0" w:space="0" w:color="auto"/>
            <w:bottom w:val="none" w:sz="0" w:space="0" w:color="auto"/>
            <w:right w:val="none" w:sz="0" w:space="0" w:color="auto"/>
          </w:divBdr>
        </w:div>
        <w:div w:id="248000782">
          <w:marLeft w:val="640"/>
          <w:marRight w:val="0"/>
          <w:marTop w:val="0"/>
          <w:marBottom w:val="0"/>
          <w:divBdr>
            <w:top w:val="none" w:sz="0" w:space="0" w:color="auto"/>
            <w:left w:val="none" w:sz="0" w:space="0" w:color="auto"/>
            <w:bottom w:val="none" w:sz="0" w:space="0" w:color="auto"/>
            <w:right w:val="none" w:sz="0" w:space="0" w:color="auto"/>
          </w:divBdr>
        </w:div>
        <w:div w:id="114640889">
          <w:marLeft w:val="640"/>
          <w:marRight w:val="0"/>
          <w:marTop w:val="0"/>
          <w:marBottom w:val="0"/>
          <w:divBdr>
            <w:top w:val="none" w:sz="0" w:space="0" w:color="auto"/>
            <w:left w:val="none" w:sz="0" w:space="0" w:color="auto"/>
            <w:bottom w:val="none" w:sz="0" w:space="0" w:color="auto"/>
            <w:right w:val="none" w:sz="0" w:space="0" w:color="auto"/>
          </w:divBdr>
        </w:div>
        <w:div w:id="661854776">
          <w:marLeft w:val="640"/>
          <w:marRight w:val="0"/>
          <w:marTop w:val="0"/>
          <w:marBottom w:val="0"/>
          <w:divBdr>
            <w:top w:val="none" w:sz="0" w:space="0" w:color="auto"/>
            <w:left w:val="none" w:sz="0" w:space="0" w:color="auto"/>
            <w:bottom w:val="none" w:sz="0" w:space="0" w:color="auto"/>
            <w:right w:val="none" w:sz="0" w:space="0" w:color="auto"/>
          </w:divBdr>
        </w:div>
        <w:div w:id="1485732823">
          <w:marLeft w:val="640"/>
          <w:marRight w:val="0"/>
          <w:marTop w:val="0"/>
          <w:marBottom w:val="0"/>
          <w:divBdr>
            <w:top w:val="none" w:sz="0" w:space="0" w:color="auto"/>
            <w:left w:val="none" w:sz="0" w:space="0" w:color="auto"/>
            <w:bottom w:val="none" w:sz="0" w:space="0" w:color="auto"/>
            <w:right w:val="none" w:sz="0" w:space="0" w:color="auto"/>
          </w:divBdr>
        </w:div>
        <w:div w:id="421145931">
          <w:marLeft w:val="640"/>
          <w:marRight w:val="0"/>
          <w:marTop w:val="0"/>
          <w:marBottom w:val="0"/>
          <w:divBdr>
            <w:top w:val="none" w:sz="0" w:space="0" w:color="auto"/>
            <w:left w:val="none" w:sz="0" w:space="0" w:color="auto"/>
            <w:bottom w:val="none" w:sz="0" w:space="0" w:color="auto"/>
            <w:right w:val="none" w:sz="0" w:space="0" w:color="auto"/>
          </w:divBdr>
        </w:div>
        <w:div w:id="615142810">
          <w:marLeft w:val="640"/>
          <w:marRight w:val="0"/>
          <w:marTop w:val="0"/>
          <w:marBottom w:val="0"/>
          <w:divBdr>
            <w:top w:val="none" w:sz="0" w:space="0" w:color="auto"/>
            <w:left w:val="none" w:sz="0" w:space="0" w:color="auto"/>
            <w:bottom w:val="none" w:sz="0" w:space="0" w:color="auto"/>
            <w:right w:val="none" w:sz="0" w:space="0" w:color="auto"/>
          </w:divBdr>
        </w:div>
        <w:div w:id="166330454">
          <w:marLeft w:val="640"/>
          <w:marRight w:val="0"/>
          <w:marTop w:val="0"/>
          <w:marBottom w:val="0"/>
          <w:divBdr>
            <w:top w:val="none" w:sz="0" w:space="0" w:color="auto"/>
            <w:left w:val="none" w:sz="0" w:space="0" w:color="auto"/>
            <w:bottom w:val="none" w:sz="0" w:space="0" w:color="auto"/>
            <w:right w:val="none" w:sz="0" w:space="0" w:color="auto"/>
          </w:divBdr>
        </w:div>
        <w:div w:id="1748919967">
          <w:marLeft w:val="640"/>
          <w:marRight w:val="0"/>
          <w:marTop w:val="0"/>
          <w:marBottom w:val="0"/>
          <w:divBdr>
            <w:top w:val="none" w:sz="0" w:space="0" w:color="auto"/>
            <w:left w:val="none" w:sz="0" w:space="0" w:color="auto"/>
            <w:bottom w:val="none" w:sz="0" w:space="0" w:color="auto"/>
            <w:right w:val="none" w:sz="0" w:space="0" w:color="auto"/>
          </w:divBdr>
        </w:div>
        <w:div w:id="52588239">
          <w:marLeft w:val="640"/>
          <w:marRight w:val="0"/>
          <w:marTop w:val="0"/>
          <w:marBottom w:val="0"/>
          <w:divBdr>
            <w:top w:val="none" w:sz="0" w:space="0" w:color="auto"/>
            <w:left w:val="none" w:sz="0" w:space="0" w:color="auto"/>
            <w:bottom w:val="none" w:sz="0" w:space="0" w:color="auto"/>
            <w:right w:val="none" w:sz="0" w:space="0" w:color="auto"/>
          </w:divBdr>
        </w:div>
        <w:div w:id="334377942">
          <w:marLeft w:val="640"/>
          <w:marRight w:val="0"/>
          <w:marTop w:val="0"/>
          <w:marBottom w:val="0"/>
          <w:divBdr>
            <w:top w:val="none" w:sz="0" w:space="0" w:color="auto"/>
            <w:left w:val="none" w:sz="0" w:space="0" w:color="auto"/>
            <w:bottom w:val="none" w:sz="0" w:space="0" w:color="auto"/>
            <w:right w:val="none" w:sz="0" w:space="0" w:color="auto"/>
          </w:divBdr>
        </w:div>
        <w:div w:id="861937022">
          <w:marLeft w:val="640"/>
          <w:marRight w:val="0"/>
          <w:marTop w:val="0"/>
          <w:marBottom w:val="0"/>
          <w:divBdr>
            <w:top w:val="none" w:sz="0" w:space="0" w:color="auto"/>
            <w:left w:val="none" w:sz="0" w:space="0" w:color="auto"/>
            <w:bottom w:val="none" w:sz="0" w:space="0" w:color="auto"/>
            <w:right w:val="none" w:sz="0" w:space="0" w:color="auto"/>
          </w:divBdr>
        </w:div>
        <w:div w:id="138963133">
          <w:marLeft w:val="640"/>
          <w:marRight w:val="0"/>
          <w:marTop w:val="0"/>
          <w:marBottom w:val="0"/>
          <w:divBdr>
            <w:top w:val="none" w:sz="0" w:space="0" w:color="auto"/>
            <w:left w:val="none" w:sz="0" w:space="0" w:color="auto"/>
            <w:bottom w:val="none" w:sz="0" w:space="0" w:color="auto"/>
            <w:right w:val="none" w:sz="0" w:space="0" w:color="auto"/>
          </w:divBdr>
        </w:div>
        <w:div w:id="1125153841">
          <w:marLeft w:val="640"/>
          <w:marRight w:val="0"/>
          <w:marTop w:val="0"/>
          <w:marBottom w:val="0"/>
          <w:divBdr>
            <w:top w:val="none" w:sz="0" w:space="0" w:color="auto"/>
            <w:left w:val="none" w:sz="0" w:space="0" w:color="auto"/>
            <w:bottom w:val="none" w:sz="0" w:space="0" w:color="auto"/>
            <w:right w:val="none" w:sz="0" w:space="0" w:color="auto"/>
          </w:divBdr>
        </w:div>
        <w:div w:id="560794719">
          <w:marLeft w:val="640"/>
          <w:marRight w:val="0"/>
          <w:marTop w:val="0"/>
          <w:marBottom w:val="0"/>
          <w:divBdr>
            <w:top w:val="none" w:sz="0" w:space="0" w:color="auto"/>
            <w:left w:val="none" w:sz="0" w:space="0" w:color="auto"/>
            <w:bottom w:val="none" w:sz="0" w:space="0" w:color="auto"/>
            <w:right w:val="none" w:sz="0" w:space="0" w:color="auto"/>
          </w:divBdr>
        </w:div>
        <w:div w:id="589045032">
          <w:marLeft w:val="640"/>
          <w:marRight w:val="0"/>
          <w:marTop w:val="0"/>
          <w:marBottom w:val="0"/>
          <w:divBdr>
            <w:top w:val="none" w:sz="0" w:space="0" w:color="auto"/>
            <w:left w:val="none" w:sz="0" w:space="0" w:color="auto"/>
            <w:bottom w:val="none" w:sz="0" w:space="0" w:color="auto"/>
            <w:right w:val="none" w:sz="0" w:space="0" w:color="auto"/>
          </w:divBdr>
        </w:div>
        <w:div w:id="102892179">
          <w:marLeft w:val="640"/>
          <w:marRight w:val="0"/>
          <w:marTop w:val="0"/>
          <w:marBottom w:val="0"/>
          <w:divBdr>
            <w:top w:val="none" w:sz="0" w:space="0" w:color="auto"/>
            <w:left w:val="none" w:sz="0" w:space="0" w:color="auto"/>
            <w:bottom w:val="none" w:sz="0" w:space="0" w:color="auto"/>
            <w:right w:val="none" w:sz="0" w:space="0" w:color="auto"/>
          </w:divBdr>
        </w:div>
        <w:div w:id="1016537246">
          <w:marLeft w:val="640"/>
          <w:marRight w:val="0"/>
          <w:marTop w:val="0"/>
          <w:marBottom w:val="0"/>
          <w:divBdr>
            <w:top w:val="none" w:sz="0" w:space="0" w:color="auto"/>
            <w:left w:val="none" w:sz="0" w:space="0" w:color="auto"/>
            <w:bottom w:val="none" w:sz="0" w:space="0" w:color="auto"/>
            <w:right w:val="none" w:sz="0" w:space="0" w:color="auto"/>
          </w:divBdr>
        </w:div>
        <w:div w:id="1636444019">
          <w:marLeft w:val="640"/>
          <w:marRight w:val="0"/>
          <w:marTop w:val="0"/>
          <w:marBottom w:val="0"/>
          <w:divBdr>
            <w:top w:val="none" w:sz="0" w:space="0" w:color="auto"/>
            <w:left w:val="none" w:sz="0" w:space="0" w:color="auto"/>
            <w:bottom w:val="none" w:sz="0" w:space="0" w:color="auto"/>
            <w:right w:val="none" w:sz="0" w:space="0" w:color="auto"/>
          </w:divBdr>
        </w:div>
        <w:div w:id="128473297">
          <w:marLeft w:val="640"/>
          <w:marRight w:val="0"/>
          <w:marTop w:val="0"/>
          <w:marBottom w:val="0"/>
          <w:divBdr>
            <w:top w:val="none" w:sz="0" w:space="0" w:color="auto"/>
            <w:left w:val="none" w:sz="0" w:space="0" w:color="auto"/>
            <w:bottom w:val="none" w:sz="0" w:space="0" w:color="auto"/>
            <w:right w:val="none" w:sz="0" w:space="0" w:color="auto"/>
          </w:divBdr>
        </w:div>
        <w:div w:id="2125078697">
          <w:marLeft w:val="640"/>
          <w:marRight w:val="0"/>
          <w:marTop w:val="0"/>
          <w:marBottom w:val="0"/>
          <w:divBdr>
            <w:top w:val="none" w:sz="0" w:space="0" w:color="auto"/>
            <w:left w:val="none" w:sz="0" w:space="0" w:color="auto"/>
            <w:bottom w:val="none" w:sz="0" w:space="0" w:color="auto"/>
            <w:right w:val="none" w:sz="0" w:space="0" w:color="auto"/>
          </w:divBdr>
        </w:div>
        <w:div w:id="2116250485">
          <w:marLeft w:val="640"/>
          <w:marRight w:val="0"/>
          <w:marTop w:val="0"/>
          <w:marBottom w:val="0"/>
          <w:divBdr>
            <w:top w:val="none" w:sz="0" w:space="0" w:color="auto"/>
            <w:left w:val="none" w:sz="0" w:space="0" w:color="auto"/>
            <w:bottom w:val="none" w:sz="0" w:space="0" w:color="auto"/>
            <w:right w:val="none" w:sz="0" w:space="0" w:color="auto"/>
          </w:divBdr>
        </w:div>
        <w:div w:id="195966349">
          <w:marLeft w:val="640"/>
          <w:marRight w:val="0"/>
          <w:marTop w:val="0"/>
          <w:marBottom w:val="0"/>
          <w:divBdr>
            <w:top w:val="none" w:sz="0" w:space="0" w:color="auto"/>
            <w:left w:val="none" w:sz="0" w:space="0" w:color="auto"/>
            <w:bottom w:val="none" w:sz="0" w:space="0" w:color="auto"/>
            <w:right w:val="none" w:sz="0" w:space="0" w:color="auto"/>
          </w:divBdr>
        </w:div>
        <w:div w:id="2143646004">
          <w:marLeft w:val="640"/>
          <w:marRight w:val="0"/>
          <w:marTop w:val="0"/>
          <w:marBottom w:val="0"/>
          <w:divBdr>
            <w:top w:val="none" w:sz="0" w:space="0" w:color="auto"/>
            <w:left w:val="none" w:sz="0" w:space="0" w:color="auto"/>
            <w:bottom w:val="none" w:sz="0" w:space="0" w:color="auto"/>
            <w:right w:val="none" w:sz="0" w:space="0" w:color="auto"/>
          </w:divBdr>
        </w:div>
        <w:div w:id="119344036">
          <w:marLeft w:val="640"/>
          <w:marRight w:val="0"/>
          <w:marTop w:val="0"/>
          <w:marBottom w:val="0"/>
          <w:divBdr>
            <w:top w:val="none" w:sz="0" w:space="0" w:color="auto"/>
            <w:left w:val="none" w:sz="0" w:space="0" w:color="auto"/>
            <w:bottom w:val="none" w:sz="0" w:space="0" w:color="auto"/>
            <w:right w:val="none" w:sz="0" w:space="0" w:color="auto"/>
          </w:divBdr>
        </w:div>
        <w:div w:id="434784674">
          <w:marLeft w:val="640"/>
          <w:marRight w:val="0"/>
          <w:marTop w:val="0"/>
          <w:marBottom w:val="0"/>
          <w:divBdr>
            <w:top w:val="none" w:sz="0" w:space="0" w:color="auto"/>
            <w:left w:val="none" w:sz="0" w:space="0" w:color="auto"/>
            <w:bottom w:val="none" w:sz="0" w:space="0" w:color="auto"/>
            <w:right w:val="none" w:sz="0" w:space="0" w:color="auto"/>
          </w:divBdr>
        </w:div>
        <w:div w:id="1694527012">
          <w:marLeft w:val="640"/>
          <w:marRight w:val="0"/>
          <w:marTop w:val="0"/>
          <w:marBottom w:val="0"/>
          <w:divBdr>
            <w:top w:val="none" w:sz="0" w:space="0" w:color="auto"/>
            <w:left w:val="none" w:sz="0" w:space="0" w:color="auto"/>
            <w:bottom w:val="none" w:sz="0" w:space="0" w:color="auto"/>
            <w:right w:val="none" w:sz="0" w:space="0" w:color="auto"/>
          </w:divBdr>
        </w:div>
        <w:div w:id="1990744325">
          <w:marLeft w:val="640"/>
          <w:marRight w:val="0"/>
          <w:marTop w:val="0"/>
          <w:marBottom w:val="0"/>
          <w:divBdr>
            <w:top w:val="none" w:sz="0" w:space="0" w:color="auto"/>
            <w:left w:val="none" w:sz="0" w:space="0" w:color="auto"/>
            <w:bottom w:val="none" w:sz="0" w:space="0" w:color="auto"/>
            <w:right w:val="none" w:sz="0" w:space="0" w:color="auto"/>
          </w:divBdr>
        </w:div>
        <w:div w:id="1084109777">
          <w:marLeft w:val="640"/>
          <w:marRight w:val="0"/>
          <w:marTop w:val="0"/>
          <w:marBottom w:val="0"/>
          <w:divBdr>
            <w:top w:val="none" w:sz="0" w:space="0" w:color="auto"/>
            <w:left w:val="none" w:sz="0" w:space="0" w:color="auto"/>
            <w:bottom w:val="none" w:sz="0" w:space="0" w:color="auto"/>
            <w:right w:val="none" w:sz="0" w:space="0" w:color="auto"/>
          </w:divBdr>
        </w:div>
        <w:div w:id="19550833">
          <w:marLeft w:val="640"/>
          <w:marRight w:val="0"/>
          <w:marTop w:val="0"/>
          <w:marBottom w:val="0"/>
          <w:divBdr>
            <w:top w:val="none" w:sz="0" w:space="0" w:color="auto"/>
            <w:left w:val="none" w:sz="0" w:space="0" w:color="auto"/>
            <w:bottom w:val="none" w:sz="0" w:space="0" w:color="auto"/>
            <w:right w:val="none" w:sz="0" w:space="0" w:color="auto"/>
          </w:divBdr>
        </w:div>
        <w:div w:id="1714576794">
          <w:marLeft w:val="640"/>
          <w:marRight w:val="0"/>
          <w:marTop w:val="0"/>
          <w:marBottom w:val="0"/>
          <w:divBdr>
            <w:top w:val="none" w:sz="0" w:space="0" w:color="auto"/>
            <w:left w:val="none" w:sz="0" w:space="0" w:color="auto"/>
            <w:bottom w:val="none" w:sz="0" w:space="0" w:color="auto"/>
            <w:right w:val="none" w:sz="0" w:space="0" w:color="auto"/>
          </w:divBdr>
        </w:div>
        <w:div w:id="284309230">
          <w:marLeft w:val="640"/>
          <w:marRight w:val="0"/>
          <w:marTop w:val="0"/>
          <w:marBottom w:val="0"/>
          <w:divBdr>
            <w:top w:val="none" w:sz="0" w:space="0" w:color="auto"/>
            <w:left w:val="none" w:sz="0" w:space="0" w:color="auto"/>
            <w:bottom w:val="none" w:sz="0" w:space="0" w:color="auto"/>
            <w:right w:val="none" w:sz="0" w:space="0" w:color="auto"/>
          </w:divBdr>
        </w:div>
        <w:div w:id="1474758404">
          <w:marLeft w:val="640"/>
          <w:marRight w:val="0"/>
          <w:marTop w:val="0"/>
          <w:marBottom w:val="0"/>
          <w:divBdr>
            <w:top w:val="none" w:sz="0" w:space="0" w:color="auto"/>
            <w:left w:val="none" w:sz="0" w:space="0" w:color="auto"/>
            <w:bottom w:val="none" w:sz="0" w:space="0" w:color="auto"/>
            <w:right w:val="none" w:sz="0" w:space="0" w:color="auto"/>
          </w:divBdr>
        </w:div>
        <w:div w:id="485753418">
          <w:marLeft w:val="640"/>
          <w:marRight w:val="0"/>
          <w:marTop w:val="0"/>
          <w:marBottom w:val="0"/>
          <w:divBdr>
            <w:top w:val="none" w:sz="0" w:space="0" w:color="auto"/>
            <w:left w:val="none" w:sz="0" w:space="0" w:color="auto"/>
            <w:bottom w:val="none" w:sz="0" w:space="0" w:color="auto"/>
            <w:right w:val="none" w:sz="0" w:space="0" w:color="auto"/>
          </w:divBdr>
        </w:div>
        <w:div w:id="1810709718">
          <w:marLeft w:val="640"/>
          <w:marRight w:val="0"/>
          <w:marTop w:val="0"/>
          <w:marBottom w:val="0"/>
          <w:divBdr>
            <w:top w:val="none" w:sz="0" w:space="0" w:color="auto"/>
            <w:left w:val="none" w:sz="0" w:space="0" w:color="auto"/>
            <w:bottom w:val="none" w:sz="0" w:space="0" w:color="auto"/>
            <w:right w:val="none" w:sz="0" w:space="0" w:color="auto"/>
          </w:divBdr>
        </w:div>
        <w:div w:id="1942561739">
          <w:marLeft w:val="640"/>
          <w:marRight w:val="0"/>
          <w:marTop w:val="0"/>
          <w:marBottom w:val="0"/>
          <w:divBdr>
            <w:top w:val="none" w:sz="0" w:space="0" w:color="auto"/>
            <w:left w:val="none" w:sz="0" w:space="0" w:color="auto"/>
            <w:bottom w:val="none" w:sz="0" w:space="0" w:color="auto"/>
            <w:right w:val="none" w:sz="0" w:space="0" w:color="auto"/>
          </w:divBdr>
        </w:div>
        <w:div w:id="893009180">
          <w:marLeft w:val="640"/>
          <w:marRight w:val="0"/>
          <w:marTop w:val="0"/>
          <w:marBottom w:val="0"/>
          <w:divBdr>
            <w:top w:val="none" w:sz="0" w:space="0" w:color="auto"/>
            <w:left w:val="none" w:sz="0" w:space="0" w:color="auto"/>
            <w:bottom w:val="none" w:sz="0" w:space="0" w:color="auto"/>
            <w:right w:val="none" w:sz="0" w:space="0" w:color="auto"/>
          </w:divBdr>
        </w:div>
        <w:div w:id="2007585412">
          <w:marLeft w:val="640"/>
          <w:marRight w:val="0"/>
          <w:marTop w:val="0"/>
          <w:marBottom w:val="0"/>
          <w:divBdr>
            <w:top w:val="none" w:sz="0" w:space="0" w:color="auto"/>
            <w:left w:val="none" w:sz="0" w:space="0" w:color="auto"/>
            <w:bottom w:val="none" w:sz="0" w:space="0" w:color="auto"/>
            <w:right w:val="none" w:sz="0" w:space="0" w:color="auto"/>
          </w:divBdr>
        </w:div>
        <w:div w:id="818612265">
          <w:marLeft w:val="640"/>
          <w:marRight w:val="0"/>
          <w:marTop w:val="0"/>
          <w:marBottom w:val="0"/>
          <w:divBdr>
            <w:top w:val="none" w:sz="0" w:space="0" w:color="auto"/>
            <w:left w:val="none" w:sz="0" w:space="0" w:color="auto"/>
            <w:bottom w:val="none" w:sz="0" w:space="0" w:color="auto"/>
            <w:right w:val="none" w:sz="0" w:space="0" w:color="auto"/>
          </w:divBdr>
        </w:div>
        <w:div w:id="584071756">
          <w:marLeft w:val="640"/>
          <w:marRight w:val="0"/>
          <w:marTop w:val="0"/>
          <w:marBottom w:val="0"/>
          <w:divBdr>
            <w:top w:val="none" w:sz="0" w:space="0" w:color="auto"/>
            <w:left w:val="none" w:sz="0" w:space="0" w:color="auto"/>
            <w:bottom w:val="none" w:sz="0" w:space="0" w:color="auto"/>
            <w:right w:val="none" w:sz="0" w:space="0" w:color="auto"/>
          </w:divBdr>
        </w:div>
        <w:div w:id="546650486">
          <w:marLeft w:val="640"/>
          <w:marRight w:val="0"/>
          <w:marTop w:val="0"/>
          <w:marBottom w:val="0"/>
          <w:divBdr>
            <w:top w:val="none" w:sz="0" w:space="0" w:color="auto"/>
            <w:left w:val="none" w:sz="0" w:space="0" w:color="auto"/>
            <w:bottom w:val="none" w:sz="0" w:space="0" w:color="auto"/>
            <w:right w:val="none" w:sz="0" w:space="0" w:color="auto"/>
          </w:divBdr>
        </w:div>
        <w:div w:id="177275615">
          <w:marLeft w:val="640"/>
          <w:marRight w:val="0"/>
          <w:marTop w:val="0"/>
          <w:marBottom w:val="0"/>
          <w:divBdr>
            <w:top w:val="none" w:sz="0" w:space="0" w:color="auto"/>
            <w:left w:val="none" w:sz="0" w:space="0" w:color="auto"/>
            <w:bottom w:val="none" w:sz="0" w:space="0" w:color="auto"/>
            <w:right w:val="none" w:sz="0" w:space="0" w:color="auto"/>
          </w:divBdr>
        </w:div>
        <w:div w:id="877473657">
          <w:marLeft w:val="640"/>
          <w:marRight w:val="0"/>
          <w:marTop w:val="0"/>
          <w:marBottom w:val="0"/>
          <w:divBdr>
            <w:top w:val="none" w:sz="0" w:space="0" w:color="auto"/>
            <w:left w:val="none" w:sz="0" w:space="0" w:color="auto"/>
            <w:bottom w:val="none" w:sz="0" w:space="0" w:color="auto"/>
            <w:right w:val="none" w:sz="0" w:space="0" w:color="auto"/>
          </w:divBdr>
        </w:div>
        <w:div w:id="1409770048">
          <w:marLeft w:val="640"/>
          <w:marRight w:val="0"/>
          <w:marTop w:val="0"/>
          <w:marBottom w:val="0"/>
          <w:divBdr>
            <w:top w:val="none" w:sz="0" w:space="0" w:color="auto"/>
            <w:left w:val="none" w:sz="0" w:space="0" w:color="auto"/>
            <w:bottom w:val="none" w:sz="0" w:space="0" w:color="auto"/>
            <w:right w:val="none" w:sz="0" w:space="0" w:color="auto"/>
          </w:divBdr>
        </w:div>
        <w:div w:id="1749645583">
          <w:marLeft w:val="640"/>
          <w:marRight w:val="0"/>
          <w:marTop w:val="0"/>
          <w:marBottom w:val="0"/>
          <w:divBdr>
            <w:top w:val="none" w:sz="0" w:space="0" w:color="auto"/>
            <w:left w:val="none" w:sz="0" w:space="0" w:color="auto"/>
            <w:bottom w:val="none" w:sz="0" w:space="0" w:color="auto"/>
            <w:right w:val="none" w:sz="0" w:space="0" w:color="auto"/>
          </w:divBdr>
        </w:div>
        <w:div w:id="1508015824">
          <w:marLeft w:val="640"/>
          <w:marRight w:val="0"/>
          <w:marTop w:val="0"/>
          <w:marBottom w:val="0"/>
          <w:divBdr>
            <w:top w:val="none" w:sz="0" w:space="0" w:color="auto"/>
            <w:left w:val="none" w:sz="0" w:space="0" w:color="auto"/>
            <w:bottom w:val="none" w:sz="0" w:space="0" w:color="auto"/>
            <w:right w:val="none" w:sz="0" w:space="0" w:color="auto"/>
          </w:divBdr>
        </w:div>
        <w:div w:id="760564357">
          <w:marLeft w:val="640"/>
          <w:marRight w:val="0"/>
          <w:marTop w:val="0"/>
          <w:marBottom w:val="0"/>
          <w:divBdr>
            <w:top w:val="none" w:sz="0" w:space="0" w:color="auto"/>
            <w:left w:val="none" w:sz="0" w:space="0" w:color="auto"/>
            <w:bottom w:val="none" w:sz="0" w:space="0" w:color="auto"/>
            <w:right w:val="none" w:sz="0" w:space="0" w:color="auto"/>
          </w:divBdr>
        </w:div>
        <w:div w:id="2058511274">
          <w:marLeft w:val="640"/>
          <w:marRight w:val="0"/>
          <w:marTop w:val="0"/>
          <w:marBottom w:val="0"/>
          <w:divBdr>
            <w:top w:val="none" w:sz="0" w:space="0" w:color="auto"/>
            <w:left w:val="none" w:sz="0" w:space="0" w:color="auto"/>
            <w:bottom w:val="none" w:sz="0" w:space="0" w:color="auto"/>
            <w:right w:val="none" w:sz="0" w:space="0" w:color="auto"/>
          </w:divBdr>
        </w:div>
        <w:div w:id="265845374">
          <w:marLeft w:val="640"/>
          <w:marRight w:val="0"/>
          <w:marTop w:val="0"/>
          <w:marBottom w:val="0"/>
          <w:divBdr>
            <w:top w:val="none" w:sz="0" w:space="0" w:color="auto"/>
            <w:left w:val="none" w:sz="0" w:space="0" w:color="auto"/>
            <w:bottom w:val="none" w:sz="0" w:space="0" w:color="auto"/>
            <w:right w:val="none" w:sz="0" w:space="0" w:color="auto"/>
          </w:divBdr>
        </w:div>
        <w:div w:id="1503276767">
          <w:marLeft w:val="640"/>
          <w:marRight w:val="0"/>
          <w:marTop w:val="0"/>
          <w:marBottom w:val="0"/>
          <w:divBdr>
            <w:top w:val="none" w:sz="0" w:space="0" w:color="auto"/>
            <w:left w:val="none" w:sz="0" w:space="0" w:color="auto"/>
            <w:bottom w:val="none" w:sz="0" w:space="0" w:color="auto"/>
            <w:right w:val="none" w:sz="0" w:space="0" w:color="auto"/>
          </w:divBdr>
        </w:div>
        <w:div w:id="790829475">
          <w:marLeft w:val="640"/>
          <w:marRight w:val="0"/>
          <w:marTop w:val="0"/>
          <w:marBottom w:val="0"/>
          <w:divBdr>
            <w:top w:val="none" w:sz="0" w:space="0" w:color="auto"/>
            <w:left w:val="none" w:sz="0" w:space="0" w:color="auto"/>
            <w:bottom w:val="none" w:sz="0" w:space="0" w:color="auto"/>
            <w:right w:val="none" w:sz="0" w:space="0" w:color="auto"/>
          </w:divBdr>
        </w:div>
        <w:div w:id="515189740">
          <w:marLeft w:val="640"/>
          <w:marRight w:val="0"/>
          <w:marTop w:val="0"/>
          <w:marBottom w:val="0"/>
          <w:divBdr>
            <w:top w:val="none" w:sz="0" w:space="0" w:color="auto"/>
            <w:left w:val="none" w:sz="0" w:space="0" w:color="auto"/>
            <w:bottom w:val="none" w:sz="0" w:space="0" w:color="auto"/>
            <w:right w:val="none" w:sz="0" w:space="0" w:color="auto"/>
          </w:divBdr>
        </w:div>
        <w:div w:id="460458407">
          <w:marLeft w:val="640"/>
          <w:marRight w:val="0"/>
          <w:marTop w:val="0"/>
          <w:marBottom w:val="0"/>
          <w:divBdr>
            <w:top w:val="none" w:sz="0" w:space="0" w:color="auto"/>
            <w:left w:val="none" w:sz="0" w:space="0" w:color="auto"/>
            <w:bottom w:val="none" w:sz="0" w:space="0" w:color="auto"/>
            <w:right w:val="none" w:sz="0" w:space="0" w:color="auto"/>
          </w:divBdr>
        </w:div>
        <w:div w:id="1415661229">
          <w:marLeft w:val="640"/>
          <w:marRight w:val="0"/>
          <w:marTop w:val="0"/>
          <w:marBottom w:val="0"/>
          <w:divBdr>
            <w:top w:val="none" w:sz="0" w:space="0" w:color="auto"/>
            <w:left w:val="none" w:sz="0" w:space="0" w:color="auto"/>
            <w:bottom w:val="none" w:sz="0" w:space="0" w:color="auto"/>
            <w:right w:val="none" w:sz="0" w:space="0" w:color="auto"/>
          </w:divBdr>
        </w:div>
        <w:div w:id="2086563642">
          <w:marLeft w:val="640"/>
          <w:marRight w:val="0"/>
          <w:marTop w:val="0"/>
          <w:marBottom w:val="0"/>
          <w:divBdr>
            <w:top w:val="none" w:sz="0" w:space="0" w:color="auto"/>
            <w:left w:val="none" w:sz="0" w:space="0" w:color="auto"/>
            <w:bottom w:val="none" w:sz="0" w:space="0" w:color="auto"/>
            <w:right w:val="none" w:sz="0" w:space="0" w:color="auto"/>
          </w:divBdr>
        </w:div>
        <w:div w:id="675808598">
          <w:marLeft w:val="640"/>
          <w:marRight w:val="0"/>
          <w:marTop w:val="0"/>
          <w:marBottom w:val="0"/>
          <w:divBdr>
            <w:top w:val="none" w:sz="0" w:space="0" w:color="auto"/>
            <w:left w:val="none" w:sz="0" w:space="0" w:color="auto"/>
            <w:bottom w:val="none" w:sz="0" w:space="0" w:color="auto"/>
            <w:right w:val="none" w:sz="0" w:space="0" w:color="auto"/>
          </w:divBdr>
        </w:div>
        <w:div w:id="1213536997">
          <w:marLeft w:val="640"/>
          <w:marRight w:val="0"/>
          <w:marTop w:val="0"/>
          <w:marBottom w:val="0"/>
          <w:divBdr>
            <w:top w:val="none" w:sz="0" w:space="0" w:color="auto"/>
            <w:left w:val="none" w:sz="0" w:space="0" w:color="auto"/>
            <w:bottom w:val="none" w:sz="0" w:space="0" w:color="auto"/>
            <w:right w:val="none" w:sz="0" w:space="0" w:color="auto"/>
          </w:divBdr>
        </w:div>
        <w:div w:id="1580017779">
          <w:marLeft w:val="640"/>
          <w:marRight w:val="0"/>
          <w:marTop w:val="0"/>
          <w:marBottom w:val="0"/>
          <w:divBdr>
            <w:top w:val="none" w:sz="0" w:space="0" w:color="auto"/>
            <w:left w:val="none" w:sz="0" w:space="0" w:color="auto"/>
            <w:bottom w:val="none" w:sz="0" w:space="0" w:color="auto"/>
            <w:right w:val="none" w:sz="0" w:space="0" w:color="auto"/>
          </w:divBdr>
        </w:div>
        <w:div w:id="1418985520">
          <w:marLeft w:val="640"/>
          <w:marRight w:val="0"/>
          <w:marTop w:val="0"/>
          <w:marBottom w:val="0"/>
          <w:divBdr>
            <w:top w:val="none" w:sz="0" w:space="0" w:color="auto"/>
            <w:left w:val="none" w:sz="0" w:space="0" w:color="auto"/>
            <w:bottom w:val="none" w:sz="0" w:space="0" w:color="auto"/>
            <w:right w:val="none" w:sz="0" w:space="0" w:color="auto"/>
          </w:divBdr>
        </w:div>
        <w:div w:id="1082680865">
          <w:marLeft w:val="640"/>
          <w:marRight w:val="0"/>
          <w:marTop w:val="0"/>
          <w:marBottom w:val="0"/>
          <w:divBdr>
            <w:top w:val="none" w:sz="0" w:space="0" w:color="auto"/>
            <w:left w:val="none" w:sz="0" w:space="0" w:color="auto"/>
            <w:bottom w:val="none" w:sz="0" w:space="0" w:color="auto"/>
            <w:right w:val="none" w:sz="0" w:space="0" w:color="auto"/>
          </w:divBdr>
        </w:div>
        <w:div w:id="540287854">
          <w:marLeft w:val="640"/>
          <w:marRight w:val="0"/>
          <w:marTop w:val="0"/>
          <w:marBottom w:val="0"/>
          <w:divBdr>
            <w:top w:val="none" w:sz="0" w:space="0" w:color="auto"/>
            <w:left w:val="none" w:sz="0" w:space="0" w:color="auto"/>
            <w:bottom w:val="none" w:sz="0" w:space="0" w:color="auto"/>
            <w:right w:val="none" w:sz="0" w:space="0" w:color="auto"/>
          </w:divBdr>
        </w:div>
        <w:div w:id="919680474">
          <w:marLeft w:val="640"/>
          <w:marRight w:val="0"/>
          <w:marTop w:val="0"/>
          <w:marBottom w:val="0"/>
          <w:divBdr>
            <w:top w:val="none" w:sz="0" w:space="0" w:color="auto"/>
            <w:left w:val="none" w:sz="0" w:space="0" w:color="auto"/>
            <w:bottom w:val="none" w:sz="0" w:space="0" w:color="auto"/>
            <w:right w:val="none" w:sz="0" w:space="0" w:color="auto"/>
          </w:divBdr>
        </w:div>
        <w:div w:id="294719763">
          <w:marLeft w:val="640"/>
          <w:marRight w:val="0"/>
          <w:marTop w:val="0"/>
          <w:marBottom w:val="0"/>
          <w:divBdr>
            <w:top w:val="none" w:sz="0" w:space="0" w:color="auto"/>
            <w:left w:val="none" w:sz="0" w:space="0" w:color="auto"/>
            <w:bottom w:val="none" w:sz="0" w:space="0" w:color="auto"/>
            <w:right w:val="none" w:sz="0" w:space="0" w:color="auto"/>
          </w:divBdr>
        </w:div>
        <w:div w:id="78410852">
          <w:marLeft w:val="640"/>
          <w:marRight w:val="0"/>
          <w:marTop w:val="0"/>
          <w:marBottom w:val="0"/>
          <w:divBdr>
            <w:top w:val="none" w:sz="0" w:space="0" w:color="auto"/>
            <w:left w:val="none" w:sz="0" w:space="0" w:color="auto"/>
            <w:bottom w:val="none" w:sz="0" w:space="0" w:color="auto"/>
            <w:right w:val="none" w:sz="0" w:space="0" w:color="auto"/>
          </w:divBdr>
        </w:div>
        <w:div w:id="1353802227">
          <w:marLeft w:val="640"/>
          <w:marRight w:val="0"/>
          <w:marTop w:val="0"/>
          <w:marBottom w:val="0"/>
          <w:divBdr>
            <w:top w:val="none" w:sz="0" w:space="0" w:color="auto"/>
            <w:left w:val="none" w:sz="0" w:space="0" w:color="auto"/>
            <w:bottom w:val="none" w:sz="0" w:space="0" w:color="auto"/>
            <w:right w:val="none" w:sz="0" w:space="0" w:color="auto"/>
          </w:divBdr>
        </w:div>
        <w:div w:id="1287156146">
          <w:marLeft w:val="640"/>
          <w:marRight w:val="0"/>
          <w:marTop w:val="0"/>
          <w:marBottom w:val="0"/>
          <w:divBdr>
            <w:top w:val="none" w:sz="0" w:space="0" w:color="auto"/>
            <w:left w:val="none" w:sz="0" w:space="0" w:color="auto"/>
            <w:bottom w:val="none" w:sz="0" w:space="0" w:color="auto"/>
            <w:right w:val="none" w:sz="0" w:space="0" w:color="auto"/>
          </w:divBdr>
        </w:div>
        <w:div w:id="1614022239">
          <w:marLeft w:val="640"/>
          <w:marRight w:val="0"/>
          <w:marTop w:val="0"/>
          <w:marBottom w:val="0"/>
          <w:divBdr>
            <w:top w:val="none" w:sz="0" w:space="0" w:color="auto"/>
            <w:left w:val="none" w:sz="0" w:space="0" w:color="auto"/>
            <w:bottom w:val="none" w:sz="0" w:space="0" w:color="auto"/>
            <w:right w:val="none" w:sz="0" w:space="0" w:color="auto"/>
          </w:divBdr>
        </w:div>
        <w:div w:id="52703298">
          <w:marLeft w:val="640"/>
          <w:marRight w:val="0"/>
          <w:marTop w:val="0"/>
          <w:marBottom w:val="0"/>
          <w:divBdr>
            <w:top w:val="none" w:sz="0" w:space="0" w:color="auto"/>
            <w:left w:val="none" w:sz="0" w:space="0" w:color="auto"/>
            <w:bottom w:val="none" w:sz="0" w:space="0" w:color="auto"/>
            <w:right w:val="none" w:sz="0" w:space="0" w:color="auto"/>
          </w:divBdr>
        </w:div>
        <w:div w:id="1685354486">
          <w:marLeft w:val="640"/>
          <w:marRight w:val="0"/>
          <w:marTop w:val="0"/>
          <w:marBottom w:val="0"/>
          <w:divBdr>
            <w:top w:val="none" w:sz="0" w:space="0" w:color="auto"/>
            <w:left w:val="none" w:sz="0" w:space="0" w:color="auto"/>
            <w:bottom w:val="none" w:sz="0" w:space="0" w:color="auto"/>
            <w:right w:val="none" w:sz="0" w:space="0" w:color="auto"/>
          </w:divBdr>
        </w:div>
        <w:div w:id="928806102">
          <w:marLeft w:val="640"/>
          <w:marRight w:val="0"/>
          <w:marTop w:val="0"/>
          <w:marBottom w:val="0"/>
          <w:divBdr>
            <w:top w:val="none" w:sz="0" w:space="0" w:color="auto"/>
            <w:left w:val="none" w:sz="0" w:space="0" w:color="auto"/>
            <w:bottom w:val="none" w:sz="0" w:space="0" w:color="auto"/>
            <w:right w:val="none" w:sz="0" w:space="0" w:color="auto"/>
          </w:divBdr>
        </w:div>
        <w:div w:id="1917016022">
          <w:marLeft w:val="640"/>
          <w:marRight w:val="0"/>
          <w:marTop w:val="0"/>
          <w:marBottom w:val="0"/>
          <w:divBdr>
            <w:top w:val="none" w:sz="0" w:space="0" w:color="auto"/>
            <w:left w:val="none" w:sz="0" w:space="0" w:color="auto"/>
            <w:bottom w:val="none" w:sz="0" w:space="0" w:color="auto"/>
            <w:right w:val="none" w:sz="0" w:space="0" w:color="auto"/>
          </w:divBdr>
        </w:div>
        <w:div w:id="1140466042">
          <w:marLeft w:val="640"/>
          <w:marRight w:val="0"/>
          <w:marTop w:val="0"/>
          <w:marBottom w:val="0"/>
          <w:divBdr>
            <w:top w:val="none" w:sz="0" w:space="0" w:color="auto"/>
            <w:left w:val="none" w:sz="0" w:space="0" w:color="auto"/>
            <w:bottom w:val="none" w:sz="0" w:space="0" w:color="auto"/>
            <w:right w:val="none" w:sz="0" w:space="0" w:color="auto"/>
          </w:divBdr>
        </w:div>
        <w:div w:id="1528987348">
          <w:marLeft w:val="640"/>
          <w:marRight w:val="0"/>
          <w:marTop w:val="0"/>
          <w:marBottom w:val="0"/>
          <w:divBdr>
            <w:top w:val="none" w:sz="0" w:space="0" w:color="auto"/>
            <w:left w:val="none" w:sz="0" w:space="0" w:color="auto"/>
            <w:bottom w:val="none" w:sz="0" w:space="0" w:color="auto"/>
            <w:right w:val="none" w:sz="0" w:space="0" w:color="auto"/>
          </w:divBdr>
        </w:div>
        <w:div w:id="1091658980">
          <w:marLeft w:val="640"/>
          <w:marRight w:val="0"/>
          <w:marTop w:val="0"/>
          <w:marBottom w:val="0"/>
          <w:divBdr>
            <w:top w:val="none" w:sz="0" w:space="0" w:color="auto"/>
            <w:left w:val="none" w:sz="0" w:space="0" w:color="auto"/>
            <w:bottom w:val="none" w:sz="0" w:space="0" w:color="auto"/>
            <w:right w:val="none" w:sz="0" w:space="0" w:color="auto"/>
          </w:divBdr>
        </w:div>
        <w:div w:id="475335870">
          <w:marLeft w:val="640"/>
          <w:marRight w:val="0"/>
          <w:marTop w:val="0"/>
          <w:marBottom w:val="0"/>
          <w:divBdr>
            <w:top w:val="none" w:sz="0" w:space="0" w:color="auto"/>
            <w:left w:val="none" w:sz="0" w:space="0" w:color="auto"/>
            <w:bottom w:val="none" w:sz="0" w:space="0" w:color="auto"/>
            <w:right w:val="none" w:sz="0" w:space="0" w:color="auto"/>
          </w:divBdr>
        </w:div>
        <w:div w:id="1504661743">
          <w:marLeft w:val="640"/>
          <w:marRight w:val="0"/>
          <w:marTop w:val="0"/>
          <w:marBottom w:val="0"/>
          <w:divBdr>
            <w:top w:val="none" w:sz="0" w:space="0" w:color="auto"/>
            <w:left w:val="none" w:sz="0" w:space="0" w:color="auto"/>
            <w:bottom w:val="none" w:sz="0" w:space="0" w:color="auto"/>
            <w:right w:val="none" w:sz="0" w:space="0" w:color="auto"/>
          </w:divBdr>
        </w:div>
        <w:div w:id="10884732">
          <w:marLeft w:val="640"/>
          <w:marRight w:val="0"/>
          <w:marTop w:val="0"/>
          <w:marBottom w:val="0"/>
          <w:divBdr>
            <w:top w:val="none" w:sz="0" w:space="0" w:color="auto"/>
            <w:left w:val="none" w:sz="0" w:space="0" w:color="auto"/>
            <w:bottom w:val="none" w:sz="0" w:space="0" w:color="auto"/>
            <w:right w:val="none" w:sz="0" w:space="0" w:color="auto"/>
          </w:divBdr>
        </w:div>
        <w:div w:id="677538047">
          <w:marLeft w:val="640"/>
          <w:marRight w:val="0"/>
          <w:marTop w:val="0"/>
          <w:marBottom w:val="0"/>
          <w:divBdr>
            <w:top w:val="none" w:sz="0" w:space="0" w:color="auto"/>
            <w:left w:val="none" w:sz="0" w:space="0" w:color="auto"/>
            <w:bottom w:val="none" w:sz="0" w:space="0" w:color="auto"/>
            <w:right w:val="none" w:sz="0" w:space="0" w:color="auto"/>
          </w:divBdr>
        </w:div>
        <w:div w:id="533076880">
          <w:marLeft w:val="640"/>
          <w:marRight w:val="0"/>
          <w:marTop w:val="0"/>
          <w:marBottom w:val="0"/>
          <w:divBdr>
            <w:top w:val="none" w:sz="0" w:space="0" w:color="auto"/>
            <w:left w:val="none" w:sz="0" w:space="0" w:color="auto"/>
            <w:bottom w:val="none" w:sz="0" w:space="0" w:color="auto"/>
            <w:right w:val="none" w:sz="0" w:space="0" w:color="auto"/>
          </w:divBdr>
        </w:div>
        <w:div w:id="2061246726">
          <w:marLeft w:val="640"/>
          <w:marRight w:val="0"/>
          <w:marTop w:val="0"/>
          <w:marBottom w:val="0"/>
          <w:divBdr>
            <w:top w:val="none" w:sz="0" w:space="0" w:color="auto"/>
            <w:left w:val="none" w:sz="0" w:space="0" w:color="auto"/>
            <w:bottom w:val="none" w:sz="0" w:space="0" w:color="auto"/>
            <w:right w:val="none" w:sz="0" w:space="0" w:color="auto"/>
          </w:divBdr>
        </w:div>
        <w:div w:id="133720821">
          <w:marLeft w:val="640"/>
          <w:marRight w:val="0"/>
          <w:marTop w:val="0"/>
          <w:marBottom w:val="0"/>
          <w:divBdr>
            <w:top w:val="none" w:sz="0" w:space="0" w:color="auto"/>
            <w:left w:val="none" w:sz="0" w:space="0" w:color="auto"/>
            <w:bottom w:val="none" w:sz="0" w:space="0" w:color="auto"/>
            <w:right w:val="none" w:sz="0" w:space="0" w:color="auto"/>
          </w:divBdr>
        </w:div>
        <w:div w:id="1571190567">
          <w:marLeft w:val="640"/>
          <w:marRight w:val="0"/>
          <w:marTop w:val="0"/>
          <w:marBottom w:val="0"/>
          <w:divBdr>
            <w:top w:val="none" w:sz="0" w:space="0" w:color="auto"/>
            <w:left w:val="none" w:sz="0" w:space="0" w:color="auto"/>
            <w:bottom w:val="none" w:sz="0" w:space="0" w:color="auto"/>
            <w:right w:val="none" w:sz="0" w:space="0" w:color="auto"/>
          </w:divBdr>
        </w:div>
        <w:div w:id="1279414638">
          <w:marLeft w:val="640"/>
          <w:marRight w:val="0"/>
          <w:marTop w:val="0"/>
          <w:marBottom w:val="0"/>
          <w:divBdr>
            <w:top w:val="none" w:sz="0" w:space="0" w:color="auto"/>
            <w:left w:val="none" w:sz="0" w:space="0" w:color="auto"/>
            <w:bottom w:val="none" w:sz="0" w:space="0" w:color="auto"/>
            <w:right w:val="none" w:sz="0" w:space="0" w:color="auto"/>
          </w:divBdr>
        </w:div>
        <w:div w:id="2141533755">
          <w:marLeft w:val="640"/>
          <w:marRight w:val="0"/>
          <w:marTop w:val="0"/>
          <w:marBottom w:val="0"/>
          <w:divBdr>
            <w:top w:val="none" w:sz="0" w:space="0" w:color="auto"/>
            <w:left w:val="none" w:sz="0" w:space="0" w:color="auto"/>
            <w:bottom w:val="none" w:sz="0" w:space="0" w:color="auto"/>
            <w:right w:val="none" w:sz="0" w:space="0" w:color="auto"/>
          </w:divBdr>
        </w:div>
        <w:div w:id="180356652">
          <w:marLeft w:val="640"/>
          <w:marRight w:val="0"/>
          <w:marTop w:val="0"/>
          <w:marBottom w:val="0"/>
          <w:divBdr>
            <w:top w:val="none" w:sz="0" w:space="0" w:color="auto"/>
            <w:left w:val="none" w:sz="0" w:space="0" w:color="auto"/>
            <w:bottom w:val="none" w:sz="0" w:space="0" w:color="auto"/>
            <w:right w:val="none" w:sz="0" w:space="0" w:color="auto"/>
          </w:divBdr>
        </w:div>
        <w:div w:id="1127507217">
          <w:marLeft w:val="640"/>
          <w:marRight w:val="0"/>
          <w:marTop w:val="0"/>
          <w:marBottom w:val="0"/>
          <w:divBdr>
            <w:top w:val="none" w:sz="0" w:space="0" w:color="auto"/>
            <w:left w:val="none" w:sz="0" w:space="0" w:color="auto"/>
            <w:bottom w:val="none" w:sz="0" w:space="0" w:color="auto"/>
            <w:right w:val="none" w:sz="0" w:space="0" w:color="auto"/>
          </w:divBdr>
        </w:div>
        <w:div w:id="1469712145">
          <w:marLeft w:val="640"/>
          <w:marRight w:val="0"/>
          <w:marTop w:val="0"/>
          <w:marBottom w:val="0"/>
          <w:divBdr>
            <w:top w:val="none" w:sz="0" w:space="0" w:color="auto"/>
            <w:left w:val="none" w:sz="0" w:space="0" w:color="auto"/>
            <w:bottom w:val="none" w:sz="0" w:space="0" w:color="auto"/>
            <w:right w:val="none" w:sz="0" w:space="0" w:color="auto"/>
          </w:divBdr>
        </w:div>
        <w:div w:id="536696140">
          <w:marLeft w:val="640"/>
          <w:marRight w:val="0"/>
          <w:marTop w:val="0"/>
          <w:marBottom w:val="0"/>
          <w:divBdr>
            <w:top w:val="none" w:sz="0" w:space="0" w:color="auto"/>
            <w:left w:val="none" w:sz="0" w:space="0" w:color="auto"/>
            <w:bottom w:val="none" w:sz="0" w:space="0" w:color="auto"/>
            <w:right w:val="none" w:sz="0" w:space="0" w:color="auto"/>
          </w:divBdr>
        </w:div>
        <w:div w:id="1563056043">
          <w:marLeft w:val="640"/>
          <w:marRight w:val="0"/>
          <w:marTop w:val="0"/>
          <w:marBottom w:val="0"/>
          <w:divBdr>
            <w:top w:val="none" w:sz="0" w:space="0" w:color="auto"/>
            <w:left w:val="none" w:sz="0" w:space="0" w:color="auto"/>
            <w:bottom w:val="none" w:sz="0" w:space="0" w:color="auto"/>
            <w:right w:val="none" w:sz="0" w:space="0" w:color="auto"/>
          </w:divBdr>
        </w:div>
        <w:div w:id="1257859734">
          <w:marLeft w:val="640"/>
          <w:marRight w:val="0"/>
          <w:marTop w:val="0"/>
          <w:marBottom w:val="0"/>
          <w:divBdr>
            <w:top w:val="none" w:sz="0" w:space="0" w:color="auto"/>
            <w:left w:val="none" w:sz="0" w:space="0" w:color="auto"/>
            <w:bottom w:val="none" w:sz="0" w:space="0" w:color="auto"/>
            <w:right w:val="none" w:sz="0" w:space="0" w:color="auto"/>
          </w:divBdr>
        </w:div>
        <w:div w:id="705910365">
          <w:marLeft w:val="640"/>
          <w:marRight w:val="0"/>
          <w:marTop w:val="0"/>
          <w:marBottom w:val="0"/>
          <w:divBdr>
            <w:top w:val="none" w:sz="0" w:space="0" w:color="auto"/>
            <w:left w:val="none" w:sz="0" w:space="0" w:color="auto"/>
            <w:bottom w:val="none" w:sz="0" w:space="0" w:color="auto"/>
            <w:right w:val="none" w:sz="0" w:space="0" w:color="auto"/>
          </w:divBdr>
        </w:div>
        <w:div w:id="1564872925">
          <w:marLeft w:val="640"/>
          <w:marRight w:val="0"/>
          <w:marTop w:val="0"/>
          <w:marBottom w:val="0"/>
          <w:divBdr>
            <w:top w:val="none" w:sz="0" w:space="0" w:color="auto"/>
            <w:left w:val="none" w:sz="0" w:space="0" w:color="auto"/>
            <w:bottom w:val="none" w:sz="0" w:space="0" w:color="auto"/>
            <w:right w:val="none" w:sz="0" w:space="0" w:color="auto"/>
          </w:divBdr>
        </w:div>
        <w:div w:id="1868789533">
          <w:marLeft w:val="640"/>
          <w:marRight w:val="0"/>
          <w:marTop w:val="0"/>
          <w:marBottom w:val="0"/>
          <w:divBdr>
            <w:top w:val="none" w:sz="0" w:space="0" w:color="auto"/>
            <w:left w:val="none" w:sz="0" w:space="0" w:color="auto"/>
            <w:bottom w:val="none" w:sz="0" w:space="0" w:color="auto"/>
            <w:right w:val="none" w:sz="0" w:space="0" w:color="auto"/>
          </w:divBdr>
        </w:div>
        <w:div w:id="846410607">
          <w:marLeft w:val="640"/>
          <w:marRight w:val="0"/>
          <w:marTop w:val="0"/>
          <w:marBottom w:val="0"/>
          <w:divBdr>
            <w:top w:val="none" w:sz="0" w:space="0" w:color="auto"/>
            <w:left w:val="none" w:sz="0" w:space="0" w:color="auto"/>
            <w:bottom w:val="none" w:sz="0" w:space="0" w:color="auto"/>
            <w:right w:val="none" w:sz="0" w:space="0" w:color="auto"/>
          </w:divBdr>
        </w:div>
        <w:div w:id="1196625469">
          <w:marLeft w:val="640"/>
          <w:marRight w:val="0"/>
          <w:marTop w:val="0"/>
          <w:marBottom w:val="0"/>
          <w:divBdr>
            <w:top w:val="none" w:sz="0" w:space="0" w:color="auto"/>
            <w:left w:val="none" w:sz="0" w:space="0" w:color="auto"/>
            <w:bottom w:val="none" w:sz="0" w:space="0" w:color="auto"/>
            <w:right w:val="none" w:sz="0" w:space="0" w:color="auto"/>
          </w:divBdr>
        </w:div>
        <w:div w:id="1326787756">
          <w:marLeft w:val="640"/>
          <w:marRight w:val="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41852562">
      <w:bodyDiv w:val="1"/>
      <w:marLeft w:val="0"/>
      <w:marRight w:val="0"/>
      <w:marTop w:val="0"/>
      <w:marBottom w:val="0"/>
      <w:divBdr>
        <w:top w:val="none" w:sz="0" w:space="0" w:color="auto"/>
        <w:left w:val="none" w:sz="0" w:space="0" w:color="auto"/>
        <w:bottom w:val="none" w:sz="0" w:space="0" w:color="auto"/>
        <w:right w:val="none" w:sz="0" w:space="0" w:color="auto"/>
      </w:divBdr>
      <w:divsChild>
        <w:div w:id="196090509">
          <w:marLeft w:val="640"/>
          <w:marRight w:val="0"/>
          <w:marTop w:val="0"/>
          <w:marBottom w:val="0"/>
          <w:divBdr>
            <w:top w:val="none" w:sz="0" w:space="0" w:color="auto"/>
            <w:left w:val="none" w:sz="0" w:space="0" w:color="auto"/>
            <w:bottom w:val="none" w:sz="0" w:space="0" w:color="auto"/>
            <w:right w:val="none" w:sz="0" w:space="0" w:color="auto"/>
          </w:divBdr>
        </w:div>
        <w:div w:id="847909088">
          <w:marLeft w:val="640"/>
          <w:marRight w:val="0"/>
          <w:marTop w:val="0"/>
          <w:marBottom w:val="0"/>
          <w:divBdr>
            <w:top w:val="none" w:sz="0" w:space="0" w:color="auto"/>
            <w:left w:val="none" w:sz="0" w:space="0" w:color="auto"/>
            <w:bottom w:val="none" w:sz="0" w:space="0" w:color="auto"/>
            <w:right w:val="none" w:sz="0" w:space="0" w:color="auto"/>
          </w:divBdr>
        </w:div>
        <w:div w:id="1678923773">
          <w:marLeft w:val="640"/>
          <w:marRight w:val="0"/>
          <w:marTop w:val="0"/>
          <w:marBottom w:val="0"/>
          <w:divBdr>
            <w:top w:val="none" w:sz="0" w:space="0" w:color="auto"/>
            <w:left w:val="none" w:sz="0" w:space="0" w:color="auto"/>
            <w:bottom w:val="none" w:sz="0" w:space="0" w:color="auto"/>
            <w:right w:val="none" w:sz="0" w:space="0" w:color="auto"/>
          </w:divBdr>
        </w:div>
        <w:div w:id="775096627">
          <w:marLeft w:val="640"/>
          <w:marRight w:val="0"/>
          <w:marTop w:val="0"/>
          <w:marBottom w:val="0"/>
          <w:divBdr>
            <w:top w:val="none" w:sz="0" w:space="0" w:color="auto"/>
            <w:left w:val="none" w:sz="0" w:space="0" w:color="auto"/>
            <w:bottom w:val="none" w:sz="0" w:space="0" w:color="auto"/>
            <w:right w:val="none" w:sz="0" w:space="0" w:color="auto"/>
          </w:divBdr>
        </w:div>
        <w:div w:id="2129084400">
          <w:marLeft w:val="640"/>
          <w:marRight w:val="0"/>
          <w:marTop w:val="0"/>
          <w:marBottom w:val="0"/>
          <w:divBdr>
            <w:top w:val="none" w:sz="0" w:space="0" w:color="auto"/>
            <w:left w:val="none" w:sz="0" w:space="0" w:color="auto"/>
            <w:bottom w:val="none" w:sz="0" w:space="0" w:color="auto"/>
            <w:right w:val="none" w:sz="0" w:space="0" w:color="auto"/>
          </w:divBdr>
        </w:div>
        <w:div w:id="1764841262">
          <w:marLeft w:val="640"/>
          <w:marRight w:val="0"/>
          <w:marTop w:val="0"/>
          <w:marBottom w:val="0"/>
          <w:divBdr>
            <w:top w:val="none" w:sz="0" w:space="0" w:color="auto"/>
            <w:left w:val="none" w:sz="0" w:space="0" w:color="auto"/>
            <w:bottom w:val="none" w:sz="0" w:space="0" w:color="auto"/>
            <w:right w:val="none" w:sz="0" w:space="0" w:color="auto"/>
          </w:divBdr>
        </w:div>
        <w:div w:id="759915482">
          <w:marLeft w:val="640"/>
          <w:marRight w:val="0"/>
          <w:marTop w:val="0"/>
          <w:marBottom w:val="0"/>
          <w:divBdr>
            <w:top w:val="none" w:sz="0" w:space="0" w:color="auto"/>
            <w:left w:val="none" w:sz="0" w:space="0" w:color="auto"/>
            <w:bottom w:val="none" w:sz="0" w:space="0" w:color="auto"/>
            <w:right w:val="none" w:sz="0" w:space="0" w:color="auto"/>
          </w:divBdr>
        </w:div>
        <w:div w:id="1488597679">
          <w:marLeft w:val="640"/>
          <w:marRight w:val="0"/>
          <w:marTop w:val="0"/>
          <w:marBottom w:val="0"/>
          <w:divBdr>
            <w:top w:val="none" w:sz="0" w:space="0" w:color="auto"/>
            <w:left w:val="none" w:sz="0" w:space="0" w:color="auto"/>
            <w:bottom w:val="none" w:sz="0" w:space="0" w:color="auto"/>
            <w:right w:val="none" w:sz="0" w:space="0" w:color="auto"/>
          </w:divBdr>
        </w:div>
        <w:div w:id="1869223804">
          <w:marLeft w:val="640"/>
          <w:marRight w:val="0"/>
          <w:marTop w:val="0"/>
          <w:marBottom w:val="0"/>
          <w:divBdr>
            <w:top w:val="none" w:sz="0" w:space="0" w:color="auto"/>
            <w:left w:val="none" w:sz="0" w:space="0" w:color="auto"/>
            <w:bottom w:val="none" w:sz="0" w:space="0" w:color="auto"/>
            <w:right w:val="none" w:sz="0" w:space="0" w:color="auto"/>
          </w:divBdr>
        </w:div>
        <w:div w:id="1978143227">
          <w:marLeft w:val="640"/>
          <w:marRight w:val="0"/>
          <w:marTop w:val="0"/>
          <w:marBottom w:val="0"/>
          <w:divBdr>
            <w:top w:val="none" w:sz="0" w:space="0" w:color="auto"/>
            <w:left w:val="none" w:sz="0" w:space="0" w:color="auto"/>
            <w:bottom w:val="none" w:sz="0" w:space="0" w:color="auto"/>
            <w:right w:val="none" w:sz="0" w:space="0" w:color="auto"/>
          </w:divBdr>
        </w:div>
        <w:div w:id="1475562953">
          <w:marLeft w:val="640"/>
          <w:marRight w:val="0"/>
          <w:marTop w:val="0"/>
          <w:marBottom w:val="0"/>
          <w:divBdr>
            <w:top w:val="none" w:sz="0" w:space="0" w:color="auto"/>
            <w:left w:val="none" w:sz="0" w:space="0" w:color="auto"/>
            <w:bottom w:val="none" w:sz="0" w:space="0" w:color="auto"/>
            <w:right w:val="none" w:sz="0" w:space="0" w:color="auto"/>
          </w:divBdr>
        </w:div>
        <w:div w:id="971209672">
          <w:marLeft w:val="640"/>
          <w:marRight w:val="0"/>
          <w:marTop w:val="0"/>
          <w:marBottom w:val="0"/>
          <w:divBdr>
            <w:top w:val="none" w:sz="0" w:space="0" w:color="auto"/>
            <w:left w:val="none" w:sz="0" w:space="0" w:color="auto"/>
            <w:bottom w:val="none" w:sz="0" w:space="0" w:color="auto"/>
            <w:right w:val="none" w:sz="0" w:space="0" w:color="auto"/>
          </w:divBdr>
        </w:div>
        <w:div w:id="1269971864">
          <w:marLeft w:val="640"/>
          <w:marRight w:val="0"/>
          <w:marTop w:val="0"/>
          <w:marBottom w:val="0"/>
          <w:divBdr>
            <w:top w:val="none" w:sz="0" w:space="0" w:color="auto"/>
            <w:left w:val="none" w:sz="0" w:space="0" w:color="auto"/>
            <w:bottom w:val="none" w:sz="0" w:space="0" w:color="auto"/>
            <w:right w:val="none" w:sz="0" w:space="0" w:color="auto"/>
          </w:divBdr>
        </w:div>
        <w:div w:id="1182547140">
          <w:marLeft w:val="640"/>
          <w:marRight w:val="0"/>
          <w:marTop w:val="0"/>
          <w:marBottom w:val="0"/>
          <w:divBdr>
            <w:top w:val="none" w:sz="0" w:space="0" w:color="auto"/>
            <w:left w:val="none" w:sz="0" w:space="0" w:color="auto"/>
            <w:bottom w:val="none" w:sz="0" w:space="0" w:color="auto"/>
            <w:right w:val="none" w:sz="0" w:space="0" w:color="auto"/>
          </w:divBdr>
        </w:div>
        <w:div w:id="1069964888">
          <w:marLeft w:val="640"/>
          <w:marRight w:val="0"/>
          <w:marTop w:val="0"/>
          <w:marBottom w:val="0"/>
          <w:divBdr>
            <w:top w:val="none" w:sz="0" w:space="0" w:color="auto"/>
            <w:left w:val="none" w:sz="0" w:space="0" w:color="auto"/>
            <w:bottom w:val="none" w:sz="0" w:space="0" w:color="auto"/>
            <w:right w:val="none" w:sz="0" w:space="0" w:color="auto"/>
          </w:divBdr>
        </w:div>
        <w:div w:id="107896624">
          <w:marLeft w:val="640"/>
          <w:marRight w:val="0"/>
          <w:marTop w:val="0"/>
          <w:marBottom w:val="0"/>
          <w:divBdr>
            <w:top w:val="none" w:sz="0" w:space="0" w:color="auto"/>
            <w:left w:val="none" w:sz="0" w:space="0" w:color="auto"/>
            <w:bottom w:val="none" w:sz="0" w:space="0" w:color="auto"/>
            <w:right w:val="none" w:sz="0" w:space="0" w:color="auto"/>
          </w:divBdr>
        </w:div>
        <w:div w:id="1256279732">
          <w:marLeft w:val="640"/>
          <w:marRight w:val="0"/>
          <w:marTop w:val="0"/>
          <w:marBottom w:val="0"/>
          <w:divBdr>
            <w:top w:val="none" w:sz="0" w:space="0" w:color="auto"/>
            <w:left w:val="none" w:sz="0" w:space="0" w:color="auto"/>
            <w:bottom w:val="none" w:sz="0" w:space="0" w:color="auto"/>
            <w:right w:val="none" w:sz="0" w:space="0" w:color="auto"/>
          </w:divBdr>
        </w:div>
        <w:div w:id="2105219385">
          <w:marLeft w:val="640"/>
          <w:marRight w:val="0"/>
          <w:marTop w:val="0"/>
          <w:marBottom w:val="0"/>
          <w:divBdr>
            <w:top w:val="none" w:sz="0" w:space="0" w:color="auto"/>
            <w:left w:val="none" w:sz="0" w:space="0" w:color="auto"/>
            <w:bottom w:val="none" w:sz="0" w:space="0" w:color="auto"/>
            <w:right w:val="none" w:sz="0" w:space="0" w:color="auto"/>
          </w:divBdr>
        </w:div>
        <w:div w:id="667288730">
          <w:marLeft w:val="640"/>
          <w:marRight w:val="0"/>
          <w:marTop w:val="0"/>
          <w:marBottom w:val="0"/>
          <w:divBdr>
            <w:top w:val="none" w:sz="0" w:space="0" w:color="auto"/>
            <w:left w:val="none" w:sz="0" w:space="0" w:color="auto"/>
            <w:bottom w:val="none" w:sz="0" w:space="0" w:color="auto"/>
            <w:right w:val="none" w:sz="0" w:space="0" w:color="auto"/>
          </w:divBdr>
        </w:div>
        <w:div w:id="498540569">
          <w:marLeft w:val="640"/>
          <w:marRight w:val="0"/>
          <w:marTop w:val="0"/>
          <w:marBottom w:val="0"/>
          <w:divBdr>
            <w:top w:val="none" w:sz="0" w:space="0" w:color="auto"/>
            <w:left w:val="none" w:sz="0" w:space="0" w:color="auto"/>
            <w:bottom w:val="none" w:sz="0" w:space="0" w:color="auto"/>
            <w:right w:val="none" w:sz="0" w:space="0" w:color="auto"/>
          </w:divBdr>
        </w:div>
        <w:div w:id="2022050218">
          <w:marLeft w:val="640"/>
          <w:marRight w:val="0"/>
          <w:marTop w:val="0"/>
          <w:marBottom w:val="0"/>
          <w:divBdr>
            <w:top w:val="none" w:sz="0" w:space="0" w:color="auto"/>
            <w:left w:val="none" w:sz="0" w:space="0" w:color="auto"/>
            <w:bottom w:val="none" w:sz="0" w:space="0" w:color="auto"/>
            <w:right w:val="none" w:sz="0" w:space="0" w:color="auto"/>
          </w:divBdr>
        </w:div>
        <w:div w:id="1510874089">
          <w:marLeft w:val="640"/>
          <w:marRight w:val="0"/>
          <w:marTop w:val="0"/>
          <w:marBottom w:val="0"/>
          <w:divBdr>
            <w:top w:val="none" w:sz="0" w:space="0" w:color="auto"/>
            <w:left w:val="none" w:sz="0" w:space="0" w:color="auto"/>
            <w:bottom w:val="none" w:sz="0" w:space="0" w:color="auto"/>
            <w:right w:val="none" w:sz="0" w:space="0" w:color="auto"/>
          </w:divBdr>
        </w:div>
        <w:div w:id="1070735747">
          <w:marLeft w:val="640"/>
          <w:marRight w:val="0"/>
          <w:marTop w:val="0"/>
          <w:marBottom w:val="0"/>
          <w:divBdr>
            <w:top w:val="none" w:sz="0" w:space="0" w:color="auto"/>
            <w:left w:val="none" w:sz="0" w:space="0" w:color="auto"/>
            <w:bottom w:val="none" w:sz="0" w:space="0" w:color="auto"/>
            <w:right w:val="none" w:sz="0" w:space="0" w:color="auto"/>
          </w:divBdr>
        </w:div>
        <w:div w:id="1056781088">
          <w:marLeft w:val="640"/>
          <w:marRight w:val="0"/>
          <w:marTop w:val="0"/>
          <w:marBottom w:val="0"/>
          <w:divBdr>
            <w:top w:val="none" w:sz="0" w:space="0" w:color="auto"/>
            <w:left w:val="none" w:sz="0" w:space="0" w:color="auto"/>
            <w:bottom w:val="none" w:sz="0" w:space="0" w:color="auto"/>
            <w:right w:val="none" w:sz="0" w:space="0" w:color="auto"/>
          </w:divBdr>
        </w:div>
        <w:div w:id="1465657359">
          <w:marLeft w:val="640"/>
          <w:marRight w:val="0"/>
          <w:marTop w:val="0"/>
          <w:marBottom w:val="0"/>
          <w:divBdr>
            <w:top w:val="none" w:sz="0" w:space="0" w:color="auto"/>
            <w:left w:val="none" w:sz="0" w:space="0" w:color="auto"/>
            <w:bottom w:val="none" w:sz="0" w:space="0" w:color="auto"/>
            <w:right w:val="none" w:sz="0" w:space="0" w:color="auto"/>
          </w:divBdr>
        </w:div>
        <w:div w:id="1426072207">
          <w:marLeft w:val="640"/>
          <w:marRight w:val="0"/>
          <w:marTop w:val="0"/>
          <w:marBottom w:val="0"/>
          <w:divBdr>
            <w:top w:val="none" w:sz="0" w:space="0" w:color="auto"/>
            <w:left w:val="none" w:sz="0" w:space="0" w:color="auto"/>
            <w:bottom w:val="none" w:sz="0" w:space="0" w:color="auto"/>
            <w:right w:val="none" w:sz="0" w:space="0" w:color="auto"/>
          </w:divBdr>
        </w:div>
        <w:div w:id="1609509107">
          <w:marLeft w:val="640"/>
          <w:marRight w:val="0"/>
          <w:marTop w:val="0"/>
          <w:marBottom w:val="0"/>
          <w:divBdr>
            <w:top w:val="none" w:sz="0" w:space="0" w:color="auto"/>
            <w:left w:val="none" w:sz="0" w:space="0" w:color="auto"/>
            <w:bottom w:val="none" w:sz="0" w:space="0" w:color="auto"/>
            <w:right w:val="none" w:sz="0" w:space="0" w:color="auto"/>
          </w:divBdr>
        </w:div>
        <w:div w:id="2512090">
          <w:marLeft w:val="640"/>
          <w:marRight w:val="0"/>
          <w:marTop w:val="0"/>
          <w:marBottom w:val="0"/>
          <w:divBdr>
            <w:top w:val="none" w:sz="0" w:space="0" w:color="auto"/>
            <w:left w:val="none" w:sz="0" w:space="0" w:color="auto"/>
            <w:bottom w:val="none" w:sz="0" w:space="0" w:color="auto"/>
            <w:right w:val="none" w:sz="0" w:space="0" w:color="auto"/>
          </w:divBdr>
        </w:div>
        <w:div w:id="1413774543">
          <w:marLeft w:val="640"/>
          <w:marRight w:val="0"/>
          <w:marTop w:val="0"/>
          <w:marBottom w:val="0"/>
          <w:divBdr>
            <w:top w:val="none" w:sz="0" w:space="0" w:color="auto"/>
            <w:left w:val="none" w:sz="0" w:space="0" w:color="auto"/>
            <w:bottom w:val="none" w:sz="0" w:space="0" w:color="auto"/>
            <w:right w:val="none" w:sz="0" w:space="0" w:color="auto"/>
          </w:divBdr>
        </w:div>
        <w:div w:id="1201892164">
          <w:marLeft w:val="640"/>
          <w:marRight w:val="0"/>
          <w:marTop w:val="0"/>
          <w:marBottom w:val="0"/>
          <w:divBdr>
            <w:top w:val="none" w:sz="0" w:space="0" w:color="auto"/>
            <w:left w:val="none" w:sz="0" w:space="0" w:color="auto"/>
            <w:bottom w:val="none" w:sz="0" w:space="0" w:color="auto"/>
            <w:right w:val="none" w:sz="0" w:space="0" w:color="auto"/>
          </w:divBdr>
        </w:div>
        <w:div w:id="1090657192">
          <w:marLeft w:val="640"/>
          <w:marRight w:val="0"/>
          <w:marTop w:val="0"/>
          <w:marBottom w:val="0"/>
          <w:divBdr>
            <w:top w:val="none" w:sz="0" w:space="0" w:color="auto"/>
            <w:left w:val="none" w:sz="0" w:space="0" w:color="auto"/>
            <w:bottom w:val="none" w:sz="0" w:space="0" w:color="auto"/>
            <w:right w:val="none" w:sz="0" w:space="0" w:color="auto"/>
          </w:divBdr>
        </w:div>
        <w:div w:id="202712186">
          <w:marLeft w:val="640"/>
          <w:marRight w:val="0"/>
          <w:marTop w:val="0"/>
          <w:marBottom w:val="0"/>
          <w:divBdr>
            <w:top w:val="none" w:sz="0" w:space="0" w:color="auto"/>
            <w:left w:val="none" w:sz="0" w:space="0" w:color="auto"/>
            <w:bottom w:val="none" w:sz="0" w:space="0" w:color="auto"/>
            <w:right w:val="none" w:sz="0" w:space="0" w:color="auto"/>
          </w:divBdr>
        </w:div>
        <w:div w:id="1706561931">
          <w:marLeft w:val="640"/>
          <w:marRight w:val="0"/>
          <w:marTop w:val="0"/>
          <w:marBottom w:val="0"/>
          <w:divBdr>
            <w:top w:val="none" w:sz="0" w:space="0" w:color="auto"/>
            <w:left w:val="none" w:sz="0" w:space="0" w:color="auto"/>
            <w:bottom w:val="none" w:sz="0" w:space="0" w:color="auto"/>
            <w:right w:val="none" w:sz="0" w:space="0" w:color="auto"/>
          </w:divBdr>
        </w:div>
        <w:div w:id="306473887">
          <w:marLeft w:val="640"/>
          <w:marRight w:val="0"/>
          <w:marTop w:val="0"/>
          <w:marBottom w:val="0"/>
          <w:divBdr>
            <w:top w:val="none" w:sz="0" w:space="0" w:color="auto"/>
            <w:left w:val="none" w:sz="0" w:space="0" w:color="auto"/>
            <w:bottom w:val="none" w:sz="0" w:space="0" w:color="auto"/>
            <w:right w:val="none" w:sz="0" w:space="0" w:color="auto"/>
          </w:divBdr>
        </w:div>
        <w:div w:id="1835491247">
          <w:marLeft w:val="640"/>
          <w:marRight w:val="0"/>
          <w:marTop w:val="0"/>
          <w:marBottom w:val="0"/>
          <w:divBdr>
            <w:top w:val="none" w:sz="0" w:space="0" w:color="auto"/>
            <w:left w:val="none" w:sz="0" w:space="0" w:color="auto"/>
            <w:bottom w:val="none" w:sz="0" w:space="0" w:color="auto"/>
            <w:right w:val="none" w:sz="0" w:space="0" w:color="auto"/>
          </w:divBdr>
        </w:div>
        <w:div w:id="1408722138">
          <w:marLeft w:val="640"/>
          <w:marRight w:val="0"/>
          <w:marTop w:val="0"/>
          <w:marBottom w:val="0"/>
          <w:divBdr>
            <w:top w:val="none" w:sz="0" w:space="0" w:color="auto"/>
            <w:left w:val="none" w:sz="0" w:space="0" w:color="auto"/>
            <w:bottom w:val="none" w:sz="0" w:space="0" w:color="auto"/>
            <w:right w:val="none" w:sz="0" w:space="0" w:color="auto"/>
          </w:divBdr>
        </w:div>
        <w:div w:id="583538045">
          <w:marLeft w:val="640"/>
          <w:marRight w:val="0"/>
          <w:marTop w:val="0"/>
          <w:marBottom w:val="0"/>
          <w:divBdr>
            <w:top w:val="none" w:sz="0" w:space="0" w:color="auto"/>
            <w:left w:val="none" w:sz="0" w:space="0" w:color="auto"/>
            <w:bottom w:val="none" w:sz="0" w:space="0" w:color="auto"/>
            <w:right w:val="none" w:sz="0" w:space="0" w:color="auto"/>
          </w:divBdr>
        </w:div>
        <w:div w:id="2019187788">
          <w:marLeft w:val="640"/>
          <w:marRight w:val="0"/>
          <w:marTop w:val="0"/>
          <w:marBottom w:val="0"/>
          <w:divBdr>
            <w:top w:val="none" w:sz="0" w:space="0" w:color="auto"/>
            <w:left w:val="none" w:sz="0" w:space="0" w:color="auto"/>
            <w:bottom w:val="none" w:sz="0" w:space="0" w:color="auto"/>
            <w:right w:val="none" w:sz="0" w:space="0" w:color="auto"/>
          </w:divBdr>
        </w:div>
        <w:div w:id="2002803956">
          <w:marLeft w:val="640"/>
          <w:marRight w:val="0"/>
          <w:marTop w:val="0"/>
          <w:marBottom w:val="0"/>
          <w:divBdr>
            <w:top w:val="none" w:sz="0" w:space="0" w:color="auto"/>
            <w:left w:val="none" w:sz="0" w:space="0" w:color="auto"/>
            <w:bottom w:val="none" w:sz="0" w:space="0" w:color="auto"/>
            <w:right w:val="none" w:sz="0" w:space="0" w:color="auto"/>
          </w:divBdr>
        </w:div>
        <w:div w:id="318462223">
          <w:marLeft w:val="640"/>
          <w:marRight w:val="0"/>
          <w:marTop w:val="0"/>
          <w:marBottom w:val="0"/>
          <w:divBdr>
            <w:top w:val="none" w:sz="0" w:space="0" w:color="auto"/>
            <w:left w:val="none" w:sz="0" w:space="0" w:color="auto"/>
            <w:bottom w:val="none" w:sz="0" w:space="0" w:color="auto"/>
            <w:right w:val="none" w:sz="0" w:space="0" w:color="auto"/>
          </w:divBdr>
        </w:div>
        <w:div w:id="723723916">
          <w:marLeft w:val="640"/>
          <w:marRight w:val="0"/>
          <w:marTop w:val="0"/>
          <w:marBottom w:val="0"/>
          <w:divBdr>
            <w:top w:val="none" w:sz="0" w:space="0" w:color="auto"/>
            <w:left w:val="none" w:sz="0" w:space="0" w:color="auto"/>
            <w:bottom w:val="none" w:sz="0" w:space="0" w:color="auto"/>
            <w:right w:val="none" w:sz="0" w:space="0" w:color="auto"/>
          </w:divBdr>
        </w:div>
        <w:div w:id="1669671473">
          <w:marLeft w:val="640"/>
          <w:marRight w:val="0"/>
          <w:marTop w:val="0"/>
          <w:marBottom w:val="0"/>
          <w:divBdr>
            <w:top w:val="none" w:sz="0" w:space="0" w:color="auto"/>
            <w:left w:val="none" w:sz="0" w:space="0" w:color="auto"/>
            <w:bottom w:val="none" w:sz="0" w:space="0" w:color="auto"/>
            <w:right w:val="none" w:sz="0" w:space="0" w:color="auto"/>
          </w:divBdr>
        </w:div>
        <w:div w:id="616838102">
          <w:marLeft w:val="640"/>
          <w:marRight w:val="0"/>
          <w:marTop w:val="0"/>
          <w:marBottom w:val="0"/>
          <w:divBdr>
            <w:top w:val="none" w:sz="0" w:space="0" w:color="auto"/>
            <w:left w:val="none" w:sz="0" w:space="0" w:color="auto"/>
            <w:bottom w:val="none" w:sz="0" w:space="0" w:color="auto"/>
            <w:right w:val="none" w:sz="0" w:space="0" w:color="auto"/>
          </w:divBdr>
        </w:div>
        <w:div w:id="592670562">
          <w:marLeft w:val="640"/>
          <w:marRight w:val="0"/>
          <w:marTop w:val="0"/>
          <w:marBottom w:val="0"/>
          <w:divBdr>
            <w:top w:val="none" w:sz="0" w:space="0" w:color="auto"/>
            <w:left w:val="none" w:sz="0" w:space="0" w:color="auto"/>
            <w:bottom w:val="none" w:sz="0" w:space="0" w:color="auto"/>
            <w:right w:val="none" w:sz="0" w:space="0" w:color="auto"/>
          </w:divBdr>
        </w:div>
        <w:div w:id="578831969">
          <w:marLeft w:val="640"/>
          <w:marRight w:val="0"/>
          <w:marTop w:val="0"/>
          <w:marBottom w:val="0"/>
          <w:divBdr>
            <w:top w:val="none" w:sz="0" w:space="0" w:color="auto"/>
            <w:left w:val="none" w:sz="0" w:space="0" w:color="auto"/>
            <w:bottom w:val="none" w:sz="0" w:space="0" w:color="auto"/>
            <w:right w:val="none" w:sz="0" w:space="0" w:color="auto"/>
          </w:divBdr>
        </w:div>
        <w:div w:id="40443581">
          <w:marLeft w:val="640"/>
          <w:marRight w:val="0"/>
          <w:marTop w:val="0"/>
          <w:marBottom w:val="0"/>
          <w:divBdr>
            <w:top w:val="none" w:sz="0" w:space="0" w:color="auto"/>
            <w:left w:val="none" w:sz="0" w:space="0" w:color="auto"/>
            <w:bottom w:val="none" w:sz="0" w:space="0" w:color="auto"/>
            <w:right w:val="none" w:sz="0" w:space="0" w:color="auto"/>
          </w:divBdr>
        </w:div>
        <w:div w:id="1275400467">
          <w:marLeft w:val="640"/>
          <w:marRight w:val="0"/>
          <w:marTop w:val="0"/>
          <w:marBottom w:val="0"/>
          <w:divBdr>
            <w:top w:val="none" w:sz="0" w:space="0" w:color="auto"/>
            <w:left w:val="none" w:sz="0" w:space="0" w:color="auto"/>
            <w:bottom w:val="none" w:sz="0" w:space="0" w:color="auto"/>
            <w:right w:val="none" w:sz="0" w:space="0" w:color="auto"/>
          </w:divBdr>
        </w:div>
        <w:div w:id="156111922">
          <w:marLeft w:val="640"/>
          <w:marRight w:val="0"/>
          <w:marTop w:val="0"/>
          <w:marBottom w:val="0"/>
          <w:divBdr>
            <w:top w:val="none" w:sz="0" w:space="0" w:color="auto"/>
            <w:left w:val="none" w:sz="0" w:space="0" w:color="auto"/>
            <w:bottom w:val="none" w:sz="0" w:space="0" w:color="auto"/>
            <w:right w:val="none" w:sz="0" w:space="0" w:color="auto"/>
          </w:divBdr>
        </w:div>
        <w:div w:id="1478374244">
          <w:marLeft w:val="640"/>
          <w:marRight w:val="0"/>
          <w:marTop w:val="0"/>
          <w:marBottom w:val="0"/>
          <w:divBdr>
            <w:top w:val="none" w:sz="0" w:space="0" w:color="auto"/>
            <w:left w:val="none" w:sz="0" w:space="0" w:color="auto"/>
            <w:bottom w:val="none" w:sz="0" w:space="0" w:color="auto"/>
            <w:right w:val="none" w:sz="0" w:space="0" w:color="auto"/>
          </w:divBdr>
        </w:div>
        <w:div w:id="208615433">
          <w:marLeft w:val="640"/>
          <w:marRight w:val="0"/>
          <w:marTop w:val="0"/>
          <w:marBottom w:val="0"/>
          <w:divBdr>
            <w:top w:val="none" w:sz="0" w:space="0" w:color="auto"/>
            <w:left w:val="none" w:sz="0" w:space="0" w:color="auto"/>
            <w:bottom w:val="none" w:sz="0" w:space="0" w:color="auto"/>
            <w:right w:val="none" w:sz="0" w:space="0" w:color="auto"/>
          </w:divBdr>
        </w:div>
        <w:div w:id="1412894393">
          <w:marLeft w:val="640"/>
          <w:marRight w:val="0"/>
          <w:marTop w:val="0"/>
          <w:marBottom w:val="0"/>
          <w:divBdr>
            <w:top w:val="none" w:sz="0" w:space="0" w:color="auto"/>
            <w:left w:val="none" w:sz="0" w:space="0" w:color="auto"/>
            <w:bottom w:val="none" w:sz="0" w:space="0" w:color="auto"/>
            <w:right w:val="none" w:sz="0" w:space="0" w:color="auto"/>
          </w:divBdr>
        </w:div>
        <w:div w:id="1551453767">
          <w:marLeft w:val="640"/>
          <w:marRight w:val="0"/>
          <w:marTop w:val="0"/>
          <w:marBottom w:val="0"/>
          <w:divBdr>
            <w:top w:val="none" w:sz="0" w:space="0" w:color="auto"/>
            <w:left w:val="none" w:sz="0" w:space="0" w:color="auto"/>
            <w:bottom w:val="none" w:sz="0" w:space="0" w:color="auto"/>
            <w:right w:val="none" w:sz="0" w:space="0" w:color="auto"/>
          </w:divBdr>
        </w:div>
        <w:div w:id="493566855">
          <w:marLeft w:val="640"/>
          <w:marRight w:val="0"/>
          <w:marTop w:val="0"/>
          <w:marBottom w:val="0"/>
          <w:divBdr>
            <w:top w:val="none" w:sz="0" w:space="0" w:color="auto"/>
            <w:left w:val="none" w:sz="0" w:space="0" w:color="auto"/>
            <w:bottom w:val="none" w:sz="0" w:space="0" w:color="auto"/>
            <w:right w:val="none" w:sz="0" w:space="0" w:color="auto"/>
          </w:divBdr>
        </w:div>
        <w:div w:id="1414009291">
          <w:marLeft w:val="640"/>
          <w:marRight w:val="0"/>
          <w:marTop w:val="0"/>
          <w:marBottom w:val="0"/>
          <w:divBdr>
            <w:top w:val="none" w:sz="0" w:space="0" w:color="auto"/>
            <w:left w:val="none" w:sz="0" w:space="0" w:color="auto"/>
            <w:bottom w:val="none" w:sz="0" w:space="0" w:color="auto"/>
            <w:right w:val="none" w:sz="0" w:space="0" w:color="auto"/>
          </w:divBdr>
        </w:div>
        <w:div w:id="783427816">
          <w:marLeft w:val="640"/>
          <w:marRight w:val="0"/>
          <w:marTop w:val="0"/>
          <w:marBottom w:val="0"/>
          <w:divBdr>
            <w:top w:val="none" w:sz="0" w:space="0" w:color="auto"/>
            <w:left w:val="none" w:sz="0" w:space="0" w:color="auto"/>
            <w:bottom w:val="none" w:sz="0" w:space="0" w:color="auto"/>
            <w:right w:val="none" w:sz="0" w:space="0" w:color="auto"/>
          </w:divBdr>
        </w:div>
        <w:div w:id="1939176803">
          <w:marLeft w:val="640"/>
          <w:marRight w:val="0"/>
          <w:marTop w:val="0"/>
          <w:marBottom w:val="0"/>
          <w:divBdr>
            <w:top w:val="none" w:sz="0" w:space="0" w:color="auto"/>
            <w:left w:val="none" w:sz="0" w:space="0" w:color="auto"/>
            <w:bottom w:val="none" w:sz="0" w:space="0" w:color="auto"/>
            <w:right w:val="none" w:sz="0" w:space="0" w:color="auto"/>
          </w:divBdr>
        </w:div>
        <w:div w:id="2113669336">
          <w:marLeft w:val="640"/>
          <w:marRight w:val="0"/>
          <w:marTop w:val="0"/>
          <w:marBottom w:val="0"/>
          <w:divBdr>
            <w:top w:val="none" w:sz="0" w:space="0" w:color="auto"/>
            <w:left w:val="none" w:sz="0" w:space="0" w:color="auto"/>
            <w:bottom w:val="none" w:sz="0" w:space="0" w:color="auto"/>
            <w:right w:val="none" w:sz="0" w:space="0" w:color="auto"/>
          </w:divBdr>
        </w:div>
        <w:div w:id="1451243972">
          <w:marLeft w:val="640"/>
          <w:marRight w:val="0"/>
          <w:marTop w:val="0"/>
          <w:marBottom w:val="0"/>
          <w:divBdr>
            <w:top w:val="none" w:sz="0" w:space="0" w:color="auto"/>
            <w:left w:val="none" w:sz="0" w:space="0" w:color="auto"/>
            <w:bottom w:val="none" w:sz="0" w:space="0" w:color="auto"/>
            <w:right w:val="none" w:sz="0" w:space="0" w:color="auto"/>
          </w:divBdr>
        </w:div>
        <w:div w:id="1041439879">
          <w:marLeft w:val="640"/>
          <w:marRight w:val="0"/>
          <w:marTop w:val="0"/>
          <w:marBottom w:val="0"/>
          <w:divBdr>
            <w:top w:val="none" w:sz="0" w:space="0" w:color="auto"/>
            <w:left w:val="none" w:sz="0" w:space="0" w:color="auto"/>
            <w:bottom w:val="none" w:sz="0" w:space="0" w:color="auto"/>
            <w:right w:val="none" w:sz="0" w:space="0" w:color="auto"/>
          </w:divBdr>
        </w:div>
        <w:div w:id="1784302212">
          <w:marLeft w:val="640"/>
          <w:marRight w:val="0"/>
          <w:marTop w:val="0"/>
          <w:marBottom w:val="0"/>
          <w:divBdr>
            <w:top w:val="none" w:sz="0" w:space="0" w:color="auto"/>
            <w:left w:val="none" w:sz="0" w:space="0" w:color="auto"/>
            <w:bottom w:val="none" w:sz="0" w:space="0" w:color="auto"/>
            <w:right w:val="none" w:sz="0" w:space="0" w:color="auto"/>
          </w:divBdr>
        </w:div>
        <w:div w:id="1491167532">
          <w:marLeft w:val="640"/>
          <w:marRight w:val="0"/>
          <w:marTop w:val="0"/>
          <w:marBottom w:val="0"/>
          <w:divBdr>
            <w:top w:val="none" w:sz="0" w:space="0" w:color="auto"/>
            <w:left w:val="none" w:sz="0" w:space="0" w:color="auto"/>
            <w:bottom w:val="none" w:sz="0" w:space="0" w:color="auto"/>
            <w:right w:val="none" w:sz="0" w:space="0" w:color="auto"/>
          </w:divBdr>
        </w:div>
        <w:div w:id="1883443970">
          <w:marLeft w:val="640"/>
          <w:marRight w:val="0"/>
          <w:marTop w:val="0"/>
          <w:marBottom w:val="0"/>
          <w:divBdr>
            <w:top w:val="none" w:sz="0" w:space="0" w:color="auto"/>
            <w:left w:val="none" w:sz="0" w:space="0" w:color="auto"/>
            <w:bottom w:val="none" w:sz="0" w:space="0" w:color="auto"/>
            <w:right w:val="none" w:sz="0" w:space="0" w:color="auto"/>
          </w:divBdr>
        </w:div>
        <w:div w:id="818228459">
          <w:marLeft w:val="640"/>
          <w:marRight w:val="0"/>
          <w:marTop w:val="0"/>
          <w:marBottom w:val="0"/>
          <w:divBdr>
            <w:top w:val="none" w:sz="0" w:space="0" w:color="auto"/>
            <w:left w:val="none" w:sz="0" w:space="0" w:color="auto"/>
            <w:bottom w:val="none" w:sz="0" w:space="0" w:color="auto"/>
            <w:right w:val="none" w:sz="0" w:space="0" w:color="auto"/>
          </w:divBdr>
        </w:div>
        <w:div w:id="1435126293">
          <w:marLeft w:val="640"/>
          <w:marRight w:val="0"/>
          <w:marTop w:val="0"/>
          <w:marBottom w:val="0"/>
          <w:divBdr>
            <w:top w:val="none" w:sz="0" w:space="0" w:color="auto"/>
            <w:left w:val="none" w:sz="0" w:space="0" w:color="auto"/>
            <w:bottom w:val="none" w:sz="0" w:space="0" w:color="auto"/>
            <w:right w:val="none" w:sz="0" w:space="0" w:color="auto"/>
          </w:divBdr>
        </w:div>
        <w:div w:id="526674440">
          <w:marLeft w:val="640"/>
          <w:marRight w:val="0"/>
          <w:marTop w:val="0"/>
          <w:marBottom w:val="0"/>
          <w:divBdr>
            <w:top w:val="none" w:sz="0" w:space="0" w:color="auto"/>
            <w:left w:val="none" w:sz="0" w:space="0" w:color="auto"/>
            <w:bottom w:val="none" w:sz="0" w:space="0" w:color="auto"/>
            <w:right w:val="none" w:sz="0" w:space="0" w:color="auto"/>
          </w:divBdr>
        </w:div>
        <w:div w:id="1628857212">
          <w:marLeft w:val="640"/>
          <w:marRight w:val="0"/>
          <w:marTop w:val="0"/>
          <w:marBottom w:val="0"/>
          <w:divBdr>
            <w:top w:val="none" w:sz="0" w:space="0" w:color="auto"/>
            <w:left w:val="none" w:sz="0" w:space="0" w:color="auto"/>
            <w:bottom w:val="none" w:sz="0" w:space="0" w:color="auto"/>
            <w:right w:val="none" w:sz="0" w:space="0" w:color="auto"/>
          </w:divBdr>
        </w:div>
        <w:div w:id="829100753">
          <w:marLeft w:val="640"/>
          <w:marRight w:val="0"/>
          <w:marTop w:val="0"/>
          <w:marBottom w:val="0"/>
          <w:divBdr>
            <w:top w:val="none" w:sz="0" w:space="0" w:color="auto"/>
            <w:left w:val="none" w:sz="0" w:space="0" w:color="auto"/>
            <w:bottom w:val="none" w:sz="0" w:space="0" w:color="auto"/>
            <w:right w:val="none" w:sz="0" w:space="0" w:color="auto"/>
          </w:divBdr>
        </w:div>
        <w:div w:id="1840533924">
          <w:marLeft w:val="640"/>
          <w:marRight w:val="0"/>
          <w:marTop w:val="0"/>
          <w:marBottom w:val="0"/>
          <w:divBdr>
            <w:top w:val="none" w:sz="0" w:space="0" w:color="auto"/>
            <w:left w:val="none" w:sz="0" w:space="0" w:color="auto"/>
            <w:bottom w:val="none" w:sz="0" w:space="0" w:color="auto"/>
            <w:right w:val="none" w:sz="0" w:space="0" w:color="auto"/>
          </w:divBdr>
        </w:div>
        <w:div w:id="461657658">
          <w:marLeft w:val="640"/>
          <w:marRight w:val="0"/>
          <w:marTop w:val="0"/>
          <w:marBottom w:val="0"/>
          <w:divBdr>
            <w:top w:val="none" w:sz="0" w:space="0" w:color="auto"/>
            <w:left w:val="none" w:sz="0" w:space="0" w:color="auto"/>
            <w:bottom w:val="none" w:sz="0" w:space="0" w:color="auto"/>
            <w:right w:val="none" w:sz="0" w:space="0" w:color="auto"/>
          </w:divBdr>
        </w:div>
        <w:div w:id="354504239">
          <w:marLeft w:val="640"/>
          <w:marRight w:val="0"/>
          <w:marTop w:val="0"/>
          <w:marBottom w:val="0"/>
          <w:divBdr>
            <w:top w:val="none" w:sz="0" w:space="0" w:color="auto"/>
            <w:left w:val="none" w:sz="0" w:space="0" w:color="auto"/>
            <w:bottom w:val="none" w:sz="0" w:space="0" w:color="auto"/>
            <w:right w:val="none" w:sz="0" w:space="0" w:color="auto"/>
          </w:divBdr>
        </w:div>
        <w:div w:id="135684510">
          <w:marLeft w:val="640"/>
          <w:marRight w:val="0"/>
          <w:marTop w:val="0"/>
          <w:marBottom w:val="0"/>
          <w:divBdr>
            <w:top w:val="none" w:sz="0" w:space="0" w:color="auto"/>
            <w:left w:val="none" w:sz="0" w:space="0" w:color="auto"/>
            <w:bottom w:val="none" w:sz="0" w:space="0" w:color="auto"/>
            <w:right w:val="none" w:sz="0" w:space="0" w:color="auto"/>
          </w:divBdr>
        </w:div>
        <w:div w:id="432170905">
          <w:marLeft w:val="640"/>
          <w:marRight w:val="0"/>
          <w:marTop w:val="0"/>
          <w:marBottom w:val="0"/>
          <w:divBdr>
            <w:top w:val="none" w:sz="0" w:space="0" w:color="auto"/>
            <w:left w:val="none" w:sz="0" w:space="0" w:color="auto"/>
            <w:bottom w:val="none" w:sz="0" w:space="0" w:color="auto"/>
            <w:right w:val="none" w:sz="0" w:space="0" w:color="auto"/>
          </w:divBdr>
        </w:div>
        <w:div w:id="1937009787">
          <w:marLeft w:val="640"/>
          <w:marRight w:val="0"/>
          <w:marTop w:val="0"/>
          <w:marBottom w:val="0"/>
          <w:divBdr>
            <w:top w:val="none" w:sz="0" w:space="0" w:color="auto"/>
            <w:left w:val="none" w:sz="0" w:space="0" w:color="auto"/>
            <w:bottom w:val="none" w:sz="0" w:space="0" w:color="auto"/>
            <w:right w:val="none" w:sz="0" w:space="0" w:color="auto"/>
          </w:divBdr>
        </w:div>
        <w:div w:id="1456943089">
          <w:marLeft w:val="640"/>
          <w:marRight w:val="0"/>
          <w:marTop w:val="0"/>
          <w:marBottom w:val="0"/>
          <w:divBdr>
            <w:top w:val="none" w:sz="0" w:space="0" w:color="auto"/>
            <w:left w:val="none" w:sz="0" w:space="0" w:color="auto"/>
            <w:bottom w:val="none" w:sz="0" w:space="0" w:color="auto"/>
            <w:right w:val="none" w:sz="0" w:space="0" w:color="auto"/>
          </w:divBdr>
        </w:div>
        <w:div w:id="1329214485">
          <w:marLeft w:val="640"/>
          <w:marRight w:val="0"/>
          <w:marTop w:val="0"/>
          <w:marBottom w:val="0"/>
          <w:divBdr>
            <w:top w:val="none" w:sz="0" w:space="0" w:color="auto"/>
            <w:left w:val="none" w:sz="0" w:space="0" w:color="auto"/>
            <w:bottom w:val="none" w:sz="0" w:space="0" w:color="auto"/>
            <w:right w:val="none" w:sz="0" w:space="0" w:color="auto"/>
          </w:divBdr>
        </w:div>
        <w:div w:id="378240762">
          <w:marLeft w:val="640"/>
          <w:marRight w:val="0"/>
          <w:marTop w:val="0"/>
          <w:marBottom w:val="0"/>
          <w:divBdr>
            <w:top w:val="none" w:sz="0" w:space="0" w:color="auto"/>
            <w:left w:val="none" w:sz="0" w:space="0" w:color="auto"/>
            <w:bottom w:val="none" w:sz="0" w:space="0" w:color="auto"/>
            <w:right w:val="none" w:sz="0" w:space="0" w:color="auto"/>
          </w:divBdr>
        </w:div>
        <w:div w:id="1526168142">
          <w:marLeft w:val="640"/>
          <w:marRight w:val="0"/>
          <w:marTop w:val="0"/>
          <w:marBottom w:val="0"/>
          <w:divBdr>
            <w:top w:val="none" w:sz="0" w:space="0" w:color="auto"/>
            <w:left w:val="none" w:sz="0" w:space="0" w:color="auto"/>
            <w:bottom w:val="none" w:sz="0" w:space="0" w:color="auto"/>
            <w:right w:val="none" w:sz="0" w:space="0" w:color="auto"/>
          </w:divBdr>
        </w:div>
        <w:div w:id="738475742">
          <w:marLeft w:val="640"/>
          <w:marRight w:val="0"/>
          <w:marTop w:val="0"/>
          <w:marBottom w:val="0"/>
          <w:divBdr>
            <w:top w:val="none" w:sz="0" w:space="0" w:color="auto"/>
            <w:left w:val="none" w:sz="0" w:space="0" w:color="auto"/>
            <w:bottom w:val="none" w:sz="0" w:space="0" w:color="auto"/>
            <w:right w:val="none" w:sz="0" w:space="0" w:color="auto"/>
          </w:divBdr>
        </w:div>
        <w:div w:id="2020966397">
          <w:marLeft w:val="640"/>
          <w:marRight w:val="0"/>
          <w:marTop w:val="0"/>
          <w:marBottom w:val="0"/>
          <w:divBdr>
            <w:top w:val="none" w:sz="0" w:space="0" w:color="auto"/>
            <w:left w:val="none" w:sz="0" w:space="0" w:color="auto"/>
            <w:bottom w:val="none" w:sz="0" w:space="0" w:color="auto"/>
            <w:right w:val="none" w:sz="0" w:space="0" w:color="auto"/>
          </w:divBdr>
        </w:div>
        <w:div w:id="946742555">
          <w:marLeft w:val="640"/>
          <w:marRight w:val="0"/>
          <w:marTop w:val="0"/>
          <w:marBottom w:val="0"/>
          <w:divBdr>
            <w:top w:val="none" w:sz="0" w:space="0" w:color="auto"/>
            <w:left w:val="none" w:sz="0" w:space="0" w:color="auto"/>
            <w:bottom w:val="none" w:sz="0" w:space="0" w:color="auto"/>
            <w:right w:val="none" w:sz="0" w:space="0" w:color="auto"/>
          </w:divBdr>
        </w:div>
        <w:div w:id="485978894">
          <w:marLeft w:val="640"/>
          <w:marRight w:val="0"/>
          <w:marTop w:val="0"/>
          <w:marBottom w:val="0"/>
          <w:divBdr>
            <w:top w:val="none" w:sz="0" w:space="0" w:color="auto"/>
            <w:left w:val="none" w:sz="0" w:space="0" w:color="auto"/>
            <w:bottom w:val="none" w:sz="0" w:space="0" w:color="auto"/>
            <w:right w:val="none" w:sz="0" w:space="0" w:color="auto"/>
          </w:divBdr>
        </w:div>
        <w:div w:id="433280809">
          <w:marLeft w:val="640"/>
          <w:marRight w:val="0"/>
          <w:marTop w:val="0"/>
          <w:marBottom w:val="0"/>
          <w:divBdr>
            <w:top w:val="none" w:sz="0" w:space="0" w:color="auto"/>
            <w:left w:val="none" w:sz="0" w:space="0" w:color="auto"/>
            <w:bottom w:val="none" w:sz="0" w:space="0" w:color="auto"/>
            <w:right w:val="none" w:sz="0" w:space="0" w:color="auto"/>
          </w:divBdr>
        </w:div>
        <w:div w:id="1807703941">
          <w:marLeft w:val="640"/>
          <w:marRight w:val="0"/>
          <w:marTop w:val="0"/>
          <w:marBottom w:val="0"/>
          <w:divBdr>
            <w:top w:val="none" w:sz="0" w:space="0" w:color="auto"/>
            <w:left w:val="none" w:sz="0" w:space="0" w:color="auto"/>
            <w:bottom w:val="none" w:sz="0" w:space="0" w:color="auto"/>
            <w:right w:val="none" w:sz="0" w:space="0" w:color="auto"/>
          </w:divBdr>
        </w:div>
        <w:div w:id="419178593">
          <w:marLeft w:val="640"/>
          <w:marRight w:val="0"/>
          <w:marTop w:val="0"/>
          <w:marBottom w:val="0"/>
          <w:divBdr>
            <w:top w:val="none" w:sz="0" w:space="0" w:color="auto"/>
            <w:left w:val="none" w:sz="0" w:space="0" w:color="auto"/>
            <w:bottom w:val="none" w:sz="0" w:space="0" w:color="auto"/>
            <w:right w:val="none" w:sz="0" w:space="0" w:color="auto"/>
          </w:divBdr>
        </w:div>
        <w:div w:id="645205779">
          <w:marLeft w:val="640"/>
          <w:marRight w:val="0"/>
          <w:marTop w:val="0"/>
          <w:marBottom w:val="0"/>
          <w:divBdr>
            <w:top w:val="none" w:sz="0" w:space="0" w:color="auto"/>
            <w:left w:val="none" w:sz="0" w:space="0" w:color="auto"/>
            <w:bottom w:val="none" w:sz="0" w:space="0" w:color="auto"/>
            <w:right w:val="none" w:sz="0" w:space="0" w:color="auto"/>
          </w:divBdr>
        </w:div>
        <w:div w:id="1692300864">
          <w:marLeft w:val="640"/>
          <w:marRight w:val="0"/>
          <w:marTop w:val="0"/>
          <w:marBottom w:val="0"/>
          <w:divBdr>
            <w:top w:val="none" w:sz="0" w:space="0" w:color="auto"/>
            <w:left w:val="none" w:sz="0" w:space="0" w:color="auto"/>
            <w:bottom w:val="none" w:sz="0" w:space="0" w:color="auto"/>
            <w:right w:val="none" w:sz="0" w:space="0" w:color="auto"/>
          </w:divBdr>
        </w:div>
        <w:div w:id="788428639">
          <w:marLeft w:val="640"/>
          <w:marRight w:val="0"/>
          <w:marTop w:val="0"/>
          <w:marBottom w:val="0"/>
          <w:divBdr>
            <w:top w:val="none" w:sz="0" w:space="0" w:color="auto"/>
            <w:left w:val="none" w:sz="0" w:space="0" w:color="auto"/>
            <w:bottom w:val="none" w:sz="0" w:space="0" w:color="auto"/>
            <w:right w:val="none" w:sz="0" w:space="0" w:color="auto"/>
          </w:divBdr>
        </w:div>
        <w:div w:id="778642412">
          <w:marLeft w:val="640"/>
          <w:marRight w:val="0"/>
          <w:marTop w:val="0"/>
          <w:marBottom w:val="0"/>
          <w:divBdr>
            <w:top w:val="none" w:sz="0" w:space="0" w:color="auto"/>
            <w:left w:val="none" w:sz="0" w:space="0" w:color="auto"/>
            <w:bottom w:val="none" w:sz="0" w:space="0" w:color="auto"/>
            <w:right w:val="none" w:sz="0" w:space="0" w:color="auto"/>
          </w:divBdr>
        </w:div>
        <w:div w:id="380055340">
          <w:marLeft w:val="640"/>
          <w:marRight w:val="0"/>
          <w:marTop w:val="0"/>
          <w:marBottom w:val="0"/>
          <w:divBdr>
            <w:top w:val="none" w:sz="0" w:space="0" w:color="auto"/>
            <w:left w:val="none" w:sz="0" w:space="0" w:color="auto"/>
            <w:bottom w:val="none" w:sz="0" w:space="0" w:color="auto"/>
            <w:right w:val="none" w:sz="0" w:space="0" w:color="auto"/>
          </w:divBdr>
        </w:div>
        <w:div w:id="1237083552">
          <w:marLeft w:val="640"/>
          <w:marRight w:val="0"/>
          <w:marTop w:val="0"/>
          <w:marBottom w:val="0"/>
          <w:divBdr>
            <w:top w:val="none" w:sz="0" w:space="0" w:color="auto"/>
            <w:left w:val="none" w:sz="0" w:space="0" w:color="auto"/>
            <w:bottom w:val="none" w:sz="0" w:space="0" w:color="auto"/>
            <w:right w:val="none" w:sz="0" w:space="0" w:color="auto"/>
          </w:divBdr>
        </w:div>
        <w:div w:id="1069885802">
          <w:marLeft w:val="640"/>
          <w:marRight w:val="0"/>
          <w:marTop w:val="0"/>
          <w:marBottom w:val="0"/>
          <w:divBdr>
            <w:top w:val="none" w:sz="0" w:space="0" w:color="auto"/>
            <w:left w:val="none" w:sz="0" w:space="0" w:color="auto"/>
            <w:bottom w:val="none" w:sz="0" w:space="0" w:color="auto"/>
            <w:right w:val="none" w:sz="0" w:space="0" w:color="auto"/>
          </w:divBdr>
        </w:div>
        <w:div w:id="1762679103">
          <w:marLeft w:val="640"/>
          <w:marRight w:val="0"/>
          <w:marTop w:val="0"/>
          <w:marBottom w:val="0"/>
          <w:divBdr>
            <w:top w:val="none" w:sz="0" w:space="0" w:color="auto"/>
            <w:left w:val="none" w:sz="0" w:space="0" w:color="auto"/>
            <w:bottom w:val="none" w:sz="0" w:space="0" w:color="auto"/>
            <w:right w:val="none" w:sz="0" w:space="0" w:color="auto"/>
          </w:divBdr>
        </w:div>
        <w:div w:id="1558012143">
          <w:marLeft w:val="640"/>
          <w:marRight w:val="0"/>
          <w:marTop w:val="0"/>
          <w:marBottom w:val="0"/>
          <w:divBdr>
            <w:top w:val="none" w:sz="0" w:space="0" w:color="auto"/>
            <w:left w:val="none" w:sz="0" w:space="0" w:color="auto"/>
            <w:bottom w:val="none" w:sz="0" w:space="0" w:color="auto"/>
            <w:right w:val="none" w:sz="0" w:space="0" w:color="auto"/>
          </w:divBdr>
        </w:div>
        <w:div w:id="1446459663">
          <w:marLeft w:val="640"/>
          <w:marRight w:val="0"/>
          <w:marTop w:val="0"/>
          <w:marBottom w:val="0"/>
          <w:divBdr>
            <w:top w:val="none" w:sz="0" w:space="0" w:color="auto"/>
            <w:left w:val="none" w:sz="0" w:space="0" w:color="auto"/>
            <w:bottom w:val="none" w:sz="0" w:space="0" w:color="auto"/>
            <w:right w:val="none" w:sz="0" w:space="0" w:color="auto"/>
          </w:divBdr>
        </w:div>
        <w:div w:id="419184263">
          <w:marLeft w:val="640"/>
          <w:marRight w:val="0"/>
          <w:marTop w:val="0"/>
          <w:marBottom w:val="0"/>
          <w:divBdr>
            <w:top w:val="none" w:sz="0" w:space="0" w:color="auto"/>
            <w:left w:val="none" w:sz="0" w:space="0" w:color="auto"/>
            <w:bottom w:val="none" w:sz="0" w:space="0" w:color="auto"/>
            <w:right w:val="none" w:sz="0" w:space="0" w:color="auto"/>
          </w:divBdr>
        </w:div>
        <w:div w:id="1367943987">
          <w:marLeft w:val="640"/>
          <w:marRight w:val="0"/>
          <w:marTop w:val="0"/>
          <w:marBottom w:val="0"/>
          <w:divBdr>
            <w:top w:val="none" w:sz="0" w:space="0" w:color="auto"/>
            <w:left w:val="none" w:sz="0" w:space="0" w:color="auto"/>
            <w:bottom w:val="none" w:sz="0" w:space="0" w:color="auto"/>
            <w:right w:val="none" w:sz="0" w:space="0" w:color="auto"/>
          </w:divBdr>
        </w:div>
        <w:div w:id="1664819015">
          <w:marLeft w:val="640"/>
          <w:marRight w:val="0"/>
          <w:marTop w:val="0"/>
          <w:marBottom w:val="0"/>
          <w:divBdr>
            <w:top w:val="none" w:sz="0" w:space="0" w:color="auto"/>
            <w:left w:val="none" w:sz="0" w:space="0" w:color="auto"/>
            <w:bottom w:val="none" w:sz="0" w:space="0" w:color="auto"/>
            <w:right w:val="none" w:sz="0" w:space="0" w:color="auto"/>
          </w:divBdr>
        </w:div>
        <w:div w:id="1957759325">
          <w:marLeft w:val="640"/>
          <w:marRight w:val="0"/>
          <w:marTop w:val="0"/>
          <w:marBottom w:val="0"/>
          <w:divBdr>
            <w:top w:val="none" w:sz="0" w:space="0" w:color="auto"/>
            <w:left w:val="none" w:sz="0" w:space="0" w:color="auto"/>
            <w:bottom w:val="none" w:sz="0" w:space="0" w:color="auto"/>
            <w:right w:val="none" w:sz="0" w:space="0" w:color="auto"/>
          </w:divBdr>
        </w:div>
        <w:div w:id="1245535506">
          <w:marLeft w:val="640"/>
          <w:marRight w:val="0"/>
          <w:marTop w:val="0"/>
          <w:marBottom w:val="0"/>
          <w:divBdr>
            <w:top w:val="none" w:sz="0" w:space="0" w:color="auto"/>
            <w:left w:val="none" w:sz="0" w:space="0" w:color="auto"/>
            <w:bottom w:val="none" w:sz="0" w:space="0" w:color="auto"/>
            <w:right w:val="none" w:sz="0" w:space="0" w:color="auto"/>
          </w:divBdr>
        </w:div>
        <w:div w:id="231626883">
          <w:marLeft w:val="640"/>
          <w:marRight w:val="0"/>
          <w:marTop w:val="0"/>
          <w:marBottom w:val="0"/>
          <w:divBdr>
            <w:top w:val="none" w:sz="0" w:space="0" w:color="auto"/>
            <w:left w:val="none" w:sz="0" w:space="0" w:color="auto"/>
            <w:bottom w:val="none" w:sz="0" w:space="0" w:color="auto"/>
            <w:right w:val="none" w:sz="0" w:space="0" w:color="auto"/>
          </w:divBdr>
        </w:div>
        <w:div w:id="840390322">
          <w:marLeft w:val="640"/>
          <w:marRight w:val="0"/>
          <w:marTop w:val="0"/>
          <w:marBottom w:val="0"/>
          <w:divBdr>
            <w:top w:val="none" w:sz="0" w:space="0" w:color="auto"/>
            <w:left w:val="none" w:sz="0" w:space="0" w:color="auto"/>
            <w:bottom w:val="none" w:sz="0" w:space="0" w:color="auto"/>
            <w:right w:val="none" w:sz="0" w:space="0" w:color="auto"/>
          </w:divBdr>
        </w:div>
        <w:div w:id="276105207">
          <w:marLeft w:val="640"/>
          <w:marRight w:val="0"/>
          <w:marTop w:val="0"/>
          <w:marBottom w:val="0"/>
          <w:divBdr>
            <w:top w:val="none" w:sz="0" w:space="0" w:color="auto"/>
            <w:left w:val="none" w:sz="0" w:space="0" w:color="auto"/>
            <w:bottom w:val="none" w:sz="0" w:space="0" w:color="auto"/>
            <w:right w:val="none" w:sz="0" w:space="0" w:color="auto"/>
          </w:divBdr>
        </w:div>
        <w:div w:id="673607956">
          <w:marLeft w:val="640"/>
          <w:marRight w:val="0"/>
          <w:marTop w:val="0"/>
          <w:marBottom w:val="0"/>
          <w:divBdr>
            <w:top w:val="none" w:sz="0" w:space="0" w:color="auto"/>
            <w:left w:val="none" w:sz="0" w:space="0" w:color="auto"/>
            <w:bottom w:val="none" w:sz="0" w:space="0" w:color="auto"/>
            <w:right w:val="none" w:sz="0" w:space="0" w:color="auto"/>
          </w:divBdr>
        </w:div>
        <w:div w:id="858545180">
          <w:marLeft w:val="640"/>
          <w:marRight w:val="0"/>
          <w:marTop w:val="0"/>
          <w:marBottom w:val="0"/>
          <w:divBdr>
            <w:top w:val="none" w:sz="0" w:space="0" w:color="auto"/>
            <w:left w:val="none" w:sz="0" w:space="0" w:color="auto"/>
            <w:bottom w:val="none" w:sz="0" w:space="0" w:color="auto"/>
            <w:right w:val="none" w:sz="0" w:space="0" w:color="auto"/>
          </w:divBdr>
        </w:div>
        <w:div w:id="917785136">
          <w:marLeft w:val="640"/>
          <w:marRight w:val="0"/>
          <w:marTop w:val="0"/>
          <w:marBottom w:val="0"/>
          <w:divBdr>
            <w:top w:val="none" w:sz="0" w:space="0" w:color="auto"/>
            <w:left w:val="none" w:sz="0" w:space="0" w:color="auto"/>
            <w:bottom w:val="none" w:sz="0" w:space="0" w:color="auto"/>
            <w:right w:val="none" w:sz="0" w:space="0" w:color="auto"/>
          </w:divBdr>
        </w:div>
        <w:div w:id="899940733">
          <w:marLeft w:val="640"/>
          <w:marRight w:val="0"/>
          <w:marTop w:val="0"/>
          <w:marBottom w:val="0"/>
          <w:divBdr>
            <w:top w:val="none" w:sz="0" w:space="0" w:color="auto"/>
            <w:left w:val="none" w:sz="0" w:space="0" w:color="auto"/>
            <w:bottom w:val="none" w:sz="0" w:space="0" w:color="auto"/>
            <w:right w:val="none" w:sz="0" w:space="0" w:color="auto"/>
          </w:divBdr>
        </w:div>
        <w:div w:id="629677308">
          <w:marLeft w:val="640"/>
          <w:marRight w:val="0"/>
          <w:marTop w:val="0"/>
          <w:marBottom w:val="0"/>
          <w:divBdr>
            <w:top w:val="none" w:sz="0" w:space="0" w:color="auto"/>
            <w:left w:val="none" w:sz="0" w:space="0" w:color="auto"/>
            <w:bottom w:val="none" w:sz="0" w:space="0" w:color="auto"/>
            <w:right w:val="none" w:sz="0" w:space="0" w:color="auto"/>
          </w:divBdr>
        </w:div>
      </w:divsChild>
    </w:div>
    <w:div w:id="2012414652">
      <w:bodyDiv w:val="1"/>
      <w:marLeft w:val="0"/>
      <w:marRight w:val="0"/>
      <w:marTop w:val="0"/>
      <w:marBottom w:val="0"/>
      <w:divBdr>
        <w:top w:val="none" w:sz="0" w:space="0" w:color="auto"/>
        <w:left w:val="none" w:sz="0" w:space="0" w:color="auto"/>
        <w:bottom w:val="none" w:sz="0" w:space="0" w:color="auto"/>
        <w:right w:val="none" w:sz="0" w:space="0" w:color="auto"/>
      </w:divBdr>
      <w:divsChild>
        <w:div w:id="1368027326">
          <w:marLeft w:val="640"/>
          <w:marRight w:val="0"/>
          <w:marTop w:val="0"/>
          <w:marBottom w:val="0"/>
          <w:divBdr>
            <w:top w:val="none" w:sz="0" w:space="0" w:color="auto"/>
            <w:left w:val="none" w:sz="0" w:space="0" w:color="auto"/>
            <w:bottom w:val="none" w:sz="0" w:space="0" w:color="auto"/>
            <w:right w:val="none" w:sz="0" w:space="0" w:color="auto"/>
          </w:divBdr>
        </w:div>
        <w:div w:id="1198351500">
          <w:marLeft w:val="640"/>
          <w:marRight w:val="0"/>
          <w:marTop w:val="0"/>
          <w:marBottom w:val="0"/>
          <w:divBdr>
            <w:top w:val="none" w:sz="0" w:space="0" w:color="auto"/>
            <w:left w:val="none" w:sz="0" w:space="0" w:color="auto"/>
            <w:bottom w:val="none" w:sz="0" w:space="0" w:color="auto"/>
            <w:right w:val="none" w:sz="0" w:space="0" w:color="auto"/>
          </w:divBdr>
        </w:div>
        <w:div w:id="2094620487">
          <w:marLeft w:val="640"/>
          <w:marRight w:val="0"/>
          <w:marTop w:val="0"/>
          <w:marBottom w:val="0"/>
          <w:divBdr>
            <w:top w:val="none" w:sz="0" w:space="0" w:color="auto"/>
            <w:left w:val="none" w:sz="0" w:space="0" w:color="auto"/>
            <w:bottom w:val="none" w:sz="0" w:space="0" w:color="auto"/>
            <w:right w:val="none" w:sz="0" w:space="0" w:color="auto"/>
          </w:divBdr>
        </w:div>
        <w:div w:id="1136992780">
          <w:marLeft w:val="640"/>
          <w:marRight w:val="0"/>
          <w:marTop w:val="0"/>
          <w:marBottom w:val="0"/>
          <w:divBdr>
            <w:top w:val="none" w:sz="0" w:space="0" w:color="auto"/>
            <w:left w:val="none" w:sz="0" w:space="0" w:color="auto"/>
            <w:bottom w:val="none" w:sz="0" w:space="0" w:color="auto"/>
            <w:right w:val="none" w:sz="0" w:space="0" w:color="auto"/>
          </w:divBdr>
        </w:div>
        <w:div w:id="961110241">
          <w:marLeft w:val="640"/>
          <w:marRight w:val="0"/>
          <w:marTop w:val="0"/>
          <w:marBottom w:val="0"/>
          <w:divBdr>
            <w:top w:val="none" w:sz="0" w:space="0" w:color="auto"/>
            <w:left w:val="none" w:sz="0" w:space="0" w:color="auto"/>
            <w:bottom w:val="none" w:sz="0" w:space="0" w:color="auto"/>
            <w:right w:val="none" w:sz="0" w:space="0" w:color="auto"/>
          </w:divBdr>
        </w:div>
        <w:div w:id="838891400">
          <w:marLeft w:val="640"/>
          <w:marRight w:val="0"/>
          <w:marTop w:val="0"/>
          <w:marBottom w:val="0"/>
          <w:divBdr>
            <w:top w:val="none" w:sz="0" w:space="0" w:color="auto"/>
            <w:left w:val="none" w:sz="0" w:space="0" w:color="auto"/>
            <w:bottom w:val="none" w:sz="0" w:space="0" w:color="auto"/>
            <w:right w:val="none" w:sz="0" w:space="0" w:color="auto"/>
          </w:divBdr>
        </w:div>
        <w:div w:id="1247494328">
          <w:marLeft w:val="640"/>
          <w:marRight w:val="0"/>
          <w:marTop w:val="0"/>
          <w:marBottom w:val="0"/>
          <w:divBdr>
            <w:top w:val="none" w:sz="0" w:space="0" w:color="auto"/>
            <w:left w:val="none" w:sz="0" w:space="0" w:color="auto"/>
            <w:bottom w:val="none" w:sz="0" w:space="0" w:color="auto"/>
            <w:right w:val="none" w:sz="0" w:space="0" w:color="auto"/>
          </w:divBdr>
        </w:div>
        <w:div w:id="1863400315">
          <w:marLeft w:val="640"/>
          <w:marRight w:val="0"/>
          <w:marTop w:val="0"/>
          <w:marBottom w:val="0"/>
          <w:divBdr>
            <w:top w:val="none" w:sz="0" w:space="0" w:color="auto"/>
            <w:left w:val="none" w:sz="0" w:space="0" w:color="auto"/>
            <w:bottom w:val="none" w:sz="0" w:space="0" w:color="auto"/>
            <w:right w:val="none" w:sz="0" w:space="0" w:color="auto"/>
          </w:divBdr>
        </w:div>
        <w:div w:id="41179812">
          <w:marLeft w:val="640"/>
          <w:marRight w:val="0"/>
          <w:marTop w:val="0"/>
          <w:marBottom w:val="0"/>
          <w:divBdr>
            <w:top w:val="none" w:sz="0" w:space="0" w:color="auto"/>
            <w:left w:val="none" w:sz="0" w:space="0" w:color="auto"/>
            <w:bottom w:val="none" w:sz="0" w:space="0" w:color="auto"/>
            <w:right w:val="none" w:sz="0" w:space="0" w:color="auto"/>
          </w:divBdr>
        </w:div>
        <w:div w:id="1454863997">
          <w:marLeft w:val="640"/>
          <w:marRight w:val="0"/>
          <w:marTop w:val="0"/>
          <w:marBottom w:val="0"/>
          <w:divBdr>
            <w:top w:val="none" w:sz="0" w:space="0" w:color="auto"/>
            <w:left w:val="none" w:sz="0" w:space="0" w:color="auto"/>
            <w:bottom w:val="none" w:sz="0" w:space="0" w:color="auto"/>
            <w:right w:val="none" w:sz="0" w:space="0" w:color="auto"/>
          </w:divBdr>
        </w:div>
        <w:div w:id="1411777090">
          <w:marLeft w:val="640"/>
          <w:marRight w:val="0"/>
          <w:marTop w:val="0"/>
          <w:marBottom w:val="0"/>
          <w:divBdr>
            <w:top w:val="none" w:sz="0" w:space="0" w:color="auto"/>
            <w:left w:val="none" w:sz="0" w:space="0" w:color="auto"/>
            <w:bottom w:val="none" w:sz="0" w:space="0" w:color="auto"/>
            <w:right w:val="none" w:sz="0" w:space="0" w:color="auto"/>
          </w:divBdr>
        </w:div>
        <w:div w:id="790173984">
          <w:marLeft w:val="640"/>
          <w:marRight w:val="0"/>
          <w:marTop w:val="0"/>
          <w:marBottom w:val="0"/>
          <w:divBdr>
            <w:top w:val="none" w:sz="0" w:space="0" w:color="auto"/>
            <w:left w:val="none" w:sz="0" w:space="0" w:color="auto"/>
            <w:bottom w:val="none" w:sz="0" w:space="0" w:color="auto"/>
            <w:right w:val="none" w:sz="0" w:space="0" w:color="auto"/>
          </w:divBdr>
        </w:div>
        <w:div w:id="1745906785">
          <w:marLeft w:val="640"/>
          <w:marRight w:val="0"/>
          <w:marTop w:val="0"/>
          <w:marBottom w:val="0"/>
          <w:divBdr>
            <w:top w:val="none" w:sz="0" w:space="0" w:color="auto"/>
            <w:left w:val="none" w:sz="0" w:space="0" w:color="auto"/>
            <w:bottom w:val="none" w:sz="0" w:space="0" w:color="auto"/>
            <w:right w:val="none" w:sz="0" w:space="0" w:color="auto"/>
          </w:divBdr>
        </w:div>
        <w:div w:id="1607347514">
          <w:marLeft w:val="640"/>
          <w:marRight w:val="0"/>
          <w:marTop w:val="0"/>
          <w:marBottom w:val="0"/>
          <w:divBdr>
            <w:top w:val="none" w:sz="0" w:space="0" w:color="auto"/>
            <w:left w:val="none" w:sz="0" w:space="0" w:color="auto"/>
            <w:bottom w:val="none" w:sz="0" w:space="0" w:color="auto"/>
            <w:right w:val="none" w:sz="0" w:space="0" w:color="auto"/>
          </w:divBdr>
        </w:div>
        <w:div w:id="598174565">
          <w:marLeft w:val="640"/>
          <w:marRight w:val="0"/>
          <w:marTop w:val="0"/>
          <w:marBottom w:val="0"/>
          <w:divBdr>
            <w:top w:val="none" w:sz="0" w:space="0" w:color="auto"/>
            <w:left w:val="none" w:sz="0" w:space="0" w:color="auto"/>
            <w:bottom w:val="none" w:sz="0" w:space="0" w:color="auto"/>
            <w:right w:val="none" w:sz="0" w:space="0" w:color="auto"/>
          </w:divBdr>
        </w:div>
        <w:div w:id="721517749">
          <w:marLeft w:val="640"/>
          <w:marRight w:val="0"/>
          <w:marTop w:val="0"/>
          <w:marBottom w:val="0"/>
          <w:divBdr>
            <w:top w:val="none" w:sz="0" w:space="0" w:color="auto"/>
            <w:left w:val="none" w:sz="0" w:space="0" w:color="auto"/>
            <w:bottom w:val="none" w:sz="0" w:space="0" w:color="auto"/>
            <w:right w:val="none" w:sz="0" w:space="0" w:color="auto"/>
          </w:divBdr>
        </w:div>
        <w:div w:id="1256094976">
          <w:marLeft w:val="640"/>
          <w:marRight w:val="0"/>
          <w:marTop w:val="0"/>
          <w:marBottom w:val="0"/>
          <w:divBdr>
            <w:top w:val="none" w:sz="0" w:space="0" w:color="auto"/>
            <w:left w:val="none" w:sz="0" w:space="0" w:color="auto"/>
            <w:bottom w:val="none" w:sz="0" w:space="0" w:color="auto"/>
            <w:right w:val="none" w:sz="0" w:space="0" w:color="auto"/>
          </w:divBdr>
        </w:div>
        <w:div w:id="90320283">
          <w:marLeft w:val="640"/>
          <w:marRight w:val="0"/>
          <w:marTop w:val="0"/>
          <w:marBottom w:val="0"/>
          <w:divBdr>
            <w:top w:val="none" w:sz="0" w:space="0" w:color="auto"/>
            <w:left w:val="none" w:sz="0" w:space="0" w:color="auto"/>
            <w:bottom w:val="none" w:sz="0" w:space="0" w:color="auto"/>
            <w:right w:val="none" w:sz="0" w:space="0" w:color="auto"/>
          </w:divBdr>
        </w:div>
        <w:div w:id="852259711">
          <w:marLeft w:val="640"/>
          <w:marRight w:val="0"/>
          <w:marTop w:val="0"/>
          <w:marBottom w:val="0"/>
          <w:divBdr>
            <w:top w:val="none" w:sz="0" w:space="0" w:color="auto"/>
            <w:left w:val="none" w:sz="0" w:space="0" w:color="auto"/>
            <w:bottom w:val="none" w:sz="0" w:space="0" w:color="auto"/>
            <w:right w:val="none" w:sz="0" w:space="0" w:color="auto"/>
          </w:divBdr>
        </w:div>
        <w:div w:id="1930966999">
          <w:marLeft w:val="640"/>
          <w:marRight w:val="0"/>
          <w:marTop w:val="0"/>
          <w:marBottom w:val="0"/>
          <w:divBdr>
            <w:top w:val="none" w:sz="0" w:space="0" w:color="auto"/>
            <w:left w:val="none" w:sz="0" w:space="0" w:color="auto"/>
            <w:bottom w:val="none" w:sz="0" w:space="0" w:color="auto"/>
            <w:right w:val="none" w:sz="0" w:space="0" w:color="auto"/>
          </w:divBdr>
        </w:div>
        <w:div w:id="1292515386">
          <w:marLeft w:val="640"/>
          <w:marRight w:val="0"/>
          <w:marTop w:val="0"/>
          <w:marBottom w:val="0"/>
          <w:divBdr>
            <w:top w:val="none" w:sz="0" w:space="0" w:color="auto"/>
            <w:left w:val="none" w:sz="0" w:space="0" w:color="auto"/>
            <w:bottom w:val="none" w:sz="0" w:space="0" w:color="auto"/>
            <w:right w:val="none" w:sz="0" w:space="0" w:color="auto"/>
          </w:divBdr>
        </w:div>
        <w:div w:id="350835392">
          <w:marLeft w:val="640"/>
          <w:marRight w:val="0"/>
          <w:marTop w:val="0"/>
          <w:marBottom w:val="0"/>
          <w:divBdr>
            <w:top w:val="none" w:sz="0" w:space="0" w:color="auto"/>
            <w:left w:val="none" w:sz="0" w:space="0" w:color="auto"/>
            <w:bottom w:val="none" w:sz="0" w:space="0" w:color="auto"/>
            <w:right w:val="none" w:sz="0" w:space="0" w:color="auto"/>
          </w:divBdr>
        </w:div>
        <w:div w:id="705956080">
          <w:marLeft w:val="640"/>
          <w:marRight w:val="0"/>
          <w:marTop w:val="0"/>
          <w:marBottom w:val="0"/>
          <w:divBdr>
            <w:top w:val="none" w:sz="0" w:space="0" w:color="auto"/>
            <w:left w:val="none" w:sz="0" w:space="0" w:color="auto"/>
            <w:bottom w:val="none" w:sz="0" w:space="0" w:color="auto"/>
            <w:right w:val="none" w:sz="0" w:space="0" w:color="auto"/>
          </w:divBdr>
        </w:div>
        <w:div w:id="1673953112">
          <w:marLeft w:val="640"/>
          <w:marRight w:val="0"/>
          <w:marTop w:val="0"/>
          <w:marBottom w:val="0"/>
          <w:divBdr>
            <w:top w:val="none" w:sz="0" w:space="0" w:color="auto"/>
            <w:left w:val="none" w:sz="0" w:space="0" w:color="auto"/>
            <w:bottom w:val="none" w:sz="0" w:space="0" w:color="auto"/>
            <w:right w:val="none" w:sz="0" w:space="0" w:color="auto"/>
          </w:divBdr>
        </w:div>
        <w:div w:id="1923755215">
          <w:marLeft w:val="640"/>
          <w:marRight w:val="0"/>
          <w:marTop w:val="0"/>
          <w:marBottom w:val="0"/>
          <w:divBdr>
            <w:top w:val="none" w:sz="0" w:space="0" w:color="auto"/>
            <w:left w:val="none" w:sz="0" w:space="0" w:color="auto"/>
            <w:bottom w:val="none" w:sz="0" w:space="0" w:color="auto"/>
            <w:right w:val="none" w:sz="0" w:space="0" w:color="auto"/>
          </w:divBdr>
        </w:div>
        <w:div w:id="689574929">
          <w:marLeft w:val="640"/>
          <w:marRight w:val="0"/>
          <w:marTop w:val="0"/>
          <w:marBottom w:val="0"/>
          <w:divBdr>
            <w:top w:val="none" w:sz="0" w:space="0" w:color="auto"/>
            <w:left w:val="none" w:sz="0" w:space="0" w:color="auto"/>
            <w:bottom w:val="none" w:sz="0" w:space="0" w:color="auto"/>
            <w:right w:val="none" w:sz="0" w:space="0" w:color="auto"/>
          </w:divBdr>
        </w:div>
        <w:div w:id="1794471903">
          <w:marLeft w:val="640"/>
          <w:marRight w:val="0"/>
          <w:marTop w:val="0"/>
          <w:marBottom w:val="0"/>
          <w:divBdr>
            <w:top w:val="none" w:sz="0" w:space="0" w:color="auto"/>
            <w:left w:val="none" w:sz="0" w:space="0" w:color="auto"/>
            <w:bottom w:val="none" w:sz="0" w:space="0" w:color="auto"/>
            <w:right w:val="none" w:sz="0" w:space="0" w:color="auto"/>
          </w:divBdr>
        </w:div>
        <w:div w:id="1635402257">
          <w:marLeft w:val="640"/>
          <w:marRight w:val="0"/>
          <w:marTop w:val="0"/>
          <w:marBottom w:val="0"/>
          <w:divBdr>
            <w:top w:val="none" w:sz="0" w:space="0" w:color="auto"/>
            <w:left w:val="none" w:sz="0" w:space="0" w:color="auto"/>
            <w:bottom w:val="none" w:sz="0" w:space="0" w:color="auto"/>
            <w:right w:val="none" w:sz="0" w:space="0" w:color="auto"/>
          </w:divBdr>
        </w:div>
        <w:div w:id="742796947">
          <w:marLeft w:val="640"/>
          <w:marRight w:val="0"/>
          <w:marTop w:val="0"/>
          <w:marBottom w:val="0"/>
          <w:divBdr>
            <w:top w:val="none" w:sz="0" w:space="0" w:color="auto"/>
            <w:left w:val="none" w:sz="0" w:space="0" w:color="auto"/>
            <w:bottom w:val="none" w:sz="0" w:space="0" w:color="auto"/>
            <w:right w:val="none" w:sz="0" w:space="0" w:color="auto"/>
          </w:divBdr>
        </w:div>
        <w:div w:id="1451238993">
          <w:marLeft w:val="640"/>
          <w:marRight w:val="0"/>
          <w:marTop w:val="0"/>
          <w:marBottom w:val="0"/>
          <w:divBdr>
            <w:top w:val="none" w:sz="0" w:space="0" w:color="auto"/>
            <w:left w:val="none" w:sz="0" w:space="0" w:color="auto"/>
            <w:bottom w:val="none" w:sz="0" w:space="0" w:color="auto"/>
            <w:right w:val="none" w:sz="0" w:space="0" w:color="auto"/>
          </w:divBdr>
        </w:div>
        <w:div w:id="2100178991">
          <w:marLeft w:val="640"/>
          <w:marRight w:val="0"/>
          <w:marTop w:val="0"/>
          <w:marBottom w:val="0"/>
          <w:divBdr>
            <w:top w:val="none" w:sz="0" w:space="0" w:color="auto"/>
            <w:left w:val="none" w:sz="0" w:space="0" w:color="auto"/>
            <w:bottom w:val="none" w:sz="0" w:space="0" w:color="auto"/>
            <w:right w:val="none" w:sz="0" w:space="0" w:color="auto"/>
          </w:divBdr>
        </w:div>
        <w:div w:id="63724229">
          <w:marLeft w:val="640"/>
          <w:marRight w:val="0"/>
          <w:marTop w:val="0"/>
          <w:marBottom w:val="0"/>
          <w:divBdr>
            <w:top w:val="none" w:sz="0" w:space="0" w:color="auto"/>
            <w:left w:val="none" w:sz="0" w:space="0" w:color="auto"/>
            <w:bottom w:val="none" w:sz="0" w:space="0" w:color="auto"/>
            <w:right w:val="none" w:sz="0" w:space="0" w:color="auto"/>
          </w:divBdr>
        </w:div>
        <w:div w:id="1203059760">
          <w:marLeft w:val="640"/>
          <w:marRight w:val="0"/>
          <w:marTop w:val="0"/>
          <w:marBottom w:val="0"/>
          <w:divBdr>
            <w:top w:val="none" w:sz="0" w:space="0" w:color="auto"/>
            <w:left w:val="none" w:sz="0" w:space="0" w:color="auto"/>
            <w:bottom w:val="none" w:sz="0" w:space="0" w:color="auto"/>
            <w:right w:val="none" w:sz="0" w:space="0" w:color="auto"/>
          </w:divBdr>
        </w:div>
        <w:div w:id="649599547">
          <w:marLeft w:val="640"/>
          <w:marRight w:val="0"/>
          <w:marTop w:val="0"/>
          <w:marBottom w:val="0"/>
          <w:divBdr>
            <w:top w:val="none" w:sz="0" w:space="0" w:color="auto"/>
            <w:left w:val="none" w:sz="0" w:space="0" w:color="auto"/>
            <w:bottom w:val="none" w:sz="0" w:space="0" w:color="auto"/>
            <w:right w:val="none" w:sz="0" w:space="0" w:color="auto"/>
          </w:divBdr>
        </w:div>
        <w:div w:id="1490900237">
          <w:marLeft w:val="640"/>
          <w:marRight w:val="0"/>
          <w:marTop w:val="0"/>
          <w:marBottom w:val="0"/>
          <w:divBdr>
            <w:top w:val="none" w:sz="0" w:space="0" w:color="auto"/>
            <w:left w:val="none" w:sz="0" w:space="0" w:color="auto"/>
            <w:bottom w:val="none" w:sz="0" w:space="0" w:color="auto"/>
            <w:right w:val="none" w:sz="0" w:space="0" w:color="auto"/>
          </w:divBdr>
        </w:div>
        <w:div w:id="1756785596">
          <w:marLeft w:val="640"/>
          <w:marRight w:val="0"/>
          <w:marTop w:val="0"/>
          <w:marBottom w:val="0"/>
          <w:divBdr>
            <w:top w:val="none" w:sz="0" w:space="0" w:color="auto"/>
            <w:left w:val="none" w:sz="0" w:space="0" w:color="auto"/>
            <w:bottom w:val="none" w:sz="0" w:space="0" w:color="auto"/>
            <w:right w:val="none" w:sz="0" w:space="0" w:color="auto"/>
          </w:divBdr>
        </w:div>
        <w:div w:id="715859877">
          <w:marLeft w:val="640"/>
          <w:marRight w:val="0"/>
          <w:marTop w:val="0"/>
          <w:marBottom w:val="0"/>
          <w:divBdr>
            <w:top w:val="none" w:sz="0" w:space="0" w:color="auto"/>
            <w:left w:val="none" w:sz="0" w:space="0" w:color="auto"/>
            <w:bottom w:val="none" w:sz="0" w:space="0" w:color="auto"/>
            <w:right w:val="none" w:sz="0" w:space="0" w:color="auto"/>
          </w:divBdr>
        </w:div>
        <w:div w:id="161701333">
          <w:marLeft w:val="640"/>
          <w:marRight w:val="0"/>
          <w:marTop w:val="0"/>
          <w:marBottom w:val="0"/>
          <w:divBdr>
            <w:top w:val="none" w:sz="0" w:space="0" w:color="auto"/>
            <w:left w:val="none" w:sz="0" w:space="0" w:color="auto"/>
            <w:bottom w:val="none" w:sz="0" w:space="0" w:color="auto"/>
            <w:right w:val="none" w:sz="0" w:space="0" w:color="auto"/>
          </w:divBdr>
        </w:div>
        <w:div w:id="1339043660">
          <w:marLeft w:val="640"/>
          <w:marRight w:val="0"/>
          <w:marTop w:val="0"/>
          <w:marBottom w:val="0"/>
          <w:divBdr>
            <w:top w:val="none" w:sz="0" w:space="0" w:color="auto"/>
            <w:left w:val="none" w:sz="0" w:space="0" w:color="auto"/>
            <w:bottom w:val="none" w:sz="0" w:space="0" w:color="auto"/>
            <w:right w:val="none" w:sz="0" w:space="0" w:color="auto"/>
          </w:divBdr>
        </w:div>
        <w:div w:id="2073698608">
          <w:marLeft w:val="640"/>
          <w:marRight w:val="0"/>
          <w:marTop w:val="0"/>
          <w:marBottom w:val="0"/>
          <w:divBdr>
            <w:top w:val="none" w:sz="0" w:space="0" w:color="auto"/>
            <w:left w:val="none" w:sz="0" w:space="0" w:color="auto"/>
            <w:bottom w:val="none" w:sz="0" w:space="0" w:color="auto"/>
            <w:right w:val="none" w:sz="0" w:space="0" w:color="auto"/>
          </w:divBdr>
        </w:div>
        <w:div w:id="853497798">
          <w:marLeft w:val="640"/>
          <w:marRight w:val="0"/>
          <w:marTop w:val="0"/>
          <w:marBottom w:val="0"/>
          <w:divBdr>
            <w:top w:val="none" w:sz="0" w:space="0" w:color="auto"/>
            <w:left w:val="none" w:sz="0" w:space="0" w:color="auto"/>
            <w:bottom w:val="none" w:sz="0" w:space="0" w:color="auto"/>
            <w:right w:val="none" w:sz="0" w:space="0" w:color="auto"/>
          </w:divBdr>
        </w:div>
        <w:div w:id="1701126946">
          <w:marLeft w:val="640"/>
          <w:marRight w:val="0"/>
          <w:marTop w:val="0"/>
          <w:marBottom w:val="0"/>
          <w:divBdr>
            <w:top w:val="none" w:sz="0" w:space="0" w:color="auto"/>
            <w:left w:val="none" w:sz="0" w:space="0" w:color="auto"/>
            <w:bottom w:val="none" w:sz="0" w:space="0" w:color="auto"/>
            <w:right w:val="none" w:sz="0" w:space="0" w:color="auto"/>
          </w:divBdr>
        </w:div>
        <w:div w:id="1936861346">
          <w:marLeft w:val="640"/>
          <w:marRight w:val="0"/>
          <w:marTop w:val="0"/>
          <w:marBottom w:val="0"/>
          <w:divBdr>
            <w:top w:val="none" w:sz="0" w:space="0" w:color="auto"/>
            <w:left w:val="none" w:sz="0" w:space="0" w:color="auto"/>
            <w:bottom w:val="none" w:sz="0" w:space="0" w:color="auto"/>
            <w:right w:val="none" w:sz="0" w:space="0" w:color="auto"/>
          </w:divBdr>
        </w:div>
        <w:div w:id="1758404418">
          <w:marLeft w:val="640"/>
          <w:marRight w:val="0"/>
          <w:marTop w:val="0"/>
          <w:marBottom w:val="0"/>
          <w:divBdr>
            <w:top w:val="none" w:sz="0" w:space="0" w:color="auto"/>
            <w:left w:val="none" w:sz="0" w:space="0" w:color="auto"/>
            <w:bottom w:val="none" w:sz="0" w:space="0" w:color="auto"/>
            <w:right w:val="none" w:sz="0" w:space="0" w:color="auto"/>
          </w:divBdr>
        </w:div>
        <w:div w:id="732389012">
          <w:marLeft w:val="640"/>
          <w:marRight w:val="0"/>
          <w:marTop w:val="0"/>
          <w:marBottom w:val="0"/>
          <w:divBdr>
            <w:top w:val="none" w:sz="0" w:space="0" w:color="auto"/>
            <w:left w:val="none" w:sz="0" w:space="0" w:color="auto"/>
            <w:bottom w:val="none" w:sz="0" w:space="0" w:color="auto"/>
            <w:right w:val="none" w:sz="0" w:space="0" w:color="auto"/>
          </w:divBdr>
        </w:div>
        <w:div w:id="46729822">
          <w:marLeft w:val="640"/>
          <w:marRight w:val="0"/>
          <w:marTop w:val="0"/>
          <w:marBottom w:val="0"/>
          <w:divBdr>
            <w:top w:val="none" w:sz="0" w:space="0" w:color="auto"/>
            <w:left w:val="none" w:sz="0" w:space="0" w:color="auto"/>
            <w:bottom w:val="none" w:sz="0" w:space="0" w:color="auto"/>
            <w:right w:val="none" w:sz="0" w:space="0" w:color="auto"/>
          </w:divBdr>
        </w:div>
        <w:div w:id="1281032946">
          <w:marLeft w:val="640"/>
          <w:marRight w:val="0"/>
          <w:marTop w:val="0"/>
          <w:marBottom w:val="0"/>
          <w:divBdr>
            <w:top w:val="none" w:sz="0" w:space="0" w:color="auto"/>
            <w:left w:val="none" w:sz="0" w:space="0" w:color="auto"/>
            <w:bottom w:val="none" w:sz="0" w:space="0" w:color="auto"/>
            <w:right w:val="none" w:sz="0" w:space="0" w:color="auto"/>
          </w:divBdr>
        </w:div>
        <w:div w:id="1960842833">
          <w:marLeft w:val="640"/>
          <w:marRight w:val="0"/>
          <w:marTop w:val="0"/>
          <w:marBottom w:val="0"/>
          <w:divBdr>
            <w:top w:val="none" w:sz="0" w:space="0" w:color="auto"/>
            <w:left w:val="none" w:sz="0" w:space="0" w:color="auto"/>
            <w:bottom w:val="none" w:sz="0" w:space="0" w:color="auto"/>
            <w:right w:val="none" w:sz="0" w:space="0" w:color="auto"/>
          </w:divBdr>
        </w:div>
        <w:div w:id="734160704">
          <w:marLeft w:val="640"/>
          <w:marRight w:val="0"/>
          <w:marTop w:val="0"/>
          <w:marBottom w:val="0"/>
          <w:divBdr>
            <w:top w:val="none" w:sz="0" w:space="0" w:color="auto"/>
            <w:left w:val="none" w:sz="0" w:space="0" w:color="auto"/>
            <w:bottom w:val="none" w:sz="0" w:space="0" w:color="auto"/>
            <w:right w:val="none" w:sz="0" w:space="0" w:color="auto"/>
          </w:divBdr>
        </w:div>
        <w:div w:id="923101911">
          <w:marLeft w:val="640"/>
          <w:marRight w:val="0"/>
          <w:marTop w:val="0"/>
          <w:marBottom w:val="0"/>
          <w:divBdr>
            <w:top w:val="none" w:sz="0" w:space="0" w:color="auto"/>
            <w:left w:val="none" w:sz="0" w:space="0" w:color="auto"/>
            <w:bottom w:val="none" w:sz="0" w:space="0" w:color="auto"/>
            <w:right w:val="none" w:sz="0" w:space="0" w:color="auto"/>
          </w:divBdr>
        </w:div>
        <w:div w:id="1728605027">
          <w:marLeft w:val="640"/>
          <w:marRight w:val="0"/>
          <w:marTop w:val="0"/>
          <w:marBottom w:val="0"/>
          <w:divBdr>
            <w:top w:val="none" w:sz="0" w:space="0" w:color="auto"/>
            <w:left w:val="none" w:sz="0" w:space="0" w:color="auto"/>
            <w:bottom w:val="none" w:sz="0" w:space="0" w:color="auto"/>
            <w:right w:val="none" w:sz="0" w:space="0" w:color="auto"/>
          </w:divBdr>
        </w:div>
        <w:div w:id="1786198072">
          <w:marLeft w:val="640"/>
          <w:marRight w:val="0"/>
          <w:marTop w:val="0"/>
          <w:marBottom w:val="0"/>
          <w:divBdr>
            <w:top w:val="none" w:sz="0" w:space="0" w:color="auto"/>
            <w:left w:val="none" w:sz="0" w:space="0" w:color="auto"/>
            <w:bottom w:val="none" w:sz="0" w:space="0" w:color="auto"/>
            <w:right w:val="none" w:sz="0" w:space="0" w:color="auto"/>
          </w:divBdr>
        </w:div>
        <w:div w:id="1708798077">
          <w:marLeft w:val="640"/>
          <w:marRight w:val="0"/>
          <w:marTop w:val="0"/>
          <w:marBottom w:val="0"/>
          <w:divBdr>
            <w:top w:val="none" w:sz="0" w:space="0" w:color="auto"/>
            <w:left w:val="none" w:sz="0" w:space="0" w:color="auto"/>
            <w:bottom w:val="none" w:sz="0" w:space="0" w:color="auto"/>
            <w:right w:val="none" w:sz="0" w:space="0" w:color="auto"/>
          </w:divBdr>
        </w:div>
        <w:div w:id="862791419">
          <w:marLeft w:val="640"/>
          <w:marRight w:val="0"/>
          <w:marTop w:val="0"/>
          <w:marBottom w:val="0"/>
          <w:divBdr>
            <w:top w:val="none" w:sz="0" w:space="0" w:color="auto"/>
            <w:left w:val="none" w:sz="0" w:space="0" w:color="auto"/>
            <w:bottom w:val="none" w:sz="0" w:space="0" w:color="auto"/>
            <w:right w:val="none" w:sz="0" w:space="0" w:color="auto"/>
          </w:divBdr>
        </w:div>
        <w:div w:id="1855337343">
          <w:marLeft w:val="640"/>
          <w:marRight w:val="0"/>
          <w:marTop w:val="0"/>
          <w:marBottom w:val="0"/>
          <w:divBdr>
            <w:top w:val="none" w:sz="0" w:space="0" w:color="auto"/>
            <w:left w:val="none" w:sz="0" w:space="0" w:color="auto"/>
            <w:bottom w:val="none" w:sz="0" w:space="0" w:color="auto"/>
            <w:right w:val="none" w:sz="0" w:space="0" w:color="auto"/>
          </w:divBdr>
        </w:div>
        <w:div w:id="621569635">
          <w:marLeft w:val="640"/>
          <w:marRight w:val="0"/>
          <w:marTop w:val="0"/>
          <w:marBottom w:val="0"/>
          <w:divBdr>
            <w:top w:val="none" w:sz="0" w:space="0" w:color="auto"/>
            <w:left w:val="none" w:sz="0" w:space="0" w:color="auto"/>
            <w:bottom w:val="none" w:sz="0" w:space="0" w:color="auto"/>
            <w:right w:val="none" w:sz="0" w:space="0" w:color="auto"/>
          </w:divBdr>
        </w:div>
        <w:div w:id="2062630105">
          <w:marLeft w:val="640"/>
          <w:marRight w:val="0"/>
          <w:marTop w:val="0"/>
          <w:marBottom w:val="0"/>
          <w:divBdr>
            <w:top w:val="none" w:sz="0" w:space="0" w:color="auto"/>
            <w:left w:val="none" w:sz="0" w:space="0" w:color="auto"/>
            <w:bottom w:val="none" w:sz="0" w:space="0" w:color="auto"/>
            <w:right w:val="none" w:sz="0" w:space="0" w:color="auto"/>
          </w:divBdr>
        </w:div>
        <w:div w:id="1691104290">
          <w:marLeft w:val="640"/>
          <w:marRight w:val="0"/>
          <w:marTop w:val="0"/>
          <w:marBottom w:val="0"/>
          <w:divBdr>
            <w:top w:val="none" w:sz="0" w:space="0" w:color="auto"/>
            <w:left w:val="none" w:sz="0" w:space="0" w:color="auto"/>
            <w:bottom w:val="none" w:sz="0" w:space="0" w:color="auto"/>
            <w:right w:val="none" w:sz="0" w:space="0" w:color="auto"/>
          </w:divBdr>
        </w:div>
        <w:div w:id="569586251">
          <w:marLeft w:val="640"/>
          <w:marRight w:val="0"/>
          <w:marTop w:val="0"/>
          <w:marBottom w:val="0"/>
          <w:divBdr>
            <w:top w:val="none" w:sz="0" w:space="0" w:color="auto"/>
            <w:left w:val="none" w:sz="0" w:space="0" w:color="auto"/>
            <w:bottom w:val="none" w:sz="0" w:space="0" w:color="auto"/>
            <w:right w:val="none" w:sz="0" w:space="0" w:color="auto"/>
          </w:divBdr>
        </w:div>
        <w:div w:id="49811670">
          <w:marLeft w:val="640"/>
          <w:marRight w:val="0"/>
          <w:marTop w:val="0"/>
          <w:marBottom w:val="0"/>
          <w:divBdr>
            <w:top w:val="none" w:sz="0" w:space="0" w:color="auto"/>
            <w:left w:val="none" w:sz="0" w:space="0" w:color="auto"/>
            <w:bottom w:val="none" w:sz="0" w:space="0" w:color="auto"/>
            <w:right w:val="none" w:sz="0" w:space="0" w:color="auto"/>
          </w:divBdr>
        </w:div>
        <w:div w:id="1736900823">
          <w:marLeft w:val="640"/>
          <w:marRight w:val="0"/>
          <w:marTop w:val="0"/>
          <w:marBottom w:val="0"/>
          <w:divBdr>
            <w:top w:val="none" w:sz="0" w:space="0" w:color="auto"/>
            <w:left w:val="none" w:sz="0" w:space="0" w:color="auto"/>
            <w:bottom w:val="none" w:sz="0" w:space="0" w:color="auto"/>
            <w:right w:val="none" w:sz="0" w:space="0" w:color="auto"/>
          </w:divBdr>
        </w:div>
        <w:div w:id="1011101628">
          <w:marLeft w:val="640"/>
          <w:marRight w:val="0"/>
          <w:marTop w:val="0"/>
          <w:marBottom w:val="0"/>
          <w:divBdr>
            <w:top w:val="none" w:sz="0" w:space="0" w:color="auto"/>
            <w:left w:val="none" w:sz="0" w:space="0" w:color="auto"/>
            <w:bottom w:val="none" w:sz="0" w:space="0" w:color="auto"/>
            <w:right w:val="none" w:sz="0" w:space="0" w:color="auto"/>
          </w:divBdr>
        </w:div>
        <w:div w:id="1510290599">
          <w:marLeft w:val="640"/>
          <w:marRight w:val="0"/>
          <w:marTop w:val="0"/>
          <w:marBottom w:val="0"/>
          <w:divBdr>
            <w:top w:val="none" w:sz="0" w:space="0" w:color="auto"/>
            <w:left w:val="none" w:sz="0" w:space="0" w:color="auto"/>
            <w:bottom w:val="none" w:sz="0" w:space="0" w:color="auto"/>
            <w:right w:val="none" w:sz="0" w:space="0" w:color="auto"/>
          </w:divBdr>
        </w:div>
        <w:div w:id="1957982627">
          <w:marLeft w:val="640"/>
          <w:marRight w:val="0"/>
          <w:marTop w:val="0"/>
          <w:marBottom w:val="0"/>
          <w:divBdr>
            <w:top w:val="none" w:sz="0" w:space="0" w:color="auto"/>
            <w:left w:val="none" w:sz="0" w:space="0" w:color="auto"/>
            <w:bottom w:val="none" w:sz="0" w:space="0" w:color="auto"/>
            <w:right w:val="none" w:sz="0" w:space="0" w:color="auto"/>
          </w:divBdr>
        </w:div>
        <w:div w:id="340818217">
          <w:marLeft w:val="640"/>
          <w:marRight w:val="0"/>
          <w:marTop w:val="0"/>
          <w:marBottom w:val="0"/>
          <w:divBdr>
            <w:top w:val="none" w:sz="0" w:space="0" w:color="auto"/>
            <w:left w:val="none" w:sz="0" w:space="0" w:color="auto"/>
            <w:bottom w:val="none" w:sz="0" w:space="0" w:color="auto"/>
            <w:right w:val="none" w:sz="0" w:space="0" w:color="auto"/>
          </w:divBdr>
        </w:div>
        <w:div w:id="1338187782">
          <w:marLeft w:val="640"/>
          <w:marRight w:val="0"/>
          <w:marTop w:val="0"/>
          <w:marBottom w:val="0"/>
          <w:divBdr>
            <w:top w:val="none" w:sz="0" w:space="0" w:color="auto"/>
            <w:left w:val="none" w:sz="0" w:space="0" w:color="auto"/>
            <w:bottom w:val="none" w:sz="0" w:space="0" w:color="auto"/>
            <w:right w:val="none" w:sz="0" w:space="0" w:color="auto"/>
          </w:divBdr>
        </w:div>
        <w:div w:id="492716833">
          <w:marLeft w:val="640"/>
          <w:marRight w:val="0"/>
          <w:marTop w:val="0"/>
          <w:marBottom w:val="0"/>
          <w:divBdr>
            <w:top w:val="none" w:sz="0" w:space="0" w:color="auto"/>
            <w:left w:val="none" w:sz="0" w:space="0" w:color="auto"/>
            <w:bottom w:val="none" w:sz="0" w:space="0" w:color="auto"/>
            <w:right w:val="none" w:sz="0" w:space="0" w:color="auto"/>
          </w:divBdr>
        </w:div>
        <w:div w:id="1900631946">
          <w:marLeft w:val="640"/>
          <w:marRight w:val="0"/>
          <w:marTop w:val="0"/>
          <w:marBottom w:val="0"/>
          <w:divBdr>
            <w:top w:val="none" w:sz="0" w:space="0" w:color="auto"/>
            <w:left w:val="none" w:sz="0" w:space="0" w:color="auto"/>
            <w:bottom w:val="none" w:sz="0" w:space="0" w:color="auto"/>
            <w:right w:val="none" w:sz="0" w:space="0" w:color="auto"/>
          </w:divBdr>
        </w:div>
        <w:div w:id="1555116056">
          <w:marLeft w:val="640"/>
          <w:marRight w:val="0"/>
          <w:marTop w:val="0"/>
          <w:marBottom w:val="0"/>
          <w:divBdr>
            <w:top w:val="none" w:sz="0" w:space="0" w:color="auto"/>
            <w:left w:val="none" w:sz="0" w:space="0" w:color="auto"/>
            <w:bottom w:val="none" w:sz="0" w:space="0" w:color="auto"/>
            <w:right w:val="none" w:sz="0" w:space="0" w:color="auto"/>
          </w:divBdr>
        </w:div>
        <w:div w:id="605771390">
          <w:marLeft w:val="640"/>
          <w:marRight w:val="0"/>
          <w:marTop w:val="0"/>
          <w:marBottom w:val="0"/>
          <w:divBdr>
            <w:top w:val="none" w:sz="0" w:space="0" w:color="auto"/>
            <w:left w:val="none" w:sz="0" w:space="0" w:color="auto"/>
            <w:bottom w:val="none" w:sz="0" w:space="0" w:color="auto"/>
            <w:right w:val="none" w:sz="0" w:space="0" w:color="auto"/>
          </w:divBdr>
        </w:div>
        <w:div w:id="1105275019">
          <w:marLeft w:val="640"/>
          <w:marRight w:val="0"/>
          <w:marTop w:val="0"/>
          <w:marBottom w:val="0"/>
          <w:divBdr>
            <w:top w:val="none" w:sz="0" w:space="0" w:color="auto"/>
            <w:left w:val="none" w:sz="0" w:space="0" w:color="auto"/>
            <w:bottom w:val="none" w:sz="0" w:space="0" w:color="auto"/>
            <w:right w:val="none" w:sz="0" w:space="0" w:color="auto"/>
          </w:divBdr>
        </w:div>
        <w:div w:id="1948925995">
          <w:marLeft w:val="640"/>
          <w:marRight w:val="0"/>
          <w:marTop w:val="0"/>
          <w:marBottom w:val="0"/>
          <w:divBdr>
            <w:top w:val="none" w:sz="0" w:space="0" w:color="auto"/>
            <w:left w:val="none" w:sz="0" w:space="0" w:color="auto"/>
            <w:bottom w:val="none" w:sz="0" w:space="0" w:color="auto"/>
            <w:right w:val="none" w:sz="0" w:space="0" w:color="auto"/>
          </w:divBdr>
        </w:div>
        <w:div w:id="1062169202">
          <w:marLeft w:val="640"/>
          <w:marRight w:val="0"/>
          <w:marTop w:val="0"/>
          <w:marBottom w:val="0"/>
          <w:divBdr>
            <w:top w:val="none" w:sz="0" w:space="0" w:color="auto"/>
            <w:left w:val="none" w:sz="0" w:space="0" w:color="auto"/>
            <w:bottom w:val="none" w:sz="0" w:space="0" w:color="auto"/>
            <w:right w:val="none" w:sz="0" w:space="0" w:color="auto"/>
          </w:divBdr>
        </w:div>
        <w:div w:id="1340041345">
          <w:marLeft w:val="640"/>
          <w:marRight w:val="0"/>
          <w:marTop w:val="0"/>
          <w:marBottom w:val="0"/>
          <w:divBdr>
            <w:top w:val="none" w:sz="0" w:space="0" w:color="auto"/>
            <w:left w:val="none" w:sz="0" w:space="0" w:color="auto"/>
            <w:bottom w:val="none" w:sz="0" w:space="0" w:color="auto"/>
            <w:right w:val="none" w:sz="0" w:space="0" w:color="auto"/>
          </w:divBdr>
        </w:div>
        <w:div w:id="1218400572">
          <w:marLeft w:val="640"/>
          <w:marRight w:val="0"/>
          <w:marTop w:val="0"/>
          <w:marBottom w:val="0"/>
          <w:divBdr>
            <w:top w:val="none" w:sz="0" w:space="0" w:color="auto"/>
            <w:left w:val="none" w:sz="0" w:space="0" w:color="auto"/>
            <w:bottom w:val="none" w:sz="0" w:space="0" w:color="auto"/>
            <w:right w:val="none" w:sz="0" w:space="0" w:color="auto"/>
          </w:divBdr>
        </w:div>
        <w:div w:id="35352827">
          <w:marLeft w:val="640"/>
          <w:marRight w:val="0"/>
          <w:marTop w:val="0"/>
          <w:marBottom w:val="0"/>
          <w:divBdr>
            <w:top w:val="none" w:sz="0" w:space="0" w:color="auto"/>
            <w:left w:val="none" w:sz="0" w:space="0" w:color="auto"/>
            <w:bottom w:val="none" w:sz="0" w:space="0" w:color="auto"/>
            <w:right w:val="none" w:sz="0" w:space="0" w:color="auto"/>
          </w:divBdr>
        </w:div>
        <w:div w:id="1839465355">
          <w:marLeft w:val="640"/>
          <w:marRight w:val="0"/>
          <w:marTop w:val="0"/>
          <w:marBottom w:val="0"/>
          <w:divBdr>
            <w:top w:val="none" w:sz="0" w:space="0" w:color="auto"/>
            <w:left w:val="none" w:sz="0" w:space="0" w:color="auto"/>
            <w:bottom w:val="none" w:sz="0" w:space="0" w:color="auto"/>
            <w:right w:val="none" w:sz="0" w:space="0" w:color="auto"/>
          </w:divBdr>
        </w:div>
        <w:div w:id="2083289369">
          <w:marLeft w:val="640"/>
          <w:marRight w:val="0"/>
          <w:marTop w:val="0"/>
          <w:marBottom w:val="0"/>
          <w:divBdr>
            <w:top w:val="none" w:sz="0" w:space="0" w:color="auto"/>
            <w:left w:val="none" w:sz="0" w:space="0" w:color="auto"/>
            <w:bottom w:val="none" w:sz="0" w:space="0" w:color="auto"/>
            <w:right w:val="none" w:sz="0" w:space="0" w:color="auto"/>
          </w:divBdr>
        </w:div>
        <w:div w:id="1645548020">
          <w:marLeft w:val="640"/>
          <w:marRight w:val="0"/>
          <w:marTop w:val="0"/>
          <w:marBottom w:val="0"/>
          <w:divBdr>
            <w:top w:val="none" w:sz="0" w:space="0" w:color="auto"/>
            <w:left w:val="none" w:sz="0" w:space="0" w:color="auto"/>
            <w:bottom w:val="none" w:sz="0" w:space="0" w:color="auto"/>
            <w:right w:val="none" w:sz="0" w:space="0" w:color="auto"/>
          </w:divBdr>
        </w:div>
        <w:div w:id="1052316104">
          <w:marLeft w:val="640"/>
          <w:marRight w:val="0"/>
          <w:marTop w:val="0"/>
          <w:marBottom w:val="0"/>
          <w:divBdr>
            <w:top w:val="none" w:sz="0" w:space="0" w:color="auto"/>
            <w:left w:val="none" w:sz="0" w:space="0" w:color="auto"/>
            <w:bottom w:val="none" w:sz="0" w:space="0" w:color="auto"/>
            <w:right w:val="none" w:sz="0" w:space="0" w:color="auto"/>
          </w:divBdr>
        </w:div>
        <w:div w:id="864638525">
          <w:marLeft w:val="640"/>
          <w:marRight w:val="0"/>
          <w:marTop w:val="0"/>
          <w:marBottom w:val="0"/>
          <w:divBdr>
            <w:top w:val="none" w:sz="0" w:space="0" w:color="auto"/>
            <w:left w:val="none" w:sz="0" w:space="0" w:color="auto"/>
            <w:bottom w:val="none" w:sz="0" w:space="0" w:color="auto"/>
            <w:right w:val="none" w:sz="0" w:space="0" w:color="auto"/>
          </w:divBdr>
        </w:div>
        <w:div w:id="304355494">
          <w:marLeft w:val="640"/>
          <w:marRight w:val="0"/>
          <w:marTop w:val="0"/>
          <w:marBottom w:val="0"/>
          <w:divBdr>
            <w:top w:val="none" w:sz="0" w:space="0" w:color="auto"/>
            <w:left w:val="none" w:sz="0" w:space="0" w:color="auto"/>
            <w:bottom w:val="none" w:sz="0" w:space="0" w:color="auto"/>
            <w:right w:val="none" w:sz="0" w:space="0" w:color="auto"/>
          </w:divBdr>
        </w:div>
        <w:div w:id="669672602">
          <w:marLeft w:val="640"/>
          <w:marRight w:val="0"/>
          <w:marTop w:val="0"/>
          <w:marBottom w:val="0"/>
          <w:divBdr>
            <w:top w:val="none" w:sz="0" w:space="0" w:color="auto"/>
            <w:left w:val="none" w:sz="0" w:space="0" w:color="auto"/>
            <w:bottom w:val="none" w:sz="0" w:space="0" w:color="auto"/>
            <w:right w:val="none" w:sz="0" w:space="0" w:color="auto"/>
          </w:divBdr>
        </w:div>
        <w:div w:id="2081096383">
          <w:marLeft w:val="640"/>
          <w:marRight w:val="0"/>
          <w:marTop w:val="0"/>
          <w:marBottom w:val="0"/>
          <w:divBdr>
            <w:top w:val="none" w:sz="0" w:space="0" w:color="auto"/>
            <w:left w:val="none" w:sz="0" w:space="0" w:color="auto"/>
            <w:bottom w:val="none" w:sz="0" w:space="0" w:color="auto"/>
            <w:right w:val="none" w:sz="0" w:space="0" w:color="auto"/>
          </w:divBdr>
        </w:div>
        <w:div w:id="1691910056">
          <w:marLeft w:val="640"/>
          <w:marRight w:val="0"/>
          <w:marTop w:val="0"/>
          <w:marBottom w:val="0"/>
          <w:divBdr>
            <w:top w:val="none" w:sz="0" w:space="0" w:color="auto"/>
            <w:left w:val="none" w:sz="0" w:space="0" w:color="auto"/>
            <w:bottom w:val="none" w:sz="0" w:space="0" w:color="auto"/>
            <w:right w:val="none" w:sz="0" w:space="0" w:color="auto"/>
          </w:divBdr>
        </w:div>
        <w:div w:id="1976984878">
          <w:marLeft w:val="640"/>
          <w:marRight w:val="0"/>
          <w:marTop w:val="0"/>
          <w:marBottom w:val="0"/>
          <w:divBdr>
            <w:top w:val="none" w:sz="0" w:space="0" w:color="auto"/>
            <w:left w:val="none" w:sz="0" w:space="0" w:color="auto"/>
            <w:bottom w:val="none" w:sz="0" w:space="0" w:color="auto"/>
            <w:right w:val="none" w:sz="0" w:space="0" w:color="auto"/>
          </w:divBdr>
        </w:div>
        <w:div w:id="1191840517">
          <w:marLeft w:val="640"/>
          <w:marRight w:val="0"/>
          <w:marTop w:val="0"/>
          <w:marBottom w:val="0"/>
          <w:divBdr>
            <w:top w:val="none" w:sz="0" w:space="0" w:color="auto"/>
            <w:left w:val="none" w:sz="0" w:space="0" w:color="auto"/>
            <w:bottom w:val="none" w:sz="0" w:space="0" w:color="auto"/>
            <w:right w:val="none" w:sz="0" w:space="0" w:color="auto"/>
          </w:divBdr>
        </w:div>
        <w:div w:id="1077674546">
          <w:marLeft w:val="640"/>
          <w:marRight w:val="0"/>
          <w:marTop w:val="0"/>
          <w:marBottom w:val="0"/>
          <w:divBdr>
            <w:top w:val="none" w:sz="0" w:space="0" w:color="auto"/>
            <w:left w:val="none" w:sz="0" w:space="0" w:color="auto"/>
            <w:bottom w:val="none" w:sz="0" w:space="0" w:color="auto"/>
            <w:right w:val="none" w:sz="0" w:space="0" w:color="auto"/>
          </w:divBdr>
        </w:div>
        <w:div w:id="903032933">
          <w:marLeft w:val="640"/>
          <w:marRight w:val="0"/>
          <w:marTop w:val="0"/>
          <w:marBottom w:val="0"/>
          <w:divBdr>
            <w:top w:val="none" w:sz="0" w:space="0" w:color="auto"/>
            <w:left w:val="none" w:sz="0" w:space="0" w:color="auto"/>
            <w:bottom w:val="none" w:sz="0" w:space="0" w:color="auto"/>
            <w:right w:val="none" w:sz="0" w:space="0" w:color="auto"/>
          </w:divBdr>
        </w:div>
        <w:div w:id="661858894">
          <w:marLeft w:val="640"/>
          <w:marRight w:val="0"/>
          <w:marTop w:val="0"/>
          <w:marBottom w:val="0"/>
          <w:divBdr>
            <w:top w:val="none" w:sz="0" w:space="0" w:color="auto"/>
            <w:left w:val="none" w:sz="0" w:space="0" w:color="auto"/>
            <w:bottom w:val="none" w:sz="0" w:space="0" w:color="auto"/>
            <w:right w:val="none" w:sz="0" w:space="0" w:color="auto"/>
          </w:divBdr>
        </w:div>
        <w:div w:id="221525568">
          <w:marLeft w:val="640"/>
          <w:marRight w:val="0"/>
          <w:marTop w:val="0"/>
          <w:marBottom w:val="0"/>
          <w:divBdr>
            <w:top w:val="none" w:sz="0" w:space="0" w:color="auto"/>
            <w:left w:val="none" w:sz="0" w:space="0" w:color="auto"/>
            <w:bottom w:val="none" w:sz="0" w:space="0" w:color="auto"/>
            <w:right w:val="none" w:sz="0" w:space="0" w:color="auto"/>
          </w:divBdr>
        </w:div>
        <w:div w:id="1386444897">
          <w:marLeft w:val="640"/>
          <w:marRight w:val="0"/>
          <w:marTop w:val="0"/>
          <w:marBottom w:val="0"/>
          <w:divBdr>
            <w:top w:val="none" w:sz="0" w:space="0" w:color="auto"/>
            <w:left w:val="none" w:sz="0" w:space="0" w:color="auto"/>
            <w:bottom w:val="none" w:sz="0" w:space="0" w:color="auto"/>
            <w:right w:val="none" w:sz="0" w:space="0" w:color="auto"/>
          </w:divBdr>
        </w:div>
        <w:div w:id="1576427661">
          <w:marLeft w:val="640"/>
          <w:marRight w:val="0"/>
          <w:marTop w:val="0"/>
          <w:marBottom w:val="0"/>
          <w:divBdr>
            <w:top w:val="none" w:sz="0" w:space="0" w:color="auto"/>
            <w:left w:val="none" w:sz="0" w:space="0" w:color="auto"/>
            <w:bottom w:val="none" w:sz="0" w:space="0" w:color="auto"/>
            <w:right w:val="none" w:sz="0" w:space="0" w:color="auto"/>
          </w:divBdr>
        </w:div>
        <w:div w:id="479226717">
          <w:marLeft w:val="640"/>
          <w:marRight w:val="0"/>
          <w:marTop w:val="0"/>
          <w:marBottom w:val="0"/>
          <w:divBdr>
            <w:top w:val="none" w:sz="0" w:space="0" w:color="auto"/>
            <w:left w:val="none" w:sz="0" w:space="0" w:color="auto"/>
            <w:bottom w:val="none" w:sz="0" w:space="0" w:color="auto"/>
            <w:right w:val="none" w:sz="0" w:space="0" w:color="auto"/>
          </w:divBdr>
        </w:div>
        <w:div w:id="139345787">
          <w:marLeft w:val="640"/>
          <w:marRight w:val="0"/>
          <w:marTop w:val="0"/>
          <w:marBottom w:val="0"/>
          <w:divBdr>
            <w:top w:val="none" w:sz="0" w:space="0" w:color="auto"/>
            <w:left w:val="none" w:sz="0" w:space="0" w:color="auto"/>
            <w:bottom w:val="none" w:sz="0" w:space="0" w:color="auto"/>
            <w:right w:val="none" w:sz="0" w:space="0" w:color="auto"/>
          </w:divBdr>
        </w:div>
        <w:div w:id="1618484316">
          <w:marLeft w:val="640"/>
          <w:marRight w:val="0"/>
          <w:marTop w:val="0"/>
          <w:marBottom w:val="0"/>
          <w:divBdr>
            <w:top w:val="none" w:sz="0" w:space="0" w:color="auto"/>
            <w:left w:val="none" w:sz="0" w:space="0" w:color="auto"/>
            <w:bottom w:val="none" w:sz="0" w:space="0" w:color="auto"/>
            <w:right w:val="none" w:sz="0" w:space="0" w:color="auto"/>
          </w:divBdr>
        </w:div>
        <w:div w:id="61611297">
          <w:marLeft w:val="640"/>
          <w:marRight w:val="0"/>
          <w:marTop w:val="0"/>
          <w:marBottom w:val="0"/>
          <w:divBdr>
            <w:top w:val="none" w:sz="0" w:space="0" w:color="auto"/>
            <w:left w:val="none" w:sz="0" w:space="0" w:color="auto"/>
            <w:bottom w:val="none" w:sz="0" w:space="0" w:color="auto"/>
            <w:right w:val="none" w:sz="0" w:space="0" w:color="auto"/>
          </w:divBdr>
        </w:div>
        <w:div w:id="323511222">
          <w:marLeft w:val="640"/>
          <w:marRight w:val="0"/>
          <w:marTop w:val="0"/>
          <w:marBottom w:val="0"/>
          <w:divBdr>
            <w:top w:val="none" w:sz="0" w:space="0" w:color="auto"/>
            <w:left w:val="none" w:sz="0" w:space="0" w:color="auto"/>
            <w:bottom w:val="none" w:sz="0" w:space="0" w:color="auto"/>
            <w:right w:val="none" w:sz="0" w:space="0" w:color="auto"/>
          </w:divBdr>
        </w:div>
        <w:div w:id="1950895525">
          <w:marLeft w:val="640"/>
          <w:marRight w:val="0"/>
          <w:marTop w:val="0"/>
          <w:marBottom w:val="0"/>
          <w:divBdr>
            <w:top w:val="none" w:sz="0" w:space="0" w:color="auto"/>
            <w:left w:val="none" w:sz="0" w:space="0" w:color="auto"/>
            <w:bottom w:val="none" w:sz="0" w:space="0" w:color="auto"/>
            <w:right w:val="none" w:sz="0" w:space="0" w:color="auto"/>
          </w:divBdr>
        </w:div>
        <w:div w:id="1257322948">
          <w:marLeft w:val="640"/>
          <w:marRight w:val="0"/>
          <w:marTop w:val="0"/>
          <w:marBottom w:val="0"/>
          <w:divBdr>
            <w:top w:val="none" w:sz="0" w:space="0" w:color="auto"/>
            <w:left w:val="none" w:sz="0" w:space="0" w:color="auto"/>
            <w:bottom w:val="none" w:sz="0" w:space="0" w:color="auto"/>
            <w:right w:val="none" w:sz="0" w:space="0" w:color="auto"/>
          </w:divBdr>
        </w:div>
        <w:div w:id="929893731">
          <w:marLeft w:val="640"/>
          <w:marRight w:val="0"/>
          <w:marTop w:val="0"/>
          <w:marBottom w:val="0"/>
          <w:divBdr>
            <w:top w:val="none" w:sz="0" w:space="0" w:color="auto"/>
            <w:left w:val="none" w:sz="0" w:space="0" w:color="auto"/>
            <w:bottom w:val="none" w:sz="0" w:space="0" w:color="auto"/>
            <w:right w:val="none" w:sz="0" w:space="0" w:color="auto"/>
          </w:divBdr>
        </w:div>
        <w:div w:id="745297883">
          <w:marLeft w:val="640"/>
          <w:marRight w:val="0"/>
          <w:marTop w:val="0"/>
          <w:marBottom w:val="0"/>
          <w:divBdr>
            <w:top w:val="none" w:sz="0" w:space="0" w:color="auto"/>
            <w:left w:val="none" w:sz="0" w:space="0" w:color="auto"/>
            <w:bottom w:val="none" w:sz="0" w:space="0" w:color="auto"/>
            <w:right w:val="none" w:sz="0" w:space="0" w:color="auto"/>
          </w:divBdr>
        </w:div>
        <w:div w:id="197940066">
          <w:marLeft w:val="640"/>
          <w:marRight w:val="0"/>
          <w:marTop w:val="0"/>
          <w:marBottom w:val="0"/>
          <w:divBdr>
            <w:top w:val="none" w:sz="0" w:space="0" w:color="auto"/>
            <w:left w:val="none" w:sz="0" w:space="0" w:color="auto"/>
            <w:bottom w:val="none" w:sz="0" w:space="0" w:color="auto"/>
            <w:right w:val="none" w:sz="0" w:space="0" w:color="auto"/>
          </w:divBdr>
        </w:div>
        <w:div w:id="1798136081">
          <w:marLeft w:val="640"/>
          <w:marRight w:val="0"/>
          <w:marTop w:val="0"/>
          <w:marBottom w:val="0"/>
          <w:divBdr>
            <w:top w:val="none" w:sz="0" w:space="0" w:color="auto"/>
            <w:left w:val="none" w:sz="0" w:space="0" w:color="auto"/>
            <w:bottom w:val="none" w:sz="0" w:space="0" w:color="auto"/>
            <w:right w:val="none" w:sz="0" w:space="0" w:color="auto"/>
          </w:divBdr>
        </w:div>
        <w:div w:id="1992556842">
          <w:marLeft w:val="640"/>
          <w:marRight w:val="0"/>
          <w:marTop w:val="0"/>
          <w:marBottom w:val="0"/>
          <w:divBdr>
            <w:top w:val="none" w:sz="0" w:space="0" w:color="auto"/>
            <w:left w:val="none" w:sz="0" w:space="0" w:color="auto"/>
            <w:bottom w:val="none" w:sz="0" w:space="0" w:color="auto"/>
            <w:right w:val="none" w:sz="0" w:space="0" w:color="auto"/>
          </w:divBdr>
        </w:div>
        <w:div w:id="1096093914">
          <w:marLeft w:val="640"/>
          <w:marRight w:val="0"/>
          <w:marTop w:val="0"/>
          <w:marBottom w:val="0"/>
          <w:divBdr>
            <w:top w:val="none" w:sz="0" w:space="0" w:color="auto"/>
            <w:left w:val="none" w:sz="0" w:space="0" w:color="auto"/>
            <w:bottom w:val="none" w:sz="0" w:space="0" w:color="auto"/>
            <w:right w:val="none" w:sz="0" w:space="0" w:color="auto"/>
          </w:divBdr>
        </w:div>
      </w:divsChild>
    </w:div>
    <w:div w:id="2048138684">
      <w:bodyDiv w:val="1"/>
      <w:marLeft w:val="0"/>
      <w:marRight w:val="0"/>
      <w:marTop w:val="0"/>
      <w:marBottom w:val="0"/>
      <w:divBdr>
        <w:top w:val="none" w:sz="0" w:space="0" w:color="auto"/>
        <w:left w:val="none" w:sz="0" w:space="0" w:color="auto"/>
        <w:bottom w:val="none" w:sz="0" w:space="0" w:color="auto"/>
        <w:right w:val="none" w:sz="0" w:space="0" w:color="auto"/>
      </w:divBdr>
      <w:divsChild>
        <w:div w:id="214439025">
          <w:marLeft w:val="640"/>
          <w:marRight w:val="0"/>
          <w:marTop w:val="0"/>
          <w:marBottom w:val="0"/>
          <w:divBdr>
            <w:top w:val="none" w:sz="0" w:space="0" w:color="auto"/>
            <w:left w:val="none" w:sz="0" w:space="0" w:color="auto"/>
            <w:bottom w:val="none" w:sz="0" w:space="0" w:color="auto"/>
            <w:right w:val="none" w:sz="0" w:space="0" w:color="auto"/>
          </w:divBdr>
        </w:div>
        <w:div w:id="945962418">
          <w:marLeft w:val="640"/>
          <w:marRight w:val="0"/>
          <w:marTop w:val="0"/>
          <w:marBottom w:val="0"/>
          <w:divBdr>
            <w:top w:val="none" w:sz="0" w:space="0" w:color="auto"/>
            <w:left w:val="none" w:sz="0" w:space="0" w:color="auto"/>
            <w:bottom w:val="none" w:sz="0" w:space="0" w:color="auto"/>
            <w:right w:val="none" w:sz="0" w:space="0" w:color="auto"/>
          </w:divBdr>
        </w:div>
        <w:div w:id="20329304">
          <w:marLeft w:val="640"/>
          <w:marRight w:val="0"/>
          <w:marTop w:val="0"/>
          <w:marBottom w:val="0"/>
          <w:divBdr>
            <w:top w:val="none" w:sz="0" w:space="0" w:color="auto"/>
            <w:left w:val="none" w:sz="0" w:space="0" w:color="auto"/>
            <w:bottom w:val="none" w:sz="0" w:space="0" w:color="auto"/>
            <w:right w:val="none" w:sz="0" w:space="0" w:color="auto"/>
          </w:divBdr>
        </w:div>
        <w:div w:id="1620260096">
          <w:marLeft w:val="640"/>
          <w:marRight w:val="0"/>
          <w:marTop w:val="0"/>
          <w:marBottom w:val="0"/>
          <w:divBdr>
            <w:top w:val="none" w:sz="0" w:space="0" w:color="auto"/>
            <w:left w:val="none" w:sz="0" w:space="0" w:color="auto"/>
            <w:bottom w:val="none" w:sz="0" w:space="0" w:color="auto"/>
            <w:right w:val="none" w:sz="0" w:space="0" w:color="auto"/>
          </w:divBdr>
        </w:div>
        <w:div w:id="1753508037">
          <w:marLeft w:val="640"/>
          <w:marRight w:val="0"/>
          <w:marTop w:val="0"/>
          <w:marBottom w:val="0"/>
          <w:divBdr>
            <w:top w:val="none" w:sz="0" w:space="0" w:color="auto"/>
            <w:left w:val="none" w:sz="0" w:space="0" w:color="auto"/>
            <w:bottom w:val="none" w:sz="0" w:space="0" w:color="auto"/>
            <w:right w:val="none" w:sz="0" w:space="0" w:color="auto"/>
          </w:divBdr>
        </w:div>
        <w:div w:id="2033722976">
          <w:marLeft w:val="640"/>
          <w:marRight w:val="0"/>
          <w:marTop w:val="0"/>
          <w:marBottom w:val="0"/>
          <w:divBdr>
            <w:top w:val="none" w:sz="0" w:space="0" w:color="auto"/>
            <w:left w:val="none" w:sz="0" w:space="0" w:color="auto"/>
            <w:bottom w:val="none" w:sz="0" w:space="0" w:color="auto"/>
            <w:right w:val="none" w:sz="0" w:space="0" w:color="auto"/>
          </w:divBdr>
        </w:div>
        <w:div w:id="1199202639">
          <w:marLeft w:val="640"/>
          <w:marRight w:val="0"/>
          <w:marTop w:val="0"/>
          <w:marBottom w:val="0"/>
          <w:divBdr>
            <w:top w:val="none" w:sz="0" w:space="0" w:color="auto"/>
            <w:left w:val="none" w:sz="0" w:space="0" w:color="auto"/>
            <w:bottom w:val="none" w:sz="0" w:space="0" w:color="auto"/>
            <w:right w:val="none" w:sz="0" w:space="0" w:color="auto"/>
          </w:divBdr>
        </w:div>
        <w:div w:id="771320972">
          <w:marLeft w:val="640"/>
          <w:marRight w:val="0"/>
          <w:marTop w:val="0"/>
          <w:marBottom w:val="0"/>
          <w:divBdr>
            <w:top w:val="none" w:sz="0" w:space="0" w:color="auto"/>
            <w:left w:val="none" w:sz="0" w:space="0" w:color="auto"/>
            <w:bottom w:val="none" w:sz="0" w:space="0" w:color="auto"/>
            <w:right w:val="none" w:sz="0" w:space="0" w:color="auto"/>
          </w:divBdr>
        </w:div>
        <w:div w:id="1879076558">
          <w:marLeft w:val="640"/>
          <w:marRight w:val="0"/>
          <w:marTop w:val="0"/>
          <w:marBottom w:val="0"/>
          <w:divBdr>
            <w:top w:val="none" w:sz="0" w:space="0" w:color="auto"/>
            <w:left w:val="none" w:sz="0" w:space="0" w:color="auto"/>
            <w:bottom w:val="none" w:sz="0" w:space="0" w:color="auto"/>
            <w:right w:val="none" w:sz="0" w:space="0" w:color="auto"/>
          </w:divBdr>
        </w:div>
        <w:div w:id="1820881200">
          <w:marLeft w:val="640"/>
          <w:marRight w:val="0"/>
          <w:marTop w:val="0"/>
          <w:marBottom w:val="0"/>
          <w:divBdr>
            <w:top w:val="none" w:sz="0" w:space="0" w:color="auto"/>
            <w:left w:val="none" w:sz="0" w:space="0" w:color="auto"/>
            <w:bottom w:val="none" w:sz="0" w:space="0" w:color="auto"/>
            <w:right w:val="none" w:sz="0" w:space="0" w:color="auto"/>
          </w:divBdr>
        </w:div>
        <w:div w:id="1463227412">
          <w:marLeft w:val="640"/>
          <w:marRight w:val="0"/>
          <w:marTop w:val="0"/>
          <w:marBottom w:val="0"/>
          <w:divBdr>
            <w:top w:val="none" w:sz="0" w:space="0" w:color="auto"/>
            <w:left w:val="none" w:sz="0" w:space="0" w:color="auto"/>
            <w:bottom w:val="none" w:sz="0" w:space="0" w:color="auto"/>
            <w:right w:val="none" w:sz="0" w:space="0" w:color="auto"/>
          </w:divBdr>
        </w:div>
        <w:div w:id="1550533877">
          <w:marLeft w:val="640"/>
          <w:marRight w:val="0"/>
          <w:marTop w:val="0"/>
          <w:marBottom w:val="0"/>
          <w:divBdr>
            <w:top w:val="none" w:sz="0" w:space="0" w:color="auto"/>
            <w:left w:val="none" w:sz="0" w:space="0" w:color="auto"/>
            <w:bottom w:val="none" w:sz="0" w:space="0" w:color="auto"/>
            <w:right w:val="none" w:sz="0" w:space="0" w:color="auto"/>
          </w:divBdr>
        </w:div>
        <w:div w:id="381829014">
          <w:marLeft w:val="640"/>
          <w:marRight w:val="0"/>
          <w:marTop w:val="0"/>
          <w:marBottom w:val="0"/>
          <w:divBdr>
            <w:top w:val="none" w:sz="0" w:space="0" w:color="auto"/>
            <w:left w:val="none" w:sz="0" w:space="0" w:color="auto"/>
            <w:bottom w:val="none" w:sz="0" w:space="0" w:color="auto"/>
            <w:right w:val="none" w:sz="0" w:space="0" w:color="auto"/>
          </w:divBdr>
        </w:div>
        <w:div w:id="183373767">
          <w:marLeft w:val="640"/>
          <w:marRight w:val="0"/>
          <w:marTop w:val="0"/>
          <w:marBottom w:val="0"/>
          <w:divBdr>
            <w:top w:val="none" w:sz="0" w:space="0" w:color="auto"/>
            <w:left w:val="none" w:sz="0" w:space="0" w:color="auto"/>
            <w:bottom w:val="none" w:sz="0" w:space="0" w:color="auto"/>
            <w:right w:val="none" w:sz="0" w:space="0" w:color="auto"/>
          </w:divBdr>
        </w:div>
        <w:div w:id="1240750431">
          <w:marLeft w:val="640"/>
          <w:marRight w:val="0"/>
          <w:marTop w:val="0"/>
          <w:marBottom w:val="0"/>
          <w:divBdr>
            <w:top w:val="none" w:sz="0" w:space="0" w:color="auto"/>
            <w:left w:val="none" w:sz="0" w:space="0" w:color="auto"/>
            <w:bottom w:val="none" w:sz="0" w:space="0" w:color="auto"/>
            <w:right w:val="none" w:sz="0" w:space="0" w:color="auto"/>
          </w:divBdr>
        </w:div>
        <w:div w:id="627130931">
          <w:marLeft w:val="640"/>
          <w:marRight w:val="0"/>
          <w:marTop w:val="0"/>
          <w:marBottom w:val="0"/>
          <w:divBdr>
            <w:top w:val="none" w:sz="0" w:space="0" w:color="auto"/>
            <w:left w:val="none" w:sz="0" w:space="0" w:color="auto"/>
            <w:bottom w:val="none" w:sz="0" w:space="0" w:color="auto"/>
            <w:right w:val="none" w:sz="0" w:space="0" w:color="auto"/>
          </w:divBdr>
        </w:div>
        <w:div w:id="1012729244">
          <w:marLeft w:val="640"/>
          <w:marRight w:val="0"/>
          <w:marTop w:val="0"/>
          <w:marBottom w:val="0"/>
          <w:divBdr>
            <w:top w:val="none" w:sz="0" w:space="0" w:color="auto"/>
            <w:left w:val="none" w:sz="0" w:space="0" w:color="auto"/>
            <w:bottom w:val="none" w:sz="0" w:space="0" w:color="auto"/>
            <w:right w:val="none" w:sz="0" w:space="0" w:color="auto"/>
          </w:divBdr>
        </w:div>
        <w:div w:id="1286423161">
          <w:marLeft w:val="640"/>
          <w:marRight w:val="0"/>
          <w:marTop w:val="0"/>
          <w:marBottom w:val="0"/>
          <w:divBdr>
            <w:top w:val="none" w:sz="0" w:space="0" w:color="auto"/>
            <w:left w:val="none" w:sz="0" w:space="0" w:color="auto"/>
            <w:bottom w:val="none" w:sz="0" w:space="0" w:color="auto"/>
            <w:right w:val="none" w:sz="0" w:space="0" w:color="auto"/>
          </w:divBdr>
        </w:div>
        <w:div w:id="809783522">
          <w:marLeft w:val="640"/>
          <w:marRight w:val="0"/>
          <w:marTop w:val="0"/>
          <w:marBottom w:val="0"/>
          <w:divBdr>
            <w:top w:val="none" w:sz="0" w:space="0" w:color="auto"/>
            <w:left w:val="none" w:sz="0" w:space="0" w:color="auto"/>
            <w:bottom w:val="none" w:sz="0" w:space="0" w:color="auto"/>
            <w:right w:val="none" w:sz="0" w:space="0" w:color="auto"/>
          </w:divBdr>
        </w:div>
        <w:div w:id="382100801">
          <w:marLeft w:val="640"/>
          <w:marRight w:val="0"/>
          <w:marTop w:val="0"/>
          <w:marBottom w:val="0"/>
          <w:divBdr>
            <w:top w:val="none" w:sz="0" w:space="0" w:color="auto"/>
            <w:left w:val="none" w:sz="0" w:space="0" w:color="auto"/>
            <w:bottom w:val="none" w:sz="0" w:space="0" w:color="auto"/>
            <w:right w:val="none" w:sz="0" w:space="0" w:color="auto"/>
          </w:divBdr>
        </w:div>
        <w:div w:id="155809091">
          <w:marLeft w:val="640"/>
          <w:marRight w:val="0"/>
          <w:marTop w:val="0"/>
          <w:marBottom w:val="0"/>
          <w:divBdr>
            <w:top w:val="none" w:sz="0" w:space="0" w:color="auto"/>
            <w:left w:val="none" w:sz="0" w:space="0" w:color="auto"/>
            <w:bottom w:val="none" w:sz="0" w:space="0" w:color="auto"/>
            <w:right w:val="none" w:sz="0" w:space="0" w:color="auto"/>
          </w:divBdr>
        </w:div>
        <w:div w:id="971399906">
          <w:marLeft w:val="640"/>
          <w:marRight w:val="0"/>
          <w:marTop w:val="0"/>
          <w:marBottom w:val="0"/>
          <w:divBdr>
            <w:top w:val="none" w:sz="0" w:space="0" w:color="auto"/>
            <w:left w:val="none" w:sz="0" w:space="0" w:color="auto"/>
            <w:bottom w:val="none" w:sz="0" w:space="0" w:color="auto"/>
            <w:right w:val="none" w:sz="0" w:space="0" w:color="auto"/>
          </w:divBdr>
        </w:div>
        <w:div w:id="733163253">
          <w:marLeft w:val="640"/>
          <w:marRight w:val="0"/>
          <w:marTop w:val="0"/>
          <w:marBottom w:val="0"/>
          <w:divBdr>
            <w:top w:val="none" w:sz="0" w:space="0" w:color="auto"/>
            <w:left w:val="none" w:sz="0" w:space="0" w:color="auto"/>
            <w:bottom w:val="none" w:sz="0" w:space="0" w:color="auto"/>
            <w:right w:val="none" w:sz="0" w:space="0" w:color="auto"/>
          </w:divBdr>
        </w:div>
        <w:div w:id="1998803163">
          <w:marLeft w:val="640"/>
          <w:marRight w:val="0"/>
          <w:marTop w:val="0"/>
          <w:marBottom w:val="0"/>
          <w:divBdr>
            <w:top w:val="none" w:sz="0" w:space="0" w:color="auto"/>
            <w:left w:val="none" w:sz="0" w:space="0" w:color="auto"/>
            <w:bottom w:val="none" w:sz="0" w:space="0" w:color="auto"/>
            <w:right w:val="none" w:sz="0" w:space="0" w:color="auto"/>
          </w:divBdr>
        </w:div>
        <w:div w:id="309949151">
          <w:marLeft w:val="640"/>
          <w:marRight w:val="0"/>
          <w:marTop w:val="0"/>
          <w:marBottom w:val="0"/>
          <w:divBdr>
            <w:top w:val="none" w:sz="0" w:space="0" w:color="auto"/>
            <w:left w:val="none" w:sz="0" w:space="0" w:color="auto"/>
            <w:bottom w:val="none" w:sz="0" w:space="0" w:color="auto"/>
            <w:right w:val="none" w:sz="0" w:space="0" w:color="auto"/>
          </w:divBdr>
        </w:div>
        <w:div w:id="2036809079">
          <w:marLeft w:val="640"/>
          <w:marRight w:val="0"/>
          <w:marTop w:val="0"/>
          <w:marBottom w:val="0"/>
          <w:divBdr>
            <w:top w:val="none" w:sz="0" w:space="0" w:color="auto"/>
            <w:left w:val="none" w:sz="0" w:space="0" w:color="auto"/>
            <w:bottom w:val="none" w:sz="0" w:space="0" w:color="auto"/>
            <w:right w:val="none" w:sz="0" w:space="0" w:color="auto"/>
          </w:divBdr>
        </w:div>
        <w:div w:id="243347252">
          <w:marLeft w:val="640"/>
          <w:marRight w:val="0"/>
          <w:marTop w:val="0"/>
          <w:marBottom w:val="0"/>
          <w:divBdr>
            <w:top w:val="none" w:sz="0" w:space="0" w:color="auto"/>
            <w:left w:val="none" w:sz="0" w:space="0" w:color="auto"/>
            <w:bottom w:val="none" w:sz="0" w:space="0" w:color="auto"/>
            <w:right w:val="none" w:sz="0" w:space="0" w:color="auto"/>
          </w:divBdr>
        </w:div>
        <w:div w:id="1724208720">
          <w:marLeft w:val="640"/>
          <w:marRight w:val="0"/>
          <w:marTop w:val="0"/>
          <w:marBottom w:val="0"/>
          <w:divBdr>
            <w:top w:val="none" w:sz="0" w:space="0" w:color="auto"/>
            <w:left w:val="none" w:sz="0" w:space="0" w:color="auto"/>
            <w:bottom w:val="none" w:sz="0" w:space="0" w:color="auto"/>
            <w:right w:val="none" w:sz="0" w:space="0" w:color="auto"/>
          </w:divBdr>
        </w:div>
        <w:div w:id="1867594074">
          <w:marLeft w:val="640"/>
          <w:marRight w:val="0"/>
          <w:marTop w:val="0"/>
          <w:marBottom w:val="0"/>
          <w:divBdr>
            <w:top w:val="none" w:sz="0" w:space="0" w:color="auto"/>
            <w:left w:val="none" w:sz="0" w:space="0" w:color="auto"/>
            <w:bottom w:val="none" w:sz="0" w:space="0" w:color="auto"/>
            <w:right w:val="none" w:sz="0" w:space="0" w:color="auto"/>
          </w:divBdr>
        </w:div>
        <w:div w:id="1253507400">
          <w:marLeft w:val="640"/>
          <w:marRight w:val="0"/>
          <w:marTop w:val="0"/>
          <w:marBottom w:val="0"/>
          <w:divBdr>
            <w:top w:val="none" w:sz="0" w:space="0" w:color="auto"/>
            <w:left w:val="none" w:sz="0" w:space="0" w:color="auto"/>
            <w:bottom w:val="none" w:sz="0" w:space="0" w:color="auto"/>
            <w:right w:val="none" w:sz="0" w:space="0" w:color="auto"/>
          </w:divBdr>
        </w:div>
        <w:div w:id="507062950">
          <w:marLeft w:val="640"/>
          <w:marRight w:val="0"/>
          <w:marTop w:val="0"/>
          <w:marBottom w:val="0"/>
          <w:divBdr>
            <w:top w:val="none" w:sz="0" w:space="0" w:color="auto"/>
            <w:left w:val="none" w:sz="0" w:space="0" w:color="auto"/>
            <w:bottom w:val="none" w:sz="0" w:space="0" w:color="auto"/>
            <w:right w:val="none" w:sz="0" w:space="0" w:color="auto"/>
          </w:divBdr>
        </w:div>
        <w:div w:id="927619190">
          <w:marLeft w:val="640"/>
          <w:marRight w:val="0"/>
          <w:marTop w:val="0"/>
          <w:marBottom w:val="0"/>
          <w:divBdr>
            <w:top w:val="none" w:sz="0" w:space="0" w:color="auto"/>
            <w:left w:val="none" w:sz="0" w:space="0" w:color="auto"/>
            <w:bottom w:val="none" w:sz="0" w:space="0" w:color="auto"/>
            <w:right w:val="none" w:sz="0" w:space="0" w:color="auto"/>
          </w:divBdr>
        </w:div>
        <w:div w:id="1065837800">
          <w:marLeft w:val="640"/>
          <w:marRight w:val="0"/>
          <w:marTop w:val="0"/>
          <w:marBottom w:val="0"/>
          <w:divBdr>
            <w:top w:val="none" w:sz="0" w:space="0" w:color="auto"/>
            <w:left w:val="none" w:sz="0" w:space="0" w:color="auto"/>
            <w:bottom w:val="none" w:sz="0" w:space="0" w:color="auto"/>
            <w:right w:val="none" w:sz="0" w:space="0" w:color="auto"/>
          </w:divBdr>
        </w:div>
        <w:div w:id="1151291573">
          <w:marLeft w:val="640"/>
          <w:marRight w:val="0"/>
          <w:marTop w:val="0"/>
          <w:marBottom w:val="0"/>
          <w:divBdr>
            <w:top w:val="none" w:sz="0" w:space="0" w:color="auto"/>
            <w:left w:val="none" w:sz="0" w:space="0" w:color="auto"/>
            <w:bottom w:val="none" w:sz="0" w:space="0" w:color="auto"/>
            <w:right w:val="none" w:sz="0" w:space="0" w:color="auto"/>
          </w:divBdr>
        </w:div>
        <w:div w:id="1604260286">
          <w:marLeft w:val="640"/>
          <w:marRight w:val="0"/>
          <w:marTop w:val="0"/>
          <w:marBottom w:val="0"/>
          <w:divBdr>
            <w:top w:val="none" w:sz="0" w:space="0" w:color="auto"/>
            <w:left w:val="none" w:sz="0" w:space="0" w:color="auto"/>
            <w:bottom w:val="none" w:sz="0" w:space="0" w:color="auto"/>
            <w:right w:val="none" w:sz="0" w:space="0" w:color="auto"/>
          </w:divBdr>
        </w:div>
        <w:div w:id="671688114">
          <w:marLeft w:val="640"/>
          <w:marRight w:val="0"/>
          <w:marTop w:val="0"/>
          <w:marBottom w:val="0"/>
          <w:divBdr>
            <w:top w:val="none" w:sz="0" w:space="0" w:color="auto"/>
            <w:left w:val="none" w:sz="0" w:space="0" w:color="auto"/>
            <w:bottom w:val="none" w:sz="0" w:space="0" w:color="auto"/>
            <w:right w:val="none" w:sz="0" w:space="0" w:color="auto"/>
          </w:divBdr>
        </w:div>
        <w:div w:id="1036005603">
          <w:marLeft w:val="640"/>
          <w:marRight w:val="0"/>
          <w:marTop w:val="0"/>
          <w:marBottom w:val="0"/>
          <w:divBdr>
            <w:top w:val="none" w:sz="0" w:space="0" w:color="auto"/>
            <w:left w:val="none" w:sz="0" w:space="0" w:color="auto"/>
            <w:bottom w:val="none" w:sz="0" w:space="0" w:color="auto"/>
            <w:right w:val="none" w:sz="0" w:space="0" w:color="auto"/>
          </w:divBdr>
        </w:div>
        <w:div w:id="2115856400">
          <w:marLeft w:val="640"/>
          <w:marRight w:val="0"/>
          <w:marTop w:val="0"/>
          <w:marBottom w:val="0"/>
          <w:divBdr>
            <w:top w:val="none" w:sz="0" w:space="0" w:color="auto"/>
            <w:left w:val="none" w:sz="0" w:space="0" w:color="auto"/>
            <w:bottom w:val="none" w:sz="0" w:space="0" w:color="auto"/>
            <w:right w:val="none" w:sz="0" w:space="0" w:color="auto"/>
          </w:divBdr>
        </w:div>
        <w:div w:id="1274484130">
          <w:marLeft w:val="640"/>
          <w:marRight w:val="0"/>
          <w:marTop w:val="0"/>
          <w:marBottom w:val="0"/>
          <w:divBdr>
            <w:top w:val="none" w:sz="0" w:space="0" w:color="auto"/>
            <w:left w:val="none" w:sz="0" w:space="0" w:color="auto"/>
            <w:bottom w:val="none" w:sz="0" w:space="0" w:color="auto"/>
            <w:right w:val="none" w:sz="0" w:space="0" w:color="auto"/>
          </w:divBdr>
        </w:div>
        <w:div w:id="1977179165">
          <w:marLeft w:val="640"/>
          <w:marRight w:val="0"/>
          <w:marTop w:val="0"/>
          <w:marBottom w:val="0"/>
          <w:divBdr>
            <w:top w:val="none" w:sz="0" w:space="0" w:color="auto"/>
            <w:left w:val="none" w:sz="0" w:space="0" w:color="auto"/>
            <w:bottom w:val="none" w:sz="0" w:space="0" w:color="auto"/>
            <w:right w:val="none" w:sz="0" w:space="0" w:color="auto"/>
          </w:divBdr>
        </w:div>
        <w:div w:id="1587180120">
          <w:marLeft w:val="640"/>
          <w:marRight w:val="0"/>
          <w:marTop w:val="0"/>
          <w:marBottom w:val="0"/>
          <w:divBdr>
            <w:top w:val="none" w:sz="0" w:space="0" w:color="auto"/>
            <w:left w:val="none" w:sz="0" w:space="0" w:color="auto"/>
            <w:bottom w:val="none" w:sz="0" w:space="0" w:color="auto"/>
            <w:right w:val="none" w:sz="0" w:space="0" w:color="auto"/>
          </w:divBdr>
        </w:div>
        <w:div w:id="1367829366">
          <w:marLeft w:val="640"/>
          <w:marRight w:val="0"/>
          <w:marTop w:val="0"/>
          <w:marBottom w:val="0"/>
          <w:divBdr>
            <w:top w:val="none" w:sz="0" w:space="0" w:color="auto"/>
            <w:left w:val="none" w:sz="0" w:space="0" w:color="auto"/>
            <w:bottom w:val="none" w:sz="0" w:space="0" w:color="auto"/>
            <w:right w:val="none" w:sz="0" w:space="0" w:color="auto"/>
          </w:divBdr>
        </w:div>
        <w:div w:id="1158300948">
          <w:marLeft w:val="640"/>
          <w:marRight w:val="0"/>
          <w:marTop w:val="0"/>
          <w:marBottom w:val="0"/>
          <w:divBdr>
            <w:top w:val="none" w:sz="0" w:space="0" w:color="auto"/>
            <w:left w:val="none" w:sz="0" w:space="0" w:color="auto"/>
            <w:bottom w:val="none" w:sz="0" w:space="0" w:color="auto"/>
            <w:right w:val="none" w:sz="0" w:space="0" w:color="auto"/>
          </w:divBdr>
        </w:div>
        <w:div w:id="987395021">
          <w:marLeft w:val="640"/>
          <w:marRight w:val="0"/>
          <w:marTop w:val="0"/>
          <w:marBottom w:val="0"/>
          <w:divBdr>
            <w:top w:val="none" w:sz="0" w:space="0" w:color="auto"/>
            <w:left w:val="none" w:sz="0" w:space="0" w:color="auto"/>
            <w:bottom w:val="none" w:sz="0" w:space="0" w:color="auto"/>
            <w:right w:val="none" w:sz="0" w:space="0" w:color="auto"/>
          </w:divBdr>
        </w:div>
        <w:div w:id="583219767">
          <w:marLeft w:val="640"/>
          <w:marRight w:val="0"/>
          <w:marTop w:val="0"/>
          <w:marBottom w:val="0"/>
          <w:divBdr>
            <w:top w:val="none" w:sz="0" w:space="0" w:color="auto"/>
            <w:left w:val="none" w:sz="0" w:space="0" w:color="auto"/>
            <w:bottom w:val="none" w:sz="0" w:space="0" w:color="auto"/>
            <w:right w:val="none" w:sz="0" w:space="0" w:color="auto"/>
          </w:divBdr>
        </w:div>
        <w:div w:id="1672875752">
          <w:marLeft w:val="640"/>
          <w:marRight w:val="0"/>
          <w:marTop w:val="0"/>
          <w:marBottom w:val="0"/>
          <w:divBdr>
            <w:top w:val="none" w:sz="0" w:space="0" w:color="auto"/>
            <w:left w:val="none" w:sz="0" w:space="0" w:color="auto"/>
            <w:bottom w:val="none" w:sz="0" w:space="0" w:color="auto"/>
            <w:right w:val="none" w:sz="0" w:space="0" w:color="auto"/>
          </w:divBdr>
        </w:div>
        <w:div w:id="1511796182">
          <w:marLeft w:val="640"/>
          <w:marRight w:val="0"/>
          <w:marTop w:val="0"/>
          <w:marBottom w:val="0"/>
          <w:divBdr>
            <w:top w:val="none" w:sz="0" w:space="0" w:color="auto"/>
            <w:left w:val="none" w:sz="0" w:space="0" w:color="auto"/>
            <w:bottom w:val="none" w:sz="0" w:space="0" w:color="auto"/>
            <w:right w:val="none" w:sz="0" w:space="0" w:color="auto"/>
          </w:divBdr>
        </w:div>
        <w:div w:id="323775860">
          <w:marLeft w:val="640"/>
          <w:marRight w:val="0"/>
          <w:marTop w:val="0"/>
          <w:marBottom w:val="0"/>
          <w:divBdr>
            <w:top w:val="none" w:sz="0" w:space="0" w:color="auto"/>
            <w:left w:val="none" w:sz="0" w:space="0" w:color="auto"/>
            <w:bottom w:val="none" w:sz="0" w:space="0" w:color="auto"/>
            <w:right w:val="none" w:sz="0" w:space="0" w:color="auto"/>
          </w:divBdr>
        </w:div>
        <w:div w:id="772238868">
          <w:marLeft w:val="640"/>
          <w:marRight w:val="0"/>
          <w:marTop w:val="0"/>
          <w:marBottom w:val="0"/>
          <w:divBdr>
            <w:top w:val="none" w:sz="0" w:space="0" w:color="auto"/>
            <w:left w:val="none" w:sz="0" w:space="0" w:color="auto"/>
            <w:bottom w:val="none" w:sz="0" w:space="0" w:color="auto"/>
            <w:right w:val="none" w:sz="0" w:space="0" w:color="auto"/>
          </w:divBdr>
        </w:div>
        <w:div w:id="738865205">
          <w:marLeft w:val="640"/>
          <w:marRight w:val="0"/>
          <w:marTop w:val="0"/>
          <w:marBottom w:val="0"/>
          <w:divBdr>
            <w:top w:val="none" w:sz="0" w:space="0" w:color="auto"/>
            <w:left w:val="none" w:sz="0" w:space="0" w:color="auto"/>
            <w:bottom w:val="none" w:sz="0" w:space="0" w:color="auto"/>
            <w:right w:val="none" w:sz="0" w:space="0" w:color="auto"/>
          </w:divBdr>
        </w:div>
        <w:div w:id="1892882619">
          <w:marLeft w:val="640"/>
          <w:marRight w:val="0"/>
          <w:marTop w:val="0"/>
          <w:marBottom w:val="0"/>
          <w:divBdr>
            <w:top w:val="none" w:sz="0" w:space="0" w:color="auto"/>
            <w:left w:val="none" w:sz="0" w:space="0" w:color="auto"/>
            <w:bottom w:val="none" w:sz="0" w:space="0" w:color="auto"/>
            <w:right w:val="none" w:sz="0" w:space="0" w:color="auto"/>
          </w:divBdr>
        </w:div>
        <w:div w:id="1217660823">
          <w:marLeft w:val="640"/>
          <w:marRight w:val="0"/>
          <w:marTop w:val="0"/>
          <w:marBottom w:val="0"/>
          <w:divBdr>
            <w:top w:val="none" w:sz="0" w:space="0" w:color="auto"/>
            <w:left w:val="none" w:sz="0" w:space="0" w:color="auto"/>
            <w:bottom w:val="none" w:sz="0" w:space="0" w:color="auto"/>
            <w:right w:val="none" w:sz="0" w:space="0" w:color="auto"/>
          </w:divBdr>
        </w:div>
        <w:div w:id="1040668466">
          <w:marLeft w:val="640"/>
          <w:marRight w:val="0"/>
          <w:marTop w:val="0"/>
          <w:marBottom w:val="0"/>
          <w:divBdr>
            <w:top w:val="none" w:sz="0" w:space="0" w:color="auto"/>
            <w:left w:val="none" w:sz="0" w:space="0" w:color="auto"/>
            <w:bottom w:val="none" w:sz="0" w:space="0" w:color="auto"/>
            <w:right w:val="none" w:sz="0" w:space="0" w:color="auto"/>
          </w:divBdr>
        </w:div>
        <w:div w:id="1312635469">
          <w:marLeft w:val="640"/>
          <w:marRight w:val="0"/>
          <w:marTop w:val="0"/>
          <w:marBottom w:val="0"/>
          <w:divBdr>
            <w:top w:val="none" w:sz="0" w:space="0" w:color="auto"/>
            <w:left w:val="none" w:sz="0" w:space="0" w:color="auto"/>
            <w:bottom w:val="none" w:sz="0" w:space="0" w:color="auto"/>
            <w:right w:val="none" w:sz="0" w:space="0" w:color="auto"/>
          </w:divBdr>
        </w:div>
        <w:div w:id="835221906">
          <w:marLeft w:val="640"/>
          <w:marRight w:val="0"/>
          <w:marTop w:val="0"/>
          <w:marBottom w:val="0"/>
          <w:divBdr>
            <w:top w:val="none" w:sz="0" w:space="0" w:color="auto"/>
            <w:left w:val="none" w:sz="0" w:space="0" w:color="auto"/>
            <w:bottom w:val="none" w:sz="0" w:space="0" w:color="auto"/>
            <w:right w:val="none" w:sz="0" w:space="0" w:color="auto"/>
          </w:divBdr>
        </w:div>
        <w:div w:id="1916550008">
          <w:marLeft w:val="640"/>
          <w:marRight w:val="0"/>
          <w:marTop w:val="0"/>
          <w:marBottom w:val="0"/>
          <w:divBdr>
            <w:top w:val="none" w:sz="0" w:space="0" w:color="auto"/>
            <w:left w:val="none" w:sz="0" w:space="0" w:color="auto"/>
            <w:bottom w:val="none" w:sz="0" w:space="0" w:color="auto"/>
            <w:right w:val="none" w:sz="0" w:space="0" w:color="auto"/>
          </w:divBdr>
        </w:div>
        <w:div w:id="319382354">
          <w:marLeft w:val="640"/>
          <w:marRight w:val="0"/>
          <w:marTop w:val="0"/>
          <w:marBottom w:val="0"/>
          <w:divBdr>
            <w:top w:val="none" w:sz="0" w:space="0" w:color="auto"/>
            <w:left w:val="none" w:sz="0" w:space="0" w:color="auto"/>
            <w:bottom w:val="none" w:sz="0" w:space="0" w:color="auto"/>
            <w:right w:val="none" w:sz="0" w:space="0" w:color="auto"/>
          </w:divBdr>
        </w:div>
        <w:div w:id="1888910791">
          <w:marLeft w:val="640"/>
          <w:marRight w:val="0"/>
          <w:marTop w:val="0"/>
          <w:marBottom w:val="0"/>
          <w:divBdr>
            <w:top w:val="none" w:sz="0" w:space="0" w:color="auto"/>
            <w:left w:val="none" w:sz="0" w:space="0" w:color="auto"/>
            <w:bottom w:val="none" w:sz="0" w:space="0" w:color="auto"/>
            <w:right w:val="none" w:sz="0" w:space="0" w:color="auto"/>
          </w:divBdr>
        </w:div>
        <w:div w:id="1494686075">
          <w:marLeft w:val="640"/>
          <w:marRight w:val="0"/>
          <w:marTop w:val="0"/>
          <w:marBottom w:val="0"/>
          <w:divBdr>
            <w:top w:val="none" w:sz="0" w:space="0" w:color="auto"/>
            <w:left w:val="none" w:sz="0" w:space="0" w:color="auto"/>
            <w:bottom w:val="none" w:sz="0" w:space="0" w:color="auto"/>
            <w:right w:val="none" w:sz="0" w:space="0" w:color="auto"/>
          </w:divBdr>
        </w:div>
        <w:div w:id="39860999">
          <w:marLeft w:val="640"/>
          <w:marRight w:val="0"/>
          <w:marTop w:val="0"/>
          <w:marBottom w:val="0"/>
          <w:divBdr>
            <w:top w:val="none" w:sz="0" w:space="0" w:color="auto"/>
            <w:left w:val="none" w:sz="0" w:space="0" w:color="auto"/>
            <w:bottom w:val="none" w:sz="0" w:space="0" w:color="auto"/>
            <w:right w:val="none" w:sz="0" w:space="0" w:color="auto"/>
          </w:divBdr>
        </w:div>
        <w:div w:id="266037317">
          <w:marLeft w:val="640"/>
          <w:marRight w:val="0"/>
          <w:marTop w:val="0"/>
          <w:marBottom w:val="0"/>
          <w:divBdr>
            <w:top w:val="none" w:sz="0" w:space="0" w:color="auto"/>
            <w:left w:val="none" w:sz="0" w:space="0" w:color="auto"/>
            <w:bottom w:val="none" w:sz="0" w:space="0" w:color="auto"/>
            <w:right w:val="none" w:sz="0" w:space="0" w:color="auto"/>
          </w:divBdr>
        </w:div>
        <w:div w:id="994338570">
          <w:marLeft w:val="640"/>
          <w:marRight w:val="0"/>
          <w:marTop w:val="0"/>
          <w:marBottom w:val="0"/>
          <w:divBdr>
            <w:top w:val="none" w:sz="0" w:space="0" w:color="auto"/>
            <w:left w:val="none" w:sz="0" w:space="0" w:color="auto"/>
            <w:bottom w:val="none" w:sz="0" w:space="0" w:color="auto"/>
            <w:right w:val="none" w:sz="0" w:space="0" w:color="auto"/>
          </w:divBdr>
        </w:div>
        <w:div w:id="370620203">
          <w:marLeft w:val="640"/>
          <w:marRight w:val="0"/>
          <w:marTop w:val="0"/>
          <w:marBottom w:val="0"/>
          <w:divBdr>
            <w:top w:val="none" w:sz="0" w:space="0" w:color="auto"/>
            <w:left w:val="none" w:sz="0" w:space="0" w:color="auto"/>
            <w:bottom w:val="none" w:sz="0" w:space="0" w:color="auto"/>
            <w:right w:val="none" w:sz="0" w:space="0" w:color="auto"/>
          </w:divBdr>
        </w:div>
        <w:div w:id="1930969415">
          <w:marLeft w:val="640"/>
          <w:marRight w:val="0"/>
          <w:marTop w:val="0"/>
          <w:marBottom w:val="0"/>
          <w:divBdr>
            <w:top w:val="none" w:sz="0" w:space="0" w:color="auto"/>
            <w:left w:val="none" w:sz="0" w:space="0" w:color="auto"/>
            <w:bottom w:val="none" w:sz="0" w:space="0" w:color="auto"/>
            <w:right w:val="none" w:sz="0" w:space="0" w:color="auto"/>
          </w:divBdr>
        </w:div>
        <w:div w:id="1369646210">
          <w:marLeft w:val="640"/>
          <w:marRight w:val="0"/>
          <w:marTop w:val="0"/>
          <w:marBottom w:val="0"/>
          <w:divBdr>
            <w:top w:val="none" w:sz="0" w:space="0" w:color="auto"/>
            <w:left w:val="none" w:sz="0" w:space="0" w:color="auto"/>
            <w:bottom w:val="none" w:sz="0" w:space="0" w:color="auto"/>
            <w:right w:val="none" w:sz="0" w:space="0" w:color="auto"/>
          </w:divBdr>
        </w:div>
        <w:div w:id="717777396">
          <w:marLeft w:val="640"/>
          <w:marRight w:val="0"/>
          <w:marTop w:val="0"/>
          <w:marBottom w:val="0"/>
          <w:divBdr>
            <w:top w:val="none" w:sz="0" w:space="0" w:color="auto"/>
            <w:left w:val="none" w:sz="0" w:space="0" w:color="auto"/>
            <w:bottom w:val="none" w:sz="0" w:space="0" w:color="auto"/>
            <w:right w:val="none" w:sz="0" w:space="0" w:color="auto"/>
          </w:divBdr>
        </w:div>
        <w:div w:id="1545869266">
          <w:marLeft w:val="640"/>
          <w:marRight w:val="0"/>
          <w:marTop w:val="0"/>
          <w:marBottom w:val="0"/>
          <w:divBdr>
            <w:top w:val="none" w:sz="0" w:space="0" w:color="auto"/>
            <w:left w:val="none" w:sz="0" w:space="0" w:color="auto"/>
            <w:bottom w:val="none" w:sz="0" w:space="0" w:color="auto"/>
            <w:right w:val="none" w:sz="0" w:space="0" w:color="auto"/>
          </w:divBdr>
        </w:div>
        <w:div w:id="1693414837">
          <w:marLeft w:val="640"/>
          <w:marRight w:val="0"/>
          <w:marTop w:val="0"/>
          <w:marBottom w:val="0"/>
          <w:divBdr>
            <w:top w:val="none" w:sz="0" w:space="0" w:color="auto"/>
            <w:left w:val="none" w:sz="0" w:space="0" w:color="auto"/>
            <w:bottom w:val="none" w:sz="0" w:space="0" w:color="auto"/>
            <w:right w:val="none" w:sz="0" w:space="0" w:color="auto"/>
          </w:divBdr>
        </w:div>
        <w:div w:id="1091927221">
          <w:marLeft w:val="640"/>
          <w:marRight w:val="0"/>
          <w:marTop w:val="0"/>
          <w:marBottom w:val="0"/>
          <w:divBdr>
            <w:top w:val="none" w:sz="0" w:space="0" w:color="auto"/>
            <w:left w:val="none" w:sz="0" w:space="0" w:color="auto"/>
            <w:bottom w:val="none" w:sz="0" w:space="0" w:color="auto"/>
            <w:right w:val="none" w:sz="0" w:space="0" w:color="auto"/>
          </w:divBdr>
        </w:div>
        <w:div w:id="1765419525">
          <w:marLeft w:val="640"/>
          <w:marRight w:val="0"/>
          <w:marTop w:val="0"/>
          <w:marBottom w:val="0"/>
          <w:divBdr>
            <w:top w:val="none" w:sz="0" w:space="0" w:color="auto"/>
            <w:left w:val="none" w:sz="0" w:space="0" w:color="auto"/>
            <w:bottom w:val="none" w:sz="0" w:space="0" w:color="auto"/>
            <w:right w:val="none" w:sz="0" w:space="0" w:color="auto"/>
          </w:divBdr>
        </w:div>
        <w:div w:id="617613061">
          <w:marLeft w:val="640"/>
          <w:marRight w:val="0"/>
          <w:marTop w:val="0"/>
          <w:marBottom w:val="0"/>
          <w:divBdr>
            <w:top w:val="none" w:sz="0" w:space="0" w:color="auto"/>
            <w:left w:val="none" w:sz="0" w:space="0" w:color="auto"/>
            <w:bottom w:val="none" w:sz="0" w:space="0" w:color="auto"/>
            <w:right w:val="none" w:sz="0" w:space="0" w:color="auto"/>
          </w:divBdr>
        </w:div>
        <w:div w:id="1268541431">
          <w:marLeft w:val="640"/>
          <w:marRight w:val="0"/>
          <w:marTop w:val="0"/>
          <w:marBottom w:val="0"/>
          <w:divBdr>
            <w:top w:val="none" w:sz="0" w:space="0" w:color="auto"/>
            <w:left w:val="none" w:sz="0" w:space="0" w:color="auto"/>
            <w:bottom w:val="none" w:sz="0" w:space="0" w:color="auto"/>
            <w:right w:val="none" w:sz="0" w:space="0" w:color="auto"/>
          </w:divBdr>
        </w:div>
        <w:div w:id="62994263">
          <w:marLeft w:val="640"/>
          <w:marRight w:val="0"/>
          <w:marTop w:val="0"/>
          <w:marBottom w:val="0"/>
          <w:divBdr>
            <w:top w:val="none" w:sz="0" w:space="0" w:color="auto"/>
            <w:left w:val="none" w:sz="0" w:space="0" w:color="auto"/>
            <w:bottom w:val="none" w:sz="0" w:space="0" w:color="auto"/>
            <w:right w:val="none" w:sz="0" w:space="0" w:color="auto"/>
          </w:divBdr>
        </w:div>
        <w:div w:id="251815714">
          <w:marLeft w:val="640"/>
          <w:marRight w:val="0"/>
          <w:marTop w:val="0"/>
          <w:marBottom w:val="0"/>
          <w:divBdr>
            <w:top w:val="none" w:sz="0" w:space="0" w:color="auto"/>
            <w:left w:val="none" w:sz="0" w:space="0" w:color="auto"/>
            <w:bottom w:val="none" w:sz="0" w:space="0" w:color="auto"/>
            <w:right w:val="none" w:sz="0" w:space="0" w:color="auto"/>
          </w:divBdr>
        </w:div>
        <w:div w:id="429005556">
          <w:marLeft w:val="640"/>
          <w:marRight w:val="0"/>
          <w:marTop w:val="0"/>
          <w:marBottom w:val="0"/>
          <w:divBdr>
            <w:top w:val="none" w:sz="0" w:space="0" w:color="auto"/>
            <w:left w:val="none" w:sz="0" w:space="0" w:color="auto"/>
            <w:bottom w:val="none" w:sz="0" w:space="0" w:color="auto"/>
            <w:right w:val="none" w:sz="0" w:space="0" w:color="auto"/>
          </w:divBdr>
        </w:div>
        <w:div w:id="240915446">
          <w:marLeft w:val="640"/>
          <w:marRight w:val="0"/>
          <w:marTop w:val="0"/>
          <w:marBottom w:val="0"/>
          <w:divBdr>
            <w:top w:val="none" w:sz="0" w:space="0" w:color="auto"/>
            <w:left w:val="none" w:sz="0" w:space="0" w:color="auto"/>
            <w:bottom w:val="none" w:sz="0" w:space="0" w:color="auto"/>
            <w:right w:val="none" w:sz="0" w:space="0" w:color="auto"/>
          </w:divBdr>
        </w:div>
        <w:div w:id="1679773458">
          <w:marLeft w:val="640"/>
          <w:marRight w:val="0"/>
          <w:marTop w:val="0"/>
          <w:marBottom w:val="0"/>
          <w:divBdr>
            <w:top w:val="none" w:sz="0" w:space="0" w:color="auto"/>
            <w:left w:val="none" w:sz="0" w:space="0" w:color="auto"/>
            <w:bottom w:val="none" w:sz="0" w:space="0" w:color="auto"/>
            <w:right w:val="none" w:sz="0" w:space="0" w:color="auto"/>
          </w:divBdr>
        </w:div>
        <w:div w:id="1993830317">
          <w:marLeft w:val="640"/>
          <w:marRight w:val="0"/>
          <w:marTop w:val="0"/>
          <w:marBottom w:val="0"/>
          <w:divBdr>
            <w:top w:val="none" w:sz="0" w:space="0" w:color="auto"/>
            <w:left w:val="none" w:sz="0" w:space="0" w:color="auto"/>
            <w:bottom w:val="none" w:sz="0" w:space="0" w:color="auto"/>
            <w:right w:val="none" w:sz="0" w:space="0" w:color="auto"/>
          </w:divBdr>
        </w:div>
        <w:div w:id="1852790532">
          <w:marLeft w:val="640"/>
          <w:marRight w:val="0"/>
          <w:marTop w:val="0"/>
          <w:marBottom w:val="0"/>
          <w:divBdr>
            <w:top w:val="none" w:sz="0" w:space="0" w:color="auto"/>
            <w:left w:val="none" w:sz="0" w:space="0" w:color="auto"/>
            <w:bottom w:val="none" w:sz="0" w:space="0" w:color="auto"/>
            <w:right w:val="none" w:sz="0" w:space="0" w:color="auto"/>
          </w:divBdr>
        </w:div>
        <w:div w:id="1692297778">
          <w:marLeft w:val="640"/>
          <w:marRight w:val="0"/>
          <w:marTop w:val="0"/>
          <w:marBottom w:val="0"/>
          <w:divBdr>
            <w:top w:val="none" w:sz="0" w:space="0" w:color="auto"/>
            <w:left w:val="none" w:sz="0" w:space="0" w:color="auto"/>
            <w:bottom w:val="none" w:sz="0" w:space="0" w:color="auto"/>
            <w:right w:val="none" w:sz="0" w:space="0" w:color="auto"/>
          </w:divBdr>
        </w:div>
        <w:div w:id="419713582">
          <w:marLeft w:val="640"/>
          <w:marRight w:val="0"/>
          <w:marTop w:val="0"/>
          <w:marBottom w:val="0"/>
          <w:divBdr>
            <w:top w:val="none" w:sz="0" w:space="0" w:color="auto"/>
            <w:left w:val="none" w:sz="0" w:space="0" w:color="auto"/>
            <w:bottom w:val="none" w:sz="0" w:space="0" w:color="auto"/>
            <w:right w:val="none" w:sz="0" w:space="0" w:color="auto"/>
          </w:divBdr>
        </w:div>
        <w:div w:id="1210413070">
          <w:marLeft w:val="640"/>
          <w:marRight w:val="0"/>
          <w:marTop w:val="0"/>
          <w:marBottom w:val="0"/>
          <w:divBdr>
            <w:top w:val="none" w:sz="0" w:space="0" w:color="auto"/>
            <w:left w:val="none" w:sz="0" w:space="0" w:color="auto"/>
            <w:bottom w:val="none" w:sz="0" w:space="0" w:color="auto"/>
            <w:right w:val="none" w:sz="0" w:space="0" w:color="auto"/>
          </w:divBdr>
        </w:div>
        <w:div w:id="1946961337">
          <w:marLeft w:val="640"/>
          <w:marRight w:val="0"/>
          <w:marTop w:val="0"/>
          <w:marBottom w:val="0"/>
          <w:divBdr>
            <w:top w:val="none" w:sz="0" w:space="0" w:color="auto"/>
            <w:left w:val="none" w:sz="0" w:space="0" w:color="auto"/>
            <w:bottom w:val="none" w:sz="0" w:space="0" w:color="auto"/>
            <w:right w:val="none" w:sz="0" w:space="0" w:color="auto"/>
          </w:divBdr>
        </w:div>
        <w:div w:id="2027436726">
          <w:marLeft w:val="640"/>
          <w:marRight w:val="0"/>
          <w:marTop w:val="0"/>
          <w:marBottom w:val="0"/>
          <w:divBdr>
            <w:top w:val="none" w:sz="0" w:space="0" w:color="auto"/>
            <w:left w:val="none" w:sz="0" w:space="0" w:color="auto"/>
            <w:bottom w:val="none" w:sz="0" w:space="0" w:color="auto"/>
            <w:right w:val="none" w:sz="0" w:space="0" w:color="auto"/>
          </w:divBdr>
        </w:div>
        <w:div w:id="2008753491">
          <w:marLeft w:val="640"/>
          <w:marRight w:val="0"/>
          <w:marTop w:val="0"/>
          <w:marBottom w:val="0"/>
          <w:divBdr>
            <w:top w:val="none" w:sz="0" w:space="0" w:color="auto"/>
            <w:left w:val="none" w:sz="0" w:space="0" w:color="auto"/>
            <w:bottom w:val="none" w:sz="0" w:space="0" w:color="auto"/>
            <w:right w:val="none" w:sz="0" w:space="0" w:color="auto"/>
          </w:divBdr>
        </w:div>
        <w:div w:id="1826779930">
          <w:marLeft w:val="640"/>
          <w:marRight w:val="0"/>
          <w:marTop w:val="0"/>
          <w:marBottom w:val="0"/>
          <w:divBdr>
            <w:top w:val="none" w:sz="0" w:space="0" w:color="auto"/>
            <w:left w:val="none" w:sz="0" w:space="0" w:color="auto"/>
            <w:bottom w:val="none" w:sz="0" w:space="0" w:color="auto"/>
            <w:right w:val="none" w:sz="0" w:space="0" w:color="auto"/>
          </w:divBdr>
        </w:div>
        <w:div w:id="1314873873">
          <w:marLeft w:val="640"/>
          <w:marRight w:val="0"/>
          <w:marTop w:val="0"/>
          <w:marBottom w:val="0"/>
          <w:divBdr>
            <w:top w:val="none" w:sz="0" w:space="0" w:color="auto"/>
            <w:left w:val="none" w:sz="0" w:space="0" w:color="auto"/>
            <w:bottom w:val="none" w:sz="0" w:space="0" w:color="auto"/>
            <w:right w:val="none" w:sz="0" w:space="0" w:color="auto"/>
          </w:divBdr>
        </w:div>
        <w:div w:id="1254631609">
          <w:marLeft w:val="640"/>
          <w:marRight w:val="0"/>
          <w:marTop w:val="0"/>
          <w:marBottom w:val="0"/>
          <w:divBdr>
            <w:top w:val="none" w:sz="0" w:space="0" w:color="auto"/>
            <w:left w:val="none" w:sz="0" w:space="0" w:color="auto"/>
            <w:bottom w:val="none" w:sz="0" w:space="0" w:color="auto"/>
            <w:right w:val="none" w:sz="0" w:space="0" w:color="auto"/>
          </w:divBdr>
        </w:div>
        <w:div w:id="1166899413">
          <w:marLeft w:val="640"/>
          <w:marRight w:val="0"/>
          <w:marTop w:val="0"/>
          <w:marBottom w:val="0"/>
          <w:divBdr>
            <w:top w:val="none" w:sz="0" w:space="0" w:color="auto"/>
            <w:left w:val="none" w:sz="0" w:space="0" w:color="auto"/>
            <w:bottom w:val="none" w:sz="0" w:space="0" w:color="auto"/>
            <w:right w:val="none" w:sz="0" w:space="0" w:color="auto"/>
          </w:divBdr>
        </w:div>
        <w:div w:id="825127175">
          <w:marLeft w:val="640"/>
          <w:marRight w:val="0"/>
          <w:marTop w:val="0"/>
          <w:marBottom w:val="0"/>
          <w:divBdr>
            <w:top w:val="none" w:sz="0" w:space="0" w:color="auto"/>
            <w:left w:val="none" w:sz="0" w:space="0" w:color="auto"/>
            <w:bottom w:val="none" w:sz="0" w:space="0" w:color="auto"/>
            <w:right w:val="none" w:sz="0" w:space="0" w:color="auto"/>
          </w:divBdr>
        </w:div>
        <w:div w:id="1254778825">
          <w:marLeft w:val="640"/>
          <w:marRight w:val="0"/>
          <w:marTop w:val="0"/>
          <w:marBottom w:val="0"/>
          <w:divBdr>
            <w:top w:val="none" w:sz="0" w:space="0" w:color="auto"/>
            <w:left w:val="none" w:sz="0" w:space="0" w:color="auto"/>
            <w:bottom w:val="none" w:sz="0" w:space="0" w:color="auto"/>
            <w:right w:val="none" w:sz="0" w:space="0" w:color="auto"/>
          </w:divBdr>
        </w:div>
        <w:div w:id="591014057">
          <w:marLeft w:val="640"/>
          <w:marRight w:val="0"/>
          <w:marTop w:val="0"/>
          <w:marBottom w:val="0"/>
          <w:divBdr>
            <w:top w:val="none" w:sz="0" w:space="0" w:color="auto"/>
            <w:left w:val="none" w:sz="0" w:space="0" w:color="auto"/>
            <w:bottom w:val="none" w:sz="0" w:space="0" w:color="auto"/>
            <w:right w:val="none" w:sz="0" w:space="0" w:color="auto"/>
          </w:divBdr>
        </w:div>
        <w:div w:id="1645239460">
          <w:marLeft w:val="640"/>
          <w:marRight w:val="0"/>
          <w:marTop w:val="0"/>
          <w:marBottom w:val="0"/>
          <w:divBdr>
            <w:top w:val="none" w:sz="0" w:space="0" w:color="auto"/>
            <w:left w:val="none" w:sz="0" w:space="0" w:color="auto"/>
            <w:bottom w:val="none" w:sz="0" w:space="0" w:color="auto"/>
            <w:right w:val="none" w:sz="0" w:space="0" w:color="auto"/>
          </w:divBdr>
        </w:div>
        <w:div w:id="782723095">
          <w:marLeft w:val="640"/>
          <w:marRight w:val="0"/>
          <w:marTop w:val="0"/>
          <w:marBottom w:val="0"/>
          <w:divBdr>
            <w:top w:val="none" w:sz="0" w:space="0" w:color="auto"/>
            <w:left w:val="none" w:sz="0" w:space="0" w:color="auto"/>
            <w:bottom w:val="none" w:sz="0" w:space="0" w:color="auto"/>
            <w:right w:val="none" w:sz="0" w:space="0" w:color="auto"/>
          </w:divBdr>
        </w:div>
        <w:div w:id="1947225745">
          <w:marLeft w:val="640"/>
          <w:marRight w:val="0"/>
          <w:marTop w:val="0"/>
          <w:marBottom w:val="0"/>
          <w:divBdr>
            <w:top w:val="none" w:sz="0" w:space="0" w:color="auto"/>
            <w:left w:val="none" w:sz="0" w:space="0" w:color="auto"/>
            <w:bottom w:val="none" w:sz="0" w:space="0" w:color="auto"/>
            <w:right w:val="none" w:sz="0" w:space="0" w:color="auto"/>
          </w:divBdr>
        </w:div>
        <w:div w:id="894700958">
          <w:marLeft w:val="640"/>
          <w:marRight w:val="0"/>
          <w:marTop w:val="0"/>
          <w:marBottom w:val="0"/>
          <w:divBdr>
            <w:top w:val="none" w:sz="0" w:space="0" w:color="auto"/>
            <w:left w:val="none" w:sz="0" w:space="0" w:color="auto"/>
            <w:bottom w:val="none" w:sz="0" w:space="0" w:color="auto"/>
            <w:right w:val="none" w:sz="0" w:space="0" w:color="auto"/>
          </w:divBdr>
        </w:div>
        <w:div w:id="1946108402">
          <w:marLeft w:val="640"/>
          <w:marRight w:val="0"/>
          <w:marTop w:val="0"/>
          <w:marBottom w:val="0"/>
          <w:divBdr>
            <w:top w:val="none" w:sz="0" w:space="0" w:color="auto"/>
            <w:left w:val="none" w:sz="0" w:space="0" w:color="auto"/>
            <w:bottom w:val="none" w:sz="0" w:space="0" w:color="auto"/>
            <w:right w:val="none" w:sz="0" w:space="0" w:color="auto"/>
          </w:divBdr>
        </w:div>
        <w:div w:id="1812362875">
          <w:marLeft w:val="640"/>
          <w:marRight w:val="0"/>
          <w:marTop w:val="0"/>
          <w:marBottom w:val="0"/>
          <w:divBdr>
            <w:top w:val="none" w:sz="0" w:space="0" w:color="auto"/>
            <w:left w:val="none" w:sz="0" w:space="0" w:color="auto"/>
            <w:bottom w:val="none" w:sz="0" w:space="0" w:color="auto"/>
            <w:right w:val="none" w:sz="0" w:space="0" w:color="auto"/>
          </w:divBdr>
        </w:div>
        <w:div w:id="1787964181">
          <w:marLeft w:val="640"/>
          <w:marRight w:val="0"/>
          <w:marTop w:val="0"/>
          <w:marBottom w:val="0"/>
          <w:divBdr>
            <w:top w:val="none" w:sz="0" w:space="0" w:color="auto"/>
            <w:left w:val="none" w:sz="0" w:space="0" w:color="auto"/>
            <w:bottom w:val="none" w:sz="0" w:space="0" w:color="auto"/>
            <w:right w:val="none" w:sz="0" w:space="0" w:color="auto"/>
          </w:divBdr>
        </w:div>
        <w:div w:id="1293943677">
          <w:marLeft w:val="640"/>
          <w:marRight w:val="0"/>
          <w:marTop w:val="0"/>
          <w:marBottom w:val="0"/>
          <w:divBdr>
            <w:top w:val="none" w:sz="0" w:space="0" w:color="auto"/>
            <w:left w:val="none" w:sz="0" w:space="0" w:color="auto"/>
            <w:bottom w:val="none" w:sz="0" w:space="0" w:color="auto"/>
            <w:right w:val="none" w:sz="0" w:space="0" w:color="auto"/>
          </w:divBdr>
        </w:div>
        <w:div w:id="1581795680">
          <w:marLeft w:val="640"/>
          <w:marRight w:val="0"/>
          <w:marTop w:val="0"/>
          <w:marBottom w:val="0"/>
          <w:divBdr>
            <w:top w:val="none" w:sz="0" w:space="0" w:color="auto"/>
            <w:left w:val="none" w:sz="0" w:space="0" w:color="auto"/>
            <w:bottom w:val="none" w:sz="0" w:space="0" w:color="auto"/>
            <w:right w:val="none" w:sz="0" w:space="0" w:color="auto"/>
          </w:divBdr>
        </w:div>
        <w:div w:id="2137719444">
          <w:marLeft w:val="640"/>
          <w:marRight w:val="0"/>
          <w:marTop w:val="0"/>
          <w:marBottom w:val="0"/>
          <w:divBdr>
            <w:top w:val="none" w:sz="0" w:space="0" w:color="auto"/>
            <w:left w:val="none" w:sz="0" w:space="0" w:color="auto"/>
            <w:bottom w:val="none" w:sz="0" w:space="0" w:color="auto"/>
            <w:right w:val="none" w:sz="0" w:space="0" w:color="auto"/>
          </w:divBdr>
        </w:div>
        <w:div w:id="1871382716">
          <w:marLeft w:val="640"/>
          <w:marRight w:val="0"/>
          <w:marTop w:val="0"/>
          <w:marBottom w:val="0"/>
          <w:divBdr>
            <w:top w:val="none" w:sz="0" w:space="0" w:color="auto"/>
            <w:left w:val="none" w:sz="0" w:space="0" w:color="auto"/>
            <w:bottom w:val="none" w:sz="0" w:space="0" w:color="auto"/>
            <w:right w:val="none" w:sz="0" w:space="0" w:color="auto"/>
          </w:divBdr>
        </w:div>
        <w:div w:id="643707129">
          <w:marLeft w:val="640"/>
          <w:marRight w:val="0"/>
          <w:marTop w:val="0"/>
          <w:marBottom w:val="0"/>
          <w:divBdr>
            <w:top w:val="none" w:sz="0" w:space="0" w:color="auto"/>
            <w:left w:val="none" w:sz="0" w:space="0" w:color="auto"/>
            <w:bottom w:val="none" w:sz="0" w:space="0" w:color="auto"/>
            <w:right w:val="none" w:sz="0" w:space="0" w:color="auto"/>
          </w:divBdr>
        </w:div>
        <w:div w:id="1655405775">
          <w:marLeft w:val="640"/>
          <w:marRight w:val="0"/>
          <w:marTop w:val="0"/>
          <w:marBottom w:val="0"/>
          <w:divBdr>
            <w:top w:val="none" w:sz="0" w:space="0" w:color="auto"/>
            <w:left w:val="none" w:sz="0" w:space="0" w:color="auto"/>
            <w:bottom w:val="none" w:sz="0" w:space="0" w:color="auto"/>
            <w:right w:val="none" w:sz="0" w:space="0" w:color="auto"/>
          </w:divBdr>
        </w:div>
        <w:div w:id="1115712588">
          <w:marLeft w:val="640"/>
          <w:marRight w:val="0"/>
          <w:marTop w:val="0"/>
          <w:marBottom w:val="0"/>
          <w:divBdr>
            <w:top w:val="none" w:sz="0" w:space="0" w:color="auto"/>
            <w:left w:val="none" w:sz="0" w:space="0" w:color="auto"/>
            <w:bottom w:val="none" w:sz="0" w:space="0" w:color="auto"/>
            <w:right w:val="none" w:sz="0" w:space="0" w:color="auto"/>
          </w:divBdr>
        </w:div>
        <w:div w:id="147359723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5C9EF334-3347-A949-BD60-CC04257D76D2}"/>
      </w:docPartPr>
      <w:docPartBody>
        <w:p w:rsidR="00480BCD" w:rsidRDefault="0095646B">
          <w:r w:rsidRPr="00073C2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46B"/>
    <w:rsid w:val="001347C8"/>
    <w:rsid w:val="00193423"/>
    <w:rsid w:val="001A4296"/>
    <w:rsid w:val="00237308"/>
    <w:rsid w:val="003910FC"/>
    <w:rsid w:val="00480BCD"/>
    <w:rsid w:val="005A676E"/>
    <w:rsid w:val="00726DE0"/>
    <w:rsid w:val="007B53DB"/>
    <w:rsid w:val="00954A41"/>
    <w:rsid w:val="0095646B"/>
    <w:rsid w:val="00B84FC7"/>
    <w:rsid w:val="00B912CB"/>
    <w:rsid w:val="00BA0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646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B1013D-8C34-7A4A-8047-8D972C518A77}">
  <we:reference id="wa104382081" version="1.55.1.0" store="en-US" storeType="OMEX"/>
  <we:alternateReferences>
    <we:reference id="WA104382081" version="1.55.1.0" store="en-US" storeType="OMEX"/>
  </we:alternateReferences>
  <we:properties>
    <we:property name="MENDELEY_CITATIONS" value="[{&quot;citationID&quot;:&quot;MENDELEY_CITATION_334de64b-24b1-451d-a287-366e10c753fe&quot;,&quot;properties&quot;:{&quot;noteIndex&quot;:0},&quot;isEdited&quot;:false,&quot;manualOverride&quot;:{&quot;isManuallyOverridden&quot;:false,&quot;citeprocText&quot;:&quot;(1)&quot;,&quot;manualOverrideText&quot;:&quot;&quot;},&quot;citationTag&quot;:&quot;MENDELEY_CITATION_v3_eyJjaXRhdGlvbklEIjoiTUVOREVMRVlfQ0lUQVRJT05fMzM0ZGU2NGItMjRiMS00NTFkLWEyODctMzY2ZTEwYzc1M2ZlIiwicHJvcGVydGllcyI6eyJub3RlSW5kZXgiOjB9LCJpc0VkaXRlZCI6ZmFsc2UsIm1hbnVhbE92ZXJyaWRlIjp7ImlzTWFudWFsbHlPdmVycmlkZGVuIjpmYWxzZSwiY2l0ZXByb2NUZXh0IjoiKDEpIiwibWFudWFsT3ZlcnJpZGVUZXh0IjoiIn0sImNpdGF0aW9uSXRlbXMiOlt7ImlkIjoiNWU2ZmE5MDktODQyNy0zYTQ0LThiMGEtZDZkZDQ0Zjk0NDQ5IiwiaXRlbURhdGEiOnsidHlwZSI6ImFydGljbGUiLCJpZCI6IjVlNmZhOTA5LTg0MjctM2E0NC04YjBhLWQ2ZGQ0NGY5NDQ0OSIsInRpdGxlIjoiQ292aWRlbmNlIHN5c3RlbWF0aWMgcmV2aWV3IHNvZnR3YXJlIiwicHVibGlzaGVyIjoiVmVyaXRhcyBIZWFsdGggSW5ub3ZhdGlvbiwgTWVsYm91cm5lLCBBdXN0cmFsaWEsIEF2YWlsYWJsZSBhdCB3d3cuY292aWRlbmNlLm9yZyIsImNvbnRhaW5lci10aXRsZS1zaG9ydCI6IiJ9LCJpc1RlbXBvcmFyeSI6ZmFsc2V9XX0=&quot;,&quot;citationItems&quot;:[{&quot;id&quot;:&quot;5e6fa909-8427-3a44-8b0a-d6dd44f94449&quot;,&quot;itemData&quot;:{&quot;type&quot;:&quot;article&quot;,&quot;id&quot;:&quot;5e6fa909-8427-3a44-8b0a-d6dd44f94449&quot;,&quot;title&quot;:&quot;Covidence systematic review software&quot;,&quot;publisher&quot;:&quot;Veritas Health Innovation, Melbourne, Australia, Available at www.covidence.org&quot;,&quot;container-title-short&quot;:&quot;&quot;},&quot;isTemporary&quot;:false}]},{&quot;citationID&quot;:&quot;MENDELEY_CITATION_016745e6-d8a9-411a-b6e5-15cc0db2dcb3&quot;,&quot;properties&quot;:{&quot;noteIndex&quot;:0},&quot;isEdited&quot;:false,&quot;manualOverride&quot;:{&quot;isManuallyOverridden&quot;:false,&quot;citeprocText&quot;:&quot;(2)&quot;,&quot;manualOverrideText&quot;:&quot;&quot;},&quot;citationTag&quot;:&quot;MENDELEY_CITATION_v3_eyJjaXRhdGlvbklEIjoiTUVOREVMRVlfQ0lUQVRJT05fMDE2NzQ1ZTYtZDhhOS00MTFhLWI2ZTUtMTVjYzBkYjJkY2IzIiwicHJvcGVydGllcyI6eyJub3RlSW5kZXgiOjB9LCJpc0VkaXRlZCI6ZmFsc2UsIm1hbnVhbE92ZXJyaWRlIjp7ImlzTWFudWFsbHlPdmVycmlkZGVuIjpmYWxzZSwiY2l0ZXByb2NUZXh0IjoiKDIpIiwibWFudWFsT3ZlcnJpZGVUZXh0IjoiIn0sImNpdGF0aW9uSXRlbXMiOlt7ImlkIjoiNjcyM2VkNzQtMGQ1Ny0zYTZhLWIwMzEtODVkN2Y4N2Q5NTVmIiwiaXRlbURhdGEiOnsidHlwZSI6ImFydGljbGUtam91cm5hbCIsImlkIjoiNjcyM2VkNzQtMGQ1Ny0zYTZhLWIwMzEtODVkN2Y4N2Q5NTVmIiwidGl0bGUiOiJQcmVtb25pdG9yeSBVcmdlIGZvciBUaWNzIFNjYWxlIChQVVRTKTogaW5pdGlhbCBwc3ljaG9tZXRyaWMgcmVzdWx0cyBhbmQgZXhhbWluYXRpb24gb2YgdGhlIHByZW1vbml0b3J5IHVyZ2UgcGhlbm9tZW5vbiBpbiB5b3V0aHMgd2l0aCBUaWMgZGlzb3JkZXJzIiwiZ3JvdXBJZCI6IjA3ZDYyYWMxLTVhYTgtMzlhZi1iNDllLTUyZDIwODhhYzU3MSIsImF1dGhvciI6W3siZmFtaWx5IjoiV29vZHMiLCJnaXZlbiI6IkQgVyIsInBhcnNlLW5hbWVzIjpmYWxzZSwiZHJvcHBpbmctcGFydGljbGUiOiIiLCJub24tZHJvcHBpbmctcGFydGljbGUiOiIifSx7ImZhbWlseSI6IlBpYWNlbnRpbmkiLCJnaXZlbiI6IkoiLCJwYXJzZS1uYW1lcyI6ZmFsc2UsImRyb3BwaW5nLXBhcnRpY2xlIjoiIiwibm9uLWRyb3BwaW5nLXBhcnRpY2xlIjoiIn0seyJmYW1pbHkiOiJIaW1sZSIsImdpdmVuIjoiTSBCIiwicGFyc2UtbmFtZXMiOmZhbHNlLCJkcm9wcGluZy1wYXJ0aWNsZSI6IiIsIm5vbi1kcm9wcGluZy1wYXJ0aWNsZSI6IiJ9LHsiZmFtaWx5IjoiQ2hhbmciLCJnaXZlbiI6IlMiLCJwYXJzZS1uYW1lcyI6ZmFsc2UsImRyb3BwaW5nLXBhcnRpY2xlIjoiIiwibm9uLWRyb3BwaW5nLXBhcnRpY2xlIjoiIn1dLCJjb250YWluZXItdGl0bGUiOiJKIERldiBCZWhhdiBQZWRpYXRyIiwiRE9JIjoiMTAuMTA5Ny8wMDAwNDcwMy0yMDA1MTIwMDAtMDAwMDEiLCJQTUlEIjoiMTYzNDQ2NTQiLCJpc3N1ZWQiOnsiZGF0ZS1wYXJ0cyI6W1syMDA1XV19LCJwYWdlIjoiMzk3LTQwMyIsImFic3RyYWN0IjoiQWx0aG91Z2ggbW90b3IgdGljcyBhbmQvb3Igdm9jYWwgdGljcyBhcmUgdGhlIGRlZmluaW5nIGZlYXR1cmVzIG9mIGNocm9uaWMgdGljIGRpc29yZGVyIChDVEQpIGFuZCBUb3VyZXR0ZSBzeW5kcm9tZSAoVFMpLCBvbGRlciB5b3V0aHMgYW5kIGFkdWx0cyBvZnRlbiByZXBvcnQgdGhlaXIgdGljcyB0byBiZSBwcmVjZWRlZCBieSBhbiB1bnBsZWFzYW50IHNlbnNhdGlvbiBvciBcInByZW1vbml0b3J5IHVyZ2UuXCIgV2hpbGUgcHJlbW9uaXRvcnkgdXJnZSBwaGVub21lbmEgbWF5IHBsYXkgYW4gaW1wb3J0YW50IHJvbGUgaW4gYmVoYXZpb3JhbCBpbnRlcnZlbnRpb25zIGZvciBDVEQvVFMsIHN0YW5kYXJkaXplZCBhc3Nlc3NtZW50cyBmb3IgcHJlbW9uaXRvcnkgdXJnZXMgZG8gbm90IGV4aXN0LiBUaGUgY3VycmVudCBzdHVkeSBvZiA0MiB5b3V0aHMgd2l0aCBUUyBvciBDVEQgcHJlc2VudHMgaW5pdGlhbCBwc3ljaG9tZXRyaWMgZGF0YSBmb3IgYSBuZXcsIGJyaWVmIHNlbGYtcmVwb3J0IHNjYWxlIGRlc2lnbmVkIHRvIG1lYXN1cmUgdGljLXJlbGF0ZWQgcHJlbW9uaXRvcnkgdXJnZXMuIFJlc3VsdHMgc2hvd2VkIHRoYXQgdGhlIFByZW1vbml0b3J5IFVyZ2UgZm9yIFRpY3MgU2NhbGUgKFBVVFMpIHdhcyBpbnRlcm5hbGx5IGNvbnNpc3RlbnQgKGFscGhhID0gLjgxKSBhbmQgdGVtcG9yYWxseSBzdGFibGUgYXQgMSAociA9IDAuNzksIHAgPCAuMDEpIGFuZCAyIChyID0gMC44NiwgcCA8IC4wMSkgd2Vla3MuIFBVVFMgc2NvcmVzIHdlcmUgYWxzbyBjb3JyZWxhdGVkIHdpdGggb3ZlcmFsbCB0aWMgc2V2ZXJpdHkgYXMgbWVhc3VyZWQgYnkgdGhlIFlhbGUgR2xvYmFsIFRpYyBTZXZlcml0eSBTY2FsZSAoWUdUU1M7IHIgPSAwLjMxLCBwIDwgLjA1KSBhbmQgdGhlIFlHVFNTIG51bWJlciAociA9IDAuMzUsIHAgPCAuMDUpLCBjb21wbGV4aXR5IChyID0gMC40OSwgcCA8IC4wMSksIGFuZCBpbnRlcmZlcmVuY2UgKHIgPSAwLjM2LCBwIDwgLjA1KSBzdWJzY2FsZXMuIEZpbmFsbHksIGFuIGV4YW1pbmF0aW9uIG9mIHRoZSBwc3ljaGlhdHJpYyBjb3JyZWxhdGVzIG9mIHRoZSBwcmVtb25pdG9yeSB1cmdlIHBoZW5vbWVub24geWllbGRlZCBzaWduaWZpY2FudCBjb3JyZWxhdGlvbnMgYmV0d2VlbiB0aGUgUFVUUyBhbmQgdGhlIENoaWxkIEJlaGF2aW9yIENoZWNrbGlzdCAoQ0JDTCkgYW54aWV0eS9kZXByZXNzaW9uIChyID0gMC4zMywgcCA8IC4wNSksIGFuZCB3aXRoZHJhd2FsIChyID0gMC4zOCwgcCA8IC4wNSkgc3Vic2NhbGVzIGFzIHdlbGwgYXMgdGhlIENoaWxkcmVuJ3MgWWFsZS1Ccm93biBPYnNlc3NpdmUgQ29tcHVsc2l2ZSBTY2FsZSAoQ1lCT0NTOyByID0gMC4zMSwgcCA8IC4wNSkuIEhvd2V2ZXIsIGEgY3Jvc3Mtc2VjdGlvbmFsIGV4YW1pbmF0aW9uIG9mIHRoZSBkYXRhIHNob3dlZCB0aGF0IHRoZSBwc3ljaG9tZXRyaWMgcHJvcGVydGllcyBvZiB0aGUgUFVUUyB3ZXJlIG5vdCBhY2NlcHRhYmxlIGZvciB5b3V0aHMgMTAgeWVhcnMgb2YgYWdlIGFuZCB5b3VuZ2VyLiBMaWtld2lzZSwgc2lnbmlmaWNhbnQgY29ycmVsYXRpb25zIGZvdW5kIGJldHdlZW4gdGhlIFlHVFNTIHN1YnNjYWxlcywgQ0JDTCBzdWJzY2FsZXMsIENZQk9DUywgYW5kIHRoZSBQVVRTIGRpZCBub3QgZW1lcmdlIGluIHRoaXMgeW91bmdlciBhZ2UgZ3JvdXAuIFRoZSBjbGluaWNhbCBhbmQgdGhlb3JldGljYWwgaW1wbGljYXRpb25zIG9mIHRoZXNlIGZpbmRpbmdzIGFyZSBkaXNjdXNzZWQuIiwiaXNzdWUiOiI2Iiwidm9sdW1lIjoiMjYiLCJjb250YWluZXItdGl0bGUtc2hvcnQiOiIifSwiaXNUZW1wb3JhcnkiOmZhbHNlfV19&quot;,&quot;citationItems&quot;:[{&quot;id&quot;:&quot;6723ed74-0d57-3a6a-b031-85d7f87d955f&quot;,&quot;itemData&quot;:{&quot;type&quot;:&quot;article-journal&quot;,&quot;id&quot;:&quot;6723ed74-0d57-3a6a-b031-85d7f87d955f&quot;,&quot;title&quot;:&quot;Premonitory Urge for Tics Scale (PUTS): initial psychometric results and examination of the premonitory urge phenomenon in youths with Tic disorders&quot;,&quot;groupId&quot;:&quot;07d62ac1-5aa8-39af-b49e-52d2088ac571&quot;,&quot;author&quot;:[{&quot;family&quot;:&quot;Woods&quot;,&quot;given&quot;:&quot;D W&quot;,&quot;parse-names&quot;:false,&quot;dropping-particle&quot;:&quot;&quot;,&quot;non-dropping-particle&quot;:&quot;&quot;},{&quot;family&quot;:&quot;Piacentini&quot;,&quot;given&quot;:&quot;J&quot;,&quot;parse-names&quot;:false,&quot;dropping-particle&quot;:&quot;&quot;,&quot;non-dropping-particle&quot;:&quot;&quot;},{&quot;family&quot;:&quot;Himle&quot;,&quot;given&quot;:&quot;M B&quot;,&quot;parse-names&quot;:false,&quot;dropping-particle&quot;:&quot;&quot;,&quot;non-dropping-particle&quot;:&quot;&quot;},{&quot;family&quot;:&quot;Chang&quot;,&quot;given&quot;:&quot;S&quot;,&quot;parse-names&quot;:false,&quot;dropping-particle&quot;:&quot;&quot;,&quot;non-dropping-particle&quot;:&quot;&quot;}],&quot;container-title&quot;:&quot;J Dev Behav Pediatr&quot;,&quot;DOI&quot;:&quot;10.1097/00004703-200512000-00001&quot;,&quot;PMID&quot;:&quot;16344654&quot;,&quot;issued&quot;:{&quot;date-parts&quot;:[[2005]]},&quot;page&quot;:&quot;397-403&quot;,&quot;abstract&quot;:&quot;Although motor tics and/or vocal tics are the defining features of chronic tic disorder (CTD) and Tourette syndrome (TS), older youths and adults often report their tics to be preceded by an unpleasant sensation or \&quot;premonitory urge.\&quot; While premonitory urge phenomena may play an important role in behavioral interventions for CTD/TS, standardized assessments for premonitory urges do not exist. The current study of 42 youths with TS or CTD presents initial psychometric data for a new, brief self-report scale designed to measure tic-related premonitory urges. Results showed that the Premonitory Urge for Tics Scale (PUTS) was internally consistent (alpha = .81) and temporally stable at 1 (r = 0.79, p &lt; .01) and 2 (r = 0.86, p &lt; .01) weeks. PUTS scores were also correlated with overall tic severity as measured by the Yale Global Tic Severity Scale (YGTSS; r = 0.31, p &lt; .05) and the YGTSS number (r = 0.35, p &lt; .05), complexity (r = 0.49, p &lt; .01), and interference (r = 0.36, p &lt; .05) subscales. Finally, an examination of the psychiatric correlates of the premonitory urge phenomenon yielded significant correlations between the PUTS and the Child Behavior Checklist (CBCL) anxiety/depression (r = 0.33, p &lt; .05), and withdrawal (r = 0.38, p &lt; .05) subscales as well as the Children's Yale-Brown Obsessive Compulsive Scale (CYBOCS; r = 0.31, p &lt; .05). However, a cross-sectional examination of the data showed that the psychometric properties of the PUTS were not acceptable for youths 10 years of age and younger. Likewise, significant correlations found between the YGTSS subscales, CBCL subscales, CYBOCS, and the PUTS did not emerge in this younger age group. The clinical and theoretical implications of these findings are discussed.&quot;,&quot;issue&quot;:&quot;6&quot;,&quot;volume&quot;:&quot;26&quot;,&quot;container-title-short&quot;:&quot;&quot;},&quot;isTemporary&quot;:false}]},{&quot;citationID&quot;:&quot;MENDELEY_CITATION_ca2907ba-7dd4-4bc6-9b3b-c72da4ee68cd&quot;,&quot;properties&quot;:{&quot;noteIndex&quot;:0},&quot;isEdited&quot;:false,&quot;manualOverride&quot;:{&quot;isManuallyOverridden&quot;:false,&quot;citeprocText&quot;:&quot;(3)&quot;,&quot;manualOverrideText&quot;:&quot;&quot;},&quot;citationTag&quot;:&quot;MENDELEY_CITATION_v3_eyJjaXRhdGlvbklEIjoiTUVOREVMRVlfQ0lUQVRJT05fY2EyOTA3YmEtN2RkNC00YmM2LTliM2ItYzcyZGE0ZWU2OGNkIiwicHJvcGVydGllcyI6eyJub3RlSW5kZXgiOjB9LCJpc0VkaXRlZCI6ZmFsc2UsIm1hbnVhbE92ZXJyaWRlIjp7ImlzTWFudWFsbHlPdmVycmlkZGVuIjpmYWxzZSwiY2l0ZXByb2NUZXh0IjoiKDMpIiwibWFudWFsT3ZlcnJpZGVUZXh0IjoiIn0sImNpdGF0aW9uSXRlbXMiOlt7ImlkIjoiODE4ODlmYmUtY2I0Zi0zMTQ2LWJlNWMtY2ViYWRjZjFiZmFhIiwiaXRlbURhdGEiOnsidHlwZSI6ImFydGljbGUtam91cm5hbCIsImlkIjoiODE4ODlmYmUtY2I0Zi0zMTQ2LWJlNWMtY2ViYWRjZjFiZmFhIiwidGl0bGUiOiJUaWMgZGlzb3JkZXJzIGFuZCB0aGUgcHJlbW9uaXRvcnkgdXJnZSIsImdyb3VwSWQiOiIwN2Q2MmFjMS01YWE4LTM5YWYtYjQ5ZS01MmQyMDg4YWM1NzEiLCJhdXRob3IiOlt7ImZhbWlseSI6IlN0ZWluYmVyZyIsImdpdmVuIjoiVCIsInBhcnNlLW5hbWVzIjpmYWxzZSwiZHJvcHBpbmctcGFydGljbGUiOiIiLCJub24tZHJvcHBpbmctcGFydGljbGUiOiIifSx7ImZhbWlseSI6IlNobXVlbCBCYXJ1Y2giLCJnaXZlbiI6IlMiLCJwYXJzZS1uYW1lcyI6ZmFsc2UsImRyb3BwaW5nLXBhcnRpY2xlIjoiIiwibm9uLWRyb3BwaW5nLXBhcnRpY2xlIjoiIn0seyJmYW1pbHkiOiJIYXJ1c2giLCJnaXZlbiI6IkEiLCJwYXJzZS1uYW1lcyI6ZmFsc2UsImRyb3BwaW5nLXBhcnRpY2xlIjoiIiwibm9uLWRyb3BwaW5nLXBhcnRpY2xlIjoiIn0seyJmYW1pbHkiOiJEYXIiLCJnaXZlbiI6IlIiLCJwYXJzZS1uYW1lcyI6ZmFsc2UsImRyb3BwaW5nLXBhcnRpY2xlIjoiIiwibm9uLWRyb3BwaW5nLXBhcnRpY2xlIjoiIn0seyJmYW1pbHkiOiJXb29kcyIsImdpdmVuIjoiRCIsInBhcnNlLW5hbWVzIjpmYWxzZSwiZHJvcHBpbmctcGFydGljbGUiOiIiLCJub24tZHJvcHBpbmctcGFydGljbGUiOiIifSx7ImZhbWlseSI6IlBpYWNlbnRpbmkiLCJnaXZlbiI6IkoiLCJwYXJzZS1uYW1lcyI6ZmFsc2UsImRyb3BwaW5nLXBhcnRpY2xlIjoiIiwibm9uLWRyb3BwaW5nLXBhcnRpY2xlIjoiIn0seyJmYW1pbHkiOiJBcHRlciIsImdpdmVuIjoiQSIsInBhcnNlLW5hbWVzIjpmYWxzZSwiZHJvcHBpbmctcGFydGljbGUiOiIiLCJub24tZHJvcHBpbmctcGFydGljbGUiOiIifV0sImNvbnRhaW5lci10aXRsZSI6IkogTmV1cmFsIFRyYW5zbSAoVmllbm5hKSIsIkRPSSI6IjEwLjEwMDcvczAwNzAyLTAwOS0wMzUzLTMiLCJQTUlEIjoiMjAwMzMyMzYiLCJVUkwiOiJodHRwczovL2xpbmsuc3ByaW5nZXIuY29tL2NvbnRlbnQvcGRmLzEwLjEwMDcvczAwNzAyLTAwOS0wMzUzLTMucGRmIiwiaXNzdWVkIjp7ImRhdGUtcGFydHMiOltbMjAxMF1dfSwicGFnZSI6IjI3Ny0yODQiLCJhYnN0cmFjdCI6IlRoZSBhaW1zIG9mIHRoaXMgc3R1ZHkgd2VyZSB0byBleGFtaW5lIGEgbm9uLUVuZ2xpc2ggKEhlYnJldykgdmVyc2lvbiBvZiBhIHNjYWxlIHRoYXQgbWVhc3VyZXMgdGhlIHByZW1vbml0b3J5IHVyZ2UgaW4gY2hpbGRyZW4gc3VmZmVyaW5nIGZyb20gdGljIGRpc29yZGVyLCBhcyB3ZWxsIGFzIGV4YW1pbmUgdGhlIGNvcnJlbGF0aW9ucyBvZiB0aGUgdXJnZSB3aXRoIGRlbW9ncmFwaGljIGFuZCBjbGluaWNhbCBhc3BlY3RzIG9mIFRvdXJldHRlIFN5bmRyb21lLiBGb3J0eSBjaGlsZHJlbiBhbmQgYWRvbGVzY2VudHMsIHN1ZmZlcmluZyBmcm9tIHRpY3MgcGFydGljaXBhdGVkIGluIHRoaXMgc3R1ZHkuIFRoZXkgd2VyZSBhc3Nlc3NlZCB3aXRoIHRoZSBQcmVtb25pdG9yeSBVcmdlIGZvciBUaWNzIFNjYWxlIChQVVRTKTsgdGhlIFlhbGUgR2xvYmFsIFRpYyBTZXZlcml0eSBTY2FsZSAoWUdUU1MpOyB0aGUgQ2hpbGRob29kIFZlcnNpb24gb2YgdGhlIFlhbGUgQnJvd24gT2JzZXNzaXZlIENvbXB1bHNpdmUgU2NhbGUgKENZQk9DUyk7IHRoZSBBREhEIFJhdGluZyBTY2FsZSBJViAoQ29ubmVycykgU2NhbGU7IHRoZSBTY3JlZW4gZm9yIENoaWxkIEFueGlldHkgUmVsYXRlZCBFbW90aW9uYWwgRGlzb3JkZXJzIChTQ0FSRUQpOyBhbmQgdGhlIENoaWxkIERlcHJlc3Npb24gSW52ZW50b3J5IChDREkpLiBUaGUgbWVhbiBQVVRTIHNjb3JlIHdhcyAyMC4xNSAoU0QgPSA1Ljg5KS4gRm9yIHRoZSBlbnRpcmUgc2FtcGxlIHRoZSBQVVRTIHdhcyBmb3VuZCB0byBiZSBpbnRlcm5hbGx5IGNvbnNpc3RlbnQgYXQgYSA9IDAuNzkuIFlvdXRocyBvbGRlciB0aGFuIDEwIHllYXJzIGhhZCBoaWdoZXIgY29uc2lzdGVuY3kgKGEgPSAwLjgzKSB0aGFuIHlvdXRocyB5b3VuZ2VyIHRoYW4gMTAgKGEgPSAwLjY5KS4gUHJlbW9uaXRvcnkgdXJnZSB3YXMgbm90IGNvcnJlbGF0ZWQgd2l0aCB0aWMgc2V2ZXJpdHkgaW4gdGhlIGVudGlyZSBzYW1wbGUuIEluIHlvdXRocyBvbGRlciB0aGFuIDEwLCBhcyBvcHBvc2VkIHRvIHlvdXRocyB5b3VuZ2VyIHRoYW4gMTAsIHByZW1vbml0b3J5IHVyZ2UgZGlkIGNvcnJlbGF0ZSB3aXRoIG9ic2Vzc2lvbnMsIGNvbXB1bHNpb25zIGFuZCBkZXByZXNzaW9uLCBidXQgbm90IHdpdGggYW54aWV0eSBvciB3aXRoIEFESEQuIFRoZSBwcmVtb25pdG9yeSB1cmdlIGNhbiBiZSBtZWFzdXJlZCByZWxpYWJseSBhbmQgdGhlIFBVVFMgaXMgYSB1c2VmdWwgaW5zdHJ1bWVudCBmb3IgbWVhc3VyaW5nIHRoaXMgaW1wb3J0YW50IHBoZW5vbWVuYS4gUHJlbW9uaXRvcnkgdXJnZXMgc2VlbXMgdG8gYmUgcmVsYXRlZCB0byBvYnNlc3Npb25zLCBjb21wdWxzaW9ucywgYW5kIGRlcHJlc3Npb24gaW4gb2xkZXIgY2hpbGRyZW4gYW5kIHRoaXMgbWF5IGhhdmUgaW1wbGljYXRpb25zIGZvciB0aGUgZGV2ZWxvcG1lbnRhbCBwc3ljaG9wYXRob2xneSBvZiB0aGVzZSBzeW1wdG9tcy4iLCJpc3N1ZSI6IjIiLCJ2b2x1bWUiOiIxMTciLCJjb250YWluZXItdGl0bGUtc2hvcnQiOiIifSwiaXNUZW1wb3JhcnkiOmZhbHNlfV19&quot;,&quot;citationItems&quot;:[{&quot;id&quot;:&quot;81889fbe-cb4f-3146-be5c-cebadcf1bfaa&quot;,&quot;itemData&quot;:{&quot;type&quot;:&quot;article-journal&quot;,&quot;id&quot;:&quot;81889fbe-cb4f-3146-be5c-cebadcf1bfaa&quot;,&quot;title&quot;:&quot;Tic disorders and the premonitory urge&quot;,&quot;groupId&quot;:&quot;07d62ac1-5aa8-39af-b49e-52d2088ac571&quot;,&quot;author&quot;:[{&quot;family&quot;:&quot;Steinberg&quot;,&quot;given&quot;:&quot;T&quot;,&quot;parse-names&quot;:false,&quot;dropping-particle&quot;:&quot;&quot;,&quot;non-dropping-particle&quot;:&quot;&quot;},{&quot;family&quot;:&quot;Shmuel Baruch&quot;,&quot;given&quot;:&quot;S&quot;,&quot;parse-names&quot;:false,&quot;dropping-particle&quot;:&quot;&quot;,&quot;non-dropping-particle&quot;:&quot;&quot;},{&quot;family&quot;:&quot;Harush&quot;,&quot;given&quot;:&quot;A&quot;,&quot;parse-names&quot;:false,&quot;dropping-particle&quot;:&quot;&quot;,&quot;non-dropping-particle&quot;:&quot;&quot;},{&quot;family&quot;:&quot;Dar&quot;,&quot;given&quot;:&quot;R&quot;,&quot;parse-names&quot;:false,&quot;dropping-particle&quot;:&quot;&quot;,&quot;non-dropping-particle&quot;:&quot;&quot;},{&quot;family&quot;:&quot;Woods&quot;,&quot;given&quot;:&quot;D&quot;,&quot;parse-names&quot;:false,&quot;dropping-particle&quot;:&quot;&quot;,&quot;non-dropping-particle&quot;:&quot;&quot;},{&quot;family&quot;:&quot;Piacentini&quot;,&quot;given&quot;:&quot;J&quot;,&quot;parse-names&quot;:false,&quot;dropping-particle&quot;:&quot;&quot;,&quot;non-dropping-particle&quot;:&quot;&quot;},{&quot;family&quot;:&quot;Apter&quot;,&quot;given&quot;:&quot;A&quot;,&quot;parse-names&quot;:false,&quot;dropping-particle&quot;:&quot;&quot;,&quot;non-dropping-particle&quot;:&quot;&quot;}],&quot;container-title&quot;:&quot;J Neural Transm (Vienna)&quot;,&quot;DOI&quot;:&quot;10.1007/s00702-009-0353-3&quot;,&quot;PMID&quot;:&quot;20033236&quot;,&quot;URL&quot;:&quot;https://link.springer.com/content/pdf/10.1007/s00702-009-0353-3.pdf&quot;,&quot;issued&quot;:{&quot;date-parts&quot;:[[2010]]},&quot;page&quot;:&quot;277-284&quot;,&quot;abstract&quot;:&quot;The aims of this study were to examine a non-English (Hebrew) version of a scale that measures the premonitory urge in children suffering from tic disorder, as well as examine the correlations of the urge with demographic and clinical aspects of Tourette Syndrome. Forty children and adolescents, suffering from tics participated in this study. They were assessed with the Premonitory Urge for Tics Scale (PUTS); the Yale Global Tic Severity Scale (YGTSS); the Childhood Version of the Yale Brown Obsessive Compulsive Scale (CYBOCS); the ADHD Rating Scale IV (Conners) Scale; the Screen for Child Anxiety Related Emotional Disorders (SCARED); and the Child Depression Inventory (CDI). The mean PUTS score was 20.15 (SD = 5.89). For the entire sample the PUTS was found to be internally consistent at a = 0.79. Youths older than 10 years had higher consistency (a = 0.83) than youths younger than 10 (a = 0.69). Premonitory urge was not correlated with tic severity in the entire sample. In youths older than 10, as opposed to youths younger than 10, premonitory urge did correlate with obsessions, compulsions and depression, but not with anxiety or with ADHD. The premonitory urge can be measured reliably and the PUTS is a useful instrument for measuring this important phenomena. Premonitory urges seems to be related to obsessions, compulsions, and depression in older children and this may have implications for the developmental psychopatholgy of these symptoms.&quot;,&quot;issue&quot;:&quot;2&quot;,&quot;volume&quot;:&quot;117&quot;,&quot;container-title-short&quot;:&quot;&quot;},&quot;isTemporary&quot;:false}]},{&quot;citationID&quot;:&quot;MENDELEY_CITATION_16199740-99c3-429b-9353-fb15ff8c53de&quot;,&quot;properties&quot;:{&quot;noteIndex&quot;:0},&quot;isEdited&quot;:false,&quot;manualOverride&quot;:{&quot;isManuallyOverridden&quot;:false,&quot;citeprocText&quot;:&quot;(4)&quot;,&quot;manualOverrideText&quot;:&quot;&quot;},&quot;citationTag&quot;:&quot;MENDELEY_CITATION_v3_eyJjaXRhdGlvbklEIjoiTUVOREVMRVlfQ0lUQVRJT05fMTYxOTk3NDAtOTljMy00MjliLTkzNTMtZmIxNWZmOGM1M2RlIiwicHJvcGVydGllcyI6eyJub3RlSW5kZXgiOjB9LCJpc0VkaXRlZCI6ZmFsc2UsIm1hbnVhbE92ZXJyaWRlIjp7ImlzTWFudWFsbHlPdmVycmlkZGVuIjpmYWxzZSwiY2l0ZXByb2NUZXh0IjoiKDQpIiwibWFudWFsT3ZlcnJpZGVUZXh0IjoiIn0sImNpdGF0aW9uSXRlbXMiOlt7ImlkIjoiYjVhNWI5YWYtNTk2OC0zZmZkLTlmOTAtMzZhNTI0NGE1MDU4IiwiaXRlbURhdGEiOnsidHlwZSI6ImFydGljbGUtam91cm5hbCIsImlkIjoiYjVhNWI5YWYtNTk2OC0zZmZkLTlmOTAtMzZhNTI0NGE1MDU4IiwidGl0bGUiOiJQcmVtb25pdG9yeSBVcmdlcyBpbiBQYXRpZW50cyB3aXRoIEdpbGxlcyBkZSBsYSBUb3VyZXR0ZSBTeW5kcm9tZTogQW4gSXRhbGlhbiBUcmFuc2xhdGlvbiBhbmQgYSA3LVllYXIgRm9sbG93LXVwIiwiZ3JvdXBJZCI6IjA3ZDYyYWMxLTVhYTgtMzlhZi1iNDllLTUyZDIwODhhYzU3MSIsImF1dGhvciI6W3siZmFtaWx5IjoiR3VsaXNhbm8iLCJnaXZlbiI6Ik0iLCJwYXJzZS1uYW1lcyI6ZmFsc2UsImRyb3BwaW5nLXBhcnRpY2xlIjoiIiwibm9uLWRyb3BwaW5nLXBhcnRpY2xlIjoiIn0seyJmYW1pbHkiOiJDYWzDrCIsImdpdmVuIjoiUCIsInBhcnNlLW5hbWVzIjpmYWxzZSwiZHJvcHBpbmctcGFydGljbGUiOiIiLCJub24tZHJvcHBpbmctcGFydGljbGUiOiIifSx7ImZhbWlseSI6IlBhbGVybW8iLCJnaXZlbiI6IkYiLCJwYXJzZS1uYW1lcyI6ZmFsc2UsImRyb3BwaW5nLXBhcnRpY2xlIjoiIiwibm9uLWRyb3BwaW5nLXBhcnRpY2xlIjoiIn0seyJmYW1pbHkiOiJSb2JlcnRzb24iLCJnaXZlbiI6Ik0iLCJwYXJzZS1uYW1lcyI6ZmFsc2UsImRyb3BwaW5nLXBhcnRpY2xlIjoiIiwibm9uLWRyb3BwaW5nLXBhcnRpY2xlIjoiIn0seyJmYW1pbHkiOiJSaXp6byIsImdpdmVuIjoiUiIsInBhcnNlLW5hbWVzIjpmYWxzZSwiZHJvcHBpbmctcGFydGljbGUiOiIiLCJub24tZHJvcHBpbmctcGFydGljbGUiOiIifV0sImNvbnRhaW5lci10aXRsZSI6IkogQ2hpbGQgQWRvbGVzYyBQc3ljaG9waGFybWFjb2wiLCJET0kiOiIxMC4xMDg5L2NhcC4yMDE0LjAxNTQiLCJQTUlEIjoiMjYyODgzNDUiLCJVUkwiOiJodHRwczovL3d3dy5saWViZXJ0cHViLmNvbS9kb2kvMTAuMTA4OS9jYXAuMjAxNC4wMTU0IiwiaXNzdWVkIjp7ImRhdGUtcGFydHMiOltbMjAxNV1dfSwicGFnZSI6IjgxMC04MTYiLCJhYnN0cmFjdCI6Ik9CSkVDVElWRTogUHJlbW9uaXRvcnkgc2Vuc2F0aW9ucyBvciB1cmdlcyAoUFVzKSBhcmUgZGVzY3JpYmVkIGFzIGNoYXJhY3RlcmlzdGljIHNlbnNvcnkgcGhlbm9tZW5hIHByZWNlZGluZyB0aWNzLCB3aGljaCBhcmUgb2Z0ZW4gZGVzY3JpYmVkIGFzIHVucGxlYXNhbnQuIFRoZXkgb2NjdXIgaW4gOTAlIG9mIHBhdGllbnRzIGFmZmVjdGVkIGJ5IEdpbGxlcyBkZSBsYSBUb3VyZXR0ZSBTeW5kcm9tZSAoR1RTKS4gVGhleSBtYXkgYmUgbG9jYWxpemVkIChhcm91bmQgdGhlIGFyZWEgb2YgdGljKSBvciBnZW5lcmFsaXplZCAoY292ZXJpbmcgYSB3aWRlIGFyZWEgb2YgdGhlIGJvZHkpLiBUaGUgUFVzIGNhbiBiZSBtZWFzdXJlZCBieSB0aGUgUHJlbW9uaXRvcnkgVXJnZSBmb3IgVGljcyBTY2FsZSAoUFVUUykuIEluIHRoaXMgc3R1ZHkgd2UgdHJhbnNsYXRlZCB0aGUgUFVUUyBzY2FsZSBpbnRvIEl0YWxpYW4gYW5kIHRoZW4gYXNzZXNzZWQgY2hpbGRyZW4gYW5kIGFkb2xlc2NlbnRzL3lvdW5nIHBlb3BsZSAoQ1lQKSB3aXRoIEdUUyB1c2luZyB0aGUgc2NhbGUuIE1FVEhPRFM6IEdUUyBwYXRpZW50cyB3ZXJlIGFzc2Vzc2VkIGF0IHRoZSBpbml0aWFsIGludGVydmlldyBhbmQgYWZ0ZXIgNyB5ZWFycyB0byBldmFsdWF0ZSB0aGUgUFVzLCBhbmQgdGhlIGNvcnJlbGF0aW9ucyBvZiB0aGUgUFVUUyBzY29yZXMgd2l0aCB0aWMgc2V2ZXJpdHksIHNldmVyaXR5IG9mIGNvbW9yYmlkIGRpc29yZGVycyAob2JzZXNzaXZlLWNvbXB1bHNpdmUgZGlzb3JkZXIgW09DRF0sIGF0dGVudGlvbi1kZWZpY2l0L2h5cGVyYWN0aXZpdHkgZGlzb3JkZXIgW0FESERdKSwgYW5kIGEgdmFyaWV0eSBvZiBjb2V4aXN0aW5nIHBzeWNob3BhdGhvbG9naWVzLiBSRVNVTFRTOiBBIHRvdGFsIG9mIDk1IHBhdGllbnRzIHdlcmUgc3R1ZGllZC4gV2Ugc3VjY2Vzc2Z1bGx5IHRyYW5zbGF0ZWQgdGhlIFBVVFMgaW50byBJdGFsaWFuLCBhbmQgb3VyIHJlc3VsdHMgaW5kaWNhdGVkIHRoYXQgb3VyIHRyYW5zbGF0ZWQgdmVyc2lvbiBoYWQgZ29vZCBwc3ljaG9tZXRyaWMgcHJvcGVydGllcy4gUmVzdWx0cyBkZW1vbnN0cmF0ZWQgdGhhdCB0aGUgQ1lQIGhhZCBQVXMgYXQgYm90aCBpbnRlcnZpZXdzLCBidXQgdGhhdCBvbGRlciBDWVAgd2VyZSBtb3JlIGNvbnNpc3RlbnQgaW4gcmVwb3J0aW5nIFBVcyB0aGFuIHlvdW5nZXIgQ1lQIChpLmUuLCBQVVRTIHNjb3JlcyBpbmNyZWFzZWQgd2l0aCBhZ2UpLiBXZSBmb3VuZCBubyBjb3JyZWxhdGlvbnMgYmV0d2VlbiBQVVRTIHNjb3JlIGFuZCB0aWMgc2V2ZXJpdHkgYXQgZWl0aGVyIGludGVydmlldy4gV2UgZm91bmQgYSBzdGF0aXN0aWNhbCBzaWduaWZpY2FudCBjb3JyZWxhdGlvbiBiZXR3ZWVuIFBVVFMgc2NvcmUgYW5kIG9ic2Vzc2l2ZS1jb21wdWxzaXZlIHN5bXB0b21zIChPQ1MpIGF0IGJvdGggaW50ZXJ2aWV3czsgTW9yZW92ZXIgYm90aCB0aGUgUFVUUyBhbmQgQ2hpbGRyZW4ncyBZYWxlLUJyb3duIE9ic2Vzc2l2ZSBDb21wdWxzaXZlIFNjYWxlIChDWS1CT0NTKSBzY29yZXMgaW5jcmVhc2VkIHNpZ25pZmljYW50bHksIHdoZXJlYXMgdGhlIFlhbGUgR2xvYmFsIFRpYyBTZXZlcml0eSBSYXRpbmcgU2NhbGUgKFlHVFNTKSBzY29yZSBkZWNyZWFzZWQgc2lnbmlmaWNhbnRseS4gV2UgZm91bmQgbm8gcmVsYXRpb25zaGlwcyBiZXR3ZWVuIFBVVFMgc2NvcmVzIGFuZCBhbnhpZXR5LCBkZXByZXNzaW9uLCBBREhELCBhbmQgZXh0ZXJuYWxpemluZy9pbnRlcm5hbGl6aW5nIGJlaGF2aW9yYWwgc2NvcmVzLiBDT05DTFVTSU9OUzogT3VyIHJlc3VsdHMgc3VnZ2VzdCB0aGUgdGhlIEl0YWxpYW4gdHJhbnNsYXRpb24gb2YgdGhlIFBVVFMgaGFzIGdvb2QgcHN5Y2hvbWV0cmljIHByb3BlcnRpZXMuIEFsdGhvdWdoIGJvdGggeW91bmdlciAoPDEwIHllYXJzIG9mIGFnZSkgYW5kIG9sZGVyIENZUCAo4omkIDEwIHllYXJzIG9mIGFnZSkgcmVwb3J0ZWQgUFVzLCB0aGUgc2NvcmVzIGF0IHRoZSBpbml0aWFsIGludGVydmlldyB3ZXJlIHN0YXRpc3RpY2FsbHkgc2lnbmlmaWNhbnRseSBsb3dlciB0aGFuIGF0IGZvbGxvdy11cC4gTW9yZW92ZXIsIGluIENZUCA+MTAgeWVhcnMgb2YgYWdlLCB0aGUgUFVzIGNvcnJlbGF0ZWQgd2l0aCBvYnNlc3Npb25zIGFuZCBjb21wdWxzaW9ucyAoQ1ktQk9DUyBzY29yZXMpLiIsImlzc3VlIjoiMTAiLCJ2b2x1bWUiOiIyNSIsImNvbnRhaW5lci10aXRsZS1zaG9ydCI6IiJ9LCJpc1RlbXBvcmFyeSI6ZmFsc2V9XX0=&quot;,&quot;citationItems&quot;:[{&quot;id&quot;:&quot;b5a5b9af-5968-3ffd-9f90-36a5244a5058&quot;,&quot;itemData&quot;:{&quot;type&quot;:&quot;article-journal&quot;,&quot;id&quot;:&quot;b5a5b9af-5968-3ffd-9f90-36a5244a5058&quot;,&quot;title&quot;:&quot;Premonitory Urges in Patients with Gilles de la Tourette Syndrome: An Italian Translation and a 7-Year Follow-up&quot;,&quot;groupId&quot;:&quot;07d62ac1-5aa8-39af-b49e-52d2088ac571&quot;,&quot;author&quot;:[{&quot;family&quot;:&quot;Gulisano&quot;,&quot;given&quot;:&quot;M&quot;,&quot;parse-names&quot;:false,&quot;dropping-particle&quot;:&quot;&quot;,&quot;non-dropping-particle&quot;:&quot;&quot;},{&quot;family&quot;:&quot;Calì&quot;,&quot;given&quot;:&quot;P&quot;,&quot;parse-names&quot;:false,&quot;dropping-particle&quot;:&quot;&quot;,&quot;non-dropping-particle&quot;:&quot;&quot;},{&quot;family&quot;:&quot;Palermo&quot;,&quot;given&quot;:&quot;F&quot;,&quot;parse-names&quot;:false,&quot;dropping-particle&quot;:&quot;&quot;,&quot;non-dropping-particle&quot;:&quot;&quot;},{&quot;family&quot;:&quot;Robertson&quot;,&quot;given&quot;:&quot;M&quot;,&quot;parse-names&quot;:false,&quot;dropping-particle&quot;:&quot;&quot;,&quot;non-dropping-particle&quot;:&quot;&quot;},{&quot;family&quot;:&quot;Rizzo&quot;,&quot;given&quot;:&quot;R&quot;,&quot;parse-names&quot;:false,&quot;dropping-particle&quot;:&quot;&quot;,&quot;non-dropping-particle&quot;:&quot;&quot;}],&quot;container-title&quot;:&quot;J Child Adolesc Psychopharmacol&quot;,&quot;DOI&quot;:&quot;10.1089/cap.2014.0154&quot;,&quot;PMID&quot;:&quot;26288345&quot;,&quot;URL&quot;:&quot;https://www.liebertpub.com/doi/10.1089/cap.2014.0154&quot;,&quot;issued&quot;:{&quot;date-parts&quot;:[[2015]]},&quot;page&quot;:&quot;810-816&quot;,&quot;abstract&quot;:&quot;OBJECTIVE: Premonitory sensations or urges (PUs) are described as characteristic sensory phenomena preceding tics, which are often described as unpleasant. They occur in 90% of patients affected by Gilles de la Tourette Syndrome (GTS). They may be localized (around the area of tic) or generalized (covering a wide area of the body). The PUs can be measured by the Premonitory Urge for Tics Scale (PUTS). In this study we translated the PUTS scale into Italian and then assessed children and adolescents/young people (CYP) with GTS using the scale. METHODS: GTS patients were assessed at the initial interview and after 7 years to evaluate the PUs, and the correlations of the PUTS scores with tic severity, severity of comorbid disorders (obsessive-compulsive disorder [OCD], attention-deficit/hyperactivity disorder [ADHD]), and a variety of coexisting psychopathologies. RESULTS: A total of 95 patients were studied. We successfully translated the PUTS into Italian, and our results indicated that our translated version had good psychometric properties. Results demonstrated that the CYP had PUs at both interviews, but that older CYP were more consistent in reporting PUs than younger CYP (i.e., PUTS scores increased with age). We found no correlations between PUTS score and tic severity at either interview. We found a statistical significant correlation between PUTS score and obsessive-compulsive symptoms (OCS) at both interviews; Moreover both the PUTS and Children's Yale-Brown Obsessive Compulsive Scale (CY-BOCS) scores increased significantly, whereas the Yale Global Tic Severity Rating Scale (YGTSS) score decreased significantly. We found no relationships between PUTS scores and anxiety, depression, ADHD, and externalizing/internalizing behavioral scores. CONCLUSIONS: Our results suggest the the Italian translation of the PUTS has good psychometric properties. Although both younger (&lt;10 years of age) and older CYP (≤ 10 years of age) reported PUs, the scores at the initial interview were statistically significantly lower than at follow-up. Moreover, in CYP &gt;10 years of age, the PUs correlated with obsessions and compulsions (CY-BOCS scores).&quot;,&quot;issue&quot;:&quot;10&quot;,&quot;volume&quot;:&quot;25&quot;,&quot;container-title-short&quot;:&quot;&quot;},&quot;isTemporary&quot;:false}]},{&quot;citationID&quot;:&quot;MENDELEY_CITATION_a8e4acb0-6052-4fac-84ed-48aaf0479243&quot;,&quot;properties&quot;:{&quot;noteIndex&quot;:0},&quot;isEdited&quot;:false,&quot;manualOverride&quot;:{&quot;isManuallyOverridden&quot;:false,&quot;citeprocText&quot;:&quot;(5)&quot;,&quot;manualOverrideText&quot;:&quot;&quot;},&quot;citationTag&quot;:&quot;MENDELEY_CITATION_v3_eyJjaXRhdGlvbklEIjoiTUVOREVMRVlfQ0lUQVRJT05fYThlNGFjYjAtNjA1Mi00ZmFjLTg0ZWQtNDhhYWYwNDc5MjQzIiwicHJvcGVydGllcyI6eyJub3RlSW5kZXgiOjB9LCJpc0VkaXRlZCI6ZmFsc2UsIm1hbnVhbE92ZXJyaWRlIjp7ImlzTWFudWFsbHlPdmVycmlkZGVuIjpmYWxzZSwiY2l0ZXByb2NUZXh0IjoiKDUpIiwibWFudWFsT3ZlcnJpZGVUZXh0IjoiIn0sImNpdGF0aW9uSXRlbXMiOlt7ImlkIjoiZDE3NDM1MmUtNmJkMS0zMzVlLTg2ZDUtMjE2Yjg2NDNjZTdmIiwiaXRlbURhdGEiOnsidHlwZSI6ImFydGljbGUtam91cm5hbCIsImlkIjoiZDE3NDM1MmUtNmJkMS0zMzVlLTg2ZDUtMjE2Yjg2NDNjZTdmIiwidGl0bGUiOiJQcmVtb25pdG9yeSBVcmdlIGZvciBUaWNzIFNjYWxlIChQVVRTKTogcmVwbGljYXRpb24gYW5kIGV4dGVuc2lvbiBvZiBwc3ljaG9tZXRyaWMgcHJvcGVydGllcyBpbiB5b3V0aCB3aXRoIGNocm9uaWMgdGljIGRpc29yZGVycyAoQ1REcykiLCJncm91cElkIjoiMDdkNjJhYzEtNWFhOC0zOWFmLWI0OWUtNTJkMjA4OGFjNTcxIiwiYXV0aG9yIjpbeyJmYW1pbHkiOiJSYWluZXMiLCJnaXZlbiI6IkogTSIsInBhcnNlLW5hbWVzIjpmYWxzZSwiZHJvcHBpbmctcGFydGljbGUiOiIiLCJub24tZHJvcHBpbmctcGFydGljbGUiOiIifSx7ImZhbWlseSI6IkVkd2FyZHMiLCJnaXZlbiI6IksgUiIsInBhcnNlLW5hbWVzIjpmYWxzZSwiZHJvcHBpbmctcGFydGljbGUiOiIiLCJub24tZHJvcHBpbmctcGFydGljbGUiOiIifSx7ImZhbWlseSI6IlNoZXJtYW4iLCJnaXZlbiI6Ik0gRiIsInBhcnNlLW5hbWVzIjpmYWxzZSwiZHJvcHBpbmctcGFydGljbGUiOiIiLCJub24tZHJvcHBpbmctcGFydGljbGUiOiIifSx7ImZhbWlseSI6IkhpZ2dpbnNvbiIsImdpdmVuIjoiQyBJIiwicGFyc2UtbmFtZXMiOmZhbHNlLCJkcm9wcGluZy1wYXJ0aWNsZSI6IiIsIm5vbi1kcm9wcGluZy1wYXJ0aWNsZSI6IiJ9LHsiZmFtaWx5IjoiV2lubmljayIsImdpdmVuIjoiSiBCIiwicGFyc2UtbmFtZXMiOmZhbHNlLCJkcm9wcGluZy1wYXJ0aWNsZSI6IiIsIm5vbi1kcm9wcGluZy1wYXJ0aWNsZSI6IiJ9LHsiZmFtaWx5IjoiTmF2aW4iLCJnaXZlbiI6IksiLCJwYXJzZS1uYW1lcyI6ZmFsc2UsImRyb3BwaW5nLXBhcnRpY2xlIjoiIiwibm9uLWRyb3BwaW5nLXBhcnRpY2xlIjoiIn0seyJmYW1pbHkiOiJHZXR0aW5ncyIsImdpdmVuIjoiSiBNIiwicGFyc2UtbmFtZXMiOmZhbHNlLCJkcm9wcGluZy1wYXJ0aWNsZSI6IiIsIm5vbi1kcm9wcGluZy1wYXJ0aWNsZSI6IiJ9LHsiZmFtaWx5IjoiQ29udGVoIiwiZ2l2ZW4iOiJGIiwicGFyc2UtbmFtZXMiOmZhbHNlLCJkcm9wcGluZy1wYXJ0aWNsZSI6IiIsIm5vbi1kcm9wcGluZy1wYXJ0aWNsZSI6IiJ9LHsiZmFtaWx5IjoiQmVubmV0dCIsImdpdmVuIjoiUyBNIiwicGFyc2UtbmFtZXMiOmZhbHNlLCJkcm9wcGluZy1wYXJ0aWNsZSI6IiIsIm5vbi1kcm9wcGluZy1wYXJ0aWNsZSI6IiJ9LHsiZmFtaWx5IjoiU3BlY2h0IiwiZ2l2ZW4iOiJNIFciLCJwYXJzZS1uYW1lcyI6ZmFsc2UsImRyb3BwaW5nLXBhcnRpY2xlIjoiIiwibm9uLWRyb3BwaW5nLXBhcnRpY2xlIjoiIn1dLCJjb250YWluZXItdGl0bGUiOiJKIE5ldXJhbCBUcmFuc20gKFZpZW5uYSkiLCJET0kiOiIxMC4xMDA3L3MwMDcwMi0wMTctMTgxOC00IiwiUE1JRCI6IjI5MTg1MDc3IiwiVVJMIjoiaHR0cHM6Ly9saW5rLnNwcmluZ2VyLmNvbS9hcnRpY2xlLzEwLjEwMDcvczAwNzAyLTAxNy0xODE4LTQiLCJpc3N1ZWQiOnsiZGF0ZS1wYXJ0cyI6W1syMDE4XV19LCJwYWdlIjoiNzI3LTczNCIsImFic3RyYWN0IjoiSW5kaXZpZHVhbHMgd2l0aCBjaHJvbmljIHRpYyBkaXNvcmRlcnMgKENURHMpIGZyZXF1ZW50bHkgZGVzY3JpYmUgYXZlcnNpdmUgc3ViamVjdGl2ZSBzZW5zb3J5IHNlbnNhdGlvbnMgdGhhdCBwcmVjZWRlIHRoZWlyIHRpY3MuIFRoZSBmaXJzdCBhaW0gb2YgdGhlIHByZXNlbnQgc3R1ZHkgd2FzIHRvIGV4cGxvcmUgdGhlIHBzeWNob21ldHJpYyBwcm9wZXJ0aWVzIG9mIGEgc3RhbmRhcmRpemVkIHNlbGYtcmVwb3J0IG1lYXN1cmUgdG8gYXNzZXNzIHByZW1vbml0b3J5IHVyZ2VzIGluIENURHMsIFRoZSBQcmVtb25pdG9yeSBVcmdlIGZvciBUaWNzIFNjYWxlIChQVVRTKSwgYnkgcmVwbGljYXRpbmcgdGhlIGFuYWx5c2VzIG9mIFdvb2RzIGV0IGFsLiAoSiBEZXYgQmVoYXYgUGVkaWF0ciAyNjozOTctNDAzLCAyMDA1KSB1c2luZyBhIHNhbXBsZSB0d2ljZSB0aGUgc2l6ZSBvZiB0aGVpcnMuIFRoZSBzZWNvbmQgYWltIHdhcyB0byBjb25kdWN0IGFuIGV4cGxvcmF0b3J5IGZhY3RvciBhbmFseXNpcyBvZiB0aGUgUFVUUy4gRWlnaHR5LWZvdXIgeW91dGggd2l0aCBDVERzLCByZWNydWl0ZWQgZnJvbSBhIHBlZGlhdHJpYyBPQ0QgYW5kIHRpYyBzcGVjaWFsdHkgY2xpbmljLCBjb21wbGV0ZWQgdGhlIFBVVFMgd2hpbGUgdGhlaXIgY2FyZWdpdmVycyBjb21wbGV0ZWQgVGhlIFBhcmVudCBUaWMgUXVlc3Rpb25uYWlyZSAoUFRRKSBhbmQgYSBkZW1vZ3JhcGhpYyBtZWFzdXJlLiBDb25zaXN0ZW50IHdpdGggKFdvb2RzIGV0IGFsLiBKIERldiBCZWhhdiBQZWRpYXRyIDI2OjM5Ny00MDMsIDIwMDUpLCB0aGUgUFVUUyB3YXMgZm91bmQgdG8gYmUgaW50ZXJuYWxseSBjb25zaXN0ZW50ICjOscKgPcKgMC44MikgYW5kIHNpZ25pZmljYW50bHkgY29ycmVsYXRlZCB3aXRoIG92ZXJhbGwgdGljIHNldmVyaXR5IGFzIG1lYXN1cmVkIGJ5IHRoZSBQVFEgKHLCoD3CoDAuMjQsIHDCoDzCoDAuMDUpIGFzIHdlbGwgYXMgdGhlIFBUUSBudW1iZXIgKHLCoD3CoDAuMzQsIHDCoDzCoDAuMDEpIGFuZCBpbnRlbnNpdHkgKHLCoD3CoDAuMjQsIHDCoDzCoDAuMDUpIHN1YnNjYWxlcy4gQSBmYWN0b3ItYW5hbHlzaXMgb2YgdGhlIFBVVFMgcmV2ZWFsZWQgYSB0d28tZmFjdG9yIHNvbHV0aW9uIHdpdGggb25lIGZhY3RvciBjYXB0dXJpbmcgdGhlIHF1YWxpdHkgb2YgcHJlbW9uaXRvcnkgc2Vuc2F0aW9ucyB3aGlsZSB0aGUgb3RoZXIgZmFjdG9yIGFzc2Vzc2VkIHRoZSBvdmVyYWxsIGludGVuc2l0eSBvZiB0aGUgdXJnZXMuIFRoZXNlIHJlc3VsdHMgc3VwcG9ydCB0aGUgdXNlIG9mIHRoZSBQVVRTIGluIHJlbGlhYmx5IG1lYXN1cmluZyBwcmVtb25pdG9yeSB1cmdlcywgcGFydGljdWxhcmx5IGluIGNoaWxkcmVuIG92ZXIgdGhlIGFnZSBvZiAxMMKgeWVhcnMuIEFkZGl0aW9uYWxseSwgdGhlc2UgZmluZGluZ3MgaGlnaGxpZ2h0IHRoYXQgdXJnZXMgYXJlIHVuaWZvcm1seSByZXBvcnRlZCBhY3Jvc3MgZ2VuZGVyIGFuZCBhZ2UgYW5kIGFyZSBtb3JlIGNsb3NlbHkgYXNzb2NpYXRlZCB3aXRoIG51bWJlciBvZiB0aWNzIHRoYW4gdGhlIGZyZXF1ZW5jeSBvciBpbnRlbnNpdHkgb2YgdGljcy4iLCJpc3N1ZSI6IjQiLCJ2b2x1bWUiOiIxMjUiLCJjb250YWluZXItdGl0bGUtc2hvcnQiOiIifSwiaXNUZW1wb3JhcnkiOmZhbHNlfV19&quot;,&quot;citationItems&quot;:[{&quot;id&quot;:&quot;d174352e-6bd1-335e-86d5-216b8643ce7f&quot;,&quot;itemData&quot;:{&quot;type&quot;:&quot;article-journal&quot;,&quot;id&quot;:&quot;d174352e-6bd1-335e-86d5-216b8643ce7f&quot;,&quot;title&quot;:&quot;Premonitory Urge for Tics Scale (PUTS): replication and extension of psychometric properties in youth with chronic tic disorders (CTDs)&quot;,&quot;groupId&quot;:&quot;07d62ac1-5aa8-39af-b49e-52d2088ac571&quot;,&quot;author&quot;:[{&quot;family&quot;:&quot;Raines&quot;,&quot;given&quot;:&quot;J M&quot;,&quot;parse-names&quot;:false,&quot;dropping-particle&quot;:&quot;&quot;,&quot;non-dropping-particle&quot;:&quot;&quot;},{&quot;family&quot;:&quot;Edwards&quot;,&quot;given&quot;:&quot;K R&quot;,&quot;parse-names&quot;:false,&quot;dropping-particle&quot;:&quot;&quot;,&quot;non-dropping-particle&quot;:&quot;&quot;},{&quot;family&quot;:&quot;Sherman&quot;,&quot;given&quot;:&quot;M F&quot;,&quot;parse-names&quot;:false,&quot;dropping-particle&quot;:&quot;&quot;,&quot;non-dropping-particle&quot;:&quot;&quot;},{&quot;family&quot;:&quot;Higginson&quot;,&quot;given&quot;:&quot;C I&quot;,&quot;parse-names&quot;:false,&quot;dropping-particle&quot;:&quot;&quot;,&quot;non-dropping-particle&quot;:&quot;&quot;},{&quot;family&quot;:&quot;Winnick&quot;,&quot;given&quot;:&quot;J B&quot;,&quot;parse-names&quot;:false,&quot;dropping-particle&quot;:&quot;&quot;,&quot;non-dropping-particle&quot;:&quot;&quot;},{&quot;family&quot;:&quot;Navin&quot;,&quot;given&quot;:&quot;K&quot;,&quot;parse-names&quot;:false,&quot;dropping-particle&quot;:&quot;&quot;,&quot;non-dropping-particle&quot;:&quot;&quot;},{&quot;family&quot;:&quot;Gettings&quot;,&quot;given&quot;:&quot;J M&quot;,&quot;parse-names&quot;:false,&quot;dropping-particle&quot;:&quot;&quot;,&quot;non-dropping-particle&quot;:&quot;&quot;},{&quot;family&quot;:&quot;Conteh&quot;,&quot;given&quot;:&quot;F&quot;,&quot;parse-names&quot;:false,&quot;dropping-particle&quot;:&quot;&quot;,&quot;non-dropping-particle&quot;:&quot;&quot;},{&quot;family&quot;:&quot;Bennett&quot;,&quot;given&quot;:&quot;S M&quot;,&quot;parse-names&quot;:false,&quot;dropping-particle&quot;:&quot;&quot;,&quot;non-dropping-particle&quot;:&quot;&quot;},{&quot;family&quot;:&quot;Specht&quot;,&quot;given&quot;:&quot;M W&quot;,&quot;parse-names&quot;:false,&quot;dropping-particle&quot;:&quot;&quot;,&quot;non-dropping-particle&quot;:&quot;&quot;}],&quot;container-title&quot;:&quot;J Neural Transm (Vienna)&quot;,&quot;DOI&quot;:&quot;10.1007/s00702-017-1818-4&quot;,&quot;PMID&quot;:&quot;29185077&quot;,&quot;URL&quot;:&quot;https://link.springer.com/article/10.1007/s00702-017-1818-4&quot;,&quot;issued&quot;:{&quot;date-parts&quot;:[[2018]]},&quot;page&quot;:&quot;727-734&quot;,&quot;abstract&quot;:&quot;Individuals with chronic tic disorders (CTDs) frequently describe aversive subjective sensory sensations that precede their tics. The first aim of the present study was to explore the psychometric properties of a standardized self-report measure to assess premonitory urges in CTDs, The Premonitory Urge for Tics Scale (PUTS), by replicating the analyses of Woods et al. (J Dev Behav Pediatr 26:397-403, 2005) using a sample twice the size of theirs. The second aim was to conduct an exploratory factor analysis of the PUTS. Eighty-four youth with CTDs, recruited from a pediatric OCD and tic specialty clinic, completed the PUTS while their caregivers completed The Parent Tic Questionnaire (PTQ) and a demographic measure. Consistent with (Woods et al. J Dev Behav Pediatr 26:397-403, 2005), the PUTS was found to be internally consistent (α = 0.82) and significantly correlated with overall tic severity as measured by the PTQ (r = 0.24, p &lt; 0.05) as well as the PTQ number (r = 0.34, p &lt; 0.01) and intensity (r = 0.24, p &lt; 0.05) subscales. A factor-analysis of the PUTS revealed a two-factor solution with one factor capturing the quality of premonitory sensations while the other factor assessed the overall intensity of the urges. These results support the use of the PUTS in reliably measuring premonitory urges, particularly in children over the age of 10 years. Additionally, these findings highlight that urges are uniformly reported across gender and age and are more closely associated with number of tics than the frequency or intensity of tics.&quot;,&quot;issue&quot;:&quot;4&quot;,&quot;volume&quot;:&quot;125&quot;,&quot;container-title-short&quot;:&quot;&quot;},&quot;isTemporary&quot;:false}]},{&quot;citationID&quot;:&quot;MENDELEY_CITATION_86ecd853-6083-41bd-9581-99d963906dd4&quot;,&quot;properties&quot;:{&quot;noteIndex&quot;:0},&quot;isEdited&quot;:false,&quot;manualOverride&quot;:{&quot;isManuallyOverridden&quot;:false,&quot;citeprocText&quot;:&quot;(6)&quot;,&quot;manualOverrideText&quot;:&quot;&quot;},&quot;citationTag&quot;:&quot;MENDELEY_CITATION_v3_eyJjaXRhdGlvbklEIjoiTUVOREVMRVlfQ0lUQVRJT05fODZlY2Q4NTMtNjA4My00MWJkLTk1ODEtOTlkOTYzOTA2ZGQ0IiwicHJvcGVydGllcyI6eyJub3RlSW5kZXgiOjB9LCJpc0VkaXRlZCI6ZmFsc2UsIm1hbnVhbE92ZXJyaWRlIjp7ImlzTWFudWFsbHlPdmVycmlkZGVuIjpmYWxzZSwiY2l0ZXByb2NUZXh0IjoiKDYpIiwibWFudWFsT3ZlcnJpZGVUZXh0IjoiIn0sImNpdGF0aW9uSXRlbXMiOlt7ImlkIjoiYmFlZGM1NjQtYWNjYi0zMGQ3LThmNWItMTE4NGYyY2UyNTk1IiwiaXRlbURhdGEiOnsidHlwZSI6ImFydGljbGUtam91cm5hbCIsImlkIjoiYmFlZGM1NjQtYWNjYi0zMGQ3LThmNWItMTE4NGYyY2UyNTk1IiwidGl0bGUiOiJUaWMgZGlzb3JkZXJzIGFuZCBwcmVtb25pdG9yeSB1cmdlczogdmFsaWRhdGlvbiBvZiB0aGUgU3BhbmlzaC1sYW5ndWFnZSB2ZXJzaW9uIG9mIHRoZSBQcmVtb25pdG9yeSBVcmdlIGZvciBUaWNzIFNjYWxlIGluIGNoaWxkcmVuIGFuZCBhZG9sZXNjZW50cyIsImdyb3VwSWQiOiIwN2Q2MmFjMS01YWE4LTM5YWYtYjQ5ZS01MmQyMDg4YWM1NzEiLCJhdXRob3IiOlt7ImZhbWlseSI6IkZvcmNhZGVsbCIsImdpdmVuIjoiRSIsInBhcnNlLW5hbWVzIjpmYWxzZSwiZHJvcHBpbmctcGFydGljbGUiOiIiLCJub24tZHJvcHBpbmctcGFydGljbGUiOiIifSx7ImZhbWlseSI6IkdhcmNpYS1EZWxnYXIiLCJnaXZlbiI6IkIiLCJwYXJzZS1uYW1lcyI6ZmFsc2UsImRyb3BwaW5nLXBhcnRpY2xlIjoiIiwibm9uLWRyb3BwaW5nLXBhcnRpY2xlIjoiIn0seyJmYW1pbHkiOiJOaWNvbGF1IiwiZ2l2ZW4iOiJSIiwicGFyc2UtbmFtZXMiOmZhbHNlLCJkcm9wcGluZy1wYXJ0aWNsZSI6IiIsIm5vbi1kcm9wcGluZy1wYXJ0aWNsZSI6IiJ9LHsiZmFtaWx5IjoiUMOpcmV6LVZpZ2lsIiwiZ2l2ZW4iOiJBIiwicGFyc2UtbmFtZXMiOmZhbHNlLCJkcm9wcGluZy1wYXJ0aWNsZSI6IiIsIm5vbi1kcm9wcGluZy1wYXJ0aWNsZSI6IiJ9LHsiZmFtaWx5IjoiQ29yZG92aWxsYSIsImdpdmVuIjoiQyIsInBhcnNlLW5hbWVzIjpmYWxzZSwiZHJvcHBpbmctcGFydGljbGUiOiIiLCJub24tZHJvcHBpbmctcGFydGljbGUiOiIifSx7ImZhbWlseSI6IkzDoXphcm8iLCJnaXZlbiI6IkwiLCJwYXJzZS1uYW1lcyI6ZmFsc2UsImRyb3BwaW5nLXBhcnRpY2xlIjoiIiwibm9uLWRyb3BwaW5nLXBhcnRpY2xlIjoiIn0seyJmYW1pbHkiOiJJYsOhw7FleiIsImdpdmVuIjoiTCIsInBhcnNlLW5hbWVzIjpmYWxzZSwiZHJvcHBpbmctcGFydGljbGUiOiIiLCJub24tZHJvcHBpbmctcGFydGljbGUiOiIifSx7ImZhbWlseSI6Ik1pciIsImdpdmVuIjoiUCIsInBhcnNlLW5hbWVzIjpmYWxzZSwiZHJvcHBpbmctcGFydGljbGUiOiIiLCJub24tZHJvcHBpbmctcGFydGljbGUiOiIifSx7ImZhbWlseSI6Ik1hZHJ1Z2EtR2FycmlkbyIsImdpdmVuIjoiTSIsInBhcnNlLW5hbWVzIjpmYWxzZSwiZHJvcHBpbmctcGFydGljbGUiOiIiLCJub24tZHJvcHBpbmctcGFydGljbGUiOiIifSx7ImZhbWlseSI6IkNvcnJlYS1WZWxhIiwiZ2l2ZW4iOiJNIiwicGFyc2UtbmFtZXMiOmZhbHNlLCJkcm9wcGluZy1wYXJ0aWNsZSI6IiIsIm5vbi1kcm9wcGluZy1wYXJ0aWNsZSI6IiJ9LHsiZmFtaWx5IjoiTW9yZXIiLCJnaXZlbiI6IkEiLCJwYXJzZS1uYW1lcyI6ZmFsc2UsImRyb3BwaW5nLXBhcnRpY2xlIjoiIiwibm9uLWRyb3BwaW5nLXBhcnRpY2xlIjoiIn1dLCJjb250YWluZXItdGl0bGUiOiJOZXVyb2xvZ2lhIChFbmdsIEVkKSIsIkRPSSI6IjEwLjEwMTYvai5ucmxlbmcuMjAyMC4wOS4wMDUiLCJQTUlEIjoiMzU4MjA2MzYiLCJpc3N1ZWQiOnsiZGF0ZS1wYXJ0cyI6W1syMDIyXV19LCJwYWdlIjoiLSIsImFic3RyYWN0IjoiSU5UUk9EVUNUSU9OOiBNb3N0IHBlb3BsZSB3aXRoIHBlcnNpc3RlbnQgdGljcyByZXBvcnQgYW4gdW5wbGVhc2FudCBzZW5zYXRpb24gKHByZW1vbml0b3J5IHVyZ2UpIGJlZm9yZSB0aGUgdGljLiBJbiByZWNlbnQgeWVhcnMsIGludGVyZXN0IGluIHRoZXNlIHNlbnNvcnkgcGhlbm9tZW5hIGhhcyBpbmNyZWFzZWQgZHVlIHRvIHRoZWlyIGltcG9ydGFudCByb2xlIGluIGJlaGF2aW91cmFsIHRoZXJhcHkuIEhvd2V2ZXIsIGluc3RydW1lbnRzIGZvciBhc3Nlc3NpbmcgdGhlc2Ugc2Vuc2F0aW9ucyByZW1haW4gc2NhcmNlLiBBbW9uZyB0aGUgYXZhaWxhYmxlIGluc3RydW1lbnRzLCB0aGUgUHJlbW9uaXRvcnkgVXJnZSBmb3IgVGljcyBTY2FsZSAoUFVUUykgaXMgdGhlIG1vc3Qgd2lkZWx5IHVzZWQuIE1FVEhPRFM6IFdlIGV4YW1pbmVkIHRoZSBwc3ljaG9tZXRyaWMgcHJvcGVydGllcyBhbmQgZmFjdG9yIHN0cnVjdHVyZSBvZiB0aGUgU3BhbmlzaC1sYW5ndWFnZSB2ZXJzaW9uIG9mIHRoZSBQVVRTIGluIGEgc2FtcGxlIG9mIDcyIGNoaWxkcmVuIGFuZCBhZG9sZXNjZW50cyB3aXRoIFRvdXJldHRlIHN5bmRyb21lIG9yIHBlcnNpc3RlbnQgdGljIGRpc29yZGVycy4gV2UgYW5hbHlzZWQgZGF0YSBmcm9tIHRoZSB0b3RhbCBzYW1wbGUgYW5kIGJ5IGFnZSBncm91cCAoY2hpbGRyZW4gdXAgdG8gMTAgeWVhcnMgb2xkIGFuZCBjaGlsZHJlbi9hZG9sZXNjZW50cyBvdmVyIDEwKS4gUkVTVUxUUzogVGhlIFBVVFMgcHJlc2VudGVkIGdvb2QgaW50ZXJuYWwgY29uc2lzdGVuY3kgYW5kIG1vZGVyYXRlIGNvcnJlbGF0aW9ucyBiZXR3ZWVuIGl0ZW1zIG9uIHRoZSBzY2FsZSAoZXhjZXB0IGZvciBpdGVtIDEpLiBEaXZlcmdlbnQgdmFsaWRpdHkgd2FzIGdvb2QsIHRlc3QtcmV0ZXN0IHJlbGlhYmlsaXR5IHdhcyBhZGVxdWF0ZSwgYW5kIGEgYmlmYWN0b3JpYWwgc3RydWN0dXJlIHdhcyBpZGVudGlmaWVkIChvbmUgZGltZW5zaW9uIHJlbGF0ZWQgdG8gbWVudGFsIHBoZW5vbWVuYSByZXBvcnRlZCBpbiBvYnNlc3NpdmUtY29tcHVsc2l2ZSBkaXNvcmRlciwgYW5kIGFub3RoZXIgcmVsYXRlZCB0byB0aGUgcXVhbGl0eSBhbmQgZnJlcXVlbmN5IG9mIHByZW1vbml0b3J5IHVyZ2VzKS4gVGhlc2UgcmVzdWx0cyB3ZXJlIHJlcGxpY2F0ZWQgaW4gYm90aCBhZ2UgZ3JvdXBzLCB3aXRoIGxvd2VyIGRpdmVyZ2VudCB2YWxpZGl0eSBhbmQgdGVzdC1yZXRlc3QgcmVsaWFiaWxpdHkgaW4gdGhlIHlvdW5nZXIgZ3JvdXAuIENPTkNMVVNJT05TOiBUaGUgU3BhbmlzaC1sYW5ndWFnZSB2ZXJzaW9uIG9mIHRoZSBQVVRTIGlzIGEgdmFsaWQsIHJlbGlhYmxlIHRvb2wgZm9yIGFzc2Vzc2luZyBwcmVtb25pdG9yeSB1cmdlcyBpbiBib3RoIGNoaWxkcmVuIGFuZCBhZG9sZXNjZW50cywgZXNwZWNpYWxseSBhZnRlciB0aGUgYWdlIG9mIDEwLiIsImNvbnRhaW5lci10aXRsZS1zaG9ydCI6IiJ9LCJpc1RlbXBvcmFyeSI6ZmFsc2V9XX0=&quot;,&quot;citationItems&quot;:[{&quot;id&quot;:&quot;baedc564-accb-30d7-8f5b-1184f2ce2595&quot;,&quot;itemData&quot;:{&quot;type&quot;:&quot;article-journal&quot;,&quot;id&quot;:&quot;baedc564-accb-30d7-8f5b-1184f2ce2595&quot;,&quot;title&quot;:&quot;Tic disorders and premonitory urges: validation of the Spanish-language version of the Premonitory Urge for Tics Scale in children and adolescents&quot;,&quot;groupId&quot;:&quot;07d62ac1-5aa8-39af-b49e-52d2088ac571&quot;,&quot;author&quot;:[{&quot;family&quot;:&quot;Forcadell&quot;,&quot;given&quot;:&quot;E&quot;,&quot;parse-names&quot;:false,&quot;dropping-particle&quot;:&quot;&quot;,&quot;non-dropping-particle&quot;:&quot;&quot;},{&quot;family&quot;:&quot;Garcia-Delgar&quot;,&quot;given&quot;:&quot;B&quot;,&quot;parse-names&quot;:false,&quot;dropping-particle&quot;:&quot;&quot;,&quot;non-dropping-particle&quot;:&quot;&quot;},{&quot;family&quot;:&quot;Nicolau&quot;,&quot;given&quot;:&quot;R&quot;,&quot;parse-names&quot;:false,&quot;dropping-particle&quot;:&quot;&quot;,&quot;non-dropping-particle&quot;:&quot;&quot;},{&quot;family&quot;:&quot;Pérez-Vigil&quot;,&quot;given&quot;:&quot;A&quot;,&quot;parse-names&quot;:false,&quot;dropping-particle&quot;:&quot;&quot;,&quot;non-dropping-particle&quot;:&quot;&quot;},{&quot;family&quot;:&quot;Cordovilla&quot;,&quot;given&quot;:&quot;C&quot;,&quot;parse-names&quot;:false,&quot;dropping-particle&quot;:&quot;&quot;,&quot;non-dropping-particle&quot;:&quot;&quot;},{&quot;family&quot;:&quot;Lázaro&quot;,&quot;given&quot;:&quot;L&quot;,&quot;parse-names&quot;:false,&quot;dropping-particle&quot;:&quot;&quot;,&quot;non-dropping-particle&quot;:&quot;&quot;},{&quot;family&quot;:&quot;Ibáñez&quot;,&quot;given&quot;:&quot;L&quot;,&quot;parse-names&quot;:false,&quot;dropping-particle&quot;:&quot;&quot;,&quot;non-dropping-particle&quot;:&quot;&quot;},{&quot;family&quot;:&quot;Mir&quot;,&quot;given&quot;:&quot;P&quot;,&quot;parse-names&quot;:false,&quot;dropping-particle&quot;:&quot;&quot;,&quot;non-dropping-particle&quot;:&quot;&quot;},{&quot;family&quot;:&quot;Madruga-Garrido&quot;,&quot;given&quot;:&quot;M&quot;,&quot;parse-names&quot;:false,&quot;dropping-particle&quot;:&quot;&quot;,&quot;non-dropping-particle&quot;:&quot;&quot;},{&quot;family&quot;:&quot;Correa-Vela&quot;,&quot;given&quot;:&quot;M&quot;,&quot;parse-names&quot;:false,&quot;dropping-particle&quot;:&quot;&quot;,&quot;non-dropping-particle&quot;:&quot;&quot;},{&quot;family&quot;:&quot;Morer&quot;,&quot;given&quot;:&quot;A&quot;,&quot;parse-names&quot;:false,&quot;dropping-particle&quot;:&quot;&quot;,&quot;non-dropping-particle&quot;:&quot;&quot;}],&quot;container-title&quot;:&quot;Neurologia (Engl Ed)&quot;,&quot;DOI&quot;:&quot;10.1016/j.nrleng.2020.09.005&quot;,&quot;PMID&quot;:&quot;35820636&quot;,&quot;issued&quot;:{&quot;date-parts&quot;:[[2022]]},&quot;page&quot;:&quot;-&quot;,&quot;abstract&quot;:&quot;INTRODUCTION: Most people with persistent tics report an unpleasant sensation (premonitory urge) before the tic. In recent years, interest in these sensory phenomena has increased due to their important role in behavioural therapy. However, instruments for assessing these sensations remain scarce. Among the available instruments, the Premonitory Urge for Tics Scale (PUTS) is the most widely used. METHODS: We examined the psychometric properties and factor structure of the Spanish-language version of the PUTS in a sample of 72 children and adolescents with Tourette syndrome or persistent tic disorders. We analysed data from the total sample and by age group (children up to 10 years old and children/adolescents over 10). RESULTS: The PUTS presented good internal consistency and moderate correlations between items on the scale (except for item 1). Divergent validity was good, test-retest reliability was adequate, and a bifactorial structure was identified (one dimension related to mental phenomena reported in obsessive-compulsive disorder, and another related to the quality and frequency of premonitory urges). These results were replicated in both age groups, with lower divergent validity and test-retest reliability in the younger group. CONCLUSIONS: The Spanish-language version of the PUTS is a valid, reliable tool for assessing premonitory urges in both children and adolescents, especially after the age of 10.&quot;,&quot;container-title-short&quot;:&quot;&quot;},&quot;isTemporary&quot;:false}]},{&quot;citationID&quot;:&quot;MENDELEY_CITATION_24dda6bb-e9b4-424b-bcf6-aea96bbfa248&quot;,&quot;properties&quot;:{&quot;noteIndex&quot;:0},&quot;isEdited&quot;:false,&quot;manualOverride&quot;:{&quot;isManuallyOverridden&quot;:false,&quot;citeprocText&quot;:&quot;(7)&quot;,&quot;manualOverrideText&quot;:&quot;&quot;},&quot;citationTag&quot;:&quot;MENDELEY_CITATION_v3_eyJjaXRhdGlvbklEIjoiTUVOREVMRVlfQ0lUQVRJT05fMjRkZGE2YmItZTliNC00MjRiLWJjZjYtYWVhOTZiYmZhMjQ4IiwicHJvcGVydGllcyI6eyJub3RlSW5kZXgiOjB9LCJpc0VkaXRlZCI6ZmFsc2UsIm1hbnVhbE92ZXJyaWRlIjp7ImlzTWFudWFsbHlPdmVycmlkZGVuIjpmYWxzZSwiY2l0ZXByb2NUZXh0IjoiKDcpIiwibWFudWFsT3ZlcnJpZGVUZXh0IjoiIn0sImNpdGF0aW9uSXRlbXMiOlt7ImlkIjoiMjMxMzg1NzUtZDFlNC0zZWFmLWJiM2UtNGRlMTJiNWNmMTBhIiwiaXRlbURhdGEiOnsidHlwZSI6ImFydGljbGUtam91cm5hbCIsImlkIjoiMjMxMzg1NzUtZDFlNC0zZWFmLWJiM2UtNGRlMTJiNWNmMTBhIiwidGl0bGUiOiJUaGUgUHJlbW9uaXRvcnkgVXJnZSBmb3IgVGljcyBTY2FsZSBpbiBhIGxhcmdlIHNhbXBsZSBvZiBjaGlsZHJlbiBhbmQgYWRvbGVzY2VudHM6IHBzeWNob21ldHJpYyBwcm9wZXJ0aWVzIGluIGEgZGV2ZWxvcG1lbnRhbCBjb250ZXh0LiBBbiBFTVRJQ1Mgc3R1ZHkiLCJncm91cElkIjoiMDdkNjJhYzEtNWFhOC0zOWFmLWI0OWUtNTJkMjA4OGFjNTcxIiwiYXV0aG9yIjpbeyJmYW1pbHkiOiJPcGVubmVlciIsImdpdmVuIjoiVCBKIEMiLCJwYXJzZS1uYW1lcyI6ZmFsc2UsImRyb3BwaW5nLXBhcnRpY2xlIjoiIiwibm9uLWRyb3BwaW5nLXBhcnRpY2xlIjoiIn0seyJmYW1pbHkiOiJUw6Fybm9rIiwiZ2l2ZW4iOiJaIiwicGFyc2UtbmFtZXMiOmZhbHNlLCJkcm9wcGluZy1wYXJ0aWNsZSI6IiIsIm5vbi1kcm9wcGluZy1wYXJ0aWNsZSI6IiJ9LHsiZmFtaWx5IjoiQm9nbmFyIiwiZ2l2ZW4iOiJFIiwicGFyc2UtbmFtZXMiOmZhbHNlLCJkcm9wcGluZy1wYXJ0aWNsZSI6IiIsIm5vbi1kcm9wcGluZy1wYXJ0aWNsZSI6IiJ9LHsiZmFtaWx5IjoiQmVuYXJveWEtTWlsc2h0ZWluIiwiZ2l2ZW4iOiJOIiwicGFyc2UtbmFtZXMiOmZhbHNlLCJkcm9wcGluZy1wYXJ0aWNsZSI6IiIsIm5vbi1kcm9wcGluZy1wYXJ0aWNsZSI6IiJ9LHsiZmFtaWx5IjoiR2FyY2lhLURlbGdhciIsImdpdmVuIjoiQiIsInBhcnNlLW5hbWVzIjpmYWxzZSwiZHJvcHBpbmctcGFydGljbGUiOiIiLCJub24tZHJvcHBpbmctcGFydGljbGUiOiIifSx7ImZhbWlseSI6Ik1vcmVyIiwiZ2l2ZW4iOiJBIiwicGFyc2UtbmFtZXMiOmZhbHNlLCJkcm9wcGluZy1wYXJ0aWNsZSI6IiIsIm5vbi1kcm9wcGluZy1wYXJ0aWNsZSI6IiJ9LHsiZmFtaWx5IjoiU3RlaW5iZXJnIiwiZ2l2ZW4iOiJUIiwicGFyc2UtbmFtZXMiOmZhbHNlLCJkcm9wcGluZy1wYXJ0aWNsZSI6IiIsIm5vbi1kcm9wcGluZy1wYXJ0aWNsZSI6IiJ9LHsiZmFtaWx5IjoiSG9la3N0cmEiLCJnaXZlbiI6IlAgSiIsInBhcnNlLW5hbWVzIjpmYWxzZSwiZHJvcHBpbmctcGFydGljbGUiOiIiLCJub24tZHJvcHBpbmctcGFydGljbGUiOiIifSx7ImZhbWlseSI6IkRpZXRyaWNoIiwiZ2l2ZW4iOiJBIiwicGFyc2UtbmFtZXMiOmZhbHNlLCJkcm9wcGluZy1wYXJ0aWNsZSI6IiIsIm5vbi1kcm9wcGluZy1wYXJ0aWNsZSI6IiJ9XSwiY29udGFpbmVyLXRpdGxlIjoiRXVyIENoaWxkIEFkb2xlc2MgUHN5Y2hpYXRyeSIsIkRPSSI6IjEwLjEwMDcvczAwNzg3LTAxOS0wMTQ1MC0xIiwiUE1JRCI6IjMxODAyMjcxIiwiVVJMIjoiaHR0cHM6Ly9saW5rLnNwcmluZ2VyLmNvbS9jb250ZW50L3BkZi8xMC4xMDA3L3MwMDc4Ny0wMTktMDE0NTAtMS5wZGYiLCJpc3N1ZWQiOnsiZGF0ZS1wYXJ0cyI6W1syMDIwXV19LCJwYWdlIjoiMTQxMS0xNDI0IiwiYWJzdHJhY3QiOiJQcmVtb25pdG9yeSB1cmdlcyBhcmUgdW5jb21mb3J0YWJsZSBwaHlzaWNhbCBzZW5zYXRpb25zIHByZWNlZGluZyB0aWNzIHRoYXQgb2NjdXIgaW4gbW9zdCBpbmRpdmlkdWFscyB3aXRoIGEgY2hyb25pYyB0aWMgZGlzb3JkZXIuIFRoZSBQcmVtb25pdG9yeSBVcmdlIGZvciBUaWNzIFNjYWxlIChQVVRTKSBpcyB0aGUgbW9zdCBmcmVxdWVudGx5IHVzZWQgc2VsZi1yZXBvcnQgbWVhc3VyZSB0byBhc3Nlc3MgdGhlIHNldmVyaXR5IG9mIHByZW1vbml0b3J5IHVyZ2VzLiBXZSBhaW1lZCB0byBldmFsdWF0ZSB0aGUgcHN5Y2hvbWV0cmljIHByb3BlcnRpZXMgb2YgdGhlIFBVVFMgaW4gdGhlIGxhcmdlc3Qgc2FtcGxlIHNpemUgdG8gZGF0ZSAobuKAiT3igIk2NTYpLCBpbiBjaGlsZHJlbiBhZ2VkIDMtMTbCoHllYXJzLCBmcm9tIHRoZSBiYXNlbGluZSBtZWFzdXJlbWVudCBvZiB0aGUgbG9uZ2l0dWRpbmFsIEV1cm9wZWFuIE11bHRpY2VudGVyIFRpY3MgaW4gQ2hpbGRyZW4gU3R1ZHkgKEVNVElDUykuIE91ciBwc3ljaG9tZXRyaWMgZXZhbHVhdGlvbiB3YXMgZG9uZSBpbiB0aHJlZSBhZ2UtZ3JvdXBzOiBjaGlsZHJlbiBhZ2VkIDMtN8KgeWVhcnMgKG7igIk94oCJMTAzKSwgY2hpbGRyZW4gYmV0d2VlbiA4IGFuZCAxMMKgeWVhcnMgKG7igIk94oCJMjUzKSwgYW5kIGNoaWxkcmVuIGFnZWQgMTEtMTbCoHllYXJzIChu4oCJPeKAiTMwMCkuIFRoZSBQVVRTIGV4aGliaXRlZCBnb29kIGludGVybmFsIHJlbGlhYmlsaXR5IGluIGNoaWxkcmVuIGFuZCBhZG9sZXNjZW50cywgYWxzbyB1bmRlciB0aGUgYWdlIG9mIDEwLCB3aGljaCBpcyB5b3VuZ2VyIHRoYW4gcHJldmlvdXNseSB0aG91Z2h0LiBXZSBvYnNlcnZlZCBzaWduaWZpY2FudCBidXQgc21hbGwgY29ycmVsYXRpb25zIGJldHdlZW4gdGhlIHNldmVyaXR5IG9mIHVyZ2VzIGFuZCBzZXZlcml0eSBvZiB0aWNzIGFuZCBvYnNlc3NpdmUtY29tcHVsc2l2ZSBzeW1wdG9tcywgYW5kIGJldHdlZW4gc2V2ZXJpdHkgb2YgdXJnZXMgYW5kIHJhdGluZ3Mgb2YgYXR0ZW50aW9uLWRlZmljaXQvaHlwZXJhY3Rpdml0eSBkaXNvcmRlciBhbmQgaW50ZXJuYWxpemluZyBhbmQgZXh0ZXJuYWxpemluZyBiZWhhdmlvcnMsIGhvd2V2ZXIsIG9ubHkgaW4gY2hpbGRyZW4gb2YgOC0xMMKgeWVhcnMuIENvbnNpc3RlbnQgd2l0aCBwcmV2aW91cyByZXN1bHRzLCB0aGUgMTB0aCBpdGVtIG9mIHRoZSBQVVRTIGNvcnJlbGF0ZWQgbGVzcyB3aXRoIHRoZSByZXN0IG9mIHRoZSBzY2FsZSBjb21wYXJlZCB0byB0aGUgb3RoZXIgaXRlbXMgYW5kLCB0aGVyZWZvcmUsIHNob3VsZCBub3QgYmUgdXNlZCBhcyBwYXJ0IG9mIHRoZSBxdWVzdGlvbm5haXJlLiBXZSBmb3VuZCBhIHR3by1mYWN0b3Igc3RydWN0dXJlIG9mIHRoZSBQVVRTIGluIGNoaWxkcmVuIG9mIDExwqB5ZWFycyBhbmQgb2xkZXIsIGRpc3Rpbmd1aXNoaW5nIGJldHdlZW4gc2Vuc29yeSBwaGVub21lbmEgcmVsYXRlZCB0byB0aWNzLCBhbmQgbWVudGFsIHBoZW5vbWVuYSBhcyBvZnRlbiBmb3VuZCBpbiBvYnNlc3NpdmUtY29tcHVsc2l2ZSBkaXNvcmRlci4gVGhlIGFnZS1yZWxhdGVkIGRpZmZlcmVuY2VzIG9ic2VydmVkIGluIHRoaXMgc3R1ZHkgbWF5IGluZGljYXRlIHRoZSBuZWVkIGZvciB0aGUgZGV2ZWxvcG1lbnQgb2YgYW4gYWdlLXNwZWNpZmljIHF1ZXN0aW9ubmFpcmUgdG8gYXNzZXNzIHByZW1vbml0b3J5IHVyZ2VzLiIsImlzc3VlIjoiMTAiLCJ2b2x1bWUiOiIyOSIsImNvbnRhaW5lci10aXRsZS1zaG9ydCI6IiJ9LCJpc1RlbXBvcmFyeSI6ZmFsc2V9XX0=&quot;,&quot;citationItems&quot;:[{&quot;id&quot;:&quot;23138575-d1e4-3eaf-bb3e-4de12b5cf10a&quot;,&quot;itemData&quot;:{&quot;type&quot;:&quot;article-journal&quot;,&quot;id&quot;:&quot;23138575-d1e4-3eaf-bb3e-4de12b5cf10a&quot;,&quot;title&quot;:&quot;The Premonitory Urge for Tics Scale in a large sample of children and adolescents: psychometric properties in a developmental context. An EMTICS study&quot;,&quot;groupId&quot;:&quot;07d62ac1-5aa8-39af-b49e-52d2088ac571&quot;,&quot;author&quot;:[{&quot;family&quot;:&quot;Openneer&quot;,&quot;given&quot;:&quot;T J C&quot;,&quot;parse-names&quot;:false,&quot;dropping-particle&quot;:&quot;&quot;,&quot;non-dropping-particle&quot;:&quot;&quot;},{&quot;family&quot;:&quot;Tárnok&quot;,&quot;given&quot;:&quot;Z&quot;,&quot;parse-names&quot;:false,&quot;dropping-particle&quot;:&quot;&quot;,&quot;non-dropping-particle&quot;:&quot;&quot;},{&quot;family&quot;:&quot;Bognar&quot;,&quot;given&quot;:&quot;E&quot;,&quot;parse-names&quot;:false,&quot;dropping-particle&quot;:&quot;&quot;,&quot;non-dropping-particle&quot;:&quot;&quot;},{&quot;family&quot;:&quot;Benaroya-Milshtein&quot;,&quot;given&quot;:&quot;N&quot;,&quot;parse-names&quot;:false,&quot;dropping-particle&quot;:&quot;&quot;,&quot;non-dropping-particle&quot;:&quot;&quot;},{&quot;family&quot;:&quot;Garcia-Delgar&quot;,&quot;given&quot;:&quot;B&quot;,&quot;parse-names&quot;:false,&quot;dropping-particle&quot;:&quot;&quot;,&quot;non-dropping-particle&quot;:&quot;&quot;},{&quot;family&quot;:&quot;Morer&quot;,&quot;given&quot;:&quot;A&quot;,&quot;parse-names&quot;:false,&quot;dropping-particle&quot;:&quot;&quot;,&quot;non-dropping-particle&quot;:&quot;&quot;},{&quot;family&quot;:&quot;Steinberg&quot;,&quot;given&quot;:&quot;T&quot;,&quot;parse-names&quot;:false,&quot;dropping-particle&quot;:&quot;&quot;,&quot;non-dropping-particle&quot;:&quot;&quot;},{&quot;family&quot;:&quot;Hoekstra&quot;,&quot;given&quot;:&quot;P J&quot;,&quot;parse-names&quot;:false,&quot;dropping-particle&quot;:&quot;&quot;,&quot;non-dropping-particle&quot;:&quot;&quot;},{&quot;family&quot;:&quot;Dietrich&quot;,&quot;given&quot;:&quot;A&quot;,&quot;parse-names&quot;:false,&quot;dropping-particle&quot;:&quot;&quot;,&quot;non-dropping-particle&quot;:&quot;&quot;}],&quot;container-title&quot;:&quot;Eur Child Adolesc Psychiatry&quot;,&quot;DOI&quot;:&quot;10.1007/s00787-019-01450-1&quot;,&quot;PMID&quot;:&quot;31802271&quot;,&quot;URL&quot;:&quot;https://link.springer.com/content/pdf/10.1007/s00787-019-01450-1.pdf&quot;,&quot;issued&quot;:{&quot;date-parts&quot;:[[2020]]},&quot;page&quot;:&quot;1411-1424&quot;,&quot;abstract&quot;:&quot;Premonitory urges are uncomfortable physical sensations preceding tics that occur in most individuals with a chronic tic disorder. The Premonitory Urge for Tics Scale (PUTS) is the most frequently used self-report measure to assess the severity of premonitory urges. We aimed to evaluate the psychometric properties of the PUTS in the largest sample size to date (n = 656), in children aged 3-16 years, from the baseline measurement of the longitudinal European Multicenter Tics in Children Study (EMTICS). Our psychometric evaluation was done in three age-groups: children aged 3-7 years (n = 103), children between 8 and 10 years (n = 253), and children aged 11-16 years (n = 300). The PUTS exhibited good internal reliability in children and adolescents, also under the age of 10, which is younger than previously thought. We observed significant but small correlations between the severity of urges and severity of tics and obsessive-compulsive symptoms, and between severity of urges and ratings of attention-deficit/hyperactivity disorder and internalizing and externalizing behaviors, however, only in children of 8-10 years. Consistent with previous results, the 10th item of the PUTS correlated less with the rest of the scale compared to the other items and, therefore, should not be used as part of the questionnaire. We found a two-factor structure of the PUTS in children of 11 years and older, distinguishing between sensory phenomena related to tics, and mental phenomena as often found in obsessive-compulsive disorder. The age-related differences observed in this study may indicate the need for the development of an age-specific questionnaire to assess premonitory urges.&quot;,&quot;issue&quot;:&quot;10&quot;,&quot;volume&quot;:&quot;29&quot;,&quot;container-title-short&quot;:&quot;&quot;},&quot;isTemporary&quot;:false}]},{&quot;citationID&quot;:&quot;MENDELEY_CITATION_c1ba3a43-53d9-43e1-b879-570f5ae231da&quot;,&quot;properties&quot;:{&quot;noteIndex&quot;:0},&quot;isEdited&quot;:false,&quot;manualOverride&quot;:{&quot;isManuallyOverridden&quot;:false,&quot;citeprocText&quot;:&quot;(8)&quot;,&quot;manualOverrideText&quot;:&quot;&quot;},&quot;citationTag&quot;:&quot;MENDELEY_CITATION_v3_eyJjaXRhdGlvbklEIjoiTUVOREVMRVlfQ0lUQVRJT05fYzFiYTNhNDMtNTNkOS00M2UxLWI4NzktNTcwZjVhZTIzMWRhIiwicHJvcGVydGllcyI6eyJub3RlSW5kZXgiOjB9LCJpc0VkaXRlZCI6ZmFsc2UsIm1hbnVhbE92ZXJyaWRlIjp7ImlzTWFudWFsbHlPdmVycmlkZGVuIjpmYWxzZSwiY2l0ZXByb2NUZXh0IjoiKDgpIiwibWFudWFsT3ZlcnJpZGVUZXh0IjoiIn0sImNpdGF0aW9uSXRlbXMiOlt7ImlkIjoiYmNhMzA2ZjQtMmViZC0zNjQ1LTkwNWQtYzAwZmYyZjExMGI0IiwiaXRlbURhdGEiOnsidHlwZSI6ImFydGljbGUtam91cm5hbCIsImlkIjoiYmNhMzA2ZjQtMmViZC0zNjQ1LTkwNWQtYzAwZmYyZjExMGI0IiwidGl0bGUiOiJQc3ljaG9tZXRyaWMgUHJvcGVydGllcyBvZiB0aGUgQ2hpbmVzZSBWZXJzaW9uIG9mIHRoZSBQcmVtb25pdG9yeSBVcmdlIGZvciBUaWNzIFNjYWxlOiBBIFByZWxpbWluYXJ5IFJlcG9ydCIsImdyb3VwSWQiOiIwN2Q2MmFjMS01YWE4LTM5YWYtYjQ5ZS01MmQyMDg4YWM1NzEiLCJhdXRob3IiOlt7ImZhbWlseSI6IkxpIiwiZ2l2ZW4iOiJZIiwicGFyc2UtbmFtZXMiOmZhbHNlLCJkcm9wcGluZy1wYXJ0aWNsZSI6IiIsIm5vbi1kcm9wcGluZy1wYXJ0aWNsZSI6IiJ9LHsiZmFtaWx5IjoiV29vZHMiLCJnaXZlbiI6IkQgVyIsInBhcnNlLW5hbWVzIjpmYWxzZSwiZHJvcHBpbmctcGFydGljbGUiOiIiLCJub24tZHJvcHBpbmctcGFydGljbGUiOiIifSx7ImZhbWlseSI6Ikd1IiwiZ2l2ZW4iOiJZIiwicGFyc2UtbmFtZXMiOmZhbHNlLCJkcm9wcGluZy1wYXJ0aWNsZSI6IiIsIm5vbi1kcm9wcGluZy1wYXJ0aWNsZSI6IiJ9LHsiZmFtaWx5IjoiWXUiLCJnaXZlbiI6IkwiLCJwYXJzZS1uYW1lcyI6ZmFsc2UsImRyb3BwaW5nLXBhcnRpY2xlIjoiIiwibm9uLWRyb3BwaW5nLXBhcnRpY2xlIjoiIn0seyJmYW1pbHkiOiJZYW4iLCJnaXZlbiI6IkoiLCJwYXJzZS1uYW1lcyI6ZmFsc2UsImRyb3BwaW5nLXBhcnRpY2xlIjoiIiwibm9uLWRyb3BwaW5nLXBhcnRpY2xlIjoiIn0seyJmYW1pbHkiOiJXZW4iLCJnaXZlbiI6IkYiLCJwYXJzZS1uYW1lcyI6ZmFsc2UsImRyb3BwaW5nLXBhcnRpY2xlIjoiIiwibm9uLWRyb3BwaW5nLXBhcnRpY2xlIjoiIn0seyJmYW1pbHkiOiJXYW5nIiwiZ2l2ZW4iOiJGIiwicGFyc2UtbmFtZXMiOmZhbHNlLCJkcm9wcGluZy1wYXJ0aWNsZSI6IiIsIm5vbi1kcm9wcGluZy1wYXJ0aWNsZSI6IiJ9LHsiZmFtaWx5IjoiTGl1IiwiZ2l2ZW4iOiJKIiwicGFyc2UtbmFtZXMiOmZhbHNlLCJkcm9wcGluZy1wYXJ0aWNsZSI6IiIsIm5vbi1kcm9wcGluZy1wYXJ0aWNsZSI6IiJ9LHsiZmFtaWx5IjoiQ3VpIiwiZ2l2ZW4iOiJZIiwicGFyc2UtbmFtZXMiOmZhbHNlLCJkcm9wcGluZy1wYXJ0aWNsZSI6IiIsIm5vbi1kcm9wcGluZy1wYXJ0aWNsZSI6IiJ9XSwiY29udGFpbmVyLXRpdGxlIjoiRnJvbnQgUHN5Y2hvbCIsIkRPSSI6IjEwLjMzODkvZnBzeWcuMjAyMS41NzM4MDMiLCJQTUlEIjoiMzQ2NDYxODEiLCJpc3N1ZWQiOnsiZGF0ZS1wYXJ0cyI6W1syMDIxXV19LCJwYWdlIjoiNTczODAzIiwiYWJzdHJhY3QiOiJQcmVtb25pdG9yeSB1cmdlcyAoUFVzKSBhcmUgc2Vuc29yeSBwaGVub21lbmEgdGhhdCBpbW1lZGlhdGVseSBwcmVjZWRlIHRpY3MuIFRoZSBQcmVtb25pdG9yeSBVcmdlIGZvciBUaWNzIFNjYWxlIChQVVRTKSBpcyB3aWRlbHkgdXNlZCB0byBhc3Nlc3MgdGhlIHNldmVyaXR5IG9mIFBVcywgYnV0IHRoZSBwc3ljaG9tZXRyaWMgcHJvcGVydGllcyBvZiBQVVRTIGFuZCBjbGluaWNhbCBmZWF0dXJlcyBvZiBQVSBpbiBDaGluZXNlIHBhdGllbnRzIHdpdGggdGljIGRpc29yZGVycyBhcmUgc3RpbGwgdW5jbGVhci4gSW4gdGhpcyBzdHVkeSwgd2UgZXhhbWluZWQgdGhlIHBzeWNob21ldHJpYyBwcm9wZXJ0aWVzIG9mIHRoZSBDaGluZXNlIHZlcnNpb24gb2YgdGhlIFBVVFMgaW4gYSBsYXJnZSBzYW1wbGUgKGluY2x1ZGluZyAzNjcgQ2hpbmVzZSBwZWRpYXRyaWMgcGF0aWVudHMgd2l0aCB0aWMgZGlzb3JkZXJzKS4gV2UgZm91bmQgbm8gZGlmZmVyZW5jZSBpbiBQVSBpbiBkaWZmZXJlbnQgYWdlIGdyb3Vwcy4gVGhlIGV4cGxvcmF0b3J5IGZhY3RvciBhbmFseXNpcyAoRUZBKSBvZiBQVVRTIHNob3dlZCB0aGUgZW1lcmdlbmNlIG9mIGZvdXIgcHJpbWFyeSBmYWN0b3JzLiBUaGUgcmVzdWx0cyBvZiByZWxpYWJpbGl0eSBhbmQgdmFsaWRpdHkgYW5hbHlzZXMgaW5kaWNhdGVkIHRoYXQgdGhlIENoaW5lc2UgdmVyc2lvbiBzaG93ZWQgZ29vZCBwc3ljaG9tZXRyaWMgcHJvcGVydGllcy4gSXQgc2VlbWVkIHRoYXQgUFUgd2FzIGFzc29jaWF0ZWQgd2l0aCB0aGUgc2V2ZXJpdHkgb2Ygb2JzZXNzaW9uIHN5bXB0b21zIGluIHBhdGllbnRzIHdpdGggdGljIGRpc29yZGVycy4gTmV0d29yayBhbmFseXNpcyBzaG93ZWQgdGhhdCBJdGVtIDcgaXMgYSBjcml0aWNhbCBub2RlIGZvciB0aGUgUFUsIGluIGFkZGl0aW9uIHRvIEl0ZW1zIDEgYW5kIDQuIE92ZXJhbGwsIHRoZSBDaGluZXNlIHZlcnNpb24gb2YgUFVUUyBjYW4gYmUgdXNlZCBpbiBDaGluZXNlIGNoaWxkIGFuZCBhZG9sZXNjZW50IHBhdGllbnRzIHdpdGggdGljIGRpc29yZGVycywgcGFydGljdWxhcmx5IGZvciBwYXRpZW50cyB3aXRoIFRvdXJldHRlIHN5bmRyb21lLiIsInZvbHVtZSI6IjEyIiwiY29udGFpbmVyLXRpdGxlLXNob3J0IjoiIn0sImlzVGVtcG9yYXJ5IjpmYWxzZX1dfQ==&quot;,&quot;citationItems&quot;:[{&quot;id&quot;:&quot;bca306f4-2ebd-3645-905d-c00ff2f110b4&quot;,&quot;itemData&quot;:{&quot;type&quot;:&quot;article-journal&quot;,&quot;id&quot;:&quot;bca306f4-2ebd-3645-905d-c00ff2f110b4&quot;,&quot;title&quot;:&quot;Psychometric Properties of the Chinese Version of the Premonitory Urge for Tics Scale: A Preliminary Report&quot;,&quot;groupId&quot;:&quot;07d62ac1-5aa8-39af-b49e-52d2088ac571&quot;,&quot;author&quot;:[{&quot;family&quot;:&quot;Li&quot;,&quot;given&quot;:&quot;Y&quot;,&quot;parse-names&quot;:false,&quot;dropping-particle&quot;:&quot;&quot;,&quot;non-dropping-particle&quot;:&quot;&quot;},{&quot;family&quot;:&quot;Woods&quot;,&quot;given&quot;:&quot;D W&quot;,&quot;parse-names&quot;:false,&quot;dropping-particle&quot;:&quot;&quot;,&quot;non-dropping-particle&quot;:&quot;&quot;},{&quot;family&quot;:&quot;Gu&quot;,&quot;given&quot;:&quot;Y&quot;,&quot;parse-names&quot;:false,&quot;dropping-particle&quot;:&quot;&quot;,&quot;non-dropping-particle&quot;:&quot;&quot;},{&quot;family&quot;:&quot;Yu&quot;,&quot;given&quot;:&quot;L&quot;,&quot;parse-names&quot;:false,&quot;dropping-particle&quot;:&quot;&quot;,&quot;non-dropping-particle&quot;:&quot;&quot;},{&quot;family&quot;:&quot;Yan&quot;,&quot;given&quot;:&quot;J&quot;,&quot;parse-names&quot;:false,&quot;dropping-particle&quot;:&quot;&quot;,&quot;non-dropping-particle&quot;:&quot;&quot;},{&quot;family&quot;:&quot;Wen&quot;,&quot;given&quot;:&quot;F&quot;,&quot;parse-names&quot;:false,&quot;dropping-particle&quot;:&quot;&quot;,&quot;non-dropping-particle&quot;:&quot;&quot;},{&quot;family&quot;:&quot;Wang&quot;,&quot;given&quot;:&quot;F&quot;,&quot;parse-names&quot;:false,&quot;dropping-particle&quot;:&quot;&quot;,&quot;non-dropping-particle&quot;:&quot;&quot;},{&quot;family&quot;:&quot;Liu&quot;,&quot;given&quot;:&quot;J&quot;,&quot;parse-names&quot;:false,&quot;dropping-particle&quot;:&quot;&quot;,&quot;non-dropping-particle&quot;:&quot;&quot;},{&quot;family&quot;:&quot;Cui&quot;,&quot;given&quot;:&quot;Y&quot;,&quot;parse-names&quot;:false,&quot;dropping-particle&quot;:&quot;&quot;,&quot;non-dropping-particle&quot;:&quot;&quot;}],&quot;container-title&quot;:&quot;Front Psychol&quot;,&quot;DOI&quot;:&quot;10.3389/fpsyg.2021.573803&quot;,&quot;PMID&quot;:&quot;34646181&quot;,&quot;issued&quot;:{&quot;date-parts&quot;:[[2021]]},&quot;page&quot;:&quot;573803&quot;,&quot;abstract&quot;:&quot;Premonitory urges (PUs) are sensory phenomena that immediately precede tics. The Premonitory Urge for Tics Scale (PUTS) is widely used to assess the severity of PUs, but the psychometric properties of PUTS and clinical features of PU in Chinese patients with tic disorders are still unclear. In this study, we examined the psychometric properties of the Chinese version of the PUTS in a large sample (including 367 Chinese pediatric patients with tic disorders). We found no difference in PU in different age groups. The exploratory factor analysis (EFA) of PUTS showed the emergence of four primary factors. The results of reliability and validity analyses indicated that the Chinese version showed good psychometric properties. It seemed that PU was associated with the severity of obsession symptoms in patients with tic disorders. Network analysis showed that Item 7 is a critical node for the PU, in addition to Items 1 and 4. Overall, the Chinese version of PUTS can be used in Chinese child and adolescent patients with tic disorders, particularly for patients with Tourette syndrome.&quot;,&quot;volume&quot;:&quot;12&quot;,&quot;container-title-short&quot;:&quot;&quot;},&quot;isTemporary&quot;:false}]},{&quot;citationID&quot;:&quot;MENDELEY_CITATION_6115f84c-532d-4e7b-9c83-1ec69cbfca2e&quot;,&quot;properties&quot;:{&quot;noteIndex&quot;:0},&quot;isEdited&quot;:false,&quot;manualOverride&quot;:{&quot;isManuallyOverridden&quot;:false,&quot;citeprocText&quot;:&quot;(9)&quot;,&quot;manualOverrideText&quot;:&quot;&quot;},&quot;citationTag&quot;:&quot;MENDELEY_CITATION_v3_eyJjaXRhdGlvbklEIjoiTUVOREVMRVlfQ0lUQVRJT05fNjExNWY4NGMtNTMyZC00ZTdiLTljODMtMWVjNjljYmZjYTJlIiwicHJvcGVydGllcyI6eyJub3RlSW5kZXgiOjB9LCJpc0VkaXRlZCI6ZmFsc2UsIm1hbnVhbE92ZXJyaWRlIjp7ImlzTWFudWFsbHlPdmVycmlkZGVuIjpmYWxzZSwiY2l0ZXByb2NUZXh0IjoiKDkpIiwibWFudWFsT3ZlcnJpZGVUZXh0IjoiIn0sImNpdGF0aW9uSXRlbXMiOlt7ImlkIjoiNjZhNzhhOTEtZWNjNS0zYmU1LWIyZTYtMmExMTMzNTM4N2I5IiwiaXRlbURhdGEiOnsidHlwZSI6ImFydGljbGUtam91cm5hbCIsImlkIjoiNjZhNzhhOTEtZWNjNS0zYmU1LWIyZTYtMmExMTMzNTM4N2I5IiwidGl0bGUiOiJEZXZlbG9waW5nIHRoZSBQcmVtb25pdG9yeSBVcmdlcyBmb3IgVGljIERpc29yZGVycyBTY2FsZS1SZXZpc2VkIChQVVRTLVIpIiwiZ3JvdXBJZCI6IjA3ZDYyYWMxLTVhYTgtMzlhZi1iNDllLTUyZDIwODhhYzU3MSIsImF1dGhvciI6W3siZmFtaWx5IjoiQmF1bXVuZyIsImdpdmVuIjoiTCIsInBhcnNlLW5hbWVzIjpmYWxzZSwiZHJvcHBpbmctcGFydGljbGUiOiIiLCJub24tZHJvcHBpbmctcGFydGljbGUiOiIifSx7ImZhbWlseSI6Ik3DvGxsZXItVmFobCIsImdpdmVuIjoiSyIsInBhcnNlLW5hbWVzIjpmYWxzZSwiZHJvcHBpbmctcGFydGljbGUiOiIiLCJub24tZHJvcHBpbmctcGFydGljbGUiOiIifSx7ImZhbWlseSI6IkR5a2UiLCJnaXZlbiI6IksiLCJwYXJzZS1uYW1lcyI6ZmFsc2UsImRyb3BwaW5nLXBhcnRpY2xlIjoiIiwibm9uLWRyb3BwaW5nLXBhcnRpY2xlIjoiIn0seyJmYW1pbHkiOiJKYWNrc29uIiwiZ2l2ZW4iOiJHIiwicGFyc2UtbmFtZXMiOmZhbHNlLCJkcm9wcGluZy1wYXJ0aWNsZSI6IiIsIm5vbi1kcm9wcGluZy1wYXJ0aWNsZSI6IiJ9LHsiZmFtaWx5IjoiSmFja3NvbiIsImdpdmVuIjoiUyIsInBhcnNlLW5hbWVzIjpmYWxzZSwiZHJvcHBpbmctcGFydGljbGUiOiIiLCJub24tZHJvcHBpbmctcGFydGljbGUiOiIifSx7ImZhbWlseSI6IkdvbG0iLCJnaXZlbiI6IkQiLCJwYXJzZS1uYW1lcyI6ZmFsc2UsImRyb3BwaW5nLXBhcnRpY2xlIjoiIiwibm9uLWRyb3BwaW5nLXBhcnRpY2xlIjoiIn0seyJmYW1pbHkiOiJNw7xuY2hhdSIsImdpdmVuIjoiQSIsInBhcnNlLW5hbWVzIjpmYWxzZSwiZHJvcHBpbmctcGFydGljbGUiOiIiLCJub24tZHJvcHBpbmctcGFydGljbGUiOiIifSx7ImZhbWlseSI6IkJyYW5kdCIsImdpdmVuIjoiViIsInBhcnNlLW5hbWVzIjpmYWxzZSwiZHJvcHBpbmctcGFydGljbGUiOiIiLCJub24tZHJvcHBpbmctcGFydGljbGUiOiIifV0sImNvbnRhaW5lci10aXRsZSI6IkogTmV1cm9wc3ljaG9sIiwiRE9JIjoiMTAuMTExMS9qbnAuMTIyMTYiLCJQTUlEIjoiMzI1NDMxMTAiLCJVUkwiOiJodHRwczovL2Jwc3BzeWNodWItb25saW5lbGlicmFyeS13aWxleS1jb20ucHJveHkubGlicmFyeS52YW5kZXJiaWx0LmVkdS9kb2kvZnVsbC8xMC4xMTExL2pucC4xMjIxNiIsImlzc3VlZCI6eyJkYXRlLXBhcnRzIjpbWzIwMjFdXX0sInBhZ2UiOiIxMjktMTQyIiwiYWJzdHJhY3QiOiJCQUNLR1JPVU5EOiBQYXRpZW50cyB3aXRoIEdpbGxlcyBkZSBsYSBUb3VyZXR0ZSBzeW5kcm9tZSAoR1RTKSBvciBjaHJvbmljIHRpYyBkaXNvcmRlcnMgZnJlcXVlbnRseSBleHBlcmllbmNlIHByZW1vbml0b3J5IHVyZ2VzIHByaW9yIHRvIHRpY3MuIFRoZSAnUHJlbW9uaXRvcnkgVXJnZXMgZm9yIFRpYyBEaXNvcmRlcnMgU2NhbGUnIChQVVRTKSBpcyBjb21tb25seSB1c2VkIGluIG9yZGVyIHRvIGFzc2VzcyB1cmdlIHNldmVyaXR5IGluIHBhdGllbnRzIHdpdGggdGljcy4gU2V2ZXJhbCBzdHVkaWVzIHN1Z2dlc3QgdGhhdCB0aGUgUFVUUyBtaWdodCBtZWFzdXJlIG1vcmUgdGhhbiBvbmUgZGltZW5zaW9uIG9mIHVyZ2VzLiBUaGVzZSBpbmNsdWRlIHRoZSBxdWFsaXR5IGFuZCBzZXZlcml0eSBvZiBwcmVtb25pdG9yeSB1cmdlcy4gTUVUSE9EUzogVGhpcyBzdHVkeSBhaW1zIHRvIHJlcGxpY2F0ZSBhbmQgZXh0ZW5kIHByZXZpb3VzIGZpbmRpbmdzIGNvbmNlcm5pbmcgdGhlIHBzeWNob21ldHJpYyBwcm9wZXJ0aWVzIG9mIHRoZSBQVVRTIGFuZCBpdHMgdW5kZXJseWluZyBkaW1lbnNpb25zIGluIGEgbGFyZ2Ugc2FtcGxlIG9mIDI0MSBwYXRpZW50cyB3aXRoIEdUUyBpbmNsdWRpbmcgYm90aCBhZHVsdHMgKG7CoD3CoDkzOyBtZWFuIGFnZcKgPcKgMzQuMsKgwrHCoDEyLjg0OyA3MyBtYWxlKSBhbmQgbWlub3JzIChuwqA9wqAxNDg7IG1lYW4gYWdlwqA9wqAxMS44wqDCscKgMi44NjsgMTIzIG1hbGUpLCBwb29sZWQgZnJvbSB0aHJlZSBkaWZmZXJlbnQgcmVjcnVpdG1lbnQgc2l0ZXMuIFJFU1VMVFM6IERhdGEgYW5hbHlzaXMgY29uZmlybWVkIGdvb2QgcmVsaWFiaWxpdHkgYWNyb3NzIHRoZSBQVVRTIGl0ZW1zIGZvciBib3RoIG1pbm9ycyBhbmQgYWR1bHRzIGFuZCBhY2NlcHRhYmxlIGl0ZW0gY2hhcmFjdGVyaXN0aWNzIGZvciBpdGVtcyAyLTguIEEgZmFjdG9yIGFuYWx5c2lzIG9mIGl0ZW1zIDEtOCBjb25maXJtZWQgdGhlIGV4aXN0ZW5jZSBvZiB0d28gZmFjdG9ycyBpbiBib3RoIGFnZSBncm91cHMuIENPTkNMVVNJT05TOiBUaGUgcmVzdWx0cyBzdWdnZXN0IHRoYXQgdGhlIFBVVFMgbWlnaHQgYmVuZWZpdCBmcm9tIHNldmVyYWwgZnVydGhlciBzbWFsbCBtb2RpZmljYXRpb25zLCBzdWNoIGFzIHJlcGhyYXNpbmcgaXRlbXMgMSBhbmQgOSB0byBpbmNyZWFzZSBjb252ZXJnZW5jZSB3aXRoIHRoZSBvdmVyYWxsIGNvbnN0cnVjdCBvZiB0aGUgc2NhbGUuIEZpbmFsbHksIHdlIHByb3Bvc2UgYSByZXZpc2VkIHZlcnNpb24gb2YgdGhlIFBVVFMsIGNvbnNpc3Rpbmcgb2YgdHdvIHN1YnNjYWxlczogb25lIGZvciB1cmdlIHNldmVyaXR5IGFuZCBhbm90aGVyIG9uZSBmb3IgdXJnZSBxdWFsaXR5IGJ5IGluY2x1ZGluZyBzZXZlcmFsIG5ldyBpdGVtcy4iLCJpc3N1ZSI6IjEiLCJ2b2x1bWUiOiIxNSIsImNvbnRhaW5lci10aXRsZS1zaG9ydCI6IiJ9LCJpc1RlbXBvcmFyeSI6ZmFsc2V9XX0=&quot;,&quot;citationItems&quot;:[{&quot;id&quot;:&quot;66a78a91-ecc5-3be5-b2e6-2a11335387b9&quot;,&quot;itemData&quot;:{&quot;type&quot;:&quot;article-journal&quot;,&quot;id&quot;:&quot;66a78a91-ecc5-3be5-b2e6-2a11335387b9&quot;,&quot;title&quot;:&quot;Developing the Premonitory Urges for Tic Disorders Scale-Revised (PUTS-R)&quot;,&quot;groupId&quot;:&quot;07d62ac1-5aa8-39af-b49e-52d2088ac571&quot;,&quot;author&quot;:[{&quot;family&quot;:&quot;Baumung&quot;,&quot;given&quot;:&quot;L&quot;,&quot;parse-names&quot;:false,&quot;dropping-particle&quot;:&quot;&quot;,&quot;non-dropping-particle&quot;:&quot;&quot;},{&quot;family&quot;:&quot;Müller-Vahl&quot;,&quot;given&quot;:&quot;K&quot;,&quot;parse-names&quot;:false,&quot;dropping-particle&quot;:&quot;&quot;,&quot;non-dropping-particle&quot;:&quot;&quot;},{&quot;family&quot;:&quot;Dyke&quot;,&quot;given&quot;:&quot;K&quot;,&quot;parse-names&quot;:false,&quot;dropping-particle&quot;:&quot;&quot;,&quot;non-dropping-particle&quot;:&quot;&quot;},{&quot;family&quot;:&quot;Jackson&quot;,&quot;given&quot;:&quot;G&quot;,&quot;parse-names&quot;:false,&quot;dropping-particle&quot;:&quot;&quot;,&quot;non-dropping-particle&quot;:&quot;&quot;},{&quot;family&quot;:&quot;Jackson&quot;,&quot;given&quot;:&quot;S&quot;,&quot;parse-names&quot;:false,&quot;dropping-particle&quot;:&quot;&quot;,&quot;non-dropping-particle&quot;:&quot;&quot;},{&quot;family&quot;:&quot;Golm&quot;,&quot;given&quot;:&quot;D&quot;,&quot;parse-names&quot;:false,&quot;dropping-particle&quot;:&quot;&quot;,&quot;non-dropping-particle&quot;:&quot;&quot;},{&quot;family&quot;:&quot;Münchau&quot;,&quot;given&quot;:&quot;A&quot;,&quot;parse-names&quot;:false,&quot;dropping-particle&quot;:&quot;&quot;,&quot;non-dropping-particle&quot;:&quot;&quot;},{&quot;family&quot;:&quot;Brandt&quot;,&quot;given&quot;:&quot;V&quot;,&quot;parse-names&quot;:false,&quot;dropping-particle&quot;:&quot;&quot;,&quot;non-dropping-particle&quot;:&quot;&quot;}],&quot;container-title&quot;:&quot;J Neuropsychol&quot;,&quot;DOI&quot;:&quot;10.1111/jnp.12216&quot;,&quot;PMID&quot;:&quot;32543110&quot;,&quot;URL&quot;:&quot;https://bpspsychub-onlinelibrary-wiley-com.proxy.library.vanderbilt.edu/doi/full/10.1111/jnp.12216&quot;,&quot;issued&quot;:{&quot;date-parts&quot;:[[2021]]},&quot;page&quot;:&quot;129-142&quot;,&quot;abstract&quot;:&quot;BACKGROUND: Patients with Gilles de la Tourette syndrome (GTS) or chronic tic disorders frequently experience premonitory urges prior to tics. The 'Premonitory Urges for Tic Disorders Scale' (PUTS) is commonly used in order to assess urge severity in patients with tics. Several studies suggest that the PUTS might measure more than one dimension of urges. These include the quality and severity of premonitory urges. METHODS: This study aims to replicate and extend previous findings concerning the psychometric properties of the PUTS and its underlying dimensions in a large sample of 241 patients with GTS including both adults (n = 93; mean age = 34.2 ± 12.84; 73 male) and minors (n = 148; mean age = 11.8 ± 2.86; 123 male), pooled from three different recruitment sites. RESULTS: Data analysis confirmed good reliability across the PUTS items for both minors and adults and acceptable item characteristics for items 2-8. A factor analysis of items 1-8 confirmed the existence of two factors in both age groups. CONCLUSIONS: The results suggest that the PUTS might benefit from several further small modifications, such as rephrasing items 1 and 9 to increase convergence with the overall construct of the scale. Finally, we propose a revised version of the PUTS, consisting of two subscales: one for urge severity and another one for urge quality by including several new items.&quot;,&quot;issue&quot;:&quot;1&quot;,&quot;volume&quot;:&quot;15&quot;,&quot;container-title-short&quot;:&quot;&quot;},&quot;isTemporary&quot;:false}]},{&quot;citationID&quot;:&quot;MENDELEY_CITATION_42ac3ac4-521e-443e-8402-2dea00b319f2&quot;,&quot;properties&quot;:{&quot;noteIndex&quot;:0},&quot;isEdited&quot;:false,&quot;manualOverride&quot;:{&quot;isManuallyOverridden&quot;:false,&quot;citeprocText&quot;:&quot;(10)&quot;,&quot;manualOverrideText&quot;:&quot;&quot;},&quot;citationTag&quot;:&quot;MENDELEY_CITATION_v3_eyJjaXRhdGlvbklEIjoiTUVOREVMRVlfQ0lUQVRJT05fNDJhYzNhYzQtNTIxZS00NDNlLTg0MDItMmRlYTAwYjMxOWYyIiwicHJvcGVydGllcyI6eyJub3RlSW5kZXgiOjB9LCJpc0VkaXRlZCI6ZmFsc2UsIm1hbnVhbE92ZXJyaWRlIjp7ImlzTWFudWFsbHlPdmVycmlkZGVuIjpmYWxzZSwiY2l0ZXByb2NUZXh0IjoiKDEwKSIsIm1hbnVhbE92ZXJyaWRlVGV4dCI6IiJ9LCJjaXRhdGlvbkl0ZW1zIjpbeyJpZCI6IjQxYzU3YjA4LTQ3MmMtMzNiMy1iZDY2LWMxN2YyOWE0ODE2NCIsIml0ZW1EYXRhIjp7InR5cGUiOiJhcnRpY2xlLWpvdXJuYWwiLCJpZCI6IjQxYzU3YjA4LTQ3MmMtMzNiMy1iZDY2LWMxN2YyOWE0ODE2NCIsInRpdGxlIjoiUHJlbW9uaXRvcnkgQXdhcmVuZXNzIEZhY2lsaXRhdGVzIFRpYyBTdXBwcmVzc2lvbjogU3Vic2NhbGVzIG9mIHRoZSBQcmVtb25pdG9yeSBVcmdlIGZvciBUaWNzIFNjYWxlIGFuZCBhIE5ldyBTZWxmLVJlcG9ydCBRdWVzdGlvbm5haXJlIGZvciBUaWMtQXNzb2NpYXRlZCBTZW5zYXRpb25zIiwiZ3JvdXBJZCI6IjA3ZDYyYWMxLTVhYTgtMzlhZi1iNDllLTUyZDIwODhhYzU3MSIsImF1dGhvciI6W3siZmFtaWx5IjoiTWF0c3VkYSIsImdpdmVuIjoiTiIsInBhcnNlLW5hbWVzIjpmYWxzZSwiZHJvcHBpbmctcGFydGljbGUiOiIiLCJub24tZHJvcHBpbmctcGFydGljbGUiOiIifSx7ImZhbWlseSI6Ik5vbmFrYSIsImdpdmVuIjoiTSIsInBhcnNlLW5hbWVzIjpmYWxzZSwiZHJvcHBpbmctcGFydGljbGUiOiIiLCJub24tZHJvcHBpbmctcGFydGljbGUiOiIifSx7ImZhbWlseSI6Iktvbm8iLCJnaXZlbiI6IlQiLCJwYXJzZS1uYW1lcyI6ZmFsc2UsImRyb3BwaW5nLXBhcnRpY2xlIjoiIiwibm9uLWRyb3BwaW5nLXBhcnRpY2xlIjoiIn0seyJmYW1pbHkiOiJGdWppbyIsImdpdmVuIjoiTSIsInBhcnNlLW5hbWVzIjpmYWxzZSwiZHJvcHBpbmctcGFydGljbGUiOiIiLCJub24tZHJvcHBpbmctcGFydGljbGUiOiIifSx7ImZhbWlseSI6Ik5vYnV5b3NoaSIsImdpdmVuIjoiTSIsInBhcnNlLW5hbWVzIjpmYWxzZSwiZHJvcHBpbmctcGFydGljbGUiOiIiLCJub24tZHJvcHBpbmctcGFydGljbGUiOiIifSx7ImZhbWlseSI6Ikthbm8iLCJnaXZlbiI6IlkiLCJwYXJzZS1uYW1lcyI6ZmFsc2UsImRyb3BwaW5nLXBhcnRpY2xlIjoiIiwibm9uLWRyb3BwaW5nLXBhcnRpY2xlIjoiIn1dLCJjb250YWluZXItdGl0bGUiOiJGcm9udCBQc3ljaGlhdHJ5IiwiRE9JIjoiMTAuMzM4OS9mcHN5dC4yMDIwLjAwNTkyIiwiUE1JRCI6IjMyNzE5NjIxIiwiaXNzdWVkIjp7ImRhdGUtcGFydHMiOltbMjAyMF1dfSwicGFnZSI6IjU5MiIsImFic3RyYWN0IjoiQXdhcmVuZXNzIG9mIHByZW1vbml0b3J5IHVyZ2UgaW4gVG91cmV0dGUgc3luZHJvbWUgKFRTKSBtYXkgZmFjaWxpdGF0ZSB0aWMgc3VwcHJlc3Npb247IGhvd2V2ZXIsIHByZXZpb3VzIHN0dWRpZXMgaGF2ZSBub3Qgc3VwcG9ydGVkIHRoaXMgb2JzZXJ2YXRpb24uIFdlIGFpbWVkIHRvIGNsYXJpZnkgdGhlIHJlbGF0aW9uc2hpcCBiZXR3ZWVuIHRpYy1hc3NvY2lhdGVkIHNlbnNhdGlvbiBhbmQgdGljIHN1cHByZXNzaW9uIGJ5IGlkZW50aWZ5aW5nIHRoZSBzdWJ0eXBlcyBvZiB0aWMtYXNzb2NpYXRlZCBzZW5zYXRpb25zLCBpbmNsdWRpbmcgdGhlIFByZW1vbml0b3J5IFVyZ2UgZm9yIFRpY3MgU2NhbGUgKFBVVFMpLiBXZSBkZXZlbG9wZWQgYSBuZXcgcXVlc3Rpb25uYWlyZSBjYWxsZWQgXCJSdW1pbmF0aW9uIGFuZCBBd2FyZW5lc3MgU2NhbGUgZm9yIHRpYy1hc3NvY2lhdGVkIHNlbnNhdGlvbnNcIiAoUkFTVFMpIHRvIGFzc2VzcyB0aGUgdHdvIGFkZGl0aW9uYWwgYXNwZWN0cyBvZiB0aWMtYXNzb2NpYXRlZCBzZW5zYXRpb25zOiB0aGUgaW50ZW5zaXR5IG9mIHNvbWF0b3NlbnNvcnkgaHlwZXJhd2FyZW5lc3MgYW5kIHRoZSBhYmlsaXR5IHRvIGlkZW50aWZ5IHNpZ25hbHMgb2YgZW1lcmdpbmcgdGljcy4gU2l4dHktdHdvIGluZGl2aWR1YWxzIHdpdGggVFMgcGFydGljaXBhdGVkIGluIHRoZSBzdHVkeSAobWVhbiBhZ2UgPSAxOS4yIMKxIDEwLjMgeWVhcnMpLiBBbGwgcGFydGljaXBhbnRzIGNvbXBsZXRlZCB0aGUgUkFTVFMsIFBVVFMsIGFuZCBUaWMgU3VwcHJlc3Npb24gU2NhbGUuIE9mIGFsbCBwYXJ0aWNpcGFudHMsIDQxIHdlcmUgZXZhbHVhdGVkIGJ5IHRoZSBZYWxlIEdsb2JhbCBUaWMgU2V2ZXJpdHkgU2NhbGUgKFlHVFNTKSwgd2hpbGUgYW5vdGhlciBncm91cCBvZiA0MSBjb21wbGV0ZWQgYm90aCB0aGUgTGV5dG9uIE9ic2Vzc2lvbmFsIEludmVudG9yeS1DaGlsZCBWZXJzaW9uIChMT0ktQ1YpIGFuZCB0aGUgVGljcyBTeW1wdG9tIFNlbGYtUmVwb3J0IChUU1NSKS4gRmFjdG9yIGFuYWx5c2VzIGluY2x1ZGluZyBuaW5lIGl0ZW1zIG9mIHRoZSBQVVRTIGFuZCB0aGUgUkFTVFMgd2VyZSBjb25kdWN0ZWQsIGFuZCB0aGVpciByZWxhdGlvbnNoaXBzIHdpdGggcGF0aWVudHMnIHRpYyBzdXBwcmVzc2lvbiBhYmlsaXR5IHdlcmUgZXhhbWluZWQuIFRoZSByZXN1bHRzIHN1cHBvcnQgdXNpbmcgUkFTVFMgZm9yIHRoZSB0d28gc3VwcG9zZWQgZGltZW5zaW9ucyAocnVtaW5hdGlvbiBhYm91dCBzZW5zYXRpb24gYW5kIHByZW1vbml0b3J5IGF3YXJlbmVzcykgZm9yIGFzc2Vzc2luZyB0aGUgdHdvIGRpZmZlcmVudCB0aWMtYXNzb2NpYXRlZCBzZW5zYXRpb25zLCBhbmQgUFVUUyBmb3IgdGhyZWUgZGltZW5zaW9ucyBmb3IgYXNzZXNzaW5nIHRoZSB0d28gdHlwZXMgb2YgcXVhbGl0eSBvZiBwcmVtb25pdG9yeSB1cmdlcyBhbmQgaW50ZW5zaXR5IG9mIHByZW1vbml0b3J5IHVyZ2VzLiBQcmVtb25pdG9yeSBhd2FyZW5lc3MgY29ycmVsYXRlZCB3aXRoIHRpYyBzdXBwcmVzc2lvbiBhYmlsaXR5LiBDb252ZXJzZWx5LCBydW1pbmF0aW9uIGFib3V0IHNlbnNhdGlvbiwgUFVUUyB0b3RhbCBzY29yZSwgYW5kIHRoZSB0aHJlZSBzdWJzY2FsZXMgb2YgUFVUUyBjb3JyZWxhdGVkIHdpdGggb2JzZXNzaXZlLWNvbXB1bHNpdmUgc3ltcHRvbXMuIEluIHN1bW1hcnksIGJlaW5nIGF3YXJlIG9mIHNpZ25hbHMgZm9yIGVtZXJnaW5nIHRpY3MgZmFjaWxpdGF0ZWQgc2VsZi1pbml0aWF0ZWQgdGljIHN1cHByZXNzaW9uLCB3aGlsZSBydW1pbmF0aXZlIHRpYy1hc3NvY2lhdGVkIHNlbnNhdGlvbnMgZGlkIG5vdC4gVGhpcyBzdHVkeSBwcm92aWRlcyBuZXcgaW5zaWdodHMgaW50byBiZWhhdmlvcmFsIHRoZXJhcHkgZm9yIHRpY3MgYnkgaWRlbnRpZnlpbmcgdHdvIGRpc3RpbmN0IGFzcGVjdHMgb2YgdGljLWFzc29jaWF0ZWQgc2Vuc2F0aW9ucyB0aGF0IGluY2x1ZGUgcHJlbW9uaXRvcnkgdXJnZXMuIiwidm9sdW1lIjoiMTEiLCJjb250YWluZXItdGl0bGUtc2hvcnQiOiIifSwiaXNUZW1wb3JhcnkiOmZhbHNlfV19&quot;,&quot;citationItems&quot;:[{&quot;id&quot;:&quot;41c57b08-472c-33b3-bd66-c17f29a48164&quot;,&quot;itemData&quot;:{&quot;type&quot;:&quot;article-journal&quot;,&quot;id&quot;:&quot;41c57b08-472c-33b3-bd66-c17f29a48164&quot;,&quot;title&quot;:&quot;Premonitory Awareness Facilitates Tic Suppression: Subscales of the Premonitory Urge for Tics Scale and a New Self-Report Questionnaire for Tic-Associated Sensations&quot;,&quot;groupId&quot;:&quot;07d62ac1-5aa8-39af-b49e-52d2088ac571&quot;,&quot;author&quot;:[{&quot;family&quot;:&quot;Matsuda&quot;,&quot;given&quot;:&quot;N&quot;,&quot;parse-names&quot;:false,&quot;dropping-particle&quot;:&quot;&quot;,&quot;non-dropping-particle&quot;:&quot;&quot;},{&quot;family&quot;:&quot;Nonaka&quot;,&quot;given&quot;:&quot;M&quot;,&quot;parse-names&quot;:false,&quot;dropping-particle&quot;:&quot;&quot;,&quot;non-dropping-particle&quot;:&quot;&quot;},{&quot;family&quot;:&quot;Kono&quot;,&quot;given&quot;:&quot;T&quot;,&quot;parse-names&quot;:false,&quot;dropping-particle&quot;:&quot;&quot;,&quot;non-dropping-particle&quot;:&quot;&quot;},{&quot;family&quot;:&quot;Fujio&quot;,&quot;given&quot;:&quot;M&quot;,&quot;parse-names&quot;:false,&quot;dropping-particle&quot;:&quot;&quot;,&quot;non-dropping-particle&quot;:&quot;&quot;},{&quot;family&quot;:&quot;Nobuyoshi&quot;,&quot;given&quot;:&quot;M&quot;,&quot;parse-names&quot;:false,&quot;dropping-particle&quot;:&quot;&quot;,&quot;non-dropping-particle&quot;:&quot;&quot;},{&quot;family&quot;:&quot;Kano&quot;,&quot;given&quot;:&quot;Y&quot;,&quot;parse-names&quot;:false,&quot;dropping-particle&quot;:&quot;&quot;,&quot;non-dropping-particle&quot;:&quot;&quot;}],&quot;container-title&quot;:&quot;Front Psychiatry&quot;,&quot;DOI&quot;:&quot;10.3389/fpsyt.2020.00592&quot;,&quot;PMID&quot;:&quot;32719621&quot;,&quot;issued&quot;:{&quot;date-parts&quot;:[[2020]]},&quot;page&quot;:&quot;592&quot;,&quot;abstract&quot;:&quot;Awareness of premonitory urge in Tourette syndrome (TS) may facilitate tic suppression; however, previous studies have not supported this observation. We aimed to clarify the relationship between tic-associated sensation and tic suppression by identifying the subtypes of tic-associated sensations, including the Premonitory Urge for Tics Scale (PUTS). We developed a new questionnaire called \&quot;Rumination and Awareness Scale for tic-associated sensations\&quot; (RASTS) to assess the two additional aspects of tic-associated sensations: the intensity of somatosensory hyperawareness and the ability to identify signals of emerging tics. Sixty-two individuals with TS participated in the study (mean age = 19.2 ± 10.3 years). All participants completed the RASTS, PUTS, and Tic Suppression Scale. Of all participants, 41 were evaluated by the Yale Global Tic Severity Scale (YGTSS), while another group of 41 completed both the Leyton Obsessional Inventory-Child Version (LOI-CV) and the Tics Symptom Self-Report (TSSR). Factor analyses including nine items of the PUTS and the RASTS were conducted, and their relationships with patients' tic suppression ability were examined. The results support using RASTS for the two supposed dimensions (rumination about sensation and premonitory awareness) for assessing the two different tic-associated sensations, and PUTS for three dimensions for assessing the two types of quality of premonitory urges and intensity of premonitory urges. Premonitory awareness correlated with tic suppression ability. Conversely, rumination about sensation, PUTS total score, and the three subscales of PUTS correlated with obsessive-compulsive symptoms. In summary, being aware of signals for emerging tics facilitated self-initiated tic suppression, while ruminative tic-associated sensations did not. This study provides new insights into behavioral therapy for tics by identifying two distinct aspects of tic-associated sensations that include premonitory urges.&quot;,&quot;volume&quot;:&quot;11&quot;,&quot;container-title-short&quot;:&quot;&quot;},&quot;isTemporary&quot;:false}]},{&quot;citationID&quot;:&quot;MENDELEY_CITATION_04dbf6f1-c4a0-4e04-976b-dd9d78d89d39&quot;,&quot;properties&quot;:{&quot;noteIndex&quot;:0},&quot;isEdited&quot;:false,&quot;manualOverride&quot;:{&quot;isManuallyOverridden&quot;:false,&quot;citeprocText&quot;:&quot;(11)&quot;,&quot;manualOverrideText&quot;:&quot;&quot;},&quot;citationTag&quot;:&quot;MENDELEY_CITATION_v3_eyJjaXRhdGlvbklEIjoiTUVOREVMRVlfQ0lUQVRJT05fMDRkYmY2ZjEtYzRhMC00ZTA0LTk3NmItZGQ5ZDc4ZDg5ZDM5IiwicHJvcGVydGllcyI6eyJub3RlSW5kZXgiOjB9LCJpc0VkaXRlZCI6ZmFsc2UsIm1hbnVhbE92ZXJyaWRlIjp7ImlzTWFudWFsbHlPdmVycmlkZGVuIjpmYWxzZSwiY2l0ZXByb2NUZXh0IjoiKDExKSIsIm1hbnVhbE92ZXJyaWRlVGV4dCI6IiJ9LCJjaXRhdGlvbkl0ZW1zIjpbeyJpZCI6ImFkZTRmY2VmLTdmOTYtMzkwZC04MDY3LTIwMWQzNGI1ODJhYiIsIml0ZW1EYXRhIjp7InR5cGUiOiJhcnRpY2xlLWpvdXJuYWwiLCJpZCI6ImFkZTRmY2VmLTdmOTYtMzkwZC04MDY3LTIwMWQzNGI1ODJhYiIsInRpdGxlIjoiQ29udmVyZ2VudCB2YWxpZGl0eSBvZiB0aGUgUFVUUyIsImdyb3VwSWQiOiIwN2Q2MmFjMS01YWE4LTM5YWYtYjQ5ZS01MmQyMDg4YWM1NzEiLCJhdXRob3IiOlt7ImZhbWlseSI6IkJyYW5kdCIsImdpdmVuIjoiVmFsZXJpZSBDYXRow6lyaW5lIiwicGFyc2UtbmFtZXMiOmZhbHNlLCJkcm9wcGluZy1wYXJ0aWNsZSI6IiIsIm5vbi1kcm9wcGluZy1wYXJ0aWNsZSI6IiJ9LHsiZmFtaWx5IjoiQmVjayIsImdpdmVuIjoiQ2hyaXN0aWFuIiwicGFyc2UtbmFtZXMiOmZhbHNlLCJkcm9wcGluZy1wYXJ0aWNsZSI6IiIsIm5vbi1kcm9wcGluZy1wYXJ0aWNsZSI6IiJ9LHsiZmFtaWx5IjoiU2FqaW4iLCJnaXZlbiI6IlZhbGVyaWEiLCJwYXJzZS1uYW1lcyI6ZmFsc2UsImRyb3BwaW5nLXBhcnRpY2xlIjoiIiwibm9uLWRyb3BwaW5nLXBhcnRpY2xlIjoiIn0seyJmYW1pbHkiOiJBbmRlcnMiLCJnaXZlbiI6IlNpbGtlIiwicGFyc2UtbmFtZXMiOmZhbHNlLCJkcm9wcGluZy1wYXJ0aWNsZSI6IiIsIm5vbi1kcm9wcGluZy1wYXJ0aWNsZSI6IiJ9LHsiZmFtaWx5IjoiTcO8bmNoYXUiLCJnaXZlbiI6IkFsZXhhbmRlciIsInBhcnNlLW5hbWVzIjpmYWxzZSwiZHJvcHBpbmctcGFydGljbGUiOiIiLCJub24tZHJvcHBpbmctcGFydGljbGUiOiIifV0sImNvbnRhaW5lci10aXRsZSI6IkZyb250aWVycyBpbiBQc3ljaGlhdHJ5IiwiRE9JIjoiMTAuMzM4OS9mcHN5dC4yMDE2LjAwMDUxIiwiSVNTTiI6IjE2NjQwNjQwIiwiaXNzdWVkIjp7ImRhdGUtcGFydHMiOltbMjAxNiw0LDddXX0sImFic3RyYWN0IjoiUHJlbW9uaXRvcnkgdXJnZXMgYXJlIGEgY2FyZGluYWwgZmVhdHVyZSBpbiBHaWxsZXMgZGUgbGEgVG91cmV0dGUgc3luZHJvbWUuIFNldmVyaXR5IG9mIHByZW1vbml0b3J5IHVyZ2VzIGNhbiBiZSBhc3Nlc3NlZCB3aXRoIHRoZSBcIlByZW1vbml0b3J5IFVyZ2UgZm9yIFRpYyBEaXNvcmRlcnMgU2NhbGVcIiAoUFVUUykuIEhvd2V2ZXIsIGNvbnZlcmdlbnQgdmFsaWRpdHkgb2YgdGhlIG1lYXN1cmUgaGFzIGJlZW4gZGlmZmljdWx0IHRvIGFzc2VzcyBkdWUgdG8gdGhlIGxhY2sgb2Ygb3RoZXIgdXJnZSBtZWFzdXJlcy4gV2UgaW52ZXN0aWdhdGVkIHRoZSByZWxhdGlvbnNoaXAgYmV0d2VlbiBhdmVyYWdlIHJlYWwtdGltZSB1cmdlIGludGVuc2l0eSBhc3Nlc3NlZCBieSBhbiBpbi1ob3VzZSBkZXZlbG9wZWQgcmVhbC10aW1lIHVyZ2UgbW9uaXRvciAoUlVNKSwgbWVhc3VyaW5nIHVyZ2UgaW50ZW5zaXR5IGNvbnRpbnVvdXNseSBmb3IgNSBtaW4gb24gYSB2aXN1YWwgYW5hbG9nIHNjYWxlLCBhbmQgZ2VuZXJhbCB1cmdlIGludGVuc2l0eSBhc3Nlc3NlZCBieSB0aGUgUFVUUyBpbiAyMiBhZHVsdCBUb3VyZXR0ZSBwYXRpZW50cyAobWVhbiBhZ2UgMjkuOCDCsSAxMC4zIFNELCAxOSBtYWxlcykuIEFkZGl0aW9uYWxseSwgdW5kZXJseWluZyBmYWN0b3JzIG9mIHByZW1vbml0b3J5IHVyZ2VzIGFzc2Vzc2VkIGJ5IHRoZSBQVVRTIHdlcmUgaW52ZXN0aWdhdGVkIGluIHRoZSBhZHVsdCBzYW1wbGUgdXNpbmcgZmFjdG9yIGFuYWx5c2lzIGFuZCB3ZXJlIHJlcGxpY2F0ZWQgaW4gNDAgY2hpbGRyZW4gYW5kIGFkb2xlc2NlbnRzIGRpYWdub3NlZCB3aXRoIFRvdXJldHRlIHN5bmRyb21lIChtZWFuIGFnZSAxMi4wNSDCsSAyLjgzIFNELCAzMSBtYWxlcykuIENyb25iYWNoJ3MgYSBmb3IgdGhlIFBVVFMgMTAgd2FzIGFjY2VwdGFibGUgKM6xID0gMC43OSkgaW4gdGhlIGFkdWx0IHNhbXBsZS4gQ29udmVyZ2VudCB2YWxpZGl0eSBiZXR3ZWVuIGF2ZXJhZ2UgcmVhbC10aW1lIHVyZ2UgaW50ZW5zaXR5IHNjb3JlcyAoYXMgYXNzZXNzZWQgd2l0aCB0aGUgUlVNKSBhbmQgdGhlIDEwLWl0ZW0gdmVyc2lvbiBvZiB0aGUgUFVUUyAociA9IDAuNjQpIGFuZCB0aGUgOS1pdGVtIHZlcnNpb24gb2YgdGhlIFBVVFMgKHIgPSAwLjY2KSB3YXMgZ29vZC4gQSBmYWN0b3IgYW5hbHlzaXMgaW5jbHVkaW5nIHRoZSAxMCBpdGVtcyBvZiB0aGUgUFVUUyBhbmQgYXZlcmFnZSByZWFsLXRpbWUgdXJnZSBpbnRlbnNpdHkgc2NvcmVzIHJldmVhbGVkIHRocmVlIGZhY3RvcnMuIE9uZSBmYWN0b3IgaW5jbHVkZWQgdGhlIGF2ZXJhZ2UgcmVhbC10aW1lIHVyZ2UgaW50ZW5zaXR5IHNjb3JlIGFuZCBhcHBlYXJlZCB0byBtZWFzdXJlIHVyZ2UgaW50ZW5zaXR5LCB3aGVyZWFzIHRoZSBvdGhlciB0d28gZmFjdG9ycyBjYW4gYmUgYXNzdW1lZCB0byByZWZsZWN0IHRoZSAoc2Vuc29yeSkgcXVhbGl0eSBvZiB1cmdlcyBhbmQgc3ViamVjdGl2ZSBjb250cm9sLCByZXNwZWN0aXZlbHkuIFRoZSBmYWN0b3Igc3RydWN0dXJlIG9mIHRoZSAxMCBQVVRTIGl0ZW1zIGFsb25lIHdhcyByZXBsaWNhdGVkIGluIGEgc2FtcGxlIG9mIGNoaWxkcmVuIGFuZCBhZG9sZXNjZW50cy4gVGhlIHJlc3VsdHMgaW5kaWNhdGUgdGhhdCBjb252ZXJnZW50IHZhbGlkaXR5IGJldHdlZW4gdGhlIFBVVFMgYW5kIHRoZSByZWFsLXRpbWUgdXJnZSBhc3Nlc3NtZW50IG1vbml0b3IgaXMgZ29vZC4gRnVydGhlcm1vcmUsIHRoZSByZXN1bHRzIHN1Z2dlc3QgdGhhdCB0aGUgUFVUUyBtaWdodCBhc3Nlc3MgbW9yZSB0aGFuIG9uZSBkaW1lbnNpb24gb2YgdXJnZXMsIGFuZCBpdCBtYXkgYmUgd29ydGh3aGlsZSBkZXZlbG9waW5nIGRpZmZlcmVudCBzdWJzY2FsZXMgb2YgdGhlIFBVVFMgYXNzZXNzaW5nIHByZW1vbml0b3J5IHVyZ2VzIGluIHRlcm1zIG9mIGludGVuc2l0eSBhbmQgcXVhbGl0eSwgYXMgd2VsbCBhcyBzdWJqZWN0aXZlbHkgZXhwZXJpZW5jZWQgY29udHJvbCBvdmVyIHRpY3MgYW5kIHByZW1vbml0b3J5IHVyZ2VzLiIsInB1Ymxpc2hlciI6IkZyb250aWVycyBSZXNlYXJjaCBGb3VuZGF0aW9uIiwiaXNzdWUiOiJBUFIiLCJ2b2x1bWUiOiI3IiwiY29udGFpbmVyLXRpdGxlLXNob3J0IjoiRnJvbnQgUHN5Y2hpYXRyeSJ9LCJpc1RlbXBvcmFyeSI6ZmFsc2V9XX0=&quot;,&quot;citationItems&quot;:[{&quot;id&quot;:&quot;ade4fcef-7f96-390d-8067-201d34b582ab&quot;,&quot;itemData&quot;:{&quot;type&quot;:&quot;article-journal&quot;,&quot;id&quot;:&quot;ade4fcef-7f96-390d-8067-201d34b582ab&quot;,&quot;title&quot;:&quot;Convergent validity of the PUTS&quot;,&quot;groupId&quot;:&quot;07d62ac1-5aa8-39af-b49e-52d2088ac571&quot;,&quot;author&quot;:[{&quot;family&quot;:&quot;Brandt&quot;,&quot;given&quot;:&quot;Valerie Cathérine&quot;,&quot;parse-names&quot;:false,&quot;dropping-particle&quot;:&quot;&quot;,&quot;non-dropping-particle&quot;:&quot;&quot;},{&quot;family&quot;:&quot;Beck&quot;,&quot;given&quot;:&quot;Christian&quot;,&quot;parse-names&quot;:false,&quot;dropping-particle&quot;:&quot;&quot;,&quot;non-dropping-particle&quot;:&quot;&quot;},{&quot;family&quot;:&quot;Sajin&quot;,&quot;given&quot;:&quot;Valeria&quot;,&quot;parse-names&quot;:false,&quot;dropping-particle&quot;:&quot;&quot;,&quot;non-dropping-particle&quot;:&quot;&quot;},{&quot;family&quot;:&quot;Anders&quot;,&quot;given&quot;:&quot;Silke&quot;,&quot;parse-names&quot;:false,&quot;dropping-particle&quot;:&quot;&quot;,&quot;non-dropping-particle&quot;:&quot;&quot;},{&quot;family&quot;:&quot;Münchau&quot;,&quot;given&quot;:&quot;Alexander&quot;,&quot;parse-names&quot;:false,&quot;dropping-particle&quot;:&quot;&quot;,&quot;non-dropping-particle&quot;:&quot;&quot;}],&quot;container-title&quot;:&quot;Frontiers in Psychiatry&quot;,&quot;DOI&quot;:&quot;10.3389/fpsyt.2016.00051&quot;,&quot;ISSN&quot;:&quot;16640640&quot;,&quot;issued&quot;:{&quot;date-parts&quot;:[[2016,4,7]]},&quot;abstract&quot;:&quot;Premonitory urges are a cardinal feature in Gilles de la Tourette syndrome. Severity of premonitory urges can be assessed with the \&quot;Premonitory Urge for Tic Disorders Scale\&quot; (PUTS). However, convergent validity of the measure has been difficult to assess due to the lack of other urge measures. We investigated the relationship between average real-time urge intensity assessed by an in-house developed real-time urge monitor (RUM), measuring urge intensity continuously for 5 min on a visual analog scale, and general urge intensity assessed by the PUTS in 22 adult Tourette patients (mean age 29.8 ± 10.3 SD, 19 males). Additionally, underlying factors of premonitory urges assessed by the PUTS were investigated in the adult sample using factor analysis and were replicated in 40 children and adolescents diagnosed with Tourette syndrome (mean age 12.05 ± 2.83 SD, 31 males). Cronbach's a for the PUTS 10 was acceptable (α = 0.79) in the adult sample. Convergent validity between average real-time urge intensity scores (as assessed with the RUM) and the 10-item version of the PUTS (r = 0.64) and the 9-item version of the PUTS (r = 0.66) was good. A factor analysis including the 10 items of the PUTS and average real-time urge intensity scores revealed three factors. One factor included the average real-time urge intensity score and appeared to measure urge intensity, whereas the other two factors can be assumed to reflect the (sensory) quality of urges and subjective control, respectively. The factor structure of the 10 PUTS items alone was replicated in a sample of children and adolescents. The results indicate that convergent validity between the PUTS and the real-time urge assessment monitor is good. Furthermore, the results suggest that the PUTS might assess more than one dimension of urges, and it may be worthwhile developing different subscales of the PUTS assessing premonitory urges in terms of intensity and quality, as well as subjectively experienced control over tics and premonitory urges.&quot;,&quot;publisher&quot;:&quot;Frontiers Research Foundation&quot;,&quot;issue&quot;:&quot;APR&quot;,&quot;volume&quot;:&quot;7&quot;,&quot;container-title-short&quot;:&quot;Front Psychiatry&quot;},&quot;isTemporary&quot;:false}]},{&quot;citationID&quot;:&quot;MENDELEY_CITATION_f2332eea-09cd-4fe3-8e1a-50809522ae23&quot;,&quot;properties&quot;:{&quot;noteIndex&quot;:0},&quot;isEdited&quot;:false,&quot;manualOverride&quot;:{&quot;isManuallyOverridden&quot;:false,&quot;citeprocText&quot;:&quot;(12)&quot;,&quot;manualOverrideText&quot;:&quot;&quot;},&quot;citationTag&quot;:&quot;MENDELEY_CITATION_v3_eyJjaXRhdGlvbklEIjoiTUVOREVMRVlfQ0lUQVRJT05fZjIzMzJlZWEtMDljZC00ZmUzLThlMWEtNTA4MDk1MjJhZTIzIiwicHJvcGVydGllcyI6eyJub3RlSW5kZXgiOjB9LCJpc0VkaXRlZCI6ZmFsc2UsIm1hbnVhbE92ZXJyaWRlIjp7ImlzTWFudWFsbHlPdmVycmlkZGVuIjpmYWxzZSwiY2l0ZXByb2NUZXh0IjoiKDEyKSIsIm1hbnVhbE92ZXJyaWRlVGV4dCI6IiJ9LCJjaXRhdGlvbkl0ZW1zIjpbeyJpZCI6IjQ2Zjk3YzM4LTdjNWQtMzAzMS1iMjE1LThiMDY3MmVhNWNlNCIsIml0ZW1EYXRhIjp7InR5cGUiOiJhcnRpY2xlLWpvdXJuYWwiLCJpZCI6IjQ2Zjk3YzM4LTdjNWQtMzAzMS1iMjE1LThiMDY3MmVhNWNlNCIsInRpdGxlIjoiU2V4IGFuZCBwc3ljaGlhdHJpYyBjb21vcmJpZGl0eSBjb3JyZWxhdGVzIG9mIHRoZSBwcmVtb25pdG9yeSB1cmdlIGZvciB0aWMgc2NhbGUgaW4geW91dGggd2l0aCBwZXJzaXN0ZW50IHRpYyBkaXNvcmRlcnMiLCJncm91cElkIjoiMDdkNjJhYzEtNWFhOC0zOWFmLWI0OWUtNTJkMjA4OGFjNTcxIiwiYXV0aG9yIjpbeyJmYW1pbHkiOiJFZHdhcmRzIiwiZ2l2ZW4iOiJLIFIiLCJwYXJzZS1uYW1lcyI6ZmFsc2UsImRyb3BwaW5nLXBhcnRpY2xlIjoiIiwibm9uLWRyb3BwaW5nLXBhcnRpY2xlIjoiIn0seyJmYW1pbHkiOiJSYWluZXMiLCJnaXZlbiI6IkogTSIsInBhcnNlLW5hbWVzIjpmYWxzZSwiZHJvcHBpbmctcGFydGljbGUiOiIiLCJub24tZHJvcHBpbmctcGFydGljbGUiOiIifSx7ImZhbWlseSI6Ildpbm5pY2siLCJnaXZlbiI6IkogQiIsInBhcnNlLW5hbWVzIjpmYWxzZSwiZHJvcHBpbmctcGFydGljbGUiOiIiLCJub24tZHJvcHBpbmctcGFydGljbGUiOiIifSx7ImZhbWlseSI6IlNoZXJtYW4iLCJnaXZlbiI6Ik0gRiIsInBhcnNlLW5hbWVzIjpmYWxzZSwiZHJvcHBpbmctcGFydGljbGUiOiIiLCJub24tZHJvcHBpbmctcGFydGljbGUiOiIifSx7ImZhbWlseSI6IkhpZ2dpbnNvbiIsImdpdmVuIjoiQyBJIiwicGFyc2UtbmFtZXMiOmZhbHNlLCJkcm9wcGluZy1wYXJ0aWNsZSI6IiIsIm5vbi1kcm9wcGluZy1wYXJ0aWNsZSI6IiJ9LHsiZmFtaWx5IjoiTmF2aW4iLCJnaXZlbiI6IksiLCJwYXJzZS1uYW1lcyI6ZmFsc2UsImRyb3BwaW5nLXBhcnRpY2xlIjoiIiwibm9uLWRyb3BwaW5nLXBhcnRpY2xlIjoiIn0seyJmYW1pbHkiOiJDb250ZWgiLCJnaXZlbiI6IkYiLCJwYXJzZS1uYW1lcyI6ZmFsc2UsImRyb3BwaW5nLXBhcnRpY2xlIjoiIiwibm9uLWRyb3BwaW5nLXBhcnRpY2xlIjoiIn0seyJmYW1pbHkiOiJSaWNrZXR0cyIsImdpdmVuIjoiRSBKIiwicGFyc2UtbmFtZXMiOmZhbHNlLCJkcm9wcGluZy1wYXJ0aWNsZSI6IiIsIm5vbi1kcm9wcGluZy1wYXJ0aWNsZSI6IiJ9LHsiZmFtaWx5IjoiU3BlY2h0IiwiZ2l2ZW4iOiJNIFciLCJwYXJzZS1uYW1lcyI6ZmFsc2UsImRyb3BwaW5nLXBhcnRpY2xlIjoiIiwibm9uLWRyb3BwaW5nLXBhcnRpY2xlIjoiIn1dLCJjb250YWluZXItdGl0bGUiOiJKIE5ldXJhbCBUcmFuc20gKFZpZW5uYSkiLCJET0kiOiIxMC4xMDA3L3MwMDcwMi0wMjAtMDIxNTEtOSIsIlBNSUQiOiIzMjIxMjAxNiIsIlVSTCI6Imh0dHBzOi8vbGluay5zcHJpbmdlci5jb20vYXJ0aWNsZS8xMC4xMDA3L3MwMDcwMi0wMjAtMDIxNTEtOSIsImlzc3VlZCI6eyJkYXRlLXBhcnRzIjpbWzIwMjBdXX0sInBhZ2UiOiI5NzctOTg1IiwiYWJzdHJhY3QiOiJUaGUgcHJlbW9uaXRvcnkgdXJnZSBmb3IgdGljcyBzY2FsZSAoUFVUUykgaXMgYSBjb21tb24gc2VsZi1yZXBvcnQgbWVhc3VyZSBvZiBwcmVtb25pdG9yeSBzZW5zYXRpb25zIHByZWNlZGluZyB0aWNzLiBUaGUgcHJlc2VudCBzdHVkeSBhaW1lZCB0byBleGFtaW5lIHRoZSBpbnRlcm5hbCBjb25zaXN0ZW5jeSBhbmQgY29uY3VycmVudCB2YWxpZGl0eSBvZiB0aGUgUFVUUyBieSBzZXggYW5kIHBzeWNoaWF0cmljIGNvbW9yYmlkaXR5IHN0YXR1czsgYW5kIGV4cGxvcmVkIGludGVyYWN0aW9ucyBiZXR3ZWVuIHNleCBhbmQgcHN5Y2hpYXRyaWMgY29tb3JiaWRpdHkgaW4gcHJlZGljdGluZyBwcmVtb25pdG9yeSB1cmdlIGFuZCB0aWMgc3ltcHRvbSBzZXZlcml0eS4gU2V2ZW50eS1mb3VyIHlvdXRoIGFuZCB5b3VuZyBhZHVsdHMgd2l0aCBwZXJzaXN0ZW50IHRpYyBkaXNvcmRlcnMgY29tcGxldGVkIHRoZSBQVVRTLCB3aGlsZSB0aGVpciBwYXJlbnRzIGNvbXBsZXRlZCB0aGUgcGFyZW50IHRpYyBxdWVzdGlvbm5haXJlIChQVFEpIGFuZCBhIGRlbW9ncmFwaGljIG1lYXN1cmUuIEluZGVwZW5kZW50IHNhbXBsZXMgdC10ZXN0cyByZXZlYWxlZCBubyBzaWduaWZpY2FudCBzZXggZGlmZmVyZW5jZXMgaW4gUFVUUyBpdGVtcyBvciB0b3RhbCBzY29yZS4gVGhlIFBVVFMgdG90YWwgc2NvcmUgYWxzbyBkaWQgbm90IHNpZ25pZmljYW50bHkgZGlmZmVyIGJldHdlZW4gcGFydGljaXBhbnRzIHdpdGggYW5kIHdpdGhvdXQgYXR0ZW50aW9uLWRlZmljaXQgaHlwZXJhY3Rpdml0eSBkaXNvcmRlciAoQURIRCkgYW5kL29yIG9ic2Vzc2l2ZS1jb21wdWxzaXZlIGRpc29yZGVyIChPQ0QpIGNvbW9yYmlkaXR5LiBJbnRlcm5hbCBjb25zaXN0ZW5jeSBkaWQgbm90IHNpZ25pZmljYW50bHkgZGlmZmVyIGJldHdlZW4gZmVtYWxlcyAozrHigIk94oCJMC44NSkgYW5kIG1hbGVzICjOseKAiT3igIkwLjc1KSwgYW5kIHRob3NlIHdpdGggY29tb3JiaWQgQURIRCBhbmQvb3IgT0NEICjOseKAiT3igIkwLjgzKSByZWxhdGl2ZSB0byB0aG9zZSB3aXRob3V0ICjOseKAiT3igIkwLjY5KS4gV2l0aCByZXNwZWN0IHRvIGNvbmN1cnJlbnQgdmFsaWRpdHksIHRoZSBQVVRTIHRvdGFsIHdhcyBzaWduaWZpY2FudGx5IGNvcnJlbGF0ZWQgd2l0aCBQVFEgdGljIGZyZXF1ZW5jeSwgaW50ZW5zaXR5LCBudW1iZXIsIGFuZCBzZXZlcml0eSBmb3IgbWFsZXMgYnV0IG5vdCBmb3IgZmVtYWxlcy4gQW1vbmcgdGhvc2Ugd2l0aCBBREhEIGFuZC9vciBPQ0QsIHRoZSBQVVRTIHRvdGFsIHNjb3JlIHdhcyBjb3JyZWxhdGVkIHNpZ25pZmljYW50bHkgYW5kIHN0cm9uZ2x5IHdpdGggdGljIG51bWJlciBhbmQgbW9kZXJhdGVseSB3aXRoIHRpYyBpbnRlbnNpdHkuIEludGVyYWN0aW9ucyBiZXR3ZWVuIHNleCBhbmQgcHN5Y2hpYXRyaWMgY29tb3JiaWRpdHkgcGVyZm9ybWVkIHVzaW5nIDLigInDl+KAiTIgYW5hbHlzaXMgb2YgdmFyaWFuY2UgZGlkIG5vdCBzaWduaWZpY2FudGx5IHByZWRpY3QgdGhlIFBVVFMgdG90YWwgb3IgUFRRIHN1YnNjYWxlIHNjb3Jlcy4gRmluZGluZ3Mgc3VnZ2VzdCBzZXggYW5kIGNvbW9yYmlkaXR5IHN0YXR1cyBtYXkgaW5mbHVlbmNlIHByZW1vbml0b3J5IHVyZ2UgZXhwcmVzc2lvbi4gUmVzdWx0cyBoYXZlIGltcGxpY2F0aW9ucyBmb3IgdW5kZXJzdGFuZGluZyBhbmQgbWVhc3VyZW1lbnQgb2YgdGhlIHByZW1vbml0b3J5IHVyZ2UuIiwiaXNzdWUiOiI2Iiwidm9sdW1lIjoiMTI3IiwiY29udGFpbmVyLXRpdGxlLXNob3J0IjoiIn0sImlzVGVtcG9yYXJ5IjpmYWxzZX1dfQ==&quot;,&quot;citationItems&quot;:[{&quot;id&quot;:&quot;46f97c38-7c5d-3031-b215-8b0672ea5ce4&quot;,&quot;itemData&quot;:{&quot;type&quot;:&quot;article-journal&quot;,&quot;id&quot;:&quot;46f97c38-7c5d-3031-b215-8b0672ea5ce4&quot;,&quot;title&quot;:&quot;Sex and psychiatric comorbidity correlates of the premonitory urge for tic scale in youth with persistent tic disorders&quot;,&quot;groupId&quot;:&quot;07d62ac1-5aa8-39af-b49e-52d2088ac571&quot;,&quot;author&quot;:[{&quot;family&quot;:&quot;Edwards&quot;,&quot;given&quot;:&quot;K R&quot;,&quot;parse-names&quot;:false,&quot;dropping-particle&quot;:&quot;&quot;,&quot;non-dropping-particle&quot;:&quot;&quot;},{&quot;family&quot;:&quot;Raines&quot;,&quot;given&quot;:&quot;J M&quot;,&quot;parse-names&quot;:false,&quot;dropping-particle&quot;:&quot;&quot;,&quot;non-dropping-particle&quot;:&quot;&quot;},{&quot;family&quot;:&quot;Winnick&quot;,&quot;given&quot;:&quot;J B&quot;,&quot;parse-names&quot;:false,&quot;dropping-particle&quot;:&quot;&quot;,&quot;non-dropping-particle&quot;:&quot;&quot;},{&quot;family&quot;:&quot;Sherman&quot;,&quot;given&quot;:&quot;M F&quot;,&quot;parse-names&quot;:false,&quot;dropping-particle&quot;:&quot;&quot;,&quot;non-dropping-particle&quot;:&quot;&quot;},{&quot;family&quot;:&quot;Higginson&quot;,&quot;given&quot;:&quot;C I&quot;,&quot;parse-names&quot;:false,&quot;dropping-particle&quot;:&quot;&quot;,&quot;non-dropping-particle&quot;:&quot;&quot;},{&quot;family&quot;:&quot;Navin&quot;,&quot;given&quot;:&quot;K&quot;,&quot;parse-names&quot;:false,&quot;dropping-particle&quot;:&quot;&quot;,&quot;non-dropping-particle&quot;:&quot;&quot;},{&quot;family&quot;:&quot;Conteh&quot;,&quot;given&quot;:&quot;F&quot;,&quot;parse-names&quot;:false,&quot;dropping-particle&quot;:&quot;&quot;,&quot;non-dropping-particle&quot;:&quot;&quot;},{&quot;family&quot;:&quot;Ricketts&quot;,&quot;given&quot;:&quot;E J&quot;,&quot;parse-names&quot;:false,&quot;dropping-particle&quot;:&quot;&quot;,&quot;non-dropping-particle&quot;:&quot;&quot;},{&quot;family&quot;:&quot;Specht&quot;,&quot;given&quot;:&quot;M W&quot;,&quot;parse-names&quot;:false,&quot;dropping-particle&quot;:&quot;&quot;,&quot;non-dropping-particle&quot;:&quot;&quot;}],&quot;container-title&quot;:&quot;J Neural Transm (Vienna)&quot;,&quot;DOI&quot;:&quot;10.1007/s00702-020-02151-9&quot;,&quot;PMID&quot;:&quot;32212016&quot;,&quot;URL&quot;:&quot;https://link.springer.com/article/10.1007/s00702-020-02151-9&quot;,&quot;issued&quot;:{&quot;date-parts&quot;:[[2020]]},&quot;page&quot;:&quot;977-985&quot;,&quot;abstract&quot;:&quot;The premonitory urge for tics scale (PUTS) is a common self-report measure of premonitory sensations preceding tics. The present study aimed to examine the internal consistency and concurrent validity of the PUTS by sex and psychiatric comorbidity status; and explored interactions between sex and psychiatric comorbidity in predicting premonitory urge and tic symptom severity. Seventy-four youth and young adults with persistent tic disorders completed the PUTS, while their parents completed the parent tic questionnaire (PTQ) and a demographic measure. Independent samples t-tests revealed no significant sex differences in PUTS items or total score. The PUTS total score also did not significantly differ between participants with and without attention-deficit hyperactivity disorder (ADHD) and/or obsessive-compulsive disorder (OCD) comorbidity. Internal consistency did not significantly differ between females (α = 0.85) and males (α = 0.75), and those with comorbid ADHD and/or OCD (α = 0.83) relative to those without (α = 0.69). With respect to concurrent validity, the PUTS total was significantly correlated with PTQ tic frequency, intensity, number, and severity for males but not for females. Among those with ADHD and/or OCD, the PUTS total score was correlated significantly and strongly with tic number and moderately with tic intensity. Interactions between sex and psychiatric comorbidity performed using 2 × 2 analysis of variance did not significantly predict the PUTS total or PTQ subscale scores. Findings suggest sex and comorbidity status may influence premonitory urge expression. Results have implications for understanding and measurement of the premonitory urge.&quot;,&quot;issue&quot;:&quot;6&quot;,&quot;volume&quot;:&quot;127&quot;,&quot;container-title-short&quot;:&quot;&quot;},&quot;isTemporary&quot;:false}]},{&quot;citationID&quot;:&quot;MENDELEY_CITATION_6ac3e0df-c8b6-49a3-8ef6-cce776a4ac8e&quot;,&quot;properties&quot;:{&quot;noteIndex&quot;:0},&quot;isEdited&quot;:false,&quot;manualOverride&quot;:{&quot;isManuallyOverridden&quot;:false,&quot;citeprocText&quot;:&quot;(13–21)&quot;,&quot;manualOverrideText&quot;:&quot;&quot;},&quot;citationTag&quot;:&quot;MENDELEY_CITATION_v3_eyJjaXRhdGlvbklEIjoiTUVOREVMRVlfQ0lUQVRJT05fNmFjM2UwZGYtYzhiNi00OWEzLThlZjYtY2NlNzc2YTRhYzhlIiwicHJvcGVydGllcyI6eyJub3RlSW5kZXgiOjB9LCJpc0VkaXRlZCI6ZmFsc2UsIm1hbnVhbE92ZXJyaWRlIjp7ImlzTWFudWFsbHlPdmVycmlkZGVuIjpmYWxzZSwiY2l0ZXByb2NUZXh0IjoiKDEz4oCTMjEpIiwibWFudWFsT3ZlcnJpZGVUZXh0IjoiIn0sImNpdGF0aW9uSXRlbXMiOlt7ImlkIjoiMWVlZTYwYTYtZGViMS0zNTVjLThhNmMtODI3NjZkODczMDc2IiwiaXRlbURhdGEiOnsidHlwZSI6ImFydGljbGUtam91cm5hbCIsImlkIjoiMWVlZTYwYTYtZGViMS0zNTVjLThhNmMtODI3NjZkODczMDc2IiwidGl0bGUiOiJQZWVyIHZpY3RpbWl6YXRpb24gaW4geW91dGggd2l0aCBUb3VyZXR0ZSBzeW5kcm9tZSBhbmQgb3RoZXIgY2hyb25pYyB0aWMgZGlzb3JkZXJzIiwiZ3JvdXBJZCI6IjA3ZDYyYWMxLTVhYTgtMzlhZi1iNDllLTUyZDIwODhhYzU3MSIsImF1dGhvciI6W3siZmFtaWx5IjoiWmlubmVyIiwiZ2l2ZW4iOiJTIEgiLCJwYXJzZS1uYW1lcyI6ZmFsc2UsImRyb3BwaW5nLXBhcnRpY2xlIjoiIiwibm9uLWRyb3BwaW5nLXBhcnRpY2xlIjoiIn0seyJmYW1pbHkiOiJDb25lbGVhIiwiZ2l2ZW4iOiJDIEEiLCJwYXJzZS1uYW1lcyI6ZmFsc2UsImRyb3BwaW5nLXBhcnRpY2xlIjoiIiwibm9uLWRyb3BwaW5nLXBhcnRpY2xlIjoiIn0seyJmYW1pbHkiOiJHbGV3IiwiZ2l2ZW4iOiJHIE0iLCJwYXJzZS1uYW1lcyI6ZmFsc2UsImRyb3BwaW5nLXBhcnRpY2xlIjoiIiwibm9uLWRyb3BwaW5nLXBhcnRpY2xlIjoiIn0seyJmYW1pbHkiOiJXb29kcyIsImdpdmVuIjoiRCBXIiwicGFyc2UtbmFtZXMiOmZhbHNlLCJkcm9wcGluZy1wYXJ0aWNsZSI6IiIsIm5vbi1kcm9wcGluZy1wYXJ0aWNsZSI6IiJ9LHsiZmFtaWx5IjoiQnVkbWFuIiwiZ2l2ZW4iOiJDIEwiLCJwYXJzZS1uYW1lcyI6ZmFsc2UsImRyb3BwaW5nLXBhcnRpY2xlIjoiIiwibm9uLWRyb3BwaW5nLXBhcnRpY2xlIjoiIn1dLCJjb250YWluZXItdGl0bGUiOiJDaGlsZCBwc3ljaGlhdHJ5IGFuZCBodW1hbiBkZXZlbG9wbWVudCIsIkRPSSI6Imh0dHBzOi8vZHguZG9pLm9yZy8xMC4xMDA3L3MxMDU3OC0wMTEtMDI0OS15IiwiVVJMIjoiaHR0cDovL292aWRzcC5vdmlkLmNvbS9vdmlkd2ViLmNnaT9UPUpTJlBBR0U9cmVmZXJlbmNlJkQ9ZW1lZDEzJk5FV1M9TiZBTj0zNjQ5MzgxNjIiLCJpc3N1ZWQiOnsiZGF0ZS1wYXJ0cyI6W1syMDEyXV19LCJwYWdlIjoiMTI0LTEzNiIsImFic3RyYWN0IjoiQ2hyb25pYyB0aWMgZGlzb3JkZXJzIGluY2x1ZGluZyBUb3VyZXR0ZSBzeW5kcm9tZSBoYXZlIG5lZ2F0aXZlIGltcGFjdCBhY3Jvc3MgbXVsdGlwbGUgZnVuY3Rpb25hbCBkb21haW5zLiBXZSBleHBsb3JlZCBhc3NvY2lhdGlvbnMgYmV0d2VlbiBwZWVyIHZpY3RpbWl6YXRpb24gc3RhdHVzIGFuZCB0aWMgc3VidHlwZXMsIHByZW1vbml0b3J5IHVyZ2VzLCBpbnRlcm5hbGl6aW5nIHN5bXB0b21zLCBleHBsb3NpdmUgb3V0YnVyc3RzLCBhbmQgcXVhbGl0eSBvZiBsaWZlIGFtb25nIHlvdXRoIHdpdGggY2hyb25pYyB0aWMgZGlzb3JkZXJzLCBhcyBwYXJ0IG9mIHRoZSBpbnRlcm5ldC1iYXNlZCBvbW5pYnVzIFRvdXJldHRlIFN5bmRyb21lIEltcGFjdCBTdXJ2ZXkuIEEgbWl4ZWQgbWV0aG9kcyBkZXNpZ24gY29tYmluZWQgY2hpbGQgc2VsZi1yZXBvcnQgYW5kIHBhcmVudGFsIHByb3h5LXJlcG9ydCAoaS5lLiwgcGFyZW50IHJlcG9ydGluZyBvbiB0aGUgY2hpbGQpIGRlbW9ncmFwaGljIGFuZCBxdWFudGl0YXRpdmUgZGF0YSBmb3IgYWZmZWN0ZWQgeW91dGggYWdlcyAxMC0xNyB5ZWFycyBhZGRyZXNzaW5nIGdlbmRlciwgbWVhbiBhZ2UsIGV0aG5pY2l0eSBhbmQgb3RoZXIgc29jaW9lY29ub21pYyBmZWF0dXJlcywgYW5kIHByZXNlbmNlIG9mIHRpYyBkaXNvcmRlcnMgYW5kIGNvLW9jY3VycmluZyBwc3ljaGlhdHJpYyBkaXNvcmRlcnMuIFBlZXIgXCJWaWN0aW1cIiB2ZXJzdXMgXCJOb24tdmljdGltXCIgc3RhdHVzIHdhcyBkZXRlcm1pbmVkIHVzaW5nIGEgc3Vic2V0IG9mIGZvdXIgcXVlc3Rpb25zIGFib3V0IGJlaW5nIGJ1bGxpZWQuIFwiVmljdGltXCIgc3RhdHVzIHdhcyBpZGVudGlmaWVkIGZvciB0aG9zZSB5b3V0aCB3aG8gZW5kb3JzZWQgdGhlIGZyZXF1ZW5jeSBvZiB0aGUgb2NjdXJyZW5jZSBvZiBiZWluZyBidWxsaWVkIGluIG9uZSBvciBtb3JlIG9mIHRoZSBmb3VyIHF1ZXN0aW9ucyBhcyBcIm1vc3Qgb2YgdGhlIHRpbWVcIiBvciBcImFsbCBvZiB0aGUgdGltZVwiLiBEYXRhIGZyb20gMjExIGVsaWdpYmxlIHlvdXRoIHJlc3BvbmRlbnRzIGFuZCB0aGVpciBwYXJlbnRzL2d1YXJkaWFucyBzaG93ZWQgMjYlIHJlcG9ydGluZyBwZWVyIHZpY3RpbWl6YXRpb24uIFZpY3RpbSBzdGF0dXMgd2FzIGFzc29jaWF0ZWQgd2l0aCBncmVhdGVyIHRpYyBmcmVxdWVuY3ksIGNvbXBsZXhpdHkgYW5kIHNldmVyaXR5OyBleHBsb3NpdmUgb3V0YnVyc3RzOyBpbnRlcm5hbGl6aW5nIHN5bXB0b21zOyBhbmQgbG93ZXIgcXVhbGl0eSBvZiBsaWZlLiBQZWVyIHZpY3RpbWl6YXRpb24gYW1vbmcgeW91dGggd2l0aCBjaHJvbmljIHRpYyBkaXNvcmRlcnMgaXMgY29tbW9uIGFuZCBhcHBlYXJzIGFzc29jaWF0ZWQgd2l0aCB0aWMgbW9yYmlkaXR5LCBhbnhpZXR5LCBkZXByZXNzaW9uLCBleHBsb3NpdmUgb3V0YnVyc3RzLCBhbmQgcG9vcmVyIHBzeWNob3NvY2lhbCBmdW5jdGlvbmluZy4gQW50aWNpcGF0b3J5IGd1aWRhbmNlLCBzcGVjaWZpYyBidWxseWluZyBzY3JlZW5pbmcgYW5kIHByZXZlbnRpb24sIGFuZCBmdXJ0aGVyIHN0dWRpZXMgYXJlIGluZGljYXRlZCBpbiB0aGlzIHBvcHVsYXRpb24uIiwiaXNzdWUiOiIxIiwidm9sdW1lIjoiNDMiLCJjb250YWluZXItdGl0bGUtc2hvcnQiOiJDaGlsZCBQc3ljaGlhdHJ5IEh1bSBEZXYifSwiaXNUZW1wb3JhcnkiOmZhbHNlfSx7ImlkIjoiNTM2MjcxZTEtMjFiMC0zZTcwLWI0N2UtZDMxY2M0ZmNjYTE1IiwiaXRlbURhdGEiOnsidHlwZSI6ImFydGljbGUtam91cm5hbCIsImlkIjoiNTM2MjcxZTEtMjFiMC0zZTcwLWI0N2UtZDMxY2M0ZmNjYTE1IiwidGl0bGUiOiJSZWxhdGlvbnNoaXBzIGJldHdlZW4gUHJlbW9uaXRvcnkgVXJnZSBhbmQgQW54aWV0eSBpbiBZb3V0aCB3aXRoIENocm9uaWMgVGljIERpc29yZGVycyIsImdyb3VwSWQiOiIwN2Q2MmFjMS01YWE4LTM5YWYtYjQ5ZS01MmQyMDg4YWM1NzEiLCJhdXRob3IiOlt7ImZhbWlseSI6IlJvemVubWFuIiwiZ2l2ZW4iOiJNIiwicGFyc2UtbmFtZXMiOmZhbHNlLCJkcm9wcGluZy1wYXJ0aWNsZSI6IiIsIm5vbi1kcm9wcGluZy1wYXJ0aWNsZSI6IiJ9LHsiZmFtaWx5IjoiSm9obnNvbiIsImdpdmVuIjoiTyBFIiwicGFyc2UtbmFtZXMiOmZhbHNlLCJkcm9wcGluZy1wYXJ0aWNsZSI6IiIsIm5vbi1kcm9wcGluZy1wYXJ0aWNsZSI6IiJ9LHsiZmFtaWx5IjoiQ2hhbmciLCJnaXZlbiI6IlMgVyIsInBhcnNlLW5hbWVzIjpmYWxzZSwiZHJvcHBpbmctcGFydGljbGUiOiIiLCJub24tZHJvcHBpbmctcGFydGljbGUiOiIifSx7ImZhbWlseSI6Ildvb2RzIiwiZ2l2ZW4iOiJEIFciLCJwYXJzZS1uYW1lcyI6ZmFsc2UsImRyb3BwaW5nLXBhcnRpY2xlIjoiIiwibm9uLWRyb3BwaW5nLXBhcnRpY2xlIjoiIn0seyJmYW1pbHkiOiJXYWxrdXAiLCJnaXZlbiI6IkogVCIsInBhcnNlLW5hbWVzIjpmYWxzZSwiZHJvcHBpbmctcGFydGljbGUiOiIiLCJub24tZHJvcHBpbmctcGFydGljbGUiOiIifSx7ImZhbWlseSI6IldpbGhlbG0iLCJnaXZlbiI6IlMiLCJwYXJzZS1uYW1lcyI6ZmFsc2UsImRyb3BwaW5nLXBhcnRpY2xlIjoiIiwibm9uLWRyb3BwaW5nLXBhcnRpY2xlIjoiIn0seyJmYW1pbHkiOiJQZXRlcnNvbiIsImdpdmVuIjoiQSIsInBhcnNlLW5hbWVzIjpmYWxzZSwiZHJvcHBpbmctcGFydGljbGUiOiIiLCJub24tZHJvcHBpbmctcGFydGljbGUiOiIifSx7ImZhbWlseSI6IlNjYWhpbGwiLCJnaXZlbiI6IkwiLCJwYXJzZS1uYW1lcyI6ZmFsc2UsImRyb3BwaW5nLXBhcnRpY2xlIjoiIiwibm9uLWRyb3BwaW5nLXBhcnRpY2xlIjoiIn0seyJmYW1pbHkiOiJQaWFjZW50aW5pIiwiZ2l2ZW4iOiJKIiwicGFyc2UtbmFtZXMiOmZhbHNlLCJkcm9wcGluZy1wYXJ0aWNsZSI6IiIsIm5vbi1kcm9wcGluZy1wYXJ0aWNsZSI6IiJ9XSwiY29udGFpbmVyLXRpdGxlIjoiQ2hpbGQgSGVhbHRoIENhcmUiLCJET0kiOiIxMC4xMDgwLzAyNzM5NjE1LjIwMTQuOTg2MzI4IiwiUE1JRCI6IjI3MTEwMDUwIiwiaXNzdWVkIjp7ImRhdGUtcGFydHMiOltbMjAxNV1dfSwicGFnZSI6IjIzNS0yNDgiLCJhYnN0cmFjdCI6IlRvdXJldHRlJ3MgRGlzb3JkZXIgYW5kIG90aGVyIGNocm9uaWMgdGljIGRpc29yZGVycyBhcmUgY29tbW9uIG5ldXJvZGV2ZWxvcG1lbnRhbCBjb25kaXRpb25zLiBPbmUgY2hhcmFjdGVyaXN0aWMgb2YgdGljIGRpc29yZGVycyBpcyB0aGUgcHJlbW9uaXRvcnkgdXJnZSwgYW4gYXZlcnNpdmUgb3IgdW5wbGVhc2FudCBzZW5zb3J5IHBoZW5vbWVub24gdGhhdCBtYXkgcHJlY2VkZSB0aWNzLiBJbml0aWFsIGV4YW1pbmF0aW9uIG9mIHByZW1vbml0b3J5IHVyZ2UgaW4gcGVkaWF0cmljIHRpYyBkaXNvcmRlcnMgc3VnZ2VzdHMgdGhhdCBhd2FyZW5lc3MgYW5kIGV4cGVyaWVuY2Ugb2Ygc2Vuc2F0aW9ucyBwcmVjZWRpbmcgdGljcyBtYXkgYmUgcmVsYXRlZCB0byBhbnhpZXR5IGFuZCBPQ0QuIEhvd2V2ZXIsIGl0IG1heSBiZSBwb3NzaWJsZSB0aGF0IHNwZWNpZmljIGFueGlldHktcmVsYXRlZCBzeW1wdG9tcywgc3VjaCBhcyBhbnhpb3VzIHBoeXNpb2xvZ2ljIGFyb3VzYWwsIGFyZSBwYXJ0aWN1bGFybHkgcmVsZXZhbnQgdG8gdGhlIGV4cGVyaWVuY2Ugb2YgcHJlbW9uaXRvcnkgdXJnZS4gVGhlIGN1cnJlbnQgc3R1ZHkgZXhhbWluZXMgcmVsYXRpb25zaGlwcyBiZXR3ZWVuIHRpYy1yZWxhdGVkIHByZW1vbml0b3J5IHVyZ2UgYW5kIGFueGlldHktcmVsYXRlZCBzeW1wdG9tIGNsdXN0ZXJzIGluIHRyZWF0bWVudC1zZWVraW5nIHlvdXRocyB3aXRoIGEgcHJpbWFyeSBkaWFnbm9zZXMgb2YgVG91cmV0dGUncyBvciBvdGhlciBjaHJvbmljIHRpYyBkaXNvcmRlci4gVGhlIHNhbXBsZSBjb25zaXN0ZWQgb2YgMTI0IHlvdXRoLCBhZ2VzIDkgdG8gMTcsIHdobyBwYXJ0aWNpcGF0ZWQgaW4gdGhlIG11bHRpLXNpdGUgQ29tcHJlaGVuc2l2ZSBCZWhhdmlvcmFsIEludGVydmVudGlvbiBmb3IgVGljcyByYW5kb21pemVkIGNvbnRyb2xsZWQgdHJpYWwgKENCSVQ7IFBpYWNlbnRpbmkgZXQgYWwuLCAyMDEwKS4gU3BlY2lmaWMgYW54aWV0eS1yZWxhdGVkIHN1YnR5cGVzLCBpbmNsdWRpbmcgZ2VuZXJhbGl6ZWQgd29ycnksIHNlcGFyYXRpb24sIHNvY2lhbCwgYW5kIHBhbmljL3NvbWF0aWMgc3ltcHRvbXMsIGFzIHdlbGwgYXMgc2V2ZXJpdHkgb2Ygb2JzZXNzaW9ucyBhbmQgY29tcHVsc2lvbnMsIHdlcmUgYXNzZXNzZWQgYXMgcG90ZW50aWFsIGNvcnJlbGF0ZXMgb2YgcHJlbW9uaXRvcnkgdXJnZS4gRmluZGluZ3MgaW5kaWNhdGVkIHRoYXQgYWdlLCBnbG9iYWwgdGljLXJlbGF0ZWQgaW1wYWlybWVudCwgYW5kIHNwZWNpZmljIHBhbmljL3NvbWF0aWMgc3ltcHRvbXMgYWNjb3VudGVkIGZvciBhIHN1YnN0YW50aWFsIHByb3BvcnRpb24gb2YgdmFyaWFuY2UgaW4geW91dGggcmVwb3J0IG9mIHByZW1vbml0b3J5IHVyZ2UuIFRoZXNlIGZpbmRpbmdzIHByb3ZpZGUgaW5mb3JtYXRpb24gYWJvdXQgdGhlIGNoYXJhY3RlcmlzdGljcyBvZiBwcmVtb25pdG9yeSB1cmdlIGluIHBlZGlhdHJpYyB0aWMgZGlzb3JkZXJzLCBhbmQgaGF2ZSBpbXBsaWNhdGlvbnMgZm9yIHRoZSB0cmVhdG1lbnQgb2YgcGVkaWF0cmljIHRpYyBzeW5kcm9tZXMuIiwiaXNzdWUiOiIzIiwidm9sdW1lIjoiNDQiLCJjb250YWluZXItdGl0bGUtc2hvcnQiOiIifSwiaXNUZW1wb3JhcnkiOmZhbHNlfSx7ImlkIjoiMzY5YzEwYzctMDE3Ni0zNDIxLTgyYmUtODhjMDAwZDMxYjJhIiwiaXRlbURhdGEiOnsidHlwZSI6ImFydGljbGUtam91cm5hbCIsImlkIjoiMzY5YzEwYzctMDE3Ni0zNDIxLTgyYmUtODhjMDAwZDMxYjJhIiwidGl0bGUiOiJUaGUgcHJlbW9uaXRvcnkgdXJnZSB0byB0aWM6IG1lYXN1cmVtZW50LCBjaGFyYWN0ZXJpc3RpY3MsIGFuZCBjb3JyZWxhdGVzIGluIG9sZGVyIGFkb2xlc2NlbnRzIGFuZCBhZHVsdHMiLCJncm91cElkIjoiMDdkNjJhYzEtNWFhOC0zOWFmLWI0OWUtNTJkMjA4OGFjNTcxIiwiYXV0aG9yIjpbeyJmYW1pbHkiOiJSZWVzZSIsImdpdmVuIjoiSCBFIiwicGFyc2UtbmFtZXMiOmZhbHNlLCJkcm9wcGluZy1wYXJ0aWNsZSI6IiIsIm5vbi1kcm9wcGluZy1wYXJ0aWNsZSI6IiJ9LHsiZmFtaWx5IjoiU2NhaGlsbCIsImdpdmVuIjoiTCIsInBhcnNlLW5hbWVzIjpmYWxzZSwiZHJvcHBpbmctcGFydGljbGUiOiIiLCJub24tZHJvcHBpbmctcGFydGljbGUiOiIifSx7ImZhbWlseSI6IlBldGVyc29uIiwiZ2l2ZW4iOiJBIEwiLCJwYXJzZS1uYW1lcyI6ZmFsc2UsImRyb3BwaW5nLXBhcnRpY2xlIjoiIiwibm9uLWRyb3BwaW5nLXBhcnRpY2xlIjoiIn0seyJmYW1pbHkiOiJDcm93ZSIsImdpdmVuIjoiSyIsInBhcnNlLW5hbWVzIjpmYWxzZSwiZHJvcHBpbmctcGFydGljbGUiOiIiLCJub24tZHJvcHBpbmctcGFydGljbGUiOiIifSx7ImZhbWlseSI6Ildvb2RzIiwiZ2l2ZW4iOiJEIFciLCJwYXJzZS1uYW1lcyI6ZmFsc2UsImRyb3BwaW5nLXBhcnRpY2xlIjoiIiwibm9uLWRyb3BwaW5nLXBhcnRpY2xlIjoiIn0seyJmYW1pbHkiOiJQaWFjZW50aW5pIiwiZ2l2ZW4iOiJKIiwicGFyc2UtbmFtZXMiOmZhbHNlLCJkcm9wcGluZy1wYXJ0aWNsZSI6IiIsIm5vbi1kcm9wcGluZy1wYXJ0aWNsZSI6IiJ9LHsiZmFtaWx5IjoiV2Fsa3VwIiwiZ2l2ZW4iOiJKIFQiLCJwYXJzZS1uYW1lcyI6ZmFsc2UsImRyb3BwaW5nLXBhcnRpY2xlIjoiIiwibm9uLWRyb3BwaW5nLXBhcnRpY2xlIjoiIn0seyJmYW1pbHkiOiJXaWxoZWxtIiwiZ2l2ZW4iOiJTIiwicGFyc2UtbmFtZXMiOmZhbHNlLCJkcm9wcGluZy1wYXJ0aWNsZSI6IiIsIm5vbi1kcm9wcGluZy1wYXJ0aWNsZSI6IiJ9XSwiY29udGFpbmVyLXRpdGxlIjoiQmVoYXYgVGhlciIsIkRPSSI6IjEwLjEwMTYvai5iZXRoLjIwMTMuMDkuMDAyIiwiUE1JRCI6IjI0NDkxMTkzIiwiaXNzdWVkIjp7ImRhdGUtcGFydHMiOltbMjAxNF1dfSwicGFnZSI6IjE3Ny0xODYiLCJhYnN0cmFjdCI6IkluIGFkZGl0aW9uIHRvIG1vdG9yIGFuZC9vciB2b2NhbCB0aWNzLCBtYW55IGluZGl2aWR1YWxzIHdpdGggVG91cmV0dGUgc3luZHJvbWUgKFRTKSBvciBjaHJvbmljIHRpYyBkaXNvcmRlciAoQ1REKSByZXBvcnQgZnJlcXVlbnQsIHVuY29tZm9ydGFibGUgc2Vuc29yeSBwaGVub21lbmEgdGhhdCBpbW1lZGlhdGVseSBwcmVjZWRlIHRoZSB0aWNzLiBUbyBkYXRlLCBleGFtaW5hdGlvbiBvZiB0aGVzZSBwcmVtb25pdG9yeSBzZW5zYXRpb25zIG9yIHVyZ2VzIGhhcyBiZWVuIGxpbWl0ZWQgYnkgaW5jb25zaXN0ZW50IGFzc2Vzc21lbnQgdG9vbHMuIEluIHRoaXMgcGFwZXIsIHdlIGV4YW1pbmUgdGhlIHBzeWNob21ldHJpYyBwcm9wZXJ0aWVzIG9mIGEgbmluZS1pdGVtIHNlbGYtcmVwb3J0IG1lYXN1cmUsIHRoZSBQcmVtb25pdG9yeSBVcmdlIHRvIFRpYyBTY2FsZSAoUFVUUykgYW5kIGV4YW1pbmUgdGhlIGNoYXJhY3RlcmlzdGljcyBhbmQgY29ycmVsYXRlcyBvZiB0aGUgcHJlbW9uaXRvcnkgdXJnZSB0byB0aWMgaW4gYSBjbGluaWNhbCBzYW1wbGUgb2YgMTIyIG9sZGVyIGFkb2xlc2NlbnRzIGFuZCBhZHVsdHMgd2l0aCBUUyBvciBDVEQuIFRoZSBQVVRTIGRlbW9uc3RyYXRlZCBhZGVxdWF0ZSBpbnRlcm5hbCBjb25zaXN0ZW5jeSwgdGVtcG9yYWwgc3RhYmlsaXR5LCBhbmQgY29uY3VycmVudCB2YWxpZGl0eS4gUHJlbW9uaXRvcnkgdXJnZXMgd2VyZSBlbmRvcnNlZCBieSB0aGUgbWFqb3JpdHkgb2YgaW5kaXZpZHVhbHMuIE1vc3QgaW5kaXZpZHVhbHMgcmVwb3J0ZWQgc29tZSByZWxpZWYgZnJvbSB0aGUgdXJnZXMgYWZ0ZXIgY29tcGxldGluZyBhIHRpYyBhbmQgYmVpbmcgYWJsZSB0byBzdG9wIHRoZWlyIHRpY3MgZXZlbiBpZiBvbmx5IHRlbXBvcmFyaWx5LiBEZWdyZWUgb2YgcHJlbW9uaXRvcnkgdXJnZXMgd2FzIG5vdCBzaWduaWZpY2FudGx5IGNvcnJlbGF0ZWQgd2l0aCBhZ2UsIGFuZCB3ZSBkaWQgbm90IG9ic2VydmUgYW55IGdlbmRlciBkaWZmZXJlbmNlcy4gRGVncmVlIG9mIHByZW1vbml0b3J5IHVyZ2VzIHdhcyBzaWduaWZpY2FudGx5IGNvcnJlbGF0ZWQgd2l0aCBlc3RpbWF0ZWQgSVEgYW5kIHRpYyBzZXZlcml0eSwgYnV0IG5vdCBzZXZlcml0eSBvZiBjb21vcmJpZCBvYnNlc3NpdmUtY29tcHVsc2l2ZSBkaXNvcmRlciBvciBhdHRlbnRpb24tZGVmaWNpdCBoeXBlcmFjdGl2aXR5IGRpc29yZGVyLiBBbHNvLCBpdCB3YXMgbm90IHJlbGF0ZWQgdG8gY29uY29taXRhbnQgbWVkaWNhdGlvbiBzdGF0dXMuIFRoZXNlIGZpbmRpbmdzIHJlcHJlc2VudCBhbm90aGVyIHN0ZXAgZm9yd2FyZCBpbiBvdXIgdW5kZXJzdGFuZGluZyBvZiB0aGUgcHJlbW9uaXRvcnkgc2Vuc2F0aW9ucyBhc3NvY2lhdGVkIHdpdGggVFMgYW5kIENURC4iLCJpc3N1ZSI6IjIiLCJ2b2x1bWUiOiI0NSIsImNvbnRhaW5lci10aXRsZS1zaG9ydCI6IiJ9LCJpc1RlbXBvcmFyeSI6ZmFsc2V9LHsiaWQiOiI3YjdkYzM1OC1mYjE0LTM5ZmEtOWQyNC03MmQ2OTJlODQ4NzUiLCJpdGVtRGF0YSI6eyJ0eXBlIjoiYXJ0aWNsZS1qb3VybmFsIiwiaWQiOiI3YjdkYzM1OC1mYjE0LTM5ZmEtOWQyNC03MmQ2OTJlODQ4NzUiLCJ0aXRsZSI6IkludGVyb2NlcHRpdmUgQWNjdXJhY3kgaW4gWW91dGggd2l0aCBUaWMgRGlzb3JkZXJzOiBFeHBsb3JpbmcgTGlua3Mgd2l0aCBQcmVtb25pdG9yeSBVcmdlLCBBbnhpZXR5IGFuZCBRdWFsaXR5IG9mIExpZmUiLCJncm91cElkIjoiMDdkNjJhYzEtNWFhOC0zOWFmLWI0OWUtNTJkMjA4OGFjNTcxIiwiYXV0aG9yIjpbeyJmYW1pbHkiOiJQaWxlIiwiZ2l2ZW4iOiJWIiwicGFyc2UtbmFtZXMiOmZhbHNlLCJkcm9wcGluZy1wYXJ0aWNsZSI6IiIsIm5vbi1kcm9wcGluZy1wYXJ0aWNsZSI6IiJ9LHsiZmFtaWx5IjoiTGF1IiwiZ2l2ZW4iOiJKIFkgRiIsInBhcnNlLW5hbWVzIjpmYWxzZSwiZHJvcHBpbmctcGFydGljbGUiOiIiLCJub24tZHJvcHBpbmctcGFydGljbGUiOiIifSx7ImZhbWlseSI6IlRvcG9yIiwiZ2l2ZW4iOiJNIiwicGFyc2UtbmFtZXMiOmZhbHNlLCJkcm9wcGluZy1wYXJ0aWNsZSI6IiIsIm5vbi1kcm9wcGluZy1wYXJ0aWNsZSI6IiJ9LHsiZmFtaWx5IjoiSGVkZGVybHkiLCJnaXZlbiI6IlQiLCJwYXJzZS1uYW1lcyI6ZmFsc2UsImRyb3BwaW5nLXBhcnRpY2xlIjoiIiwibm9uLWRyb3BwaW5nLXBhcnRpY2xlIjoiIn0seyJmYW1pbHkiOiJSb2JpbnNvbiIsImdpdmVuIjoiUyIsInBhcnNlLW5hbWVzIjpmYWxzZSwiZHJvcHBpbmctcGFydGljbGUiOiIiLCJub24tZHJvcHBpbmctcGFydGljbGUiOiIifV0sImNvbnRhaW5lci10aXRsZSI6IkogQXV0aXNtIERldiBEaXNvcmQiLCJET0kiOiIxMC4xMDA3L3MxMDgwMy0wMTgtMzYwOC04IiwiUE1JRCI6IjI5Nzc3NDczIiwiVVJMIjoiaHR0cHM6Ly9saW5rLnNwcmluZ2VyLmNvbS9jb250ZW50L3BkZi8xMC4xMDA3L3MxMDgwMy0wMTgtMzYwOC04LnBkZiIsImlzc3VlZCI6eyJkYXRlLXBhcnRzIjpbWzIwMThdXX0sInBhZ2UiOiIzNDc0LTM0ODIiLCJhYnN0cmFjdCI6IkFiZXJyYW50IGludGVyb2NlcHRpdmUgYWNjdXJhY3kgY291bGQgY29udHJpYnV0ZSB0byB0aGUgY28tb2NjdXJyZW5jZSBvZiBhbnhpZXR5IGFuZCBwcmVtb25pdG9yeSB1cmdlIGluIGNocm9uaWMgdGljIGRpc29yZGVycyAoQ1REKS4gSWYgaXQgY2FuIGJlIG1hbmlwdWxhdGVkIHRocm91Z2ggaW50ZXJ2ZW50aW9uLCBpdCB3b3VsZCBvZmZlciBhIHRyYW5zZGlhZ25vc3RpYyB0cmVhdG1lbnQgdGFyZ2V0IGZvciB0aWNzIGFuZCBhbnhpZXR5LiBJbnRlcm9jZXB0aXZlIGFjY3VyYWN5IHdhcyBmaXJzdCBhc3Nlc3NlZCBjb25zaXN0ZW50IHdpdGggcHJldmlvdXMgcHJvdG9jb2xzIGFuZCB0aGVuIHJlLWFzc2Vzc2VkIGZvbGxvd2luZyBhbiBpbnN0cnVjdGlvbiBhdHRlbXB0aW5nIHRvIGV4cGVyaW1lbnRhbGx5IGVuaGFuY2UgYXdhcmVuZXNzLiBUaGUgQ1REIGdyb3VwIGRlbW9uc3RyYXRlZCBsb3dlciBpbnRlcm9jZXB0aXZlIGFjY3VyYWN5IHRoYW4gY29udHJvbHMgYnV0LCBpbXBvcnRhbnRseSwgdGhpcyBncm91cCBkaWZmZXJlbmNlIHdhcyBubyBsb25nZXIgc2lnbmlmaWNhbnQgZm9sbG93aW5nIGluc3RydWN0aW9uLiBJbiB0aGUgQ1REIGdyb3VwLCBiZXR0ZXIgaW50ZXJvY2VwdGl2ZSBhY2N1cmFjeSB3YXMgYXNzb2NpYXRlZCB3aXRoIGhpZ2hlciBhbnhpZXR5IGFuZCBsb3dlciBxdWFsaXR5IG9mIGxpZmUsIGJ1dCBub3Qgd2l0aCBwcmVtb25pdG9yeSB1cmdlLiBBYmVycmFudCBpbnRlcm9jZXB0aXZlIGFjY3VyYWN5IG1heSByZXByZXNlbnQgYW4gdW5kZXJseWluZyB0cmFpdCBpbiBDVEQgdGhhdCBjYW4gYmUgbWFuaXB1bGF0ZWQsIGFuZCByZWxhdGVzIHRvIGFueGlldHkgYW5kIHF1YWxpdHkgb2YgbGlmZS4iLCJpc3N1ZSI6IjEwIiwidm9sdW1lIjoiNDgiLCJjb250YWluZXItdGl0bGUtc2hvcnQiOiIifSwiaXNUZW1wb3JhcnkiOmZhbHNlfSx7ImlkIjoiY2EyNGMzYTItOGY0MS0zN2NhLWIwMTQtYjEwZDI5YmJhZjAzIiwiaXRlbURhdGEiOnsidHlwZSI6ImFydGljbGUtam91cm5hbCIsImlkIjoiY2EyNGMzYTItOGY0MS0zN2NhLWIwMTQtYjEwZDI5YmJhZjAzIiwidGl0bGUiOiJQcmVtb25pdG9yeSBVcmdlcyBhbmQgVGhlaXIgTGluayBXaXRoIFRpYyBTZXZlcml0eSBpbiBDaGlsZHJlbiBhbmQgQWRvbGVzY2VudHMgV2l0aCBUaWMgRGlzb3JkZXJzIiwiZ3JvdXBJZCI6IjA3ZDYyYWMxLTVhYTgtMzlhZi1iNDllLTUyZDIwODhhYzU3MSIsImF1dGhvciI6W3siZmFtaWx5IjoiS3lyaWF6aSIsImdpdmVuIjoiTSIsInBhcnNlLW5hbWVzIjpmYWxzZSwiZHJvcHBpbmctcGFydGljbGUiOiIiLCJub24tZHJvcHBpbmctcGFydGljbGUiOiIifSx7ImZhbWlseSI6IkthbHl2YSIsImdpdmVuIjoiRSIsInBhcnNlLW5hbWVzIjpmYWxzZSwiZHJvcHBpbmctcGFydGljbGUiOiIiLCJub24tZHJvcHBpbmctcGFydGljbGUiOiIifSx7ImZhbWlseSI6IlZhcmdpYW1pIiwiZ2l2ZW4iOiJFIiwicGFyc2UtbmFtZXMiOmZhbHNlLCJkcm9wcGluZy1wYXJ0aWNsZSI6IiIsIm5vbi1kcm9wcGluZy1wYXJ0aWNsZSI6IiJ9LHsiZmFtaWx5IjoiS3Jpa29uaXMiLCJnaXZlbiI6IksiLCJwYXJzZS1uYW1lcyI6ZmFsc2UsImRyb3BwaW5nLXBhcnRpY2xlIjoiIiwibm9uLWRyb3BwaW5nLXBhcnRpY2xlIjoiIn0seyJmYW1pbHkiOiJaYWZlaXJpb3UiLCJnaXZlbiI6IkQiLCJwYXJzZS1uYW1lcyI6ZmFsc2UsImRyb3BwaW5nLXBhcnRpY2xlIjoiIiwibm9uLWRyb3BwaW5nLXBhcnRpY2xlIjoiIn1dLCJjb250YWluZXItdGl0bGUiOiJGcm9udCBQc3ljaGlhdHJ5IiwiRE9JIjoiMTAuMzM4OS9mcHN5dC4yMDE5LjAwNTY5IiwiUE1JRCI6IjMxNDc0ODg1IiwiaXNzdWVkIjp7ImRhdGUtcGFydHMiOltbMjAxOV1dfSwicGFnZSI6IjU2OSIsImFic3RyYWN0IjoiVGljcyB3YXggYW5kIHdhbmUgcmVnYXJkaW5nIHRoZWlyIHNldmVyaXR5LCB3aGlsZSB0aGVpciBleHByZXNzaW9uIGlzIGFmZmVjdGVkIGJ5IG5vbi1tb3RvciBzZW5zb3J5IG9yIGNvZ25pdGl2ZSBlbGVtZW50cyB0aGF0IGFyZSBtb3N0bHkga25vd24gYXMgXCJwcmVtb25pdG9yeSB1cmdlcy5cIiBTaW5jZSBwcmVtb25pdG9yeSB1cmdlcyBhcmUgb2Z0ZW4gdXNlZCBpbiBub24tcGhhcm1hY29sb2dpY2FsIGludGVydmVudGlvbnMgdG8gZGVjcmVhc2UgdGljIHNldmVyaXR5LCBpdCBpcyBvZiBpbnRlcmVzdCBpbiB0aGUgcHJlc2VudCBzdHVkeSB0byBleGFtaW5lIHdoZXRoZXIgcHJlbW9uaXRvcnkgdXJnZXMgY2FuIGFjdHVhbGx5IHByZWRpY3QgdGljIHNldmVyaXR5LiBGaWZ0eS10d28gY2hpbGRyZW4gYW5kIGFkb2xlc2NlbnRzIGRpYWdub3NlZCB3aXRoIHRpY3MgYW5kIFRvdXJldHRlIHN5bmRyb21lICgyOSBjaGlsZHJlbiB3aXRoIHByb3Zpc2lvbmFsIHRpYyBkaXNvcmRlciwgMTYgY2hpbGRyZW4gd2l0aCBjaHJvbmljIG1vdG9yIHRpYyBkaXNvcmRlciwgYW5kIDcgY2hpbGRyZW4gd2l0aCBUb3VyZXR0ZSBzeW5kcm9tZSkgd2VyZSBpbmNsdWRlZCBpbiB0aGUgc3R1ZHkuIFRoZWlyIGFnZSByYW5nZWQgYmV0d2VlbiA2IGFuZCAxNS43IHllYXJzIChtZWFuIGFnZSA5IHllYXJzIGFuZCAyIG1vbnRocykuIEFsbCBwYXJ0aWNpcGFudHMgY29tcGxldGVkIHRoZSBZR1RTUyAoWWFsZSBHbG9iYWwgVGljIFNldmVyaXR5IFNjYWxlKSBpbiBvcmRlciB0byBhc3Nlc3MgdGljIHNldmVyaXR5IGFuZCB0aGUgUHJlbW9uaXRvcnkgVXJnZSBmb3IgVGljcyBTY2FsZSAoUFVUUykgdG8gbWVhc3VyZSBwcmVtb25pdG9yeSB1cmdlcyAoUFUpLiBSZWdyZXNzaW9uIGFuYWx5c2lzIHJldmVhbGVkIHRoYXQgUFUgd2VyZSBwcmVzZW50IGF0IGEgaGlnaGVyIHJhdGUgaW4gb2xkZXIgc3ViamVjdHMgKD4xMiB5ZWFycyBvZiBhZ2UpIHRoYW4gaW4geW91bmdlciBjaGlsZHJlbiBhbmQgd2l0aCBhIGhpZ2hlciBsZXZlbCBvZiB0aWMgc2V2ZXJpdHkuIEFsdGhvdWdoIHRoZSBwcmVzZW5jZSBvZiBQVSB3YXMgYXNzb2NpYXRlZCB3aXRoIHRpYyBzZXZlcml0eSBhY3Jvc3MgdGhlIGVudGlyZSBhZ2UgcmFuZ2UsIHRoZXJlIHdhcyBhIHN0cm9uZ2VyIGFzc29jaWF0aW9uIGJldHdlZW4gUFUgYW5kIHRpYyBzZXZlcml0eSBpbiBvbGRlciBjaGlsZHJlbi4gQSBiZXR0ZXIgaW5zaWdodCBpbnRvIHRoZSBwYXRob3BoeXNpb2xvZ3kgb2YgcHJlbW9uaXRvcnkgdXJnZXMgY291bGQgcG9zc2libHkgbGVhZCB0byB0aGUgaWRlbnRpZmljYXRpb24gb2YgbmV3IHRoZXJhcGV1dGljIG1vZGFsaXRpZXMgdGFyZ2V0aW5nIHRoZSBzZW5zb3J5IGluaXRpYXRvcnMgb2YgdGljcyBpbiBmdXR1cmUgcmVzZWFyY2guIiwidm9sdW1lIjoiMTAiLCJjb250YWluZXItdGl0bGUtc2hvcnQiOiIifSwiaXNUZW1wb3JhcnkiOmZhbHNlfSx7ImlkIjoiYmRmOTJhNGYtZGZmMy0zM2JhLWFmM2YtZjYyYjFiMjE5ODFmIiwiaXRlbURhdGEiOnsidHlwZSI6ImFydGljbGUtam91cm5hbCIsImlkIjoiYmRmOTJhNGYtZGZmMy0zM2JhLWFmM2YtZjYyYjFiMjE5ODFmIiwidGl0bGUiOiJEZXZlbG9wbWVudCBvZiB0aGUgS29yZWFuIEZvcm0gb2YgdGhlIFByZW1vbml0b3J5IFVyZ2UgZm9yIFRpY3MgU2NhbGU6IEEgUmVsaWFiaWxpdHkgYW5kIFZhbGlkaXR5IFN0dWR5IiwiZ3JvdXBJZCI6IjA3ZDYyYWMxLTVhYTgtMzlhZi1iNDllLTUyZDIwODhhYzU3MSIsImF1dGhvciI6W3siZmFtaWx5IjoiS2ltIiwiZ2l2ZW4iOiJNIiwicGFyc2UtbmFtZXMiOmZhbHNlLCJkcm9wcGluZy1wYXJ0aWNsZSI6IiIsIm5vbi1kcm9wcGluZy1wYXJ0aWNsZSI6IiJ9LHsiZmFtaWx5IjoiQ2h1bmciLCJnaXZlbiI6IlMgSyIsInBhcnNlLW5hbWVzIjpmYWxzZSwiZHJvcHBpbmctcGFydGljbGUiOiIiLCJub24tZHJvcHBpbmctcGFydGljbGUiOiIifSx7ImZhbWlseSI6IllhbmciLCJnaXZlbiI6IkogQyIsInBhcnNlLW5hbWVzIjpmYWxzZSwiZHJvcHBpbmctcGFydGljbGUiOiIiLCJub24tZHJvcHBpbmctcGFydGljbGUiOiIifSx7ImZhbWlseSI6IlBhcmsiLCJnaXZlbiI6IkogSSIsInBhcnNlLW5hbWVzIjpmYWxzZSwiZHJvcHBpbmctcGFydGljbGUiOiIiLCJub24tZHJvcHBpbmctcGFydGljbGUiOiIifSx7ImZhbWlseSI6Ik5hbSIsImdpdmVuIjoiUyBIIiwicGFyc2UtbmFtZXMiOmZhbHNlLCJkcm9wcGluZy1wYXJ0aWNsZSI6IiIsIm5vbi1kcm9wcGluZy1wYXJ0aWNsZSI6IiJ9LHsiZmFtaWx5IjoiUGFyayIsImdpdmVuIjoiVCBXIiwicGFyc2UtbmFtZXMiOmZhbHNlLCJkcm9wcGluZy1wYXJ0aWNsZSI6IiIsIm5vbi1kcm9wcGluZy1wYXJ0aWNsZSI6IiJ9XSwiY29udGFpbmVyLXRpdGxlIjoiU29hIENob25nc29ueW9uIENob25nc2luIFVpaGFrIiwiRE9JIjoiMTAuNTc2NS9qa2FjYXAuMjAwMDEzIiwiUE1JRCI6IjMyNjY1NzU4IiwiVVJMIjoiaHR0cHM6Ly93d3cubmNiaS5ubG0ubmloLmdvdi9wbWMvYXJ0aWNsZXMvUE1DNzM1MDU0NS9wZGYvSktBQ0FQLTMxLTE0Ni5wZGYiLCJpc3N1ZWQiOnsiZGF0ZS1wYXJ0cyI6W1syMDIwXV19LCJwYWdlIjoiMTQ2LTE1MyIsImFic3RyYWN0IjoiT0JKRUNUSVZFUzogVGhpcyBzdHVkeSBhaW1lZCB0byBldmFsdWF0ZSB0aGUgcmVsaWFiaWxpdHkgYW5kIHZhbGlkaXR5IG9mIHRoZSBLb3JlYW4gRm9ybSBvZiB0aGUgUHJlbW9uaXRvcnkgVXJnZSBmb3IgVGljcyBTY2FsZSAoSy1QVVRTKS4gTUVUSE9EUzogVGhpcnR5LWVpZ2h0IHBhdGllbnRzIHdpdGggVG91cmV0dGUncyBkaXNvcmRlciB3aG8gdmlzaXRlZCBKZW9uYnVrIE5hdGlvbmFsIFVuaXZlcnNpdHkgSG9zcGl0YWwgd2VyZSBhc3Nlc3NlZCB3aXRoIHRoZSBLLVBVVFMuIFRvZ2V0aGVyIHdpdGggdGhlIFBVVFMsIHRoZSBZYWxlIEdsb2JhbCBUaWMgU2V2ZXJpdHkgU2NhbGUgKFlHVFNTKSwgdGhlIENoaWxkcmVuJ3MgWWFsZS1Ccm93biBPYnNlc3NpdmUgQ29tcHVsc2l2ZSBTY2FsZSAoQ1ktQk9DUyksIHRoZSBhdHRlbnRpb24tZGVmaWNpdC9oeXBlcmFjdGl2aXR5IGRpc29yZGVyIChBREhEKSByYXRpbmcgc2NhbGUgKEFSUyksIGFuZCB0aGUgQWR1bHQgQURIRCBTZWxmLVJlcG9ydCBTY2FsZSAoQVNSUykgd2VyZSBpbXBsZW1lbnRlZCB0byBldmFsdWF0ZSBjb25jdXJyZW50IGFuZCBkaXNjcmltaW5hbnQgdmFsaWRpdHkuIFJFU1VMVFM6IFRoZSBpbnRlcm5hbCBjb25zaXN0ZW5jeSBvZiBpdGVtcyBvbiB0aGUgUFVUUyB3YXMgaGlnaCwgd2l0aCBhIENyb25iYWNoJ3MgzrEgb2YgMC43OS4gVGhlIHRlc3QtcmV0ZXN0IHJlbGlhYmlsaXR5IG9mIHRoZSBQVVRTLCB3aGljaCB3YXMgYWRtaW5pc3RlcmVkIGF0IDIgd2Vla3MgdG8gMiBtb250aHMgaW50ZXJ2YWxzLCBzaG93ZWQgaGlnaCByZWxpYWJpbGl0eSB3aXRoIGEgUGVhcnNvbiBjb3JyZWxhdGlvbiBjb2VmZmljaWVudCBvZiAwLjYwLiBUaGVyZSB3YXMgYSBzaWduaWZpY2FudCBwb3NpdGl2ZSBjb3JyZWxhdGlvbiBiZXR3ZWVuIHRoZSBvdmVyYWxsIFBVVFMgc2NvcmUgYW5kIHRoZSBZR1RTUyBzY29yZSwgc2hvd2luZyBjb25jdXJyZW50IHZhbGlkaXR5LiBUaGVyZSB3YXMgbm8gY29ycmVsYXRpb24gYmV0d2VlbiB0aGUgUFVUUywgQ1ktQk9DUywgYW5kIEFTUlMgc2NvcmVzLCBkZW1vbnN0cmF0aW5nIHRoZSBkaXNjcmltaW5hbnQgdmFsaWRpdHkgb2YgdGhlIFBVVFMuIEZhY3RvciBhbmFseXNpcyBmb3IgY29uc3RydWN0IHZhbGlkaXR5IHJldmVhbGVkIHRocmVlIGZhY3RvcnM6IFwicHJlc3VtZWQgZnVuY3Rpb25hbCByZWxhdGlvbnNoaXAgYmV0d2VlbiB0aGUgdGljIGFuZCB0aGUgdXJnZSB0byB0aWMsXCIgXCJ0aGUgcXVhbGl0eSBvZiB0aGUgcHJlbW9uaXRvcnkgdXJnZSxcIiBhbmQgXCJqdXN0IHJpZ2h0IHBoZW5vbWVuYS5cIiBDT05DTFVTSU9OOiBUaGUgcmVzdWx0cyBvZiB0aGlzIHN0dWR5IGluZGljYXRlIHRoYXQgdGhlIEstUFVUUyBpcyBhIHJlbGlhYmxlIGFuZCB2YWxpZCBzY2FsZSBmb3IgcmF0aW5nIHByZW1vbml0b3J5IHVyZ2Ugb2YgdGljcy4iLCJpc3N1ZSI6IjMiLCJ2b2x1bWUiOiIzMSIsImNvbnRhaW5lci10aXRsZS1zaG9ydCI6IiJ9LCJpc1RlbXBvcmFyeSI6ZmFsc2V9LHsiaWQiOiJhMmNhOTVmMS1mYTVmLTNjNGQtOWUyZC1jN2MzODlhOWM0OTEiLCJpdGVtRGF0YSI6eyJ0eXBlIjoiYXJ0aWNsZS1qb3VybmFsIiwiaWQiOiJhMmNhOTVmMS1mYTVmLTNjNGQtOWUyZC1jN2MzODlhOWM0OTEiLCJ0aXRsZSI6IlByZW1vbml0b3J5IHVyZ2VzIGZvciB0aWNzIGluIGFkdWx0IHBhdGllbnRzIHdpdGggVG91cmV0dGUgc3luZHJvbWUiLCJncm91cElkIjoiMDdkNjJhYzEtNWFhOC0zOWFmLWI0OWUtNTJkMjA4OGFjNTcxIiwiYXV0aG9yIjpbeyJmYW1pbHkiOiJDcm9zc2xleSIsImdpdmVuIjoiRSIsInBhcnNlLW5hbWVzIjpmYWxzZSwiZHJvcHBpbmctcGFydGljbGUiOiIiLCJub24tZHJvcHBpbmctcGFydGljbGUiOiIifSx7ImZhbWlseSI6IlNlcmkiLCJnaXZlbiI6IlMiLCJwYXJzZS1uYW1lcyI6ZmFsc2UsImRyb3BwaW5nLXBhcnRpY2xlIjoiIiwibm9uLWRyb3BwaW5nLXBhcnRpY2xlIjoiIn0seyJmYW1pbHkiOiJTdGVybiIsImdpdmVuIjoiSiBTIiwicGFyc2UtbmFtZXMiOmZhbHNlLCJkcm9wcGluZy1wYXJ0aWNsZSI6IiIsIm5vbi1kcm9wcGluZy1wYXJ0aWNsZSI6IiJ9LHsiZmFtaWx5IjoiUm9iZXJ0c29uIiwiZ2l2ZW4iOiJNIE0iLCJwYXJzZS1uYW1lcyI6ZmFsc2UsImRyb3BwaW5nLXBhcnRpY2xlIjoiIiwibm9uLWRyb3BwaW5nLXBhcnRpY2xlIjoiIn0seyJmYW1pbHkiOiJDYXZhbm5hIiwiZ2l2ZW4iOiJBIEUiLCJwYXJzZS1uYW1lcyI6ZmFsc2UsImRyb3BwaW5nLXBhcnRpY2xlIjoiIiwibm9uLWRyb3BwaW5nLXBhcnRpY2xlIjoiIn1dLCJjb250YWluZXItdGl0bGUiOiJCcmFpbiBEZXYiLCJET0kiOiIxMC4xMDE2L2ouYnJhaW5kZXYuMjAxMi4xMi4wMTAiLCJQTUlEIjoiMjMzNjk4MzAiLCJVUkwiOiJodHRwczovL3d3dy5icmFpbmFuZGRldmVsb3BtZW50LmNvbS9hcnRpY2xlL1MwMzg3LTc2MDQoMTMpMDAwMDItOC9mdWxsdGV4dCIsImlzc3VlZCI6eyJkYXRlLXBhcnRzIjpbWzIwMTRdXX0sInBhZ2UiOiI0NS01MCIsImFic3RyYWN0IjoiT0JKRUNUSVZFOiBQYXRpZW50cyB3aXRoIFRvdXJldHRlIHN5bmRyb21lIChUUykgb2Z0ZW4gcmVwb3J0IGNoYXJhY3RlcmlzdGljIHNlbnNvcnkgZXhwZXJpZW5jZXMsIGFsc28gY2FsbGVkIHByZW1vbml0b3J5IHVyZ2VzIChQVXMpLCB3aGljaCBwcmVjZWRlIHRpYyBleHByZXNzaW9uIGFuZCBoYXZlIGhpZ2ggZGlhZ25vc3RpYyByZWxldmFuY2UuIFRoaXMgc3R1ZHkgaW52ZXN0aWdhdGVkIHRoZSB1c2VmdWxuZXNzIG9mIGEgc2NhbGUgZGV2ZWxvcGVkIGFuZCB2YWxpZGF0ZWQgaW4gY2hpbGRyZW4gYW5kIGFkb2xlc2NlbnRzLXRoZSBQcmVtb25pdG9yeSBVcmdlIGZvciBUaWNzIFNjYWxlIChQVVRTLCBXb29kcyBldCBhbC4sIDIwMDUgWzEzXSktZm9yIHRoZSBhc3Nlc3NtZW50IG9mIFBVcyBpbiBhZHVsdCBwYXRpZW50cyB3aXRoIFRTLiBNRVRIT0Q6IFN0YW5kYXJkIHN0YXRpc3RpY2FsIG1ldGhvZHMgd2VyZSBhcHBsaWVkIHRvIHRlc3QgdGhlIHBzeWNob21ldHJpYyBwcm9wZXJ0aWVzIG9mIHRoZSBQVVRTIGluIDEwMiBhZHVsdCBUUyBvdXRwYXRpZW50cyByZWNydWl0ZWQgZnJvbSB0d28gc3BlY2lhbGlzdCBjbGluaWNzIGluIHRoZSBVbml0ZWQgS2luZ2RvbS4gUkVTVUxUUzogVGhlIFBVVFMgc2hvd2VkIGdvb2QgYWNjZXB0YWJpbGl0eSBhbmQgZW5kb3JzZW1lbnQgcmF0ZXMsIHdpdGggZXZlbmx5IGRpc3RyaWJ1dGVkIHNjb3JlcyBhbmQgbG93IGZsb29yIGFuZCBjZWlsaW5nIGVmZmVjdHMuIEl0ZW0tdG90YWwgY29ycmVsYXRpb25zIHdlcmUgbW9kZXJhdGUgdG8gc3Ryb25nOyBQVVRTIHRvdGFsIHNjb3JlcyB3ZXJlIHNpZ25pZmljYW50bHkgY29ycmVsYXRlZCB3aXRoIHF1YW50aXRhdGl2ZSBtZWFzdXJlcyBvZiBUUyBzZXZlcml0eS4gVGhlIFBVVFMgc2hvd2VkIGV4Y2VsbGVudCBpbnRlcm5hbCBjb25zaXN0ZW5jeSByZWxpYWJpbGl0eSAoQ3JvbmJhY2gncyBhbHBoYT0wLjg1KSBhbmQgU3BlYXJtYW4ncyBjb3JyZWxhdGlvbnMgZGVtb25zdHJhdGVkIHNhdGlzZmFjdG9yeSBjb252ZXJnZW50IGFuZCBkaXNjcmltaW5hbnQgdmFsaWRpdHkuIENPTkNMVVNJT05TOiBBbHRob3VnaCBvcmlnaW5hbGx5IGRldmlzZWQgdG8gYXNzZXNzIHVyZ2VzIHRvIHRpYyBpbiB5b3VuZyBwYXRpZW50cyB3aXRoIFRTLCB0aGUgUFVUUyBkZW1vbnN0cmF0ZWQgZ29vZCBwc3ljaG9tZXRyaWMgcHJvcGVydGllcyBpbiBhIGxhcmdlIHNhbXBsZSBvZiBhZHVsdHMgcmVjcnVpdGVkIGF0IHNwZWNpYWxpc3QgVFMgY2xpbmljcy4gVGhpcyBpbnN0cnVtZW50IGlzIHRoZXJlZm9yZSByZWNvbW1lbmRlZCBmb3IgdXNlIGFjcm9zcyB0aGUgbGlmZSBzcGFuIGFzIGEgdmFsaWQgYW5kIHJlbGlhYmxlIHNlbGYtcmVwb3J0IG1lYXN1cmUgb2Ygc2Vuc29yeSBleHBlcmllbmNlcyBhY2NvbXBhbnlpbmcgdGljIGV4cHJlc3Npb24uIiwiaXNzdWUiOiIxIiwidm9sdW1lIjoiMzYiLCJjb250YWluZXItdGl0bGUtc2hvcnQiOiIifSwiaXNUZW1wb3JhcnkiOmZhbHNlfSx7ImlkIjoiZDJlZDZmNmEtNzQ0OS0zNTMxLTg2MTktMGMzMjFiZmY3ZjM4IiwiaXRlbURhdGEiOnsidHlwZSI6ImFydGljbGUtam91cm5hbCIsImlkIjoiZDJlZDZmNmEtNzQ0OS0zNTMxLTg2MTktMGMzMjFiZmY3ZjM4IiwidGl0bGUiOiJTZW5zb3J5IGh5cGVyc2Vuc2l0aXZpdHkgc2V2ZXJpdHkgYW5kIGFzc29jaWF0aW9uIHdpdGggb2JzZXNzaXZlLWNvbXB1bHNpdmUgc3ltcHRvbXMgaW4gYWR1bHRzIHdpdGggdGljIGRpc29yZGVyIiwiZ3JvdXBJZCI6IjA3ZDYyYWMxLTVhYTgtMzlhZi1iNDllLTUyZDIwODhhYzU3MSIsImF1dGhvciI6W3siZmFtaWx5IjoiSXNhYWNzIiwiZ2l2ZW4iOiJEYXZpZCIsInBhcnNlLW5hbWVzIjpmYWxzZSwiZHJvcHBpbmctcGFydGljbGUiOiIiLCJub24tZHJvcHBpbmctcGFydGljbGUiOiIifSx7ImZhbWlseSI6IktleSIsImdpdmVuIjoiQWxleGFuZHJhIFAuIiwicGFyc2UtbmFtZXMiOmZhbHNlLCJkcm9wcGluZy1wYXJ0aWNsZSI6IiIsIm5vbi1kcm9wcGluZy1wYXJ0aWNsZSI6IiJ9LHsiZmFtaWx5IjoiQ2FzY2lvIiwiZ2l2ZW4iOiJDYXJpc3NhIEouIiwicGFyc2UtbmFtZXMiOmZhbHNlLCJkcm9wcGluZy1wYXJ0aWNsZSI6IiIsIm5vbi1kcm9wcGluZy1wYXJ0aWNsZSI6IiJ9LHsiZmFtaWx5IjoiQ29ubGV5IiwiZ2l2ZW4iOiJBbGV4YW5kZXIgQy4iLCJwYXJzZS1uYW1lcyI6ZmFsc2UsImRyb3BwaW5nLXBhcnRpY2xlIjoiIiwibm9uLWRyb3BwaW5nLXBhcnRpY2xlIjoiIn0seyJmYW1pbHkiOiJXYWxrZXIiLCJnaXZlbiI6IkhhcnJpc29uIEMuIiwicGFyc2UtbmFtZXMiOmZhbHNlLCJkcm9wcGluZy1wYXJ0aWNsZSI6IiIsIm5vbi1kcm9wcGluZy1wYXJ0aWNsZSI6IiJ9LHsiZmFtaWx5IjoiV2FsbGFjZSIsImdpdmVuIjoiTWFyayBULiIsInBhcnNlLW5hbWVzIjpmYWxzZSwiZHJvcHBpbmctcGFydGljbGUiOiIiLCJub24tZHJvcHBpbmctcGFydGljbGUiOiIifSx7ImZhbWlseSI6IkNsYWFzc2VuIiwiZ2l2ZW4iOiJEYW5pZWwgTy4iLCJwYXJzZS1uYW1lcyI6ZmFsc2UsImRyb3BwaW5nLXBhcnRpY2xlIjoiIiwibm9uLWRyb3BwaW5nLXBhcnRpY2xlIjoiIn1dLCJjb250YWluZXItdGl0bGUiOiJOZXVyb3BzeWNoaWF0cmljIERpc2Vhc2UgYW5kIFRyZWF0bWVudCIsIkRPSSI6IjEwLjIxNDcvTkRULlMyNzQxNjUiLCJJU1NOIjoiMTE3ODIwMjEiLCJpc3N1ZWQiOnsiZGF0ZS1wYXJ0cyI6W1syMDIwXV19LCJwYWdlIjoiMjU5MS0yNjAxIiwiYWJzdHJhY3QiOiJCYWNrZ3JvdW5kOiBTZW5zb3J5IGh5cGVyc2Vuc2l0aXZpdHksIGRlZmluZWQgYXMgaGVpZ2h0ZW5lZCBhd2FyZW5lc3Mgb2YgYW5kIHJlYWN0aXZpdHkgdG8gZXh0ZXJuYWwgc3RpbXVsaSwgaXMgYSBib3RoZXJzb21lIHN5bXB0b20gdGhhdCBhZmZlY3RzIHVwIHRvIDgwJSBvZiBhZHVsdHMgd2l0aCBUb3VyZXR0ZSBzeW5kcm9tZSAoVFMpLiBTdWNoIHdpZGVzcHJlYWQgcHJldmFsZW5jZSBzdWdnZXN0cyBzZW5zb3J5IGh5cGVyc2Vuc2l0aXZpdHkgaXMgYSBjb3JlIGZlYXR1cmUgb2YgdGhlIGRpc29yZGVyLCBidXQgaXRzIHNldmVyaXR5IGFuZCBhc3NvY2lhdGlvbiB3aXRoIG90aGVyIGNsaW5pY2FsIGZlYXR1cmVzIG9mIFRTIHJlbWFpbiBsYXJnZWx5IHVuZXhwbG9yZWQuIENvbXBsaWNhdGluZyBtYXR0ZXJzLCBzZW5zb3J5IGh5cGVyc2Vuc2l0aXZpdHkgaGFzIGJlZW4gb2JzZXJ2ZWQgaW4gdHdvIG5ldXJvZGV2ZWxvcG1lbnRhbCBkaXNvcmRlcnMgY29tbW9ubHkgY29tb3JiaWQgd2l0aCBUUzogb2JzZXNzaXZlLWNvbXB1bHNpdmUgZGlzb3JkZXIgKE9DRCkgYW5kIGF0dGVudGlvbiBkZWZpY2l0IGh5cGVyYWN0aXZpdHkgZGlzb3JkZXIgKEFESEQpLiBPYmplY3RpdmU6IFdlIHNvdWdodCB0byBtZWFzdXJlIHNlbnNvcnkgaHlwZXJzZW5zaXRpdml0eSBpbiBUUyBwYXRpZW50cyByZWxhdGl2ZSB0byBoZWFsdGh5IGNvbnRyb2xzIGFuZCB0byBpbnZlc3RpZ2F0ZSB0aGUgcmVsYXRpb25zaGlwIG9mIHNlbnNvcnkgaHlwZXJzZW5zaXRpdml0eSB3aXRoIE9DRCBhbmQgQURIRCBzeW1wdG9tcyBpbiB0aGUgY29udGV4dCBvZiBUUy4gTWV0aG9kczogV2UgcmVjcnVpdGVkIDM0IGFkdWx0cyB3aXRoIFRTIG9yIGNocm9uaWMgdGljIGRpc29yZGVyIHRvIHVuZGVyZ28gZXZhbHVhdGlvbiB3aXRoIHRoZSBZYWxlIEdsb2JhbCBUaWMgU2V2ZXJpdHkgU2NhbGUgKFlHVFNTKSBhbmQgYSBiYXR0ZXJ5IG9mIHZhbGlkYXRlZCBzZWxmLXJlcG9ydCBpbnN0cnUtbWVudHMgYXNzZXNzaW5nIHNlbnNvcnkgaHlwZXJzZW5zaXRpdml0eSAoU2Vuc29yeSBHYXRpbmcgSW52ZW50b3J5LCBTR0k7IFNlbnNvcnkgUGVyY2VwdGlvbiBRdW90aWVudCwgU1BRKSwgcHJlbW9uaXRvcnkgdXJnZSAoUHJlbW9uaXRvcnkgVXJnZSB0byBUaWMgU2NhbGUsIFBVVFMpLCBPQ0QgKERpbWVuc2lvbmFsIE9ic2Vzc2l2ZS1Db21wdWxzaXZlIFNjYWxlLCBET0NTKSwgYW5kIEFESEQgKEFkdWx0IEFESEQgU2VsZi1SZXBvcnQgU2NyZWVuaW5nIFNjYWxlIGZvciBEU00tNSwgQVNSUy1WKS4gQWdlLWFuZCBzZXgtbWF0Y2hlZCBoZWFsdGh5IGNvbnRyb2xzIHdlcmUgcmVjcnVpdGVkIHRvIGNvbXBsZXRlIFNHSSBhbmQgcHN5Y2hpYXRyaWMgbWVhc3VyZXMuIFJlc3VsdHM6IFNHSSBhbmQgU1BRIHNjb3JlcyBzdHJvbmdseSBjb3JyZWxhdGVkIChycyA9IOKIkjAuNzMsIHAgPCAwLjAwMDEpIHdpdGhpbiBwYXRpZW50cy4gU0dJIHRvdGFsIHNjb3JlIHdhcyBzaWduaWZpY2FudGx5IGhpZ2hlciBpbiBwYXRpZW50cyB2ZXJzdXMgY29udHJvbHMgKDExOS4wIHZzIDY3LjYsIFUgPeKIkjUuMywgcCA8IDAuMDAwMSksIGluZGljYXRpbmcgZ3JlYXRlciBzZW5zb3J5IGh5cGVyc2Vuc2l0aXZpdHkgaW4gdGhlIHRpYyBkaXNvcmRlciBncm91cC4gU0dJIHNjb3JlIGNvcnJlbGF0ZWQgbW9kZXN0bHkgd2l0aCBQVVRTLCBET0NTLCBhbmQgQVNSUy1WIHNjb3JlcyBidXQgbm90IHdpdGggWUdUU1MgdG90YWwgdGljIHNjb3JlLiBIaWVyYXJjaGljYWwgbGluZWFyIHJlZ3Jlc3Npb24gYW5hbHlzaXMgcmV2ZWFsZWQgdGhhdCwgb2YgdGhlIHRlc3RlZCB2YXJpYWJsZXMsIG9ubHkgRE9DUyBzY29yZSBjb250cmlidXRlZCBzaWduaWZpY2FudGx5IHRvIG1lYW4gU0dJIHNjb3JlLCB3aXRoIM6yIHJhbmdpbmcgZnJvbSAxLjAzIChwID0gMC4wNDQpIHRvIDEuNDEgKHAgPSAwLjAwMSkuIEEgc2ltcGxlIGxpbmVhciByZWdyZXNzaW9uIG1vZGVsIHdpdGggRE9DUyBhcyB0aGUgaW5kZXBlbmRlbnQgdmFyaWFibGUgYWNjb3VudGVkIGZvciAzMS45JSBvZiBTR0kgc2NvcmUgdmFyaWFuY2UuIENvbmNsdXNpb246IFNlbnNvcnkgaHlwZXJzZW5zaXRpdml0eSBpcyBwcm9taW5lbnQgaW4gYWR1bHRzIHdpdGggdGljIGRpc29yZGVyIGFuZCBpcyBpbmRlcGVuZGVudGx5IGFzc29jaWF0ZWQgd2l0aCBvYnNlc3NpdmUtY29tcHVsc2l2ZSBzeW1wdG9tIHNldmVyaXR5LiIsInB1Ymxpc2hlciI6IkRvdmUgTWVkaWNhbCBQcmVzcyBMdGQiLCJ2b2x1bWUiOiIxNiIsImNvbnRhaW5lci10aXRsZS1zaG9ydCI6Ik5ldXJvcHN5Y2hpYXRyIERpcyBUcmVhdCJ9LCJpc1RlbXBvcmFyeSI6ZmFsc2V9LHsiaWQiOiJiYmY1NGMzOC03ZWY1LTM1ZjktYWZmNi0xYzhlMGYwMjFmYWEiLCJpdGVtRGF0YSI6eyJ0eXBlIjoiYXJ0aWNsZS1qb3VybmFsIiwiaWQiOiJiYmY1NGMzOC03ZWY1LTM1ZjktYWZmNi0xYzhlMGYwMjFmYWEiLCJ0aXRsZSI6IkludGVyb2NlcHRpb24gYW5kIFByZW1vbml0b3J5IFVyZ2VzIGluIENoaWxkcmVuIGFuZCBBZG9sZXNjZW50cyBXaXRoIFRpYyBEaXNvcmRlcnMiLCJncm91cElkIjoiMDdkNjJhYzEtNWFhOC0zOWFmLWI0OWUtNTJkMjA4OGFjNTcxIiwiYXV0aG9yIjpbeyJmYW1pbHkiOiJTY2jDvHR0ZWxlciIsImdpdmVuIjoiQyIsInBhcnNlLW5hbWVzIjpmYWxzZSwiZHJvcHBpbmctcGFydGljbGUiOiIiLCJub24tZHJvcHBpbmctcGFydGljbGUiOiIifSx7ImZhbWlseSI6IldvaXRlY2tpIiwiZ2l2ZW4iOiJLIiwicGFyc2UtbmFtZXMiOmZhbHNlLCJkcm9wcGluZy1wYXJ0aWNsZSI6IiIsIm5vbi1kcm9wcGluZy1wYXJ0aWNsZSI6IiJ9LHsiZmFtaWx5IjoiRMO2cGZuZXIiLCJnaXZlbiI6Ik0iLCJwYXJzZS1uYW1lcyI6ZmFsc2UsImRyb3BwaW5nLXBhcnRpY2xlIjoiIiwibm9uLWRyb3BwaW5nLXBhcnRpY2xlIjoiIn0seyJmYW1pbHkiOiJHZXJsYWNoIiwiZ2l2ZW4iOiJBIEwiLCJwYXJzZS1uYW1lcyI6ZmFsc2UsImRyb3BwaW5nLXBhcnRpY2xlIjoiIiwibm9uLWRyb3BwaW5nLXBhcnRpY2xlIjoiIn1dLCJjb250YWluZXItdGl0bGUiOiJDbGluIFBzeWNob2wgRXVyIiwiRE9JIjoiMTAuMzI4NzIvY3BlLjgxODUiLCJQTUlEIjoiMzcwNjUwMDAiLCJpc3N1ZWQiOnsiZGF0ZS1wYXJ0cyI6W1syMDIzXV19LCJwYWdlIjoiZTgxODUtIiwiYWJzdHJhY3QiOiJCQUNLR1JPVU5EOiBDb21wYXJlZCB0byBoZWFsdGh5IGNvbnRyb2xzIChIQ3MpLCBhZHVsdCBUaWMgRGlzb3JkZXIgKFREKSBwYXRpZW50cyBleGhpYml0IGEgbG93ZXIgaW50ZXJvY2VwdGl2ZSBhY2N1cmFjeSAoSUFjYykgaW4gaGVhcnRiZWF0IHBlcmNlcHRpb24uIFNpbmNlIHRoZSBsb3dlciBJQWNjIGlzIG5vdCBldmlkZW50IGluIGNoaWxkcmVuLCB0aGUgYWdlIGF0IHdoaWNoIHRpY3MgZGV2ZWxvcCwgYnV0IGluIGFkdWx0cyBvbmx5IChQaWxlIGV0IGFsLiwgMjAxOCwgaHR0cHM6Ly9kb2kub3JnLzEwLjEwMDcvczEwODAzLTAxOC0zNjA4LTgpLCBsb3dlciBJQWNjIG1heSByZWZsZWN0IGEgcGF0aG9sb2dpY2FsIG1lY2hhbmlzbSByZWxldmFudCB3aXRoIHJlZ2FyZCB0byB0aWNzLCBwcmVtb25pdG9yeSB1cmdlcyAoUFVzKSBvciB0aGUgcmVzdWx0aW5nIGltcGFpcm1lbnQuIEFsdGhvdWdoIHRpY3MgYXJlIGEgbW90b3IgcGhlbm9tZW5vbiwgdXAgdG8gZGF0ZSwgSUFjYyBoYXMgYmVlbiBhc3Nlc3NlZCBvbmx5IHdpdGggYSBoZWFydGJlYXQtY291bnRpbmcgdGFzay4gVGhpcyBzdHVkeSBhaW1zIGF0IGNvbXBhcmluZyBjYXJkaWFjIGFuZCBtdXNjdWxhciBJQWNjIHVzaW5nIHR3byBkaWZmZXJlbnQgcGFyYWRpZ21zIGFuZCBpbnZlc3RpZ2F0ZXMgaG93IElBY2MgaXMgcmVsYXRlZCB0byBwcmVtb25pdG9yeSB1cmdlcyBpbiB5b3V0aC4gTUVUSE9EOiBJbnRlcm9jZXB0aXZlIG1lYXN1cmVzIChoZWFydGJlYXQtY291bnRpbmcgdGFzaywgbXVzY2xlIHRlbnNpb24gcGFyYWRpZ20pIG9mIDI4IHlvdXRoIHdpdGggVEQgd2VyZSBjb21wYXJlZCB0byAyMyBjb250cm9sIHBhcnRpY2lwYW50cyBhbmQgcmVsYXRlZCB0byBzZWxmLXJhdGVkIHByZW1vbml0b3J5IHVyZ2VzIGFuZCB0aWMgc3ltcHRvbXMuIFJFU1VMVFM6IFREIHBhdGllbnRzIGRpZCBub3QgZGlmZmVyIGZyb20gSENzIGluIGFueSBJQWNjIG1lYXN1cmVzLiBIb3dldmVyLCB3aXRoaW4gVEQgcGF0aWVudHMsIElBY2MgZXhwbGFpbmVkIGFkZGl0aW9uYWwgdmFyaWFuY2UgaW4gUFVzIHdoZW4gY29udHJvbGxpbmcgZm9yIHRpYyBzZXZlcml0eS4gTXVzY3VsYXIgSUFjYyBpbiBURCBwYXRpZW50cyBpcyByZWxhdGVkIHRvIHVyZ2VzIGFuZCB0aWNzLCBidXQgdGhlIGRpcmVjdGlvbiBvZiB0aGlzIGFzc29jaWF0aW9uIGlzIHVuY2xlYXIuIElBY2MgaXMgbG93ZXIgaW4gVEQgcGF0aWVudHMgdGhhbiBpbiBIQ3MsIGluZGljYXRpbmcgaW1wcmVjaXNlIHNlbnNvcnkgaW5wdXQgd2hpY2ggaXMgbW9yZSBlYXNpbHkgb3ZlcmNvbWUgYnkgcHJpb3JzIHdpdGhpbiB0aGUgcHJlZGljdGl2ZSBjb2RpbmcgZnJhbWV3b3JrLiBDT05DTFVTSU9OUzogTXVzY2xlIHRlbnNpb24gZmVlZGJhY2sgdGFza3MgY291bGQgZXh0ZW5kIGludGVyb2NlcHRpdmUgdHJhaW5pbmdzIGFpbWVkIGF0IGltcHJvdmluZyBJQWNjIHRvIGltcHJvdmUgYWNjdXJhY3kgb2YgdXJnZSBwZXJjZXB0aW9uIChtb3JlIHByZWNpc2Ugc2Vuc29yeSBpbnB1dCkgdG8gZm9zdGVyIHRoZSBhYmlsaXR5IHRvIGNvbnRyb2wgdGljcyB2aWEgSFJULiBMb25naXR1ZGluYWwgc3R1ZGllcyBjb3VsZCBwcm92aWRlIGZ1cnRoZXIgaW5zaWdodHMgaW4gY2F1c2FsIHJlbGF0aW9uc2hpcHMgYmV0d2VlbiBJQWNjLCBwcmVtb25pdG9yeSB1cmdlcyBhbmQgdGljcy4iLCJpc3N1ZSI6IjEiLCJ2b2x1bWUiOiI1IiwiY29udGFpbmVyLXRpdGxlLXNob3J0IjoiIn0sImlzVGVtcG9yYXJ5IjpmYWxzZX1dfQ==&quot;,&quot;citationItems&quot;:[{&quot;id&quot;:&quot;1eee60a6-deb1-355c-8a6c-82766d873076&quot;,&quot;itemData&quot;:{&quot;type&quot;:&quot;article-journal&quot;,&quot;id&quot;:&quot;1eee60a6-deb1-355c-8a6c-82766d873076&quot;,&quot;title&quot;:&quot;Peer victimization in youth with Tourette syndrome and other chronic tic disorders&quot;,&quot;groupId&quot;:&quot;07d62ac1-5aa8-39af-b49e-52d2088ac571&quot;,&quot;author&quot;:[{&quot;family&quot;:&quot;Zinner&quot;,&quot;given&quot;:&quot;S H&quot;,&quot;parse-names&quot;:false,&quot;dropping-particle&quot;:&quot;&quot;,&quot;non-dropping-particle&quot;:&quot;&quot;},{&quot;family&quot;:&quot;Conelea&quot;,&quot;given&quot;:&quot;C A&quot;,&quot;parse-names&quot;:false,&quot;dropping-particle&quot;:&quot;&quot;,&quot;non-dropping-particle&quot;:&quot;&quot;},{&quot;family&quot;:&quot;Glew&quot;,&quot;given&quot;:&quot;G M&quot;,&quot;parse-names&quot;:false,&quot;dropping-particle&quot;:&quot;&quot;,&quot;non-dropping-particle&quot;:&quot;&quot;},{&quot;family&quot;:&quot;Woods&quot;,&quot;given&quot;:&quot;D W&quot;,&quot;parse-names&quot;:false,&quot;dropping-particle&quot;:&quot;&quot;,&quot;non-dropping-particle&quot;:&quot;&quot;},{&quot;family&quot;:&quot;Budman&quot;,&quot;given&quot;:&quot;C L&quot;,&quot;parse-names&quot;:false,&quot;dropping-particle&quot;:&quot;&quot;,&quot;non-dropping-particle&quot;:&quot;&quot;}],&quot;container-title&quot;:&quot;Child psychiatry and human development&quot;,&quot;DOI&quot;:&quot;https://dx.doi.org/10.1007/s10578-011-0249-y&quot;,&quot;URL&quot;:&quot;http://ovidsp.ovid.com/ovidweb.cgi?T=JS&amp;PAGE=reference&amp;D=emed13&amp;NEWS=N&amp;AN=364938162&quot;,&quot;issued&quot;:{&quot;date-parts&quot;:[[2012]]},&quot;page&quot;:&quot;124-136&quot;,&quot;abstract&quot;:&quot;Chronic tic disorders including Tourette syndrome have negative impact across multiple functional domains. We explored associations between peer victimization status and tic subtypes, premonitory urges, internalizing symptoms, explosive outbursts, and quality of life among youth with chronic tic disorders, as part of the internet-based omnibus Tourette Syndrome Impact Survey. A mixed methods design combined child self-report and parental proxy-report (i.e., parent reporting on the child) demographic and quantitative data for affected youth ages 10-17 years addressing gender, mean age, ethnicity and other socioeconomic features, and presence of tic disorders and co-occurring psychiatric disorders. Peer \&quot;Victim\&quot; versus \&quot;Non-victim\&quot; status was determined using a subset of four questions about being bullied. \&quot;Victim\&quot; status was identified for those youth who endorsed the frequency of the occurrence of being bullied in one or more of the four questions as \&quot;most of the time\&quot; or \&quot;all of the time\&quot;. Data from 211 eligible youth respondents and their parents/guardians showed 26% reporting peer victimization. Victim status was associated with greater tic frequency, complexity and severity; explosive outbursts; internalizing symptoms; and lower quality of life. Peer victimization among youth with chronic tic disorders is common and appears associated with tic morbidity, anxiety, depression, explosive outbursts, and poorer psychosocial functioning. Anticipatory guidance, specific bullying screening and prevention, and further studies are indicated in this population.&quot;,&quot;issue&quot;:&quot;1&quot;,&quot;volume&quot;:&quot;43&quot;,&quot;container-title-short&quot;:&quot;Child Psychiatry Hum Dev&quot;},&quot;isTemporary&quot;:false},{&quot;id&quot;:&quot;536271e1-21b0-3e70-b47e-d31cc4fcca15&quot;,&quot;itemData&quot;:{&quot;type&quot;:&quot;article-journal&quot;,&quot;id&quot;:&quot;536271e1-21b0-3e70-b47e-d31cc4fcca15&quot;,&quot;title&quot;:&quot;Relationships between Premonitory Urge and Anxiety in Youth with Chronic Tic Disorders&quot;,&quot;groupId&quot;:&quot;07d62ac1-5aa8-39af-b49e-52d2088ac571&quot;,&quot;author&quot;:[{&quot;family&quot;:&quot;Rozenman&quot;,&quot;given&quot;:&quot;M&quot;,&quot;parse-names&quot;:false,&quot;dropping-particle&quot;:&quot;&quot;,&quot;non-dropping-particle&quot;:&quot;&quot;},{&quot;family&quot;:&quot;Johnson&quot;,&quot;given&quot;:&quot;O E&quot;,&quot;parse-names&quot;:false,&quot;dropping-particle&quot;:&quot;&quot;,&quot;non-dropping-particle&quot;:&quot;&quot;},{&quot;family&quot;:&quot;Chang&quot;,&quot;given&quot;:&quot;S W&quot;,&quot;parse-names&quot;:false,&quot;dropping-particle&quot;:&quot;&quot;,&quot;non-dropping-particle&quot;:&quot;&quot;},{&quot;family&quot;:&quot;Woods&quot;,&quot;given&quot;:&quot;D W&quot;,&quot;parse-names&quot;:false,&quot;dropping-particle&quot;:&quot;&quot;,&quot;non-dropping-particle&quot;:&quot;&quot;},{&quot;family&quot;:&quot;Walkup&quot;,&quot;given&quot;:&quot;J T&quot;,&quot;parse-names&quot;:false,&quot;dropping-particle&quot;:&quot;&quot;,&quot;non-dropping-particle&quot;:&quot;&quot;},{&quot;family&quot;:&quot;Wilhelm&quot;,&quot;given&quot;:&quot;S&quot;,&quot;parse-names&quot;:false,&quot;dropping-particle&quot;:&quot;&quot;,&quot;non-dropping-particle&quot;:&quot;&quot;},{&quot;family&quot;:&quot;Peterson&quot;,&quot;given&quot;:&quot;A&quot;,&quot;parse-names&quot;:false,&quot;dropping-particle&quot;:&quot;&quot;,&quot;non-dropping-particle&quot;:&quot;&quot;},{&quot;family&quot;:&quot;Scahill&quot;,&quot;given&quot;:&quot;L&quot;,&quot;parse-names&quot;:false,&quot;dropping-particle&quot;:&quot;&quot;,&quot;non-dropping-particle&quot;:&quot;&quot;},{&quot;family&quot;:&quot;Piacentini&quot;,&quot;given&quot;:&quot;J&quot;,&quot;parse-names&quot;:false,&quot;dropping-particle&quot;:&quot;&quot;,&quot;non-dropping-particle&quot;:&quot;&quot;}],&quot;container-title&quot;:&quot;Child Health Care&quot;,&quot;DOI&quot;:&quot;10.1080/02739615.2014.986328&quot;,&quot;PMID&quot;:&quot;27110050&quot;,&quot;issued&quot;:{&quot;date-parts&quot;:[[2015]]},&quot;page&quot;:&quot;235-248&quot;,&quot;abstract&quot;:&quot;Tourette's Disorder and other chronic tic disorders are common neurodevelopmental conditions. One characteristic of tic disorders is the premonitory urge, an aversive or unpleasant sensory phenomenon that may precede tics. Initial examination of premonitory urge in pediatric tic disorders suggests that awareness and experience of sensations preceding tics may be related to anxiety and OCD. However, it may be possible that specific anxiety-related symptoms, such as anxious physiologic arousal, are particularly relevant to the experience of premonitory urge. The current study examines relationships between tic-related premonitory urge and anxiety-related symptom clusters in treatment-seeking youths with a primary diagnoses of Tourette's or other chronic tic disorder. The sample consisted of 124 youth, ages 9 to 17, who participated in the multi-site Comprehensive Behavioral Intervention for Tics randomized controlled trial (CBIT; Piacentini et al., 2010). Specific anxiety-related subtypes, including generalized worry, separation, social, and panic/somatic symptoms, as well as severity of obsessions and compulsions, were assessed as potential correlates of premonitory urge. Findings indicated that age, global tic-related impairment, and specific panic/somatic symptoms accounted for a substantial proportion of variance in youth report of premonitory urge. These findings provide information about the characteristics of premonitory urge in pediatric tic disorders, and have implications for the treatment of pediatric tic syndromes.&quot;,&quot;issue&quot;:&quot;3&quot;,&quot;volume&quot;:&quot;44&quot;,&quot;container-title-short&quot;:&quot;&quot;},&quot;isTemporary&quot;:false},{&quot;id&quot;:&quot;369c10c7-0176-3421-82be-88c000d31b2a&quot;,&quot;itemData&quot;:{&quot;type&quot;:&quot;article-journal&quot;,&quot;id&quot;:&quot;369c10c7-0176-3421-82be-88c000d31b2a&quot;,&quot;title&quot;:&quot;The premonitory urge to tic: measurement, characteristics, and correlates in older adolescents and adults&quot;,&quot;groupId&quot;:&quot;07d62ac1-5aa8-39af-b49e-52d2088ac571&quot;,&quot;author&quot;:[{&quot;family&quot;:&quot;Reese&quot;,&quot;given&quot;:&quot;H E&quot;,&quot;parse-names&quot;:false,&quot;dropping-particle&quot;:&quot;&quot;,&quot;non-dropping-particle&quot;:&quot;&quot;},{&quot;family&quot;:&quot;Scahill&quot;,&quot;given&quot;:&quot;L&quot;,&quot;parse-names&quot;:false,&quot;dropping-particle&quot;:&quot;&quot;,&quot;non-dropping-particle&quot;:&quot;&quot;},{&quot;family&quot;:&quot;Peterson&quot;,&quot;given&quot;:&quot;A L&quot;,&quot;parse-names&quot;:false,&quot;dropping-particle&quot;:&quot;&quot;,&quot;non-dropping-particle&quot;:&quot;&quot;},{&quot;family&quot;:&quot;Crowe&quot;,&quot;given&quot;:&quot;K&quot;,&quot;parse-names&quot;:false,&quot;dropping-particle&quot;:&quot;&quot;,&quot;non-dropping-particle&quot;:&quot;&quot;},{&quot;family&quot;:&quot;Woods&quot;,&quot;given&quot;:&quot;D W&quot;,&quot;parse-names&quot;:false,&quot;dropping-particle&quot;:&quot;&quot;,&quot;non-dropping-particle&quot;:&quot;&quot;},{&quot;family&quot;:&quot;Piacentini&quot;,&quot;given&quot;:&quot;J&quot;,&quot;parse-names&quot;:false,&quot;dropping-particle&quot;:&quot;&quot;,&quot;non-dropping-particle&quot;:&quot;&quot;},{&quot;family&quot;:&quot;Walkup&quot;,&quot;given&quot;:&quot;J T&quot;,&quot;parse-names&quot;:false,&quot;dropping-particle&quot;:&quot;&quot;,&quot;non-dropping-particle&quot;:&quot;&quot;},{&quot;family&quot;:&quot;Wilhelm&quot;,&quot;given&quot;:&quot;S&quot;,&quot;parse-names&quot;:false,&quot;dropping-particle&quot;:&quot;&quot;,&quot;non-dropping-particle&quot;:&quot;&quot;}],&quot;container-title&quot;:&quot;Behav Ther&quot;,&quot;DOI&quot;:&quot;10.1016/j.beth.2013.09.002&quot;,&quot;PMID&quot;:&quot;24491193&quot;,&quot;issued&quot;:{&quot;date-parts&quot;:[[2014]]},&quot;page&quot;:&quot;177-186&quot;,&quot;abstract&quot;:&quot;In addition to motor and/or vocal tics, many individuals with Tourette syndrome (TS) or chronic tic disorder (CTD) report frequent, uncomfortable sensory phenomena that immediately precede the tics. To date, examination of these premonitory sensations or urges has been limited by inconsistent assessment tools. In this paper, we examine the psychometric properties of a nine-item self-report measure, the Premonitory Urge to Tic Scale (PUTS) and examine the characteristics and correlates of the premonitory urge to tic in a clinical sample of 122 older adolescents and adults with TS or CTD. The PUTS demonstrated adequate internal consistency, temporal stability, and concurrent validity. Premonitory urges were endorsed by the majority of individuals. Most individuals reported some relief from the urges after completing a tic and being able to stop their tics even if only temporarily. Degree of premonitory urges was not significantly correlated with age, and we did not observe any gender differences. Degree of premonitory urges was significantly correlated with estimated IQ and tic severity, but not severity of comorbid obsessive-compulsive disorder or attention-deficit hyperactivity disorder. Also, it was not related to concomitant medication status. These findings represent another step forward in our understanding of the premonitory sensations associated with TS and CTD.&quot;,&quot;issue&quot;:&quot;2&quot;,&quot;volume&quot;:&quot;45&quot;,&quot;container-title-short&quot;:&quot;&quot;},&quot;isTemporary&quot;:false},{&quot;id&quot;:&quot;7b7dc358-fb14-39fa-9d24-72d692e84875&quot;,&quot;itemData&quot;:{&quot;type&quot;:&quot;article-journal&quot;,&quot;id&quot;:&quot;7b7dc358-fb14-39fa-9d24-72d692e84875&quot;,&quot;title&quot;:&quot;Interoceptive Accuracy in Youth with Tic Disorders: Exploring Links with Premonitory Urge, Anxiety and Quality of Life&quot;,&quot;groupId&quot;:&quot;07d62ac1-5aa8-39af-b49e-52d2088ac571&quot;,&quot;author&quot;:[{&quot;family&quot;:&quot;Pile&quot;,&quot;given&quot;:&quot;V&quot;,&quot;parse-names&quot;:false,&quot;dropping-particle&quot;:&quot;&quot;,&quot;non-dropping-particle&quot;:&quot;&quot;},{&quot;family&quot;:&quot;Lau&quot;,&quot;given&quot;:&quot;J Y F&quot;,&quot;parse-names&quot;:false,&quot;dropping-particle&quot;:&quot;&quot;,&quot;non-dropping-particle&quot;:&quot;&quot;},{&quot;family&quot;:&quot;Topor&quot;,&quot;given&quot;:&quot;M&quot;,&quot;parse-names&quot;:false,&quot;dropping-particle&quot;:&quot;&quot;,&quot;non-dropping-particle&quot;:&quot;&quot;},{&quot;family&quot;:&quot;Hedderly&quot;,&quot;given&quot;:&quot;T&quot;,&quot;parse-names&quot;:false,&quot;dropping-particle&quot;:&quot;&quot;,&quot;non-dropping-particle&quot;:&quot;&quot;},{&quot;family&quot;:&quot;Robinson&quot;,&quot;given&quot;:&quot;S&quot;,&quot;parse-names&quot;:false,&quot;dropping-particle&quot;:&quot;&quot;,&quot;non-dropping-particle&quot;:&quot;&quot;}],&quot;container-title&quot;:&quot;J Autism Dev Disord&quot;,&quot;DOI&quot;:&quot;10.1007/s10803-018-3608-8&quot;,&quot;PMID&quot;:&quot;29777473&quot;,&quot;URL&quot;:&quot;https://link.springer.com/content/pdf/10.1007/s10803-018-3608-8.pdf&quot;,&quot;issued&quot;:{&quot;date-parts&quot;:[[2018]]},&quot;page&quot;:&quot;3474-3482&quot;,&quot;abstract&quot;:&quot;Aberrant interoceptive accuracy could contribute to the co-occurrence of anxiety and premonitory urge in chronic tic disorders (CTD). If it can be manipulated through intervention, it would offer a transdiagnostic treatment target for tics and anxiety. Interoceptive accuracy was first assessed consistent with previous protocols and then re-assessed following an instruction attempting to experimentally enhance awareness. The CTD group demonstrated lower interoceptive accuracy than controls but, importantly, this group difference was no longer significant following instruction. In the CTD group, better interoceptive accuracy was associated with higher anxiety and lower quality of life, but not with premonitory urge. Aberrant interoceptive accuracy may represent an underlying trait in CTD that can be manipulated, and relates to anxiety and quality of life.&quot;,&quot;issue&quot;:&quot;10&quot;,&quot;volume&quot;:&quot;48&quot;,&quot;container-title-short&quot;:&quot;&quot;},&quot;isTemporary&quot;:false},{&quot;id&quot;:&quot;ca24c3a2-8f41-37ca-b014-b10d29bbaf03&quot;,&quot;itemData&quot;:{&quot;type&quot;:&quot;article-journal&quot;,&quot;id&quot;:&quot;ca24c3a2-8f41-37ca-b014-b10d29bbaf03&quot;,&quot;title&quot;:&quot;Premonitory Urges and Their Link With Tic Severity in Children and Adolescents With Tic Disorders&quot;,&quot;groupId&quot;:&quot;07d62ac1-5aa8-39af-b49e-52d2088ac571&quot;,&quot;author&quot;:[{&quot;family&quot;:&quot;Kyriazi&quot;,&quot;given&quot;:&quot;M&quot;,&quot;parse-names&quot;:false,&quot;dropping-particle&quot;:&quot;&quot;,&quot;non-dropping-particle&quot;:&quot;&quot;},{&quot;family&quot;:&quot;Kalyva&quot;,&quot;given&quot;:&quot;E&quot;,&quot;parse-names&quot;:false,&quot;dropping-particle&quot;:&quot;&quot;,&quot;non-dropping-particle&quot;:&quot;&quot;},{&quot;family&quot;:&quot;Vargiami&quot;,&quot;given&quot;:&quot;E&quot;,&quot;parse-names&quot;:false,&quot;dropping-particle&quot;:&quot;&quot;,&quot;non-dropping-particle&quot;:&quot;&quot;},{&quot;family&quot;:&quot;Krikonis&quot;,&quot;given&quot;:&quot;K&quot;,&quot;parse-names&quot;:false,&quot;dropping-particle&quot;:&quot;&quot;,&quot;non-dropping-particle&quot;:&quot;&quot;},{&quot;family&quot;:&quot;Zafeiriou&quot;,&quot;given&quot;:&quot;D&quot;,&quot;parse-names&quot;:false,&quot;dropping-particle&quot;:&quot;&quot;,&quot;non-dropping-particle&quot;:&quot;&quot;}],&quot;container-title&quot;:&quot;Front Psychiatry&quot;,&quot;DOI&quot;:&quot;10.3389/fpsyt.2019.00569&quot;,&quot;PMID&quot;:&quot;31474885&quot;,&quot;issued&quot;:{&quot;date-parts&quot;:[[2019]]},&quot;page&quot;:&quot;569&quot;,&quot;abstract&quot;:&quot;Tics wax and wane regarding their severity, while their expression is affected by non-motor sensory or cognitive elements that are mostly known as \&quot;premonitory urges.\&quot; Since premonitory urges are often used in non-pharmacological interventions to decrease tic severity, it is of interest in the present study to examine whether premonitory urges can actually predict tic severity. Fifty-two children and adolescents diagnosed with tics and Tourette syndrome (29 children with provisional tic disorder, 16 children with chronic motor tic disorder, and 7 children with Tourette syndrome) were included in the study. Their age ranged between 6 and 15.7 years (mean age 9 years and 2 months). All participants completed the YGTSS (Yale Global Tic Severity Scale) in order to assess tic severity and the Premonitory Urge for Tics Scale (PUTS) to measure premonitory urges (PU). Regression analysis revealed that PU were present at a higher rate in older subjects (&gt;12 years of age) than in younger children and with a higher level of tic severity. Although the presence of PU was associated with tic severity across the entire age range, there was a stronger association between PU and tic severity in older children. A better insight into the pathophysiology of premonitory urges could possibly lead to the identification of new therapeutic modalities targeting the sensory initiators of tics in future research.&quot;,&quot;volume&quot;:&quot;10&quot;,&quot;container-title-short&quot;:&quot;&quot;},&quot;isTemporary&quot;:false},{&quot;id&quot;:&quot;bdf92a4f-dff3-33ba-af3f-f62b1b21981f&quot;,&quot;itemData&quot;:{&quot;type&quot;:&quot;article-journal&quot;,&quot;id&quot;:&quot;bdf92a4f-dff3-33ba-af3f-f62b1b21981f&quot;,&quot;title&quot;:&quot;Development of the Korean Form of the Premonitory Urge for Tics Scale: A Reliability and Validity Study&quot;,&quot;groupId&quot;:&quot;07d62ac1-5aa8-39af-b49e-52d2088ac571&quot;,&quot;author&quot;:[{&quot;family&quot;:&quot;Kim&quot;,&quot;given&quot;:&quot;M&quot;,&quot;parse-names&quot;:false,&quot;dropping-particle&quot;:&quot;&quot;,&quot;non-dropping-particle&quot;:&quot;&quot;},{&quot;family&quot;:&quot;Chung&quot;,&quot;given&quot;:&quot;S K&quot;,&quot;parse-names&quot;:false,&quot;dropping-particle&quot;:&quot;&quot;,&quot;non-dropping-particle&quot;:&quot;&quot;},{&quot;family&quot;:&quot;Yang&quot;,&quot;given&quot;:&quot;J C&quot;,&quot;parse-names&quot;:false,&quot;dropping-particle&quot;:&quot;&quot;,&quot;non-dropping-particle&quot;:&quot;&quot;},{&quot;family&quot;:&quot;Park&quot;,&quot;given&quot;:&quot;J I&quot;,&quot;parse-names&quot;:false,&quot;dropping-particle&quot;:&quot;&quot;,&quot;non-dropping-particle&quot;:&quot;&quot;},{&quot;family&quot;:&quot;Nam&quot;,&quot;given&quot;:&quot;S H&quot;,&quot;parse-names&quot;:false,&quot;dropping-particle&quot;:&quot;&quot;,&quot;non-dropping-particle&quot;:&quot;&quot;},{&quot;family&quot;:&quot;Park&quot;,&quot;given&quot;:&quot;T W&quot;,&quot;parse-names&quot;:false,&quot;dropping-particle&quot;:&quot;&quot;,&quot;non-dropping-particle&quot;:&quot;&quot;}],&quot;container-title&quot;:&quot;Soa Chongsonyon Chongsin Uihak&quot;,&quot;DOI&quot;:&quot;10.5765/jkacap.200013&quot;,&quot;PMID&quot;:&quot;32665758&quot;,&quot;URL&quot;:&quot;https://www.ncbi.nlm.nih.gov/pmc/articles/PMC7350545/pdf/JKACAP-31-146.pdf&quot;,&quot;issued&quot;:{&quot;date-parts&quot;:[[2020]]},&quot;page&quot;:&quot;146-153&quot;,&quot;abstract&quot;:&quot;OBJECTIVES: This study aimed to evaluate the reliability and validity of the Korean Form of the Premonitory Urge for Tics Scale (K-PUTS). METHODS: Thirty-eight patients with Tourette's disorder who visited Jeonbuk National University Hospital were assessed with the K-PUTS. Together with the PUTS, the Yale Global Tic Severity Scale (YGTSS), the Children's Yale-Brown Obsessive Compulsive Scale (CY-BOCS), the attention-deficit/hyperactivity disorder (ADHD) rating scale (ARS), and the Adult ADHD Self-Report Scale (ASRS) were implemented to evaluate concurrent and discriminant validity. RESULTS: The internal consistency of items on the PUTS was high, with a Cronbach's α of 0.79. The test-retest reliability of the PUTS, which was administered at 2 weeks to 2 months intervals, showed high reliability with a Pearson correlation coefficient of 0.60. There was a significant positive correlation between the overall PUTS score and the YGTSS score, showing concurrent validity. There was no correlation between the PUTS, CY-BOCS, and ASRS scores, demonstrating the discriminant validity of the PUTS. Factor analysis for construct validity revealed three factors: \&quot;presumed functional relationship between the tic and the urge to tic,\&quot; \&quot;the quality of the premonitory urge,\&quot; and \&quot;just right phenomena.\&quot; CONCLUSION: The results of this study indicate that the K-PUTS is a reliable and valid scale for rating premonitory urge of tics.&quot;,&quot;issue&quot;:&quot;3&quot;,&quot;volume&quot;:&quot;31&quot;,&quot;container-title-short&quot;:&quot;&quot;},&quot;isTemporary&quot;:false},{&quot;id&quot;:&quot;a2ca95f1-fa5f-3c4d-9e2d-c7c389a9c491&quot;,&quot;itemData&quot;:{&quot;type&quot;:&quot;article-journal&quot;,&quot;id&quot;:&quot;a2ca95f1-fa5f-3c4d-9e2d-c7c389a9c491&quot;,&quot;title&quot;:&quot;Premonitory urges for tics in adult patients with Tourette syndrome&quot;,&quot;groupId&quot;:&quot;07d62ac1-5aa8-39af-b49e-52d2088ac571&quot;,&quot;author&quot;:[{&quot;family&quot;:&quot;Crossley&quot;,&quot;given&quot;:&quot;E&quot;,&quot;parse-names&quot;:false,&quot;dropping-particle&quot;:&quot;&quot;,&quot;non-dropping-particle&quot;:&quot;&quot;},{&quot;family&quot;:&quot;Seri&quot;,&quot;given&quot;:&quot;S&quot;,&quot;parse-names&quot;:false,&quot;dropping-particle&quot;:&quot;&quot;,&quot;non-dropping-particle&quot;:&quot;&quot;},{&quot;family&quot;:&quot;Stern&quot;,&quot;given&quot;:&quot;J S&quot;,&quot;parse-names&quot;:false,&quot;dropping-particle&quot;:&quot;&quot;,&quot;non-dropping-particle&quot;:&quot;&quot;},{&quot;family&quot;:&quot;Robertson&quot;,&quot;given&quot;:&quot;M M&quot;,&quot;parse-names&quot;:false,&quot;dropping-particle&quot;:&quot;&quot;,&quot;non-dropping-particle&quot;:&quot;&quot;},{&quot;family&quot;:&quot;Cavanna&quot;,&quot;given&quot;:&quot;A E&quot;,&quot;parse-names&quot;:false,&quot;dropping-particle&quot;:&quot;&quot;,&quot;non-dropping-particle&quot;:&quot;&quot;}],&quot;container-title&quot;:&quot;Brain Dev&quot;,&quot;DOI&quot;:&quot;10.1016/j.braindev.2012.12.010&quot;,&quot;PMID&quot;:&quot;23369830&quot;,&quot;URL&quot;:&quot;https://www.brainanddevelopment.com/article/S0387-7604(13)00002-8/fulltext&quot;,&quot;issued&quot;:{&quot;date-parts&quot;:[[2014]]},&quot;page&quot;:&quot;45-50&quot;,&quot;abstract&quot;:&quot;OBJECTIVE: Patients with Tourette syndrome (TS) often report characteristic sensory experiences, also called premonitory urges (PUs), which precede tic expression and have high diagnostic relevance. This study investigated the usefulness of a scale developed and validated in children and adolescents-the Premonitory Urge for Tics Scale (PUTS, Woods et al., 2005 [13])-for the assessment of PUs in adult patients with TS. METHOD: Standard statistical methods were applied to test the psychometric properties of the PUTS in 102 adult TS outpatients recruited from two specialist clinics in the United Kingdom. RESULTS: The PUTS showed good acceptability and endorsement rates, with evenly distributed scores and low floor and ceiling effects. Item-total correlations were moderate to strong; PUTS total scores were significantly correlated with quantitative measures of TS severity. The PUTS showed excellent internal consistency reliability (Cronbach's alpha=0.85) and Spearman's correlations demonstrated satisfactory convergent and discriminant validity. CONCLUSIONS: Although originally devised to assess urges to tic in young patients with TS, the PUTS demonstrated good psychometric properties in a large sample of adults recruited at specialist TS clinics. This instrument is therefore recommended for use across the life span as a valid and reliable self-report measure of sensory experiences accompanying tic expression.&quot;,&quot;issue&quot;:&quot;1&quot;,&quot;volume&quot;:&quot;36&quot;,&quot;container-title-short&quot;:&quot;&quot;},&quot;isTemporary&quot;:false},{&quot;id&quot;:&quot;d2ed6f6a-7449-3531-8619-0c321bff7f38&quot;,&quot;itemData&quot;:{&quot;type&quot;:&quot;article-journal&quot;,&quot;id&quot;:&quot;d2ed6f6a-7449-3531-8619-0c321bff7f38&quot;,&quot;title&quot;:&quot;Sensory hypersensitivity severity and association with obsessive-compulsive symptoms in adults with tic disorder&quot;,&quot;groupId&quot;:&quot;07d62ac1-5aa8-39af-b49e-52d2088ac571&quot;,&quot;author&quot;:[{&quot;family&quot;:&quot;Isaacs&quot;,&quot;given&quot;:&quot;David&quot;,&quot;parse-names&quot;:false,&quot;dropping-particle&quot;:&quot;&quot;,&quot;non-dropping-particle&quot;:&quot;&quot;},{&quot;family&quot;:&quot;Key&quot;,&quot;given&quot;:&quot;Alexandra P.&quot;,&quot;parse-names&quot;:false,&quot;dropping-particle&quot;:&quot;&quot;,&quot;non-dropping-particle&quot;:&quot;&quot;},{&quot;family&quot;:&quot;Cascio&quot;,&quot;given&quot;:&quot;Carissa J.&quot;,&quot;parse-names&quot;:false,&quot;dropping-particle&quot;:&quot;&quot;,&quot;non-dropping-particle&quot;:&quot;&quot;},{&quot;family&quot;:&quot;Conley&quot;,&quot;given&quot;:&quot;Alexander C.&quot;,&quot;parse-names&quot;:false,&quot;dropping-particle&quot;:&quot;&quot;,&quot;non-dropping-particle&quot;:&quot;&quot;},{&quot;family&quot;:&quot;Walker&quot;,&quot;given&quot;:&quot;Harrison C.&quot;,&quot;parse-names&quot;:false,&quot;dropping-particle&quot;:&quot;&quot;,&quot;non-dropping-particle&quot;:&quot;&quot;},{&quot;family&quot;:&quot;Wallace&quot;,&quot;given&quot;:&quot;Mark T.&quot;,&quot;parse-names&quot;:false,&quot;dropping-particle&quot;:&quot;&quot;,&quot;non-dropping-particle&quot;:&quot;&quot;},{&quot;family&quot;:&quot;Claassen&quot;,&quot;given&quot;:&quot;Daniel O.&quot;,&quot;parse-names&quot;:false,&quot;dropping-particle&quot;:&quot;&quot;,&quot;non-dropping-particle&quot;:&quot;&quot;}],&quot;container-title&quot;:&quot;Neuropsychiatric Disease and Treatment&quot;,&quot;DOI&quot;:&quot;10.2147/NDT.S274165&quot;,&quot;ISSN&quot;:&quot;11782021&quot;,&quot;issued&quot;:{&quot;date-parts&quot;:[[2020]]},&quot;page&quot;:&quot;2591-2601&quot;,&quot;abstract&quot;:&quot;Background: Sensory hypersensitivity, defined as heightened awareness of and reactivity to external stimuli, is a bothersome symptom that affects up to 80% of adults with Tourette syndrome (TS). Such widespread prevalence suggests sensory hypersensitivity is a core feature of the disorder, but its severity and association with other clinical features of TS remain largely unexplored. Complicating matters, sensory hypersensitivity has been observed in two neurodevelopmental disorders commonly comorbid with TS: obsessive-compulsive disorder (OCD) and attention deficit hyperactivity disorder (ADHD). Objective: We sought to measure sensory hypersensitivity in TS patients relative to healthy controls and to investigate the relationship of sensory hypersensitivity with OCD and ADHD symptoms in the context of TS. Methods: We recruited 34 adults with TS or chronic tic disorder to undergo evaluation with the Yale Global Tic Severity Scale (YGTSS) and a battery of validated self-report instru-ments assessing sensory hypersensitivity (Sensory Gating Inventory, SGI; Sensory Perception Quotient, SPQ), premonitory urge (Premonitory Urge to Tic Scale, PUTS), OCD (Dimensional Obsessive-Compulsive Scale, DOCS), and ADHD (Adult ADHD Self-Report Screening Scale for DSM-5, ASRS-V). Age-and sex-matched healthy controls were recruited to complete SGI and psychiatric measures. Results: SGI and SPQ scores strongly correlated (rs = −0.73, p &lt; 0.0001) within patients. SGI total score was significantly higher in patients versus controls (119.0 vs 67.6, U =−5.3, p &lt; 0.0001), indicating greater sensory hypersensitivity in the tic disorder group. SGI score correlated modestly with PUTS, DOCS, and ASRS-V scores but not with YGTSS total tic score. Hierarchical linear regression analysis revealed that, of the tested variables, only DOCS score contributed significantly to mean SGI score, with β ranging from 1.03 (p = 0.044) to 1.41 (p = 0.001). A simple linear regression model with DOCS as the independent variable accounted for 31.9% of SGI score variance. Conclusion: Sensory hypersensitivity is prominent in adults with tic disorder and is independently associated with obsessive-compulsive symptom severity.&quot;,&quot;publisher&quot;:&quot;Dove Medical Press Ltd&quot;,&quot;volume&quot;:&quot;16&quot;,&quot;container-title-short&quot;:&quot;Neuropsychiatr Dis Treat&quot;},&quot;isTemporary&quot;:false},{&quot;id&quot;:&quot;bbf54c38-7ef5-35f9-aff6-1c8e0f021faa&quot;,&quot;itemData&quot;:{&quot;type&quot;:&quot;article-journal&quot;,&quot;id&quot;:&quot;bbf54c38-7ef5-35f9-aff6-1c8e0f021faa&quot;,&quot;title&quot;:&quot;Interoception and Premonitory Urges in Children and Adolescents With Tic Disorders&quot;,&quot;groupId&quot;:&quot;07d62ac1-5aa8-39af-b49e-52d2088ac571&quot;,&quot;author&quot;:[{&quot;family&quot;:&quot;Schütteler&quot;,&quot;given&quot;:&quot;C&quot;,&quot;parse-names&quot;:false,&quot;dropping-particle&quot;:&quot;&quot;,&quot;non-dropping-particle&quot;:&quot;&quot;},{&quot;family&quot;:&quot;Woitecki&quot;,&quot;given&quot;:&quot;K&quot;,&quot;parse-names&quot;:false,&quot;dropping-particle&quot;:&quot;&quot;,&quot;non-dropping-particle&quot;:&quot;&quot;},{&quot;family&quot;:&quot;Döpfner&quot;,&quot;given&quot;:&quot;M&quot;,&quot;parse-names&quot;:false,&quot;dropping-particle&quot;:&quot;&quot;,&quot;non-dropping-particle&quot;:&quot;&quot;},{&quot;family&quot;:&quot;Gerlach&quot;,&quot;given&quot;:&quot;A L&quot;,&quot;parse-names&quot;:false,&quot;dropping-particle&quot;:&quot;&quot;,&quot;non-dropping-particle&quot;:&quot;&quot;}],&quot;container-title&quot;:&quot;Clin Psychol Eur&quot;,&quot;DOI&quot;:&quot;10.32872/cpe.8185&quot;,&quot;PMID&quot;:&quot;37065000&quot;,&quot;issued&quot;:{&quot;date-parts&quot;:[[2023]]},&quot;page&quot;:&quot;e8185-&quot;,&quot;abstract&quot;:&quot;BACKGROUND: Compared to healthy controls (HCs), adult Tic Disorder (TD) patients exhibit a lower interoceptive accuracy (IAcc) in heartbeat perception. Since the lower IAcc is not evident in children, the age at which tics develop, but in adults only (Pile et al., 2018, https://doi.org/10.1007/s10803-018-3608-8), lower IAcc may reflect a pathological mechanism relevant with regard to tics, premonitory urges (PUs) or the resulting impairment. Although tics are a motor phenomenon, up to date, IAcc has been assessed only with a heartbeat-counting task. This study aims at comparing cardiac and muscular IAcc using two different paradigms and investigates how IAcc is related to premonitory urges in youth. METHOD: Interoceptive measures (heartbeat-counting task, muscle tension paradigm) of 28 youth with TD were compared to 23 control participants and related to self-rated premonitory urges and tic symptoms. RESULTS: TD patients did not differ from HCs in any IAcc measures. However, within TD patients, IAcc explained additional variance in PUs when controlling for tic severity. Muscular IAcc in TD patients is related to urges and tics, but the direction of this association is unclear. IAcc is lower in TD patients than in HCs, indicating imprecise sensory input which is more easily overcome by priors within the predictive coding framework. CONCLUSIONS: Muscle tension feedback tasks could extend interoceptive trainings aimed at improving IAcc to improve accuracy of urge perception (more precise sensory input) to foster the ability to control tics via HRT. Longitudinal studies could provide further insights in causal relationships between IAcc, premonitory urges and tics.&quot;,&quot;issue&quot;:&quot;1&quot;,&quot;volume&quot;:&quot;5&quot;,&quot;container-title-short&quot;:&quot;&quot;},&quot;isTemporary&quot;:false}]},{&quot;citationID&quot;:&quot;MENDELEY_CITATION_0bbd4f1c-b3e5-4663-9730-8f2134b8d2aa&quot;,&quot;properties&quot;:{&quot;noteIndex&quot;:0},&quot;isEdited&quot;:false,&quot;manualOverride&quot;:{&quot;isManuallyOverridden&quot;:false,&quot;citeprocText&quot;:&quot;(21)&quot;,&quot;manualOverrideText&quot;:&quot;&quot;},&quot;citationTag&quot;:&quot;MENDELEY_CITATION_v3_eyJjaXRhdGlvbklEIjoiTUVOREVMRVlfQ0lUQVRJT05fMGJiZDRmMWMtYjNlNS00NjYzLTk3MzAtOGYyMTM0YjhkMmFhIiwicHJvcGVydGllcyI6eyJub3RlSW5kZXgiOjB9LCJpc0VkaXRlZCI6ZmFsc2UsIm1hbnVhbE92ZXJyaWRlIjp7ImlzTWFudWFsbHlPdmVycmlkZGVuIjpmYWxzZSwiY2l0ZXByb2NUZXh0IjoiKDIxKSIsIm1hbnVhbE92ZXJyaWRlVGV4dCI6IiJ9LCJjaXRhdGlvbkl0ZW1zIjpbeyJpZCI6ImJiZjU0YzM4LTdlZjUtMzVmOS1hZmY2LTFjOGUwZjAyMWZhYSIsIml0ZW1EYXRhIjp7InR5cGUiOiJhcnRpY2xlLWpvdXJuYWwiLCJpZCI6ImJiZjU0YzM4LTdlZjUtMzVmOS1hZmY2LTFjOGUwZjAyMWZhYSIsInRpdGxlIjoiSW50ZXJvY2VwdGlvbiBhbmQgUHJlbW9uaXRvcnkgVXJnZXMgaW4gQ2hpbGRyZW4gYW5kIEFkb2xlc2NlbnRzIFdpdGggVGljIERpc29yZGVycyIsImdyb3VwSWQiOiIwN2Q2MmFjMS01YWE4LTM5YWYtYjQ5ZS01MmQyMDg4YWM1NzEiLCJhdXRob3IiOlt7ImZhbWlseSI6IlNjaMO8dHRlbGVyIiwiZ2l2ZW4iOiJDIiwicGFyc2UtbmFtZXMiOmZhbHNlLCJkcm9wcGluZy1wYXJ0aWNsZSI6IiIsIm5vbi1kcm9wcGluZy1wYXJ0aWNsZSI6IiJ9LHsiZmFtaWx5IjoiV29pdGVja2kiLCJnaXZlbiI6IksiLCJwYXJzZS1uYW1lcyI6ZmFsc2UsImRyb3BwaW5nLXBhcnRpY2xlIjoiIiwibm9uLWRyb3BwaW5nLXBhcnRpY2xlIjoiIn0seyJmYW1pbHkiOiJEw7ZwZm5lciIsImdpdmVuIjoiTSIsInBhcnNlLW5hbWVzIjpmYWxzZSwiZHJvcHBpbmctcGFydGljbGUiOiIiLCJub24tZHJvcHBpbmctcGFydGljbGUiOiIifSx7ImZhbWlseSI6IkdlcmxhY2giLCJnaXZlbiI6IkEgTCIsInBhcnNlLW5hbWVzIjpmYWxzZSwiZHJvcHBpbmctcGFydGljbGUiOiIiLCJub24tZHJvcHBpbmctcGFydGljbGUiOiIifV0sImNvbnRhaW5lci10aXRsZSI6IkNsaW4gUHN5Y2hvbCBFdXIiLCJET0kiOiIxMC4zMjg3Mi9jcGUuODE4NSIsIlBNSUQiOiIzNzA2NTAwMCIsImlzc3VlZCI6eyJkYXRlLXBhcnRzIjpbWzIwMjNdXX0sInBhZ2UiOiJlODE4NS0iLCJhYnN0cmFjdCI6IkJBQ0tHUk9VTkQ6IENvbXBhcmVkIHRvIGhlYWx0aHkgY29udHJvbHMgKEhDcyksIGFkdWx0IFRpYyBEaXNvcmRlciAoVEQpIHBhdGllbnRzIGV4aGliaXQgYSBsb3dlciBpbnRlcm9jZXB0aXZlIGFjY3VyYWN5IChJQWNjKSBpbiBoZWFydGJlYXQgcGVyY2VwdGlvbi4gU2luY2UgdGhlIGxvd2VyIElBY2MgaXMgbm90IGV2aWRlbnQgaW4gY2hpbGRyZW4sIHRoZSBhZ2UgYXQgd2hpY2ggdGljcyBkZXZlbG9wLCBidXQgaW4gYWR1bHRzIG9ubHkgKFBpbGUgZXQgYWwuLCAyMDE4LCBodHRwczovL2RvaS5vcmcvMTAuMTAwNy9zMTA4MDMtMDE4LTM2MDgtOCksIGxvd2VyIElBY2MgbWF5IHJlZmxlY3QgYSBwYXRob2xvZ2ljYWwgbWVjaGFuaXNtIHJlbGV2YW50IHdpdGggcmVnYXJkIHRvIHRpY3MsIHByZW1vbml0b3J5IHVyZ2VzIChQVXMpIG9yIHRoZSByZXN1bHRpbmcgaW1wYWlybWVudC4gQWx0aG91Z2ggdGljcyBhcmUgYSBtb3RvciBwaGVub21lbm9uLCB1cCB0byBkYXRlLCBJQWNjIGhhcyBiZWVuIGFzc2Vzc2VkIG9ubHkgd2l0aCBhIGhlYXJ0YmVhdC1jb3VudGluZyB0YXNrLiBUaGlzIHN0dWR5IGFpbXMgYXQgY29tcGFyaW5nIGNhcmRpYWMgYW5kIG11c2N1bGFyIElBY2MgdXNpbmcgdHdvIGRpZmZlcmVudCBwYXJhZGlnbXMgYW5kIGludmVzdGlnYXRlcyBob3cgSUFjYyBpcyByZWxhdGVkIHRvIHByZW1vbml0b3J5IHVyZ2VzIGluIHlvdXRoLiBNRVRIT0Q6IEludGVyb2NlcHRpdmUgbWVhc3VyZXMgKGhlYXJ0YmVhdC1jb3VudGluZyB0YXNrLCBtdXNjbGUgdGVuc2lvbiBwYXJhZGlnbSkgb2YgMjggeW91dGggd2l0aCBURCB3ZXJlIGNvbXBhcmVkIHRvIDIzIGNvbnRyb2wgcGFydGljaXBhbnRzIGFuZCByZWxhdGVkIHRvIHNlbGYtcmF0ZWQgcHJlbW9uaXRvcnkgdXJnZXMgYW5kIHRpYyBzeW1wdG9tcy4gUkVTVUxUUzogVEQgcGF0aWVudHMgZGlkIG5vdCBkaWZmZXIgZnJvbSBIQ3MgaW4gYW55IElBY2MgbWVhc3VyZXMuIEhvd2V2ZXIsIHdpdGhpbiBURCBwYXRpZW50cywgSUFjYyBleHBsYWluZWQgYWRkaXRpb25hbCB2YXJpYW5jZSBpbiBQVXMgd2hlbiBjb250cm9sbGluZyBmb3IgdGljIHNldmVyaXR5LiBNdXNjdWxhciBJQWNjIGluIFREIHBhdGllbnRzIGlzIHJlbGF0ZWQgdG8gdXJnZXMgYW5kIHRpY3MsIGJ1dCB0aGUgZGlyZWN0aW9uIG9mIHRoaXMgYXNzb2NpYXRpb24gaXMgdW5jbGVhci4gSUFjYyBpcyBsb3dlciBpbiBURCBwYXRpZW50cyB0aGFuIGluIEhDcywgaW5kaWNhdGluZyBpbXByZWNpc2Ugc2Vuc29yeSBpbnB1dCB3aGljaCBpcyBtb3JlIGVhc2lseSBvdmVyY29tZSBieSBwcmlvcnMgd2l0aGluIHRoZSBwcmVkaWN0aXZlIGNvZGluZyBmcmFtZXdvcmsuIENPTkNMVVNJT05TOiBNdXNjbGUgdGVuc2lvbiBmZWVkYmFjayB0YXNrcyBjb3VsZCBleHRlbmQgaW50ZXJvY2VwdGl2ZSB0cmFpbmluZ3MgYWltZWQgYXQgaW1wcm92aW5nIElBY2MgdG8gaW1wcm92ZSBhY2N1cmFjeSBvZiB1cmdlIHBlcmNlcHRpb24gKG1vcmUgcHJlY2lzZSBzZW5zb3J5IGlucHV0KSB0byBmb3N0ZXIgdGhlIGFiaWxpdHkgdG8gY29udHJvbCB0aWNzIHZpYSBIUlQuIExvbmdpdHVkaW5hbCBzdHVkaWVzIGNvdWxkIHByb3ZpZGUgZnVydGhlciBpbnNpZ2h0cyBpbiBjYXVzYWwgcmVsYXRpb25zaGlwcyBiZXR3ZWVuIElBY2MsIHByZW1vbml0b3J5IHVyZ2VzIGFuZCB0aWNzLiIsImlzc3VlIjoiMSIsInZvbHVtZSI6IjUiLCJjb250YWluZXItdGl0bGUtc2hvcnQiOiIifSwiaXNUZW1wb3JhcnkiOmZhbHNlfV19&quot;,&quot;citationItems&quot;:[{&quot;id&quot;:&quot;bbf54c38-7ef5-35f9-aff6-1c8e0f021faa&quot;,&quot;itemData&quot;:{&quot;type&quot;:&quot;article-journal&quot;,&quot;id&quot;:&quot;bbf54c38-7ef5-35f9-aff6-1c8e0f021faa&quot;,&quot;title&quot;:&quot;Interoception and Premonitory Urges in Children and Adolescents With Tic Disorders&quot;,&quot;groupId&quot;:&quot;07d62ac1-5aa8-39af-b49e-52d2088ac571&quot;,&quot;author&quot;:[{&quot;family&quot;:&quot;Schütteler&quot;,&quot;given&quot;:&quot;C&quot;,&quot;parse-names&quot;:false,&quot;dropping-particle&quot;:&quot;&quot;,&quot;non-dropping-particle&quot;:&quot;&quot;},{&quot;family&quot;:&quot;Woitecki&quot;,&quot;given&quot;:&quot;K&quot;,&quot;parse-names&quot;:false,&quot;dropping-particle&quot;:&quot;&quot;,&quot;non-dropping-particle&quot;:&quot;&quot;},{&quot;family&quot;:&quot;Döpfner&quot;,&quot;given&quot;:&quot;M&quot;,&quot;parse-names&quot;:false,&quot;dropping-particle&quot;:&quot;&quot;,&quot;non-dropping-particle&quot;:&quot;&quot;},{&quot;family&quot;:&quot;Gerlach&quot;,&quot;given&quot;:&quot;A L&quot;,&quot;parse-names&quot;:false,&quot;dropping-particle&quot;:&quot;&quot;,&quot;non-dropping-particle&quot;:&quot;&quot;}],&quot;container-title&quot;:&quot;Clin Psychol Eur&quot;,&quot;DOI&quot;:&quot;10.32872/cpe.8185&quot;,&quot;PMID&quot;:&quot;37065000&quot;,&quot;issued&quot;:{&quot;date-parts&quot;:[[2023]]},&quot;page&quot;:&quot;e8185-&quot;,&quot;abstract&quot;:&quot;BACKGROUND: Compared to healthy controls (HCs), adult Tic Disorder (TD) patients exhibit a lower interoceptive accuracy (IAcc) in heartbeat perception. Since the lower IAcc is not evident in children, the age at which tics develop, but in adults only (Pile et al., 2018, https://doi.org/10.1007/s10803-018-3608-8), lower IAcc may reflect a pathological mechanism relevant with regard to tics, premonitory urges (PUs) or the resulting impairment. Although tics are a motor phenomenon, up to date, IAcc has been assessed only with a heartbeat-counting task. This study aims at comparing cardiac and muscular IAcc using two different paradigms and investigates how IAcc is related to premonitory urges in youth. METHOD: Interoceptive measures (heartbeat-counting task, muscle tension paradigm) of 28 youth with TD were compared to 23 control participants and related to self-rated premonitory urges and tic symptoms. RESULTS: TD patients did not differ from HCs in any IAcc measures. However, within TD patients, IAcc explained additional variance in PUs when controlling for tic severity. Muscular IAcc in TD patients is related to urges and tics, but the direction of this association is unclear. IAcc is lower in TD patients than in HCs, indicating imprecise sensory input which is more easily overcome by priors within the predictive coding framework. CONCLUSIONS: Muscle tension feedback tasks could extend interoceptive trainings aimed at improving IAcc to improve accuracy of urge perception (more precise sensory input) to foster the ability to control tics via HRT. Longitudinal studies could provide further insights in causal relationships between IAcc, premonitory urges and tics.&quot;,&quot;issue&quot;:&quot;1&quot;,&quot;volume&quot;:&quot;5&quot;,&quot;container-title-short&quot;:&quot;&quot;},&quot;isTemporary&quot;:false}]},{&quot;citationID&quot;:&quot;MENDELEY_CITATION_fab87fcf-4543-4f2d-930e-59a5d7135498&quot;,&quot;properties&quot;:{&quot;noteIndex&quot;:0},&quot;isEdited&quot;:false,&quot;manualOverride&quot;:{&quot;isManuallyOverridden&quot;:false,&quot;citeprocText&quot;:&quot;(13,19)&quot;,&quot;manualOverrideText&quot;:&quot;&quot;},&quot;citationTag&quot;:&quot;MENDELEY_CITATION_v3_eyJjaXRhdGlvbklEIjoiTUVOREVMRVlfQ0lUQVRJT05fZmFiODdmY2YtNDU0My00ZjJkLTkzMGUtNTlhNWQ3MTM1NDk4IiwicHJvcGVydGllcyI6eyJub3RlSW5kZXgiOjB9LCJpc0VkaXRlZCI6ZmFsc2UsIm1hbnVhbE92ZXJyaWRlIjp7ImlzTWFudWFsbHlPdmVycmlkZGVuIjpmYWxzZSwiY2l0ZXByb2NUZXh0IjoiKDEzLDE5KSIsIm1hbnVhbE92ZXJyaWRlVGV4dCI6IiJ9LCJjaXRhdGlvbkl0ZW1zIjpbeyJpZCI6ImEyY2E5NWYxLWZhNWYtM2M0ZC05ZTJkLWM3YzM4OWE5YzQ5MSIsIml0ZW1EYXRhIjp7InR5cGUiOiJhcnRpY2xlLWpvdXJuYWwiLCJpZCI6ImEyY2E5NWYxLWZhNWYtM2M0ZC05ZTJkLWM3YzM4OWE5YzQ5MSIsInRpdGxlIjoiUHJlbW9uaXRvcnkgdXJnZXMgZm9yIHRpY3MgaW4gYWR1bHQgcGF0aWVudHMgd2l0aCBUb3VyZXR0ZSBzeW5kcm9tZSIsImdyb3VwSWQiOiIwN2Q2MmFjMS01YWE4LTM5YWYtYjQ5ZS01MmQyMDg4YWM1NzEiLCJhdXRob3IiOlt7ImZhbWlseSI6IkNyb3NzbGV5IiwiZ2l2ZW4iOiJFIiwicGFyc2UtbmFtZXMiOmZhbHNlLCJkcm9wcGluZy1wYXJ0aWNsZSI6IiIsIm5vbi1kcm9wcGluZy1wYXJ0aWNsZSI6IiJ9LHsiZmFtaWx5IjoiU2VyaSIsImdpdmVuIjoiUyIsInBhcnNlLW5hbWVzIjpmYWxzZSwiZHJvcHBpbmctcGFydGljbGUiOiIiLCJub24tZHJvcHBpbmctcGFydGljbGUiOiIifSx7ImZhbWlseSI6IlN0ZXJuIiwiZ2l2ZW4iOiJKIFMiLCJwYXJzZS1uYW1lcyI6ZmFsc2UsImRyb3BwaW5nLXBhcnRpY2xlIjoiIiwibm9uLWRyb3BwaW5nLXBhcnRpY2xlIjoiIn0seyJmYW1pbHkiOiJSb2JlcnRzb24iLCJnaXZlbiI6Ik0gTSIsInBhcnNlLW5hbWVzIjpmYWxzZSwiZHJvcHBpbmctcGFydGljbGUiOiIiLCJub24tZHJvcHBpbmctcGFydGljbGUiOiIifSx7ImZhbWlseSI6IkNhdmFubmEiLCJnaXZlbiI6IkEgRSIsInBhcnNlLW5hbWVzIjpmYWxzZSwiZHJvcHBpbmctcGFydGljbGUiOiIiLCJub24tZHJvcHBpbmctcGFydGljbGUiOiIifV0sImNvbnRhaW5lci10aXRsZSI6IkJyYWluIERldiIsIkRPSSI6IjEwLjEwMTYvai5icmFpbmRldi4yMDEyLjEyLjAxMCIsIlBNSUQiOiIyMzM2OTgzMCIsIlVSTCI6Imh0dHBzOi8vd3d3LmJyYWluYW5kZGV2ZWxvcG1lbnQuY29tL2FydGljbGUvUzAzODctNzYwNCgxMykwMDAwMi04L2Z1bGx0ZXh0IiwiaXNzdWVkIjp7ImRhdGUtcGFydHMiOltbMjAxNF1dfSwicGFnZSI6IjQ1LTUwIiwiYWJzdHJhY3QiOiJPQkpFQ1RJVkU6IFBhdGllbnRzIHdpdGggVG91cmV0dGUgc3luZHJvbWUgKFRTKSBvZnRlbiByZXBvcnQgY2hhcmFjdGVyaXN0aWMgc2Vuc29yeSBleHBlcmllbmNlcywgYWxzbyBjYWxsZWQgcHJlbW9uaXRvcnkgdXJnZXMgKFBVcyksIHdoaWNoIHByZWNlZGUgdGljIGV4cHJlc3Npb24gYW5kIGhhdmUgaGlnaCBkaWFnbm9zdGljIHJlbGV2YW5jZS4gVGhpcyBzdHVkeSBpbnZlc3RpZ2F0ZWQgdGhlIHVzZWZ1bG5lc3Mgb2YgYSBzY2FsZSBkZXZlbG9wZWQgYW5kIHZhbGlkYXRlZCBpbiBjaGlsZHJlbiBhbmQgYWRvbGVzY2VudHMtdGhlIFByZW1vbml0b3J5IFVyZ2UgZm9yIFRpY3MgU2NhbGUgKFBVVFMsIFdvb2RzIGV0IGFsLiwgMjAwNSBbMTNdKS1mb3IgdGhlIGFzc2Vzc21lbnQgb2YgUFVzIGluIGFkdWx0IHBhdGllbnRzIHdpdGggVFMuIE1FVEhPRDogU3RhbmRhcmQgc3RhdGlzdGljYWwgbWV0aG9kcyB3ZXJlIGFwcGxpZWQgdG8gdGVzdCB0aGUgcHN5Y2hvbWV0cmljIHByb3BlcnRpZXMgb2YgdGhlIFBVVFMgaW4gMTAyIGFkdWx0IFRTIG91dHBhdGllbnRzIHJlY3J1aXRlZCBmcm9tIHR3byBzcGVjaWFsaXN0IGNsaW5pY3MgaW4gdGhlIFVuaXRlZCBLaW5nZG9tLiBSRVNVTFRTOiBUaGUgUFVUUyBzaG93ZWQgZ29vZCBhY2NlcHRhYmlsaXR5IGFuZCBlbmRvcnNlbWVudCByYXRlcywgd2l0aCBldmVubHkgZGlzdHJpYnV0ZWQgc2NvcmVzIGFuZCBsb3cgZmxvb3IgYW5kIGNlaWxpbmcgZWZmZWN0cy4gSXRlbS10b3RhbCBjb3JyZWxhdGlvbnMgd2VyZSBtb2RlcmF0ZSB0byBzdHJvbmc7IFBVVFMgdG90YWwgc2NvcmVzIHdlcmUgc2lnbmlmaWNhbnRseSBjb3JyZWxhdGVkIHdpdGggcXVhbnRpdGF0aXZlIG1lYXN1cmVzIG9mIFRTIHNldmVyaXR5LiBUaGUgUFVUUyBzaG93ZWQgZXhjZWxsZW50IGludGVybmFsIGNvbnNpc3RlbmN5IHJlbGlhYmlsaXR5IChDcm9uYmFjaCdzIGFscGhhPTAuODUpIGFuZCBTcGVhcm1hbidzIGNvcnJlbGF0aW9ucyBkZW1vbnN0cmF0ZWQgc2F0aXNmYWN0b3J5IGNvbnZlcmdlbnQgYW5kIGRpc2NyaW1pbmFudCB2YWxpZGl0eS4gQ09OQ0xVU0lPTlM6IEFsdGhvdWdoIG9yaWdpbmFsbHkgZGV2aXNlZCB0byBhc3Nlc3MgdXJnZXMgdG8gdGljIGluIHlvdW5nIHBhdGllbnRzIHdpdGggVFMsIHRoZSBQVVRTIGRlbW9uc3RyYXRlZCBnb29kIHBzeWNob21ldHJpYyBwcm9wZXJ0aWVzIGluIGEgbGFyZ2Ugc2FtcGxlIG9mIGFkdWx0cyByZWNydWl0ZWQgYXQgc3BlY2lhbGlzdCBUUyBjbGluaWNzLiBUaGlzIGluc3RydW1lbnQgaXMgdGhlcmVmb3JlIHJlY29tbWVuZGVkIGZvciB1c2UgYWNyb3NzIHRoZSBsaWZlIHNwYW4gYXMgYSB2YWxpZCBhbmQgcmVsaWFibGUgc2VsZi1yZXBvcnQgbWVhc3VyZSBvZiBzZW5zb3J5IGV4cGVyaWVuY2VzIGFjY29tcGFueWluZyB0aWMgZXhwcmVzc2lvbi4iLCJpc3N1ZSI6IjEiLCJ2b2x1bWUiOiIzNiIsImNvbnRhaW5lci10aXRsZS1zaG9ydCI6IiJ9LCJpc1RlbXBvcmFyeSI6ZmFsc2V9LHsiaWQiOiIxZWVlNjBhNi1kZWIxLTM1NWMtOGE2Yy04Mjc2NmQ4NzMwNzYiLCJpdGVtRGF0YSI6eyJ0eXBlIjoiYXJ0aWNsZS1qb3VybmFsIiwiaWQiOiIxZWVlNjBhNi1kZWIxLTM1NWMtOGE2Yy04Mjc2NmQ4NzMwNzYiLCJ0aXRsZSI6IlBlZXIgdmljdGltaXphdGlvbiBpbiB5b3V0aCB3aXRoIFRvdXJldHRlIHN5bmRyb21lIGFuZCBvdGhlciBjaHJvbmljIHRpYyBkaXNvcmRlcnMiLCJncm91cElkIjoiMDdkNjJhYzEtNWFhOC0zOWFmLWI0OWUtNTJkMjA4OGFjNTcxIiwiYXV0aG9yIjpbeyJmYW1pbHkiOiJaaW5uZXIiLCJnaXZlbiI6IlMgSCIsInBhcnNlLW5hbWVzIjpmYWxzZSwiZHJvcHBpbmctcGFydGljbGUiOiIiLCJub24tZHJvcHBpbmctcGFydGljbGUiOiIifSx7ImZhbWlseSI6IkNvbmVsZWEiLCJnaXZlbiI6IkMgQSIsInBhcnNlLW5hbWVzIjpmYWxzZSwiZHJvcHBpbmctcGFydGljbGUiOiIiLCJub24tZHJvcHBpbmctcGFydGljbGUiOiIifSx7ImZhbWlseSI6IkdsZXciLCJnaXZlbiI6IkcgTSIsInBhcnNlLW5hbWVzIjpmYWxzZSwiZHJvcHBpbmctcGFydGljbGUiOiIiLCJub24tZHJvcHBpbmctcGFydGljbGUiOiIifSx7ImZhbWlseSI6Ildvb2RzIiwiZ2l2ZW4iOiJEIFciLCJwYXJzZS1uYW1lcyI6ZmFsc2UsImRyb3BwaW5nLXBhcnRpY2xlIjoiIiwibm9uLWRyb3BwaW5nLXBhcnRpY2xlIjoiIn0seyJmYW1pbHkiOiJCdWRtYW4iLCJnaXZlbiI6IkMgTCIsInBhcnNlLW5hbWVzIjpmYWxzZSwiZHJvcHBpbmctcGFydGljbGUiOiIiLCJub24tZHJvcHBpbmctcGFydGljbGUiOiIifV0sImNvbnRhaW5lci10aXRsZSI6IkNoaWxkIHBzeWNoaWF0cnkgYW5kIGh1bWFuIGRldmVsb3BtZW50IiwiY29udGFpbmVyLXRpdGxlLXNob3J0IjoiQ2hpbGQgUHN5Y2hpYXRyeSBIdW0gRGV2IiwiRE9JIjoiaHR0cHM6Ly9keC5kb2kub3JnLzEwLjEwMDcvczEwNTc4LTAxMS0wMjQ5LXkiLCJVUkwiOiJodHRwOi8vb3ZpZHNwLm92aWQuY29tL292aWR3ZWIuY2dpP1Q9SlMmUEFHRT1yZWZlcmVuY2UmRD1lbWVkMTMmTkVXUz1OJkFOPTM2NDkzODE2MiIsImlzc3VlZCI6eyJkYXRlLXBhcnRzIjpbWzIwMTJdXX0sInBhZ2UiOiIxMjQtMTM2IiwiYWJzdHJhY3QiOiJDaHJvbmljIHRpYyBkaXNvcmRlcnMgaW5jbHVkaW5nIFRvdXJldHRlIHN5bmRyb21lIGhhdmUgbmVnYXRpdmUgaW1wYWN0IGFjcm9zcyBtdWx0aXBsZSBmdW5jdGlvbmFsIGRvbWFpbnMuIFdlIGV4cGxvcmVkIGFzc29jaWF0aW9ucyBiZXR3ZWVuIHBlZXIgdmljdGltaXphdGlvbiBzdGF0dXMgYW5kIHRpYyBzdWJ0eXBlcywgcHJlbW9uaXRvcnkgdXJnZXMsIGludGVybmFsaXppbmcgc3ltcHRvbXMsIGV4cGxvc2l2ZSBvdXRidXJzdHMsIGFuZCBxdWFsaXR5IG9mIGxpZmUgYW1vbmcgeW91dGggd2l0aCBjaHJvbmljIHRpYyBkaXNvcmRlcnMsIGFzIHBhcnQgb2YgdGhlIGludGVybmV0LWJhc2VkIG9tbmlidXMgVG91cmV0dGUgU3luZHJvbWUgSW1wYWN0IFN1cnZleS4gQSBtaXhlZCBtZXRob2RzIGRlc2lnbiBjb21iaW5lZCBjaGlsZCBzZWxmLXJlcG9ydCBhbmQgcGFyZW50YWwgcHJveHktcmVwb3J0IChpLmUuLCBwYXJlbnQgcmVwb3J0aW5nIG9uIHRoZSBjaGlsZCkgZGVtb2dyYXBoaWMgYW5kIHF1YW50aXRhdGl2ZSBkYXRhIGZvciBhZmZlY3RlZCB5b3V0aCBhZ2VzIDEwLTE3IHllYXJzIGFkZHJlc3NpbmcgZ2VuZGVyLCBtZWFuIGFnZSwgZXRobmljaXR5IGFuZCBvdGhlciBzb2Npb2Vjb25vbWljIGZlYXR1cmVzLCBhbmQgcHJlc2VuY2Ugb2YgdGljIGRpc29yZGVycyBhbmQgY28tb2NjdXJyaW5nIHBzeWNoaWF0cmljIGRpc29yZGVycy4gUGVlciBcIlZpY3RpbVwiIHZlcnN1cyBcIk5vbi12aWN0aW1cIiBzdGF0dXMgd2FzIGRldGVybWluZWQgdXNpbmcgYSBzdWJzZXQgb2YgZm91ciBxdWVzdGlvbnMgYWJvdXQgYmVpbmcgYnVsbGllZC4gXCJWaWN0aW1cIiBzdGF0dXMgd2FzIGlkZW50aWZpZWQgZm9yIHRob3NlIHlvdXRoIHdobyBlbmRvcnNlZCB0aGUgZnJlcXVlbmN5IG9mIHRoZSBvY2N1cnJlbmNlIG9mIGJlaW5nIGJ1bGxpZWQgaW4gb25lIG9yIG1vcmUgb2YgdGhlIGZvdXIgcXVlc3Rpb25zIGFzIFwibW9zdCBvZiB0aGUgdGltZVwiIG9yIFwiYWxsIG9mIHRoZSB0aW1lXCIuIERhdGEgZnJvbSAyMTEgZWxpZ2libGUgeW91dGggcmVzcG9uZGVudHMgYW5kIHRoZWlyIHBhcmVudHMvZ3VhcmRpYW5zIHNob3dlZCAyNiUgcmVwb3J0aW5nIHBlZXIgdmljdGltaXphdGlvbi4gVmljdGltIHN0YXR1cyB3YXMgYXNzb2NpYXRlZCB3aXRoIGdyZWF0ZXIgdGljIGZyZXF1ZW5jeSwgY29tcGxleGl0eSBhbmQgc2V2ZXJpdHk7IGV4cGxvc2l2ZSBvdXRidXJzdHM7IGludGVybmFsaXppbmcgc3ltcHRvbXM7IGFuZCBsb3dlciBxdWFsaXR5IG9mIGxpZmUuIFBlZXIgdmljdGltaXphdGlvbiBhbW9uZyB5b3V0aCB3aXRoIGNocm9uaWMgdGljIGRpc29yZGVycyBpcyBjb21tb24gYW5kIGFwcGVhcnMgYXNzb2NpYXRlZCB3aXRoIHRpYyBtb3JiaWRpdHksIGFueGlldHksIGRlcHJlc3Npb24sIGV4cGxvc2l2ZSBvdXRidXJzdHMsIGFuZCBwb29yZXIgcHN5Y2hvc29jaWFsIGZ1bmN0aW9uaW5nLiBBbnRpY2lwYXRvcnkgZ3VpZGFuY2UsIHNwZWNpZmljIGJ1bGx5aW5nIHNjcmVlbmluZyBhbmQgcHJldmVudGlvbiwgYW5kIGZ1cnRoZXIgc3R1ZGllcyBhcmUgaW5kaWNhdGVkIGluIHRoaXMgcG9wdWxhdGlvbi4iLCJpc3N1ZSI6IjEiLCJ2b2x1bWUiOiI0MyJ9LCJpc1RlbXBvcmFyeSI6ZmFsc2V9XX0=&quot;,&quot;citationItems&quot;:[{&quot;id&quot;:&quot;a2ca95f1-fa5f-3c4d-9e2d-c7c389a9c491&quot;,&quot;itemData&quot;:{&quot;type&quot;:&quot;article-journal&quot;,&quot;id&quot;:&quot;a2ca95f1-fa5f-3c4d-9e2d-c7c389a9c491&quot;,&quot;title&quot;:&quot;Premonitory urges for tics in adult patients with Tourette syndrome&quot;,&quot;groupId&quot;:&quot;07d62ac1-5aa8-39af-b49e-52d2088ac571&quot;,&quot;author&quot;:[{&quot;family&quot;:&quot;Crossley&quot;,&quot;given&quot;:&quot;E&quot;,&quot;parse-names&quot;:false,&quot;dropping-particle&quot;:&quot;&quot;,&quot;non-dropping-particle&quot;:&quot;&quot;},{&quot;family&quot;:&quot;Seri&quot;,&quot;given&quot;:&quot;S&quot;,&quot;parse-names&quot;:false,&quot;dropping-particle&quot;:&quot;&quot;,&quot;non-dropping-particle&quot;:&quot;&quot;},{&quot;family&quot;:&quot;Stern&quot;,&quot;given&quot;:&quot;J S&quot;,&quot;parse-names&quot;:false,&quot;dropping-particle&quot;:&quot;&quot;,&quot;non-dropping-particle&quot;:&quot;&quot;},{&quot;family&quot;:&quot;Robertson&quot;,&quot;given&quot;:&quot;M M&quot;,&quot;parse-names&quot;:false,&quot;dropping-particle&quot;:&quot;&quot;,&quot;non-dropping-particle&quot;:&quot;&quot;},{&quot;family&quot;:&quot;Cavanna&quot;,&quot;given&quot;:&quot;A E&quot;,&quot;parse-names&quot;:false,&quot;dropping-particle&quot;:&quot;&quot;,&quot;non-dropping-particle&quot;:&quot;&quot;}],&quot;container-title&quot;:&quot;Brain Dev&quot;,&quot;DOI&quot;:&quot;10.1016/j.braindev.2012.12.010&quot;,&quot;PMID&quot;:&quot;23369830&quot;,&quot;URL&quot;:&quot;https://www.brainanddevelopment.com/article/S0387-7604(13)00002-8/fulltext&quot;,&quot;issued&quot;:{&quot;date-parts&quot;:[[2014]]},&quot;page&quot;:&quot;45-50&quot;,&quot;abstract&quot;:&quot;OBJECTIVE: Patients with Tourette syndrome (TS) often report characteristic sensory experiences, also called premonitory urges (PUs), which precede tic expression and have high diagnostic relevance. This study investigated the usefulness of a scale developed and validated in children and adolescents-the Premonitory Urge for Tics Scale (PUTS, Woods et al., 2005 [13])-for the assessment of PUs in adult patients with TS. METHOD: Standard statistical methods were applied to test the psychometric properties of the PUTS in 102 adult TS outpatients recruited from two specialist clinics in the United Kingdom. RESULTS: The PUTS showed good acceptability and endorsement rates, with evenly distributed scores and low floor and ceiling effects. Item-total correlations were moderate to strong; PUTS total scores were significantly correlated with quantitative measures of TS severity. The PUTS showed excellent internal consistency reliability (Cronbach's alpha=0.85) and Spearman's correlations demonstrated satisfactory convergent and discriminant validity. CONCLUSIONS: Although originally devised to assess urges to tic in young patients with TS, the PUTS demonstrated good psychometric properties in a large sample of adults recruited at specialist TS clinics. This instrument is therefore recommended for use across the life span as a valid and reliable self-report measure of sensory experiences accompanying tic expression.&quot;,&quot;issue&quot;:&quot;1&quot;,&quot;volume&quot;:&quot;36&quot;,&quot;container-title-short&quot;:&quot;&quot;},&quot;isTemporary&quot;:false},{&quot;id&quot;:&quot;1eee60a6-deb1-355c-8a6c-82766d873076&quot;,&quot;itemData&quot;:{&quot;type&quot;:&quot;article-journal&quot;,&quot;id&quot;:&quot;1eee60a6-deb1-355c-8a6c-82766d873076&quot;,&quot;title&quot;:&quot;Peer victimization in youth with Tourette syndrome and other chronic tic disorders&quot;,&quot;groupId&quot;:&quot;07d62ac1-5aa8-39af-b49e-52d2088ac571&quot;,&quot;author&quot;:[{&quot;family&quot;:&quot;Zinner&quot;,&quot;given&quot;:&quot;S H&quot;,&quot;parse-names&quot;:false,&quot;dropping-particle&quot;:&quot;&quot;,&quot;non-dropping-particle&quot;:&quot;&quot;},{&quot;family&quot;:&quot;Conelea&quot;,&quot;given&quot;:&quot;C A&quot;,&quot;parse-names&quot;:false,&quot;dropping-particle&quot;:&quot;&quot;,&quot;non-dropping-particle&quot;:&quot;&quot;},{&quot;family&quot;:&quot;Glew&quot;,&quot;given&quot;:&quot;G M&quot;,&quot;parse-names&quot;:false,&quot;dropping-particle&quot;:&quot;&quot;,&quot;non-dropping-particle&quot;:&quot;&quot;},{&quot;family&quot;:&quot;Woods&quot;,&quot;given&quot;:&quot;D W&quot;,&quot;parse-names&quot;:false,&quot;dropping-particle&quot;:&quot;&quot;,&quot;non-dropping-particle&quot;:&quot;&quot;},{&quot;family&quot;:&quot;Budman&quot;,&quot;given&quot;:&quot;C L&quot;,&quot;parse-names&quot;:false,&quot;dropping-particle&quot;:&quot;&quot;,&quot;non-dropping-particle&quot;:&quot;&quot;}],&quot;container-title&quot;:&quot;Child psychiatry and human development&quot;,&quot;container-title-short&quot;:&quot;Child Psychiatry Hum Dev&quot;,&quot;DOI&quot;:&quot;https://dx.doi.org/10.1007/s10578-011-0249-y&quot;,&quot;URL&quot;:&quot;http://ovidsp.ovid.com/ovidweb.cgi?T=JS&amp;PAGE=reference&amp;D=emed13&amp;NEWS=N&amp;AN=364938162&quot;,&quot;issued&quot;:{&quot;date-parts&quot;:[[2012]]},&quot;page&quot;:&quot;124-136&quot;,&quot;abstract&quot;:&quot;Chronic tic disorders including Tourette syndrome have negative impact across multiple functional domains. We explored associations between peer victimization status and tic subtypes, premonitory urges, internalizing symptoms, explosive outbursts, and quality of life among youth with chronic tic disorders, as part of the internet-based omnibus Tourette Syndrome Impact Survey. A mixed methods design combined child self-report and parental proxy-report (i.e., parent reporting on the child) demographic and quantitative data for affected youth ages 10-17 years addressing gender, mean age, ethnicity and other socioeconomic features, and presence of tic disorders and co-occurring psychiatric disorders. Peer \&quot;Victim\&quot; versus \&quot;Non-victim\&quot; status was determined using a subset of four questions about being bullied. \&quot;Victim\&quot; status was identified for those youth who endorsed the frequency of the occurrence of being bullied in one or more of the four questions as \&quot;most of the time\&quot; or \&quot;all of the time\&quot;. Data from 211 eligible youth respondents and their parents/guardians showed 26% reporting peer victimization. Victim status was associated with greater tic frequency, complexity and severity; explosive outbursts; internalizing symptoms; and lower quality of life. Peer victimization among youth with chronic tic disorders is common and appears associated with tic morbidity, anxiety, depression, explosive outbursts, and poorer psychosocial functioning. Anticipatory guidance, specific bullying screening and prevention, and further studies are indicated in this population.&quot;,&quot;issue&quot;:&quot;1&quot;,&quot;volume&quot;:&quot;43&quot;},&quot;isTemporary&quot;:false}]},{&quot;citationID&quot;:&quot;MENDELEY_CITATION_7cebda4f-90ca-4f4a-9580-7ce3e6c1a359&quot;,&quot;properties&quot;:{&quot;noteIndex&quot;:0},&quot;isEdited&quot;:false,&quot;manualOverride&quot;:{&quot;isManuallyOverridden&quot;:false,&quot;citeprocText&quot;:&quot;(18)&quot;,&quot;manualOverrideText&quot;:&quot;&quot;},&quot;citationTag&quot;:&quot;MENDELEY_CITATION_v3_eyJjaXRhdGlvbklEIjoiTUVOREVMRVlfQ0lUQVRJT05fN2NlYmRhNGYtOTBjYS00ZjRhLTk1ODAtN2NlM2U2YzFhMzU5IiwicHJvcGVydGllcyI6eyJub3RlSW5kZXgiOjB9LCJpc0VkaXRlZCI6ZmFsc2UsIm1hbnVhbE92ZXJyaWRlIjp7ImlzTWFudWFsbHlPdmVycmlkZGVuIjpmYWxzZSwiY2l0ZXByb2NUZXh0IjoiKDE4KSIsIm1hbnVhbE92ZXJyaWRlVGV4dCI6IiJ9LCJjaXRhdGlvbkl0ZW1zIjpbeyJpZCI6ImJkZjkyYTRmLWRmZjMtMzNiYS1hZjNmLWY2MmIxYjIxOTgxZiIsIml0ZW1EYXRhIjp7InR5cGUiOiJhcnRpY2xlLWpvdXJuYWwiLCJpZCI6ImJkZjkyYTRmLWRmZjMtMzNiYS1hZjNmLWY2MmIxYjIxOTgxZiIsInRpdGxlIjoiRGV2ZWxvcG1lbnQgb2YgdGhlIEtvcmVhbiBGb3JtIG9mIHRoZSBQcmVtb25pdG9yeSBVcmdlIGZvciBUaWNzIFNjYWxlOiBBIFJlbGlhYmlsaXR5IGFuZCBWYWxpZGl0eSBTdHVkeSIsImdyb3VwSWQiOiIwN2Q2MmFjMS01YWE4LTM5YWYtYjQ5ZS01MmQyMDg4YWM1NzEiLCJhdXRob3IiOlt7ImZhbWlseSI6IktpbSIsImdpdmVuIjoiTSIsInBhcnNlLW5hbWVzIjpmYWxzZSwiZHJvcHBpbmctcGFydGljbGUiOiIiLCJub24tZHJvcHBpbmctcGFydGljbGUiOiIifSx7ImZhbWlseSI6IkNodW5nIiwiZ2l2ZW4iOiJTIEsiLCJwYXJzZS1uYW1lcyI6ZmFsc2UsImRyb3BwaW5nLXBhcnRpY2xlIjoiIiwibm9uLWRyb3BwaW5nLXBhcnRpY2xlIjoiIn0seyJmYW1pbHkiOiJZYW5nIiwiZ2l2ZW4iOiJKIEMiLCJwYXJzZS1uYW1lcyI6ZmFsc2UsImRyb3BwaW5nLXBhcnRpY2xlIjoiIiwibm9uLWRyb3BwaW5nLXBhcnRpY2xlIjoiIn0seyJmYW1pbHkiOiJQYXJrIiwiZ2l2ZW4iOiJKIEkiLCJwYXJzZS1uYW1lcyI6ZmFsc2UsImRyb3BwaW5nLXBhcnRpY2xlIjoiIiwibm9uLWRyb3BwaW5nLXBhcnRpY2xlIjoiIn0seyJmYW1pbHkiOiJOYW0iLCJnaXZlbiI6IlMgSCIsInBhcnNlLW5hbWVzIjpmYWxzZSwiZHJvcHBpbmctcGFydGljbGUiOiIiLCJub24tZHJvcHBpbmctcGFydGljbGUiOiIifSx7ImZhbWlseSI6IlBhcmsiLCJnaXZlbiI6IlQgVyIsInBhcnNlLW5hbWVzIjpmYWxzZSwiZHJvcHBpbmctcGFydGljbGUiOiIiLCJub24tZHJvcHBpbmctcGFydGljbGUiOiIifV0sImNvbnRhaW5lci10aXRsZSI6IlNvYSBDaG9uZ3NvbnlvbiBDaG9uZ3NpbiBVaWhhayIsIkRPSSI6IjEwLjU3NjUvamthY2FwLjIwMDAxMyIsIlBNSUQiOiIzMjY2NTc1OCIsIlVSTCI6Imh0dHBzOi8vd3d3Lm5jYmkubmxtLm5paC5nb3YvcG1jL2FydGljbGVzL1BNQzczNTA1NDUvcGRmL0pLQUNBUC0zMS0xNDYucGRmIiwiaXNzdWVkIjp7ImRhdGUtcGFydHMiOltbMjAyMF1dfSwicGFnZSI6IjE0Ni0xNTMiLCJhYnN0cmFjdCI6Ik9CSkVDVElWRVM6IFRoaXMgc3R1ZHkgYWltZWQgdG8gZXZhbHVhdGUgdGhlIHJlbGlhYmlsaXR5IGFuZCB2YWxpZGl0eSBvZiB0aGUgS29yZWFuIEZvcm0gb2YgdGhlIFByZW1vbml0b3J5IFVyZ2UgZm9yIFRpY3MgU2NhbGUgKEstUFVUUykuIE1FVEhPRFM6IFRoaXJ0eS1laWdodCBwYXRpZW50cyB3aXRoIFRvdXJldHRlJ3MgZGlzb3JkZXIgd2hvIHZpc2l0ZWQgSmVvbmJ1ayBOYXRpb25hbCBVbml2ZXJzaXR5IEhvc3BpdGFsIHdlcmUgYXNzZXNzZWQgd2l0aCB0aGUgSy1QVVRTLiBUb2dldGhlciB3aXRoIHRoZSBQVVRTLCB0aGUgWWFsZSBHbG9iYWwgVGljIFNldmVyaXR5IFNjYWxlIChZR1RTUyksIHRoZSBDaGlsZHJlbidzIFlhbGUtQnJvd24gT2JzZXNzaXZlIENvbXB1bHNpdmUgU2NhbGUgKENZLUJPQ1MpLCB0aGUgYXR0ZW50aW9uLWRlZmljaXQvaHlwZXJhY3Rpdml0eSBkaXNvcmRlciAoQURIRCkgcmF0aW5nIHNjYWxlIChBUlMpLCBhbmQgdGhlIEFkdWx0IEFESEQgU2VsZi1SZXBvcnQgU2NhbGUgKEFTUlMpIHdlcmUgaW1wbGVtZW50ZWQgdG8gZXZhbHVhdGUgY29uY3VycmVudCBhbmQgZGlzY3JpbWluYW50IHZhbGlkaXR5LiBSRVNVTFRTOiBUaGUgaW50ZXJuYWwgY29uc2lzdGVuY3kgb2YgaXRlbXMgb24gdGhlIFBVVFMgd2FzIGhpZ2gsIHdpdGggYSBDcm9uYmFjaCdzIM6xIG9mIDAuNzkuIFRoZSB0ZXN0LXJldGVzdCByZWxpYWJpbGl0eSBvZiB0aGUgUFVUUywgd2hpY2ggd2FzIGFkbWluaXN0ZXJlZCBhdCAyIHdlZWtzIHRvIDIgbW9udGhzIGludGVydmFscywgc2hvd2VkIGhpZ2ggcmVsaWFiaWxpdHkgd2l0aCBhIFBlYXJzb24gY29ycmVsYXRpb24gY29lZmZpY2llbnQgb2YgMC42MC4gVGhlcmUgd2FzIGEgc2lnbmlmaWNhbnQgcG9zaXRpdmUgY29ycmVsYXRpb24gYmV0d2VlbiB0aGUgb3ZlcmFsbCBQVVRTIHNjb3JlIGFuZCB0aGUgWUdUU1Mgc2NvcmUsIHNob3dpbmcgY29uY3VycmVudCB2YWxpZGl0eS4gVGhlcmUgd2FzIG5vIGNvcnJlbGF0aW9uIGJldHdlZW4gdGhlIFBVVFMsIENZLUJPQ1MsIGFuZCBBU1JTIHNjb3JlcywgZGVtb25zdHJhdGluZyB0aGUgZGlzY3JpbWluYW50IHZhbGlkaXR5IG9mIHRoZSBQVVRTLiBGYWN0b3IgYW5hbHlzaXMgZm9yIGNvbnN0cnVjdCB2YWxpZGl0eSByZXZlYWxlZCB0aHJlZSBmYWN0b3JzOiBcInByZXN1bWVkIGZ1bmN0aW9uYWwgcmVsYXRpb25zaGlwIGJldHdlZW4gdGhlIHRpYyBhbmQgdGhlIHVyZ2UgdG8gdGljLFwiIFwidGhlIHF1YWxpdHkgb2YgdGhlIHByZW1vbml0b3J5IHVyZ2UsXCIgYW5kIFwianVzdCByaWdodCBwaGVub21lbmEuXCIgQ09OQ0xVU0lPTjogVGhlIHJlc3VsdHMgb2YgdGhpcyBzdHVkeSBpbmRpY2F0ZSB0aGF0IHRoZSBLLVBVVFMgaXMgYSByZWxpYWJsZSBhbmQgdmFsaWQgc2NhbGUgZm9yIHJhdGluZyBwcmVtb25pdG9yeSB1cmdlIG9mIHRpY3MuIiwiaXNzdWUiOiIzIiwidm9sdW1lIjoiMzEiLCJjb250YWluZXItdGl0bGUtc2hvcnQiOiIifSwiaXNUZW1wb3JhcnkiOmZhbHNlfV19&quot;,&quot;citationItems&quot;:[{&quot;id&quot;:&quot;bdf92a4f-dff3-33ba-af3f-f62b1b21981f&quot;,&quot;itemData&quot;:{&quot;type&quot;:&quot;article-journal&quot;,&quot;id&quot;:&quot;bdf92a4f-dff3-33ba-af3f-f62b1b21981f&quot;,&quot;title&quot;:&quot;Development of the Korean Form of the Premonitory Urge for Tics Scale: A Reliability and Validity Study&quot;,&quot;groupId&quot;:&quot;07d62ac1-5aa8-39af-b49e-52d2088ac571&quot;,&quot;author&quot;:[{&quot;family&quot;:&quot;Kim&quot;,&quot;given&quot;:&quot;M&quot;,&quot;parse-names&quot;:false,&quot;dropping-particle&quot;:&quot;&quot;,&quot;non-dropping-particle&quot;:&quot;&quot;},{&quot;family&quot;:&quot;Chung&quot;,&quot;given&quot;:&quot;S K&quot;,&quot;parse-names&quot;:false,&quot;dropping-particle&quot;:&quot;&quot;,&quot;non-dropping-particle&quot;:&quot;&quot;},{&quot;family&quot;:&quot;Yang&quot;,&quot;given&quot;:&quot;J C&quot;,&quot;parse-names&quot;:false,&quot;dropping-particle&quot;:&quot;&quot;,&quot;non-dropping-particle&quot;:&quot;&quot;},{&quot;family&quot;:&quot;Park&quot;,&quot;given&quot;:&quot;J I&quot;,&quot;parse-names&quot;:false,&quot;dropping-particle&quot;:&quot;&quot;,&quot;non-dropping-particle&quot;:&quot;&quot;},{&quot;family&quot;:&quot;Nam&quot;,&quot;given&quot;:&quot;S H&quot;,&quot;parse-names&quot;:false,&quot;dropping-particle&quot;:&quot;&quot;,&quot;non-dropping-particle&quot;:&quot;&quot;},{&quot;family&quot;:&quot;Park&quot;,&quot;given&quot;:&quot;T W&quot;,&quot;parse-names&quot;:false,&quot;dropping-particle&quot;:&quot;&quot;,&quot;non-dropping-particle&quot;:&quot;&quot;}],&quot;container-title&quot;:&quot;Soa Chongsonyon Chongsin Uihak&quot;,&quot;DOI&quot;:&quot;10.5765/jkacap.200013&quot;,&quot;PMID&quot;:&quot;32665758&quot;,&quot;URL&quot;:&quot;https://www.ncbi.nlm.nih.gov/pmc/articles/PMC7350545/pdf/JKACAP-31-146.pdf&quot;,&quot;issued&quot;:{&quot;date-parts&quot;:[[2020]]},&quot;page&quot;:&quot;146-153&quot;,&quot;abstract&quot;:&quot;OBJECTIVES: This study aimed to evaluate the reliability and validity of the Korean Form of the Premonitory Urge for Tics Scale (K-PUTS). METHODS: Thirty-eight patients with Tourette's disorder who visited Jeonbuk National University Hospital were assessed with the K-PUTS. Together with the PUTS, the Yale Global Tic Severity Scale (YGTSS), the Children's Yale-Brown Obsessive Compulsive Scale (CY-BOCS), the attention-deficit/hyperactivity disorder (ADHD) rating scale (ARS), and the Adult ADHD Self-Report Scale (ASRS) were implemented to evaluate concurrent and discriminant validity. RESULTS: The internal consistency of items on the PUTS was high, with a Cronbach's α of 0.79. The test-retest reliability of the PUTS, which was administered at 2 weeks to 2 months intervals, showed high reliability with a Pearson correlation coefficient of 0.60. There was a significant positive correlation between the overall PUTS score and the YGTSS score, showing concurrent validity. There was no correlation between the PUTS, CY-BOCS, and ASRS scores, demonstrating the discriminant validity of the PUTS. Factor analysis for construct validity revealed three factors: \&quot;presumed functional relationship between the tic and the urge to tic,\&quot; \&quot;the quality of the premonitory urge,\&quot; and \&quot;just right phenomena.\&quot; CONCLUSION: The results of this study indicate that the K-PUTS is a reliable and valid scale for rating premonitory urge of tics.&quot;,&quot;issue&quot;:&quot;3&quot;,&quot;volume&quot;:&quot;31&quot;,&quot;container-title-short&quot;:&quot;&quot;},&quot;isTemporary&quot;:false}]},{&quot;citationID&quot;:&quot;MENDELEY_CITATION_1f41afc9-80d4-4c59-9685-0d807820710e&quot;,&quot;properties&quot;:{&quot;noteIndex&quot;:0},&quot;isEdited&quot;:false,&quot;manualOverride&quot;:{&quot;isManuallyOverridden&quot;:false,&quot;citeprocText&quot;:&quot;(15)&quot;,&quot;manualOverrideText&quot;:&quot;&quot;},&quot;citationTag&quot;:&quot;MENDELEY_CITATION_v3_eyJjaXRhdGlvbklEIjoiTUVOREVMRVlfQ0lUQVRJT05fMWY0MWFmYzktODBkNC00YzU5LTk2ODUtMGQ4MDc4MjA3MTBlIiwicHJvcGVydGllcyI6eyJub3RlSW5kZXgiOjB9LCJpc0VkaXRlZCI6ZmFsc2UsIm1hbnVhbE92ZXJyaWRlIjp7ImlzTWFudWFsbHlPdmVycmlkZGVuIjpmYWxzZSwiY2l0ZXByb2NUZXh0IjoiKDE1KSIsIm1hbnVhbE92ZXJyaWRlVGV4dCI6IiJ9LCJjaXRhdGlvbkl0ZW1zIjpbeyJpZCI6IjM2OWMxMGM3LTAxNzYtMzQyMS04MmJlLTg4YzAwMGQzMWIyYSIsIml0ZW1EYXRhIjp7InR5cGUiOiJhcnRpY2xlLWpvdXJuYWwiLCJpZCI6IjM2OWMxMGM3LTAxNzYtMzQyMS04MmJlLTg4YzAwMGQzMWIyYSIsInRpdGxlIjoiVGhlIHByZW1vbml0b3J5IHVyZ2UgdG8gdGljOiBtZWFzdXJlbWVudCwgY2hhcmFjdGVyaXN0aWNzLCBhbmQgY29ycmVsYXRlcyBpbiBvbGRlciBhZG9sZXNjZW50cyBhbmQgYWR1bHRzIiwiZ3JvdXBJZCI6IjA3ZDYyYWMxLTVhYTgtMzlhZi1iNDllLTUyZDIwODhhYzU3MSIsImF1dGhvciI6W3siZmFtaWx5IjoiUmVlc2UiLCJnaXZlbiI6IkggRSIsInBhcnNlLW5hbWVzIjpmYWxzZSwiZHJvcHBpbmctcGFydGljbGUiOiIiLCJub24tZHJvcHBpbmctcGFydGljbGUiOiIifSx7ImZhbWlseSI6IlNjYWhpbGwiLCJnaXZlbiI6IkwiLCJwYXJzZS1uYW1lcyI6ZmFsc2UsImRyb3BwaW5nLXBhcnRpY2xlIjoiIiwibm9uLWRyb3BwaW5nLXBhcnRpY2xlIjoiIn0seyJmYW1pbHkiOiJQZXRlcnNvbiIsImdpdmVuIjoiQSBMIiwicGFyc2UtbmFtZXMiOmZhbHNlLCJkcm9wcGluZy1wYXJ0aWNsZSI6IiIsIm5vbi1kcm9wcGluZy1wYXJ0aWNsZSI6IiJ9LHsiZmFtaWx5IjoiQ3Jvd2UiLCJnaXZlbiI6IksiLCJwYXJzZS1uYW1lcyI6ZmFsc2UsImRyb3BwaW5nLXBhcnRpY2xlIjoiIiwibm9uLWRyb3BwaW5nLXBhcnRpY2xlIjoiIn0seyJmYW1pbHkiOiJXb29kcyIsImdpdmVuIjoiRCBXIiwicGFyc2UtbmFtZXMiOmZhbHNlLCJkcm9wcGluZy1wYXJ0aWNsZSI6IiIsIm5vbi1kcm9wcGluZy1wYXJ0aWNsZSI6IiJ9LHsiZmFtaWx5IjoiUGlhY2VudGluaSIsImdpdmVuIjoiSiIsInBhcnNlLW5hbWVzIjpmYWxzZSwiZHJvcHBpbmctcGFydGljbGUiOiIiLCJub24tZHJvcHBpbmctcGFydGljbGUiOiIifSx7ImZhbWlseSI6IldhbGt1cCIsImdpdmVuIjoiSiBUIiwicGFyc2UtbmFtZXMiOmZhbHNlLCJkcm9wcGluZy1wYXJ0aWNsZSI6IiIsIm5vbi1kcm9wcGluZy1wYXJ0aWNsZSI6IiJ9LHsiZmFtaWx5IjoiV2lsaGVsbSIsImdpdmVuIjoiUyIsInBhcnNlLW5hbWVzIjpmYWxzZSwiZHJvcHBpbmctcGFydGljbGUiOiIiLCJub24tZHJvcHBpbmctcGFydGljbGUiOiIifV0sImNvbnRhaW5lci10aXRsZSI6IkJlaGF2IFRoZXIiLCJET0kiOiIxMC4xMDE2L2ouYmV0aC4yMDEzLjA5LjAwMiIsIlBNSUQiOiIyNDQ5MTE5MyIsImlzc3VlZCI6eyJkYXRlLXBhcnRzIjpbWzIwMTRdXX0sInBhZ2UiOiIxNzctMTg2IiwiYWJzdHJhY3QiOiJJbiBhZGRpdGlvbiB0byBtb3RvciBhbmQvb3Igdm9jYWwgdGljcywgbWFueSBpbmRpdmlkdWFscyB3aXRoIFRvdXJldHRlIHN5bmRyb21lIChUUykgb3IgY2hyb25pYyB0aWMgZGlzb3JkZXIgKENURCkgcmVwb3J0IGZyZXF1ZW50LCB1bmNvbWZvcnRhYmxlIHNlbnNvcnkgcGhlbm9tZW5hIHRoYXQgaW1tZWRpYXRlbHkgcHJlY2VkZSB0aGUgdGljcy4gVG8gZGF0ZSwgZXhhbWluYXRpb24gb2YgdGhlc2UgcHJlbW9uaXRvcnkgc2Vuc2F0aW9ucyBvciB1cmdlcyBoYXMgYmVlbiBsaW1pdGVkIGJ5IGluY29uc2lzdGVudCBhc3Nlc3NtZW50IHRvb2xzLiBJbiB0aGlzIHBhcGVyLCB3ZSBleGFtaW5lIHRoZSBwc3ljaG9tZXRyaWMgcHJvcGVydGllcyBvZiBhIG5pbmUtaXRlbSBzZWxmLXJlcG9ydCBtZWFzdXJlLCB0aGUgUHJlbW9uaXRvcnkgVXJnZSB0byBUaWMgU2NhbGUgKFBVVFMpIGFuZCBleGFtaW5lIHRoZSBjaGFyYWN0ZXJpc3RpY3MgYW5kIGNvcnJlbGF0ZXMgb2YgdGhlIHByZW1vbml0b3J5IHVyZ2UgdG8gdGljIGluIGEgY2xpbmljYWwgc2FtcGxlIG9mIDEyMiBvbGRlciBhZG9sZXNjZW50cyBhbmQgYWR1bHRzIHdpdGggVFMgb3IgQ1RELiBUaGUgUFVUUyBkZW1vbnN0cmF0ZWQgYWRlcXVhdGUgaW50ZXJuYWwgY29uc2lzdGVuY3ksIHRlbXBvcmFsIHN0YWJpbGl0eSwgYW5kIGNvbmN1cnJlbnQgdmFsaWRpdHkuIFByZW1vbml0b3J5IHVyZ2VzIHdlcmUgZW5kb3JzZWQgYnkgdGhlIG1ham9yaXR5IG9mIGluZGl2aWR1YWxzLiBNb3N0IGluZGl2aWR1YWxzIHJlcG9ydGVkIHNvbWUgcmVsaWVmIGZyb20gdGhlIHVyZ2VzIGFmdGVyIGNvbXBsZXRpbmcgYSB0aWMgYW5kIGJlaW5nIGFibGUgdG8gc3RvcCB0aGVpciB0aWNzIGV2ZW4gaWYgb25seSB0ZW1wb3JhcmlseS4gRGVncmVlIG9mIHByZW1vbml0b3J5IHVyZ2VzIHdhcyBub3Qgc2lnbmlmaWNhbnRseSBjb3JyZWxhdGVkIHdpdGggYWdlLCBhbmQgd2UgZGlkIG5vdCBvYnNlcnZlIGFueSBnZW5kZXIgZGlmZmVyZW5jZXMuIERlZ3JlZSBvZiBwcmVtb25pdG9yeSB1cmdlcyB3YXMgc2lnbmlmaWNhbnRseSBjb3JyZWxhdGVkIHdpdGggZXN0aW1hdGVkIElRIGFuZCB0aWMgc2V2ZXJpdHksIGJ1dCBub3Qgc2V2ZXJpdHkgb2YgY29tb3JiaWQgb2JzZXNzaXZlLWNvbXB1bHNpdmUgZGlzb3JkZXIgb3IgYXR0ZW50aW9uLWRlZmljaXQgaHlwZXJhY3Rpdml0eSBkaXNvcmRlci4gQWxzbywgaXQgd2FzIG5vdCByZWxhdGVkIHRvIGNvbmNvbWl0YW50IG1lZGljYXRpb24gc3RhdHVzLiBUaGVzZSBmaW5kaW5ncyByZXByZXNlbnQgYW5vdGhlciBzdGVwIGZvcndhcmQgaW4gb3VyIHVuZGVyc3RhbmRpbmcgb2YgdGhlIHByZW1vbml0b3J5IHNlbnNhdGlvbnMgYXNzb2NpYXRlZCB3aXRoIFRTIGFuZCBDVEQuIiwiaXNzdWUiOiIyIiwidm9sdW1lIjoiNDUiLCJjb250YWluZXItdGl0bGUtc2hvcnQiOiIifSwiaXNUZW1wb3JhcnkiOmZhbHNlfV19&quot;,&quot;citationItems&quot;:[{&quot;id&quot;:&quot;369c10c7-0176-3421-82be-88c000d31b2a&quot;,&quot;itemData&quot;:{&quot;type&quot;:&quot;article-journal&quot;,&quot;id&quot;:&quot;369c10c7-0176-3421-82be-88c000d31b2a&quot;,&quot;title&quot;:&quot;The premonitory urge to tic: measurement, characteristics, and correlates in older adolescents and adults&quot;,&quot;groupId&quot;:&quot;07d62ac1-5aa8-39af-b49e-52d2088ac571&quot;,&quot;author&quot;:[{&quot;family&quot;:&quot;Reese&quot;,&quot;given&quot;:&quot;H E&quot;,&quot;parse-names&quot;:false,&quot;dropping-particle&quot;:&quot;&quot;,&quot;non-dropping-particle&quot;:&quot;&quot;},{&quot;family&quot;:&quot;Scahill&quot;,&quot;given&quot;:&quot;L&quot;,&quot;parse-names&quot;:false,&quot;dropping-particle&quot;:&quot;&quot;,&quot;non-dropping-particle&quot;:&quot;&quot;},{&quot;family&quot;:&quot;Peterson&quot;,&quot;given&quot;:&quot;A L&quot;,&quot;parse-names&quot;:false,&quot;dropping-particle&quot;:&quot;&quot;,&quot;non-dropping-particle&quot;:&quot;&quot;},{&quot;family&quot;:&quot;Crowe&quot;,&quot;given&quot;:&quot;K&quot;,&quot;parse-names&quot;:false,&quot;dropping-particle&quot;:&quot;&quot;,&quot;non-dropping-particle&quot;:&quot;&quot;},{&quot;family&quot;:&quot;Woods&quot;,&quot;given&quot;:&quot;D W&quot;,&quot;parse-names&quot;:false,&quot;dropping-particle&quot;:&quot;&quot;,&quot;non-dropping-particle&quot;:&quot;&quot;},{&quot;family&quot;:&quot;Piacentini&quot;,&quot;given&quot;:&quot;J&quot;,&quot;parse-names&quot;:false,&quot;dropping-particle&quot;:&quot;&quot;,&quot;non-dropping-particle&quot;:&quot;&quot;},{&quot;family&quot;:&quot;Walkup&quot;,&quot;given&quot;:&quot;J T&quot;,&quot;parse-names&quot;:false,&quot;dropping-particle&quot;:&quot;&quot;,&quot;non-dropping-particle&quot;:&quot;&quot;},{&quot;family&quot;:&quot;Wilhelm&quot;,&quot;given&quot;:&quot;S&quot;,&quot;parse-names&quot;:false,&quot;dropping-particle&quot;:&quot;&quot;,&quot;non-dropping-particle&quot;:&quot;&quot;}],&quot;container-title&quot;:&quot;Behav Ther&quot;,&quot;DOI&quot;:&quot;10.1016/j.beth.2013.09.002&quot;,&quot;PMID&quot;:&quot;24491193&quot;,&quot;issued&quot;:{&quot;date-parts&quot;:[[2014]]},&quot;page&quot;:&quot;177-186&quot;,&quot;abstract&quot;:&quot;In addition to motor and/or vocal tics, many individuals with Tourette syndrome (TS) or chronic tic disorder (CTD) report frequent, uncomfortable sensory phenomena that immediately precede the tics. To date, examination of these premonitory sensations or urges has been limited by inconsistent assessment tools. In this paper, we examine the psychometric properties of a nine-item self-report measure, the Premonitory Urge to Tic Scale (PUTS) and examine the characteristics and correlates of the premonitory urge to tic in a clinical sample of 122 older adolescents and adults with TS or CTD. The PUTS demonstrated adequate internal consistency, temporal stability, and concurrent validity. Premonitory urges were endorsed by the majority of individuals. Most individuals reported some relief from the urges after completing a tic and being able to stop their tics even if only temporarily. Degree of premonitory urges was not significantly correlated with age, and we did not observe any gender differences. Degree of premonitory urges was significantly correlated with estimated IQ and tic severity, but not severity of comorbid obsessive-compulsive disorder or attention-deficit hyperactivity disorder. Also, it was not related to concomitant medication status. These findings represent another step forward in our understanding of the premonitory sensations associated with TS and CTD.&quot;,&quot;issue&quot;:&quot;2&quot;,&quot;volume&quot;:&quot;45&quot;,&quot;container-title-short&quot;:&quot;&quot;},&quot;isTemporary&quot;:false}]},{&quot;citationID&quot;:&quot;MENDELEY_CITATION_1d2bfc47-9ddb-43f6-a4c6-569289ec1a6f&quot;,&quot;properties&quot;:{&quot;noteIndex&quot;:0},&quot;isEdited&quot;:false,&quot;manualOverride&quot;:{&quot;isManuallyOverridden&quot;:false,&quot;citeprocText&quot;:&quot;(22)&quot;,&quot;manualOverrideText&quot;:&quot;&quot;},&quot;citationTag&quot;:&quot;MENDELEY_CITATION_v3_eyJjaXRhdGlvbklEIjoiTUVOREVMRVlfQ0lUQVRJT05fMWQyYmZjNDctOWRkYi00M2Y2LWE0YzYtNTY5Mjg5ZWMxYTZmIiwicHJvcGVydGllcyI6eyJub3RlSW5kZXgiOjB9LCJpc0VkaXRlZCI6ZmFsc2UsIm1hbnVhbE92ZXJyaWRlIjp7ImlzTWFudWFsbHlPdmVycmlkZGVuIjpmYWxzZSwiY2l0ZXByb2NUZXh0IjoiKDIyKSIsIm1hbnVhbE92ZXJyaWRlVGV4dCI6IiJ9LCJjaXRhdGlvbkl0ZW1zIjpbeyJpZCI6IjliMzFkMGQzLTg1YjItMzM0Yi05ZmMxLWJkMDA5ZjhkYzUwMiIsIml0ZW1EYXRhIjp7InR5cGUiOiJhcnRpY2xlLWpvdXJuYWwiLCJpZCI6IjliMzFkMGQzLTg1YjItMzM0Yi05ZmMxLWJkMDA5ZjhkYzUwMiIsInRpdGxlIjoiU2Vuc29yeSBnYXRpbmcgc2NhbGVzIGFuZCBwcmVtb25pdG9yeSB1cmdlcyBpbiBUb3VyZXR0ZSBzeW5kcm9tZSIsImdyb3VwSWQiOiIwN2Q2MmFjMS01YWE4LTM5YWYtYjQ5ZS01MmQyMDg4YWM1NzEiLCJhdXRob3IiOlt7ImZhbWlseSI6IlN1dGhlcmxhbmQgT3dlbnMiLCJnaXZlbiI6IkEgTiIsInBhcnNlLW5hbWVzIjpmYWxzZSwiZHJvcHBpbmctcGFydGljbGUiOiIiLCJub24tZHJvcHBpbmctcGFydGljbGUiOiIifSx7ImZhbWlseSI6Ik1pZ3VlbCIsImdpdmVuIjoiRSBDIiwicGFyc2UtbmFtZXMiOmZhbHNlLCJkcm9wcGluZy1wYXJ0aWNsZSI6IiIsIm5vbi1kcm9wcGluZy1wYXJ0aWNsZSI6IiJ9LHsiZmFtaWx5IjoiU3dlcmRsb3ciLCJnaXZlbiI6Ik4gUiIsInBhcnNlLW5hbWVzIjpmYWxzZSwiZHJvcHBpbmctcGFydGljbGUiOiIiLCJub24tZHJvcHBpbmctcGFydGljbGUiOiIifV0sImNvbnRhaW5lci10aXRsZSI6IlNjaWVudGlmaWNXb3JsZEpvdXJuYWwiLCJET0kiOiIxMC4xMTAwL3Rzdy4yMDExLjU3IiwiUE1JRCI6IjIxNDQyMTUxIiwiaXNzdWVkIjp7ImRhdGUtcGFydHMiOltbMjAxMV1dfSwicGFnZSI6IjczNi03NDEiLCJhYnN0cmFjdCI6IlNlbnNvcnkgYW5kIHNlbnNvcmltb3RvciBnYXRpbmcgZGVmaWNpdHMgY2hhcmFjdGVyaXplIGJvdGggVG91cmV0dGUgc3luZHJvbWUgKFRTKSBhbmQgc2NoaXpvcGhyZW5pYS4gUHJlbW9uaXRvcnkgdXJnZXMgKFBVKSBpbiBUUyBjYW4gYmUgYXNzZXNzZWQgd2l0aCB0aGUgVW5pdmVyc2l0eSBvZiBTYW8gUGF1bG8gU2Vuc29yeSBQaGVub21lbmEgU2NhbGUgKFVTUC1TUFMpIGFuZCB0aGUgUHJlbW9uaXRvcnkgVXJnZSBmb3IgVGljcyBTY2FsZSAoUFVUUykuIEluIDQwIHN1YmplY3RzIChUUzogbiA9IDE4OyBoZWFsdGh5IGNvbXBhcmlzb24gc3ViamVjdHMgW0hDU106IG4gPSAyMiksIHdlIGV4YW1pbmVkIHRoZSByZWxhdGlvbnNoaXAgYmV0d2VlbiBQVSBzY29yZXMgYW5kIG1lYXN1cmVzIG9mIHNlbnNvcnkgZ2F0aW5nIHVzaW5nIHRoZSBVU1AtU1BTLCBQVVRTLCBTZW5zb3J5IEdhdGluZyBJbnZlbnRvcnkgKFNHSSksIGFuZCBTdHJ1Y3R1cmVkIEludGVydmlldyBmb3IgQXNzZXNzaW5nIFBlcmNlcHR1YWwgQW5vbWFsaWVzIChTSUFQQSksIGFzIHdlbGwgc3ltcHRvbSBzZXZlcml0eSBzY2FsZXMuIFNHSSwgYnV0IG5vdCBTSUFQQSwgc2NvcmVzIHdlcmUgZWxldmF0ZWQgaW4gVFMgc3ViamVjdHMgKHAgPCAwLjAwMDMpLiBJbiBUUyBzdWJqZWN0cywgVVNQLVNQUyBhbmQgUFVUUyBzY29yZXMgY29ycmVsYXRlZCBzaWduaWZpY2FudGx5IHdpdGggZWFjaCBvdGhlciwgYnV0IG5vdCB3aXRoIHRoZSBTR0kgb3IgU0lBUEE7IG5laXRoZXIgUFUgbm9yIHNlbnNvcnkgZ2F0aW5nIHNjYWxlcyBjb3JyZWxhdGVkIHNpZ25pZmljYW50bHkgd2l0aCBzeW1wdG9tIHNldmVyaXR5LiBUUyBzdWJqZWN0cyBlbmRvcnNlIGRpZmZpY3VsdGllcyBpbiBzZW5zb3J5IGdhdGluZyBhbmQgdGhlIFNHSSBtYXkgYmUgdmFsdWFibGUgZm9yIHN0dWR5aW5nIHRoZXNlIGNsaW5pY2FsIHBoZW5vbWVuYS4iLCJ2b2x1bWUiOiIxMSIsImNvbnRhaW5lci10aXRsZS1zaG9ydCI6IiJ9LCJpc1RlbXBvcmFyeSI6ZmFsc2V9XX0=&quot;,&quot;citationItems&quot;:[{&quot;id&quot;:&quot;9b31d0d3-85b2-334b-9fc1-bd009f8dc502&quot;,&quot;itemData&quot;:{&quot;type&quot;:&quot;article-journal&quot;,&quot;id&quot;:&quot;9b31d0d3-85b2-334b-9fc1-bd009f8dc502&quot;,&quot;title&quot;:&quot;Sensory gating scales and premonitory urges in Tourette syndrome&quot;,&quot;groupId&quot;:&quot;07d62ac1-5aa8-39af-b49e-52d2088ac571&quot;,&quot;author&quot;:[{&quot;family&quot;:&quot;Sutherland Owens&quot;,&quot;given&quot;:&quot;A N&quot;,&quot;parse-names&quot;:false,&quot;dropping-particle&quot;:&quot;&quot;,&quot;non-dropping-particle&quot;:&quot;&quot;},{&quot;family&quot;:&quot;Miguel&quot;,&quot;given&quot;:&quot;E C&quot;,&quot;parse-names&quot;:false,&quot;dropping-particle&quot;:&quot;&quot;,&quot;non-dropping-particle&quot;:&quot;&quot;},{&quot;family&quot;:&quot;Swerdlow&quot;,&quot;given&quot;:&quot;N R&quot;,&quot;parse-names&quot;:false,&quot;dropping-particle&quot;:&quot;&quot;,&quot;non-dropping-particle&quot;:&quot;&quot;}],&quot;container-title&quot;:&quot;ScientificWorldJournal&quot;,&quot;DOI&quot;:&quot;10.1100/tsw.2011.57&quot;,&quot;PMID&quot;:&quot;21442151&quot;,&quot;issued&quot;:{&quot;date-parts&quot;:[[2011]]},&quot;page&quot;:&quot;736-741&quot;,&quot;abstract&quot;:&quot;Sensory and sensorimotor gating deficits characterize both Tourette syndrome (TS) and schizophrenia. Premonitory urges (PU) in TS can be assessed with the University of Sao Paulo Sensory Phenomena Scale (USP-SPS) and the Premonitory Urge for Tics Scale (PUTS). In 40 subjects (TS: n = 18; healthy comparison subjects [HCS]: n = 22), we examined the relationship between PU scores and measures of sensory gating using the USP-SPS, PUTS, Sensory Gating Inventory (SGI), and Structured Interview for Assessing Perceptual Anomalies (SIAPA), as well symptom severity scales. SGI, but not SIAPA, scores were elevated in TS subjects (p &lt; 0.0003). In TS subjects, USP-SPS and PUTS scores correlated significantly with each other, but not with the SGI or SIAPA; neither PU nor sensory gating scales correlated significantly with symptom severity. TS subjects endorse difficulties in sensory gating and the SGI may be valuable for studying these clinical phenomena.&quot;,&quot;volume&quot;:&quot;11&quot;,&quot;container-title-short&quot;:&quot;&quot;},&quot;isTemporary&quot;:false}]},{&quot;citationID&quot;:&quot;MENDELEY_CITATION_6d62cb37-51e9-46e1-8ed7-55419de24f5c&quot;,&quot;properties&quot;:{&quot;noteIndex&quot;:0},&quot;isEdited&quot;:false,&quot;manualOverride&quot;:{&quot;isManuallyOverridden&quot;:false,&quot;citeprocText&quot;:&quot;(23)&quot;,&quot;manualOverrideText&quot;:&quot;&quot;},&quot;citationTag&quot;:&quot;MENDELEY_CITATION_v3_eyJjaXRhdGlvbklEIjoiTUVOREVMRVlfQ0lUQVRJT05fNmQ2MmNiMzctNTFlOS00NmUxLThlZDctNTU0MTlkZTI0ZjVjIiwicHJvcGVydGllcyI6eyJub3RlSW5kZXgiOjB9LCJpc0VkaXRlZCI6ZmFsc2UsIm1hbnVhbE92ZXJyaWRlIjp7ImlzTWFudWFsbHlPdmVycmlkZGVuIjpmYWxzZSwiY2l0ZXByb2NUZXh0IjoiKDIzKSIsIm1hbnVhbE92ZXJyaWRlVGV4dCI6IiJ9LCJjaXRhdGlvbkl0ZW1zIjpbeyJpZCI6IjMzMmE2MmZjLTBiYzAtMzJmNi1hODFjLTUyN2RiMTcyZDZjNCIsIml0ZW1EYXRhIjp7InR5cGUiOiJhcnRpY2xlLWpvdXJuYWwiLCJpZCI6IjMzMmE2MmZjLTBiYzAtMzJmNi1hODFjLTUyN2RiMTcyZDZjNCIsInRpdGxlIjoiQXJpcGlwcmF6b2xlIGltcHJvdmVzIGFzc29jaWF0ZWQgY29tb3JiaWQgY29uZGl0aW9ucyBpbiBhZGRpdGlvbiB0byB0aWNzIGluIGFkdWx0IHBhdGllbnRzIHdpdGggR2lsbGVzIGRlIGxhIFRvdXJldHRlIFN5bmRyb21lIiwiZ3JvdXBJZCI6IjA3ZDYyYWMxLTVhYTgtMzlhZi1iNDllLTUyZDIwODhhYzU3MSIsImF1dGhvciI6W3siZmFtaWx5IjoiR2VyYXNjaCIsImdpdmVuIjoiUyIsInBhcnNlLW5hbWVzIjpmYWxzZSwiZHJvcHBpbmctcGFydGljbGUiOiIiLCJub24tZHJvcHBpbmctcGFydGljbGUiOiIifSx7ImZhbWlseSI6IkthbmFhbiIsImdpdmVuIjoiQSBTIiwicGFyc2UtbmFtZXMiOmZhbHNlLCJkcm9wcGluZy1wYXJ0aWNsZSI6IiIsIm5vbi1kcm9wcGluZy1wYXJ0aWNsZSI6IiJ9LHsiZmFtaWx5IjoiSmFrdWJvdnNraSIsImdpdmVuIjoiRSIsInBhcnNlLW5hbWVzIjpmYWxzZSwiZHJvcHBpbmctcGFydGljbGUiOiIiLCJub24tZHJvcHBpbmctcGFydGljbGUiOiIifSx7ImZhbWlseSI6Ik11bGxlci1WYWhsIiwiZ2l2ZW4iOiJLIFIiLCJwYXJzZS1uYW1lcyI6ZmFsc2UsImRyb3BwaW5nLXBhcnRpY2xlIjoiIiwibm9uLWRyb3BwaW5nLXBhcnRpY2xlIjoiIn1dLCJjb250YWluZXItdGl0bGUiOiJGcm9udGllcnMgaW4gTmV1cm9zY2llbmNlIiwiRE9JIjoiaHR0cHM6Ly9keC5kb2kub3JnLzEwLjMzODkvZm5pbnMuMjAxNi4wMDQxNiIsIlVSTCI6Imh0dHA6Ly9qb3VybmFsLmZyb250aWVyc2luLm9yZy9hcnRpY2xlLzEwLjMzODkvZm5pbnMuMjAxNi4wMDQxNi9mdWxsaHR0cDovL292aWRzcC5vdmlkLmNvbS9vdmlkd2ViLmNnaT9UPUpTJlBBR0U9cmVmZXJlbmNlJkQ9ZW1lZDE3Jk5FV1M9TiZBTj02MTI3OTM2NDgiLCJpc3N1ZWQiOnsiZGF0ZS1wYXJ0cyI6W1syMDE2XV19LCJwYWdlIjoiNDE2IiwiYWJzdHJhY3QiOiJHaWxsZXMgZGUgbGEgVG91cmV0dGUgU3luZHJvbWUgKEdUUykgaXMgY2hhcmFjdGVyaXplZCBieSBtb3RvciBhbmQgdm9jYWwgdGljcywgYXMgd2VsbCBhcyBhc3NvY2lhdGVkIGNvbW9yYmlkIGNvbmRpdGlvbnMgaW5jbHVkaW5nIG9ic2Vzc2l2ZS1jb21wdWxzaXZlIGRpc29yZGVyIChPQ0QpLCBhdHRlbnRpb24gZGVmaWNpdC9oeXBlcmFjdGl2aXR5IGRpc29yZGVyIChBREhEKSwgZGVwcmVzc2lvbiwgYW5kIGFueGlldHkgd2hpY2ggYXJlIHByZXNlbnQgaW4gYSBzdWJzdGFudGlhbCBudW1iZXIgb2YgcGF0aWVudHMuIEFsdGhvdWdoIHJhbmRvbWl6ZWQgY29udHJvbGxlZCB0cmlhbHMgaW5jbHVkaW5nIGEgbGFyZ2UgbnVtYmVyIG9mIHBhdGllbnRzIGFyZSBzdGlsbCBtaXNzaW5nLCBhcmlwaXByYXpvbGUgaXMgY3VycmVudGx5IGNvbnNpZGVyZWQgYXMgYSBmaXJzdCBjaG9pY2UgZHJ1ZyBmb3IgdGhlIHRyZWF0bWVudCBvZiB0aWNzLiBUaGUgYWltIG9mIHRoaXMgc3R1ZHkgd2FzIHRvIGZ1cnRoZXIgaW52ZXN0aWdhdGUgZWZmaWNhY3kgYW5kIHNhZmV0eSBvZiBhcmlwaXByYXpvbGUgaW4gYSBncm91cCBvZiBkcnVnLWZyZWUsIGFkdWx0IHBhdGllbnRzLiBTcGVjaWZpY2FsbHksIHdlIGludmVzdGlnYXRlZCB0aGUgaW5mbHVlbmNlIG9mIGFyaXBpcHJhem9sZSBvbiB0aWMgc2V2ZXJpdHksIGNvbW9yYmlkaXRpZXMsIHByZW1vbml0b3J5IHVyZ2UgKFBVKSwgYW5kIHF1YWxpdHkgb2YgbGlmZSAoUW9MKS4gTW9yZW92ZXIsIHdlIHdlcmUgaW50ZXJlc3RlZCBpbiB0aGUgZmFjdG9ycyB0aGF0IGluZmx1ZW5jZSBhIHBhdGllbnQncyBkZWNpc2lvbiBpbiBlbGVjdGluZyBmb3Itb3IgYWdhaW5zdC0gcGhhcm1hY29sb2dpY2FsIHRyZWF0bWVudC4gSW4gdGhpcyBwcm9zcGVjdGl2ZSB1bmNvbnRyb2xsZWQgb3Blbi1sYWJlbCBzdHVkeSwgd2UgaW5jbHVkZWQgNDQgcGF0aWVudHMgYW5kIHVzZWQgYSBudW1iZXIgb2YgcmF0aW5nIHNjYWxlcyB0byBhc3Nlc3MgdGljIHNldmVyaXR5LCBQVSwgY29tb3JiaWRpdGllcywgYW5kIFFvTCBhdCBiYXNlbGluZSBhbmQgZHVyaW5nIHRyZWF0bWVudCB3aXRoIGFyaXBpcHJhem9sZS4gRWlnaHRlZW4gb3V0IG9mIGZvcnR5Zm91ciBwYXRpZW50cyBkZWNpZGVkIGZvciB1bmRlcmdvaW5nIHRyZWF0bWVudCBmb3IgdGhlaXIgdGljcyB3aXRoIGFyaXBpcHJhem9sZSBhbmQgY29tcGxldGVkIGZvbGxvdy11cCBhc3Nlc3NtZW50cyBhZnRlciA0LTYgd2Vla3MuIE91ciBtYWpvciBmaW5kaW5ncyB3ZXJlICgxKSBhcmlwaXByYXpvbGUgcmVzdWx0ZWQgaW4gc2lnbmlmaWNhbnQgcmVkdWN0aW9uIG9mIHRpY3MsIGJ1dCBkaWQgbm90IGFmZmVjdCBQVTsgKDIpIGFyaXBpcHJhem9sZSBzaWduaWZpY2FudGx5IGltcHJvdmVkIE9DRCBhbmQgc2hvd2VkIGEgdHJlbmQgdG93YXJkIGltcHJvdmVtZW50IG9mIG90aGVyIGNvbW9yYmlkaXRpZXMgaW5jbHVkaW5nIGRlcHJlc3Npb24sIGFueGlldHksIGFuZCBBREhEOyAoMykgbmVpdGhlciBzZXZlcml0eSBvZiB0aWNzLCBub3IgUFUgb3IgUW9MIGluZmx1ZW5jZWQgcGF0aWVudHMnIGRlY2lzaW9ucyBmb3Igb3IgYWdhaW5zdCB0cmVhdG1lbnQgb2YgdGljcyB3aXRoIGFyaXBpcHJhem9sZTsgaW5zdGVhZCBwYXRpZW50cyB3aXRoIGNvbW9yYmlkIE9DRCB0ZW5kZWQgdG8gZGVjaWRlIGluIGZhdm9yIG9mLCB3aGlsZSBwYXRpZW50cyB3aXRoIGNvbW9yYmlkIEFESEQgdGVuZGVkIHRvIGRlY2lkZSBhZ2FpbnN0IHRpYyB0cmVhdG1lbnQ7ICg0KSBtb3N0IGZyZXF1ZW50bHkgcmVwb3J0ZWQgYWR2ZXJzZSBlZmZlY3RzIHdlcmUgc2xlZXBpbmcgcHJvYmxlbXM7ICg1KSBwYXRpZW50cycgUW9MIHdhcyBtb3N0bHkgaW1wYWlyZWQgYnkgY29tb3JiaWQgZGVwcmVzc2lvbi4gT3VyIHJlc3VsdHMgc3VnZ2VzdCB0aGF0IGFyaXBpcHJhem9sZSBtYXkgaW1wcm92ZSBhc3NvY2lhdGVkIGNvbW9yYmlkIGNvbmRpdGlvbnMgaW4gYWRkaXRpb24gdG8gdGljcyBpbiBwYXRpZW50cyB3aXRoIEdUUy4gSXQgY2FuIGJlIGh5cG90aGVzaXplZCB0aGF0IHRoZXNlIGJlbmVmaWNpYWwgZWZmZWN0cyBhcmUgcmVsYXRlZCB0byBhcmlwaXByYXpvbGUncyBhZGFwdGl2ZSBwaGFybWFjb2xvZ2ljYWwgcHJvZmlsZSwgd2hpY2ggZXhoaWJpdHMgYW4gaW5mbHVlbmNlIG9uIHRoZSBkb3BhbWluZXJnaWMgYXMgd2VsbCBhcyBhIG51bWJlciBvZiBvdGhlciBuZXVyb3RyYW5zbWl0dGVyIHN5c3RlbXMuIEZvciB0aGUgZmlyc3QgdGltZSwgb3VyIGRhdGEgcHJvdmlkZSBldmlkZW5jZSB0aGF0IHBhdGllbnRzJyBkZWNpc2lvbiBtYWtpbmcgcHJvY2VzcyBmb3Igb3IgYWdhaW5zdCBtZWRpY2FsIHRyZWF0bWVudCBpcyBpbmZsdWVuY2VkIGJ5IG90aGVyIGZhY3RvcnMgdGhhbiB0aWMgc2V2ZXJpdHkgYW5kIFFvTC5Db3B5cmlnaHQgwqkgMjAxNiBHZXJhc2NoLCBLYW5hYW4sIEpha3Vib3Zza2kgYW5kIE11bGxlci1WYWhsLiIsImlzc3VlIjoiU0VQIiwidm9sdW1lIjoiMTAiLCJjb250YWluZXItdGl0bGUtc2hvcnQiOiJGcm9udCBOZXVyb3NjaSJ9LCJpc1RlbXBvcmFyeSI6ZmFsc2V9XX0=&quot;,&quot;citationItems&quot;:[{&quot;id&quot;:&quot;332a62fc-0bc0-32f6-a81c-527db172d6c4&quot;,&quot;itemData&quot;:{&quot;type&quot;:&quot;article-journal&quot;,&quot;id&quot;:&quot;332a62fc-0bc0-32f6-a81c-527db172d6c4&quot;,&quot;title&quot;:&quot;Aripiprazole improves associated comorbid conditions in addition to tics in adult patients with Gilles de la Tourette Syndrome&quot;,&quot;groupId&quot;:&quot;07d62ac1-5aa8-39af-b49e-52d2088ac571&quot;,&quot;author&quot;:[{&quot;family&quot;:&quot;Gerasch&quot;,&quot;given&quot;:&quot;S&quot;,&quot;parse-names&quot;:false,&quot;dropping-particle&quot;:&quot;&quot;,&quot;non-dropping-particle&quot;:&quot;&quot;},{&quot;family&quot;:&quot;Kanaan&quot;,&quot;given&quot;:&quot;A S&quot;,&quot;parse-names&quot;:false,&quot;dropping-particle&quot;:&quot;&quot;,&quot;non-dropping-particle&quot;:&quot;&quot;},{&quot;family&quot;:&quot;Jakubovski&quot;,&quot;given&quot;:&quot;E&quot;,&quot;parse-names&quot;:false,&quot;dropping-particle&quot;:&quot;&quot;,&quot;non-dropping-particle&quot;:&quot;&quot;},{&quot;family&quot;:&quot;Muller-Vahl&quot;,&quot;given&quot;:&quot;K R&quot;,&quot;parse-names&quot;:false,&quot;dropping-particle&quot;:&quot;&quot;,&quot;non-dropping-particle&quot;:&quot;&quot;}],&quot;container-title&quot;:&quot;Frontiers in Neuroscience&quot;,&quot;DOI&quot;:&quot;https://dx.doi.org/10.3389/fnins.2016.00416&quot;,&quot;URL&quot;:&quot;http://journal.frontiersin.org/article/10.3389/fnins.2016.00416/fullhttp://ovidsp.ovid.com/ovidweb.cgi?T=JS&amp;PAGE=reference&amp;D=emed17&amp;NEWS=N&amp;AN=612793648&quot;,&quot;issued&quot;:{&quot;date-parts&quot;:[[2016]]},&quot;page&quot;:&quot;416&quot;,&quot;abstract&quot;:&quot;Gilles de la Tourette Syndrome (GTS) is characterized by motor and vocal tics, as well as associated comorbid conditions including obsessive-compulsive disorder (OCD), attention deficit/hyperactivity disorder (ADHD), depression, and anxiety which are present in a substantial number of patients. Although randomized controlled trials including a large number of patients are still missing, aripiprazole is currently considered as a first choice drug for the treatment of tics. The aim of this study was to further investigate efficacy and safety of aripiprazole in a group of drug-free, adult patients. Specifically, we investigated the influence of aripiprazole on tic severity, comorbidities, premonitory urge (PU), and quality of life (QoL). Moreover, we were interested in the factors that influence a patient's decision in electing for-or against- pharmacological treatment. In this prospective uncontrolled open-label study, we included 44 patients and used a number of rating scales to assess tic severity, PU, comorbidities, and QoL at baseline and during treatment with aripiprazole. Eighteen out of fortyfour patients decided for undergoing treatment for their tics with aripiprazole and completed follow-up assessments after 4-6 weeks. Our major findings were (1) aripiprazole resulted in significant reduction of tics, but did not affect PU; (2) aripiprazole significantly improved OCD and showed a trend toward improvement of other comorbidities including depression, anxiety, and ADHD; (3) neither severity of tics, nor PU or QoL influenced patients' decisions for or against treatment of tics with aripiprazole; instead patients with comorbid OCD tended to decide in favor of, while patients with comorbid ADHD tended to decide against tic treatment; (4) most frequently reported adverse effects were sleeping problems; (5) patients' QoL was mostly impaired by comorbid depression. Our results suggest that aripiprazole may improve associated comorbid conditions in addition to tics in patients with GTS. It can be hypothesized that these beneficial effects are related to aripiprazole's adaptive pharmacological profile, which exhibits an influence on the dopaminergic as well as a number of other neurotransmitter systems. For the first time, our data provide evidence that patients' decision making process for or against medical treatment is influenced by other factors than tic severity and QoL.Copyright © 2016 Gerasch, Kanaan, Jakubovski and Muller-Vahl.&quot;,&quot;issue&quot;:&quot;SEP&quot;,&quot;volume&quot;:&quot;10&quot;,&quot;container-title-short&quot;:&quot;Front Neurosci&quot;},&quot;isTemporary&quot;:false}]},{&quot;citationID&quot;:&quot;MENDELEY_CITATION_d2199afe-a7dd-473f-9d8c-e555e0a8afb4&quot;,&quot;properties&quot;:{&quot;noteIndex&quot;:0},&quot;isEdited&quot;:false,&quot;manualOverride&quot;:{&quot;isManuallyOverridden&quot;:false,&quot;citeprocText&quot;:&quot;(24)&quot;,&quot;manualOverrideText&quot;:&quot;&quot;},&quot;citationTag&quot;:&quot;MENDELEY_CITATION_v3_eyJjaXRhdGlvbklEIjoiTUVOREVMRVlfQ0lUQVRJT05fZDIxOTlhZmUtYTdkZC00NzNmLTlkOGMtZTU1NWUwYThhZmI0IiwicHJvcGVydGllcyI6eyJub3RlSW5kZXgiOjB9LCJpc0VkaXRlZCI6ZmFsc2UsIm1hbnVhbE92ZXJyaWRlIjp7ImlzTWFudWFsbHlPdmVycmlkZGVuIjpmYWxzZSwiY2l0ZXByb2NUZXh0IjoiKDI0KSIsIm1hbnVhbE92ZXJyaWRlVGV4dCI6IiJ9LCJjaXRhdGlvbkl0ZW1zIjpbeyJpZCI6ImQ1YzVlMjUxLWNmNjAtMzBkMS1hYTZjLWY1M2RlYzlhOTdmOCIsIml0ZW1EYXRhIjp7InR5cGUiOiJhcnRpY2xlLWpvdXJuYWwiLCJpZCI6ImQ1YzVlMjUxLWNmNjAtMzBkMS1hYTZjLWY1M2RlYzlhOTdmOCIsInRpdGxlIjoiUHJlbW9uaXRvcnkgdXJnZXMgYW5kIHJlcGV0aXRpdmUgYmVoYXZpb3VycyBpbiBhZHVsdCBwYXRpZW50cyB3aXRoIFRvdXJldHRlIHN5bmRyb21lIiwiZ3JvdXBJZCI6IjA3ZDYyYWMxLTVhYTgtMzlhZi1iNDllLTUyZDIwODhhYzU3MSIsImF1dGhvciI6W3siZmFtaWx5IjoiUmFqYWdvcGFsIiwiZ2l2ZW4iOiJTIiwicGFyc2UtbmFtZXMiOmZhbHNlLCJkcm9wcGluZy1wYXJ0aWNsZSI6IiIsIm5vbi1kcm9wcGluZy1wYXJ0aWNsZSI6IiJ9LHsiZmFtaWx5IjoiQ2F2YW5uYSIsImdpdmVuIjoiQSBFIiwicGFyc2UtbmFtZXMiOmZhbHNlLCJkcm9wcGluZy1wYXJ0aWNsZSI6IiIsIm5vbi1kcm9wcGluZy1wYXJ0aWNsZSI6IiJ9XSwiY29udGFpbmVyLXRpdGxlIjoiTmV1cm9sIFNjaSIsIkRPSSI6IjEwLjEwMDcvczEwMDcyLTAxNC0xNzA2LTgiLCJQTUlEIjoiMjQ2MDQ0MTIiLCJVUkwiOiJodHRwczovL2xpbmsuc3ByaW5nZXIuY29tL2FydGljbGUvMTAuMTAwNy9zMTAwNzItMDE0LTE3MDYtOCIsImlzc3VlZCI6eyJkYXRlLXBhcnRzIjpbWzIwMTRdXX0sInBhZ2UiOiI5NjktOTcxIiwiYWJzdHJhY3QiOiJUb3VyZXR0ZSBzeW5kcm9tZSAoVFMpIGlzIGEgbmV1cm9kZXZlbG9wbWVudGFsIGRpc29yZGVyIGNoYXJhY3RlcmlzZWQgYnkgbXVsdGlwbGUgbW90b3IgYW5kIHBob25pYyB0aWNzLCB3aGljaCBhcmUgYXNzb2NpYXRlZCB3aXRoIHNlbnNvcnkgc3ltcHRvbXMgKHByZW1vbml0b3J5IHVyZ2VzKS4gTGl0dGxlIGlzIGtub3duIGFib3V0IHRoZSBuYXR1cmUgb2YgdGhlIHN1YmplY3RpdmUgdXJnZXMgYW5kIHJlcGV0aXRpdmUgYmVoYXZpb3VycyB3aGljaCBhcmUgaW50cmluc2ljIHRvIFRTLiBUaGlzIHN0dWR5IGFzc2Vzc2VkIHRoZSByZWxhdGlvbnNoaXAgYmV0d2VlbiBzcGVjaWZpYyB1cmdlcyBhbmQgcmVwZXRpdGl2ZSBiZWhhdmlvdXJzIGluIDEwOCBjb25zZWN1dGl2ZSBhZHVsdCBwYXRpZW50cyByZWNydWl0ZWQgYXQgYSBzcGVjaWFsaXN0IFRTIENsaW5pYy4gQW5hbHlzaXMgb2Ygc2VsZi1yZXBvcnQgbWVhc3VyZXMgb2Ygc2Vuc29yeSBzeW1wdG9tcyAoUHJlbW9uaXRvcnkgVXJnZSBmb3IgVGljcyBTY2FsZSkgYW5kIHJlcGV0aXRpdmUgYmVoYXZpb3VycyAoTW90b3IgdGljLCBPYnNlc3Npb25zIGFuZCBjb21wdWxzaW9ucywgVm9jYWwgdGljIEV2YWx1YXRpb24gU3VydmV5KSBzaG93ZWQgdGhhdCBkaWZmZXJlbnQgdHlwZXMgb2YgdXJnZXMgYXJlIGFzc29jaWF0ZWQgd2l0aCBzaW1wbGUvY29tcGxleCB0aWNzIGFuZCBvYnNlc3NpdmUtY29tcHVsc2l2ZSBzeW1wdG9tcy4iLCJpc3N1ZSI6IjYiLCJ2b2x1bWUiOiIzNSIsImNvbnRhaW5lci10aXRsZS1zaG9ydCI6IiJ9LCJpc1RlbXBvcmFyeSI6ZmFsc2V9XX0=&quot;,&quot;citationItems&quot;:[{&quot;id&quot;:&quot;d5c5e251-cf60-30d1-aa6c-f53dec9a97f8&quot;,&quot;itemData&quot;:{&quot;type&quot;:&quot;article-journal&quot;,&quot;id&quot;:&quot;d5c5e251-cf60-30d1-aa6c-f53dec9a97f8&quot;,&quot;title&quot;:&quot;Premonitory urges and repetitive behaviours in adult patients with Tourette syndrome&quot;,&quot;groupId&quot;:&quot;07d62ac1-5aa8-39af-b49e-52d2088ac571&quot;,&quot;author&quot;:[{&quot;family&quot;:&quot;Rajagopal&quot;,&quot;given&quot;:&quot;S&quot;,&quot;parse-names&quot;:false,&quot;dropping-particle&quot;:&quot;&quot;,&quot;non-dropping-particle&quot;:&quot;&quot;},{&quot;family&quot;:&quot;Cavanna&quot;,&quot;given&quot;:&quot;A E&quot;,&quot;parse-names&quot;:false,&quot;dropping-particle&quot;:&quot;&quot;,&quot;non-dropping-particle&quot;:&quot;&quot;}],&quot;container-title&quot;:&quot;Neurol Sci&quot;,&quot;DOI&quot;:&quot;10.1007/s10072-014-1706-8&quot;,&quot;PMID&quot;:&quot;24604412&quot;,&quot;URL&quot;:&quot;https://link.springer.com/article/10.1007/s10072-014-1706-8&quot;,&quot;issued&quot;:{&quot;date-parts&quot;:[[2014]]},&quot;page&quot;:&quot;969-971&quot;,&quot;abstract&quot;:&quot;Tourette syndrome (TS) is a neurodevelopmental disorder characterised by multiple motor and phonic tics, which are associated with sensory symptoms (premonitory urges). Little is known about the nature of the subjective urges and repetitive behaviours which are intrinsic to TS. This study assessed the relationship between specific urges and repetitive behaviours in 108 consecutive adult patients recruited at a specialist TS Clinic. Analysis of self-report measures of sensory symptoms (Premonitory Urge for Tics Scale) and repetitive behaviours (Motor tic, Obsessions and compulsions, Vocal tic Evaluation Survey) showed that different types of urges are associated with simple/complex tics and obsessive-compulsive symptoms.&quot;,&quot;issue&quot;:&quot;6&quot;,&quot;volume&quot;:&quot;35&quot;,&quot;container-title-short&quot;:&quot;&quot;},&quot;isTemporary&quot;:false}]},{&quot;citationID&quot;:&quot;MENDELEY_CITATION_1f735ed4-0524-45b3-9327-495f76d8ee02&quot;,&quot;properties&quot;:{&quot;noteIndex&quot;:0},&quot;isEdited&quot;:false,&quot;manualOverride&quot;:{&quot;isManuallyOverridden&quot;:false,&quot;citeprocText&quot;:&quot;(25)&quot;,&quot;manualOverrideText&quot;:&quot;&quot;},&quot;citationTag&quot;:&quot;MENDELEY_CITATION_v3_eyJjaXRhdGlvbklEIjoiTUVOREVMRVlfQ0lUQVRJT05fMWY3MzVlZDQtMDUyNC00NWIzLTkzMjctNDk1Zjc2ZDhlZTAyIiwicHJvcGVydGllcyI6eyJub3RlSW5kZXgiOjB9LCJpc0VkaXRlZCI6ZmFsc2UsIm1hbnVhbE92ZXJyaWRlIjp7ImlzTWFudWFsbHlPdmVycmlkZGVuIjpmYWxzZSwiY2l0ZXByb2NUZXh0IjoiKDI1KSIsIm1hbnVhbE92ZXJyaWRlVGV4dCI6IiJ9LCJjaXRhdGlvbkl0ZW1zIjpbeyJpZCI6IjlmYjk1MTU2LTIxODMtMzQ4Yy1hMTExLTlhOGY5OTY1YmZmYyIsIml0ZW1EYXRhIjp7InR5cGUiOiJhcnRpY2xlLWpvdXJuYWwiLCJpZCI6IjlmYjk1MTU2LTIxODMtMzQ4Yy1hMTExLTlhOGY5OTY1YmZmYyIsInRpdGxlIjoiVGljLXJlbGF0ZWQgY29nbml0aW9uLCBzZW5zb3J5IHBoZW5vbWVuYSwgYW5kIGFueGlldHkgaW4gY2hpbGRyZW4gYW5kIGFkb2xlc2NlbnRzIHdpdGggVG91cmV0dGUgc3luZHJvbWUiLCJncm91cElkIjoiMDdkNjJhYzEtNWFhOC0zOWFmLWI0OWUtNTJkMjA4OGFjNTcxIiwiYXV0aG9yIjpbeyJmYW1pbHkiOiJTdGVpbmJlcmciLCJnaXZlbiI6IlQiLCJwYXJzZS1uYW1lcyI6ZmFsc2UsImRyb3BwaW5nLXBhcnRpY2xlIjoiIiwibm9uLWRyb3BwaW5nLXBhcnRpY2xlIjoiIn0seyJmYW1pbHkiOiJIYXJ1c2giLCJnaXZlbiI6IkEiLCJwYXJzZS1uYW1lcyI6ZmFsc2UsImRyb3BwaW5nLXBhcnRpY2xlIjoiIiwibm9uLWRyb3BwaW5nLXBhcnRpY2xlIjoiIn0seyJmYW1pbHkiOiJCYXJuZWEiLCJnaXZlbiI6Ik0iLCJwYXJzZS1uYW1lcyI6ZmFsc2UsImRyb3BwaW5nLXBhcnRpY2xlIjoiIiwibm9uLWRyb3BwaW5nLXBhcnRpY2xlIjoiIn0seyJmYW1pbHkiOiJEYXIiLCJnaXZlbiI6IlIiLCJwYXJzZS1uYW1lcyI6ZmFsc2UsImRyb3BwaW5nLXBhcnRpY2xlIjoiIiwibm9uLWRyb3BwaW5nLXBhcnRpY2xlIjoiIn0seyJmYW1pbHkiOiJQaWFjZW50aW5pIiwiZ2l2ZW4iOiJKIiwicGFyc2UtbmFtZXMiOmZhbHNlLCJkcm9wcGluZy1wYXJ0aWNsZSI6IiIsIm5vbi1kcm9wcGluZy1wYXJ0aWNsZSI6IiJ9LHsiZmFtaWx5IjoiV29vZHMiLCJnaXZlbiI6IkQiLCJwYXJzZS1uYW1lcyI6ZmFsc2UsImRyb3BwaW5nLXBhcnRpY2xlIjoiIiwibm9uLWRyb3BwaW5nLXBhcnRpY2xlIjoiIn0seyJmYW1pbHkiOiJTaG11ZWwtQmFydWNoIiwiZ2l2ZW4iOiJTIiwicGFyc2UtbmFtZXMiOmZhbHNlLCJkcm9wcGluZy1wYXJ0aWNsZSI6IiIsIm5vbi1kcm9wcGluZy1wYXJ0aWNsZSI6IiJ9LHsiZmFtaWx5IjoiQXB0ZXIiLCJnaXZlbiI6IkEiLCJwYXJzZS1uYW1lcyI6ZmFsc2UsImRyb3BwaW5nLXBhcnRpY2xlIjoiIiwibm9uLWRyb3BwaW5nLXBhcnRpY2xlIjoiIn1dLCJjb250YWluZXItdGl0bGUiOiJDb21wciBQc3ljaGlhdHJ5IiwiRE9JIjoiMTAuMTAxNi9qLmNvbXBwc3ljaC4yMDEyLjEyLjAxMiIsIlBNSUQiOiIyMzMzMjU1NSIsIlVSTCI6Imh0dHBzOi8vbWVkaWEucHJvcXVlc3QuY29tL21lZGlhL3BxL2NsYXNzaWMvZG9jLzI5OTU4Mzg1ODEvZm10L3BpL3JlcC9OT05FP2NpdCUzQWF1dGg9U3RlaW5iZXJnJTJDK1RhbWFyJTNCSGFydXNoJTJDK0FkdmElM0JCYXJuZWElMkMrTWVpcmF2JTNCRGFyJTJDK1J1ZXZlbiUzQlBpYWNlbnRpbmklMkMrSm9obiUzQldvb2RzJTJDK0RvdWclM0JTaG11ZWwtQmFydWNoJTJDK1NoYXJvbmElM0JBcHRlciUyQytBbGFuJmNpdCUzQXRpdGxlPVRpYy1yZSIsImlzc3VlZCI6eyJkYXRlLXBhcnRzIjpbWzIwMTNdXX0sInBhZ2UiOiI0NjItNDY2IiwiYWJzdHJhY3QiOiJCQUNLR1JPVU5EOiBUb3VyZXR0ZSBzeW5kcm9tZSBpcyBhIHByb3RveXBpY2FsIGV4YW1wbGUgb2YgZGV2ZWxvcG1lbnRhbCBwc3ljaG9wYXRob2xvZ3ksIHdpdGggdGhlIHZhcnlpbmcgZXhwcmVzc2lvbnMgb2YgdGhlIGRpc29yZGVyIGFuZCBpdHMgY29uc2VxdWVuY2VzIGFwcGVhcmluZyBvdmVyIHRpbWUuIFNlbnNvcnkgdXJnZXMgdHlwaWNhbGx5IGFwcGVhciBhZnRlciBhZ2UgMTAgYW5kIGFyZSBvZnRlbiBmb2xsb3dlZCBieSBhbnhpZXR5IGFuZCBkZXByZXNzaW9uLiBPQkpFQ1RJVkU6IFRvIHN0dWR5IHRoZSBhc3NvY2lhdGlvbnMgYW1vbmcgdGljLXJlbGF0ZWQgY29nbml0aW9ucywgcHJlbW9uaXRvcnkgdXJnZXMsIGFuZCB0aWMgc2V2ZXJpdHkgaW4gY2hpbGRyZW4gd2l0aCBUb3VyZXR0ZSBzeW5kcm9tZSBhdCBkaWZmZXJlbnQgc3RhZ2VzIG9mIHRoZSBpbGxuZXNzLiBTVUJKRUNUUzogRmlmdHktc2V2ZW4gY29uc2VjdXRpdmUgcGF0aWVudHMgcmVmZXJyZWQgdG8gYSB0aWMgZGlzb3JkZXJzIGNsaW5pYy4gSU5TVFJVTUVOVFM6IEEgYmF0dGVyeSBvZiBpbnN0cnVtZW50cyB3YXMgY29tcGxldGVkOiBZYWxlIEdsb2JhbCBUaWMgU2V2ZXJpdHkgU2NhbGUsIFByZW1vbml0b3J5IFVyZ2UgZm9yIFRpY3MgU2NhbGUsIFNjcmVlbiBmb3IgQ2hpbGQgQW54aWV0eSBSZWxhdGVkIEVtb3Rpb25hbCBEaXNvcmRlcnMsIGFuZCBDaGlsZCBEZXByZXNzaW9uIEludmVudG9yeS4gVG8gZXhhbWluZSBjb2duaXRpb25zLCBhIG5ldyBtZWFzdXJlIHdhcyBkZXZlbG9wZWQ6IHRoZSBCZWxpZWZzIEFib3V0IFRpY3MgU2NhbGUuIFJFU1VMVFM6IFN0cm9uZyBjb3JyZWxhdGlvbnMgd2VyZSBmb3VuZCBiZXR3ZWVuIHRpYy1yZWxhdGVkIGJlbGllZnMgYW5kIGJvdGggcHJlbW9uaXRvcnkgdXJnZXMgYW5kIHRpYy1yZWxhdGVkIGltcGFpcm1lbnRzIChhcyBtZWFzdXJlZCBieSB0aGUgWWFsZSBHbG9iYWwgU2NhbGUpLiBUaWMtcmVsYXRlZCBiZWxpZWZzIHdlcmUgYWxzbyBzdHJvbmdseSBjb3JyZWxhdGVkIHdpdGggZGVwcmVzc2lvbiBpbiBjaGlsZHJlbiBvbGRlciB0aGFuIDEzIHllYXJzIGJ1dCBub3QgaW4geW91bmdlciBjaGlsZHJlbi4gQ09OQ0xVU0lPTlM6IFRoZSBzaWduaWZpY2FudCBjb3JyZWxhdGlvbnMgYmV0d2VlbiB0aWMtcmVsYXRlZCBjb2duaXRpb25zLCBwcmVtb25pdG9yeSB1cmdlcywgYW5kIHRpYy1yZWxhdGVkIGltcGFpcm1lbnRzIGluIGNoaWxkcmVuIGVtcGhhc2l6ZSB0aGUgaW1wb3J0YW50IHJvbGUgb2YgcHN5Y2hvbG9naWNhbCBhbmQgc2Vuc29yeSBmYWN0b3JzIGluIHRoZSB1bmRlcnN0YW5kaW5nIG9mIFRvdXJldHRlIHN5bmRyb21lIGFuZCBpbiBpdHMgdHJlYXRtZW50LiIsImlzc3VlIjoiNSIsInZvbHVtZSI6IjU0IiwiY29udGFpbmVyLXRpdGxlLXNob3J0IjoiIn0sImlzVGVtcG9yYXJ5IjpmYWxzZX1dfQ==&quot;,&quot;citationItems&quot;:[{&quot;id&quot;:&quot;9fb95156-2183-348c-a111-9a8f9965bffc&quot;,&quot;itemData&quot;:{&quot;type&quot;:&quot;article-journal&quot;,&quot;id&quot;:&quot;9fb95156-2183-348c-a111-9a8f9965bffc&quot;,&quot;title&quot;:&quot;Tic-related cognition, sensory phenomena, and anxiety in children and adolescents with Tourette syndrome&quot;,&quot;groupId&quot;:&quot;07d62ac1-5aa8-39af-b49e-52d2088ac571&quot;,&quot;author&quot;:[{&quot;family&quot;:&quot;Steinberg&quot;,&quot;given&quot;:&quot;T&quot;,&quot;parse-names&quot;:false,&quot;dropping-particle&quot;:&quot;&quot;,&quot;non-dropping-particle&quot;:&quot;&quot;},{&quot;family&quot;:&quot;Harush&quot;,&quot;given&quot;:&quot;A&quot;,&quot;parse-names&quot;:false,&quot;dropping-particle&quot;:&quot;&quot;,&quot;non-dropping-particle&quot;:&quot;&quot;},{&quot;family&quot;:&quot;Barnea&quot;,&quot;given&quot;:&quot;M&quot;,&quot;parse-names&quot;:false,&quot;dropping-particle&quot;:&quot;&quot;,&quot;non-dropping-particle&quot;:&quot;&quot;},{&quot;family&quot;:&quot;Dar&quot;,&quot;given&quot;:&quot;R&quot;,&quot;parse-names&quot;:false,&quot;dropping-particle&quot;:&quot;&quot;,&quot;non-dropping-particle&quot;:&quot;&quot;},{&quot;family&quot;:&quot;Piacentini&quot;,&quot;given&quot;:&quot;J&quot;,&quot;parse-names&quot;:false,&quot;dropping-particle&quot;:&quot;&quot;,&quot;non-dropping-particle&quot;:&quot;&quot;},{&quot;family&quot;:&quot;Woods&quot;,&quot;given&quot;:&quot;D&quot;,&quot;parse-names&quot;:false,&quot;dropping-particle&quot;:&quot;&quot;,&quot;non-dropping-particle&quot;:&quot;&quot;},{&quot;family&quot;:&quot;Shmuel-Baruch&quot;,&quot;given&quot;:&quot;S&quot;,&quot;parse-names&quot;:false,&quot;dropping-particle&quot;:&quot;&quot;,&quot;non-dropping-particle&quot;:&quot;&quot;},{&quot;family&quot;:&quot;Apter&quot;,&quot;given&quot;:&quot;A&quot;,&quot;parse-names&quot;:false,&quot;dropping-particle&quot;:&quot;&quot;,&quot;non-dropping-particle&quot;:&quot;&quot;}],&quot;container-title&quot;:&quot;Compr Psychiatry&quot;,&quot;DOI&quot;:&quot;10.1016/j.comppsych.2012.12.012&quot;,&quot;PMID&quot;:&quot;23332555&quot;,&quot;URL&quot;:&quot;https://media.proquest.com/media/pq/classic/doc/2995838581/fmt/pi/rep/NONE?cit%3Aauth=Steinberg%2C+Tamar%3BHarush%2C+Adva%3BBarnea%2C+Meirav%3BDar%2C+Rueven%3BPiacentini%2C+John%3BWoods%2C+Doug%3BShmuel-Baruch%2C+Sharona%3BApter%2C+Alan&amp;cit%3Atitle=Tic-re&quot;,&quot;issued&quot;:{&quot;date-parts&quot;:[[2013]]},&quot;page&quot;:&quot;462-466&quot;,&quot;abstract&quot;:&quot;BACKGROUND: Tourette syndrome is a protoypical example of developmental psychopathology, with the varying expressions of the disorder and its consequences appearing over time. Sensory urges typically appear after age 10 and are often followed by anxiety and depression. OBJECTIVE: To study the associations among tic-related cognitions, premonitory urges, and tic severity in children with Tourette syndrome at different stages of the illness. SUBJECTS: Fifty-seven consecutive patients referred to a tic disorders clinic. INSTRUMENTS: A battery of instruments was completed: Yale Global Tic Severity Scale, Premonitory Urge for Tics Scale, Screen for Child Anxiety Related Emotional Disorders, and Child Depression Inventory. To examine cognitions, a new measure was developed: the Beliefs About Tics Scale. RESULTS: Strong correlations were found between tic-related beliefs and both premonitory urges and tic-related impairments (as measured by the Yale Global Scale). Tic-related beliefs were also strongly correlated with depression in children older than 13 years but not in younger children. CONCLUSIONS: The significant correlations between tic-related cognitions, premonitory urges, and tic-related impairments in children emphasize the important role of psychological and sensory factors in the understanding of Tourette syndrome and in its treatment.&quot;,&quot;issue&quot;:&quot;5&quot;,&quot;volume&quot;:&quot;54&quot;,&quot;container-title-short&quot;:&quot;&quot;},&quot;isTemporary&quot;:false}]},{&quot;citationID&quot;:&quot;MENDELEY_CITATION_25a8119c-6bf8-479c-a39e-c99dd2bb0681&quot;,&quot;properties&quot;:{&quot;noteIndex&quot;:0},&quot;isEdited&quot;:false,&quot;manualOverride&quot;:{&quot;isManuallyOverridden&quot;:false,&quot;citeprocText&quot;:&quot;(26)&quot;,&quot;manualOverrideText&quot;:&quot;&quot;},&quot;citationTag&quot;:&quot;MENDELEY_CITATION_v3_eyJjaXRhdGlvbklEIjoiTUVOREVMRVlfQ0lUQVRJT05fMjVhODExOWMtNmJmOC00NzljLWEzOWUtYzk5ZGQyYmIwNjgxIiwicHJvcGVydGllcyI6eyJub3RlSW5kZXgiOjB9LCJpc0VkaXRlZCI6ZmFsc2UsIm1hbnVhbE92ZXJyaWRlIjp7ImlzTWFudWFsbHlPdmVycmlkZGVuIjpmYWxzZSwiY2l0ZXByb2NUZXh0IjoiKDI2KSIsIm1hbnVhbE92ZXJyaWRlVGV4dCI6IiJ9LCJjaXRhdGlvbkl0ZW1zIjpbeyJpZCI6ImJiM2Q3NWY1LTU0MTctMzhmZC04NDIxLTZlYmEzZjE5MzVmYSIsIml0ZW1EYXRhIjp7InR5cGUiOiJhcnRpY2xlLWpvdXJuYWwiLCJpZCI6ImJiM2Q3NWY1LTU0MTctMzhmZC04NDIxLTZlYmEzZjE5MzVmYSIsInRpdGxlIjoiUHJlbW9uaXRvcnkgVXJnZXMgaW4gQWR1bHRzIFdpdGggQ29tcGxpY2F0ZWQgYW5kIFVuY29tcGxpY2F0ZWQgVG91cmV0dGUgU3luZHJvbWUiLCJncm91cElkIjoiMDdkNjJhYzEtNWFhOC0zOWFmLWI0OWUtNTJkMjA4OGFjNTcxIiwiYXV0aG9yIjpbeyJmYW1pbHkiOiJFZGR5IiwiZ2l2ZW4iOiJDIE0iLCJwYXJzZS1uYW1lcyI6ZmFsc2UsImRyb3BwaW5nLXBhcnRpY2xlIjoiIiwibm9uLWRyb3BwaW5nLXBhcnRpY2xlIjoiIn0seyJmYW1pbHkiOiJDYXZhbm5hIiwiZ2l2ZW4iOiJBIEUiLCJwYXJzZS1uYW1lcyI6ZmFsc2UsImRyb3BwaW5nLXBhcnRpY2xlIjoiIiwibm9uLWRyb3BwaW5nLXBhcnRpY2xlIjoiIn1dLCJjb250YWluZXItdGl0bGUiOiJCZWhhdmlvciBtb2RpZmljYXRpb24iLCJET0kiOiJodHRwczovL2R4LmRvaS5vcmcvMTAuMTE3Ny8wMTQ1NDQ1NTEzNTA0NDMyIiwiVVJMIjoiaHR0cDovL292aWRzcC5vdmlkLmNvbS9vdmlkd2ViLmNnaT9UPUpTJlBBR0U9cmVmZXJlbmNlJkQ9ZW1lZDE1Jk5FV1M9TiZBTj02MTE0MjU3MjIiLCJpc3N1ZWQiOnsiZGF0ZS1wYXJ0cyI6W1syMDE0XV19LCJwYWdlIjoiMjY0LTI3NSIsImFic3RyYWN0IjoiTW9zdCBwYXRpZW50cyB3aXRoIFRvdXJldHRlIHN5bmRyb21lIChUUykgcmVwb3J0IGV4cGVyaWVuY2luZyBzdWJqZWN0aXZlIGJvZGlseSBzZW5zYXRpb25zIHRlcm1lZCBwcmVtb25pdG9yeSB1cmdlcywgYmVmb3JlIHRoZXkgaGF2ZSBhIHRpYy4gVGhpcyBzdHVkeSBpbnZlc3RpZ2F0ZWQgcmVsYXRpb25zaGlwcyBiZXR3ZWVuIHByZW1vbml0b3J5IHVyZ2VzIGFuZCB0aWMgc2V2ZXJpdHksIGRlcHJlc3Npb24sIGFueGlldHksIG9ic2Vzc2lvbnMsIGNvbXB1bHNpb25zLCBhbmQgYXR0ZW50aW9uIHByb2JsZW1zLiBXZSBhbHNvIGV4cGxvcmVkIHBvc3NpYmxlIGRpZmZlcmVuY2VzIGJldHdlZW4gcGF0aWVudHMgd2l0aCBhbmQgd2l0aG91dCBjb21vcmJpZCBjb25kaXRpb25zLiBGaW5hbGx5LCB3ZSBleHBsb3JlZCB3aGV0aGVyIHByZW1vbml0b3J5IHVyZ2VzIGltcGFjdGVkIG9uIHBlcmNlaXZlZCBxdWFsaXR5IG9mIGxpZmUgKFFvTCkuIE9uZSBodW5kcmVkIGFkdWx0IG91dHBhdGllbnRzICg3MCBtYWxlczsgbWVhbiBhZ2UgMzIgeWVhcnMpIHdlcmUgcmVjcnVpdGVkIGZyb20gYSBzcGVjaWFsaXN0IFRTIGNsaW5pYy4gRmlmdHkgcGVyY2VudCBleGhpYml0ZWQgY29tb3JiaWQgZGlhZ25vc2VzLCB0aGUgbW9zdCBjb21tb24gb2Ygd2hpY2ggd2VyZSBvYnNlc3NpdmUtY29tcHVsc2l2ZSBkaXNvcmRlciAoMjMlKSwgYXR0ZW50aW9uLWRlZmljaXQgaHlwZXJhY3Rpdml0eSBkaXNvcmRlciAoMTUlKSwgYW54aWV0eSAoNiUpLCBhbmQgZGVwcmVzc2lvbiAoNSUpLiBGb3IgdGhlIGVudGlyZSBzYW1wbGUsIHByZW1vbml0b3J5IHVyZ2VzIHdlcmUgc2lnbmlmaWNhbnRseSByZWxhdGVkIHRvIGNsaW5pY2FsIHN5bXB0b21zLCBlc3BlY2lhbGx5IG9ic2Vzc2l2ZS1jb21wdWxzaXZlIHN5bXB0b21zIGFuZCBhbnhpZXR5LCBhbmQgd2VyZSBzaWduaWZpY2FudGx5IG5lZ2F0aXZlbHkgcmVsYXRlZCB0byBRb0wgc2NvcmVzLiBQcmVtb25pdG9yeSB1cmdlcyBoYWQgYSBzdHJvbmcgbmVnYXRpdmUgY29ycmVsYXRpb24gd2l0aCBRb0wgaW4gcGF0aWVudHMgd2l0aCBcInB1cmVcIiBUUyAobm8gY29tb3JiaWRpdGllcyksIHdoaWxlIHRoaXMgcmVsYXRpb25zaGlwIHdhcyB3ZWFrZXIgZm9yIHBhdGllbnRzIHdpdGggY29tb3JiaWQgY29uZGl0aW9ucywgd2hvIHJlcG9ydGVkIHN0cm9uZ2VyIG9yIG1vcmUgZnJlcXVlbnQgcHJlbW9uaXRvcnkgdXJnZXMgaW4gYXNzb2NpYXRpb24gd2l0aCBncmVhdGVyIGFueGlldHkuIFRoZXNlIGZpbmRpbmdzIG1heSBpbXBseSB0aGF0IHNsaWdodGx5IGRpZmZlcmVudCBwc3ljaG9sb2dpY2FsIGZhY3RvcnMgZHJpdmUgc2VsZi1yZXBvcnRlZCBwcmVtb25pdG9yeSB1cmdlIHJhdGluZ3MgaW4gcGF0aWVudHMgd2l0aCBhbmQgd2l0aG91dCBjb21vcmJpZGl0aWVzIGFuZCB0aGF0IHRoZSBwZXJjZWl2ZWQgaW5mbHVlbmNlIG9mIGRpc3RyZXNzaW5nIHByZW1vbml0b3J5IHVyZ2VzIG9uIHdlbGxiZWluZyBpcyBsZXNzIGltcG9ydGFudCBpbiB0aGUgY29udGV4dCBvZiBjb21vcmJpZCBzeW1wdG9tYXRvbG9neS4gQXMgcHJlbW9uaXRvcnkgdXJnZXMgYXJlIHJlbGF0ZWQgdG8gUW9MLCB0aGV5IHNob3VsZCBiZSB0YWtlbiBpbnRvIGFjY291bnQgZHVyaW5nIGV2YWx1YXRpb24gb2YgdHJlYXRtZW50IGVmZmljYWN5LCBlc3BlY2lhbGx5IGluIGNhc2VzIHdpdGggXCJwdXJlXCIgVFMuIENvcHlyaWdodCDCqSBUaGUgQXV0aG9yKHMpIDIwMTMuIiwiaXNzdWUiOiIyIiwidm9sdW1lIjoiMzgiLCJjb250YWluZXItdGl0bGUtc2hvcnQiOiJCZWhhdiBNb2RpZiJ9LCJpc1RlbXBvcmFyeSI6ZmFsc2V9XX0=&quot;,&quot;citationItems&quot;:[{&quot;id&quot;:&quot;bb3d75f5-5417-38fd-8421-6eba3f1935fa&quot;,&quot;itemData&quot;:{&quot;type&quot;:&quot;article-journal&quot;,&quot;id&quot;:&quot;bb3d75f5-5417-38fd-8421-6eba3f1935fa&quot;,&quot;title&quot;:&quot;Premonitory Urges in Adults With Complicated and Uncomplicated Tourette Syndrome&quot;,&quot;groupId&quot;:&quot;07d62ac1-5aa8-39af-b49e-52d2088ac571&quot;,&quot;author&quot;:[{&quot;family&quot;:&quot;Eddy&quot;,&quot;given&quot;:&quot;C M&quot;,&quot;parse-names&quot;:false,&quot;dropping-particle&quot;:&quot;&quot;,&quot;non-dropping-particle&quot;:&quot;&quot;},{&quot;family&quot;:&quot;Cavanna&quot;,&quot;given&quot;:&quot;A E&quot;,&quot;parse-names&quot;:false,&quot;dropping-particle&quot;:&quot;&quot;,&quot;non-dropping-particle&quot;:&quot;&quot;}],&quot;container-title&quot;:&quot;Behavior modification&quot;,&quot;DOI&quot;:&quot;https://dx.doi.org/10.1177/0145445513504432&quot;,&quot;URL&quot;:&quot;http://ovidsp.ovid.com/ovidweb.cgi?T=JS&amp;PAGE=reference&amp;D=emed15&amp;NEWS=N&amp;AN=611425722&quot;,&quot;issued&quot;:{&quot;date-parts&quot;:[[2014]]},&quot;page&quot;:&quot;264-275&quot;,&quot;abstract&quot;:&quot;Most patients with Tourette syndrome (TS) report experiencing subjective bodily sensations termed premonitory urges, before they have a tic. This study investigated relationships between premonitory urges and tic severity, depression, anxiety, obsessions, compulsions, and attention problems. We also explored possible differences between patients with and without comorbid conditions. Finally, we explored whether premonitory urges impacted on perceived quality of life (QoL). One hundred adult outpatients (70 males; mean age 32 years) were recruited from a specialist TS clinic. Fifty percent exhibited comorbid diagnoses, the most common of which were obsessive-compulsive disorder (23%), attention-deficit hyperactivity disorder (15%), anxiety (6%), and depression (5%). For the entire sample, premonitory urges were significantly related to clinical symptoms, especially obsessive-compulsive symptoms and anxiety, and were significantly negatively related to QoL scores. Premonitory urges had a strong negative correlation with QoL in patients with \&quot;pure\&quot; TS (no comorbidities), while this relationship was weaker for patients with comorbid conditions, who reported stronger or more frequent premonitory urges in association with greater anxiety. These findings may imply that slightly different psychological factors drive self-reported premonitory urge ratings in patients with and without comorbidities and that the perceived influence of distressing premonitory urges on wellbeing is less important in the context of comorbid symptomatology. As premonitory urges are related to QoL, they should be taken into account during evaluation of treatment efficacy, especially in cases with \&quot;pure\&quot; TS. Copyright © The Author(s) 2013.&quot;,&quot;issue&quot;:&quot;2&quot;,&quot;volume&quot;:&quot;38&quot;,&quot;container-title-short&quot;:&quot;Behav Modif&quot;},&quot;isTemporary&quot;:false}]},{&quot;citationID&quot;:&quot;MENDELEY_CITATION_4e1fa74d-49e4-4425-b749-9027aa22021b&quot;,&quot;properties&quot;:{&quot;noteIndex&quot;:0},&quot;isEdited&quot;:false,&quot;manualOverride&quot;:{&quot;isManuallyOverridden&quot;:false,&quot;citeprocText&quot;:&quot;(27)&quot;,&quot;manualOverrideText&quot;:&quot;&quot;},&quot;citationTag&quot;:&quot;MENDELEY_CITATION_v3_eyJjaXRhdGlvbklEIjoiTUVOREVMRVlfQ0lUQVRJT05fNGUxZmE3NGQtNDllNC00NDI1LWI3NDktOTAyN2FhMjIwMjFiIiwicHJvcGVydGllcyI6eyJub3RlSW5kZXgiOjB9LCJpc0VkaXRlZCI6ZmFsc2UsIm1hbnVhbE92ZXJyaWRlIjp7ImlzTWFudWFsbHlPdmVycmlkZGVuIjpmYWxzZSwiY2l0ZXByb2NUZXh0IjoiKDI3KSIsIm1hbnVhbE92ZXJyaWRlVGV4dCI6IiJ9LCJjaXRhdGlvbkl0ZW1zIjpbeyJpZCI6IjEzNTI2YjJhLWYxZDQtMzE5MS1hYjExLTE4MDAyZThhZTUxYSIsIml0ZW1EYXRhIjp7InR5cGUiOiJhcnRpY2xlLWpvdXJuYWwiLCJpZCI6IjEzNTI2YjJhLWYxZDQtMzE5MS1hYjExLTE4MDAyZThhZTUxYSIsInRpdGxlIjoiVXJnZSBJbnRvbGVyYW5jZSBhbmQgSW1wYWlybWVudCBBbW9uZyBZb3V0aCB3aXRoIFRvdXJldHRlJ3MgYW5kIENocm9uaWMgVGljIERpc29yZGVycyIsImdyb3VwSWQiOiIwN2Q2MmFjMS01YWE4LTM5YWYtYjQ5ZS01MmQyMDg4YWM1NzEiLCJhdXRob3IiOlt7ImZhbWlseSI6IlJhbXNleSIsImdpdmVuIjoiSyBBIiwicGFyc2UtbmFtZXMiOmZhbHNlLCJkcm9wcGluZy1wYXJ0aWNsZSI6IiIsIm5vbi1kcm9wcGluZy1wYXJ0aWNsZSI6IiJ9LHsiZmFtaWx5IjoiRXNzb2UiLCJnaXZlbiI6IkogSyIsInBhcnNlLW5hbWVzIjpmYWxzZSwiZHJvcHBpbmctcGFydGljbGUiOiIiLCJub24tZHJvcHBpbmctcGFydGljbGUiOiIifSx7ImZhbWlseSI6IlN0b3JjaCIsImdpdmVuIjoiRSBBIiwicGFyc2UtbmFtZXMiOmZhbHNlLCJkcm9wcGluZy1wYXJ0aWNsZSI6IiIsIm5vbi1kcm9wcGluZy1wYXJ0aWNsZSI6IiJ9LHsiZmFtaWx5IjoiTGV3aW4iLCJnaXZlbiI6IkEgQiIsInBhcnNlLW5hbWVzIjpmYWxzZSwiZHJvcHBpbmctcGFydGljbGUiOiIiLCJub24tZHJvcHBpbmctcGFydGljbGUiOiIifSx7ImZhbWlseSI6Ik11cnBoeSIsImdpdmVuIjoiVCBLIiwicGFyc2UtbmFtZXMiOmZhbHNlLCJkcm9wcGluZy1wYXJ0aWNsZSI6IiIsIm5vbi1kcm9wcGluZy1wYXJ0aWNsZSI6IiJ9LHsiZmFtaWx5IjoiTWNHdWlyZSIsImdpdmVuIjoiSiBGIiwicGFyc2UtbmFtZXMiOmZhbHNlLCJkcm9wcGluZy1wYXJ0aWNsZSI6IiIsIm5vbi1kcm9wcGluZy1wYXJ0aWNsZSI6IiJ9XSwiY29udGFpbmVyLXRpdGxlIjoiQ2hpbGQgUHN5Y2hpYXRyeSBIdW0gRGV2IiwiRE9JIjoiMTAuMTAwNy9zMTA1NzgtMDIwLTAxMDg1LTMiLCJQTUlEIjoiMzMwOTU0MDYiLCJVUkwiOiJodHRwczovL2xpbmsuc3ByaW5nZXIuY29tL2FydGljbGUvMTAuMTAwNy9zMTA1NzgtMDIwLTAxMDg1LTMiLCJpc3N1ZWQiOnsiZGF0ZS1wYXJ0cyI6W1syMDIxXV19LCJwYWdlIjoiNzYxLTc3MSIsImFic3RyYWN0IjoiSW5kaXZpZHVhbHMgd2l0aCBUb3VyZXR0ZSdzIERpc29yZGVyIGFuZCBQZXJzaXN0ZW50IFRpYyBEaXNvcmRlcnMgKFREKSBvZnRlbiBleHBlcmllbmNlIHByZW1vbml0b3J5IHVyZ2VzLWF2ZXJzaXZlIHNlbnNhdGlvbnMgdGhhdCBwcmVjZWRlIHRpY3MgYW5kIGFyZSByZWxpZXZlZCBieSB0aWMgZXhwcmVzc2lvbi4gR2l2ZW4gaXRzIHJvbGUgaW4gdGhlIG5ldXJvYmVoYXZpb3JhbCBtb2RlbCBvZiBURCwgdW5kZXJzdGFuZGluZyBmYWN0b3JzIHRoYXQgaW5mbHVlbmNlIHByZW1vbml0b3J5IHVyZ2VzIGFuZCBhc3NvY2lhdGVkIHJlbGllZiBjYW4gYWR2YW5jZSB1bmRlcnN0YW5kaW5nIG9mIHVyZ2UgcGhlbm9tZW5vbG9neSBhbmQgb3B0aW1pemUgdHJlYXRtZW50cyBmb3IgaW5kaXZpZHVhbHMgd2l0aCBURC4gVGhpcyBzdHVkeSBleGFtaW5lZCB3aGV0aGVyIHRoZSBub3ZlbCBjb25zdHJ1Y3Qgb2YgdXJnZSBpbnRvbGVyYW5jZS1kaWZmaWN1bHR5IHRvbGVyYXRpbmcgcHJlbW9uaXRvcnkgdXJnZXMtcHJlZGljdGVkIHRpYyBzZXZlcml0eSBhbmQgdGljLXJlbGF0ZWQgZGlzYWJpbGl0eS4gUGFydGljaXBhbnRzIGluY2x1ZGVkIDc1IHlvdXRoIHdpdGggVEQgYW5kIHRoZWlyIGNhcmVnaXZlcnMuIEFzc2Vzc21lbnRzIGNoYXJhY3Rlcml6ZWQgdGljIHNldmVyaXR5LCBwcmVtb25pdG9yeSB1cmdlLCBkaXN0cmVzcyB0b2xlcmFuY2UsIGludGVybmFsaXppbmcgc3ltcHRvbXMsIGFuZCB0aWMtcmVsYXRlZCBkaXNhYmlsaXR5LiBTdHJ1Y3R1cmFsIGVxdWF0aW9uIG1vZGVsaW5nIHJldmVhbGVkIHRoYXQgaGlnaGVyIGxldmVscyBvZiB1cmdlIGludG9sZXJhbmNlIHByZWRpY3RlZCBncmVhdGVyIGxldmVscyBvZiB0aWMtcmVsYXRlZCBkaXNhYmlsaXR5LiBGdXJ0aGVybW9yZSwgdGhlIHJlbGF0aW9uc2hpcCBiZXR3ZWVuIHVyZ2UgaW50b2xlcmFuY2UgYW5kIHRpYy1yZWxhdGVkIGRpc2FiaWxpdHkgd2FzIG1vcmUgcm9idXN0IGZvciB5b3V0aCB3aXRoIGNsaW5pY2FsbHktZWxldmF0ZWQgbGV2ZWxzIG9mIGludGVybmFsaXppbmcgc3ltcHRvbXMuIFdoaWxlIGZ1cnRoZXIgaW52ZXN0aWdhdGlvbiBpcyBuZWVkZWQsIHVyZ2UgaW50b2xlcmFuY2UgcmVwcmVzZW50cyBhIHByb21pc2luZyB0cmVhdG1lbnQgdGFyZ2V0IHRvIGltcHJvdmUgdGljLXJlbGF0ZWQgZGlzYWJpbGl0eSBpbiB5b3V0aCB3aXRoIFRELiIsImlzc3VlIjoiNSIsInZvbHVtZSI6IjUyIiwiY29udGFpbmVyLXRpdGxlLXNob3J0IjoiIn0sImlzVGVtcG9yYXJ5IjpmYWxzZX1dfQ==&quot;,&quot;citationItems&quot;:[{&quot;id&quot;:&quot;13526b2a-f1d4-3191-ab11-18002e8ae51a&quot;,&quot;itemData&quot;:{&quot;type&quot;:&quot;article-journal&quot;,&quot;id&quot;:&quot;13526b2a-f1d4-3191-ab11-18002e8ae51a&quot;,&quot;title&quot;:&quot;Urge Intolerance and Impairment Among Youth with Tourette's and Chronic Tic Disorders&quot;,&quot;groupId&quot;:&quot;07d62ac1-5aa8-39af-b49e-52d2088ac571&quot;,&quot;author&quot;:[{&quot;family&quot;:&quot;Ramsey&quot;,&quot;given&quot;:&quot;K A&quot;,&quot;parse-names&quot;:false,&quot;dropping-particle&quot;:&quot;&quot;,&quot;non-dropping-particle&quot;:&quot;&quot;},{&quot;family&quot;:&quot;Essoe&quot;,&quot;given&quot;:&quot;J K&quot;,&quot;parse-names&quot;:false,&quot;dropping-particle&quot;:&quot;&quot;,&quot;non-dropping-particle&quot;:&quot;&quot;},{&quot;family&quot;:&quot;Storch&quot;,&quot;given&quot;:&quot;E A&quot;,&quot;parse-names&quot;:false,&quot;dropping-particle&quot;:&quot;&quot;,&quot;non-dropping-particle&quot;:&quot;&quot;},{&quot;family&quot;:&quot;Lewin&quot;,&quot;given&quot;:&quot;A B&quot;,&quot;parse-names&quot;:false,&quot;dropping-particle&quot;:&quot;&quot;,&quot;non-dropping-particle&quot;:&quot;&quot;},{&quot;family&quot;:&quot;Murphy&quot;,&quot;given&quot;:&quot;T K&quot;,&quot;parse-names&quot;:false,&quot;dropping-particle&quot;:&quot;&quot;,&quot;non-dropping-particle&quot;:&quot;&quot;},{&quot;family&quot;:&quot;McGuire&quot;,&quot;given&quot;:&quot;J F&quot;,&quot;parse-names&quot;:false,&quot;dropping-particle&quot;:&quot;&quot;,&quot;non-dropping-particle&quot;:&quot;&quot;}],&quot;container-title&quot;:&quot;Child Psychiatry Hum Dev&quot;,&quot;DOI&quot;:&quot;10.1007/s10578-020-01085-3&quot;,&quot;PMID&quot;:&quot;33095406&quot;,&quot;URL&quot;:&quot;https://link.springer.com/article/10.1007/s10578-020-01085-3&quot;,&quot;issued&quot;:{&quot;date-parts&quot;:[[2021]]},&quot;page&quot;:&quot;761-771&quot;,&quot;abstract&quot;:&quot;Individuals with Tourette's Disorder and Persistent Tic Disorders (TD) often experience premonitory urges-aversive sensations that precede tics and are relieved by tic expression. Given its role in the neurobehavioral model of TD, understanding factors that influence premonitory urges and associated relief can advance understanding of urge phenomenology and optimize treatments for individuals with TD. This study examined whether the novel construct of urge intolerance-difficulty tolerating premonitory urges-predicted tic severity and tic-related disability. Participants included 75 youth with TD and their caregivers. Assessments characterized tic severity, premonitory urge, distress tolerance, internalizing symptoms, and tic-related disability. Structural equation modeling revealed that higher levels of urge intolerance predicted greater levels of tic-related disability. Furthermore, the relationship between urge intolerance and tic-related disability was more robust for youth with clinically-elevated levels of internalizing symptoms. While further investigation is needed, urge intolerance represents a promising treatment target to improve tic-related disability in youth with TD.&quot;,&quot;issue&quot;:&quot;5&quot;,&quot;volume&quot;:&quot;52&quot;,&quot;container-title-short&quot;:&quot;&quot;},&quot;isTemporary&quot;:false}]},{&quot;citationID&quot;:&quot;MENDELEY_CITATION_58a16ed3-7881-4f80-b0b7-4de897520f95&quot;,&quot;properties&quot;:{&quot;noteIndex&quot;:0},&quot;isEdited&quot;:false,&quot;manualOverride&quot;:{&quot;isManuallyOverridden&quot;:false,&quot;citeprocText&quot;:&quot;(28)&quot;,&quot;manualOverrideText&quot;:&quot;&quot;},&quot;citationTag&quot;:&quot;MENDELEY_CITATION_v3_eyJjaXRhdGlvbklEIjoiTUVOREVMRVlfQ0lUQVRJT05fNThhMTZlZDMtNzg4MS00ZjgwLWIwYjctNGRlODk3NTIwZjk1IiwicHJvcGVydGllcyI6eyJub3RlSW5kZXgiOjB9LCJpc0VkaXRlZCI6ZmFsc2UsIm1hbnVhbE92ZXJyaWRlIjp7ImlzTWFudWFsbHlPdmVycmlkZGVuIjpmYWxzZSwiY2l0ZXByb2NUZXh0IjoiKDI4KSIsIm1hbnVhbE92ZXJyaWRlVGV4dCI6IiJ9LCJjaXRhdGlvbkl0ZW1zIjpbeyJpZCI6IjE4MmJlMDE1LThhZTUtMzQ1YS04M2E0LTUwNmQyMjA5YTdkYiIsIml0ZW1EYXRhIjp7InR5cGUiOiJhcnRpY2xlLWpvdXJuYWwiLCJpZCI6IjE4MmJlMDE1LThhZTUtMzQ1YS04M2E0LTUwNmQyMjA5YTdkYiIsInRpdGxlIjoiU3ViamVjdGl2ZSB2ZXJzdXMgb2JqZWN0aXZlIG1lYXN1cmVzIG9mIHRpYyBzZXZlcml0eSBpbiBUb3VyZXR0ZSBzeW5kcm9tZSAtIFRoZSBpbmZsdWVuY2Ugb2YgZW52aXJvbm1lbnQiLCJncm91cElkIjoiMDdkNjJhYzEtNWFhOC0zOWFmLWI0OWUtNTJkMjA4OGFjNTcxIiwiYXV0aG9yIjpbeyJmYW1pbHkiOiJCYXJuZWEiLCJnaXZlbiI6Ik0iLCJwYXJzZS1uYW1lcyI6ZmFsc2UsImRyb3BwaW5nLXBhcnRpY2xlIjoiIiwibm9uLWRyb3BwaW5nLXBhcnRpY2xlIjoiIn0seyJmYW1pbHkiOiJCZW5hcm95YS1NaWxzaHRlaW4iLCJnaXZlbiI6Ik4iLCJwYXJzZS1uYW1lcyI6ZmFsc2UsImRyb3BwaW5nLXBhcnRpY2xlIjoiIiwibm9uLWRyb3BwaW5nLXBhcnRpY2xlIjoiIn0seyJmYW1pbHkiOiJHaWxib2EtU2VjaHRtYW4iLCJnaXZlbiI6IkUiLCJwYXJzZS1uYW1lcyI6ZmFsc2UsImRyb3BwaW5nLXBhcnRpY2xlIjoiIiwibm9uLWRyb3BwaW5nLXBhcnRpY2xlIjoiIn0seyJmYW1pbHkiOiJXb29kcyIsImdpdmVuIjoiRCBXIiwicGFyc2UtbmFtZXMiOmZhbHNlLCJkcm9wcGluZy1wYXJ0aWNsZSI6IiIsIm5vbi1kcm9wcGluZy1wYXJ0aWNsZSI6IiJ9LHsiZmFtaWx5IjoiUGlhY2VudGluaSIsImdpdmVuIjoiSiIsInBhcnNlLW5hbWVzIjpmYWxzZSwiZHJvcHBpbmctcGFydGljbGUiOiIiLCJub24tZHJvcHBpbmctcGFydGljbGUiOiIifSx7ImZhbWlseSI6IkZlbm5pZyIsImdpdmVuIjoiUyIsInBhcnNlLW5hbWVzIjpmYWxzZSwiZHJvcHBpbmctcGFydGljbGUiOiIiLCJub24tZHJvcHBpbmctcGFydGljbGUiOiIifSx7ImZhbWlseSI6IkFwdGVyIiwiZ2l2ZW4iOiJBIiwicGFyc2UtbmFtZXMiOmZhbHNlLCJkcm9wcGluZy1wYXJ0aWNsZSI6IiIsIm5vbi1kcm9wcGluZy1wYXJ0aWNsZSI6IiJ9LHsiZmFtaWx5IjoiU3RlaW5iZXJnIiwiZ2l2ZW4iOiJUIiwicGFyc2UtbmFtZXMiOmZhbHNlLCJkcm9wcGluZy1wYXJ0aWNsZSI6IiIsIm5vbi1kcm9wcGluZy1wYXJ0aWNsZSI6IiJ9XSwiY29udGFpbmVyLXRpdGxlIjoiUHN5Y2hpYXRyeSBSZXMiLCJET0kiOiIxMC4xMDE2L2oucHN5Y2hyZXMuMjAxNi4wNS4wNDciLCJQTUlEIjoiMjcyODkzMjYiLCJpc3N1ZWQiOnsiZGF0ZS1wYXJ0cyI6W1syMDE2XV19LCJwYWdlIjoiMjA0LTIwOSIsImFic3RyYWN0IjoiVGhlIG9iamVjdGl2ZSBvZiB0aGlzIHN0dWR5IHdhcyB0byBleGFtaW5lIHRoZSBpbmZsdWVuY2Ugb2YgZW52aXJvbm1lbnRhbCBjaGFsbGVuZ2VzIG9uIHRpYyBleHByZXNzaW9uIGJ5IHN1YmplY3RpdmUgYW5kIG9iamVjdGl2ZSBtZWFzdXJlcy4gVGhlIHN0dWR5IGdyb3VwIGNvbnNpc3RlZCBvZiA0MSBjaGlsZHJlbiBhZ2VkIDYtMTggeWVhcnMgKE09MTAuMTUsIFNEPTIuNzMpIHdpdGggYSBwcmltYXJ5IGRpYWdub3NpcyBvZiBUb3VyZXR0ZSBzeW5kcm9tZS4gU3ViamVjdGl2ZSBtZWFzdXJlcyBpbmNsdWRlZCB0aGUgRnVuY3Rpb25hbCBBc3Nlc3NtZW50IEludGVydmlldyBkZXZlbG9wZWQgZm9yIHRoaXMgc3R1ZHkgYW5kIHRocmVlIHN0YW5kYXJkIHZhbGlkYXRlZCBpbnN0cnVtZW50cy4gVGhlIG9iamVjdGl2ZSBtZWFzdXJlIHdhcyBhIHZpZGVvLXJlY29yZGluZyBvZiB0aGUgcGF0aWVudHMgaW4gZml2ZSBkYWlseS1saWZlIHNpdHVhdGlvbnM6IHdhdGNoaW5nIHRlbGV2aXNpb24sIGRvaW5nIGhvbWV3b3JrLCBiZWluZyBhbG9uZSwgcmVjZWl2aW5nIGF0dGVudGlvbiB3aGVuIHRpY2NpbmcsIGFuZCB0YWxraW5nIHRvIGEgc3RyYW5nZXIuIEluIGFkZGl0aW9uLCB0aGUgZWZmZWN0IG9mIHByZW1vbml0b3J5IHVyZ2VzIG9uIGFzc2Vzc21lbnQgb2YgdGljIGV4cHJlc3Npb24gd2FzIGV2YWx1YXRlZC4gVGhlIGFzc29jaWF0aW9ucyBiZXR3ZWVuIHRoZSBzdWJqZWN0aXZlIGFuZCBvYmplY3RpdmUgbWVhc3VyZXMgb2YgdGljIGV4cHJlc3Npb24gd2VyZSBtb2RlcmF0ZSB0byBsb3cuIEEgc2lnbmlmaWNhbnRseSBoaWdoZXIgbnVtYmVyIG9mIHRpY3Mgd2VyZSBvYnNlcnZlZCBpbiB0aGUgdGVsZXZpc2lvbiBzaXR1YXRpb24sIGFuZCBhIHNpZ25pZmljYW50bHkgbG93ZXIgbnVtYmVyIGluIHRoZSBhbG9uZSBzaXR1YXRpb24sIGNvbXBhcmVkIHRvIHRoZSBvdGhlciBzaXR1YXRpb25zLiBIaWdoZXIgbGV2ZWxzIG9mIHByZW1vbml0b3J5IHVyZ2Ugd2VyZSBhc3NvY2lhdGVkIHdpdGggZ3JlYXRlciBhd2FyZW5lc3Mgb2Ygb2JqZWN0aXZlbHkgbWVhc3VyZWQgdGljIGV4cHJlc3Npb24uIEluIGNvbmNsdXNpb24sIHRpYyBleHByZXNzaW9uIGlzIHNpZ25pZmljYW50bHkgaW5mbHVlbmNlZCBieSB0aGUgZW52aXJvbm1lbnQuIFN1YmplY3RpdmUgbWVhc3VyZXMgb2YgdGljIGV4cHJlc3Npb24gbWF5IGJlIG1pc2xlYWRpbmcuIFRoZXNlIHJlc3VsdHMgaGF2ZSBpbXBsaWNhdGlvbnMgZm9yIHJlZmluaW5nIHRoZSBjbGluaWNhbCBhc3Nlc3NtZW50IG9mIHRpY3MsIGltcHJvdmluZyByZXNlYXJjaCBtZXRob2RvbG9neSwgYW5kIGRldmVsb3BpbmcgbmV3IHRoZXJhcGV1dGljIHN0cmF0ZWdpZXMuIiwidm9sdW1lIjoiMjQyIiwiY29udGFpbmVyLXRpdGxlLXNob3J0IjoiIn0sImlzVGVtcG9yYXJ5IjpmYWxzZX1dfQ==&quot;,&quot;citationItems&quot;:[{&quot;id&quot;:&quot;182be015-8ae5-345a-83a4-506d2209a7db&quot;,&quot;itemData&quot;:{&quot;type&quot;:&quot;article-journal&quot;,&quot;id&quot;:&quot;182be015-8ae5-345a-83a4-506d2209a7db&quot;,&quot;title&quot;:&quot;Subjective versus objective measures of tic severity in Tourette syndrome - The influence of environment&quot;,&quot;groupId&quot;:&quot;07d62ac1-5aa8-39af-b49e-52d2088ac571&quot;,&quot;author&quot;:[{&quot;family&quot;:&quot;Barnea&quot;,&quot;given&quot;:&quot;M&quot;,&quot;parse-names&quot;:false,&quot;dropping-particle&quot;:&quot;&quot;,&quot;non-dropping-particle&quot;:&quot;&quot;},{&quot;family&quot;:&quot;Benaroya-Milshtein&quot;,&quot;given&quot;:&quot;N&quot;,&quot;parse-names&quot;:false,&quot;dropping-particle&quot;:&quot;&quot;,&quot;non-dropping-particle&quot;:&quot;&quot;},{&quot;family&quot;:&quot;Gilboa-Sechtman&quot;,&quot;given&quot;:&quot;E&quot;,&quot;parse-names&quot;:false,&quot;dropping-particle&quot;:&quot;&quot;,&quot;non-dropping-particle&quot;:&quot;&quot;},{&quot;family&quot;:&quot;Woods&quot;,&quot;given&quot;:&quot;D W&quot;,&quot;parse-names&quot;:false,&quot;dropping-particle&quot;:&quot;&quot;,&quot;non-dropping-particle&quot;:&quot;&quot;},{&quot;family&quot;:&quot;Piacentini&quot;,&quot;given&quot;:&quot;J&quot;,&quot;parse-names&quot;:false,&quot;dropping-particle&quot;:&quot;&quot;,&quot;non-dropping-particle&quot;:&quot;&quot;},{&quot;family&quot;:&quot;Fennig&quot;,&quot;given&quot;:&quot;S&quot;,&quot;parse-names&quot;:false,&quot;dropping-particle&quot;:&quot;&quot;,&quot;non-dropping-particle&quot;:&quot;&quot;},{&quot;family&quot;:&quot;Apter&quot;,&quot;given&quot;:&quot;A&quot;,&quot;parse-names&quot;:false,&quot;dropping-particle&quot;:&quot;&quot;,&quot;non-dropping-particle&quot;:&quot;&quot;},{&quot;family&quot;:&quot;Steinberg&quot;,&quot;given&quot;:&quot;T&quot;,&quot;parse-names&quot;:false,&quot;dropping-particle&quot;:&quot;&quot;,&quot;non-dropping-particle&quot;:&quot;&quot;}],&quot;container-title&quot;:&quot;Psychiatry Res&quot;,&quot;DOI&quot;:&quot;10.1016/j.psychres.2016.05.047&quot;,&quot;PMID&quot;:&quot;27289326&quot;,&quot;issued&quot;:{&quot;date-parts&quot;:[[2016]]},&quot;page&quot;:&quot;204-209&quot;,&quot;abstract&quot;:&quot;The objective of this study was to examine the influence of environmental challenges on tic expression by subjective and objective measures. The study group consisted of 41 children aged 6-18 years (M=10.15, SD=2.73) with a primary diagnosis of Tourette syndrome. Subjective measures included the Functional Assessment Interview developed for this study and three standard validated instruments. The objective measure was a video-recording of the patients in five daily-life situations: watching television, doing homework, being alone, receiving attention when ticcing, and talking to a stranger. In addition, the effect of premonitory urges on assessment of tic expression was evaluated. The associations between the subjective and objective measures of tic expression were moderate to low. A significantly higher number of tics were observed in the television situation, and a significantly lower number in the alone situation, compared to the other situations. Higher levels of premonitory urge were associated with greater awareness of objectively measured tic expression. In conclusion, tic expression is significantly influenced by the environment. Subjective measures of tic expression may be misleading. These results have implications for refining the clinical assessment of tics, improving research methodology, and developing new therapeutic strategies.&quot;,&quot;volume&quot;:&quot;242&quot;,&quot;container-title-short&quot;:&quot;&quot;},&quot;isTemporary&quot;:false}]},{&quot;citationID&quot;:&quot;MENDELEY_CITATION_7ec3531c-8e73-49d2-990c-69c5a5a748b8&quot;,&quot;properties&quot;:{&quot;noteIndex&quot;:0},&quot;isEdited&quot;:false,&quot;manualOverride&quot;:{&quot;isManuallyOverridden&quot;:false,&quot;citeprocText&quot;:&quot;(29)&quot;,&quot;manualOverrideText&quot;:&quot;&quot;},&quot;citationTag&quot;:&quot;MENDELEY_CITATION_v3_eyJjaXRhdGlvbklEIjoiTUVOREVMRVlfQ0lUQVRJT05fN2VjMzUzMWMtOGU3My00OWQyLTk5MGMtNjljNWE1YTc0OGI4IiwicHJvcGVydGllcyI6eyJub3RlSW5kZXgiOjB9LCJpc0VkaXRlZCI6ZmFsc2UsIm1hbnVhbE92ZXJyaWRlIjp7ImlzTWFudWFsbHlPdmVycmlkZGVuIjpmYWxzZSwiY2l0ZXByb2NUZXh0IjoiKDI5KSIsIm1hbnVhbE92ZXJyaWRlVGV4dCI6IiJ9LCJjaXRhdGlvbkl0ZW1zIjpbeyJpZCI6IjI3ZmFhYjg2LTNjMjctM2Q0My1hMDg1LWJiYWU0MjA2OGE0OSIsIml0ZW1EYXRhIjp7InR5cGUiOiJhcnRpY2xlLWpvdXJuYWwiLCJpZCI6IjI3ZmFhYjg2LTNjMjctM2Q0My1hMDg1LWJiYWU0MjA2OGE0OSIsInRpdGxlIjoiVGhlIHJvbGUgb2YgdGhlIGluc3VsYSBpbiB0aGUgZ2VuZXJhdGlvbiBvZiBtb3RvciB0aWNzIGFuZCB0aGUgZXhwZXJpZW5jZSBvZiB0aGUgcHJlbW9uaXRvcnkgdXJnZS10by10aWMgaW4gVG91cmV0dGUgc3luZHJvbWUiLCJncm91cElkIjoiMDdkNjJhYzEtNWFhOC0zOWFmLWI0OWUtNTJkMjA4OGFjNTcxIiwiYXV0aG9yIjpbeyJmYW1pbHkiOiJKYWNrc29uIiwiZ2l2ZW4iOiJTIFIiLCJwYXJzZS1uYW1lcyI6ZmFsc2UsImRyb3BwaW5nLXBhcnRpY2xlIjoiIiwibm9uLWRyb3BwaW5nLXBhcnRpY2xlIjoiIn0seyJmYW1pbHkiOiJMb2F5emEiLCJnaXZlbiI6IkoiLCJwYXJzZS1uYW1lcyI6ZmFsc2UsImRyb3BwaW5nLXBhcnRpY2xlIjoiIiwibm9uLWRyb3BwaW5nLXBhcnRpY2xlIjoiIn0seyJmYW1pbHkiOiJDcmlnaHRvbiIsImdpdmVuIjoiTSIsInBhcnNlLW5hbWVzIjpmYWxzZSwiZHJvcHBpbmctcGFydGljbGUiOiIiLCJub24tZHJvcHBpbmctcGFydGljbGUiOiIifSx7ImZhbWlseSI6IlNpZ3VyZHNzb24iLCJnaXZlbiI6IkggUCIsInBhcnNlLW5hbWVzIjpmYWxzZSwiZHJvcHBpbmctcGFydGljbGUiOiIiLCJub24tZHJvcHBpbmctcGFydGljbGUiOiIifSx7ImZhbWlseSI6IkR5a2UiLCJnaXZlbiI6IksiLCJwYXJzZS1uYW1lcyI6ZmFsc2UsImRyb3BwaW5nLXBhcnRpY2xlIjoiIiwibm9uLWRyb3BwaW5nLXBhcnRpY2xlIjoiIn0seyJmYW1pbHkiOiJKYWNrc29uIiwiZ2l2ZW4iOiJHIE0iLCJwYXJzZS1uYW1lcyI6ZmFsc2UsImRyb3BwaW5nLXBhcnRpY2xlIjoiIiwibm9uLWRyb3BwaW5nLXBhcnRpY2xlIjoiIn1dLCJjb250YWluZXItdGl0bGUiOiJDb3J0ZXgiLCJET0kiOiIxMC4xMDE2L2ouY29ydGV4LjIwMTkuMTIuMDIxIiwiUE1JRCI6IjMyMDcwODA5IiwiaXNzdWVkIjp7ImRhdGUtcGFydHMiOltbMjAyMF1dfSwicGFnZSI6IjExOS0xMzMiLCJhYnN0cmFjdCI6IlRvdXJldHRlIHN5bmRyb21lIChUUykgaXMgYSBuZXVyb2xvZ2ljYWwgZGlzb3JkZXIgb2YgY2hpbGRob29kIG9uc2V0IHRoYXQgaXMgY2hhcmFjdGVyaXNlZCBieSB0aGUgb2NjdXJyZW5jZSBvZiBtb3RvciBhbmQgdm9jYWwgdGljcy4gVFMgaXMgYXNzb2NpYXRlZCB3aXRoIGNvcnRpY2FsLXN0cmlhdGFsLXRoYWxhbWljLWNvcnRpY2FsIGNpcmN1aXQgW0NTVENdIGR5c2Z1bmN0aW9uIGFuZCBoeXBlci1leGNpdGFiaWxpdHkgb2YgY29ydGljYWwgbGltYmljIGFuZCBtb3RvciByZWdpb25zIHRoYXQgYXJlIHRob3VnaHQgdG8gbGVhZCB0byB0aGUgb2NjdXJyZW5jZSBvZiB0aWNzLiBJbXBvcnRhbnRseSwgaW5kaXZpZHVhbHMgd2l0aCBUUyBvZnRlbiByZXBvcnQgdGhhdCB0aGVpciB0aWNzIGFyZSBwcmVjZWRlZCBieSAncHJlbW9uaXRvcnkgc2Vuc29yeS91cmdlIHBoZW5vbWVuYScgKFBVKSB0aGF0IGFyZSBkZXNjcmliZWQgYXMgdW5jb21mb3J0YWJsZSBib2RpbHkgc2Vuc2F0aW9ucyB0aGF0IHByZWNlZGUgdGhlIGV4ZWN1dGlvbiBvZiBhIHRpYyBhbmQgYXJlIGV4cGVyaWVuY2VkIGFzIGEgc3Ryb25nIHVyZ2UgZm9yIG1vdG9yIGRpc2NoYXJnZS4gV2hpbGUgdGhlIHByZWNpc2Ugcm9sZSBwbGF5ZWQgYnkgUFUgaW4gdGhlIG9jY3VycmVuY2Ugb2YgdGljcyBpcyBsYXJnZWx5IHVua25vd24sIHRoZXkgYXJlIG5vbmV0aGVsZXNzIG9mIGNvbnNpZGVyYWJsZSB0aGVvcmV0aWNhbCBhbmQgY2xpbmljYWwgaW1wb3J0YW5jZSwgbm90IGxlYXN0IGJlY2F1c2UgdGhleSBmb3JtIHRoZSBjb3JlIGNvbXBvbmVudCBpbiBtYW55IGJlaGF2aW91cmFsIHRoZXJhcGllcyB1c2VkIGluIHRoZSB0cmVhdG1lbnQgb2YgdGljIGRpc29yZGVycy4gU2V2ZXJhbCBsaW5lcyBvZiBldmlkZW5jZSBpbmRpY2F0ZSB0aGF0IHRoZSBpbnN1bGFyIGNvcnRleCBtYXkgcGxheSBhIHBhcnRpY3VsYXJseSBpbXBvcnRhbnQgcm9sZSBpbiB0aGUgZ2VuZXJhdGlvbiBvZiBQVSBpbiBUUyBhbmQgJ3VyZ2VzLWZvci1hY3Rpb24nIG1vcmUgZ2VuZXJhbGx5LiBJbiB0aGUgY3VycmVudCBzdHVkeSB3ZSB1dGlsaXNlZCB2b3hlbC1iYXNlZCBtb3JwaG9tZXRyeSB0ZWNobmlxdWVzIHRvZ2V0aGVyIHdpdGggJ3NlZWQtdG8tdm94ZWwnIHN0cnVjdHVyYWwgY292YXJpYW5jZSBuZXR3b3JrIChTQ04pIG1hcHBpbmcgdG8gaW52ZXN0aWdhdGUgdGhlIHB1dGF0aXZlIHJvbGUgcGxheWVkIGJ5IHRoZSByaWdodCBpbnN1bGFyIGNvcnRleCBpbiB0aGUgZ2VuZXJhdGlvbiBvZiBtb3RvciB0aWNzIGFuZCB0aGUgZXhwZXJpZW5jZSBvZiBQVSBpbiBhIHJlbGF0aXZlbHkgbGFyZ2UgZ3JvdXAgb2YgeW91bmcgcGVvcGxlIFRTLiBXZSBkZW1vbnN0cmF0ZSB0aGF0IGNsaW5pY2FsIG1lYXN1cmVzIG9mIG1vdG9yIHRpYyBzZXZlcml0eSBhbmQgUFUgYXJlIHVuY29ycmVsYXRlZCB3aXRoIG9uZSBhbm90aGVyLCB0aGF0IG1vdG9yIHRpYyBzZXZlcml0eSBhbmQgUFUgc2NvcmVzIGFyZSBhc3NvY2lhdGVkIHdpdGggc2VwYXJhdGUgcmVnaW9ucyBvZiB0aGUgaW5zdWxhciBjb3J0ZXgsIGFuZCB0aGF0IHRoZSBpbnN1bGEgaXMgYXNzb2NpYXRlZCB3aXRoIGRpZmZlcmVudCBzdHJ1Y3R1cmFsIGNvdmFyaWFuY2UgbmV0d29ya3MgaW4gaW5kaXZpZHVhbHMgd2l0aCBUUyBjb21wYXJlZCB0byBhIG1hdGNoZWQgZ3JvdXAgb2YgdHlwaWNhbGx5IGRldmVsb3BpbmcgaW5kaXZpZHVhbHMuIiwidm9sdW1lIjoiMTI2IiwiY29udGFpbmVyLXRpdGxlLXNob3J0IjoiIn0sImlzVGVtcG9yYXJ5IjpmYWxzZX1dfQ==&quot;,&quot;citationItems&quot;:[{&quot;id&quot;:&quot;27faab86-3c27-3d43-a085-bbae42068a49&quot;,&quot;itemData&quot;:{&quot;type&quot;:&quot;article-journal&quot;,&quot;id&quot;:&quot;27faab86-3c27-3d43-a085-bbae42068a49&quot;,&quot;title&quot;:&quot;The role of the insula in the generation of motor tics and the experience of the premonitory urge-to-tic in Tourette syndrome&quot;,&quot;groupId&quot;:&quot;07d62ac1-5aa8-39af-b49e-52d2088ac571&quot;,&quot;author&quot;:[{&quot;family&quot;:&quot;Jackson&quot;,&quot;given&quot;:&quot;S R&quot;,&quot;parse-names&quot;:false,&quot;dropping-particle&quot;:&quot;&quot;,&quot;non-dropping-particle&quot;:&quot;&quot;},{&quot;family&quot;:&quot;Loayza&quot;,&quot;given&quot;:&quot;J&quot;,&quot;parse-names&quot;:false,&quot;dropping-particle&quot;:&quot;&quot;,&quot;non-dropping-particle&quot;:&quot;&quot;},{&quot;family&quot;:&quot;Crighton&quot;,&quot;given&quot;:&quot;M&quot;,&quot;parse-names&quot;:false,&quot;dropping-particle&quot;:&quot;&quot;,&quot;non-dropping-particle&quot;:&quot;&quot;},{&quot;family&quot;:&quot;Sigurdsson&quot;,&quot;given&quot;:&quot;H P&quot;,&quot;parse-names&quot;:false,&quot;dropping-particle&quot;:&quot;&quot;,&quot;non-dropping-particle&quot;:&quot;&quot;},{&quot;family&quot;:&quot;Dyke&quot;,&quot;given&quot;:&quot;K&quot;,&quot;parse-names&quot;:false,&quot;dropping-particle&quot;:&quot;&quot;,&quot;non-dropping-particle&quot;:&quot;&quot;},{&quot;family&quot;:&quot;Jackson&quot;,&quot;given&quot;:&quot;G M&quot;,&quot;parse-names&quot;:false,&quot;dropping-particle&quot;:&quot;&quot;,&quot;non-dropping-particle&quot;:&quot;&quot;}],&quot;container-title&quot;:&quot;Cortex&quot;,&quot;DOI&quot;:&quot;10.1016/j.cortex.2019.12.021&quot;,&quot;PMID&quot;:&quot;32070809&quot;,&quot;issued&quot;:{&quot;date-parts&quot;:[[2020]]},&quot;page&quot;:&quot;119-133&quot;,&quot;abstract&quot;:&quot;Tourette syndrome (TS) is a neurological disorder of childhood onset that is characterised by the occurrence of motor and vocal tics. TS is associated with cortical-striatal-thalamic-cortical circuit [CSTC] dysfunction and hyper-excitability of cortical limbic and motor regions that are thought to lead to the occurrence of tics. Importantly, individuals with TS often report that their tics are preceded by 'premonitory sensory/urge phenomena' (PU) that are described as uncomfortable bodily sensations that precede the execution of a tic and are experienced as a strong urge for motor discharge. While the precise role played by PU in the occurrence of tics is largely unknown, they are nonetheless of considerable theoretical and clinical importance, not least because they form the core component in many behavioural therapies used in the treatment of tic disorders. Several lines of evidence indicate that the insular cortex may play a particularly important role in the generation of PU in TS and 'urges-for-action' more generally. In the current study we utilised voxel-based morphometry techniques together with 'seed-to-voxel' structural covariance network (SCN) mapping to investigate the putative role played by the right insular cortex in the generation of motor tics and the experience of PU in a relatively large group of young people TS. We demonstrate that clinical measures of motor tic severity and PU are uncorrelated with one another, that motor tic severity and PU scores are associated with separate regions of the insular cortex, and that the insula is associated with different structural covariance networks in individuals with TS compared to a matched group of typically developing individuals.&quot;,&quot;volume&quot;:&quot;126&quot;,&quot;container-title-short&quot;:&quot;&quot;},&quot;isTemporary&quot;:false}]},{&quot;citationID&quot;:&quot;MENDELEY_CITATION_86922e33-960b-435a-91c4-c3621af980f9&quot;,&quot;properties&quot;:{&quot;noteIndex&quot;:0},&quot;isEdited&quot;:false,&quot;manualOverride&quot;:{&quot;isManuallyOverridden&quot;:false,&quot;citeprocText&quot;:&quot;(30)&quot;,&quot;manualOverrideText&quot;:&quot;&quot;},&quot;citationTag&quot;:&quot;MENDELEY_CITATION_v3_eyJjaXRhdGlvbklEIjoiTUVOREVMRVlfQ0lUQVRJT05fODY5MjJlMzMtOTYwYi00MzVhLTkxYzQtYzM2MjFhZjk4MGY5IiwicHJvcGVydGllcyI6eyJub3RlSW5kZXgiOjB9LCJpc0VkaXRlZCI6ZmFsc2UsIm1hbnVhbE92ZXJyaWRlIjp7ImlzTWFudWFsbHlPdmVycmlkZGVuIjpmYWxzZSwiY2l0ZXByb2NUZXh0IjoiKDMwKSIsIm1hbnVhbE92ZXJyaWRlVGV4dCI6IiJ9LCJjaXRhdGlvbkl0ZW1zIjpbeyJpZCI6IjNhNThmYTE1LTc4MDQtMzM4ZS1iZWJjLThlZDliYWI1YTM0OSIsIml0ZW1EYXRhIjp7InR5cGUiOiJhcnRpY2xlLWpvdXJuYWwiLCJpZCI6IjNhNThmYTE1LTc4MDQtMzM4ZS1iZWJjLThlZDliYWI1YTM0OSIsInRpdGxlIjoiVG91cmV0dGUgcGF0aWVudHMnIG1pc2JlbGllZiBvZiBhIHRpYyByZWJvdW5kIGlzIGR1ZSB0byBvdmVyYWxsIGRpZmZpY3VsdGllcyBpbiByZWxpYWJsZSB0aWMgcmF0aW5nIiwiZ3JvdXBJZCI6IjA3ZDYyYWMxLTVhYTgtMzlhZi1iNDllLTUyZDIwODhhYzU3MSIsImF1dGhvciI6W3siZmFtaWx5IjoiTXVsbGVyLVZhaGwiLCJnaXZlbiI6IksgUiIsInBhcnNlLW5hbWVzIjpmYWxzZSwiZHJvcHBpbmctcGFydGljbGUiOiIiLCJub24tZHJvcHBpbmctcGFydGljbGUiOiIifSx7ImZhbWlseSI6IlJpZW1hbm4iLCJnaXZlbiI6IkwiLCJwYXJzZS1uYW1lcyI6ZmFsc2UsImRyb3BwaW5nLXBhcnRpY2xlIjoiIiwibm9uLWRyb3BwaW5nLXBhcnRpY2xlIjoiIn0seyJmYW1pbHkiOiJCb2tlbWV5ZXIiLCJnaXZlbiI6IlMiLCJwYXJzZS1uYW1lcyI6ZmFsc2UsImRyb3BwaW5nLXBhcnRpY2xlIjoiIiwibm9uLWRyb3BwaW5nLXBhcnRpY2xlIjoiIn1dLCJjb250YWluZXItdGl0bGUiOiJKb3VybmFsIG9mIFBzeWNob3NvbWF0aWMgUmVzZWFyY2giLCJET0kiOiJodHRwczovL2R4LmRvaS5vcmcvMTAuMTAxNi9qLmpwc3ljaG9yZXMuMjAxNC4wMy4wMDMiLCJVUkwiOiJodHRwczovL3d3dy5lbHNldmllci5jb20vbG9jYXRlL2pwc3ljaG9yZXNodHRwOi8vb3ZpZHNwLm92aWQuY29tL292aWR3ZWIuY2dpP1Q9SlMmUEFHRT1yZWZlcmVuY2UmRD1lbWVkMTUmTkVXUz1OJkFOPTUzMTA4ODY3IiwiaXNzdWVkIjp7ImRhdGUtcGFydHMiOltbMjAxNF1dfSwicGFnZSI6IjQ3Mi00NzYiLCJhYnN0cmFjdCI6Ik9iamVjdGl2ZTogV2hpbGUgaW4gY2xpbmljYWwgaW50ZXJ2aWV3cyB0aGUgdmFzdCBtYWpvcml0eSBvZiBwYXRpZW50cyB3aXRoIFRvdXJldHRlIHN5bmRyb21lIChUUykgcmVwb3J0IGFib3V0IGEgdGljIHJlYm91bmQgYWZ0ZXIgdm9sdW50YXJ5IHRpYyBzdXBwcmVzc2lvbiwgaW4gcmVjZW50IHN0dWRpZXMgaW4gY2hpbGRyZW4gbm8gcGFyYWRveGljYWwgdGljIGluY3JlYXNlIGNvdWxkIGJlIGZvdW5kLiBXZSBoeXBvdGhlc2l6ZWQgdGhhdCBpbiBhZHVsdCBwYXRpZW50cyB0aGVyZSBpcyBhIHRpYyByZWJvdW5kIGFmdGVyIHRpYyBzdXBwcmVzc2lvbi4gTWV0aG9kKHMpOiBXZSBpbnZlc3RpZ2F0ZWQgdGhlIHRpYyBzZXZlcml0eSwgcHJlbW9uaXRvcnkgdXJnZXMgYW5kIGluZmx1ZW5jZSBvZiBhdHRlbnRpb24gZGVmaWNpdCBoeXBlcmFjdGl2aXR5IGRpc29yZGVyIChBREhEKSBiZWZvcmUsIGR1cmluZyBhbmQgYWZ0ZXIgdGljIHN1cHByZXNzaW9uIGluIDIyIGFkdWx0IHBhdGllbnRzIHdpdGggVFMgdXNpbmcgYm90aCBhbiBvYmplY3RpdmUgdmlkZW8gdGljIHJhdGluZyBhbmQgc3ViamVjdGl2ZSBwYXRpZW50IHJhdGluZ3MgZm9yIHRpY3MgYW5kIHByZW1vbml0b3J5IHVyZ2VzLiBSZXN1bHQocyk6IEFjY29yZGluZyB0byB0aGUgdmlkZW8gcmF0aW5nLCB0aWMgc3VwcHJlc3Npb24gcmVzdWx0ZWQgaW4gYSBzaWduaWZpY2FudCB0aWMgcmVkdWN0aW9uLCBidXQgbm8gcmVib3VuZC4gUGF0aWVudHMgYWxzbyByZXBvcnRlZCBubyB0aWMgcmVib3VuZC4gVGhleSBlcnJvbmVvdXNseSBiZWxpZXZlZCBpbiBhbiBhYnNvbHV0ZSB0aWMgcmVkdWN0aW9uIDIwIGFuZCAzMC4gbWluIGFmdGVyIHN1cHByZXNzaW9uLCBidXQgcGFyYWRveGljYWxseSBmZWx0IG5vIHJlbGF0aXZlIHRpYyBjaGFuZ2UuIFByZW1vbml0b3J5IHVyZ2VzIHJlbWFpbmVkIHVuY2hhbmdlZC4gVGhlcmUgd2FzIG5vIGNvcnJlbGF0aW9uIGJldHdlZW4gcHJlbW9uaXRvcnkgdXJnZXMgYW5kIHRpYyBzZXZlcml0eS4gVGhlIHBvdGVuY3kgZm9yIHRpYyBpbmhpYml0aW9uIGRpZCBub3QgY29ycmVsYXRlIHdpdGggcHJlbW9uaXRvcnkgdXJnZXMgYW5kIHRpYyBzZXZlcml0eS4gQURIRCBkaWQgbm90IGluZmx1ZW5jZSB0aWMgaW5oaWJpdGlvbi4gQ29uY2x1c2lvbihzKTogSW4gYWR1bHRzIHdpdGggVFMsIHRoZXJlIGlzIG5vIHRpYyByZWJvdW5kIGFmdGVyIHZvbHVudGFyeSB0aWMgc3VwcHJlc3Npb24uIFBhdGllbnRzIGFsc28gcmVwb3J0ZWQgbm8gcmVib3VuZCwgYnV0IGVycm9uZW91c2x5IGZlbHQgYSB0aWMgcmVkdWN0aW9uIGluIHRoZSBsYXRlciBjb3Vyc2Ugb2YgdGhlIHN0dWR5LiBUaGlzIG1pc2p1ZGdlbWVudCBhcyB3ZWxsIGFzIHBhdGllbnRzJyBvZnRlbiByZXBvcnRlZCAobWlzLSliZWxpZWYgb2YgYSB0aWMgcmVib3VuZCBtYXkgYmUgY2F1c2VkIGJ5IG92ZXJhbGwgZGlmZmljdWx0aWVzIGluIHJlbGlhYmxlIHRpYyByYXRpbmcuIFByZW1vbml0b3J5IHVyZ2VzIHJlbWFpbmVkIHVuY2hhbmdlZCBkdXJpbmcgdGljIHN1cHByZXNzaW9uLiBUaWMgc3VwcHJlc3Npb24gd2FzIG5vdCBpbmZsdWVuY2VkIGJ5IGF0dGVudGlvbiBkZWZpY2l0cy4gUHJlbW9uaXRvcnkgdXJnZXMgYXJlIG5vIHByZXJlcXVpc2l0ZSBvZiB0aWMgc3VwcHJlc3Npb24uIMKpIDIwMTQgRWxzZXZpZXIgSW5jLiIsImlzc3VlIjoiNiIsInZvbHVtZSI6Ijc2IiwiY29udGFpbmVyLXRpdGxlLXNob3J0IjoiSiBQc3ljaG9zb20gUmVzIn0sImlzVGVtcG9yYXJ5IjpmYWxzZX1dfQ==&quot;,&quot;citationItems&quot;:[{&quot;id&quot;:&quot;3a58fa15-7804-338e-bebc-8ed9bab5a349&quot;,&quot;itemData&quot;:{&quot;type&quot;:&quot;article-journal&quot;,&quot;id&quot;:&quot;3a58fa15-7804-338e-bebc-8ed9bab5a349&quot;,&quot;title&quot;:&quot;Tourette patients' misbelief of a tic rebound is due to overall difficulties in reliable tic rating&quot;,&quot;groupId&quot;:&quot;07d62ac1-5aa8-39af-b49e-52d2088ac571&quot;,&quot;author&quot;:[{&quot;family&quot;:&quot;Muller-Vahl&quot;,&quot;given&quot;:&quot;K R&quot;,&quot;parse-names&quot;:false,&quot;dropping-particle&quot;:&quot;&quot;,&quot;non-dropping-particle&quot;:&quot;&quot;},{&quot;family&quot;:&quot;Riemann&quot;,&quot;given&quot;:&quot;L&quot;,&quot;parse-names&quot;:false,&quot;dropping-particle&quot;:&quot;&quot;,&quot;non-dropping-particle&quot;:&quot;&quot;},{&quot;family&quot;:&quot;Bokemeyer&quot;,&quot;given&quot;:&quot;S&quot;,&quot;parse-names&quot;:false,&quot;dropping-particle&quot;:&quot;&quot;,&quot;non-dropping-particle&quot;:&quot;&quot;}],&quot;container-title&quot;:&quot;Journal of Psychosomatic Research&quot;,&quot;DOI&quot;:&quot;https://dx.doi.org/10.1016/j.jpsychores.2014.03.003&quot;,&quot;URL&quot;:&quot;https://www.elsevier.com/locate/jpsychoreshttp://ovidsp.ovid.com/ovidweb.cgi?T=JS&amp;PAGE=reference&amp;D=emed15&amp;NEWS=N&amp;AN=53108867&quot;,&quot;issued&quot;:{&quot;date-parts&quot;:[[2014]]},&quot;page&quot;:&quot;472-476&quot;,&quot;abstract&quot;:&quot;Objective: While in clinical interviews the vast majority of patients with Tourette syndrome (TS) report about a tic rebound after voluntary tic suppression, in recent studies in children no paradoxical tic increase could be found. We hypothesized that in adult patients there is a tic rebound after tic suppression. Method(s): We investigated the tic severity, premonitory urges and influence of attention deficit hyperactivity disorder (ADHD) before, during and after tic suppression in 22 adult patients with TS using both an objective video tic rating and subjective patient ratings for tics and premonitory urges. Result(s): According to the video rating, tic suppression resulted in a significant tic reduction, but no rebound. Patients also reported no tic rebound. They erroneously believed in an absolute tic reduction 20 and 30. min after suppression, but paradoxically felt no relative tic change. Premonitory urges remained unchanged. There was no correlation between premonitory urges and tic severity. The potency for tic inhibition did not correlate with premonitory urges and tic severity. ADHD did not influence tic inhibition. Conclusion(s): In adults with TS, there is no tic rebound after voluntary tic suppression. Patients also reported no rebound, but erroneously felt a tic reduction in the later course of the study. This misjudgement as well as patients' often reported (mis-)belief of a tic rebound may be caused by overall difficulties in reliable tic rating. Premonitory urges remained unchanged during tic suppression. Tic suppression was not influenced by attention deficits. Premonitory urges are no prerequisite of tic suppression. © 2014 Elsevier Inc.&quot;,&quot;issue&quot;:&quot;6&quot;,&quot;volume&quot;:&quot;76&quot;,&quot;container-title-short&quot;:&quot;J Psychosom Res&quot;},&quot;isTemporary&quot;:false}]},{&quot;citationID&quot;:&quot;MENDELEY_CITATION_872fe608-1839-4198-9fd2-8545daf0013a&quot;,&quot;properties&quot;:{&quot;noteIndex&quot;:0},&quot;isEdited&quot;:false,&quot;manualOverride&quot;:{&quot;isManuallyOverridden&quot;:false,&quot;citeprocText&quot;:&quot;(31)&quot;,&quot;manualOverrideText&quot;:&quot;&quot;},&quot;citationTag&quot;:&quot;MENDELEY_CITATION_v3_eyJjaXRhdGlvbklEIjoiTUVOREVMRVlfQ0lUQVRJT05fODcyZmU2MDgtMTgzOS00MTk4LTlmZDItODU0NWRhZjAwMTNhIiwicHJvcGVydGllcyI6eyJub3RlSW5kZXgiOjB9LCJpc0VkaXRlZCI6ZmFsc2UsIm1hbnVhbE92ZXJyaWRlIjp7ImlzTWFudWFsbHlPdmVycmlkZGVuIjpmYWxzZSwiY2l0ZXByb2NUZXh0IjoiKDMxKSIsIm1hbnVhbE92ZXJyaWRlVGV4dCI6IiJ9LCJjaXRhdGlvbkl0ZW1zIjpbeyJpZCI6ImIwMGNmYjcwLWQ4ZTItM2U4Yi1hZmQxLWRmZjAyYjRkMDEwMCIsIml0ZW1EYXRhIjp7InR5cGUiOiJhcnRpY2xlLWpvdXJuYWwiLCJpZCI6ImIwMGNmYjcwLWQ4ZTItM2U4Yi1hZmQxLWRmZjAyYjRkMDEwMCIsInRpdGxlIjoiQ2xpbmljYWwgQ29ycmVsYXRlcyBvZiBIZWFsdGgtUmVsYXRlZCBRdWFsaXR5IG9mIExpZmUgaW4gQWR1bHRzIFdpdGggQ2hyb25pYyBUaWMgRGlzb3JkZXIiLCJncm91cElkIjoiMDdkNjJhYzEtNWFhOC0zOWFmLWI0OWUtNTJkMjA4OGFjNTcxIiwiYXV0aG9yIjpbeyJmYW1pbHkiOiJJc2FhY3MiLCJnaXZlbiI6IkQgQSIsInBhcnNlLW5hbWVzIjpmYWxzZSwiZHJvcHBpbmctcGFydGljbGUiOiIiLCJub24tZHJvcHBpbmctcGFydGljbGUiOiIifSx7ImZhbWlseSI6IlJpb3JkYW4iLCJnaXZlbiI6IkggUiIsInBhcnNlLW5hbWVzIjpmYWxzZSwiZHJvcHBpbmctcGFydGljbGUiOiIiLCJub24tZHJvcHBpbmctcGFydGljbGUiOiIifSx7ImZhbWlseSI6IkNsYWFzc2VuIiwiZ2l2ZW4iOiJEIE8iLCJwYXJzZS1uYW1lcyI6ZmFsc2UsImRyb3BwaW5nLXBhcnRpY2xlIjoiIiwibm9uLWRyb3BwaW5nLXBhcnRpY2xlIjoiIn1dLCJjb250YWluZXItdGl0bGUiOiJGcm9udGllcnMgaW4gUHN5Y2hpYXRyeSIsIkRPSSI6Imh0dHBzOi8vZHguZG9pLm9yZy8xMC4zMzg5L2Zwc3l0LjIwMjEuNjE5ODU0IiwiVVJMIjoiaHR0cDovL3d3dy5mcm9udGllcnNpbi5vcmcvUHN5Y2hpYXRyeWh0dHA6Ly9vdmlkc3Aub3ZpZC5jb20vb3ZpZHdlYi5jZ2k/VD1KUyZQQUdFPXJlZmVyZW5jZSZEPWVtZWQyMiZORVdTPU4mQU49NjM0NTY3MTM2IiwiaXNzdWVkIjp7ImRhdGUtcGFydHMiOltbMjAyMV1dfSwicGFnZSI6IjYxOTg1NCIsImFic3RyYWN0IjoiVGljcyBhcmUgdGhlIGhhbGxtYXJrIGZlYXR1cmUgb2YgVG91cmV0dGUgc3luZHJvbWUgKFRTKSwgYnV0IHBzeWNoaWF0cmljIGFuZCBzZW5zb3J5IHN5bXB0b21zIGFyZSB3aWRlbHkgcHJldmFsZW50IGFuZCBpbmNyZWFzaW5nbHkgcmVjb2duaXplZCBhcyBjb3JlIG1hbmlmZXN0YXRpb25zIG9mIHRoZSBkaXNvcmRlci4gQWNjdW11bGF0aW5nIGV2aWRlbmNlIHN1Z2dlc3RzIHRoYXQgdGhlc2UgcHN5Y2hpYXRyaWMgYW5kIHNlbnNvcnkgc3ltcHRvbXMgZXhlcnQgZ3JlYXRlciBpbmZsdWVuY2Ugb24gcXVhbGl0eSBvZiBsaWZlIChRT0wpIHRoYW4gdGljcyB0aGVtc2VsdmVzLiBIb3dldmVyLCBtdWNoIHJlbWFpbnMgdW5jZXJ0YWluIGFib3V0IGRldGVybWluYW50cyBvZiBRT0wgaW4gVFMgZHVlIHRvIHRoZSBjb21wbGV4aXR5IG9mIHRoZSBjbGluaWNhbCBwcmVzZW50YXRpb24uIEhlcmUsIHdlIHNvdWdodCB0byBjbGFyaWZ5IHRoZSBhc3NvY2lhdGlvbiBiZXR3ZWVuIGhlYWx0aC1yZWxhdGVkIFFPTCAoSFJRT0wpIGFuZCBjb21tb24gcHN5Y2hpYXRyaWMgYW5kIHNlbnNvcnkgc3ltcHRvbXMgaW4gYWR1bHRzIHdpdGggVFMgYW5kIG90aGVyIGNocm9uaWMgdGljIGRpc29yZGVycy4gVG8gZG8gc28sIHdlIHByb3NwZWN0aXZlbHkgcmVjcnVpdGVkIDUyIHBhdGllbnRzIGZyb20gYSB0ZXJ0aWFyeSBjYXJlIGNsaW5pYyB0byBjb21wbGV0ZSBzZWxmLXJlcG9ydCBtZWFzdXJlcyBhc3Nlc3NpbmcgSFJRT0wgKEdpbGxlcyBkZSBsYSBUb3VyZXR0ZS1RdWFsaXR5IG9mIExpZmUgU2NhbGUsIEdUUy1RT0wpLCBkZXByZXNzaW9uIChQYXRpZW50IEhlYWx0aCBRdWVzdGlvbm5haXJlLTksIFBIUS05KSwgYW54aWV0eSAoR2VuZXJhbGl6ZWQgQW54aWV0eSBEaXNvcmRlciBTY2FsZS03LCBHQUQtNyksIG9ic2Vzc2l2ZS1jb21wdWxzaXZlIHN5bXB0b21zIChEaW1lbnNpb25hbCBPYnNlc3NpdmUtQ29tcHVsc2l2ZSBTY2FsZSwgRE9DUyksIGF0dGVudGlvbiBkZWZpY2l0IGh5cGVyYWN0aXZpdHkgZGlzb3JkZXIgc3ltcHRvbXMgKEFkdWx0IEFESEQgU2VsZi1SZXBvcnQgU2NyZWVuaW5nIFNjYWxlIGZvciBEU00tNSwgQVNSUy1WKSwgYW5kIHByZW1vbml0b3J5IHVyZ2UgKFByZW1vbml0b3J5IFVyZ2UgdG8gVGljIFNjYWxlLCBQVVRTKS4gQWxsIHBhcnRpY2lwYW50cyB3ZXJlIGFsc28gYWRtaW5pc3RlcmVkIHRoZSBZYWxlIEdsb2JhbCBUaWMgU2V2ZXJpdHkgU2NhbGUgKFlHVFNTKSB0byBxdWFudGlmeSB0aWMgc2V2ZXJpdHkuIFVzaW5nIGNvcnJlbGF0aW9uYWwgYW5hbHlzaXMgYW5kIG11bHRpdmFyaWFibGUgbGluZWFyIHJlZ3Jlc3Npb24gbW9kZWxpbmcsIHdlIGZvdW5kIHRoYXQgR1RTLVFPTCBzY29yZSB3YXMgc2lnbmlmaWNhbnRseSBhc3NvY2lhdGVkIHdpdGggc2NvcmVzIGZyb20gYWxsIG90aGVyIHJhdGluZyBzY2FsZXMsIHdpdGggdGhlIGV4Y2VwdGlvbiBvZiB0aGUgUFVUUy4gR1RTLVFPTCB3YXMgbW9zdCBzdHJvbmdseSBhc3NvY2lhdGVkIHdpdGggUEhRLTksIGZvbGxvd2VkIGJ5IEFTUlMtViwgR0FELTcsIERPQ1MsIGFuZCBZR1RTUyB0b3RhbCB0aWMgc2NvcmUuIFRoZSByZWdyZXNzaW9uIG1vZGVsIGluY2x1ZGluZyB0aGVzZSBmaXZlIGluZGVwZW5kZW50IHZhcmlhYmxlcywgYXMgd2VsbCBhcyBzZXgsIGV4cGxhaW5lZCA3OSUgb2YgR1RTLVFPTCBzY29yZSB2YXJpYW5jZSBbRig2LDQwKSA9IDI5LjYsIHAgPCAwLjAwMV0uIFNwZWNpZmljIHBzeWNoaWF0cmljIHN5bXB0b21zIGRpZmZlcmVudGlhbGx5IGltcGFjdGVkIHBoeXNpY2FsLCBwc3ljaG9sb2dpY2FsLCBhbmQgY29nbml0aXZlIEhSUU9MLiBTeXN0ZW1hdGljIGFzc2Vzc21lbnQgb2YgcHN5Y2hpYXRyaWMgY29tb3JiaWRpdGllcyBpcyBpbXBlcmF0aXZlIGZvciBjbGluaWNhbCBjYXJlIGFuZCBjbGluaWNhbCByZXNlYXJjaCBlZmZvcnRzIGRpcmVjdGVkIGF0IGltcHJvdmluZyBRT0wgaW4gYWR1bHRzIHdpdGggY2hyb25pYyB0aWMgZGlzb3JkZXJzLsKpIENvcHlyaWdodCDCqSAyMDIxIElzYWFjcywgUmlvcmRhbiBhbmQgQ2xhYXNzZW4uIiwidm9sdW1lIjoiMTIiLCJjb250YWluZXItdGl0bGUtc2hvcnQiOiJGcm9udCBQc3ljaGlhdHJ5In0sImlzVGVtcG9yYXJ5IjpmYWxzZX1dfQ==&quot;,&quot;citationItems&quot;:[{&quot;id&quot;:&quot;b00cfb70-d8e2-3e8b-afd1-dff02b4d0100&quot;,&quot;itemData&quot;:{&quot;type&quot;:&quot;article-journal&quot;,&quot;id&quot;:&quot;b00cfb70-d8e2-3e8b-afd1-dff02b4d0100&quot;,&quot;title&quot;:&quot;Clinical Correlates of Health-Related Quality of Life in Adults With Chronic Tic Disorder&quot;,&quot;groupId&quot;:&quot;07d62ac1-5aa8-39af-b49e-52d2088ac571&quot;,&quot;author&quot;:[{&quot;family&quot;:&quot;Isaacs&quot;,&quot;given&quot;:&quot;D A&quot;,&quot;parse-names&quot;:false,&quot;dropping-particle&quot;:&quot;&quot;,&quot;non-dropping-particle&quot;:&quot;&quot;},{&quot;family&quot;:&quot;Riordan&quot;,&quot;given&quot;:&quot;H R&quot;,&quot;parse-names&quot;:false,&quot;dropping-particle&quot;:&quot;&quot;,&quot;non-dropping-particle&quot;:&quot;&quot;},{&quot;family&quot;:&quot;Claassen&quot;,&quot;given&quot;:&quot;D O&quot;,&quot;parse-names&quot;:false,&quot;dropping-particle&quot;:&quot;&quot;,&quot;non-dropping-particle&quot;:&quot;&quot;}],&quot;container-title&quot;:&quot;Frontiers in Psychiatry&quot;,&quot;DOI&quot;:&quot;https://dx.doi.org/10.3389/fpsyt.2021.619854&quot;,&quot;URL&quot;:&quot;http://www.frontiersin.org/Psychiatryhttp://ovidsp.ovid.com/ovidweb.cgi?T=JS&amp;PAGE=reference&amp;D=emed22&amp;NEWS=N&amp;AN=634567136&quot;,&quot;issued&quot;:{&quot;date-parts&quot;:[[2021]]},&quot;page&quot;:&quot;619854&quot;,&quot;abstract&quot;:&quot;Tics are the hallmark feature of Tourette syndrome (TS), but psychiatric and sensory symptoms are widely prevalent and increasingly recognized as core manifestations of the disorder. Accumulating evidence suggests that these psychiatric and sensory symptoms exert greater influence on quality of life (QOL) than tics themselves. However, much remains uncertain about determinants of QOL in TS due to the complexity of the clinical presentation. Here, we sought to clarify the association between health-related QOL (HRQOL) and common psychiatric and sensory symptoms in adults with TS and other chronic tic disorders. To do so, we prospectively recruited 52 patients from a tertiary care clinic to complete self-report measures assessing HRQOL (Gilles de la Tourette-Quality of Life Scale, GTS-QOL), depression (Patient Health Questionnaire-9, PHQ-9), anxiety (Generalized Anxiety Disorder Scale-7, GAD-7), obsessive-compulsive symptoms (Dimensional Obsessive-Compulsive Scale, DOCS), attention deficit hyperactivity disorder symptoms (Adult ADHD Self-Report Screening Scale for DSM-5, ASRS-V), and premonitory urge (Premonitory Urge to Tic Scale, PUTS). All participants were also administered the Yale Global Tic Severity Scale (YGTSS) to quantify tic severity. Using correlational analysis and multivariable linear regression modeling, we found that GTS-QOL score was significantly associated with scores from all other rating scales, with the exception of the PUTS. GTS-QOL was most strongly associated with PHQ-9, followed by ASRS-V, GAD-7, DOCS, and YGTSS total tic score. The regression model including these five independent variables, as well as sex, explained 79% of GTS-QOL score variance [F(6,40) = 29.6, p &lt; 0.001]. Specific psychiatric symptoms differentially impacted physical, psychological, and cognitive HRQOL. Systematic assessment of psychiatric comorbidities is imperative for clinical care and clinical research efforts directed at improving QOL in adults with chronic tic disorders.© Copyright © 2021 Isaacs, Riordan and Claassen.&quot;,&quot;volume&quot;:&quot;12&quot;,&quot;container-title-short&quot;:&quot;Front Psychiatry&quot;},&quot;isTemporary&quot;:false}]},{&quot;citationID&quot;:&quot;MENDELEY_CITATION_af2affa8-a2ef-4ee9-a451-339d2b043640&quot;,&quot;properties&quot;:{&quot;noteIndex&quot;:0},&quot;isEdited&quot;:false,&quot;manualOverride&quot;:{&quot;isManuallyOverridden&quot;:false,&quot;citeprocText&quot;:&quot;(32)&quot;,&quot;manualOverrideText&quot;:&quot;&quot;},&quot;citationTag&quot;:&quot;MENDELEY_CITATION_v3_eyJjaXRhdGlvbklEIjoiTUVOREVMRVlfQ0lUQVRJT05fYWYyYWZmYTgtYTJlZi00ZWU5LWE0NTEtMzM5ZDJiMDQzNjQwIiwicHJvcGVydGllcyI6eyJub3RlSW5kZXgiOjB9LCJpc0VkaXRlZCI6ZmFsc2UsIm1hbnVhbE92ZXJyaWRlIjp7ImlzTWFudWFsbHlPdmVycmlkZGVuIjpmYWxzZSwiY2l0ZXByb2NUZXh0IjoiKDMyKSIsIm1hbnVhbE92ZXJyaWRlVGV4dCI6IiJ9LCJjaXRhdGlvbkl0ZW1zIjpbeyJpZCI6IjYxMWRmMGE3LTJlN2QtM2JiYy05ZjRhLWNlYzA2MTBlMDQ2NSIsIml0ZW1EYXRhIjp7InR5cGUiOiJhcnRpY2xlLWpvdXJuYWwiLCJpZCI6IjYxMWRmMGE3LTJlN2QtM2JiYy05ZjRhLWNlYzA2MTBlMDQ2NSIsInRpdGxlIjoiQWx0ZXJlZCBJbnRlcm9jZXB0aXZlIFNlbnNpYmlsaXR5IGluIEFkdWx0cyBXaXRoIENocm9uaWMgVGljIERpc29yZGVyIiwiZ3JvdXBJZCI6IjA3ZDYyYWMxLTVhYTgtMzlhZi1iNDllLTUyZDIwODhhYzU3MSIsImF1dGhvciI6W3siZmFtaWx5IjoiTmFyYXBhcmVkZHkiLCJnaXZlbiI6IkEiLCJwYXJzZS1uYW1lcyI6ZmFsc2UsImRyb3BwaW5nLXBhcnRpY2xlIjoiIiwibm9uLWRyb3BwaW5nLXBhcnRpY2xlIjoiIn0seyJmYW1pbHkiOiJFY2tsYW5kIiwiZ2l2ZW4iOiJNIFIiLCJwYXJzZS1uYW1lcyI6ZmFsc2UsImRyb3BwaW5nLXBhcnRpY2xlIjoiIiwibm9uLWRyb3BwaW5nLXBhcnRpY2xlIjoiIn0seyJmYW1pbHkiOiJSaW9yZGFuIiwiZ2l2ZW4iOiJIIFIiLCJwYXJzZS1uYW1lcyI6ZmFsc2UsImRyb3BwaW5nLXBhcnRpY2xlIjoiIiwibm9uLWRyb3BwaW5nLXBhcnRpY2xlIjoiIn0seyJmYW1pbHkiOiJDYXNjaW8iLCJnaXZlbiI6IkMgSiIsInBhcnNlLW5hbWVzIjpmYWxzZSwiZHJvcHBpbmctcGFydGljbGUiOiIiLCJub24tZHJvcHBpbmctcGFydGljbGUiOiIifSx7ImZhbWlseSI6IklzYWFjcyIsImdpdmVuIjoiRCBBIiwicGFyc2UtbmFtZXMiOmZhbHNlLCJkcm9wcGluZy1wYXJ0aWNsZSI6IiIsIm5vbi1kcm9wcGluZy1wYXJ0aWNsZSI6IiJ9XSwiY29udGFpbmVyLXRpdGxlIjoiRnJvbnRpZXJzIGluIFBzeWNoaWF0cnkiLCJET0kiOiIxMC4zMzg5L2Zwc3l0LjIwMjIuOTE0ODk3IiwiVVJMIjoiaHR0cHM6Ly93d3cuc2NvcHVzLmNvbS9pbndhcmQvcmVjb3JkLnVyaT9laWQ9Mi1zMi4wLTg1MTMzNjY0NzU5JmRvaT0xMC4zMzg5JTJmZnBzeXQuMjAyMi45MTQ4OTcmcGFydG5lcklEPTQwJm1kNT1jZThmNDc3MjFjMGE2MDNiNWMzMTg0ZmIyNzdjNDBiNCIsImlzc3VlZCI6eyJkYXRlLXBhcnRzIjpbWzIwMjJdXX0sInBhZ2UiOiItIiwidm9sdW1lIjoiMTMiLCJjb250YWluZXItdGl0bGUtc2hvcnQiOiJGcm9udCBQc3ljaGlhdHJ5In0sImlzVGVtcG9yYXJ5IjpmYWxzZX1dfQ==&quot;,&quot;citationItems&quot;:[{&quot;id&quot;:&quot;611df0a7-2e7d-3bbc-9f4a-cec0610e0465&quot;,&quot;itemData&quot;:{&quot;type&quot;:&quot;article-journal&quot;,&quot;id&quot;:&quot;611df0a7-2e7d-3bbc-9f4a-cec0610e0465&quot;,&quot;title&quot;:&quot;Altered Interoceptive Sensibility in Adults With Chronic Tic Disorder&quot;,&quot;groupId&quot;:&quot;07d62ac1-5aa8-39af-b49e-52d2088ac571&quot;,&quot;author&quot;:[{&quot;family&quot;:&quot;Narapareddy&quot;,&quot;given&quot;:&quot;A&quot;,&quot;parse-names&quot;:false,&quot;dropping-particle&quot;:&quot;&quot;,&quot;non-dropping-particle&quot;:&quot;&quot;},{&quot;family&quot;:&quot;Eckland&quot;,&quot;given&quot;:&quot;M R&quot;,&quot;parse-names&quot;:false,&quot;dropping-particle&quot;:&quot;&quot;,&quot;non-dropping-particle&quot;:&quot;&quot;},{&quot;family&quot;:&quot;Riordan&quot;,&quot;given&quot;:&quot;H R&quot;,&quot;parse-names&quot;:false,&quot;dropping-particle&quot;:&quot;&quot;,&quot;non-dropping-particle&quot;:&quot;&quot;},{&quot;family&quot;:&quot;Cascio&quot;,&quot;given&quot;:&quot;C J&quot;,&quot;parse-names&quot;:false,&quot;dropping-particle&quot;:&quot;&quot;,&quot;non-dropping-particle&quot;:&quot;&quot;},{&quot;family&quot;:&quot;Isaacs&quot;,&quot;given&quot;:&quot;D A&quot;,&quot;parse-names&quot;:false,&quot;dropping-particle&quot;:&quot;&quot;,&quot;non-dropping-particle&quot;:&quot;&quot;}],&quot;container-title&quot;:&quot;Frontiers in Psychiatry&quot;,&quot;DOI&quot;:&quot;10.3389/fpsyt.2022.914897&quot;,&quot;URL&quot;:&quot;https://www.scopus.com/inward/record.uri?eid=2-s2.0-85133664759&amp;doi=10.3389%2ffpsyt.2022.914897&amp;partnerID=40&amp;md5=ce8f47721c0a603b5c3184fb277c40b4&quot;,&quot;issued&quot;:{&quot;date-parts&quot;:[[2022]]},&quot;page&quot;:&quot;-&quot;,&quot;volume&quot;:&quot;13&quot;,&quot;container-title-short&quot;:&quot;Front Psychiatry&quot;},&quot;isTemporary&quot;:false}]},{&quot;citationID&quot;:&quot;MENDELEY_CITATION_1595e3ba-a2a1-4f88-a7ce-7778cbf2ffdc&quot;,&quot;properties&quot;:{&quot;noteIndex&quot;:0},&quot;isEdited&quot;:false,&quot;manualOverride&quot;:{&quot;isManuallyOverridden&quot;:false,&quot;citeprocText&quot;:&quot;(33)&quot;,&quot;manualOverrideText&quot;:&quot;&quot;},&quot;citationTag&quot;:&quot;MENDELEY_CITATION_v3_eyJjaXRhdGlvbklEIjoiTUVOREVMRVlfQ0lUQVRJT05fMTU5NWUzYmEtYTJhMS00Zjg4LWE3Y2UtNzc3OGNiZjJmZmRjIiwicHJvcGVydGllcyI6eyJub3RlSW5kZXgiOjB9LCJpc0VkaXRlZCI6ZmFsc2UsIm1hbnVhbE92ZXJyaWRlIjp7ImlzTWFudWFsbHlPdmVycmlkZGVuIjpmYWxzZSwiY2l0ZXByb2NUZXh0IjoiKDMzKSIsIm1hbnVhbE92ZXJyaWRlVGV4dCI6IiJ9LCJjaXRhdGlvbkl0ZW1zIjpbeyJpZCI6IjI2ZTllODZhLTRmNTMtM2Q5Ny04NWQxLTVkZTdhMDcyODI2NSIsIml0ZW1EYXRhIjp7InR5cGUiOiJhcnRpY2xlLWpvdXJuYWwiLCJpZCI6IjI2ZTllODZhLTRmNTMtM2Q5Ny04NWQxLTVkZTdhMDcyODI2NSIsInRpdGxlIjoiQXJlIHByZW1vbml0b3J5IHVyZ2VzIGEgcHJlcmVxdWlzaXRlIG9mIHRpYyBpbmhpYml0aW9uIGluIEdpbGxlcyBkZSBsYSBUb3VyZXR0ZSBzeW5kcm9tZT8iLCJncm91cElkIjoiMDdkNjJhYzEtNWFhOC0zOWFmLWI0OWUtNTJkMjA4OGFjNTcxIiwiYXV0aG9yIjpbeyJmYW1pbHkiOiJHYW5vcyIsImdpdmVuIjoiQyIsInBhcnNlLW5hbWVzIjpmYWxzZSwiZHJvcHBpbmctcGFydGljbGUiOiIiLCJub24tZHJvcHBpbmctcGFydGljbGUiOiIifSx7ImZhbWlseSI6IkthaGwiLCJnaXZlbiI6IlUiLCJwYXJzZS1uYW1lcyI6ZmFsc2UsImRyb3BwaW5nLXBhcnRpY2xlIjoiIiwibm9uLWRyb3BwaW5nLXBhcnRpY2xlIjoiIn0seyJmYW1pbHkiOiJTY2h1bmtlIiwiZ2l2ZW4iOiJPIiwicGFyc2UtbmFtZXMiOmZhbHNlLCJkcm9wcGluZy1wYXJ0aWNsZSI6IiIsIm5vbi1kcm9wcGluZy1wYXJ0aWNsZSI6IiJ9LHsiZmFtaWx5IjoiS8O8aG4iLCJnaXZlbiI6IlMiLCJwYXJzZS1uYW1lcyI6ZmFsc2UsImRyb3BwaW5nLXBhcnRpY2xlIjoiIiwibm9uLWRyb3BwaW5nLXBhcnRpY2xlIjoiIn0seyJmYW1pbHkiOiJIYWdnYXJkIiwiZ2l2ZW4iOiJQIiwicGFyc2UtbmFtZXMiOmZhbHNlLCJkcm9wcGluZy1wYXJ0aWNsZSI6IiIsIm5vbi1kcm9wcGluZy1wYXJ0aWNsZSI6IiJ9LHsiZmFtaWx5IjoiR2VybG9mZiIsImdpdmVuIjoiQyIsInBhcnNlLW5hbWVzIjpmYWxzZSwiZHJvcHBpbmctcGFydGljbGUiOiIiLCJub24tZHJvcHBpbmctcGFydGljbGUiOiIifSx7ImZhbWlseSI6IlJvZXNzbmVyIiwiZ2l2ZW4iOiJWIiwicGFyc2UtbmFtZXMiOmZhbHNlLCJkcm9wcGluZy1wYXJ0aWNsZSI6IiIsIm5vbi1kcm9wcGluZy1wYXJ0aWNsZSI6IiJ9LHsiZmFtaWx5IjoiVGhvbWFsbGEiLCJnaXZlbiI6IkciLCJwYXJzZS1uYW1lcyI6ZmFsc2UsImRyb3BwaW5nLXBhcnRpY2xlIjoiIiwibm9uLWRyb3BwaW5nLXBhcnRpY2xlIjoiIn0seyJmYW1pbHkiOiJNw7xuY2hhdSIsImdpdmVuIjoiQSIsInBhcnNlLW5hbWVzIjpmYWxzZSwiZHJvcHBpbmctcGFydGljbGUiOiIiLCJub24tZHJvcHBpbmctcGFydGljbGUiOiIifV0sImNvbnRhaW5lci10aXRsZSI6IkogTmV1cm9sIE5ldXJvc3VyZyBQc3ljaGlhdHJ5IiwiRE9JIjoiMTAuMTEzNi9qbm5wLTIwMTItMzAzMDMzIiwiUE1JRCI6IjIyODQyNzEzIiwiVVJMIjoiaHR0cHM6Ly9qbm5wLmJtai5jb20vY29udGVudC84My8xMC85NzUiLCJpc3N1ZWQiOnsiZGF0ZS1wYXJ0cyI6W1syMDEyXV19LCJwYWdlIjoiOTc1LTk3OCIsImFic3RyYWN0IjoiQkFDS0dST1VORDogRGVzcGl0ZSB0aGUgY29tbW9uIG5vdGlvbiB0aGF0IHByZW1vbml0b3J5IHVyZ2VzIGZhY2lsaXRhdGUgdGljIGluaGliaXRpb24sIG5vIHN0dWRpZXMgaGF2ZSBpbnZlc3RpZ2F0ZWQgdGhpcyBxdWVzdGlvbiBzeXN0ZW1hdGljYWxseS4gV2UgZXhhbWluZWQgdGhlIHJlbGF0aW9uIG9mIHRoZSB0cmFpdCBvZiBwcmVtb25pdG9yeSB1cmdlcyB3aXRoIHRpY3MgYW5kIHRpYyBzdXBwcmVzc2lvbi4gV2UgaHlwb3RoZXNpc2VkIHRoYXQgcGF0aWVudHMgd2l0aCBtb3JlIHVyZ2VzIHdvdWxkIGJlIG1vcmUgZWZmaWNpZW50IGF0IGluaGliaXRpbmcgdGljcy4gTUVUSE9EUzogMTUgYWR1bHQgKDE0IG1lbiwgbWVhbiBhZ2UgMzIuMsKxNy45IHllYXJzKSBwdXJlIEdpbGxlcyBkZSBsYSBUb3VyZXR0ZSBzeW5kcm9tZSBwYXRpZW50cyBwYXJ0aWNpcGF0ZWQuIFRpYyBzZXZlcml0eSB3YXMgZXZhbHVhdGVkIHVzaW5nIHRoZSBtb2RpZmllZCBSdXNoIFZpZGVvIFNjYWxlIGFuZCBieSBlbXBsb3lpbmcgdGhlIFlhbGUgR2xvYmFsIFRpYyBTZXZlcml0eSBTY2FsZS4gVGljIHN1cHByZXNzaWJpbGl0eSB3YXMgYXNzZXNzZWQgZnJvbSB2aWRlb3Mgb2YgYWRkaXRpb25hbCBwZXJpb2RzIHdoZXJlIHBhdGllbnRzIHdlcmUgaW5zdHJ1Y3RlZCB0byBtYXhpbWFsbHkgc3VwcHJlc3MgdGhlaXIgdGljcy4gUnVzaCBzY29yZSBiYXNlZCBpbmhpYml0aW9uIHBvdGVuY3kgd2FzIHN5bnRoZXNpc2VkIGJ5IGNvbWJpbmluZyB0aGUgc2NvcmVzIGluIHRoZSB0d28gY29uZGl0aW9ucy4gQSBtZWFzdXJlIG9mIHB1cmUgbW90b3IgdGljIGluaGliaXRpb24gcG90ZW5jeSB3YXMgYWxzbyBnZW5lcmF0ZWQgYmFzZWQgb24gdGhlIG51bWJlciBvZiBtb3RvciB0aWNzIGFsb25lLiBQcmVtb25pdG9yeSB1cmdlcyB3ZXJlIGFzc2Vzc2VkIGJ5IHRoZSBQcmVtb25pdG9yeSBVcmdlIGZvciBUaWNzIFNjYWxlLiBSRVNVTFRTOiBBbGwgcGFydGljaXBhbnRzIHJlcG9ydGVkIHVyZ2VzIHByZWNlZGluZyB0aGVpciB0aWNzIGFuZCB3ZXJlIGFibGUgdG8gdm9sdW50YXJpbHkgc3VwcHJlc3MgdGhlaXIgdGljcy4gSG93ZXZlciwgdGhlcmUgd2FzIG5vIGNvcnJlbGF0aW9uIGJldHdlZW4gdXJnZSBzY29yZXMgYW5kIHRoZSBSdXNoIHNjb3JlIGJhc2VkIGluaGliaXRpb24gcG90ZW5jeSBvciB0aGUgcHVyZSBtb3RvciB0aWMgaW5oaWJpdGlvbiBwb3RlbmN5LiBTY29yZXMgb2YgdGhlIFByZW1vbml0b3J5IFVyZ2UgZm9yIFRpY3MgU2NhbGUgY29ycmVsYXRlZCB3aXRoIHRoZSBpbnRlcmZlcmVuY2Ugc3Vic2NhbGUgaXRlbSBvZiB0aGUgWWFsZSBHbG9iYWwgVGljIFNldmVyaXR5IFNjYWxlLiBDT05DTFVTSU9OUzogVXJnZXMgYW5kIHRpYyBpbmhpYml0aW9uIGFyZSBub3QgZGlyZWN0bHkgcmVsYXRlZC4gVGhlcmUgc2VlbSB0byBleGlzdCBhdCBsZWFzdCB0d28gZGlzdGluY3QgbmV1cm9waHlzaW9sb2dpY2FsIHN5c3RlbXMgb2YgdXJnZS90aWMgZ2VuZXJhdGlvbiBhbmQgdGljIGNvbnRyb2wgaW4gYWR1bHQgR2lsbGVzIGRlIGxhIFRvdXJldHRlIHN5bmRyb21lIHBhdGllbnRzLiIsImlzc3VlIjoiMTAiLCJ2b2x1bWUiOiI4MyIsImNvbnRhaW5lci10aXRsZS1zaG9ydCI6IiJ9LCJpc1RlbXBvcmFyeSI6ZmFsc2V9XX0=&quot;,&quot;citationItems&quot;:[{&quot;id&quot;:&quot;26e9e86a-4f53-3d97-85d1-5de7a0728265&quot;,&quot;itemData&quot;:{&quot;type&quot;:&quot;article-journal&quot;,&quot;id&quot;:&quot;26e9e86a-4f53-3d97-85d1-5de7a0728265&quot;,&quot;title&quot;:&quot;Are premonitory urges a prerequisite of tic inhibition in Gilles de la Tourette syndrome?&quot;,&quot;groupId&quot;:&quot;07d62ac1-5aa8-39af-b49e-52d2088ac571&quot;,&quot;author&quot;:[{&quot;family&quot;:&quot;Ganos&quot;,&quot;given&quot;:&quot;C&quot;,&quot;parse-names&quot;:false,&quot;dropping-particle&quot;:&quot;&quot;,&quot;non-dropping-particle&quot;:&quot;&quot;},{&quot;family&quot;:&quot;Kahl&quot;,&quot;given&quot;:&quot;U&quot;,&quot;parse-names&quot;:false,&quot;dropping-particle&quot;:&quot;&quot;,&quot;non-dropping-particle&quot;:&quot;&quot;},{&quot;family&quot;:&quot;Schunke&quot;,&quot;given&quot;:&quot;O&quot;,&quot;parse-names&quot;:false,&quot;dropping-particle&quot;:&quot;&quot;,&quot;non-dropping-particle&quot;:&quot;&quot;},{&quot;family&quot;:&quot;Kühn&quot;,&quot;given&quot;:&quot;S&quot;,&quot;parse-names&quot;:false,&quot;dropping-particle&quot;:&quot;&quot;,&quot;non-dropping-particle&quot;:&quot;&quot;},{&quot;family&quot;:&quot;Haggard&quot;,&quot;given&quot;:&quot;P&quot;,&quot;parse-names&quot;:false,&quot;dropping-particle&quot;:&quot;&quot;,&quot;non-dropping-particle&quot;:&quot;&quot;},{&quot;family&quot;:&quot;Gerloff&quot;,&quot;given&quot;:&quot;C&quot;,&quot;parse-names&quot;:false,&quot;dropping-particle&quot;:&quot;&quot;,&quot;non-dropping-particle&quot;:&quot;&quot;},{&quot;family&quot;:&quot;Roessner&quot;,&quot;given&quot;:&quot;V&quot;,&quot;parse-names&quot;:false,&quot;dropping-particle&quot;:&quot;&quot;,&quot;non-dropping-particle&quot;:&quot;&quot;},{&quot;family&quot;:&quot;Thomalla&quot;,&quot;given&quot;:&quot;G&quot;,&quot;parse-names&quot;:false,&quot;dropping-particle&quot;:&quot;&quot;,&quot;non-dropping-particle&quot;:&quot;&quot;},{&quot;family&quot;:&quot;Münchau&quot;,&quot;given&quot;:&quot;A&quot;,&quot;parse-names&quot;:false,&quot;dropping-particle&quot;:&quot;&quot;,&quot;non-dropping-particle&quot;:&quot;&quot;}],&quot;container-title&quot;:&quot;J Neurol Neurosurg Psychiatry&quot;,&quot;DOI&quot;:&quot;10.1136/jnnp-2012-303033&quot;,&quot;PMID&quot;:&quot;22842713&quot;,&quot;URL&quot;:&quot;https://jnnp.bmj.com/content/83/10/975&quot;,&quot;issued&quot;:{&quot;date-parts&quot;:[[2012]]},&quot;page&quot;:&quot;975-978&quot;,&quot;abstract&quot;:&quot;BACKGROUND: Despite the common notion that premonitory urges facilitate tic inhibition, no studies have investigated this question systematically. We examined the relation of the trait of premonitory urges with tics and tic suppression. We hypothesised that patients with more urges would be more efficient at inhibiting tics. METHODS: 15 adult (14 men, mean age 32.2±7.9 years) pure Gilles de la Tourette syndrome patients participated. Tic severity was evaluated using the modified Rush Video Scale and by employing the Yale Global Tic Severity Scale. Tic suppressibility was assessed from videos of additional periods where patients were instructed to maximally suppress their tics. Rush score based inhibition potency was synthesised by combining the scores in the two conditions. A measure of pure motor tic inhibition potency was also generated based on the number of motor tics alone. Premonitory urges were assessed by the Premonitory Urge for Tics Scale. RESULTS: All participants reported urges preceding their tics and were able to voluntarily suppress their tics. However, there was no correlation between urge scores and the Rush score based inhibition potency or the pure motor tic inhibition potency. Scores of the Premonitory Urge for Tics Scale correlated with the interference subscale item of the Yale Global Tic Severity Scale. CONCLUSIONS: Urges and tic inhibition are not directly related. There seem to exist at least two distinct neurophysiological systems of urge/tic generation and tic control in adult Gilles de la Tourette syndrome patients.&quot;,&quot;issue&quot;:&quot;10&quot;,&quot;volume&quot;:&quot;83&quot;,&quot;container-title-short&quot;:&quot;&quot;},&quot;isTemporary&quot;:false}]},{&quot;citationID&quot;:&quot;MENDELEY_CITATION_9c059160-a532-4258-9278-d35c71e3e95c&quot;,&quot;properties&quot;:{&quot;noteIndex&quot;:0},&quot;isEdited&quot;:false,&quot;manualOverride&quot;:{&quot;isManuallyOverridden&quot;:false,&quot;citeprocText&quot;:&quot;(14)&quot;,&quot;manualOverrideText&quot;:&quot;&quot;},&quot;citationTag&quot;:&quot;MENDELEY_CITATION_v3_eyJjaXRhdGlvbklEIjoiTUVOREVMRVlfQ0lUQVRJT05fOWMwNTkxNjAtYTUzMi00MjU4LTkyNzgtZDM1YzcxZTNlOTVjIiwicHJvcGVydGllcyI6eyJub3RlSW5kZXgiOjB9LCJpc0VkaXRlZCI6ZmFsc2UsIm1hbnVhbE92ZXJyaWRlIjp7ImlzTWFudWFsbHlPdmVycmlkZGVuIjpmYWxzZSwiY2l0ZXByb2NUZXh0IjoiKDE0KSIsIm1hbnVhbE92ZXJyaWRlVGV4dCI6IiJ9LCJjaXRhdGlvbkl0ZW1zIjpbeyJpZCI6IjUzNjI3MWUxLTIxYjAtM2U3MC1iNDdlLWQzMWNjNGZjY2ExNSIsIml0ZW1EYXRhIjp7InR5cGUiOiJhcnRpY2xlLWpvdXJuYWwiLCJpZCI6IjUzNjI3MWUxLTIxYjAtM2U3MC1iNDdlLWQzMWNjNGZjY2ExNSIsInRpdGxlIjoiUmVsYXRpb25zaGlwcyBiZXR3ZWVuIFByZW1vbml0b3J5IFVyZ2UgYW5kIEFueGlldHkgaW4gWW91dGggd2l0aCBDaHJvbmljIFRpYyBEaXNvcmRlcnMiLCJncm91cElkIjoiMDdkNjJhYzEtNWFhOC0zOWFmLWI0OWUtNTJkMjA4OGFjNTcxIiwiYXV0aG9yIjpbeyJmYW1pbHkiOiJSb3plbm1hbiIsImdpdmVuIjoiTSIsInBhcnNlLW5hbWVzIjpmYWxzZSwiZHJvcHBpbmctcGFydGljbGUiOiIiLCJub24tZHJvcHBpbmctcGFydGljbGUiOiIifSx7ImZhbWlseSI6IkpvaG5zb24iLCJnaXZlbiI6Ik8gRSIsInBhcnNlLW5hbWVzIjpmYWxzZSwiZHJvcHBpbmctcGFydGljbGUiOiIiLCJub24tZHJvcHBpbmctcGFydGljbGUiOiIifSx7ImZhbWlseSI6IkNoYW5nIiwiZ2l2ZW4iOiJTIFciLCJwYXJzZS1uYW1lcyI6ZmFsc2UsImRyb3BwaW5nLXBhcnRpY2xlIjoiIiwibm9uLWRyb3BwaW5nLXBhcnRpY2xlIjoiIn0seyJmYW1pbHkiOiJXb29kcyIsImdpdmVuIjoiRCBXIiwicGFyc2UtbmFtZXMiOmZhbHNlLCJkcm9wcGluZy1wYXJ0aWNsZSI6IiIsIm5vbi1kcm9wcGluZy1wYXJ0aWNsZSI6IiJ9LHsiZmFtaWx5IjoiV2Fsa3VwIiwiZ2l2ZW4iOiJKIFQiLCJwYXJzZS1uYW1lcyI6ZmFsc2UsImRyb3BwaW5nLXBhcnRpY2xlIjoiIiwibm9uLWRyb3BwaW5nLXBhcnRpY2xlIjoiIn0seyJmYW1pbHkiOiJXaWxoZWxtIiwiZ2l2ZW4iOiJTIiwicGFyc2UtbmFtZXMiOmZhbHNlLCJkcm9wcGluZy1wYXJ0aWNsZSI6IiIsIm5vbi1kcm9wcGluZy1wYXJ0aWNsZSI6IiJ9LHsiZmFtaWx5IjoiUGV0ZXJzb24iLCJnaXZlbiI6IkEiLCJwYXJzZS1uYW1lcyI6ZmFsc2UsImRyb3BwaW5nLXBhcnRpY2xlIjoiIiwibm9uLWRyb3BwaW5nLXBhcnRpY2xlIjoiIn0seyJmYW1pbHkiOiJTY2FoaWxsIiwiZ2l2ZW4iOiJMIiwicGFyc2UtbmFtZXMiOmZhbHNlLCJkcm9wcGluZy1wYXJ0aWNsZSI6IiIsIm5vbi1kcm9wcGluZy1wYXJ0aWNsZSI6IiJ9LHsiZmFtaWx5IjoiUGlhY2VudGluaSIsImdpdmVuIjoiSiIsInBhcnNlLW5hbWVzIjpmYWxzZSwiZHJvcHBpbmctcGFydGljbGUiOiIiLCJub24tZHJvcHBpbmctcGFydGljbGUiOiIifV0sImNvbnRhaW5lci10aXRsZSI6IkNoaWxkIEhlYWx0aCBDYXJlIiwiRE9JIjoiMTAuMTA4MC8wMjczOTYxNS4yMDE0Ljk4NjMyOCIsIlBNSUQiOiIyNzExMDA1MCIsImlzc3VlZCI6eyJkYXRlLXBhcnRzIjpbWzIwMTVdXX0sInBhZ2UiOiIyMzUtMjQ4IiwiYWJzdHJhY3QiOiJUb3VyZXR0ZSdzIERpc29yZGVyIGFuZCBvdGhlciBjaHJvbmljIHRpYyBkaXNvcmRlcnMgYXJlIGNvbW1vbiBuZXVyb2RldmVsb3BtZW50YWwgY29uZGl0aW9ucy4gT25lIGNoYXJhY3RlcmlzdGljIG9mIHRpYyBkaXNvcmRlcnMgaXMgdGhlIHByZW1vbml0b3J5IHVyZ2UsIGFuIGF2ZXJzaXZlIG9yIHVucGxlYXNhbnQgc2Vuc29yeSBwaGVub21lbm9uIHRoYXQgbWF5IHByZWNlZGUgdGljcy4gSW5pdGlhbCBleGFtaW5hdGlvbiBvZiBwcmVtb25pdG9yeSB1cmdlIGluIHBlZGlhdHJpYyB0aWMgZGlzb3JkZXJzIHN1Z2dlc3RzIHRoYXQgYXdhcmVuZXNzIGFuZCBleHBlcmllbmNlIG9mIHNlbnNhdGlvbnMgcHJlY2VkaW5nIHRpY3MgbWF5IGJlIHJlbGF0ZWQgdG8gYW54aWV0eSBhbmQgT0NELiBIb3dldmVyLCBpdCBtYXkgYmUgcG9zc2libGUgdGhhdCBzcGVjaWZpYyBhbnhpZXR5LXJlbGF0ZWQgc3ltcHRvbXMsIHN1Y2ggYXMgYW54aW91cyBwaHlzaW9sb2dpYyBhcm91c2FsLCBhcmUgcGFydGljdWxhcmx5IHJlbGV2YW50IHRvIHRoZSBleHBlcmllbmNlIG9mIHByZW1vbml0b3J5IHVyZ2UuIFRoZSBjdXJyZW50IHN0dWR5IGV4YW1pbmVzIHJlbGF0aW9uc2hpcHMgYmV0d2VlbiB0aWMtcmVsYXRlZCBwcmVtb25pdG9yeSB1cmdlIGFuZCBhbnhpZXR5LXJlbGF0ZWQgc3ltcHRvbSBjbHVzdGVycyBpbiB0cmVhdG1lbnQtc2Vla2luZyB5b3V0aHMgd2l0aCBhIHByaW1hcnkgZGlhZ25vc2VzIG9mIFRvdXJldHRlJ3Mgb3Igb3RoZXIgY2hyb25pYyB0aWMgZGlzb3JkZXIuIFRoZSBzYW1wbGUgY29uc2lzdGVkIG9mIDEyNCB5b3V0aCwgYWdlcyA5IHRvIDE3LCB3aG8gcGFydGljaXBhdGVkIGluIHRoZSBtdWx0aS1zaXRlIENvbXByZWhlbnNpdmUgQmVoYXZpb3JhbCBJbnRlcnZlbnRpb24gZm9yIFRpY3MgcmFuZG9taXplZCBjb250cm9sbGVkIHRyaWFsIChDQklUOyBQaWFjZW50aW5pIGV0IGFsLiwgMjAxMCkuIFNwZWNpZmljIGFueGlldHktcmVsYXRlZCBzdWJ0eXBlcywgaW5jbHVkaW5nIGdlbmVyYWxpemVkIHdvcnJ5LCBzZXBhcmF0aW9uLCBzb2NpYWwsIGFuZCBwYW5pYy9zb21hdGljIHN5bXB0b21zLCBhcyB3ZWxsIGFzIHNldmVyaXR5IG9mIG9ic2Vzc2lvbnMgYW5kIGNvbXB1bHNpb25zLCB3ZXJlIGFzc2Vzc2VkIGFzIHBvdGVudGlhbCBjb3JyZWxhdGVzIG9mIHByZW1vbml0b3J5IHVyZ2UuIEZpbmRpbmdzIGluZGljYXRlZCB0aGF0IGFnZSwgZ2xvYmFsIHRpYy1yZWxhdGVkIGltcGFpcm1lbnQsIGFuZCBzcGVjaWZpYyBwYW5pYy9zb21hdGljIHN5bXB0b21zIGFjY291bnRlZCBmb3IgYSBzdWJzdGFudGlhbCBwcm9wb3J0aW9uIG9mIHZhcmlhbmNlIGluIHlvdXRoIHJlcG9ydCBvZiBwcmVtb25pdG9yeSB1cmdlLiBUaGVzZSBmaW5kaW5ncyBwcm92aWRlIGluZm9ybWF0aW9uIGFib3V0IHRoZSBjaGFyYWN0ZXJpc3RpY3Mgb2YgcHJlbW9uaXRvcnkgdXJnZSBpbiBwZWRpYXRyaWMgdGljIGRpc29yZGVycywgYW5kIGhhdmUgaW1wbGljYXRpb25zIGZvciB0aGUgdHJlYXRtZW50IG9mIHBlZGlhdHJpYyB0aWMgc3luZHJvbWVzLiIsImlzc3VlIjoiMyIsInZvbHVtZSI6IjQ0IiwiY29udGFpbmVyLXRpdGxlLXNob3J0IjoiIn0sImlzVGVtcG9yYXJ5IjpmYWxzZX1dfQ==&quot;,&quot;citationItems&quot;:[{&quot;id&quot;:&quot;536271e1-21b0-3e70-b47e-d31cc4fcca15&quot;,&quot;itemData&quot;:{&quot;type&quot;:&quot;article-journal&quot;,&quot;id&quot;:&quot;536271e1-21b0-3e70-b47e-d31cc4fcca15&quot;,&quot;title&quot;:&quot;Relationships between Premonitory Urge and Anxiety in Youth with Chronic Tic Disorders&quot;,&quot;groupId&quot;:&quot;07d62ac1-5aa8-39af-b49e-52d2088ac571&quot;,&quot;author&quot;:[{&quot;family&quot;:&quot;Rozenman&quot;,&quot;given&quot;:&quot;M&quot;,&quot;parse-names&quot;:false,&quot;dropping-particle&quot;:&quot;&quot;,&quot;non-dropping-particle&quot;:&quot;&quot;},{&quot;family&quot;:&quot;Johnson&quot;,&quot;given&quot;:&quot;O E&quot;,&quot;parse-names&quot;:false,&quot;dropping-particle&quot;:&quot;&quot;,&quot;non-dropping-particle&quot;:&quot;&quot;},{&quot;family&quot;:&quot;Chang&quot;,&quot;given&quot;:&quot;S W&quot;,&quot;parse-names&quot;:false,&quot;dropping-particle&quot;:&quot;&quot;,&quot;non-dropping-particle&quot;:&quot;&quot;},{&quot;family&quot;:&quot;Woods&quot;,&quot;given&quot;:&quot;D W&quot;,&quot;parse-names&quot;:false,&quot;dropping-particle&quot;:&quot;&quot;,&quot;non-dropping-particle&quot;:&quot;&quot;},{&quot;family&quot;:&quot;Walkup&quot;,&quot;given&quot;:&quot;J T&quot;,&quot;parse-names&quot;:false,&quot;dropping-particle&quot;:&quot;&quot;,&quot;non-dropping-particle&quot;:&quot;&quot;},{&quot;family&quot;:&quot;Wilhelm&quot;,&quot;given&quot;:&quot;S&quot;,&quot;parse-names&quot;:false,&quot;dropping-particle&quot;:&quot;&quot;,&quot;non-dropping-particle&quot;:&quot;&quot;},{&quot;family&quot;:&quot;Peterson&quot;,&quot;given&quot;:&quot;A&quot;,&quot;parse-names&quot;:false,&quot;dropping-particle&quot;:&quot;&quot;,&quot;non-dropping-particle&quot;:&quot;&quot;},{&quot;family&quot;:&quot;Scahill&quot;,&quot;given&quot;:&quot;L&quot;,&quot;parse-names&quot;:false,&quot;dropping-particle&quot;:&quot;&quot;,&quot;non-dropping-particle&quot;:&quot;&quot;},{&quot;family&quot;:&quot;Piacentini&quot;,&quot;given&quot;:&quot;J&quot;,&quot;parse-names&quot;:false,&quot;dropping-particle&quot;:&quot;&quot;,&quot;non-dropping-particle&quot;:&quot;&quot;}],&quot;container-title&quot;:&quot;Child Health Care&quot;,&quot;DOI&quot;:&quot;10.1080/02739615.2014.986328&quot;,&quot;PMID&quot;:&quot;27110050&quot;,&quot;issued&quot;:{&quot;date-parts&quot;:[[2015]]},&quot;page&quot;:&quot;235-248&quot;,&quot;abstract&quot;:&quot;Tourette's Disorder and other chronic tic disorders are common neurodevelopmental conditions. One characteristic of tic disorders is the premonitory urge, an aversive or unpleasant sensory phenomenon that may precede tics. Initial examination of premonitory urge in pediatric tic disorders suggests that awareness and experience of sensations preceding tics may be related to anxiety and OCD. However, it may be possible that specific anxiety-related symptoms, such as anxious physiologic arousal, are particularly relevant to the experience of premonitory urge. The current study examines relationships between tic-related premonitory urge and anxiety-related symptom clusters in treatment-seeking youths with a primary diagnoses of Tourette's or other chronic tic disorder. The sample consisted of 124 youth, ages 9 to 17, who participated in the multi-site Comprehensive Behavioral Intervention for Tics randomized controlled trial (CBIT; Piacentini et al., 2010). Specific anxiety-related subtypes, including generalized worry, separation, social, and panic/somatic symptoms, as well as severity of obsessions and compulsions, were assessed as potential correlates of premonitory urge. Findings indicated that age, global tic-related impairment, and specific panic/somatic symptoms accounted for a substantial proportion of variance in youth report of premonitory urge. These findings provide information about the characteristics of premonitory urge in pediatric tic disorders, and have implications for the treatment of pediatric tic syndromes.&quot;,&quot;issue&quot;:&quot;3&quot;,&quot;volume&quot;:&quot;44&quot;,&quot;container-title-short&quot;:&quot;&quot;},&quot;isTemporary&quot;:false}]},{&quot;citationID&quot;:&quot;MENDELEY_CITATION_a5ea19af-54d0-4559-8fea-f7dc8989ae38&quot;,&quot;properties&quot;:{&quot;noteIndex&quot;:0},&quot;isEdited&quot;:false,&quot;manualOverride&quot;:{&quot;isManuallyOverridden&quot;:false,&quot;citeprocText&quot;:&quot;(34)&quot;,&quot;manualOverrideText&quot;:&quot;&quot;},&quot;citationTag&quot;:&quot;MENDELEY_CITATION_v3_eyJjaXRhdGlvbklEIjoiTUVOREVMRVlfQ0lUQVRJT05fYTVlYTE5YWYtNTRkMC00NTU5LThmZWEtZjdkYzg5ODlhZTM4IiwicHJvcGVydGllcyI6eyJub3RlSW5kZXgiOjB9LCJpc0VkaXRlZCI6ZmFsc2UsIm1hbnVhbE92ZXJyaWRlIjp7ImlzTWFudWFsbHlPdmVycmlkZGVuIjpmYWxzZSwiY2l0ZXByb2NUZXh0IjoiKDM0KSIsIm1hbnVhbE92ZXJyaWRlVGV4dCI6IiJ9LCJjaXRhdGlvbkl0ZW1zIjpbeyJpZCI6ImRjODk3YzhiLTQ1YjQtMzk4My04NTliLTEzMTE1MmFjYWU3MyIsIml0ZW1EYXRhIjp7InR5cGUiOiJhcnRpY2xlLWpvdXJuYWwiLCJpZCI6ImRjODk3YzhiLTQ1YjQtMzk4My04NTliLTEzMTE1MmFjYWU3MyIsInRpdGxlIjoiU2Vuc29yeSBwaGVub21lbmEgcmVsYXRlZCB0byB0aWNzLCBvYnNlc3NpdmUtY29tcHVsc2l2ZSBzeW1wdG9tcywgYW5kIGdsb2JhbCBmdW5jdGlvbmluZyBpbiBUb3VyZXR0ZSBzeW5kcm9tZSIsImdyb3VwSWQiOiIwN2Q2MmFjMS01YWE4LTM5YWYtYjQ5ZS01MmQyMDg4YWM1NzEiLCJhdXRob3IiOlt7ImZhbWlseSI6Ikthbm8iLCJnaXZlbiI6IlkiLCJwYXJzZS1uYW1lcyI6ZmFsc2UsImRyb3BwaW5nLXBhcnRpY2xlIjoiIiwibm9uLWRyb3BwaW5nLXBhcnRpY2xlIjoiIn0seyJmYW1pbHkiOiJNYXRzdWRhIiwiZ2l2ZW4iOiJOIiwicGFyc2UtbmFtZXMiOmZhbHNlLCJkcm9wcGluZy1wYXJ0aWNsZSI6IiIsIm5vbi1kcm9wcGluZy1wYXJ0aWNsZSI6IiJ9LHsiZmFtaWx5IjoiTm9uYWthIiwiZ2l2ZW4iOiJNIiwicGFyc2UtbmFtZXMiOmZhbHNlLCJkcm9wcGluZy1wYXJ0aWNsZSI6IiIsIm5vbi1kcm9wcGluZy1wYXJ0aWNsZSI6IiJ9LHsiZmFtaWx5IjoiRnVqaW8iLCJnaXZlbiI6Ik0iLCJwYXJzZS1uYW1lcyI6ZmFsc2UsImRyb3BwaW5nLXBhcnRpY2xlIjoiIiwibm9uLWRyb3BwaW5nLXBhcnRpY2xlIjoiIn0seyJmYW1pbHkiOiJLdXdhYmFyYSIsImdpdmVuIjoiSCIsInBhcnNlLW5hbWVzIjpmYWxzZSwiZHJvcHBpbmctcGFydGljbGUiOiIiLCJub24tZHJvcHBpbmctcGFydGljbGUiOiIifSx7ImZhbWlseSI6Iktvbm8iLCJnaXZlbiI6IlQiLCJwYXJzZS1uYW1lcyI6ZmFsc2UsImRyb3BwaW5nLXBhcnRpY2xlIjoiIiwibm9uLWRyb3BwaW5nLXBhcnRpY2xlIjoiIn1dLCJjb250YWluZXItdGl0bGUiOiJDb21wciBQc3ljaGlhdHJ5IiwiRE9JIjoiMTAuMTAxNi9qLmNvbXBwc3ljaC4yMDE1LjA3LjAwNiIsIlBNSUQiOiIyNjM0MzQ3OCIsImlzc3VlZCI6eyJkYXRlLXBhcnRzIjpbWzIwMTVdXX0sInBhZ2UiOiIxNDEtMTQ2IiwiYWJzdHJhY3QiOiJPQkpFQ1RJVkVTOiBTZW5zb3J5IHBoZW5vbWVuYSwgaW5jbHVkaW5nIHByZW1vbml0b3J5IHVyZ2VzLCBhcmUgZXhwZXJpZW5jZWQgYnkgcGF0aWVudHMgd2l0aCBUb3VyZXR0ZSBzeW5kcm9tZSAoVFMpIGFuZCBvYnNlc3NpdmUtY29tcHVsc2l2ZSBkaXNvcmRlciAoT0NEKS4gVGhlIGdvYWwgb2YgdGhlIHByZXNlbnQgc3R1ZHkgd2FzIHRvIGludmVzdGlnYXRlIHN1Y2ggcGhlbm9tZW5hIHJlbGF0ZWQgdG8gdGljcywgb2JzZXNzaXZlLWNvbXB1bHNpdmUgc3ltcHRvbXMgKE9DUyksIGFuZCBnbG9iYWwgZnVuY3Rpb25pbmcgaW4gSmFwYW5lc2UgcGF0aWVudHMgd2l0aCBUUy4gTUVUSE9EUzogRm9ydHktb25lIHBhdGllbnRzIHdpdGggVFMgd2VyZSBhc3Nlc3NlZCB1c2luZyB0aGUgVW5pdmVyc2l0eSBvZiBTw6NvIFBhdWxvIFNlbnNvcnkgUGhlbm9tZW5hIFNjYWxlIChVU1AtU1BTKSwgdGhlIFByZW1vbml0b3J5IFVyZ2UgZm9yIFRpY3MgU2NhbGUgKFBVVFMpLCB0aGUgWWFsZSBHbG9iYWwgVGljIFNldmVyaXR5IFNjYWxlIChZR1RTUyksIHRoZSBEaW1lbnNpb25hbCBZYWxlLUJyb3duIE9ic2Vzc2l2ZS1Db21wdWxzaXZlIFNjYWxlIChEWS1CT0NTKSwgYW5kIHRoZSBHbG9iYWwgQXNzZXNzbWVudCBvZiBGdW5jdGlvbmluZyAoR0FGKSBTY2FsZS4gUkVTVUxUUzogVVNQLVNQUyBhbmQgUFVUUyB0b3RhbCBzY29yZXMgd2VyZSBzaWduaWZpY2FudGx5IGNvcnJlbGF0ZWQgd2l0aCBZR1RTUyB0b3RhbCBhbmQgdm9jYWwgdGljcyBzY29yZXMuIEFkZGl0aW9uYWxseSwgYm90aCBzZW5zb3J5IHBoZW5vbWVuYSBzZXZlcml0eSBzY29yZXMgd2VyZSBzaWduaWZpY2FudGx5IGNvcnJlbGF0ZWQgd2l0aCBEWS1CT0NTIHRvdGFsIE9DUyBzY29yZXMuIE9mIHRoZSBzaXggZGltZW5zaW9uYWwgT0NTIHNjb3JlcywgdGhlIFVTUC1TUFMgc2NvcmVzIHdlcmUgc2lnbmlmaWNhbnRseSBjb3JyZWxhdGVkIHdpdGggbWVhc3VyZXMgb2YgYWdncmVzc2lvbiBhbmQgc2V4dWFsL3JlbGlnaW91cyBkaW1lbnNpb25zLiBGaW5hbGx5LCB0aGUgUFVUUyB0b3RhbCBzY29yZXMgd2VyZSBzaWduaWZpY2FudGx5IGFuZCBuZWdhdGl2ZWx5IGNvcnJlbGF0ZWQgd2l0aCBHQUYgc2NvcmVzLiBDT05DTFVTSU9OUzogQnkgYXNzZXNzaW5nIHByZW1vbml0b3J5IHVyZ2VzIGFuZCBicm9hZGVyIHNlbnNvcnkgcGhlbm9tZW5hLCBhbmQgYnkgdmlld2luZyBPQ1MgZnJvbSBhIGRpbWVuc2lvbmFsIGFwcHJvYWNoLCB0aGlzIHN0dWR5IHByb3ZpZGVzIHNpZ25pZmljYW50IGluc2lnaHQgaW50byBzZW5zb3J5IHBoZW5vbWVuYSByZWxhdGVkIHRvIHRpY3MsIE9DUywgYW5kIGdsb2JhbCBmdW5jdGlvbmluZyBpbiBwYXRpZW50cyB3aXRoIFRTLiIsInZvbHVtZSI6IjYyIiwiY29udGFpbmVyLXRpdGxlLXNob3J0IjoiIn0sImlzVGVtcG9yYXJ5IjpmYWxzZX1dfQ==&quot;,&quot;citationItems&quot;:[{&quot;id&quot;:&quot;dc897c8b-45b4-3983-859b-131152acae73&quot;,&quot;itemData&quot;:{&quot;type&quot;:&quot;article-journal&quot;,&quot;id&quot;:&quot;dc897c8b-45b4-3983-859b-131152acae73&quot;,&quot;title&quot;:&quot;Sensory phenomena related to tics, obsessive-compulsive symptoms, and global functioning in Tourette syndrome&quot;,&quot;groupId&quot;:&quot;07d62ac1-5aa8-39af-b49e-52d2088ac571&quot;,&quot;author&quot;:[{&quot;family&quot;:&quot;Kano&quot;,&quot;given&quot;:&quot;Y&quot;,&quot;parse-names&quot;:false,&quot;dropping-particle&quot;:&quot;&quot;,&quot;non-dropping-particle&quot;:&quot;&quot;},{&quot;family&quot;:&quot;Matsuda&quot;,&quot;given&quot;:&quot;N&quot;,&quot;parse-names&quot;:false,&quot;dropping-particle&quot;:&quot;&quot;,&quot;non-dropping-particle&quot;:&quot;&quot;},{&quot;family&quot;:&quot;Nonaka&quot;,&quot;given&quot;:&quot;M&quot;,&quot;parse-names&quot;:false,&quot;dropping-particle&quot;:&quot;&quot;,&quot;non-dropping-particle&quot;:&quot;&quot;},{&quot;family&quot;:&quot;Fujio&quot;,&quot;given&quot;:&quot;M&quot;,&quot;parse-names&quot;:false,&quot;dropping-particle&quot;:&quot;&quot;,&quot;non-dropping-particle&quot;:&quot;&quot;},{&quot;family&quot;:&quot;Kuwabara&quot;,&quot;given&quot;:&quot;H&quot;,&quot;parse-names&quot;:false,&quot;dropping-particle&quot;:&quot;&quot;,&quot;non-dropping-particle&quot;:&quot;&quot;},{&quot;family&quot;:&quot;Kono&quot;,&quot;given&quot;:&quot;T&quot;,&quot;parse-names&quot;:false,&quot;dropping-particle&quot;:&quot;&quot;,&quot;non-dropping-particle&quot;:&quot;&quot;}],&quot;container-title&quot;:&quot;Compr Psychiatry&quot;,&quot;DOI&quot;:&quot;10.1016/j.comppsych.2015.07.006&quot;,&quot;PMID&quot;:&quot;26343478&quot;,&quot;issued&quot;:{&quot;date-parts&quot;:[[2015]]},&quot;page&quot;:&quot;141-146&quot;,&quot;abstract&quot;:&quot;OBJECTIVES: Sensory phenomena, including premonitory urges, are experienced by patients with Tourette syndrome (TS) and obsessive-compulsive disorder (OCD). The goal of the present study was to investigate such phenomena related to tics, obsessive-compulsive symptoms (OCS), and global functioning in Japanese patients with TS. METHODS: Forty-one patients with TS were assessed using the University of São Paulo Sensory Phenomena Scale (USP-SPS), the Premonitory Urge for Tics Scale (PUTS), the Yale Global Tic Severity Scale (YGTSS), the Dimensional Yale-Brown Obsessive-Compulsive Scale (DY-BOCS), and the Global Assessment of Functioning (GAF) Scale. RESULTS: USP-SPS and PUTS total scores were significantly correlated with YGTSS total and vocal tics scores. Additionally, both sensory phenomena severity scores were significantly correlated with DY-BOCS total OCS scores. Of the six dimensional OCS scores, the USP-SPS scores were significantly correlated with measures of aggression and sexual/religious dimensions. Finally, the PUTS total scores were significantly and negatively correlated with GAF scores. CONCLUSIONS: By assessing premonitory urges and broader sensory phenomena, and by viewing OCS from a dimensional approach, this study provides significant insight into sensory phenomena related to tics, OCS, and global functioning in patients with TS.&quot;,&quot;volume&quot;:&quot;62&quot;,&quot;container-title-short&quot;:&quot;&quot;},&quot;isTemporary&quot;:false}]},{&quot;citationID&quot;:&quot;MENDELEY_CITATION_93f62855-8fa0-4f47-8ae8-df42742588a5&quot;,&quot;properties&quot;:{&quot;noteIndex&quot;:0},&quot;isEdited&quot;:false,&quot;manualOverride&quot;:{&quot;isManuallyOverridden&quot;:false,&quot;citeprocText&quot;:&quot;(8)&quot;,&quot;manualOverrideText&quot;:&quot;&quot;},&quot;citationTag&quot;:&quot;MENDELEY_CITATION_v3_eyJjaXRhdGlvbklEIjoiTUVOREVMRVlfQ0lUQVRJT05fOTNmNjI4NTUtOGZhMC00ZjQ3LThhZTgtZGY0Mjc0MjU4OGE1IiwicHJvcGVydGllcyI6eyJub3RlSW5kZXgiOjB9LCJpc0VkaXRlZCI6ZmFsc2UsIm1hbnVhbE92ZXJyaWRlIjp7ImlzTWFudWFsbHlPdmVycmlkZGVuIjpmYWxzZSwiY2l0ZXByb2NUZXh0IjoiKDgpIiwibWFudWFsT3ZlcnJpZGVUZXh0IjoiIn0sImNpdGF0aW9uSXRlbXMiOlt7ImlkIjoiYmNhMzA2ZjQtMmViZC0zNjQ1LTkwNWQtYzAwZmYyZjExMGI0IiwiaXRlbURhdGEiOnsidHlwZSI6ImFydGljbGUtam91cm5hbCIsImlkIjoiYmNhMzA2ZjQtMmViZC0zNjQ1LTkwNWQtYzAwZmYyZjExMGI0IiwidGl0bGUiOiJQc3ljaG9tZXRyaWMgUHJvcGVydGllcyBvZiB0aGUgQ2hpbmVzZSBWZXJzaW9uIG9mIHRoZSBQcmVtb25pdG9yeSBVcmdlIGZvciBUaWNzIFNjYWxlOiBBIFByZWxpbWluYXJ5IFJlcG9ydCIsImdyb3VwSWQiOiIwN2Q2MmFjMS01YWE4LTM5YWYtYjQ5ZS01MmQyMDg4YWM1NzEiLCJhdXRob3IiOlt7ImZhbWlseSI6IkxpIiwiZ2l2ZW4iOiJZIiwicGFyc2UtbmFtZXMiOmZhbHNlLCJkcm9wcGluZy1wYXJ0aWNsZSI6IiIsIm5vbi1kcm9wcGluZy1wYXJ0aWNsZSI6IiJ9LHsiZmFtaWx5IjoiV29vZHMiLCJnaXZlbiI6IkQgVyIsInBhcnNlLW5hbWVzIjpmYWxzZSwiZHJvcHBpbmctcGFydGljbGUiOiIiLCJub24tZHJvcHBpbmctcGFydGljbGUiOiIifSx7ImZhbWlseSI6Ikd1IiwiZ2l2ZW4iOiJZIiwicGFyc2UtbmFtZXMiOmZhbHNlLCJkcm9wcGluZy1wYXJ0aWNsZSI6IiIsIm5vbi1kcm9wcGluZy1wYXJ0aWNsZSI6IiJ9LHsiZmFtaWx5IjoiWXUiLCJnaXZlbiI6IkwiLCJwYXJzZS1uYW1lcyI6ZmFsc2UsImRyb3BwaW5nLXBhcnRpY2xlIjoiIiwibm9uLWRyb3BwaW5nLXBhcnRpY2xlIjoiIn0seyJmYW1pbHkiOiJZYW4iLCJnaXZlbiI6IkoiLCJwYXJzZS1uYW1lcyI6ZmFsc2UsImRyb3BwaW5nLXBhcnRpY2xlIjoiIiwibm9uLWRyb3BwaW5nLXBhcnRpY2xlIjoiIn0seyJmYW1pbHkiOiJXZW4iLCJnaXZlbiI6IkYiLCJwYXJzZS1uYW1lcyI6ZmFsc2UsImRyb3BwaW5nLXBhcnRpY2xlIjoiIiwibm9uLWRyb3BwaW5nLXBhcnRpY2xlIjoiIn0seyJmYW1pbHkiOiJXYW5nIiwiZ2l2ZW4iOiJGIiwicGFyc2UtbmFtZXMiOmZhbHNlLCJkcm9wcGluZy1wYXJ0aWNsZSI6IiIsIm5vbi1kcm9wcGluZy1wYXJ0aWNsZSI6IiJ9LHsiZmFtaWx5IjoiTGl1IiwiZ2l2ZW4iOiJKIiwicGFyc2UtbmFtZXMiOmZhbHNlLCJkcm9wcGluZy1wYXJ0aWNsZSI6IiIsIm5vbi1kcm9wcGluZy1wYXJ0aWNsZSI6IiJ9LHsiZmFtaWx5IjoiQ3VpIiwiZ2l2ZW4iOiJZIiwicGFyc2UtbmFtZXMiOmZhbHNlLCJkcm9wcGluZy1wYXJ0aWNsZSI6IiIsIm5vbi1kcm9wcGluZy1wYXJ0aWNsZSI6IiJ9XSwiY29udGFpbmVyLXRpdGxlIjoiRnJvbnQgUHN5Y2hvbCIsIkRPSSI6IjEwLjMzODkvZnBzeWcuMjAyMS41NzM4MDMiLCJQTUlEIjoiMzQ2NDYxODEiLCJpc3N1ZWQiOnsiZGF0ZS1wYXJ0cyI6W1syMDIxXV19LCJwYWdlIjoiNTczODAzIiwiYWJzdHJhY3QiOiJQcmVtb25pdG9yeSB1cmdlcyAoUFVzKSBhcmUgc2Vuc29yeSBwaGVub21lbmEgdGhhdCBpbW1lZGlhdGVseSBwcmVjZWRlIHRpY3MuIFRoZSBQcmVtb25pdG9yeSBVcmdlIGZvciBUaWNzIFNjYWxlIChQVVRTKSBpcyB3aWRlbHkgdXNlZCB0byBhc3Nlc3MgdGhlIHNldmVyaXR5IG9mIFBVcywgYnV0IHRoZSBwc3ljaG9tZXRyaWMgcHJvcGVydGllcyBvZiBQVVRTIGFuZCBjbGluaWNhbCBmZWF0dXJlcyBvZiBQVSBpbiBDaGluZXNlIHBhdGllbnRzIHdpdGggdGljIGRpc29yZGVycyBhcmUgc3RpbGwgdW5jbGVhci4gSW4gdGhpcyBzdHVkeSwgd2UgZXhhbWluZWQgdGhlIHBzeWNob21ldHJpYyBwcm9wZXJ0aWVzIG9mIHRoZSBDaGluZXNlIHZlcnNpb24gb2YgdGhlIFBVVFMgaW4gYSBsYXJnZSBzYW1wbGUgKGluY2x1ZGluZyAzNjcgQ2hpbmVzZSBwZWRpYXRyaWMgcGF0aWVudHMgd2l0aCB0aWMgZGlzb3JkZXJzKS4gV2UgZm91bmQgbm8gZGlmZmVyZW5jZSBpbiBQVSBpbiBkaWZmZXJlbnQgYWdlIGdyb3Vwcy4gVGhlIGV4cGxvcmF0b3J5IGZhY3RvciBhbmFseXNpcyAoRUZBKSBvZiBQVVRTIHNob3dlZCB0aGUgZW1lcmdlbmNlIG9mIGZvdXIgcHJpbWFyeSBmYWN0b3JzLiBUaGUgcmVzdWx0cyBvZiByZWxpYWJpbGl0eSBhbmQgdmFsaWRpdHkgYW5hbHlzZXMgaW5kaWNhdGVkIHRoYXQgdGhlIENoaW5lc2UgdmVyc2lvbiBzaG93ZWQgZ29vZCBwc3ljaG9tZXRyaWMgcHJvcGVydGllcy4gSXQgc2VlbWVkIHRoYXQgUFUgd2FzIGFzc29jaWF0ZWQgd2l0aCB0aGUgc2V2ZXJpdHkgb2Ygb2JzZXNzaW9uIHN5bXB0b21zIGluIHBhdGllbnRzIHdpdGggdGljIGRpc29yZGVycy4gTmV0d29yayBhbmFseXNpcyBzaG93ZWQgdGhhdCBJdGVtIDcgaXMgYSBjcml0aWNhbCBub2RlIGZvciB0aGUgUFUsIGluIGFkZGl0aW9uIHRvIEl0ZW1zIDEgYW5kIDQuIE92ZXJhbGwsIHRoZSBDaGluZXNlIHZlcnNpb24gb2YgUFVUUyBjYW4gYmUgdXNlZCBpbiBDaGluZXNlIGNoaWxkIGFuZCBhZG9sZXNjZW50IHBhdGllbnRzIHdpdGggdGljIGRpc29yZGVycywgcGFydGljdWxhcmx5IGZvciBwYXRpZW50cyB3aXRoIFRvdXJldHRlIHN5bmRyb21lLiIsInZvbHVtZSI6IjEyIiwiY29udGFpbmVyLXRpdGxlLXNob3J0IjoiIn0sImlzVGVtcG9yYXJ5IjpmYWxzZX1dfQ==&quot;,&quot;citationItems&quot;:[{&quot;id&quot;:&quot;bca306f4-2ebd-3645-905d-c00ff2f110b4&quot;,&quot;itemData&quot;:{&quot;type&quot;:&quot;article-journal&quot;,&quot;id&quot;:&quot;bca306f4-2ebd-3645-905d-c00ff2f110b4&quot;,&quot;title&quot;:&quot;Psychometric Properties of the Chinese Version of the Premonitory Urge for Tics Scale: A Preliminary Report&quot;,&quot;groupId&quot;:&quot;07d62ac1-5aa8-39af-b49e-52d2088ac571&quot;,&quot;author&quot;:[{&quot;family&quot;:&quot;Li&quot;,&quot;given&quot;:&quot;Y&quot;,&quot;parse-names&quot;:false,&quot;dropping-particle&quot;:&quot;&quot;,&quot;non-dropping-particle&quot;:&quot;&quot;},{&quot;family&quot;:&quot;Woods&quot;,&quot;given&quot;:&quot;D W&quot;,&quot;parse-names&quot;:false,&quot;dropping-particle&quot;:&quot;&quot;,&quot;non-dropping-particle&quot;:&quot;&quot;},{&quot;family&quot;:&quot;Gu&quot;,&quot;given&quot;:&quot;Y&quot;,&quot;parse-names&quot;:false,&quot;dropping-particle&quot;:&quot;&quot;,&quot;non-dropping-particle&quot;:&quot;&quot;},{&quot;family&quot;:&quot;Yu&quot;,&quot;given&quot;:&quot;L&quot;,&quot;parse-names&quot;:false,&quot;dropping-particle&quot;:&quot;&quot;,&quot;non-dropping-particle&quot;:&quot;&quot;},{&quot;family&quot;:&quot;Yan&quot;,&quot;given&quot;:&quot;J&quot;,&quot;parse-names&quot;:false,&quot;dropping-particle&quot;:&quot;&quot;,&quot;non-dropping-particle&quot;:&quot;&quot;},{&quot;family&quot;:&quot;Wen&quot;,&quot;given&quot;:&quot;F&quot;,&quot;parse-names&quot;:false,&quot;dropping-particle&quot;:&quot;&quot;,&quot;non-dropping-particle&quot;:&quot;&quot;},{&quot;family&quot;:&quot;Wang&quot;,&quot;given&quot;:&quot;F&quot;,&quot;parse-names&quot;:false,&quot;dropping-particle&quot;:&quot;&quot;,&quot;non-dropping-particle&quot;:&quot;&quot;},{&quot;family&quot;:&quot;Liu&quot;,&quot;given&quot;:&quot;J&quot;,&quot;parse-names&quot;:false,&quot;dropping-particle&quot;:&quot;&quot;,&quot;non-dropping-particle&quot;:&quot;&quot;},{&quot;family&quot;:&quot;Cui&quot;,&quot;given&quot;:&quot;Y&quot;,&quot;parse-names&quot;:false,&quot;dropping-particle&quot;:&quot;&quot;,&quot;non-dropping-particle&quot;:&quot;&quot;}],&quot;container-title&quot;:&quot;Front Psychol&quot;,&quot;DOI&quot;:&quot;10.3389/fpsyg.2021.573803&quot;,&quot;PMID&quot;:&quot;34646181&quot;,&quot;issued&quot;:{&quot;date-parts&quot;:[[2021]]},&quot;page&quot;:&quot;573803&quot;,&quot;abstract&quot;:&quot;Premonitory urges (PUs) are sensory phenomena that immediately precede tics. The Premonitory Urge for Tics Scale (PUTS) is widely used to assess the severity of PUs, but the psychometric properties of PUTS and clinical features of PU in Chinese patients with tic disorders are still unclear. In this study, we examined the psychometric properties of the Chinese version of the PUTS in a large sample (including 367 Chinese pediatric patients with tic disorders). We found no difference in PU in different age groups. The exploratory factor analysis (EFA) of PUTS showed the emergence of four primary factors. The results of reliability and validity analyses indicated that the Chinese version showed good psychometric properties. It seemed that PU was associated with the severity of obsession symptoms in patients with tic disorders. Network analysis showed that Item 7 is a critical node for the PU, in addition to Items 1 and 4. Overall, the Chinese version of PUTS can be used in Chinese child and adolescent patients with tic disorders, particularly for patients with Tourette syndrome.&quot;,&quot;volume&quot;:&quot;12&quot;,&quot;container-title-short&quot;:&quot;&quot;},&quot;isTemporary&quot;:false}]},{&quot;citationID&quot;:&quot;MENDELEY_CITATION_45b919af-426f-45aa-aecd-a542adced626&quot;,&quot;properties&quot;:{&quot;noteIndex&quot;:0},&quot;isEdited&quot;:false,&quot;manualOverride&quot;:{&quot;isManuallyOverridden&quot;:false,&quot;citeprocText&quot;:&quot;(10)&quot;,&quot;manualOverrideText&quot;:&quot;&quot;},&quot;citationTag&quot;:&quot;MENDELEY_CITATION_v3_eyJjaXRhdGlvbklEIjoiTUVOREVMRVlfQ0lUQVRJT05fNDViOTE5YWYtNDI2Zi00NWFhLWFlY2QtYTU0MmFkY2VkNjI2IiwicHJvcGVydGllcyI6eyJub3RlSW5kZXgiOjB9LCJpc0VkaXRlZCI6ZmFsc2UsIm1hbnVhbE92ZXJyaWRlIjp7ImlzTWFudWFsbHlPdmVycmlkZGVuIjpmYWxzZSwiY2l0ZXByb2NUZXh0IjoiKDEwKSIsIm1hbnVhbE92ZXJyaWRlVGV4dCI6IiJ9LCJjaXRhdGlvbkl0ZW1zIjpbeyJpZCI6IjQxYzU3YjA4LTQ3MmMtMzNiMy1iZDY2LWMxN2YyOWE0ODE2NCIsIml0ZW1EYXRhIjp7InR5cGUiOiJhcnRpY2xlLWpvdXJuYWwiLCJpZCI6IjQxYzU3YjA4LTQ3MmMtMzNiMy1iZDY2LWMxN2YyOWE0ODE2NCIsInRpdGxlIjoiUHJlbW9uaXRvcnkgQXdhcmVuZXNzIEZhY2lsaXRhdGVzIFRpYyBTdXBwcmVzc2lvbjogU3Vic2NhbGVzIG9mIHRoZSBQcmVtb25pdG9yeSBVcmdlIGZvciBUaWNzIFNjYWxlIGFuZCBhIE5ldyBTZWxmLVJlcG9ydCBRdWVzdGlvbm5haXJlIGZvciBUaWMtQXNzb2NpYXRlZCBTZW5zYXRpb25zIiwiZ3JvdXBJZCI6IjA3ZDYyYWMxLTVhYTgtMzlhZi1iNDllLTUyZDIwODhhYzU3MSIsImF1dGhvciI6W3siZmFtaWx5IjoiTWF0c3VkYSIsImdpdmVuIjoiTiIsInBhcnNlLW5hbWVzIjpmYWxzZSwiZHJvcHBpbmctcGFydGljbGUiOiIiLCJub24tZHJvcHBpbmctcGFydGljbGUiOiIifSx7ImZhbWlseSI6Ik5vbmFrYSIsImdpdmVuIjoiTSIsInBhcnNlLW5hbWVzIjpmYWxzZSwiZHJvcHBpbmctcGFydGljbGUiOiIiLCJub24tZHJvcHBpbmctcGFydGljbGUiOiIifSx7ImZhbWlseSI6Iktvbm8iLCJnaXZlbiI6IlQiLCJwYXJzZS1uYW1lcyI6ZmFsc2UsImRyb3BwaW5nLXBhcnRpY2xlIjoiIiwibm9uLWRyb3BwaW5nLXBhcnRpY2xlIjoiIn0seyJmYW1pbHkiOiJGdWppbyIsImdpdmVuIjoiTSIsInBhcnNlLW5hbWVzIjpmYWxzZSwiZHJvcHBpbmctcGFydGljbGUiOiIiLCJub24tZHJvcHBpbmctcGFydGljbGUiOiIifSx7ImZhbWlseSI6Ik5vYnV5b3NoaSIsImdpdmVuIjoiTSIsInBhcnNlLW5hbWVzIjpmYWxzZSwiZHJvcHBpbmctcGFydGljbGUiOiIiLCJub24tZHJvcHBpbmctcGFydGljbGUiOiIifSx7ImZhbWlseSI6Ikthbm8iLCJnaXZlbiI6IlkiLCJwYXJzZS1uYW1lcyI6ZmFsc2UsImRyb3BwaW5nLXBhcnRpY2xlIjoiIiwibm9uLWRyb3BwaW5nLXBhcnRpY2xlIjoiIn1dLCJjb250YWluZXItdGl0bGUiOiJGcm9udCBQc3ljaGlhdHJ5IiwiRE9JIjoiMTAuMzM4OS9mcHN5dC4yMDIwLjAwNTkyIiwiUE1JRCI6IjMyNzE5NjIxIiwiaXNzdWVkIjp7ImRhdGUtcGFydHMiOltbMjAyMF1dfSwicGFnZSI6IjU5MiIsImFic3RyYWN0IjoiQXdhcmVuZXNzIG9mIHByZW1vbml0b3J5IHVyZ2UgaW4gVG91cmV0dGUgc3luZHJvbWUgKFRTKSBtYXkgZmFjaWxpdGF0ZSB0aWMgc3VwcHJlc3Npb247IGhvd2V2ZXIsIHByZXZpb3VzIHN0dWRpZXMgaGF2ZSBub3Qgc3VwcG9ydGVkIHRoaXMgb2JzZXJ2YXRpb24uIFdlIGFpbWVkIHRvIGNsYXJpZnkgdGhlIHJlbGF0aW9uc2hpcCBiZXR3ZWVuIHRpYy1hc3NvY2lhdGVkIHNlbnNhdGlvbiBhbmQgdGljIHN1cHByZXNzaW9uIGJ5IGlkZW50aWZ5aW5nIHRoZSBzdWJ0eXBlcyBvZiB0aWMtYXNzb2NpYXRlZCBzZW5zYXRpb25zLCBpbmNsdWRpbmcgdGhlIFByZW1vbml0b3J5IFVyZ2UgZm9yIFRpY3MgU2NhbGUgKFBVVFMpLiBXZSBkZXZlbG9wZWQgYSBuZXcgcXVlc3Rpb25uYWlyZSBjYWxsZWQgXCJSdW1pbmF0aW9uIGFuZCBBd2FyZW5lc3MgU2NhbGUgZm9yIHRpYy1hc3NvY2lhdGVkIHNlbnNhdGlvbnNcIiAoUkFTVFMpIHRvIGFzc2VzcyB0aGUgdHdvIGFkZGl0aW9uYWwgYXNwZWN0cyBvZiB0aWMtYXNzb2NpYXRlZCBzZW5zYXRpb25zOiB0aGUgaW50ZW5zaXR5IG9mIHNvbWF0b3NlbnNvcnkgaHlwZXJhd2FyZW5lc3MgYW5kIHRoZSBhYmlsaXR5IHRvIGlkZW50aWZ5IHNpZ25hbHMgb2YgZW1lcmdpbmcgdGljcy4gU2l4dHktdHdvIGluZGl2aWR1YWxzIHdpdGggVFMgcGFydGljaXBhdGVkIGluIHRoZSBzdHVkeSAobWVhbiBhZ2UgPSAxOS4yIMKxIDEwLjMgeWVhcnMpLiBBbGwgcGFydGljaXBhbnRzIGNvbXBsZXRlZCB0aGUgUkFTVFMsIFBVVFMsIGFuZCBUaWMgU3VwcHJlc3Npb24gU2NhbGUuIE9mIGFsbCBwYXJ0aWNpcGFudHMsIDQxIHdlcmUgZXZhbHVhdGVkIGJ5IHRoZSBZYWxlIEdsb2JhbCBUaWMgU2V2ZXJpdHkgU2NhbGUgKFlHVFNTKSwgd2hpbGUgYW5vdGhlciBncm91cCBvZiA0MSBjb21wbGV0ZWQgYm90aCB0aGUgTGV5dG9uIE9ic2Vzc2lvbmFsIEludmVudG9yeS1DaGlsZCBWZXJzaW9uIChMT0ktQ1YpIGFuZCB0aGUgVGljcyBTeW1wdG9tIFNlbGYtUmVwb3J0IChUU1NSKS4gRmFjdG9yIGFuYWx5c2VzIGluY2x1ZGluZyBuaW5lIGl0ZW1zIG9mIHRoZSBQVVRTIGFuZCB0aGUgUkFTVFMgd2VyZSBjb25kdWN0ZWQsIGFuZCB0aGVpciByZWxhdGlvbnNoaXBzIHdpdGggcGF0aWVudHMnIHRpYyBzdXBwcmVzc2lvbiBhYmlsaXR5IHdlcmUgZXhhbWluZWQuIFRoZSByZXN1bHRzIHN1cHBvcnQgdXNpbmcgUkFTVFMgZm9yIHRoZSB0d28gc3VwcG9zZWQgZGltZW5zaW9ucyAocnVtaW5hdGlvbiBhYm91dCBzZW5zYXRpb24gYW5kIHByZW1vbml0b3J5IGF3YXJlbmVzcykgZm9yIGFzc2Vzc2luZyB0aGUgdHdvIGRpZmZlcmVudCB0aWMtYXNzb2NpYXRlZCBzZW5zYXRpb25zLCBhbmQgUFVUUyBmb3IgdGhyZWUgZGltZW5zaW9ucyBmb3IgYXNzZXNzaW5nIHRoZSB0d28gdHlwZXMgb2YgcXVhbGl0eSBvZiBwcmVtb25pdG9yeSB1cmdlcyBhbmQgaW50ZW5zaXR5IG9mIHByZW1vbml0b3J5IHVyZ2VzLiBQcmVtb25pdG9yeSBhd2FyZW5lc3MgY29ycmVsYXRlZCB3aXRoIHRpYyBzdXBwcmVzc2lvbiBhYmlsaXR5LiBDb252ZXJzZWx5LCBydW1pbmF0aW9uIGFib3V0IHNlbnNhdGlvbiwgUFVUUyB0b3RhbCBzY29yZSwgYW5kIHRoZSB0aHJlZSBzdWJzY2FsZXMgb2YgUFVUUyBjb3JyZWxhdGVkIHdpdGggb2JzZXNzaXZlLWNvbXB1bHNpdmUgc3ltcHRvbXMuIEluIHN1bW1hcnksIGJlaW5nIGF3YXJlIG9mIHNpZ25hbHMgZm9yIGVtZXJnaW5nIHRpY3MgZmFjaWxpdGF0ZWQgc2VsZi1pbml0aWF0ZWQgdGljIHN1cHByZXNzaW9uLCB3aGlsZSBydW1pbmF0aXZlIHRpYy1hc3NvY2lhdGVkIHNlbnNhdGlvbnMgZGlkIG5vdC4gVGhpcyBzdHVkeSBwcm92aWRlcyBuZXcgaW5zaWdodHMgaW50byBiZWhhdmlvcmFsIHRoZXJhcHkgZm9yIHRpY3MgYnkgaWRlbnRpZnlpbmcgdHdvIGRpc3RpbmN0IGFzcGVjdHMgb2YgdGljLWFzc29jaWF0ZWQgc2Vuc2F0aW9ucyB0aGF0IGluY2x1ZGUgcHJlbW9uaXRvcnkgdXJnZXMuIiwidm9sdW1lIjoiMTEiLCJjb250YWluZXItdGl0bGUtc2hvcnQiOiIifSwiaXNUZW1wb3JhcnkiOmZhbHNlfV19&quot;,&quot;citationItems&quot;:[{&quot;id&quot;:&quot;41c57b08-472c-33b3-bd66-c17f29a48164&quot;,&quot;itemData&quot;:{&quot;type&quot;:&quot;article-journal&quot;,&quot;id&quot;:&quot;41c57b08-472c-33b3-bd66-c17f29a48164&quot;,&quot;title&quot;:&quot;Premonitory Awareness Facilitates Tic Suppression: Subscales of the Premonitory Urge for Tics Scale and a New Self-Report Questionnaire for Tic-Associated Sensations&quot;,&quot;groupId&quot;:&quot;07d62ac1-5aa8-39af-b49e-52d2088ac571&quot;,&quot;author&quot;:[{&quot;family&quot;:&quot;Matsuda&quot;,&quot;given&quot;:&quot;N&quot;,&quot;parse-names&quot;:false,&quot;dropping-particle&quot;:&quot;&quot;,&quot;non-dropping-particle&quot;:&quot;&quot;},{&quot;family&quot;:&quot;Nonaka&quot;,&quot;given&quot;:&quot;M&quot;,&quot;parse-names&quot;:false,&quot;dropping-particle&quot;:&quot;&quot;,&quot;non-dropping-particle&quot;:&quot;&quot;},{&quot;family&quot;:&quot;Kono&quot;,&quot;given&quot;:&quot;T&quot;,&quot;parse-names&quot;:false,&quot;dropping-particle&quot;:&quot;&quot;,&quot;non-dropping-particle&quot;:&quot;&quot;},{&quot;family&quot;:&quot;Fujio&quot;,&quot;given&quot;:&quot;M&quot;,&quot;parse-names&quot;:false,&quot;dropping-particle&quot;:&quot;&quot;,&quot;non-dropping-particle&quot;:&quot;&quot;},{&quot;family&quot;:&quot;Nobuyoshi&quot;,&quot;given&quot;:&quot;M&quot;,&quot;parse-names&quot;:false,&quot;dropping-particle&quot;:&quot;&quot;,&quot;non-dropping-particle&quot;:&quot;&quot;},{&quot;family&quot;:&quot;Kano&quot;,&quot;given&quot;:&quot;Y&quot;,&quot;parse-names&quot;:false,&quot;dropping-particle&quot;:&quot;&quot;,&quot;non-dropping-particle&quot;:&quot;&quot;}],&quot;container-title&quot;:&quot;Front Psychiatry&quot;,&quot;DOI&quot;:&quot;10.3389/fpsyt.2020.00592&quot;,&quot;PMID&quot;:&quot;32719621&quot;,&quot;issued&quot;:{&quot;date-parts&quot;:[[2020]]},&quot;page&quot;:&quot;592&quot;,&quot;abstract&quot;:&quot;Awareness of premonitory urge in Tourette syndrome (TS) may facilitate tic suppression; however, previous studies have not supported this observation. We aimed to clarify the relationship between tic-associated sensation and tic suppression by identifying the subtypes of tic-associated sensations, including the Premonitory Urge for Tics Scale (PUTS). We developed a new questionnaire called \&quot;Rumination and Awareness Scale for tic-associated sensations\&quot; (RASTS) to assess the two additional aspects of tic-associated sensations: the intensity of somatosensory hyperawareness and the ability to identify signals of emerging tics. Sixty-two individuals with TS participated in the study (mean age = 19.2 ± 10.3 years). All participants completed the RASTS, PUTS, and Tic Suppression Scale. Of all participants, 41 were evaluated by the Yale Global Tic Severity Scale (YGTSS), while another group of 41 completed both the Leyton Obsessional Inventory-Child Version (LOI-CV) and the Tics Symptom Self-Report (TSSR). Factor analyses including nine items of the PUTS and the RASTS were conducted, and their relationships with patients' tic suppression ability were examined. The results support using RASTS for the two supposed dimensions (rumination about sensation and premonitory awareness) for assessing the two different tic-associated sensations, and PUTS for three dimensions for assessing the two types of quality of premonitory urges and intensity of premonitory urges. Premonitory awareness correlated with tic suppression ability. Conversely, rumination about sensation, PUTS total score, and the three subscales of PUTS correlated with obsessive-compulsive symptoms. In summary, being aware of signals for emerging tics facilitated self-initiated tic suppression, while ruminative tic-associated sensations did not. This study provides new insights into behavioral therapy for tics by identifying two distinct aspects of tic-associated sensations that include premonitory urges.&quot;,&quot;volume&quot;:&quot;11&quot;,&quot;container-title-short&quot;:&quot;&quot;},&quot;isTemporary&quot;:false}]},{&quot;citationID&quot;:&quot;MENDELEY_CITATION_831fd578-8b1f-4b94-86b8-b5d1c423d671&quot;,&quot;properties&quot;:{&quot;noteIndex&quot;:0},&quot;isEdited&quot;:false,&quot;manualOverride&quot;:{&quot;isManuallyOverridden&quot;:false,&quot;citeprocText&quot;:&quot;(35)&quot;,&quot;manualOverrideText&quot;:&quot;&quot;},&quot;citationTag&quot;:&quot;MENDELEY_CITATION_v3_eyJjaXRhdGlvbklEIjoiTUVOREVMRVlfQ0lUQVRJT05fODMxZmQ1NzgtOGIxZi00Yjk0LTg2YjgtYjVkMWM0MjNkNjcxIiwicHJvcGVydGllcyI6eyJub3RlSW5kZXgiOjB9LCJpc0VkaXRlZCI6ZmFsc2UsIm1hbnVhbE92ZXJyaWRlIjp7ImlzTWFudWFsbHlPdmVycmlkZGVuIjpmYWxzZSwiY2l0ZXByb2NUZXh0IjoiKDM1KSIsIm1hbnVhbE92ZXJyaWRlVGV4dCI6IiJ9LCJjaXRhdGlvbkl0ZW1zIjpbeyJpZCI6ImQyNzdlNjY2LTA3NzYtM2JhNS1hOTYyLThhMDdiN2JiYTAxOSIsIml0ZW1EYXRhIjp7InR5cGUiOiJhcnRpY2xlLWpvdXJuYWwiLCJpZCI6ImQyNzdlNjY2LTA3NzYtM2JhNS1hOTYyLThhMDdiN2JiYTAxOSIsInRpdGxlIjoiUHJlbW9uaXRvcnkgdXJnZSB0byB0aWMgaW4gVG91cmV0dGUncyBpcyBhc3NvY2lhdGVkIHdpdGggaW50ZXJvY2VwdGl2ZSBhd2FyZW5lc3MiLCJncm91cElkIjoiMDdkNjJhYzEtNWFhOC0zOWFmLWI0OWUtNTJkMjA4OGFjNTcxIiwiYXV0aG9yIjpbeyJmYW1pbHkiOiJHYW5vcyIsImdpdmVuIjoiQyIsInBhcnNlLW5hbWVzIjpmYWxzZSwiZHJvcHBpbmctcGFydGljbGUiOiIiLCJub24tZHJvcHBpbmctcGFydGljbGUiOiIifSx7ImZhbWlseSI6IkdhcnJpZG8iLCJnaXZlbiI6IkEiLCJwYXJzZS1uYW1lcyI6ZmFsc2UsImRyb3BwaW5nLXBhcnRpY2xlIjoiIiwibm9uLWRyb3BwaW5nLXBhcnRpY2xlIjoiIn0seyJmYW1pbHkiOiJOYXZhbHBvdHJvLUfDs21leiIsImdpdmVuIjoiSSIsInBhcnNlLW5hbWVzIjpmYWxzZSwiZHJvcHBpbmctcGFydGljbGUiOiIiLCJub24tZHJvcHBpbmctcGFydGljbGUiOiIifSx7ImZhbWlseSI6IlJpY2NpYXJkaSIsImdpdmVuIjoiTCIsInBhcnNlLW5hbWVzIjpmYWxzZSwiZHJvcHBpbmctcGFydGljbGUiOiIiLCJub24tZHJvcHBpbmctcGFydGljbGUiOiIifSx7ImZhbWlseSI6Ik1hcnRpbm8iLCJnaXZlbiI6IkQiLCJwYXJzZS1uYW1lcyI6ZmFsc2UsImRyb3BwaW5nLXBhcnRpY2xlIjoiIiwibm9uLWRyb3BwaW5nLXBhcnRpY2xlIjoiIn0seyJmYW1pbHkiOiJFZHdhcmRzIiwiZ2l2ZW4iOiJNIEoiLCJwYXJzZS1uYW1lcyI6ZmFsc2UsImRyb3BwaW5nLXBhcnRpY2xlIjoiIiwibm9uLWRyb3BwaW5nLXBhcnRpY2xlIjoiIn0seyJmYW1pbHkiOiJUc2FraXJpcyIsImdpdmVuIjoiTSIsInBhcnNlLW5hbWVzIjpmYWxzZSwiZHJvcHBpbmctcGFydGljbGUiOiIiLCJub24tZHJvcHBpbmctcGFydGljbGUiOiIifSx7ImZhbWlseSI6IkhhZ2dhcmQiLCJnaXZlbiI6IlAiLCJwYXJzZS1uYW1lcyI6ZmFsc2UsImRyb3BwaW5nLXBhcnRpY2xlIjoiIiwibm9uLWRyb3BwaW5nLXBhcnRpY2xlIjoiIn0seyJmYW1pbHkiOiJCaGF0aWEiLCJnaXZlbiI6IksgUCIsInBhcnNlLW5hbWVzIjpmYWxzZSwiZHJvcHBpbmctcGFydGljbGUiOiIiLCJub24tZHJvcHBpbmctcGFydGljbGUiOiIifV0sImNvbnRhaW5lci10aXRsZSI6Ik1vdiBEaXNvcmQiLCJET0kiOiIxMC4xMDAyL21kcy4yNjIyOCIsIlBNSUQiOiIyNTg3OTgxOSIsIlVSTCI6Imh0dHBzOi8vbW92ZW1lbnRkaXNvcmRlcnMtb25saW5lbGlicmFyeS13aWxleS1jb20ucHJveHkubGlicmFyeS52YW5kZXJiaWx0LmVkdS9kb2kvZnVsbC8xMC4xMDAyL21kcy4yNjIyOCIsImlzc3VlZCI6eyJkYXRlLXBhcnRzIjpbWzIwMTVdXX0sInBhZ2UiOiIxMTk4LTEyMDIiLCJhYnN0cmFjdCI6IkJBQ0tHUk9VTkQ6IEEgY29udHJpYnV0aW9uIG9mIGFiZXJyYW50IGludGVyb2NlcHRpdmUgYXdhcmVuZXNzIHRvIHRoZSBwZXJjZXB0aW9uIG9mIHByZW1vbml0b3J5IHVyZ2VzIGluIEdpbGxlcyBkZSBsYSBUb3VyZXR0ZSBzeW5kcm9tZSAoR1RTKSBoYXMgYmVlbiBoeXBvdGhlc2l6ZWQuIE1FVEhPRFM6IFdlIGFzc2Vzc2VkIGludGVyb2NlcHRpdmUgYXdhcmVuZXNzIGluIDE5IGFkdWx0cyB3aXRoIEdUUyBhbmQgMjUgYWdlLW1hdGNoZWQgaGVhbHRoeSBjb250cm9scyB1c2luZyB0aGUgaGVhcnRiZWF0IGNvdW50aW5nIHRhc2suIFdlIGFsc28gdXNlZCBtdWx0aXBsZSByZWdyZXNzaW9uIHRvIGV4cGxvcmUgd2hldGhlciB0aGUgc2V2ZXJpdHkgb2YgcHJlbW9uaXRvcnkgdXJnZXMgd2FzIHByZWRpY3RlZCBieSBpbnRlcm9jZXB0aXZlIGF3YXJlbmVzcyBvciBzZXZlcml0eSBvZiB0aWNzIGFuZCBvYnNlc3NpdmUtY29tcHVsc2l2ZSBzeW1wdG9tcy4gUkVTVUxUUzogV2Ugb2JzZXJ2ZWQgbG93ZXIgaW50ZXJvY2VwdGl2ZSBhd2FyZW5lc3MgaW4gR1RTIGNvbXBhcmVkIHdpdGggY29udHJvbHMuIEludGVyb2NlcHRpdmUgYXdhcmVuZXNzIHdhcyB0aGUgc3Ryb25nZXN0IHByZWRpY3RvciBvZiBwcmVtb25pdG9yeSB1cmdlcyBpbiBHVFMsIHdpdGggZ3JlYXRlciBpbnRlcm9jZXB0aXZlIGF3YXJlbmVzcyBiZWluZyBhc3NvY2lhdGVkIHdpdGggbW9yZSB1cmdlcy4gR3JlYXRlciB0aWMgc2V2ZXJpdHkgd2FzIGFsc28gYXNzb2NpYXRlZCB3aXRoIGhpZ2hlciByYXRlcyBvZiBwcmVtb25pdG9yeSB1cmdlcy4gQ09OQ0xVU0lPTjogVGhlIG9ic2VydmVkIHJlbGF0aW9uc2hpcCBiZXR3ZWVuIHNldmVyaXR5IG9mIHByZW1vbml0b3J5IHVyZ2VzIGFuZCBpbnRlcm9jZXB0aXZlIGF3YXJlbmVzcyBzdWdnZXN0cyB0aGF0IGludGVyb2NlcHRpb24gbWlnaHQgYmUgaW52b2x2ZWQgaW4gc2VsZi1yZXBvcnRlZCBwcmVtb25pdG9yeSB1cmdlcyBpbiBHVFMuIEhpZ2ggbGV2ZWxzIG9mIGludGVyb2NlcHRpdmUgYXdhcmVuZXNzIG1pZ2h0IHJlZmxlY3QgYSBzZWxmLWF0dGVudGl2ZSBjYXBhY2l0eSB0byBwZXJjZWl2ZSB1cmdlcy4iLCJpc3N1ZSI6IjkiLCJ2b2x1bWUiOiIzMCIsImNvbnRhaW5lci10aXRsZS1zaG9ydCI6IiJ9LCJpc1RlbXBvcmFyeSI6ZmFsc2V9XX0=&quot;,&quot;citationItems&quot;:[{&quot;id&quot;:&quot;d277e666-0776-3ba5-a962-8a07b7bba019&quot;,&quot;itemData&quot;:{&quot;type&quot;:&quot;article-journal&quot;,&quot;id&quot;:&quot;d277e666-0776-3ba5-a962-8a07b7bba019&quot;,&quot;title&quot;:&quot;Premonitory urge to tic in Tourette's is associated with interoceptive awareness&quot;,&quot;groupId&quot;:&quot;07d62ac1-5aa8-39af-b49e-52d2088ac571&quot;,&quot;author&quot;:[{&quot;family&quot;:&quot;Ganos&quot;,&quot;given&quot;:&quot;C&quot;,&quot;parse-names&quot;:false,&quot;dropping-particle&quot;:&quot;&quot;,&quot;non-dropping-particle&quot;:&quot;&quot;},{&quot;family&quot;:&quot;Garrido&quot;,&quot;given&quot;:&quot;A&quot;,&quot;parse-names&quot;:false,&quot;dropping-particle&quot;:&quot;&quot;,&quot;non-dropping-particle&quot;:&quot;&quot;},{&quot;family&quot;:&quot;Navalpotro-Gómez&quot;,&quot;given&quot;:&quot;I&quot;,&quot;parse-names&quot;:false,&quot;dropping-particle&quot;:&quot;&quot;,&quot;non-dropping-particle&quot;:&quot;&quot;},{&quot;family&quot;:&quot;Ricciardi&quot;,&quot;given&quot;:&quot;L&quot;,&quot;parse-names&quot;:false,&quot;dropping-particle&quot;:&quot;&quot;,&quot;non-dropping-particle&quot;:&quot;&quot;},{&quot;family&quot;:&quot;Martino&quot;,&quot;given&quot;:&quot;D&quot;,&quot;parse-names&quot;:false,&quot;dropping-particle&quot;:&quot;&quot;,&quot;non-dropping-particle&quot;:&quot;&quot;},{&quot;family&quot;:&quot;Edwards&quot;,&quot;given&quot;:&quot;M J&quot;,&quot;parse-names&quot;:false,&quot;dropping-particle&quot;:&quot;&quot;,&quot;non-dropping-particle&quot;:&quot;&quot;},{&quot;family&quot;:&quot;Tsakiris&quot;,&quot;given&quot;:&quot;M&quot;,&quot;parse-names&quot;:false,&quot;dropping-particle&quot;:&quot;&quot;,&quot;non-dropping-particle&quot;:&quot;&quot;},{&quot;family&quot;:&quot;Haggard&quot;,&quot;given&quot;:&quot;P&quot;,&quot;parse-names&quot;:false,&quot;dropping-particle&quot;:&quot;&quot;,&quot;non-dropping-particle&quot;:&quot;&quot;},{&quot;family&quot;:&quot;Bhatia&quot;,&quot;given&quot;:&quot;K P&quot;,&quot;parse-names&quot;:false,&quot;dropping-particle&quot;:&quot;&quot;,&quot;non-dropping-particle&quot;:&quot;&quot;}],&quot;container-title&quot;:&quot;Mov Disord&quot;,&quot;DOI&quot;:&quot;10.1002/mds.26228&quot;,&quot;PMID&quot;:&quot;25879819&quot;,&quot;URL&quot;:&quot;https://movementdisorders-onlinelibrary-wiley-com.proxy.library.vanderbilt.edu/doi/full/10.1002/mds.26228&quot;,&quot;issued&quot;:{&quot;date-parts&quot;:[[2015]]},&quot;page&quot;:&quot;1198-1202&quot;,&quot;abstract&quot;:&quot;BACKGROUND: A contribution of aberrant interoceptive awareness to the perception of premonitory urges in Gilles de la Tourette syndrome (GTS) has been hypothesized. METHODS: We assessed interoceptive awareness in 19 adults with GTS and 25 age-matched healthy controls using the heartbeat counting task. We also used multiple regression to explore whether the severity of premonitory urges was predicted by interoceptive awareness or severity of tics and obsessive-compulsive symptoms. RESULTS: We observed lower interoceptive awareness in GTS compared with controls. Interoceptive awareness was the strongest predictor of premonitory urges in GTS, with greater interoceptive awareness being associated with more urges. Greater tic severity was also associated with higher rates of premonitory urges. CONCLUSION: The observed relationship between severity of premonitory urges and interoceptive awareness suggests that interoception might be involved in self-reported premonitory urges in GTS. High levels of interoceptive awareness might reflect a self-attentive capacity to perceive urges.&quot;,&quot;issue&quot;:&quot;9&quot;,&quot;volume&quot;:&quot;30&quot;,&quot;container-title-short&quot;:&quot;&quot;},&quot;isTemporary&quot;:false}]},{&quot;citationID&quot;:&quot;MENDELEY_CITATION_6576d5dc-f67d-46e9-b952-2d4e20035118&quot;,&quot;properties&quot;:{&quot;noteIndex&quot;:0},&quot;isEdited&quot;:false,&quot;manualOverride&quot;:{&quot;isManuallyOverridden&quot;:false,&quot;citeprocText&quot;:&quot;(36)&quot;,&quot;manualOverrideText&quot;:&quot;&quot;},&quot;citationTag&quot;:&quot;MENDELEY_CITATION_v3_eyJjaXRhdGlvbklEIjoiTUVOREVMRVlfQ0lUQVRJT05fNjU3NmQ1ZGMtZjY3ZC00NmU5LWI5NTItMmQ0ZTIwMDM1MTE4IiwicHJvcGVydGllcyI6eyJub3RlSW5kZXgiOjB9LCJpc0VkaXRlZCI6ZmFsc2UsIm1hbnVhbE92ZXJyaWRlIjp7ImlzTWFudWFsbHlPdmVycmlkZGVuIjpmYWxzZSwiY2l0ZXByb2NUZXh0IjoiKDM2KSIsIm1hbnVhbE92ZXJyaWRlVGV4dCI6IiJ9LCJjaXRhdGlvbkl0ZW1zIjpbeyJpZCI6Ijg3NDcyNDBiLWY2MDItMzRiYi1hODQyLTI1MDFjNDY2M2VkZiIsIml0ZW1EYXRhIjp7InR5cGUiOiJhcnRpY2xlLWpvdXJuYWwiLCJpZCI6Ijg3NDcyNDBiLWY2MDItMzRiYi1hODQyLTI1MDFjNDY2M2VkZiIsInRpdGxlIjoiUHJlbW9uaXRvcnkgdXJnZXMgYXJlIGFzc29jaWF0ZWQgd2l0aCBkZWNyZWFzZWQgZ3JleSBtYXR0ZXIgdGhpY2tuZXNzIHdpdGhpbiB0aGUgaW5zdWxhIGFuZCBzZW5zb3JpbW90b3IgY29ydGV4IGluIHlvdW5nIHBlb3BsZSB3aXRoIFRvdXJldHRlIHN5bmRyb21lIiwiZ3JvdXBJZCI6IjA3ZDYyYWMxLTVhYTgtMzlhZi1iNDllLTUyZDIwODhhYzU3MSIsImF1dGhvciI6W3siZmFtaWx5IjoiRHJhcGVyIiwiZ2l2ZW4iOiJBIiwicGFyc2UtbmFtZXMiOmZhbHNlLCJkcm9wcGluZy1wYXJ0aWNsZSI6IiIsIm5vbi1kcm9wcGluZy1wYXJ0aWNsZSI6IiJ9LHsiZmFtaWx5IjoiSmFja3NvbiIsImdpdmVuIjoiRyBNIiwicGFyc2UtbmFtZXMiOmZhbHNlLCJkcm9wcGluZy1wYXJ0aWNsZSI6IiIsIm5vbi1kcm9wcGluZy1wYXJ0aWNsZSI6IiJ9LHsiZmFtaWx5IjoiTW9yZ2FuIiwiZ2l2ZW4iOiJQIFMiLCJwYXJzZS1uYW1lcyI6ZmFsc2UsImRyb3BwaW5nLXBhcnRpY2xlIjoiIiwibm9uLWRyb3BwaW5nLXBhcnRpY2xlIjoiIn0seyJmYW1pbHkiOiJKYWNrc29uIiwiZ2l2ZW4iOiJTIFIiLCJwYXJzZS1uYW1lcyI6ZmFsc2UsImRyb3BwaW5nLXBhcnRpY2xlIjoiIiwibm9uLWRyb3BwaW5nLXBhcnRpY2xlIjoiIn1dLCJjb250YWluZXItdGl0bGUiOiJKIE5ldXJvcHN5Y2hvbCIsIkRPSSI6IjEwLjExMTEvam5wLjEyMDg5IiwiUE1JRCI6IjI2NTM4Mjg5IiwiVVJMIjoiaHR0cHM6Ly9icHNwc3ljaHViLW9ubGluZWxpYnJhcnktd2lsZXktY29tLnByb3h5LmxpYnJhcnkudmFuZGVyYmlsdC5lZHUvZG9pL2Z1bGwvMTAuMTExMS9qbnAuMTIwODkiLCJpc3N1ZWQiOnsiZGF0ZS1wYXJ0cyI6W1syMDE2XV19LCJwYWdlIjoiMTQzLTE1MyIsImFic3RyYWN0IjoiVG91cmV0dGUgc3luZHJvbWUgKFRTKSBpcyBhIG5ldXJvbG9naWNhbCBkaXNvcmRlciBjaGFyYWN0ZXJpemVkIGJ5IHZvY2FsIGFuZCBtb3RvciB0aWNzIGFuZCBpcyBhc3NvY2lhdGVkIHdpdGggY29ydGljYWwtc3RyaWF0YWwtdGhhbGFtaWMtY29ydGljYWwgY2lyY3VpdCAoQ1NUQykgZHlzZnVuY3Rpb24gYW5kIGh5cGVyZXhjaXRhYmlsaXR5IG9mIGNvcnRpY2FsIGxpbWJpYyBhbmQgbW90b3IgcmVnaW9ucywgd2hpY2ggYXJlIHRob3VnaHQgdG8gbGVhZCB0byB0aGUgb2NjdXJyZW5jZSBvZiB0aWNzLiBJbXBvcnRhbnRseSwgaW5kaXZpZHVhbHMgd2l0aCBUUyBvZnRlbiByZXBvcnQgdGhhdCB0aGVpciB0aWNzIGFyZSBwcmVjZWRlZCBieSAncHJlbW9uaXRvcnkgc2Vuc29yeSBwaGVub21lbmEnIChQU1ApIHRoYXQgYXJlIGRlc2NyaWJlZCBhcyB1bmNvbWZvcnRhYmxlIGNvZ25pdGl2ZSBvciBib2RpbHkgc2Vuc2F0aW9ucyB0aGF0IHByZWNlZGUgdGhlIGV4ZWN1dGlvbiBvZiBhIHRpYywgYW5kIGFyZSBleHBlcmllbmNlZCBhcyBhIHN0cm9uZyB1cmdlIGZvciBtb3RvciBkaXNjaGFyZ2UuIFdoaWxlIHRoZSBwcmVjaXNlIHJvbGUgcGxheWVkIGJ5IFBTUCBpbiB0aGUgb2NjdXJyZW5jZSBvZiB0aWNzIGlzIGNvbnRyb3ZlcnNpYWwsIFBTUCBhcmUgbm9uZXRoZWxlc3Mgb2YgY29uc2lkZXJhYmxlIHRoZW9yZXRpY2FsIGFuZCBjbGluaWNhbCBpbXBvcnRhbmNlIGluIFRTLCBub3QgbGVhc3QgYmVjYXVzZSB0aGV5IGZvcm0gdGhlIGNvcmUgY29tcG9uZW50IGluIG1hbnkgb2YgdGhlIGJlaGF2aW91cmFsIHRoZXJhcGllcyB0aGF0IGFyZSBjdXJyZW50bHkgdXNlZCBpbiB0aGUgdHJlYXRtZW50IG9mIHRpYyBkaXNvcmRlcnMuIEluIHRoaXMgc3R1ZHksIHdlIGludmVzdGlnYXRlZCB0aGUgYnJhaW4gc3RydWN0dXJlIGNvcnJlbGF0ZXMgb2YgUFNQLiBTcGVjaWZpY2FsbHksIHdlIGNvbmR1Y3RlZCBhIHdob2xlLWJyYWluIGFuYWx5c2lzIG9mIGNvcnRpY2FsIChncmV5IG1hdHRlcikgdGhpY2tuZXNzIGluIDI5IGNoaWxkcmVuIGFuZCB5b3VuZyBhZHVsdHMgd2l0aCBUUyBhbmQgaW52ZXN0aWdhdGVkIHRoZSBhc3NvY2lhdGlvbiBiZXR3ZWVuIGdyZXkgbWF0dGVyIHRoaWNrbmVzcyBhbmQgUFNQLiBXZSBkZW1vbnN0cmF0ZSBmb3IgdGhlIGZpcnN0IHRpbWUgdGhhdCBQU1AgYXJlIGludmVyc2VseSBhc3NvY2lhdGVkIHdpdGggZ3JleSBtYXR0ZXIgdGhpY2tuZXNzIG1lYXN1cmVtZW50cyB3aXRoaW4gdGhlIGluc3VsYSBhbmQgc2Vuc29yaW1vdG9yIGNvcnRleC4gV2UgYWxzbyBkZW1vbnN0cmF0ZSB0aGF0IGdyZXkgbWF0dGVyIHRoaWNrbmVzcyBpcyBzaWduaWZpY2FudGx5IHJlZHVjZWQgaW4gdGhlc2UgYXJlYXMgaW4gaW5kaXZpZHVhbHMgd2l0aCBUUyByZWxhdGl2ZSB0byBhIGNsb3NlbHkgYWdlLSBhbmQgZ2VuZGVyLW1hdGNoZWQgZ3JvdXAgb2YgdHlwaWNhbGx5IGRldmVsb3BpbmcgaW5kaXZpZHVhbHMgYW5kIHRoYXQgUFNQIHJhdGluZ3MgYXJlIHNpZ25pZmljYW50bHkgY29ycmVsYXRlZCB3aXRoIHRpYyBzZXZlcml0eS4iLCJpc3N1ZSI6IjEiLCJ2b2x1bWUiOiIxMCIsImNvbnRhaW5lci10aXRsZS1zaG9ydCI6IiJ9LCJpc1RlbXBvcmFyeSI6ZmFsc2V9XX0=&quot;,&quot;citationItems&quot;:[{&quot;id&quot;:&quot;8747240b-f602-34bb-a842-2501c4663edf&quot;,&quot;itemData&quot;:{&quot;type&quot;:&quot;article-journal&quot;,&quot;id&quot;:&quot;8747240b-f602-34bb-a842-2501c4663edf&quot;,&quot;title&quot;:&quot;Premonitory urges are associated with decreased grey matter thickness within the insula and sensorimotor cortex in young people with Tourette syndrome&quot;,&quot;groupId&quot;:&quot;07d62ac1-5aa8-39af-b49e-52d2088ac571&quot;,&quot;author&quot;:[{&quot;family&quot;:&quot;Draper&quot;,&quot;given&quot;:&quot;A&quot;,&quot;parse-names&quot;:false,&quot;dropping-particle&quot;:&quot;&quot;,&quot;non-dropping-particle&quot;:&quot;&quot;},{&quot;family&quot;:&quot;Jackson&quot;,&quot;given&quot;:&quot;G M&quot;,&quot;parse-names&quot;:false,&quot;dropping-particle&quot;:&quot;&quot;,&quot;non-dropping-particle&quot;:&quot;&quot;},{&quot;family&quot;:&quot;Morgan&quot;,&quot;given&quot;:&quot;P S&quot;,&quot;parse-names&quot;:false,&quot;dropping-particle&quot;:&quot;&quot;,&quot;non-dropping-particle&quot;:&quot;&quot;},{&quot;family&quot;:&quot;Jackson&quot;,&quot;given&quot;:&quot;S R&quot;,&quot;parse-names&quot;:false,&quot;dropping-particle&quot;:&quot;&quot;,&quot;non-dropping-particle&quot;:&quot;&quot;}],&quot;container-title&quot;:&quot;J Neuropsychol&quot;,&quot;DOI&quot;:&quot;10.1111/jnp.12089&quot;,&quot;PMID&quot;:&quot;26538289&quot;,&quot;URL&quot;:&quot;https://bpspsychub-onlinelibrary-wiley-com.proxy.library.vanderbilt.edu/doi/full/10.1111/jnp.12089&quot;,&quot;issued&quot;:{&quot;date-parts&quot;:[[2016]]},&quot;page&quot;:&quot;143-153&quot;,&quot;abstract&quot;:&quot;Tourette syndrome (TS) is a neurological disorder characterized by vocal and motor tics and is associated with cortical-striatal-thalamic-cortical circuit (CSTC) dysfunction and hyperexcitability of cortical limbic and motor regions, which are thought to lead to the occurrence of tics. Importantly, individuals with TS often report that their tics are preceded by 'premonitory sensory phenomena' (PSP) that are described as uncomfortable cognitive or bodily sensations that precede the execution of a tic, and are experienced as a strong urge for motor discharge. While the precise role played by PSP in the occurrence of tics is controversial, PSP are nonetheless of considerable theoretical and clinical importance in TS, not least because they form the core component in many of the behavioural therapies that are currently used in the treatment of tic disorders. In this study, we investigated the brain structure correlates of PSP. Specifically, we conducted a whole-brain analysis of cortical (grey matter) thickness in 29 children and young adults with TS and investigated the association between grey matter thickness and PSP. We demonstrate for the first time that PSP are inversely associated with grey matter thickness measurements within the insula and sensorimotor cortex. We also demonstrate that grey matter thickness is significantly reduced in these areas in individuals with TS relative to a closely age- and gender-matched group of typically developing individuals and that PSP ratings are significantly correlated with tic severity.&quot;,&quot;issue&quot;:&quot;1&quot;,&quot;volume&quot;:&quot;10&quot;,&quot;container-title-short&quot;:&quot;&quot;},&quot;isTemporary&quot;:false}]},{&quot;citationID&quot;:&quot;MENDELEY_CITATION_25dd1bc6-db2e-49ea-8846-5aa45b6db2b7&quot;,&quot;properties&quot;:{&quot;noteIndex&quot;:0},&quot;isEdited&quot;:false,&quot;manualOverride&quot;:{&quot;isManuallyOverridden&quot;:false,&quot;citeprocText&quot;:&quot;(37)&quot;,&quot;manualOverrideText&quot;:&quot;&quot;},&quot;citationTag&quot;:&quot;MENDELEY_CITATION_v3_eyJjaXRhdGlvbklEIjoiTUVOREVMRVlfQ0lUQVRJT05fMjVkZDFiYzYtZGIyZS00OWVhLTg4NDYtNWFhNDViNmRiMmI3IiwicHJvcGVydGllcyI6eyJub3RlSW5kZXgiOjB9LCJpc0VkaXRlZCI6ZmFsc2UsIm1hbnVhbE92ZXJyaWRlIjp7ImlzTWFudWFsbHlPdmVycmlkZGVuIjpmYWxzZSwiY2l0ZXByb2NUZXh0IjoiKDM3KSIsIm1hbnVhbE92ZXJyaWRlVGV4dCI6IiJ9LCJjaXRhdGlvbkl0ZW1zIjpbeyJpZCI6IjYwOWE1MzA0LWUwOTYtMzkxYS1iODg0LTE5NTcxN2Q4MzdkNiIsIml0ZW1EYXRhIjp7InR5cGUiOiJhcnRpY2xlLWpvdXJuYWwiLCJpZCI6IjYwOWE1MzA0LWUwOTYtMzkxYS1iODg0LTE5NTcxN2Q4MzdkNiIsInRpdGxlIjoiQ29ycmVsYXRpb24gYmV0d2VlbiBwcmVtb25pdG9yeSB1cmdlcyBhbmQgdGljIHN5bXB0b21zIGluIGEgQ2hpbmVzZSBwb3B1bGF0aW9uIHdpdGggdGljIGRpc29yZGVycyIsImdyb3VwSWQiOiIwN2Q2MmFjMS01YWE4LTM5YWYtYjQ5ZS01MmQyMDg4YWM1NzEiLCJhdXRob3IiOlt7ImZhbWlseSI6Ikd1IiwiZ2l2ZW4iOiJZIiwicGFyc2UtbmFtZXMiOmZhbHNlLCJkcm9wcGluZy1wYXJ0aWNsZSI6IiIsIm5vbi1kcm9wcGluZy1wYXJ0aWNsZSI6IiJ9LHsiZmFtaWx5IjoiTGkiLCJnaXZlbiI6IlkiLCJwYXJzZS1uYW1lcyI6ZmFsc2UsImRyb3BwaW5nLXBhcnRpY2xlIjoiIiwibm9uLWRyb3BwaW5nLXBhcnRpY2xlIjoiIn0seyJmYW1pbHkiOiJDdWkiLCJnaXZlbiI6IlkiLCJwYXJzZS1uYW1lcyI6ZmFsc2UsImRyb3BwaW5nLXBhcnRpY2xlIjoiIiwibm9uLWRyb3BwaW5nLXBhcnRpY2xlIjoiIn1dLCJjb250YWluZXItdGl0bGUiOiJQZWRpYXRyIEludmVzdGlnIiwiRE9JIjoiMTAuMTAwMi9wZWQ0LjEyMTg5IiwiUE1JRCI6IjMyODUxMzUwIiwiVVJMIjoiaHR0cHM6Ly93d3cubmNiaS5ubG0ubmloLmdvdi9wbWMvYXJ0aWNsZXMvUE1DNzMzMTQyOC9wZGYvUEVENC00LTg2LnBkZiIsImlzc3VlZCI6eyJkYXRlLXBhcnRzIjpbWzIwMjBdXX0sInBhZ2UiOiI4Ni05MCIsImFic3RyYWN0IjoiSU1QT1JUQU5DRTogVGljcyB1c3VhbGx5IHN0YXJ0IGFyb3VuZCA0LTYgeWVhcnMgb2xkIGFuZCBhZmZlY3QgYWJvdXQgMSUgb2Ygc2Nob29sLWFnZSBjaGlsZHJlbi4gUHJlbW9uaXRvcnkgdXJnZXMgKFBVcykgYXJlIHNlbnNvcnkgcGhlbm9tZW5hIHRoYXQgcHJlY2VkZSB0aWNzIGFuZCBhcmUgb2Z0ZW4gZGVzY3JpYmVkIGFzIHVucGxlYXNhbnQgZmVlbGluZ3MuIFJlY2VudCBldmlkZW5jZSBzdXBwb3J0cyBhIHJlbGF0aW9uc2hpcCBiZXR3ZWVuIFBVcyBhbmQgdGljIHNldmVyaXR5LCBidXQgcmVwb3J0cyBhcmUgY29uZmxpY3RpbmcuIEluIGFkZGl0aW9uLCB0aGVyZSBpcyBubyByZXBvcnQgb2YgUFVzIGluIHRoZSBDaGluZXNlIHBvcHVsYXRpb24uIE9CSkVDVElWRTogVG8gaW52ZXN0aWdhdGUgdGhlIGNvcnJlbGF0aW9uIGJldHdlZW4gUFVzIGFuZCB0aWMgc3ltcHRvbXMgaW4gdGhlIENoaW5lc2UgcG9wdWxhdGlvbiB3aXRoIHRpYyBkaXNvcmRlcnMuIE1FVEhPRFM6IFdlIHJlY3J1aXRlZCAyNTIgQ2hpbmVzZSBpbmRpdmlkdWFscyB3aXRoIGNocm9uaWMgdGljIGRpc29yZGVycyAoYWdlIDUtMTYgeWVhcnMpLiBUaGUgWWFsZSBHbG9iYWwgVGljIFNldmVyaXR5IFNjYWxlIChZR1RTUykgd2FzIHVzZWQgdG8gYXNzZXNzIHRpYyBzeW1wdG9tcywgYW5kIHRoZSBQcmVtb25pdG9yeSBVcmdlIGZvciBUaWNzIFNjYWxlIChQVVRTKSB3YXMgdXNlZCB0byBhc3Nlc3MgUFVzLiBXZSBjYWxjdWxhdGVkIFNwZWFybWFuIGNvcnJlbGF0aW9ucyBiZXR3ZWVuIFBVVFMgYW5kIFlHVFNTIHNjb3JlcywgYW5kIGNvbnN0cnVjdGVkIGEgbGluZWFyIHJlZ3Jlc3Npb24gbW9kZWwgdG8gcHJlZGljdCB0aGUgdGljIHN5bXB0b20gc2V2ZXJpdHkgYnkgUFVzLiBSRVNVTFRTOiBUaGVyZSB3YXMgYSBzaWduaWZpY2FudCBwb3NpdGl2ZSBjb3JyZWxhdGlvbiBiZXR3ZWVuIFBVIHNldmVyaXR5IChQVVRTIHNjb3JlcykgYW5kIG1vdG9yIHRpYyBzZXZlcml0eSwgdG90YWwgdGljIHNldmVyaXR5LCB0aWMtY2F1c2VkIGltcGFpcm1lbnQgKFlHVFNTIHNjb3JlcykgKFAgPCAwLjA1KS4gUFUgc2V2ZXJpdHkgd2FzIGEgc2lnbmlmaWNhbnQgcG9zaXRpdmUgcHJlZGljdG9yIG9mIHRpYyBzeW1wdG9tIHNldmVyaXR5IChzdGFuZGFyZGl6ZWQgYmV0YSBjb2VmZmljaWVudCA9IDAuMTc0LCB0ID0gMi43ODYsIFAgPSAwLjAwNikuIElOVEVSUFJFVEFUSU9OOiBXZSBwcm92aWRlIGV2aWRlbmNlIGZvciBhIGNvcnJlbGF0aW9uIGJldHdlZW4gUFVzIGFuZCB0aWMgc3ltcHRvbXMuIFBVIHNldmVyaXR5IHByZWRpY3RzIHRpYyBzeW1wdG9tIHNldmVyaXR5LiBGdXJ0aGVyIHJlc2VhcmNoIG9uIFBVcyBpcyBuZWVkZWQgdG8gY2xhcmlmeSB0aGUgc2hhcmVkIGJyYWluIG1lY2hhbmlzbSB3aXRoIHRpY3MsIGFuZCB0aGVpciByb2xlIGluIHRpYyBleHByZXNzaW9uLiBBIHN1aXRhYmxlIHRvb2wgdG8gYXNzZXNzIFBVcyBpbiB5b3VuZ2VyIGNoaWxkcmVuIGlzIGFsc28gbmVlZGVkLiIsImlzc3VlIjoiMiIsInZvbHVtZSI6IjQiLCJjb250YWluZXItdGl0bGUtc2hvcnQiOiIifSwiaXNUZW1wb3JhcnkiOmZhbHNlfV19&quot;,&quot;citationItems&quot;:[{&quot;id&quot;:&quot;609a5304-e096-391a-b884-195717d837d6&quot;,&quot;itemData&quot;:{&quot;type&quot;:&quot;article-journal&quot;,&quot;id&quot;:&quot;609a5304-e096-391a-b884-195717d837d6&quot;,&quot;title&quot;:&quot;Correlation between premonitory urges and tic symptoms in a Chinese population with tic disorders&quot;,&quot;groupId&quot;:&quot;07d62ac1-5aa8-39af-b49e-52d2088ac571&quot;,&quot;author&quot;:[{&quot;family&quot;:&quot;Gu&quot;,&quot;given&quot;:&quot;Y&quot;,&quot;parse-names&quot;:false,&quot;dropping-particle&quot;:&quot;&quot;,&quot;non-dropping-particle&quot;:&quot;&quot;},{&quot;family&quot;:&quot;Li&quot;,&quot;given&quot;:&quot;Y&quot;,&quot;parse-names&quot;:false,&quot;dropping-particle&quot;:&quot;&quot;,&quot;non-dropping-particle&quot;:&quot;&quot;},{&quot;family&quot;:&quot;Cui&quot;,&quot;given&quot;:&quot;Y&quot;,&quot;parse-names&quot;:false,&quot;dropping-particle&quot;:&quot;&quot;,&quot;non-dropping-particle&quot;:&quot;&quot;}],&quot;container-title&quot;:&quot;Pediatr Investig&quot;,&quot;DOI&quot;:&quot;10.1002/ped4.12189&quot;,&quot;PMID&quot;:&quot;32851350&quot;,&quot;URL&quot;:&quot;https://www.ncbi.nlm.nih.gov/pmc/articles/PMC7331428/pdf/PED4-4-86.pdf&quot;,&quot;issued&quot;:{&quot;date-parts&quot;:[[2020]]},&quot;page&quot;:&quot;86-90&quot;,&quot;abstract&quot;:&quot;IMPORTANCE: Tics usually start around 4-6 years old and affect about 1% of school-age children. Premonitory urges (PUs) are sensory phenomena that precede tics and are often described as unpleasant feelings. Recent evidence supports a relationship between PUs and tic severity, but reports are conflicting. In addition, there is no report of PUs in the Chinese population. OBJECTIVE: To investigate the correlation between PUs and tic symptoms in the Chinese population with tic disorders. METHODS: We recruited 252 Chinese individuals with chronic tic disorders (age 5-16 years). The Yale Global Tic Severity Scale (YGTSS) was used to assess tic symptoms, and the Premonitory Urge for Tics Scale (PUTS) was used to assess PUs. We calculated Spearman correlations between PUTS and YGTSS scores, and constructed a linear regression model to predict the tic symptom severity by PUs. RESULTS: There was a significant positive correlation between PU severity (PUTS scores) and motor tic severity, total tic severity, tic-caused impairment (YGTSS scores) (P &lt; 0.05). PU severity was a significant positive predictor of tic symptom severity (standardized beta coefficient = 0.174, t = 2.786, P = 0.006). INTERPRETATION: We provide evidence for a correlation between PUs and tic symptoms. PU severity predicts tic symptom severity. Further research on PUs is needed to clarify the shared brain mechanism with tics, and their role in tic expression. A suitable tool to assess PUs in younger children is also needed.&quot;,&quot;issue&quot;:&quot;2&quot;,&quot;volume&quot;:&quot;4&quot;,&quot;container-title-short&quot;:&quot;&quot;},&quot;isTemporary&quot;:false}]},{&quot;citationID&quot;:&quot;MENDELEY_CITATION_f7dedee7-e835-435d-8040-5feef04bd586&quot;,&quot;properties&quot;:{&quot;noteIndex&quot;:0},&quot;isEdited&quot;:false,&quot;manualOverride&quot;:{&quot;isManuallyOverridden&quot;:false,&quot;citeprocText&quot;:&quot;(18)&quot;,&quot;manualOverrideText&quot;:&quot;&quot;},&quot;citationTag&quot;:&quot;MENDELEY_CITATION_v3_eyJjaXRhdGlvbklEIjoiTUVOREVMRVlfQ0lUQVRJT05fZjdkZWRlZTctZTgzNS00MzVkLTgwNDAtNWZlZWYwNGJkNTg2IiwicHJvcGVydGllcyI6eyJub3RlSW5kZXgiOjB9LCJpc0VkaXRlZCI6ZmFsc2UsIm1hbnVhbE92ZXJyaWRlIjp7ImlzTWFudWFsbHlPdmVycmlkZGVuIjpmYWxzZSwiY2l0ZXByb2NUZXh0IjoiKDE4KSIsIm1hbnVhbE92ZXJyaWRlVGV4dCI6IiJ9LCJjaXRhdGlvbkl0ZW1zIjpbeyJpZCI6ImJkZjkyYTRmLWRmZjMtMzNiYS1hZjNmLWY2MmIxYjIxOTgxZiIsIml0ZW1EYXRhIjp7InR5cGUiOiJhcnRpY2xlLWpvdXJuYWwiLCJpZCI6ImJkZjkyYTRmLWRmZjMtMzNiYS1hZjNmLWY2MmIxYjIxOTgxZiIsInRpdGxlIjoiRGV2ZWxvcG1lbnQgb2YgdGhlIEtvcmVhbiBGb3JtIG9mIHRoZSBQcmVtb25pdG9yeSBVcmdlIGZvciBUaWNzIFNjYWxlOiBBIFJlbGlhYmlsaXR5IGFuZCBWYWxpZGl0eSBTdHVkeSIsImdyb3VwSWQiOiIwN2Q2MmFjMS01YWE4LTM5YWYtYjQ5ZS01MmQyMDg4YWM1NzEiLCJhdXRob3IiOlt7ImZhbWlseSI6IktpbSIsImdpdmVuIjoiTSIsInBhcnNlLW5hbWVzIjpmYWxzZSwiZHJvcHBpbmctcGFydGljbGUiOiIiLCJub24tZHJvcHBpbmctcGFydGljbGUiOiIifSx7ImZhbWlseSI6IkNodW5nIiwiZ2l2ZW4iOiJTIEsiLCJwYXJzZS1uYW1lcyI6ZmFsc2UsImRyb3BwaW5nLXBhcnRpY2xlIjoiIiwibm9uLWRyb3BwaW5nLXBhcnRpY2xlIjoiIn0seyJmYW1pbHkiOiJZYW5nIiwiZ2l2ZW4iOiJKIEMiLCJwYXJzZS1uYW1lcyI6ZmFsc2UsImRyb3BwaW5nLXBhcnRpY2xlIjoiIiwibm9uLWRyb3BwaW5nLXBhcnRpY2xlIjoiIn0seyJmYW1pbHkiOiJQYXJrIiwiZ2l2ZW4iOiJKIEkiLCJwYXJzZS1uYW1lcyI6ZmFsc2UsImRyb3BwaW5nLXBhcnRpY2xlIjoiIiwibm9uLWRyb3BwaW5nLXBhcnRpY2xlIjoiIn0seyJmYW1pbHkiOiJOYW0iLCJnaXZlbiI6IlMgSCIsInBhcnNlLW5hbWVzIjpmYWxzZSwiZHJvcHBpbmctcGFydGljbGUiOiIiLCJub24tZHJvcHBpbmctcGFydGljbGUiOiIifSx7ImZhbWlseSI6IlBhcmsiLCJnaXZlbiI6IlQgVyIsInBhcnNlLW5hbWVzIjpmYWxzZSwiZHJvcHBpbmctcGFydGljbGUiOiIiLCJub24tZHJvcHBpbmctcGFydGljbGUiOiIifV0sImNvbnRhaW5lci10aXRsZSI6IlNvYSBDaG9uZ3NvbnlvbiBDaG9uZ3NpbiBVaWhhayIsIkRPSSI6IjEwLjU3NjUvamthY2FwLjIwMDAxMyIsIlBNSUQiOiIzMjY2NTc1OCIsIlVSTCI6Imh0dHBzOi8vd3d3Lm5jYmkubmxtLm5paC5nb3YvcG1jL2FydGljbGVzL1BNQzczNTA1NDUvcGRmL0pLQUNBUC0zMS0xNDYucGRmIiwiaXNzdWVkIjp7ImRhdGUtcGFydHMiOltbMjAyMF1dfSwicGFnZSI6IjE0Ni0xNTMiLCJhYnN0cmFjdCI6Ik9CSkVDVElWRVM6IFRoaXMgc3R1ZHkgYWltZWQgdG8gZXZhbHVhdGUgdGhlIHJlbGlhYmlsaXR5IGFuZCB2YWxpZGl0eSBvZiB0aGUgS29yZWFuIEZvcm0gb2YgdGhlIFByZW1vbml0b3J5IFVyZ2UgZm9yIFRpY3MgU2NhbGUgKEstUFVUUykuIE1FVEhPRFM6IFRoaXJ0eS1laWdodCBwYXRpZW50cyB3aXRoIFRvdXJldHRlJ3MgZGlzb3JkZXIgd2hvIHZpc2l0ZWQgSmVvbmJ1ayBOYXRpb25hbCBVbml2ZXJzaXR5IEhvc3BpdGFsIHdlcmUgYXNzZXNzZWQgd2l0aCB0aGUgSy1QVVRTLiBUb2dldGhlciB3aXRoIHRoZSBQVVRTLCB0aGUgWWFsZSBHbG9iYWwgVGljIFNldmVyaXR5IFNjYWxlIChZR1RTUyksIHRoZSBDaGlsZHJlbidzIFlhbGUtQnJvd24gT2JzZXNzaXZlIENvbXB1bHNpdmUgU2NhbGUgKENZLUJPQ1MpLCB0aGUgYXR0ZW50aW9uLWRlZmljaXQvaHlwZXJhY3Rpdml0eSBkaXNvcmRlciAoQURIRCkgcmF0aW5nIHNjYWxlIChBUlMpLCBhbmQgdGhlIEFkdWx0IEFESEQgU2VsZi1SZXBvcnQgU2NhbGUgKEFTUlMpIHdlcmUgaW1wbGVtZW50ZWQgdG8gZXZhbHVhdGUgY29uY3VycmVudCBhbmQgZGlzY3JpbWluYW50IHZhbGlkaXR5LiBSRVNVTFRTOiBUaGUgaW50ZXJuYWwgY29uc2lzdGVuY3kgb2YgaXRlbXMgb24gdGhlIFBVVFMgd2FzIGhpZ2gsIHdpdGggYSBDcm9uYmFjaCdzIM6xIG9mIDAuNzkuIFRoZSB0ZXN0LXJldGVzdCByZWxpYWJpbGl0eSBvZiB0aGUgUFVUUywgd2hpY2ggd2FzIGFkbWluaXN0ZXJlZCBhdCAyIHdlZWtzIHRvIDIgbW9udGhzIGludGVydmFscywgc2hvd2VkIGhpZ2ggcmVsaWFiaWxpdHkgd2l0aCBhIFBlYXJzb24gY29ycmVsYXRpb24gY29lZmZpY2llbnQgb2YgMC42MC4gVGhlcmUgd2FzIGEgc2lnbmlmaWNhbnQgcG9zaXRpdmUgY29ycmVsYXRpb24gYmV0d2VlbiB0aGUgb3ZlcmFsbCBQVVRTIHNjb3JlIGFuZCB0aGUgWUdUU1Mgc2NvcmUsIHNob3dpbmcgY29uY3VycmVudCB2YWxpZGl0eS4gVGhlcmUgd2FzIG5vIGNvcnJlbGF0aW9uIGJldHdlZW4gdGhlIFBVVFMsIENZLUJPQ1MsIGFuZCBBU1JTIHNjb3JlcywgZGVtb25zdHJhdGluZyB0aGUgZGlzY3JpbWluYW50IHZhbGlkaXR5IG9mIHRoZSBQVVRTLiBGYWN0b3IgYW5hbHlzaXMgZm9yIGNvbnN0cnVjdCB2YWxpZGl0eSByZXZlYWxlZCB0aHJlZSBmYWN0b3JzOiBcInByZXN1bWVkIGZ1bmN0aW9uYWwgcmVsYXRpb25zaGlwIGJldHdlZW4gdGhlIHRpYyBhbmQgdGhlIHVyZ2UgdG8gdGljLFwiIFwidGhlIHF1YWxpdHkgb2YgdGhlIHByZW1vbml0b3J5IHVyZ2UsXCIgYW5kIFwianVzdCByaWdodCBwaGVub21lbmEuXCIgQ09OQ0xVU0lPTjogVGhlIHJlc3VsdHMgb2YgdGhpcyBzdHVkeSBpbmRpY2F0ZSB0aGF0IHRoZSBLLVBVVFMgaXMgYSByZWxpYWJsZSBhbmQgdmFsaWQgc2NhbGUgZm9yIHJhdGluZyBwcmVtb25pdG9yeSB1cmdlIG9mIHRpY3MuIiwiaXNzdWUiOiIzIiwidm9sdW1lIjoiMzEiLCJjb250YWluZXItdGl0bGUtc2hvcnQiOiIifSwiaXNUZW1wb3JhcnkiOmZhbHNlfV19&quot;,&quot;citationItems&quot;:[{&quot;id&quot;:&quot;bdf92a4f-dff3-33ba-af3f-f62b1b21981f&quot;,&quot;itemData&quot;:{&quot;type&quot;:&quot;article-journal&quot;,&quot;id&quot;:&quot;bdf92a4f-dff3-33ba-af3f-f62b1b21981f&quot;,&quot;title&quot;:&quot;Development of the Korean Form of the Premonitory Urge for Tics Scale: A Reliability and Validity Study&quot;,&quot;groupId&quot;:&quot;07d62ac1-5aa8-39af-b49e-52d2088ac571&quot;,&quot;author&quot;:[{&quot;family&quot;:&quot;Kim&quot;,&quot;given&quot;:&quot;M&quot;,&quot;parse-names&quot;:false,&quot;dropping-particle&quot;:&quot;&quot;,&quot;non-dropping-particle&quot;:&quot;&quot;},{&quot;family&quot;:&quot;Chung&quot;,&quot;given&quot;:&quot;S K&quot;,&quot;parse-names&quot;:false,&quot;dropping-particle&quot;:&quot;&quot;,&quot;non-dropping-particle&quot;:&quot;&quot;},{&quot;family&quot;:&quot;Yang&quot;,&quot;given&quot;:&quot;J C&quot;,&quot;parse-names&quot;:false,&quot;dropping-particle&quot;:&quot;&quot;,&quot;non-dropping-particle&quot;:&quot;&quot;},{&quot;family&quot;:&quot;Park&quot;,&quot;given&quot;:&quot;J I&quot;,&quot;parse-names&quot;:false,&quot;dropping-particle&quot;:&quot;&quot;,&quot;non-dropping-particle&quot;:&quot;&quot;},{&quot;family&quot;:&quot;Nam&quot;,&quot;given&quot;:&quot;S H&quot;,&quot;parse-names&quot;:false,&quot;dropping-particle&quot;:&quot;&quot;,&quot;non-dropping-particle&quot;:&quot;&quot;},{&quot;family&quot;:&quot;Park&quot;,&quot;given&quot;:&quot;T W&quot;,&quot;parse-names&quot;:false,&quot;dropping-particle&quot;:&quot;&quot;,&quot;non-dropping-particle&quot;:&quot;&quot;}],&quot;container-title&quot;:&quot;Soa Chongsonyon Chongsin Uihak&quot;,&quot;DOI&quot;:&quot;10.5765/jkacap.200013&quot;,&quot;PMID&quot;:&quot;32665758&quot;,&quot;URL&quot;:&quot;https://www.ncbi.nlm.nih.gov/pmc/articles/PMC7350545/pdf/JKACAP-31-146.pdf&quot;,&quot;issued&quot;:{&quot;date-parts&quot;:[[2020]]},&quot;page&quot;:&quot;146-153&quot;,&quot;abstract&quot;:&quot;OBJECTIVES: This study aimed to evaluate the reliability and validity of the Korean Form of the Premonitory Urge for Tics Scale (K-PUTS). METHODS: Thirty-eight patients with Tourette's disorder who visited Jeonbuk National University Hospital were assessed with the K-PUTS. Together with the PUTS, the Yale Global Tic Severity Scale (YGTSS), the Children's Yale-Brown Obsessive Compulsive Scale (CY-BOCS), the attention-deficit/hyperactivity disorder (ADHD) rating scale (ARS), and the Adult ADHD Self-Report Scale (ASRS) were implemented to evaluate concurrent and discriminant validity. RESULTS: The internal consistency of items on the PUTS was high, with a Cronbach's α of 0.79. The test-retest reliability of the PUTS, which was administered at 2 weeks to 2 months intervals, showed high reliability with a Pearson correlation coefficient of 0.60. There was a significant positive correlation between the overall PUTS score and the YGTSS score, showing concurrent validity. There was no correlation between the PUTS, CY-BOCS, and ASRS scores, demonstrating the discriminant validity of the PUTS. Factor analysis for construct validity revealed three factors: \&quot;presumed functional relationship between the tic and the urge to tic,\&quot; \&quot;the quality of the premonitory urge,\&quot; and \&quot;just right phenomena.\&quot; CONCLUSION: The results of this study indicate that the K-PUTS is a reliable and valid scale for rating premonitory urge of tics.&quot;,&quot;issue&quot;:&quot;3&quot;,&quot;volume&quot;:&quot;31&quot;,&quot;container-title-short&quot;:&quot;&quot;},&quot;isTemporary&quot;:false}]},{&quot;citationID&quot;:&quot;MENDELEY_CITATION_a2cae4bf-cbb9-4459-ac11-68d95d442505&quot;,&quot;properties&quot;:{&quot;noteIndex&quot;:0},&quot;isEdited&quot;:false,&quot;manualOverride&quot;:{&quot;isManuallyOverridden&quot;:false,&quot;citeprocText&quot;:&quot;(15)&quot;,&quot;manualOverrideText&quot;:&quot;&quot;},&quot;citationTag&quot;:&quot;MENDELEY_CITATION_v3_eyJjaXRhdGlvbklEIjoiTUVOREVMRVlfQ0lUQVRJT05fYTJjYWU0YmYtY2JiOS00NDU5LWFjMTEtNjhkOTVkNDQyNTA1IiwicHJvcGVydGllcyI6eyJub3RlSW5kZXgiOjB9LCJpc0VkaXRlZCI6ZmFsc2UsIm1hbnVhbE92ZXJyaWRlIjp7ImlzTWFudWFsbHlPdmVycmlkZGVuIjpmYWxzZSwiY2l0ZXByb2NUZXh0IjoiKDE1KSIsIm1hbnVhbE92ZXJyaWRlVGV4dCI6IiJ9LCJjaXRhdGlvbkl0ZW1zIjpbeyJpZCI6IjM2OWMxMGM3LTAxNzYtMzQyMS04MmJlLTg4YzAwMGQzMWIyYSIsIml0ZW1EYXRhIjp7InR5cGUiOiJhcnRpY2xlLWpvdXJuYWwiLCJpZCI6IjM2OWMxMGM3LTAxNzYtMzQyMS04MmJlLTg4YzAwMGQzMWIyYSIsInRpdGxlIjoiVGhlIHByZW1vbml0b3J5IHVyZ2UgdG8gdGljOiBtZWFzdXJlbWVudCwgY2hhcmFjdGVyaXN0aWNzLCBhbmQgY29ycmVsYXRlcyBpbiBvbGRlciBhZG9sZXNjZW50cyBhbmQgYWR1bHRzIiwiZ3JvdXBJZCI6IjA3ZDYyYWMxLTVhYTgtMzlhZi1iNDllLTUyZDIwODhhYzU3MSIsImF1dGhvciI6W3siZmFtaWx5IjoiUmVlc2UiLCJnaXZlbiI6IkggRSIsInBhcnNlLW5hbWVzIjpmYWxzZSwiZHJvcHBpbmctcGFydGljbGUiOiIiLCJub24tZHJvcHBpbmctcGFydGljbGUiOiIifSx7ImZhbWlseSI6IlNjYWhpbGwiLCJnaXZlbiI6IkwiLCJwYXJzZS1uYW1lcyI6ZmFsc2UsImRyb3BwaW5nLXBhcnRpY2xlIjoiIiwibm9uLWRyb3BwaW5nLXBhcnRpY2xlIjoiIn0seyJmYW1pbHkiOiJQZXRlcnNvbiIsImdpdmVuIjoiQSBMIiwicGFyc2UtbmFtZXMiOmZhbHNlLCJkcm9wcGluZy1wYXJ0aWNsZSI6IiIsIm5vbi1kcm9wcGluZy1wYXJ0aWNsZSI6IiJ9LHsiZmFtaWx5IjoiQ3Jvd2UiLCJnaXZlbiI6IksiLCJwYXJzZS1uYW1lcyI6ZmFsc2UsImRyb3BwaW5nLXBhcnRpY2xlIjoiIiwibm9uLWRyb3BwaW5nLXBhcnRpY2xlIjoiIn0seyJmYW1pbHkiOiJXb29kcyIsImdpdmVuIjoiRCBXIiwicGFyc2UtbmFtZXMiOmZhbHNlLCJkcm9wcGluZy1wYXJ0aWNsZSI6IiIsIm5vbi1kcm9wcGluZy1wYXJ0aWNsZSI6IiJ9LHsiZmFtaWx5IjoiUGlhY2VudGluaSIsImdpdmVuIjoiSiIsInBhcnNlLW5hbWVzIjpmYWxzZSwiZHJvcHBpbmctcGFydGljbGUiOiIiLCJub24tZHJvcHBpbmctcGFydGljbGUiOiIifSx7ImZhbWlseSI6IldhbGt1cCIsImdpdmVuIjoiSiBUIiwicGFyc2UtbmFtZXMiOmZhbHNlLCJkcm9wcGluZy1wYXJ0aWNsZSI6IiIsIm5vbi1kcm9wcGluZy1wYXJ0aWNsZSI6IiJ9LHsiZmFtaWx5IjoiV2lsaGVsbSIsImdpdmVuIjoiUyIsInBhcnNlLW5hbWVzIjpmYWxzZSwiZHJvcHBpbmctcGFydGljbGUiOiIiLCJub24tZHJvcHBpbmctcGFydGljbGUiOiIifV0sImNvbnRhaW5lci10aXRsZSI6IkJlaGF2IFRoZXIiLCJET0kiOiIxMC4xMDE2L2ouYmV0aC4yMDEzLjA5LjAwMiIsIlBNSUQiOiIyNDQ5MTE5MyIsImlzc3VlZCI6eyJkYXRlLXBhcnRzIjpbWzIwMTRdXX0sInBhZ2UiOiIxNzctMTg2IiwiYWJzdHJhY3QiOiJJbiBhZGRpdGlvbiB0byBtb3RvciBhbmQvb3Igdm9jYWwgdGljcywgbWFueSBpbmRpdmlkdWFscyB3aXRoIFRvdXJldHRlIHN5bmRyb21lIChUUykgb3IgY2hyb25pYyB0aWMgZGlzb3JkZXIgKENURCkgcmVwb3J0IGZyZXF1ZW50LCB1bmNvbWZvcnRhYmxlIHNlbnNvcnkgcGhlbm9tZW5hIHRoYXQgaW1tZWRpYXRlbHkgcHJlY2VkZSB0aGUgdGljcy4gVG8gZGF0ZSwgZXhhbWluYXRpb24gb2YgdGhlc2UgcHJlbW9uaXRvcnkgc2Vuc2F0aW9ucyBvciB1cmdlcyBoYXMgYmVlbiBsaW1pdGVkIGJ5IGluY29uc2lzdGVudCBhc3Nlc3NtZW50IHRvb2xzLiBJbiB0aGlzIHBhcGVyLCB3ZSBleGFtaW5lIHRoZSBwc3ljaG9tZXRyaWMgcHJvcGVydGllcyBvZiBhIG5pbmUtaXRlbSBzZWxmLXJlcG9ydCBtZWFzdXJlLCB0aGUgUHJlbW9uaXRvcnkgVXJnZSB0byBUaWMgU2NhbGUgKFBVVFMpIGFuZCBleGFtaW5lIHRoZSBjaGFyYWN0ZXJpc3RpY3MgYW5kIGNvcnJlbGF0ZXMgb2YgdGhlIHByZW1vbml0b3J5IHVyZ2UgdG8gdGljIGluIGEgY2xpbmljYWwgc2FtcGxlIG9mIDEyMiBvbGRlciBhZG9sZXNjZW50cyBhbmQgYWR1bHRzIHdpdGggVFMgb3IgQ1RELiBUaGUgUFVUUyBkZW1vbnN0cmF0ZWQgYWRlcXVhdGUgaW50ZXJuYWwgY29uc2lzdGVuY3ksIHRlbXBvcmFsIHN0YWJpbGl0eSwgYW5kIGNvbmN1cnJlbnQgdmFsaWRpdHkuIFByZW1vbml0b3J5IHVyZ2VzIHdlcmUgZW5kb3JzZWQgYnkgdGhlIG1ham9yaXR5IG9mIGluZGl2aWR1YWxzLiBNb3N0IGluZGl2aWR1YWxzIHJlcG9ydGVkIHNvbWUgcmVsaWVmIGZyb20gdGhlIHVyZ2VzIGFmdGVyIGNvbXBsZXRpbmcgYSB0aWMgYW5kIGJlaW5nIGFibGUgdG8gc3RvcCB0aGVpciB0aWNzIGV2ZW4gaWYgb25seSB0ZW1wb3JhcmlseS4gRGVncmVlIG9mIHByZW1vbml0b3J5IHVyZ2VzIHdhcyBub3Qgc2lnbmlmaWNhbnRseSBjb3JyZWxhdGVkIHdpdGggYWdlLCBhbmQgd2UgZGlkIG5vdCBvYnNlcnZlIGFueSBnZW5kZXIgZGlmZmVyZW5jZXMuIERlZ3JlZSBvZiBwcmVtb25pdG9yeSB1cmdlcyB3YXMgc2lnbmlmaWNhbnRseSBjb3JyZWxhdGVkIHdpdGggZXN0aW1hdGVkIElRIGFuZCB0aWMgc2V2ZXJpdHksIGJ1dCBub3Qgc2V2ZXJpdHkgb2YgY29tb3JiaWQgb2JzZXNzaXZlLWNvbXB1bHNpdmUgZGlzb3JkZXIgb3IgYXR0ZW50aW9uLWRlZmljaXQgaHlwZXJhY3Rpdml0eSBkaXNvcmRlci4gQWxzbywgaXQgd2FzIG5vdCByZWxhdGVkIHRvIGNvbmNvbWl0YW50IG1lZGljYXRpb24gc3RhdHVzLiBUaGVzZSBmaW5kaW5ncyByZXByZXNlbnQgYW5vdGhlciBzdGVwIGZvcndhcmQgaW4gb3VyIHVuZGVyc3RhbmRpbmcgb2YgdGhlIHByZW1vbml0b3J5IHNlbnNhdGlvbnMgYXNzb2NpYXRlZCB3aXRoIFRTIGFuZCBDVEQuIiwiaXNzdWUiOiIyIiwidm9sdW1lIjoiNDUiLCJjb250YWluZXItdGl0bGUtc2hvcnQiOiIifSwiaXNUZW1wb3JhcnkiOmZhbHNlfV19&quot;,&quot;citationItems&quot;:[{&quot;id&quot;:&quot;369c10c7-0176-3421-82be-88c000d31b2a&quot;,&quot;itemData&quot;:{&quot;type&quot;:&quot;article-journal&quot;,&quot;id&quot;:&quot;369c10c7-0176-3421-82be-88c000d31b2a&quot;,&quot;title&quot;:&quot;The premonitory urge to tic: measurement, characteristics, and correlates in older adolescents and adults&quot;,&quot;groupId&quot;:&quot;07d62ac1-5aa8-39af-b49e-52d2088ac571&quot;,&quot;author&quot;:[{&quot;family&quot;:&quot;Reese&quot;,&quot;given&quot;:&quot;H E&quot;,&quot;parse-names&quot;:false,&quot;dropping-particle&quot;:&quot;&quot;,&quot;non-dropping-particle&quot;:&quot;&quot;},{&quot;family&quot;:&quot;Scahill&quot;,&quot;given&quot;:&quot;L&quot;,&quot;parse-names&quot;:false,&quot;dropping-particle&quot;:&quot;&quot;,&quot;non-dropping-particle&quot;:&quot;&quot;},{&quot;family&quot;:&quot;Peterson&quot;,&quot;given&quot;:&quot;A L&quot;,&quot;parse-names&quot;:false,&quot;dropping-particle&quot;:&quot;&quot;,&quot;non-dropping-particle&quot;:&quot;&quot;},{&quot;family&quot;:&quot;Crowe&quot;,&quot;given&quot;:&quot;K&quot;,&quot;parse-names&quot;:false,&quot;dropping-particle&quot;:&quot;&quot;,&quot;non-dropping-particle&quot;:&quot;&quot;},{&quot;family&quot;:&quot;Woods&quot;,&quot;given&quot;:&quot;D W&quot;,&quot;parse-names&quot;:false,&quot;dropping-particle&quot;:&quot;&quot;,&quot;non-dropping-particle&quot;:&quot;&quot;},{&quot;family&quot;:&quot;Piacentini&quot;,&quot;given&quot;:&quot;J&quot;,&quot;parse-names&quot;:false,&quot;dropping-particle&quot;:&quot;&quot;,&quot;non-dropping-particle&quot;:&quot;&quot;},{&quot;family&quot;:&quot;Walkup&quot;,&quot;given&quot;:&quot;J T&quot;,&quot;parse-names&quot;:false,&quot;dropping-particle&quot;:&quot;&quot;,&quot;non-dropping-particle&quot;:&quot;&quot;},{&quot;family&quot;:&quot;Wilhelm&quot;,&quot;given&quot;:&quot;S&quot;,&quot;parse-names&quot;:false,&quot;dropping-particle&quot;:&quot;&quot;,&quot;non-dropping-particle&quot;:&quot;&quot;}],&quot;container-title&quot;:&quot;Behav Ther&quot;,&quot;DOI&quot;:&quot;10.1016/j.beth.2013.09.002&quot;,&quot;PMID&quot;:&quot;24491193&quot;,&quot;issued&quot;:{&quot;date-parts&quot;:[[2014]]},&quot;page&quot;:&quot;177-186&quot;,&quot;abstract&quot;:&quot;In addition to motor and/or vocal tics, many individuals with Tourette syndrome (TS) or chronic tic disorder (CTD) report frequent, uncomfortable sensory phenomena that immediately precede the tics. To date, examination of these premonitory sensations or urges has been limited by inconsistent assessment tools. In this paper, we examine the psychometric properties of a nine-item self-report measure, the Premonitory Urge to Tic Scale (PUTS) and examine the characteristics and correlates of the premonitory urge to tic in a clinical sample of 122 older adolescents and adults with TS or CTD. The PUTS demonstrated adequate internal consistency, temporal stability, and concurrent validity. Premonitory urges were endorsed by the majority of individuals. Most individuals reported some relief from the urges after completing a tic and being able to stop their tics even if only temporarily. Degree of premonitory urges was not significantly correlated with age, and we did not observe any gender differences. Degree of premonitory urges was significantly correlated with estimated IQ and tic severity, but not severity of comorbid obsessive-compulsive disorder or attention-deficit hyperactivity disorder. Also, it was not related to concomitant medication status. These findings represent another step forward in our understanding of the premonitory sensations associated with TS and CTD.&quot;,&quot;issue&quot;:&quot;2&quot;,&quot;volume&quot;:&quot;45&quot;,&quot;container-title-short&quot;:&quot;&quot;},&quot;isTemporary&quot;:false}]},{&quot;citationID&quot;:&quot;MENDELEY_CITATION_8552bf30-e555-48a4-b126-ea39f4f9035d&quot;,&quot;properties&quot;:{&quot;noteIndex&quot;:0},&quot;isEdited&quot;:false,&quot;manualOverride&quot;:{&quot;isManuallyOverridden&quot;:false,&quot;citeprocText&quot;:&quot;(38)&quot;,&quot;manualOverrideText&quot;:&quot;&quot;},&quot;citationTag&quot;:&quot;MENDELEY_CITATION_v3_eyJjaXRhdGlvbklEIjoiTUVOREVMRVlfQ0lUQVRJT05fODU1MmJmMzAtZTU1NS00OGE0LWIxMjYtZWEzOWY0ZjkwMzVkIiwicHJvcGVydGllcyI6eyJub3RlSW5kZXgiOjB9LCJpc0VkaXRlZCI6ZmFsc2UsIm1hbnVhbE92ZXJyaWRlIjp7ImlzTWFudWFsbHlPdmVycmlkZGVuIjpmYWxzZSwiY2l0ZXByb2NUZXh0IjoiKDM4KSIsIm1hbnVhbE92ZXJyaWRlVGV4dCI6IiJ9LCJjaXRhdGlvbkl0ZW1zIjpbeyJpZCI6IjczYzgwM2RkLWIzMDAtM2Q5Zi1hNzk4LWExNWVhZjc0NjBjNSIsIml0ZW1EYXRhIjp7InR5cGUiOiJhcnRpY2xlLWpvdXJuYWwiLCJpZCI6IjczYzgwM2RkLWIzMDAtM2Q5Zi1hNzk4LWExNWVhZjc0NjBjNSIsInRpdGxlIjoiVXJnZSBpbnRvbGVyYW5jZSBwcmVkaWN0cyB0aWMgc2V2ZXJpdHkgYW5kIGltcGFpcm1lbnQgYW1vbmcgYWR1bHRzIHdpdGggVG91cmV0dGUgc3luZHJvbWUgYW5kIGNocm9uaWMgdGljIGRpc29yZGVycyIsImdyb3VwSWQiOiIwN2Q2MmFjMS01YWE4LTM5YWYtYjQ5ZS01MmQyMDg4YWM1NzEiLCJhdXRob3IiOlt7ImZhbWlseSI6IlJhbXNleSIsImdpdmVuIjoiSyBBIiwicGFyc2UtbmFtZXMiOmZhbHNlLCJkcm9wcGluZy1wYXJ0aWNsZSI6IiIsIm5vbi1kcm9wcGluZy1wYXJ0aWNsZSI6IiJ9LHsiZmFtaWx5IjoiTmFkYWkiLCJnaXZlbiI6IkEgUyIsInBhcnNlLW5hbWVzIjpmYWxzZSwiZHJvcHBpbmctcGFydGljbGUiOiIiLCJub24tZHJvcHBpbmctcGFydGljbGUiOiJEZSJ9LHsiZmFtaWx5IjoiRXNwaWwiLCJnaXZlbiI6IkYgTSIsInBhcnNlLW5hbWVzIjpmYWxzZSwiZHJvcHBpbmctcGFydGljbGUiOiIiLCJub24tZHJvcHBpbmctcGFydGljbGUiOiIifSx7ImZhbWlseSI6IlJpY2tldHRzIiwiZ2l2ZW4iOiJFIiwicGFyc2UtbmFtZXMiOmZhbHNlLCJkcm9wcGluZy1wYXJ0aWNsZSI6IiIsIm5vbi1kcm9wcGluZy1wYXJ0aWNsZSI6IiJ9LHsiZmFtaWx5IjoiU3RpZWRlIiwiZ2l2ZW4iOiJKIFQiLCJwYXJzZS1uYW1lcyI6ZmFsc2UsImRyb3BwaW5nLXBhcnRpY2xlIjoiIiwibm9uLWRyb3BwaW5nLXBhcnRpY2xlIjoiIn0seyJmYW1pbHkiOiJTY2hpbGQiLCJnaXZlbiI6IkoiLCJwYXJzZS1uYW1lcyI6ZmFsc2UsImRyb3BwaW5nLXBhcnRpY2xlIjoiIiwibm9uLWRyb3BwaW5nLXBhcnRpY2xlIjoiIn0seyJmYW1pbHkiOiJTcGVjaHQiLCJnaXZlbiI6Ik0gVyIsInBhcnNlLW5hbWVzIjpmYWxzZSwiZHJvcHBpbmctcGFydGljbGUiOiIiLCJub24tZHJvcHBpbmctcGFydGljbGUiOiIifSx7ImZhbWlseSI6Ildvb2RzIiwiZ2l2ZW4iOiJEIFciLCJwYXJzZS1uYW1lcyI6ZmFsc2UsImRyb3BwaW5nLXBhcnRpY2xlIjoiIiwibm9uLWRyb3BwaW5nLXBhcnRpY2xlIjoiIn0seyJmYW1pbHkiOiJCZW5uZXQiLCJnaXZlbiI6IlMiLCJwYXJzZS1uYW1lcyI6ZmFsc2UsImRyb3BwaW5nLXBhcnRpY2xlIjoiIiwibm9uLWRyb3BwaW5nLXBhcnRpY2xlIjoiIn0seyJmYW1pbHkiOiJXYWxrdXAiLCJnaXZlbiI6IkogVCIsInBhcnNlLW5hbWVzIjpmYWxzZSwiZHJvcHBpbmctcGFydGljbGUiOiIiLCJub24tZHJvcHBpbmctcGFydGljbGUiOiIifSx7ImZhbWlseSI6IkNoYW5nIiwiZ2l2ZW4iOiJTIiwicGFyc2UtbmFtZXMiOmZhbHNlLCJkcm9wcGluZy1wYXJ0aWNsZSI6IiIsIm5vbi1kcm9wcGluZy1wYXJ0aWNsZSI6IiJ9LHsiZmFtaWx5IjoiUGlhY2VudGluaSIsImdpdmVuIjoiSiIsInBhcnNlLW5hbWVzIjpmYWxzZSwiZHJvcHBpbmctcGFydGljbGUiOiIiLCJub24tZHJvcHBpbmctcGFydGljbGUiOiIifSx7ImZhbWlseSI6Ik1jR3VpcmUiLCJnaXZlbiI6IkogRiIsInBhcnNlLW5hbWVzIjpmYWxzZSwiZHJvcHBpbmctcGFydGljbGUiOiIiLCJub24tZHJvcHBpbmctcGFydGljbGUiOiIifV0sImNvbnRhaW5lci10aXRsZSI6IkZyb250aWVycyBpbiBQc3ljaGlhdHJ5IiwiRE9JIjoiaHR0cHM6Ly9keC5kb2kub3JnLzEwLjMzODkvZnBzeXQuMjAyMi45Mjk0MTMiLCJVUkwiOiJodHRwOi8vd3d3LmZyb250aWVyc2luLm9yZy9Qc3ljaGlhdHJ5aHR0cDovL292aWRzcC5vdmlkLmNvbS9vdmlkd2ViLmNnaT9UPUpTJlBBR0U9cmVmZXJlbmNlJkQ9ZW1leGImTkVXUz1OJkFOPTIwMTg3NDk4MDMiLCJpc3N1ZWQiOnsiZGF0ZS1wYXJ0cyI6W1syMDIyXV19LCJwYWdlIjoiOTI5NDEzIiwiYWJzdHJhY3QiOiJCYWNrZ3JvdW5kOiBJbmRpdmlkdWFscyB3aXRoIFRvdXJldHRlIFN5bmRyb21lIGFuZCBQZXJzaXN0ZW50IFRpYyBEaXNvcmRlcnMgKGNvbGxlY3RpdmVseSBUUykgb2Z0ZW4gZXhwZXJpZW5jZSBwcmVtb25pdG9yeSB1cmdlcy1hdmVyc2l2ZSBwaHlzaWNhbCBzZW5zYXRpb25zIHRoYXQgcHJlY2VkZSB0aWNzIGFuZCBhcmUgdGVtcG9yYXJpbHkgcmVsaWV2ZWQgYnkgdGljIGV4cHJlc3Npb24uIFRoZSByZWxhdGlvbnNoaXAgYmV0d2VlbiB0aWNzIGFuZCBwcmVtb25pdG9yeSB1cmdlcyBwbGF5cyBhIGtleSByb2xlIGluIHRoZSBuZXVyb2JlaGF2aW9yYWwgdHJlYXRtZW50IG1vZGVsIG9mIFRTLCB3aGljaCB1bmRlcmxpZXMgZmlyc3QtbGluZSB0cmVhdG1lbnRzIHN1Y2ggYXMgdGhlIENvbXByZWhlbnNpdmUgQmVoYXZpb3JhbCBJbnRlcnZlbnRpb24gZm9yIFRpY3MgKENCSVQpLiBEZXNwaXRlIHRoZSBlZmZpY2FjeSBvZiBDQklUIGFuZCByZWxhdGVkIGJlaGF2aW9yYWwgdGhlcmFwaWVzLCBsZXNzIHRoYW4gNDAlIG9mIGFkdWx0cyB3aXRoIFRTIHJlc3BvbmQgdG8gdGhlc2UgdHJlYXRtZW50cy4gRnVydGhlciBleGFtaW5hdGlvbiBvZiB0aGUgcmVsYXRpb25zaGlwIGJldHdlZW4gcHJlbW9uaXRvcnkgdXJnZXMsIHRpYyBzZXZlcml0eSwgYW5kIHRpYyBpbXBhaXJtZW50IGNhbiBwcm92aWRlIG5ldyBpbnNpZ2h0cyBpbnRvIHRoZXJhcGV1dGljIHRhcmdldHMgdG8gb3B0aW1pemUgYmVoYXZpb3JhbCB0cmVhdG1lbnQgb3V0Y29tZXMuIFRoaXMgc3R1ZHkgZXhhbWluZWQgd2hldGhlciB1cmdlIGludG9sZXJhbmNlLWRpZmZpY3VsdHkgdG9sZXJhdGluZyBwcmVtb25pdG9yeSB1cmdlcy1wcmVkaWN0ZWQgdGljIHNldmVyaXR5IGFuZCB0aWMtcmVsYXRlZCBpbXBhaXJtZW50IGFtb25nIGFkdWx0cyB3aXRoIFRTLiBNZXRob2Qocyk6IFBhcnRpY2lwYW50cyB3ZXJlIDgwIGFkdWx0cyB3aXRoIFRTLiBBc3Nlc3NtZW50cyBjaGFyYWN0ZXJpemVkIHByZW1vbml0b3J5IHVyZ2UsIGRpc3RyZXNzIHRvbGVyYW5jZSwgdGljIHNldmVyaXR5LCBhbmQgdGljIGltcGFpcm1lbnQuIFdlIHVzZWQgc3RydWN0dXJhbCBlcXVhdGlvbiBtb2RlbGluZyAoU0VNKSB0byBleGFtaW5lIHRoZSBjb25zdHJ1Y3Qgb2YgdXJnZSBpbnRvbGVyYW5jZS1jb21wcmlzZWQgb2YgcHJlbW9uaXRvcnkgdXJnZSByYXRpbmdzIGFuZCBkaXN0cmVzcyB0b2xlcmFuY2UgcmF0aW5ncy4gV2UgZmlyc3QgZXZhbHVhdGVkIGEgbWVhc3VyZW1lbnQgbW9kZWwgb2YgdXJnZSBpbnRvbGVyYW5jZSB0aHJvdWdoIGJpZmFjdG9yIG1vZGVsaW5nLCBpbmNsdWRpbmcgdGVzdHMgb2YgdGhlIGluY3JlbWVudGFsIHZhbHVlIG9mIHN1YmZhY3RvcnMgdGhhdCByZWZsZWN0IHByZW1vbml0b3J5IHVyZ2Ugc2V2ZXJpdHkgYW5kIGRpc3RyZXNzIHRvbGVyYW5jZSB3aXRoaW4gdGhlIG1vZGVsLiBXZSB0aGVuIGV2YWx1YXRlZCBhIHN0cnVjdHVyYWwgbW9kZWwgd2hlcmUgd2UgcHJlZGljdGVkIGNsaW5pY2lhbi1yYXRlZCB0aWMgc2V2ZXJpdHkgYW5kIHRpYyBpbXBhaXJtZW50IGJ5IHRoZSBsYXRlbnQgdmFyaWFibGUgb2YgdXJnZSBpbnRvbGVyYW5jZSBlc3RhYmxpc2hlZCBpbiBvdXIgbWVhc3VyZW1lbnQgbW9kZWwuIFJlc3VsdChzKTogQW5hbHlzZXMgc3VwcG9ydGVkIGEgYmlmYWN0b3IgbWVhc3VyZW1lbnQgbW9kZWwgb2YgdXJnZSBpbnRvbGVyYW5jZSBhbW9uZyBhZHVsdHMgd2l0aCBUUy4gQ29uc2lzdGVudCB3aXRoIHRoZW9yZXRpY2FsIG1vZGVscywgaGlnaGVyIGxldmVscyBvZiB1cmdlIGludG9sZXJhbmNlIHByZWRpY3RlZCBncmVhdGVyIGxldmVscyBvZiBjbGluaWNpYW4tcmF0ZWQgdGljIHNldmVyaXR5IGFuZCB0aWMgaW1wYWlybWVudC4gQ29uY2x1c2lvbihzKTogVGhpcyBpbnZlc3RpZ2F0aW9uIHN1cHBvcnRzIHRoZSBjb25zdHJ1Y3Qgb2YgdXJnZSBpbnRvbGVyYW5jZSBhbW9uZyBhZHVsdHMgd2l0aCBUUyBhbmQgZGlzdGluZ3Vpc2hlcyBpdCBmcm9tIHN1YmNvbXBvbmVudHMgb2YgdXJnZSBzZXZlcml0eSBhbmQgZGlzdHJlc3MgdG9sZXJhbmNlLiBHaXZlbiBpdHMgcHJlZGljdGl2ZSByZWxhdGlvbnNoaXAgd2l0aCB0aWMgc2V2ZXJpdHkgYW5kIHRpYyBpbXBhaXJtZW50LCB1cmdlIGludG9sZXJhbmNlIHJlcHJlc2VudHMgYSBwcm9taXNpbmcgdHJlYXRtZW50IHRhcmdldCB0byBpbXByb3ZlIHRoZXJhcGV1dGljIG91dGNvbWVzIGluIGFkdWx0cyB3aXRoIFRTLkNvcHlyaWdodCDCqSAyMDIyIFJhbXNleSwgRGUgTmFkYWksIEVzcGlsLCBSaWNrZXR0cywgU3RpZWRlLCBTY2hpbGQsIFNwZWNodCwgV29vZHMsIEJlbm5ldCwgV2Fsa3VwLCBDaGFuZywgUGlhY2VudGluaSBhbmQgTWNHdWlyZS4iLCJ2b2x1bWUiOiIxMyIsImNvbnRhaW5lci10aXRsZS1zaG9ydCI6IkZyb250IFBzeWNoaWF0cnkifSwiaXNUZW1wb3JhcnkiOmZhbHNlfV19&quot;,&quot;citationItems&quot;:[{&quot;id&quot;:&quot;73c803dd-b300-3d9f-a798-a15eaf7460c5&quot;,&quot;itemData&quot;:{&quot;type&quot;:&quot;article-journal&quot;,&quot;id&quot;:&quot;73c803dd-b300-3d9f-a798-a15eaf7460c5&quot;,&quot;title&quot;:&quot;Urge intolerance predicts tic severity and impairment among adults with Tourette syndrome and chronic tic disorders&quot;,&quot;groupId&quot;:&quot;07d62ac1-5aa8-39af-b49e-52d2088ac571&quot;,&quot;author&quot;:[{&quot;family&quot;:&quot;Ramsey&quot;,&quot;given&quot;:&quot;K A&quot;,&quot;parse-names&quot;:false,&quot;dropping-particle&quot;:&quot;&quot;,&quot;non-dropping-particle&quot;:&quot;&quot;},{&quot;family&quot;:&quot;Nadai&quot;,&quot;given&quot;:&quot;A S&quot;,&quot;parse-names&quot;:false,&quot;dropping-particle&quot;:&quot;&quot;,&quot;non-dropping-particle&quot;:&quot;De&quot;},{&quot;family&quot;:&quot;Espil&quot;,&quot;given&quot;:&quot;F M&quot;,&quot;parse-names&quot;:false,&quot;dropping-particle&quot;:&quot;&quot;,&quot;non-dropping-particle&quot;:&quot;&quot;},{&quot;family&quot;:&quot;Ricketts&quot;,&quot;given&quot;:&quot;E&quot;,&quot;parse-names&quot;:false,&quot;dropping-particle&quot;:&quot;&quot;,&quot;non-dropping-particle&quot;:&quot;&quot;},{&quot;family&quot;:&quot;Stiede&quot;,&quot;given&quot;:&quot;J T&quot;,&quot;parse-names&quot;:false,&quot;dropping-particle&quot;:&quot;&quot;,&quot;non-dropping-particle&quot;:&quot;&quot;},{&quot;family&quot;:&quot;Schild&quot;,&quot;given&quot;:&quot;J&quot;,&quot;parse-names&quot;:false,&quot;dropping-particle&quot;:&quot;&quot;,&quot;non-dropping-particle&quot;:&quot;&quot;},{&quot;family&quot;:&quot;Specht&quot;,&quot;given&quot;:&quot;M W&quot;,&quot;parse-names&quot;:false,&quot;dropping-particle&quot;:&quot;&quot;,&quot;non-dropping-particle&quot;:&quot;&quot;},{&quot;family&quot;:&quot;Woods&quot;,&quot;given&quot;:&quot;D W&quot;,&quot;parse-names&quot;:false,&quot;dropping-particle&quot;:&quot;&quot;,&quot;non-dropping-particle&quot;:&quot;&quot;},{&quot;family&quot;:&quot;Bennet&quot;,&quot;given&quot;:&quot;S&quot;,&quot;parse-names&quot;:false,&quot;dropping-particle&quot;:&quot;&quot;,&quot;non-dropping-particle&quot;:&quot;&quot;},{&quot;family&quot;:&quot;Walkup&quot;,&quot;given&quot;:&quot;J T&quot;,&quot;parse-names&quot;:false,&quot;dropping-particle&quot;:&quot;&quot;,&quot;non-dropping-particle&quot;:&quot;&quot;},{&quot;family&quot;:&quot;Chang&quot;,&quot;given&quot;:&quot;S&quot;,&quot;parse-names&quot;:false,&quot;dropping-particle&quot;:&quot;&quot;,&quot;non-dropping-particle&quot;:&quot;&quot;},{&quot;family&quot;:&quot;Piacentini&quot;,&quot;given&quot;:&quot;J&quot;,&quot;parse-names&quot;:false,&quot;dropping-particle&quot;:&quot;&quot;,&quot;non-dropping-particle&quot;:&quot;&quot;},{&quot;family&quot;:&quot;McGuire&quot;,&quot;given&quot;:&quot;J F&quot;,&quot;parse-names&quot;:false,&quot;dropping-particle&quot;:&quot;&quot;,&quot;non-dropping-particle&quot;:&quot;&quot;}],&quot;container-title&quot;:&quot;Frontiers in Psychiatry&quot;,&quot;DOI&quot;:&quot;https://dx.doi.org/10.3389/fpsyt.2022.929413&quot;,&quot;URL&quot;:&quot;http://www.frontiersin.org/Psychiatryhttp://ovidsp.ovid.com/ovidweb.cgi?T=JS&amp;PAGE=reference&amp;D=emexb&amp;NEWS=N&amp;AN=2018749803&quot;,&quot;issued&quot;:{&quot;date-parts&quot;:[[2022]]},&quot;page&quot;:&quot;929413&quot;,&quot;abstract&quot;:&quot;Background: Individuals with Tourette Syndrome and Persistent Tic Disorders (collectively TS) often experience premonitory urges-aversive physical sensations that precede tics and are temporarily relieved by tic expression. The relationship between tics and premonitory urges plays a key role in the neurobehavioral treatment model of TS, which underlies first-line treatments such as the Comprehensive Behavioral Intervention for Tics (CBIT). Despite the efficacy of CBIT and related behavioral therapies, less than 40% of adults with TS respond to these treatments. Further examination of the relationship between premonitory urges, tic severity, and tic impairment can provide new insights into therapeutic targets to optimize behavioral treatment outcomes. This study examined whether urge intolerance-difficulty tolerating premonitory urges-predicted tic severity and tic-related impairment among adults with TS. Method(s): Participants were 80 adults with TS. Assessments characterized premonitory urge, distress tolerance, tic severity, and tic impairment. We used structural equation modeling (SEM) to examine the construct of urge intolerance-comprised of premonitory urge ratings and distress tolerance ratings. We first evaluated a measurement model of urge intolerance through bifactor modeling, including tests of the incremental value of subfactors that reflect premonitory urge severity and distress tolerance within the model. We then evaluated a structural model where we predicted clinician-rated tic severity and tic impairment by the latent variable of urge intolerance established in our measurement model. Result(s): Analyses supported a bifactor measurement model of urge intolerance among adults with TS. Consistent with theoretical models, higher levels of urge intolerance predicted greater levels of clinician-rated tic severity and tic impairment. Conclusion(s): This investigation supports the construct of urge intolerance among adults with TS and distinguishes it from subcomponents of urge severity and distress tolerance. Given its predictive relationship with tic severity and tic impairment, urge intolerance represents a promising treatment target to improve therapeutic outcomes in adults with TS.Copyright © 2022 Ramsey, De Nadai, Espil, Ricketts, Stiede, Schild, Specht, Woods, Bennet, Walkup, Chang, Piacentini and McGuire.&quot;,&quot;volume&quot;:&quot;13&quot;,&quot;container-title-short&quot;:&quot;Front Psychiatry&quot;},&quot;isTemporary&quot;:false}]},{&quot;citationID&quot;:&quot;MENDELEY_CITATION_9c26f4d5-6c84-49bf-9dc8-ab80e664a802&quot;,&quot;properties&quot;:{&quot;noteIndex&quot;:0},&quot;isEdited&quot;:false,&quot;manualOverride&quot;:{&quot;isManuallyOverridden&quot;:false,&quot;citeprocText&quot;:&quot;(39)&quot;,&quot;manualOverrideText&quot;:&quot;&quot;},&quot;citationTag&quot;:&quot;MENDELEY_CITATION_v3_eyJjaXRhdGlvbklEIjoiTUVOREVMRVlfQ0lUQVRJT05fOWMyNmY0ZDUtNmM4NC00OWJmLTlkYzgtYWI4MGU2NjRhODAyIiwicHJvcGVydGllcyI6eyJub3RlSW5kZXgiOjB9LCJpc0VkaXRlZCI6ZmFsc2UsIm1hbnVhbE92ZXJyaWRlIjp7ImlzTWFudWFsbHlPdmVycmlkZGVuIjpmYWxzZSwiY2l0ZXByb2NUZXh0IjoiKDM5KSIsIm1hbnVhbE92ZXJyaWRlVGV4dCI6IiJ9LCJjaXRhdGlvbkl0ZW1zIjpbeyJpZCI6IjkwNGI1ZjVjLTJkYTMtMzUyOS04M2Y2LTUwODg4ZjRhNWM1YiIsIml0ZW1EYXRhIjp7InR5cGUiOiJhcnRpY2xlLWpvdXJuYWwiLCJpZCI6IjkwNGI1ZjVjLTJkYTMtMzUyOS04M2Y2LTUwODg4ZjRhNWM1YiIsInRpdGxlIjoiRW52aXJvbm1lbnRhbCBmYWN0b3JzIGFzIHBvdGVudGlhbCBkZXRlcm1pbmFudHMgb2YgcHJlbW9uaXRvcnkgdXJnZSBzZXZlcml0eSBpbiB5b3V0aCB3aXRoIFRvdXJldHRlIHN5bmRyb21lIiwiZ3JvdXBJZCI6IjA3ZDYyYWMxLTVhYTgtMzlhZi1iNDllLTUyZDIwODhhYzU3MSIsImF1dGhvciI6W3siZmFtaWx5IjoiQ2FwcmlvdHRpIiwiZ2l2ZW4iOiJNIFIiLCJwYXJzZS1uYW1lcyI6ZmFsc2UsImRyb3BwaW5nLXBhcnRpY2xlIjoiIiwibm9uLWRyb3BwaW5nLXBhcnRpY2xlIjoiIn0seyJmYW1pbHkiOiJFc3BpbCIsImdpdmVuIjoiRiBNIiwicGFyc2UtbmFtZXMiOmZhbHNlLCJkcm9wcGluZy1wYXJ0aWNsZSI6IiIsIm5vbi1kcm9wcGluZy1wYXJ0aWNsZSI6IiJ9LHsiZmFtaWx5IjoiQ29uZWxlYSIsImdpdmVuIjoiQyBBIiwicGFyc2UtbmFtZXMiOmZhbHNlLCJkcm9wcGluZy1wYXJ0aWNsZSI6IiIsIm5vbi1kcm9wcGluZy1wYXJ0aWNsZSI6IiJ9LHsiZmFtaWx5IjoiV29vZHMiLCJnaXZlbiI6IkQgVyIsInBhcnNlLW5hbWVzIjpmYWxzZSwiZHJvcHBpbmctcGFydGljbGUiOiIiLCJub24tZHJvcHBpbmctcGFydGljbGUiOiIifV0sImNvbnRhaW5lci10aXRsZSI6IkpvdXJuYWwgb2YgT2JzZXNzaXZlLUNvbXB1bHNpdmUgYW5kIFJlbGF0ZWQgRGlzb3JkZXJzIiwiRE9JIjoiaHR0cHM6Ly9keC5kb2kub3JnLzEwLjEwMTYvai5qb2NyZC4yMDEyLjEwLjAwNCIsIlVSTCI6Imh0dHA6Ly93d3cuam91cm5hbHMuZWxzZXZpZXIuY29tL2pvdXJuYWwtb2Ytb2JzZXNzaXZlLWNvbXB1bHNpdmUtYW5kLXJlbGF0ZWQtZGlzb3JkZXJzaHR0cDovL292aWRzcC5vdmlkLmNvbS9vdmlkd2ViLmNnaT9UPUpTJlBBR0U9cmVmZXJlbmNlJkQ9ZW1lZDE0Jk5FV1M9TiZBTj0zNjgxMjQ5MDciLCJpc3N1ZWQiOnsiZGF0ZS1wYXJ0cyI6W1syMDEzXV19LCJwYWdlIjoiMzctNDIiLCJhYnN0cmFjdCI6IlRpY3MgYXNzb2NpYXRlZCB3aXRoIFRvdXJldHRlIHN5bmRyb21lIChUUykgYXJlIG9mdGVuIHByZWNlZGVkIGJ5IGF2ZXJzaXZlIHNvbWF0b3NlbnNvcnkgZXhwZXJpZW5jZXMga25vd24gYXMgcHJlbW9uaXRvcnkgdXJnZXMuIFRoZXNlIHVyZ2VzIGFyZSBoaWdobHkgcHJldmFsZW50IGFtb25nIGluZGl2aWR1YWxzIHdpdGggVFMgYW5kIGFwcGVhciB0byBwbGF5IGEga2V5IHJvbGUgaW4gdGljIGV4cHJlc3Npb24uIERlc3BpdGUgdGhlIGltcG9ydGFuY2Ugb2YgcHJlbW9uaXRvcnkgdXJnZXMsIHJlbGF0aXZlbHkgbGl0dGxlIGlzIGtub3duIGFib3V0IGVudmlyb25tZW50YWwgZmFjdG9ycyB0aGF0IG1heSBpbmZsdWVuY2UgdGhlaXIgc2V2ZXJpdHkuIFNvbWUgZGF0YSBzdWdnZXN0IHRoYXQgZXhwZXJpZW5jaW5nIGVudmlyb25tZW50YWwgY29uc2VxdWVuY2VzIGZvciB0aWNjaW5nIG1heSBpbmNyZWFzZSB0aGUgc2V2ZXJpdHkgb2YgcHJlbW9uaXRvcnkgdXJnZXMsIGFsdGhvdWdoIGV2aWRlbmNlIGZvciB0aGlzIGNsYWltIGlzIGxpbWl0ZWQuIFRoZSBwcmVzZW50IHN0dWR5IHRlc3RlZCB0aGlzIHBvc3NpYmlsaXR5IHVzaW5nIGRhdGEgZnJvbSBhbiBJbnRlcm5ldC1iYXNlZCBzdXJ2ZXkgb2YgMTE4IHlvdXRoIHdpdGggVFMgYW5kIHRoZWlyIHBhcmVudHMuIFJlc3VsdHMgaW5kaWNhdGVkIHRoYXQgdGljIHNldmVyaXR5IGFuZCB1cmdlIHNldmVyaXR5IHdlcmUgcG9zaXRpdmVseSBjb3JyZWxhdGVkIHdpdGggZWFjaCBvdGhlciBhbmQgd2l0aCBpdGVtcyBtZWFzdXJpbmcgdGljLXJlbGF0ZWQgaW1wYWN0LiBIaWVyYXJjaGljYWwgbGluZWFyIHJlZ3Jlc3Npb24gYW5hbHlzZXMgc2hvd2VkIHRoYXQgdGhlIHJlbGF0aW9uc2hpcCBiZXR3ZWVuIHVyZ2Ugc2V2ZXJpdHkgYW5kIHRpYy1yZWxhdGVkIGltcGFjdCBwZXJzaXN0ZWQgd2hlbiBhY2NvdW50aW5nIGZvciBjb21vcmJpZCBwc3ljaGlhdHJpYyBkaWFnbm9zZXMgYW5kIHRpYyBzZXZlcml0eS4gVGhlc2UgcmVzdWx0cyBhcmUgY29uc2lzdGVudCB3aXRoIGEgYmVoYXZpb3JhbCBtb2RlbCBvZiBUUyBhbmQgc3VnZ2VzdCB0aGF0IGV4cGVyaWVuY2luZyBhdmVyc2l2ZSBjb25zZXF1ZW5jZXMgZm9yIHRpY2NpbmcgbWF5IGluY3JlYXNlIHRoZSBzZXZlcml0eSBvZiBwcmVtb25pdG9yeSB1cmdlcy4gRnV0dXJlIHJlc2VhcmNoIHNob3VsZCBmdXJ0aGVyIGV4YW1pbmUgZmFjdG9ycyB0aGF0IGluZmx1ZW5jZSBwcmVtb25pdG9yeSB1cmdlcyBhbmQgbW9yZSBjb21wbGV0ZWx5IHRlc3QgdGhlIGJlaGF2aW9yYWwgbW9kZWwgb2YgVFMuIMKpIDIwMTIgRWxzZXZpZXIgTHRkLiIsImlzc3VlIjoiMSIsInZvbHVtZSI6IjIiLCJjb250YWluZXItdGl0bGUtc2hvcnQiOiJKIE9ic2Vzc2l2ZSBDb21wdWxzIFJlbGF0IERpc29yZCJ9LCJpc1RlbXBvcmFyeSI6ZmFsc2V9XX0=&quot;,&quot;citationItems&quot;:[{&quot;id&quot;:&quot;904b5f5c-2da3-3529-83f6-50888f4a5c5b&quot;,&quot;itemData&quot;:{&quot;type&quot;:&quot;article-journal&quot;,&quot;id&quot;:&quot;904b5f5c-2da3-3529-83f6-50888f4a5c5b&quot;,&quot;title&quot;:&quot;Environmental factors as potential determinants of premonitory urge severity in youth with Tourette syndrome&quot;,&quot;groupId&quot;:&quot;07d62ac1-5aa8-39af-b49e-52d2088ac571&quot;,&quot;author&quot;:[{&quot;family&quot;:&quot;Capriotti&quot;,&quot;given&quot;:&quot;M R&quot;,&quot;parse-names&quot;:false,&quot;dropping-particle&quot;:&quot;&quot;,&quot;non-dropping-particle&quot;:&quot;&quot;},{&quot;family&quot;:&quot;Espil&quot;,&quot;given&quot;:&quot;F M&quot;,&quot;parse-names&quot;:false,&quot;dropping-particle&quot;:&quot;&quot;,&quot;non-dropping-particle&quot;:&quot;&quot;},{&quot;family&quot;:&quot;Conelea&quot;,&quot;given&quot;:&quot;C A&quot;,&quot;parse-names&quot;:false,&quot;dropping-particle&quot;:&quot;&quot;,&quot;non-dropping-particle&quot;:&quot;&quot;},{&quot;family&quot;:&quot;Woods&quot;,&quot;given&quot;:&quot;D W&quot;,&quot;parse-names&quot;:false,&quot;dropping-particle&quot;:&quot;&quot;,&quot;non-dropping-particle&quot;:&quot;&quot;}],&quot;container-title&quot;:&quot;Journal of Obsessive-Compulsive and Related Disorders&quot;,&quot;DOI&quot;:&quot;https://dx.doi.org/10.1016/j.jocrd.2012.10.004&quot;,&quot;URL&quot;:&quot;http://www.journals.elsevier.com/journal-of-obsessive-compulsive-and-related-disordershttp://ovidsp.ovid.com/ovidweb.cgi?T=JS&amp;PAGE=reference&amp;D=emed14&amp;NEWS=N&amp;AN=368124907&quot;,&quot;issued&quot;:{&quot;date-parts&quot;:[[2013]]},&quot;page&quot;:&quot;37-42&quot;,&quot;abstract&quot;:&quot;Tics associated with Tourette syndrome (TS) are often preceded by aversive somatosensory experiences known as premonitory urges. These urges are highly prevalent among individuals with TS and appear to play a key role in tic expression. Despite the importance of premonitory urges, relatively little is known about environmental factors that may influence their severity. Some data suggest that experiencing environmental consequences for ticcing may increase the severity of premonitory urges, although evidence for this claim is limited. The present study tested this possibility using data from an Internet-based survey of 118 youth with TS and their parents. Results indicated that tic severity and urge severity were positively correlated with each other and with items measuring tic-related impact. Hierarchical linear regression analyses showed that the relationship between urge severity and tic-related impact persisted when accounting for comorbid psychiatric diagnoses and tic severity. These results are consistent with a behavioral model of TS and suggest that experiencing aversive consequences for ticcing may increase the severity of premonitory urges. Future research should further examine factors that influence premonitory urges and more completely test the behavioral model of TS. © 2012 Elsevier Ltd.&quot;,&quot;issue&quot;:&quot;1&quot;,&quot;volume&quot;:&quot;2&quot;,&quot;container-title-short&quot;:&quot;J Obsessive Compuls Relat Disord&quot;},&quot;isTemporary&quot;:false}]},{&quot;citationID&quot;:&quot;MENDELEY_CITATION_c7b9c945-b37f-4eeb-8830-25ce8de17362&quot;,&quot;properties&quot;:{&quot;noteIndex&quot;:0},&quot;isEdited&quot;:false,&quot;manualOverride&quot;:{&quot;isManuallyOverridden&quot;:false,&quot;citeprocText&quot;:&quot;(40)&quot;,&quot;manualOverrideText&quot;:&quot;&quot;},&quot;citationTag&quot;:&quot;MENDELEY_CITATION_v3_eyJjaXRhdGlvbklEIjoiTUVOREVMRVlfQ0lUQVRJT05fYzdiOWM5NDUtYjM3Zi00ZWViLTg4MzAtMjVjZThkZTE3MzYyIiwicHJvcGVydGllcyI6eyJub3RlSW5kZXgiOjB9LCJpc0VkaXRlZCI6ZmFsc2UsIm1hbnVhbE92ZXJyaWRlIjp7ImlzTWFudWFsbHlPdmVycmlkZGVuIjpmYWxzZSwiY2l0ZXByb2NUZXh0IjoiKDQwKSIsIm1hbnVhbE92ZXJyaWRlVGV4dCI6IiJ9LCJjaXRhdGlvbkl0ZW1zIjpbeyJpZCI6IjliMzhmZmQ3LTc1NjAtMzcwNS1hOWY0LTUyOWNiYWI2NTQ2ZiIsIml0ZW1EYXRhIjp7InR5cGUiOiJhcnRpY2xlLWpvdXJuYWwiLCJpZCI6IjliMzhmZmQ3LTc1NjAtMzcwNS1hOWY0LTUyOWNiYWI2NTQ2ZiIsInRpdGxlIjoiTm9uLWp1c3QtcmlnaHQgZXhwZXJpZW5jZXMgYXJlIG1vcmUgY2xvc2VseSByZWxhdGVkIHRvIE9DRCB0aGFuIHRpY3MgaW4gVG91cmV0dGUgcGF0aWVudHMiLCJncm91cElkIjoiMDdkNjJhYzEtNWFhOC0zOWFmLWI0OWUtNTJkMjA4OGFjNTcxIiwiYXV0aG9yIjpbeyJmYW1pbHkiOiJCcmFuZHQiLCJnaXZlbiI6IlYiLCJwYXJzZS1uYW1lcyI6ZmFsc2UsImRyb3BwaW5nLXBhcnRpY2xlIjoiIiwibm9uLWRyb3BwaW5nLXBhcnRpY2xlIjoiIn0seyJmYW1pbHkiOiJPdHRlIiwiZ2l2ZW4iOiJKIEgiLCJwYXJzZS1uYW1lcyI6ZmFsc2UsImRyb3BwaW5nLXBhcnRpY2xlIjoiIiwibm9uLWRyb3BwaW5nLXBhcnRpY2xlIjoiIn0seyJmYW1pbHkiOiJGcmVtZXIiLCJnaXZlbiI6IkMiLCJwYXJzZS1uYW1lcyI6ZmFsc2UsImRyb3BwaW5nLXBhcnRpY2xlIjoiIiwibm9uLWRyb3BwaW5nLXBhcnRpY2xlIjoiIn0seyJmYW1pbHkiOiJKYWt1Ym92c2tpIiwiZ2l2ZW4iOiJFIiwicGFyc2UtbmFtZXMiOmZhbHNlLCJkcm9wcGluZy1wYXJ0aWNsZSI6IiIsIm5vbi1kcm9wcGluZy1wYXJ0aWNsZSI6IiJ9LHsiZmFtaWx5IjoiTcO8bGxlci1WYWhsIiwiZ2l2ZW4iOiJLIiwicGFyc2UtbmFtZXMiOmZhbHNlLCJkcm9wcGluZy1wYXJ0aWNsZSI6IiIsIm5vbi1kcm9wcGluZy1wYXJ0aWNsZSI6IiJ9XSwiY29udGFpbmVyLXRpdGxlIjoiU2NpIFJlcCIsIkRPSSI6IjEwLjEwMzgvczQxNTk4LTAyMy0zNzY1OC0wIiwiUE1JRCI6IjM3OTQ5OTMzIiwiaXNzdWVkIjp7ImRhdGUtcGFydHMiOltbMjAyM11dfSwicGFnZSI6IjE5NjI3IiwiYWJzdHJhY3QiOiJDb21wbGV4IHRpY3MgYW5kIG9ic2Vzc2l2ZSBvciBjb21wdWxzaXZlIGJlaGF2aW91ciBjYW4gYmUgZGlmZmljdWx0IHRvIGRpZmZlcmVudGlhdGUgZGlhZ25vc3RpY2FsbHkuIFRoZSBtYWpvcml0eSBvZiBhZHVsdCBwYXRpZW50cyB3aXRoIFRvdXJldHRlIHN5bmRyb21lIHJlcG9ydCBleHBlcmllbmNpbmcgcHJlbW9uaXRvcnkgdXJnZXMgYmVmb3JlIHRpY3MuIFNvbWUgb2YgdGhlc2UgZXhwZXJpZW5jZXMgaGF2ZSBiZWVuIGxpbmtlZCB0byBub24tanVzdC1yaWdodCBleHBlcmllbmNlcyAoTkpSRSksIHdoaWNoIGFyZSBmcmVxdWVudGx5IHJlcG9ydGVkIGJ5IHBhdGllbnRzIHdpdGggb2JzZXNzaXZlLWNvbXB1bHNpdmUgZGlzb3JkZXIgb3IgYmVoYXZpb3VycyAoT0NEL09DQikuIFdlIGFpbWVkIHRvIGFzc2VzcyB3aGV0aGVyIE5KUkUgYXJlIG1vcmUgY2xvc2VseSByZWxhdGVkIHRvIHRpY3MgYW5kIHRpYy1hc3NvY2lhdGVkIHByZW1vbml0b3J5IHVyZ2VzIG9yIHdoZXRoZXIgdGhleSBhcmUgbW9yZSBjbG9zZWx5IGFzc29jaWF0ZWQgd2l0aCBPQ0QuIEEgdG90YWwgb2YgTuKAiT3igIkxMTEgcGF0aWVudHMgKG1lYW4gYWdl4oCJPeKAiTM0Ljc34oCJK+KAiS8tMTIuOTM7IE7igIk94oCJMzcgZmVtYWxlKSB3aXRoIGEgY29uZmlybWVkIGRpYWdub3NpcyBvZiBUb3VyZXR0ZSBzeW5kcm9tZSBjb21wbGV0ZWQgdGhlIHByZW1vbml0b3J5IHVyZ2VzIGZvciB0aWMgZGlzb3JkZXJzIHNjYWxlIChQVVRTKSwgdGhlIHJldmlzZWQgbm9uLWp1c3QtcmlnaHQgZXhwZXJpZW5jZXMgc2NhbGUgKE5KUkUtUVIpLCBhbmQgcXVlc3Rpb25uYWlyZXMgcmVnYXJkaW5nIHRoZWlyIHRpYyBzZXZlcml0eSwgYW5kIGNvbW9yYmlkIE9DRC9PQ0IuIEEgbXVsdGktdHJhaXQtbXVsdGktbWV0aG9kcyBtYXRyaXggd2FzIGNhbGN1bGF0ZWQgdG8gZXhhbWluZSBhc3NvY2lhdGlvbnMgYW1vbmdzdCBzY2FsZXMgbWVhc3VyaW5nIHRpYy1yZWxhdGVkIGFuZCBPQ0ItcmVsYXRlZCBwaGVub21lbmEuIFRoZSBQVVRTIGNvcnJlbGF0ZWQgb3ZlcmFsbCBoaWdoZXIgd2l0aCB0aWMgcXVlc3Rpb25uYWlyZXMgdGhhbiB3aXRoIE9DRC9PQ0IgcXVlc3Rpb25uYWlyZXMuIFRoZSBOSlJFIGNvcnJlbGF0ZWQgaGlnaGVyIHdpdGggT0NEIHN5bXB0b21zIHRoYW4gd2l0aCB0aWMgc2V2ZXJpdHkuIFRoZSByZXN1bHRzIGluZGljYXRlIHRoYXQgbm9uLWp1c3QtcmlnaHQgZXhwZXJpZW5jZXMgYXJlIG1vcmUgY2xvc2VseSBhc3NvY2lhdGVkIHdpdGggY29tb3JiaWQgT0NCIHRoYW4gd2l0aCB0aWNzIGluIHBhdGllbnRzIHdpdGggVG91cmV0dGUgc3luZHJvbWUuIiwiaXNzdWUiOiIxIiwidm9sdW1lIjoiMTMiLCJjb250YWluZXItdGl0bGUtc2hvcnQiOiIifSwiaXNUZW1wb3JhcnkiOmZhbHNlfV19&quot;,&quot;citationItems&quot;:[{&quot;id&quot;:&quot;9b38ffd7-7560-3705-a9f4-529cbab6546f&quot;,&quot;itemData&quot;:{&quot;type&quot;:&quot;article-journal&quot;,&quot;id&quot;:&quot;9b38ffd7-7560-3705-a9f4-529cbab6546f&quot;,&quot;title&quot;:&quot;Non-just-right experiences are more closely related to OCD than tics in Tourette patients&quot;,&quot;groupId&quot;:&quot;07d62ac1-5aa8-39af-b49e-52d2088ac571&quot;,&quot;author&quot;:[{&quot;family&quot;:&quot;Brandt&quot;,&quot;given&quot;:&quot;V&quot;,&quot;parse-names&quot;:false,&quot;dropping-particle&quot;:&quot;&quot;,&quot;non-dropping-particle&quot;:&quot;&quot;},{&quot;family&quot;:&quot;Otte&quot;,&quot;given&quot;:&quot;J H&quot;,&quot;parse-names&quot;:false,&quot;dropping-particle&quot;:&quot;&quot;,&quot;non-dropping-particle&quot;:&quot;&quot;},{&quot;family&quot;:&quot;Fremer&quot;,&quot;given&quot;:&quot;C&quot;,&quot;parse-names&quot;:false,&quot;dropping-particle&quot;:&quot;&quot;,&quot;non-dropping-particle&quot;:&quot;&quot;},{&quot;family&quot;:&quot;Jakubovski&quot;,&quot;given&quot;:&quot;E&quot;,&quot;parse-names&quot;:false,&quot;dropping-particle&quot;:&quot;&quot;,&quot;non-dropping-particle&quot;:&quot;&quot;},{&quot;family&quot;:&quot;Müller-Vahl&quot;,&quot;given&quot;:&quot;K&quot;,&quot;parse-names&quot;:false,&quot;dropping-particle&quot;:&quot;&quot;,&quot;non-dropping-particle&quot;:&quot;&quot;}],&quot;container-title&quot;:&quot;Sci Rep&quot;,&quot;DOI&quot;:&quot;10.1038/s41598-023-37658-0&quot;,&quot;PMID&quot;:&quot;37949933&quot;,&quot;issued&quot;:{&quot;date-parts&quot;:[[2023]]},&quot;page&quot;:&quot;19627&quot;,&quot;abstract&quot;:&quot;Complex tics and obsessive or compulsive behaviour can be difficult to differentiate diagnostically. The majority of adult patients with Tourette syndrome report experiencing premonitory urges before tics. Some of these experiences have been linked to non-just-right experiences (NJRE), which are frequently reported by patients with obsessive-compulsive disorder or behaviours (OCD/OCB). We aimed to assess whether NJRE are more closely related to tics and tic-associated premonitory urges or whether they are more closely associated with OCD. A total of N = 111 patients (mean age = 34.77 + /-12.93; N = 37 female) with a confirmed diagnosis of Tourette syndrome completed the premonitory urges for tic disorders scale (PUTS), the revised non-just-right experiences scale (NJRE-QR), and questionnaires regarding their tic severity, and comorbid OCD/OCB. A multi-trait-multi-methods matrix was calculated to examine associations amongst scales measuring tic-related and OCB-related phenomena. The PUTS correlated overall higher with tic questionnaires than with OCD/OCB questionnaires. The NJRE correlated higher with OCD symptoms than with tic severity. The results indicate that non-just-right experiences are more closely associated with comorbid OCB than with tics in patients with Tourette syndrome.&quot;,&quot;issue&quot;:&quot;1&quot;,&quot;volume&quot;:&quot;13&quot;,&quot;container-title-short&quot;:&quot;&quot;},&quot;isTemporary&quot;:false}]},{&quot;citationID&quot;:&quot;MENDELEY_CITATION_8d58bbc6-7330-4bf4-920c-98534d95420d&quot;,&quot;properties&quot;:{&quot;noteIndex&quot;:0},&quot;isEdited&quot;:false,&quot;manualOverride&quot;:{&quot;isManuallyOverridden&quot;:false,&quot;citeprocText&quot;:&quot;(2)&quot;,&quot;manualOverrideText&quot;:&quot;&quot;},&quot;citationTag&quot;:&quot;MENDELEY_CITATION_v3_eyJjaXRhdGlvbklEIjoiTUVOREVMRVlfQ0lUQVRJT05fOGQ1OGJiYzYtNzMzMC00YmY0LTkyMGMtOTg1MzRkOTU0MjBkIiwicHJvcGVydGllcyI6eyJub3RlSW5kZXgiOjB9LCJpc0VkaXRlZCI6ZmFsc2UsIm1hbnVhbE92ZXJyaWRlIjp7ImlzTWFudWFsbHlPdmVycmlkZGVuIjpmYWxzZSwiY2l0ZXByb2NUZXh0IjoiKDIpIiwibWFudWFsT3ZlcnJpZGVUZXh0IjoiIn0sImNpdGF0aW9uSXRlbXMiOlt7ImlkIjoiNjcyM2VkNzQtMGQ1Ny0zYTZhLWIwMzEtODVkN2Y4N2Q5NTVmIiwiaXRlbURhdGEiOnsidHlwZSI6ImFydGljbGUtam91cm5hbCIsImlkIjoiNjcyM2VkNzQtMGQ1Ny0zYTZhLWIwMzEtODVkN2Y4N2Q5NTVmIiwidGl0bGUiOiJQcmVtb25pdG9yeSBVcmdlIGZvciBUaWNzIFNjYWxlIChQVVRTKTogaW5pdGlhbCBwc3ljaG9tZXRyaWMgcmVzdWx0cyBhbmQgZXhhbWluYXRpb24gb2YgdGhlIHByZW1vbml0b3J5IHVyZ2UgcGhlbm9tZW5vbiBpbiB5b3V0aHMgd2l0aCBUaWMgZGlzb3JkZXJzIiwiZ3JvdXBJZCI6IjA3ZDYyYWMxLTVhYTgtMzlhZi1iNDllLTUyZDIwODhhYzU3MSIsImF1dGhvciI6W3siZmFtaWx5IjoiV29vZHMiLCJnaXZlbiI6IkQgVyIsInBhcnNlLW5hbWVzIjpmYWxzZSwiZHJvcHBpbmctcGFydGljbGUiOiIiLCJub24tZHJvcHBpbmctcGFydGljbGUiOiIifSx7ImZhbWlseSI6IlBpYWNlbnRpbmkiLCJnaXZlbiI6IkoiLCJwYXJzZS1uYW1lcyI6ZmFsc2UsImRyb3BwaW5nLXBhcnRpY2xlIjoiIiwibm9uLWRyb3BwaW5nLXBhcnRpY2xlIjoiIn0seyJmYW1pbHkiOiJIaW1sZSIsImdpdmVuIjoiTSBCIiwicGFyc2UtbmFtZXMiOmZhbHNlLCJkcm9wcGluZy1wYXJ0aWNsZSI6IiIsIm5vbi1kcm9wcGluZy1wYXJ0aWNsZSI6IiJ9LHsiZmFtaWx5IjoiQ2hhbmciLCJnaXZlbiI6IlMiLCJwYXJzZS1uYW1lcyI6ZmFsc2UsImRyb3BwaW5nLXBhcnRpY2xlIjoiIiwibm9uLWRyb3BwaW5nLXBhcnRpY2xlIjoiIn1dLCJjb250YWluZXItdGl0bGUiOiJKIERldiBCZWhhdiBQZWRpYXRyIiwiRE9JIjoiMTAuMTA5Ny8wMDAwNDcwMy0yMDA1MTIwMDAtMDAwMDEiLCJQTUlEIjoiMTYzNDQ2NTQiLCJpc3N1ZWQiOnsiZGF0ZS1wYXJ0cyI6W1syMDA1XV19LCJwYWdlIjoiMzk3LTQwMyIsImFic3RyYWN0IjoiQWx0aG91Z2ggbW90b3IgdGljcyBhbmQvb3Igdm9jYWwgdGljcyBhcmUgdGhlIGRlZmluaW5nIGZlYXR1cmVzIG9mIGNocm9uaWMgdGljIGRpc29yZGVyIChDVEQpIGFuZCBUb3VyZXR0ZSBzeW5kcm9tZSAoVFMpLCBvbGRlciB5b3V0aHMgYW5kIGFkdWx0cyBvZnRlbiByZXBvcnQgdGhlaXIgdGljcyB0byBiZSBwcmVjZWRlZCBieSBhbiB1bnBsZWFzYW50IHNlbnNhdGlvbiBvciBcInByZW1vbml0b3J5IHVyZ2UuXCIgV2hpbGUgcHJlbW9uaXRvcnkgdXJnZSBwaGVub21lbmEgbWF5IHBsYXkgYW4gaW1wb3J0YW50IHJvbGUgaW4gYmVoYXZpb3JhbCBpbnRlcnZlbnRpb25zIGZvciBDVEQvVFMsIHN0YW5kYXJkaXplZCBhc3Nlc3NtZW50cyBmb3IgcHJlbW9uaXRvcnkgdXJnZXMgZG8gbm90IGV4aXN0LiBUaGUgY3VycmVudCBzdHVkeSBvZiA0MiB5b3V0aHMgd2l0aCBUUyBvciBDVEQgcHJlc2VudHMgaW5pdGlhbCBwc3ljaG9tZXRyaWMgZGF0YSBmb3IgYSBuZXcsIGJyaWVmIHNlbGYtcmVwb3J0IHNjYWxlIGRlc2lnbmVkIHRvIG1lYXN1cmUgdGljLXJlbGF0ZWQgcHJlbW9uaXRvcnkgdXJnZXMuIFJlc3VsdHMgc2hvd2VkIHRoYXQgdGhlIFByZW1vbml0b3J5IFVyZ2UgZm9yIFRpY3MgU2NhbGUgKFBVVFMpIHdhcyBpbnRlcm5hbGx5IGNvbnNpc3RlbnQgKGFscGhhID0gLjgxKSBhbmQgdGVtcG9yYWxseSBzdGFibGUgYXQgMSAociA9IDAuNzksIHAgPCAuMDEpIGFuZCAyIChyID0gMC44NiwgcCA8IC4wMSkgd2Vla3MuIFBVVFMgc2NvcmVzIHdlcmUgYWxzbyBjb3JyZWxhdGVkIHdpdGggb3ZlcmFsbCB0aWMgc2V2ZXJpdHkgYXMgbWVhc3VyZWQgYnkgdGhlIFlhbGUgR2xvYmFsIFRpYyBTZXZlcml0eSBTY2FsZSAoWUdUU1M7IHIgPSAwLjMxLCBwIDwgLjA1KSBhbmQgdGhlIFlHVFNTIG51bWJlciAociA9IDAuMzUsIHAgPCAuMDUpLCBjb21wbGV4aXR5IChyID0gMC40OSwgcCA8IC4wMSksIGFuZCBpbnRlcmZlcmVuY2UgKHIgPSAwLjM2LCBwIDwgLjA1KSBzdWJzY2FsZXMuIEZpbmFsbHksIGFuIGV4YW1pbmF0aW9uIG9mIHRoZSBwc3ljaGlhdHJpYyBjb3JyZWxhdGVzIG9mIHRoZSBwcmVtb25pdG9yeSB1cmdlIHBoZW5vbWVub24geWllbGRlZCBzaWduaWZpY2FudCBjb3JyZWxhdGlvbnMgYmV0d2VlbiB0aGUgUFVUUyBhbmQgdGhlIENoaWxkIEJlaGF2aW9yIENoZWNrbGlzdCAoQ0JDTCkgYW54aWV0eS9kZXByZXNzaW9uIChyID0gMC4zMywgcCA8IC4wNSksIGFuZCB3aXRoZHJhd2FsIChyID0gMC4zOCwgcCA8IC4wNSkgc3Vic2NhbGVzIGFzIHdlbGwgYXMgdGhlIENoaWxkcmVuJ3MgWWFsZS1Ccm93biBPYnNlc3NpdmUgQ29tcHVsc2l2ZSBTY2FsZSAoQ1lCT0NTOyByID0gMC4zMSwgcCA8IC4wNSkuIEhvd2V2ZXIsIGEgY3Jvc3Mtc2VjdGlvbmFsIGV4YW1pbmF0aW9uIG9mIHRoZSBkYXRhIHNob3dlZCB0aGF0IHRoZSBwc3ljaG9tZXRyaWMgcHJvcGVydGllcyBvZiB0aGUgUFVUUyB3ZXJlIG5vdCBhY2NlcHRhYmxlIGZvciB5b3V0aHMgMTAgeWVhcnMgb2YgYWdlIGFuZCB5b3VuZ2VyLiBMaWtld2lzZSwgc2lnbmlmaWNhbnQgY29ycmVsYXRpb25zIGZvdW5kIGJldHdlZW4gdGhlIFlHVFNTIHN1YnNjYWxlcywgQ0JDTCBzdWJzY2FsZXMsIENZQk9DUywgYW5kIHRoZSBQVVRTIGRpZCBub3QgZW1lcmdlIGluIHRoaXMgeW91bmdlciBhZ2UgZ3JvdXAuIFRoZSBjbGluaWNhbCBhbmQgdGhlb3JldGljYWwgaW1wbGljYXRpb25zIG9mIHRoZXNlIGZpbmRpbmdzIGFyZSBkaXNjdXNzZWQuIiwiaXNzdWUiOiI2Iiwidm9sdW1lIjoiMjYiLCJjb250YWluZXItdGl0bGUtc2hvcnQiOiIifSwiaXNUZW1wb3JhcnkiOmZhbHNlfV19&quot;,&quot;citationItems&quot;:[{&quot;id&quot;:&quot;6723ed74-0d57-3a6a-b031-85d7f87d955f&quot;,&quot;itemData&quot;:{&quot;type&quot;:&quot;article-journal&quot;,&quot;id&quot;:&quot;6723ed74-0d57-3a6a-b031-85d7f87d955f&quot;,&quot;title&quot;:&quot;Premonitory Urge for Tics Scale (PUTS): initial psychometric results and examination of the premonitory urge phenomenon in youths with Tic disorders&quot;,&quot;groupId&quot;:&quot;07d62ac1-5aa8-39af-b49e-52d2088ac571&quot;,&quot;author&quot;:[{&quot;family&quot;:&quot;Woods&quot;,&quot;given&quot;:&quot;D W&quot;,&quot;parse-names&quot;:false,&quot;dropping-particle&quot;:&quot;&quot;,&quot;non-dropping-particle&quot;:&quot;&quot;},{&quot;family&quot;:&quot;Piacentini&quot;,&quot;given&quot;:&quot;J&quot;,&quot;parse-names&quot;:false,&quot;dropping-particle&quot;:&quot;&quot;,&quot;non-dropping-particle&quot;:&quot;&quot;},{&quot;family&quot;:&quot;Himle&quot;,&quot;given&quot;:&quot;M B&quot;,&quot;parse-names&quot;:false,&quot;dropping-particle&quot;:&quot;&quot;,&quot;non-dropping-particle&quot;:&quot;&quot;},{&quot;family&quot;:&quot;Chang&quot;,&quot;given&quot;:&quot;S&quot;,&quot;parse-names&quot;:false,&quot;dropping-particle&quot;:&quot;&quot;,&quot;non-dropping-particle&quot;:&quot;&quot;}],&quot;container-title&quot;:&quot;J Dev Behav Pediatr&quot;,&quot;DOI&quot;:&quot;10.1097/00004703-200512000-00001&quot;,&quot;PMID&quot;:&quot;16344654&quot;,&quot;issued&quot;:{&quot;date-parts&quot;:[[2005]]},&quot;page&quot;:&quot;397-403&quot;,&quot;abstract&quot;:&quot;Although motor tics and/or vocal tics are the defining features of chronic tic disorder (CTD) and Tourette syndrome (TS), older youths and adults often report their tics to be preceded by an unpleasant sensation or \&quot;premonitory urge.\&quot; While premonitory urge phenomena may play an important role in behavioral interventions for CTD/TS, standardized assessments for premonitory urges do not exist. The current study of 42 youths with TS or CTD presents initial psychometric data for a new, brief self-report scale designed to measure tic-related premonitory urges. Results showed that the Premonitory Urge for Tics Scale (PUTS) was internally consistent (alpha = .81) and temporally stable at 1 (r = 0.79, p &lt; .01) and 2 (r = 0.86, p &lt; .01) weeks. PUTS scores were also correlated with overall tic severity as measured by the Yale Global Tic Severity Scale (YGTSS; r = 0.31, p &lt; .05) and the YGTSS number (r = 0.35, p &lt; .05), complexity (r = 0.49, p &lt; .01), and interference (r = 0.36, p &lt; .05) subscales. Finally, an examination of the psychiatric correlates of the premonitory urge phenomenon yielded significant correlations between the PUTS and the Child Behavior Checklist (CBCL) anxiety/depression (r = 0.33, p &lt; .05), and withdrawal (r = 0.38, p &lt; .05) subscales as well as the Children's Yale-Brown Obsessive Compulsive Scale (CYBOCS; r = 0.31, p &lt; .05). However, a cross-sectional examination of the data showed that the psychometric properties of the PUTS were not acceptable for youths 10 years of age and younger. Likewise, significant correlations found between the YGTSS subscales, CBCL subscales, CYBOCS, and the PUTS did not emerge in this younger age group. The clinical and theoretical implications of these findings are discussed.&quot;,&quot;issue&quot;:&quot;6&quot;,&quot;volume&quot;:&quot;26&quot;,&quot;container-title-short&quot;:&quot;&quot;},&quot;isTemporary&quot;:false}]},{&quot;citationID&quot;:&quot;MENDELEY_CITATION_33a2097d-bbe0-44ac-8905-f47cb37e0bcf&quot;,&quot;properties&quot;:{&quot;noteIndex&quot;:0},&quot;isEdited&quot;:false,&quot;manualOverride&quot;:{&quot;isManuallyOverridden&quot;:false,&quot;citeprocText&quot;:&quot;(5)&quot;,&quot;manualOverrideText&quot;:&quot;&quot;},&quot;citationTag&quot;:&quot;MENDELEY_CITATION_v3_eyJjaXRhdGlvbklEIjoiTUVOREVMRVlfQ0lUQVRJT05fMzNhMjA5N2QtYmJlMC00NGFjLTg5MDUtZjQ3Y2IzN2UwYmNmIiwicHJvcGVydGllcyI6eyJub3RlSW5kZXgiOjB9LCJpc0VkaXRlZCI6ZmFsc2UsIm1hbnVhbE92ZXJyaWRlIjp7ImlzTWFudWFsbHlPdmVycmlkZGVuIjpmYWxzZSwiY2l0ZXByb2NUZXh0IjoiKDUpIiwibWFudWFsT3ZlcnJpZGVUZXh0IjoiIn0sImNpdGF0aW9uSXRlbXMiOlt7ImlkIjoiZDE3NDM1MmUtNmJkMS0zMzVlLTg2ZDUtMjE2Yjg2NDNjZTdmIiwiaXRlbURhdGEiOnsidHlwZSI6ImFydGljbGUtam91cm5hbCIsImlkIjoiZDE3NDM1MmUtNmJkMS0zMzVlLTg2ZDUtMjE2Yjg2NDNjZTdmIiwidGl0bGUiOiJQcmVtb25pdG9yeSBVcmdlIGZvciBUaWNzIFNjYWxlIChQVVRTKTogcmVwbGljYXRpb24gYW5kIGV4dGVuc2lvbiBvZiBwc3ljaG9tZXRyaWMgcHJvcGVydGllcyBpbiB5b3V0aCB3aXRoIGNocm9uaWMgdGljIGRpc29yZGVycyAoQ1REcykiLCJncm91cElkIjoiMDdkNjJhYzEtNWFhOC0zOWFmLWI0OWUtNTJkMjA4OGFjNTcxIiwiYXV0aG9yIjpbeyJmYW1pbHkiOiJSYWluZXMiLCJnaXZlbiI6IkogTSIsInBhcnNlLW5hbWVzIjpmYWxzZSwiZHJvcHBpbmctcGFydGljbGUiOiIiLCJub24tZHJvcHBpbmctcGFydGljbGUiOiIifSx7ImZhbWlseSI6IkVkd2FyZHMiLCJnaXZlbiI6IksgUiIsInBhcnNlLW5hbWVzIjpmYWxzZSwiZHJvcHBpbmctcGFydGljbGUiOiIiLCJub24tZHJvcHBpbmctcGFydGljbGUiOiIifSx7ImZhbWlseSI6IlNoZXJtYW4iLCJnaXZlbiI6Ik0gRiIsInBhcnNlLW5hbWVzIjpmYWxzZSwiZHJvcHBpbmctcGFydGljbGUiOiIiLCJub24tZHJvcHBpbmctcGFydGljbGUiOiIifSx7ImZhbWlseSI6IkhpZ2dpbnNvbiIsImdpdmVuIjoiQyBJIiwicGFyc2UtbmFtZXMiOmZhbHNlLCJkcm9wcGluZy1wYXJ0aWNsZSI6IiIsIm5vbi1kcm9wcGluZy1wYXJ0aWNsZSI6IiJ9LHsiZmFtaWx5IjoiV2lubmljayIsImdpdmVuIjoiSiBCIiwicGFyc2UtbmFtZXMiOmZhbHNlLCJkcm9wcGluZy1wYXJ0aWNsZSI6IiIsIm5vbi1kcm9wcGluZy1wYXJ0aWNsZSI6IiJ9LHsiZmFtaWx5IjoiTmF2aW4iLCJnaXZlbiI6IksiLCJwYXJzZS1uYW1lcyI6ZmFsc2UsImRyb3BwaW5nLXBhcnRpY2xlIjoiIiwibm9uLWRyb3BwaW5nLXBhcnRpY2xlIjoiIn0seyJmYW1pbHkiOiJHZXR0aW5ncyIsImdpdmVuIjoiSiBNIiwicGFyc2UtbmFtZXMiOmZhbHNlLCJkcm9wcGluZy1wYXJ0aWNsZSI6IiIsIm5vbi1kcm9wcGluZy1wYXJ0aWNsZSI6IiJ9LHsiZmFtaWx5IjoiQ29udGVoIiwiZ2l2ZW4iOiJGIiwicGFyc2UtbmFtZXMiOmZhbHNlLCJkcm9wcGluZy1wYXJ0aWNsZSI6IiIsIm5vbi1kcm9wcGluZy1wYXJ0aWNsZSI6IiJ9LHsiZmFtaWx5IjoiQmVubmV0dCIsImdpdmVuIjoiUyBNIiwicGFyc2UtbmFtZXMiOmZhbHNlLCJkcm9wcGluZy1wYXJ0aWNsZSI6IiIsIm5vbi1kcm9wcGluZy1wYXJ0aWNsZSI6IiJ9LHsiZmFtaWx5IjoiU3BlY2h0IiwiZ2l2ZW4iOiJNIFciLCJwYXJzZS1uYW1lcyI6ZmFsc2UsImRyb3BwaW5nLXBhcnRpY2xlIjoiIiwibm9uLWRyb3BwaW5nLXBhcnRpY2xlIjoiIn1dLCJjb250YWluZXItdGl0bGUiOiJKIE5ldXJhbCBUcmFuc20gKFZpZW5uYSkiLCJET0kiOiIxMC4xMDA3L3MwMDcwMi0wMTctMTgxOC00IiwiUE1JRCI6IjI5MTg1MDc3IiwiVVJMIjoiaHR0cHM6Ly9saW5rLnNwcmluZ2VyLmNvbS9hcnRpY2xlLzEwLjEwMDcvczAwNzAyLTAxNy0xODE4LTQiLCJpc3N1ZWQiOnsiZGF0ZS1wYXJ0cyI6W1syMDE4XV19LCJwYWdlIjoiNzI3LTczNCIsImFic3RyYWN0IjoiSW5kaXZpZHVhbHMgd2l0aCBjaHJvbmljIHRpYyBkaXNvcmRlcnMgKENURHMpIGZyZXF1ZW50bHkgZGVzY3JpYmUgYXZlcnNpdmUgc3ViamVjdGl2ZSBzZW5zb3J5IHNlbnNhdGlvbnMgdGhhdCBwcmVjZWRlIHRoZWlyIHRpY3MuIFRoZSBmaXJzdCBhaW0gb2YgdGhlIHByZXNlbnQgc3R1ZHkgd2FzIHRvIGV4cGxvcmUgdGhlIHBzeWNob21ldHJpYyBwcm9wZXJ0aWVzIG9mIGEgc3RhbmRhcmRpemVkIHNlbGYtcmVwb3J0IG1lYXN1cmUgdG8gYXNzZXNzIHByZW1vbml0b3J5IHVyZ2VzIGluIENURHMsIFRoZSBQcmVtb25pdG9yeSBVcmdlIGZvciBUaWNzIFNjYWxlIChQVVRTKSwgYnkgcmVwbGljYXRpbmcgdGhlIGFuYWx5c2VzIG9mIFdvb2RzIGV0IGFsLiAoSiBEZXYgQmVoYXYgUGVkaWF0ciAyNjozOTctNDAzLCAyMDA1KSB1c2luZyBhIHNhbXBsZSB0d2ljZSB0aGUgc2l6ZSBvZiB0aGVpcnMuIFRoZSBzZWNvbmQgYWltIHdhcyB0byBjb25kdWN0IGFuIGV4cGxvcmF0b3J5IGZhY3RvciBhbmFseXNpcyBvZiB0aGUgUFVUUy4gRWlnaHR5LWZvdXIgeW91dGggd2l0aCBDVERzLCByZWNydWl0ZWQgZnJvbSBhIHBlZGlhdHJpYyBPQ0QgYW5kIHRpYyBzcGVjaWFsdHkgY2xpbmljLCBjb21wbGV0ZWQgdGhlIFBVVFMgd2hpbGUgdGhlaXIgY2FyZWdpdmVycyBjb21wbGV0ZWQgVGhlIFBhcmVudCBUaWMgUXVlc3Rpb25uYWlyZSAoUFRRKSBhbmQgYSBkZW1vZ3JhcGhpYyBtZWFzdXJlLiBDb25zaXN0ZW50IHdpdGggKFdvb2RzIGV0IGFsLiBKIERldiBCZWhhdiBQZWRpYXRyIDI2OjM5Ny00MDMsIDIwMDUpLCB0aGUgUFVUUyB3YXMgZm91bmQgdG8gYmUgaW50ZXJuYWxseSBjb25zaXN0ZW50ICjOscKgPcKgMC44MikgYW5kIHNpZ25pZmljYW50bHkgY29ycmVsYXRlZCB3aXRoIG92ZXJhbGwgdGljIHNldmVyaXR5IGFzIG1lYXN1cmVkIGJ5IHRoZSBQVFEgKHLCoD3CoDAuMjQsIHDCoDzCoDAuMDUpIGFzIHdlbGwgYXMgdGhlIFBUUSBudW1iZXIgKHLCoD3CoDAuMzQsIHDCoDzCoDAuMDEpIGFuZCBpbnRlbnNpdHkgKHLCoD3CoDAuMjQsIHDCoDzCoDAuMDUpIHN1YnNjYWxlcy4gQSBmYWN0b3ItYW5hbHlzaXMgb2YgdGhlIFBVVFMgcmV2ZWFsZWQgYSB0d28tZmFjdG9yIHNvbHV0aW9uIHdpdGggb25lIGZhY3RvciBjYXB0dXJpbmcgdGhlIHF1YWxpdHkgb2YgcHJlbW9uaXRvcnkgc2Vuc2F0aW9ucyB3aGlsZSB0aGUgb3RoZXIgZmFjdG9yIGFzc2Vzc2VkIHRoZSBvdmVyYWxsIGludGVuc2l0eSBvZiB0aGUgdXJnZXMuIFRoZXNlIHJlc3VsdHMgc3VwcG9ydCB0aGUgdXNlIG9mIHRoZSBQVVRTIGluIHJlbGlhYmx5IG1lYXN1cmluZyBwcmVtb25pdG9yeSB1cmdlcywgcGFydGljdWxhcmx5IGluIGNoaWxkcmVuIG92ZXIgdGhlIGFnZSBvZiAxMMKgeWVhcnMuIEFkZGl0aW9uYWxseSwgdGhlc2UgZmluZGluZ3MgaGlnaGxpZ2h0IHRoYXQgdXJnZXMgYXJlIHVuaWZvcm1seSByZXBvcnRlZCBhY3Jvc3MgZ2VuZGVyIGFuZCBhZ2UgYW5kIGFyZSBtb3JlIGNsb3NlbHkgYXNzb2NpYXRlZCB3aXRoIG51bWJlciBvZiB0aWNzIHRoYW4gdGhlIGZyZXF1ZW5jeSBvciBpbnRlbnNpdHkgb2YgdGljcy4iLCJpc3N1ZSI6IjQiLCJ2b2x1bWUiOiIxMjUiLCJjb250YWluZXItdGl0bGUtc2hvcnQiOiIifSwiaXNUZW1wb3JhcnkiOmZhbHNlfV19&quot;,&quot;citationItems&quot;:[{&quot;id&quot;:&quot;d174352e-6bd1-335e-86d5-216b8643ce7f&quot;,&quot;itemData&quot;:{&quot;type&quot;:&quot;article-journal&quot;,&quot;id&quot;:&quot;d174352e-6bd1-335e-86d5-216b8643ce7f&quot;,&quot;title&quot;:&quot;Premonitory Urge for Tics Scale (PUTS): replication and extension of psychometric properties in youth with chronic tic disorders (CTDs)&quot;,&quot;groupId&quot;:&quot;07d62ac1-5aa8-39af-b49e-52d2088ac571&quot;,&quot;author&quot;:[{&quot;family&quot;:&quot;Raines&quot;,&quot;given&quot;:&quot;J M&quot;,&quot;parse-names&quot;:false,&quot;dropping-particle&quot;:&quot;&quot;,&quot;non-dropping-particle&quot;:&quot;&quot;},{&quot;family&quot;:&quot;Edwards&quot;,&quot;given&quot;:&quot;K R&quot;,&quot;parse-names&quot;:false,&quot;dropping-particle&quot;:&quot;&quot;,&quot;non-dropping-particle&quot;:&quot;&quot;},{&quot;family&quot;:&quot;Sherman&quot;,&quot;given&quot;:&quot;M F&quot;,&quot;parse-names&quot;:false,&quot;dropping-particle&quot;:&quot;&quot;,&quot;non-dropping-particle&quot;:&quot;&quot;},{&quot;family&quot;:&quot;Higginson&quot;,&quot;given&quot;:&quot;C I&quot;,&quot;parse-names&quot;:false,&quot;dropping-particle&quot;:&quot;&quot;,&quot;non-dropping-particle&quot;:&quot;&quot;},{&quot;family&quot;:&quot;Winnick&quot;,&quot;given&quot;:&quot;J B&quot;,&quot;parse-names&quot;:false,&quot;dropping-particle&quot;:&quot;&quot;,&quot;non-dropping-particle&quot;:&quot;&quot;},{&quot;family&quot;:&quot;Navin&quot;,&quot;given&quot;:&quot;K&quot;,&quot;parse-names&quot;:false,&quot;dropping-particle&quot;:&quot;&quot;,&quot;non-dropping-particle&quot;:&quot;&quot;},{&quot;family&quot;:&quot;Gettings&quot;,&quot;given&quot;:&quot;J M&quot;,&quot;parse-names&quot;:false,&quot;dropping-particle&quot;:&quot;&quot;,&quot;non-dropping-particle&quot;:&quot;&quot;},{&quot;family&quot;:&quot;Conteh&quot;,&quot;given&quot;:&quot;F&quot;,&quot;parse-names&quot;:false,&quot;dropping-particle&quot;:&quot;&quot;,&quot;non-dropping-particle&quot;:&quot;&quot;},{&quot;family&quot;:&quot;Bennett&quot;,&quot;given&quot;:&quot;S M&quot;,&quot;parse-names&quot;:false,&quot;dropping-particle&quot;:&quot;&quot;,&quot;non-dropping-particle&quot;:&quot;&quot;},{&quot;family&quot;:&quot;Specht&quot;,&quot;given&quot;:&quot;M W&quot;,&quot;parse-names&quot;:false,&quot;dropping-particle&quot;:&quot;&quot;,&quot;non-dropping-particle&quot;:&quot;&quot;}],&quot;container-title&quot;:&quot;J Neural Transm (Vienna)&quot;,&quot;DOI&quot;:&quot;10.1007/s00702-017-1818-4&quot;,&quot;PMID&quot;:&quot;29185077&quot;,&quot;URL&quot;:&quot;https://link.springer.com/article/10.1007/s00702-017-1818-4&quot;,&quot;issued&quot;:{&quot;date-parts&quot;:[[2018]]},&quot;page&quot;:&quot;727-734&quot;,&quot;abstract&quot;:&quot;Individuals with chronic tic disorders (CTDs) frequently describe aversive subjective sensory sensations that precede their tics. The first aim of the present study was to explore the psychometric properties of a standardized self-report measure to assess premonitory urges in CTDs, The Premonitory Urge for Tics Scale (PUTS), by replicating the analyses of Woods et al. (J Dev Behav Pediatr 26:397-403, 2005) using a sample twice the size of theirs. The second aim was to conduct an exploratory factor analysis of the PUTS. Eighty-four youth with CTDs, recruited from a pediatric OCD and tic specialty clinic, completed the PUTS while their caregivers completed The Parent Tic Questionnaire (PTQ) and a demographic measure. Consistent with (Woods et al. J Dev Behav Pediatr 26:397-403, 2005), the PUTS was found to be internally consistent (α = 0.82) and significantly correlated with overall tic severity as measured by the PTQ (r = 0.24, p &lt; 0.05) as well as the PTQ number (r = 0.34, p &lt; 0.01) and intensity (r = 0.24, p &lt; 0.05) subscales. A factor-analysis of the PUTS revealed a two-factor solution with one factor capturing the quality of premonitory sensations while the other factor assessed the overall intensity of the urges. These results support the use of the PUTS in reliably measuring premonitory urges, particularly in children over the age of 10 years. Additionally, these findings highlight that urges are uniformly reported across gender and age and are more closely associated with number of tics than the frequency or intensity of tics.&quot;,&quot;issue&quot;:&quot;4&quot;,&quot;volume&quot;:&quot;125&quot;,&quot;container-title-short&quot;:&quot;&quot;},&quot;isTemporary&quot;:false}]},{&quot;citationID&quot;:&quot;MENDELEY_CITATION_04a1e0d9-be77-4589-93fb-f6f0826ff7b3&quot;,&quot;properties&quot;:{&quot;noteIndex&quot;:0},&quot;isEdited&quot;:false,&quot;manualOverride&quot;:{&quot;isManuallyOverridden&quot;:false,&quot;citeprocText&quot;:&quot;(3)&quot;,&quot;manualOverrideText&quot;:&quot;&quot;},&quot;citationTag&quot;:&quot;MENDELEY_CITATION_v3_eyJjaXRhdGlvbklEIjoiTUVOREVMRVlfQ0lUQVRJT05fMDRhMWUwZDktYmU3Ny00NTg5LTkzZmItZjZmMDgyNmZmN2IzIiwicHJvcGVydGllcyI6eyJub3RlSW5kZXgiOjB9LCJpc0VkaXRlZCI6ZmFsc2UsIm1hbnVhbE92ZXJyaWRlIjp7ImlzTWFudWFsbHlPdmVycmlkZGVuIjpmYWxzZSwiY2l0ZXByb2NUZXh0IjoiKDMpIiwibWFudWFsT3ZlcnJpZGVUZXh0IjoiIn0sImNpdGF0aW9uSXRlbXMiOlt7ImlkIjoiODE4ODlmYmUtY2I0Zi0zMTQ2LWJlNWMtY2ViYWRjZjFiZmFhIiwiaXRlbURhdGEiOnsidHlwZSI6ImFydGljbGUtam91cm5hbCIsImlkIjoiODE4ODlmYmUtY2I0Zi0zMTQ2LWJlNWMtY2ViYWRjZjFiZmFhIiwidGl0bGUiOiJUaWMgZGlzb3JkZXJzIGFuZCB0aGUgcHJlbW9uaXRvcnkgdXJnZSIsImdyb3VwSWQiOiIwN2Q2MmFjMS01YWE4LTM5YWYtYjQ5ZS01MmQyMDg4YWM1NzEiLCJhdXRob3IiOlt7ImZhbWlseSI6IlN0ZWluYmVyZyIsImdpdmVuIjoiVCIsInBhcnNlLW5hbWVzIjpmYWxzZSwiZHJvcHBpbmctcGFydGljbGUiOiIiLCJub24tZHJvcHBpbmctcGFydGljbGUiOiIifSx7ImZhbWlseSI6IlNobXVlbCBCYXJ1Y2giLCJnaXZlbiI6IlMiLCJwYXJzZS1uYW1lcyI6ZmFsc2UsImRyb3BwaW5nLXBhcnRpY2xlIjoiIiwibm9uLWRyb3BwaW5nLXBhcnRpY2xlIjoiIn0seyJmYW1pbHkiOiJIYXJ1c2giLCJnaXZlbiI6IkEiLCJwYXJzZS1uYW1lcyI6ZmFsc2UsImRyb3BwaW5nLXBhcnRpY2xlIjoiIiwibm9uLWRyb3BwaW5nLXBhcnRpY2xlIjoiIn0seyJmYW1pbHkiOiJEYXIiLCJnaXZlbiI6IlIiLCJwYXJzZS1uYW1lcyI6ZmFsc2UsImRyb3BwaW5nLXBhcnRpY2xlIjoiIiwibm9uLWRyb3BwaW5nLXBhcnRpY2xlIjoiIn0seyJmYW1pbHkiOiJXb29kcyIsImdpdmVuIjoiRCIsInBhcnNlLW5hbWVzIjpmYWxzZSwiZHJvcHBpbmctcGFydGljbGUiOiIiLCJub24tZHJvcHBpbmctcGFydGljbGUiOiIifSx7ImZhbWlseSI6IlBpYWNlbnRpbmkiLCJnaXZlbiI6IkoiLCJwYXJzZS1uYW1lcyI6ZmFsc2UsImRyb3BwaW5nLXBhcnRpY2xlIjoiIiwibm9uLWRyb3BwaW5nLXBhcnRpY2xlIjoiIn0seyJmYW1pbHkiOiJBcHRlciIsImdpdmVuIjoiQSIsInBhcnNlLW5hbWVzIjpmYWxzZSwiZHJvcHBpbmctcGFydGljbGUiOiIiLCJub24tZHJvcHBpbmctcGFydGljbGUiOiIifV0sImNvbnRhaW5lci10aXRsZSI6IkogTmV1cmFsIFRyYW5zbSAoVmllbm5hKSIsIkRPSSI6IjEwLjEwMDcvczAwNzAyLTAwOS0wMzUzLTMiLCJQTUlEIjoiMjAwMzMyMzYiLCJVUkwiOiJodHRwczovL2xpbmsuc3ByaW5nZXIuY29tL2NvbnRlbnQvcGRmLzEwLjEwMDcvczAwNzAyLTAwOS0wMzUzLTMucGRmIiwiaXNzdWVkIjp7ImRhdGUtcGFydHMiOltbMjAxMF1dfSwicGFnZSI6IjI3Ny0yODQiLCJhYnN0cmFjdCI6IlRoZSBhaW1zIG9mIHRoaXMgc3R1ZHkgd2VyZSB0byBleGFtaW5lIGEgbm9uLUVuZ2xpc2ggKEhlYnJldykgdmVyc2lvbiBvZiBhIHNjYWxlIHRoYXQgbWVhc3VyZXMgdGhlIHByZW1vbml0b3J5IHVyZ2UgaW4gY2hpbGRyZW4gc3VmZmVyaW5nIGZyb20gdGljIGRpc29yZGVyLCBhcyB3ZWxsIGFzIGV4YW1pbmUgdGhlIGNvcnJlbGF0aW9ucyBvZiB0aGUgdXJnZSB3aXRoIGRlbW9ncmFwaGljIGFuZCBjbGluaWNhbCBhc3BlY3RzIG9mIFRvdXJldHRlIFN5bmRyb21lLiBGb3J0eSBjaGlsZHJlbiBhbmQgYWRvbGVzY2VudHMsIHN1ZmZlcmluZyBmcm9tIHRpY3MgcGFydGljaXBhdGVkIGluIHRoaXMgc3R1ZHkuIFRoZXkgd2VyZSBhc3Nlc3NlZCB3aXRoIHRoZSBQcmVtb25pdG9yeSBVcmdlIGZvciBUaWNzIFNjYWxlIChQVVRTKTsgdGhlIFlhbGUgR2xvYmFsIFRpYyBTZXZlcml0eSBTY2FsZSAoWUdUU1MpOyB0aGUgQ2hpbGRob29kIFZlcnNpb24gb2YgdGhlIFlhbGUgQnJvd24gT2JzZXNzaXZlIENvbXB1bHNpdmUgU2NhbGUgKENZQk9DUyk7IHRoZSBBREhEIFJhdGluZyBTY2FsZSBJViAoQ29ubmVycykgU2NhbGU7IHRoZSBTY3JlZW4gZm9yIENoaWxkIEFueGlldHkgUmVsYXRlZCBFbW90aW9uYWwgRGlzb3JkZXJzIChTQ0FSRUQpOyBhbmQgdGhlIENoaWxkIERlcHJlc3Npb24gSW52ZW50b3J5IChDREkpLiBUaGUgbWVhbiBQVVRTIHNjb3JlIHdhcyAyMC4xNSAoU0QgPSA1Ljg5KS4gRm9yIHRoZSBlbnRpcmUgc2FtcGxlIHRoZSBQVVRTIHdhcyBmb3VuZCB0byBiZSBpbnRlcm5hbGx5IGNvbnNpc3RlbnQgYXQgYSA9IDAuNzkuIFlvdXRocyBvbGRlciB0aGFuIDEwIHllYXJzIGhhZCBoaWdoZXIgY29uc2lzdGVuY3kgKGEgPSAwLjgzKSB0aGFuIHlvdXRocyB5b3VuZ2VyIHRoYW4gMTAgKGEgPSAwLjY5KS4gUHJlbW9uaXRvcnkgdXJnZSB3YXMgbm90IGNvcnJlbGF0ZWQgd2l0aCB0aWMgc2V2ZXJpdHkgaW4gdGhlIGVudGlyZSBzYW1wbGUuIEluIHlvdXRocyBvbGRlciB0aGFuIDEwLCBhcyBvcHBvc2VkIHRvIHlvdXRocyB5b3VuZ2VyIHRoYW4gMTAsIHByZW1vbml0b3J5IHVyZ2UgZGlkIGNvcnJlbGF0ZSB3aXRoIG9ic2Vzc2lvbnMsIGNvbXB1bHNpb25zIGFuZCBkZXByZXNzaW9uLCBidXQgbm90IHdpdGggYW54aWV0eSBvciB3aXRoIEFESEQuIFRoZSBwcmVtb25pdG9yeSB1cmdlIGNhbiBiZSBtZWFzdXJlZCByZWxpYWJseSBhbmQgdGhlIFBVVFMgaXMgYSB1c2VmdWwgaW5zdHJ1bWVudCBmb3IgbWVhc3VyaW5nIHRoaXMgaW1wb3J0YW50IHBoZW5vbWVuYS4gUHJlbW9uaXRvcnkgdXJnZXMgc2VlbXMgdG8gYmUgcmVsYXRlZCB0byBvYnNlc3Npb25zLCBjb21wdWxzaW9ucywgYW5kIGRlcHJlc3Npb24gaW4gb2xkZXIgY2hpbGRyZW4gYW5kIHRoaXMgbWF5IGhhdmUgaW1wbGljYXRpb25zIGZvciB0aGUgZGV2ZWxvcG1lbnRhbCBwc3ljaG9wYXRob2xneSBvZiB0aGVzZSBzeW1wdG9tcy4iLCJpc3N1ZSI6IjIiLCJ2b2x1bWUiOiIxMTciLCJjb250YWluZXItdGl0bGUtc2hvcnQiOiIifSwiaXNUZW1wb3JhcnkiOmZhbHNlfV19&quot;,&quot;citationItems&quot;:[{&quot;id&quot;:&quot;81889fbe-cb4f-3146-be5c-cebadcf1bfaa&quot;,&quot;itemData&quot;:{&quot;type&quot;:&quot;article-journal&quot;,&quot;id&quot;:&quot;81889fbe-cb4f-3146-be5c-cebadcf1bfaa&quot;,&quot;title&quot;:&quot;Tic disorders and the premonitory urge&quot;,&quot;groupId&quot;:&quot;07d62ac1-5aa8-39af-b49e-52d2088ac571&quot;,&quot;author&quot;:[{&quot;family&quot;:&quot;Steinberg&quot;,&quot;given&quot;:&quot;T&quot;,&quot;parse-names&quot;:false,&quot;dropping-particle&quot;:&quot;&quot;,&quot;non-dropping-particle&quot;:&quot;&quot;},{&quot;family&quot;:&quot;Shmuel Baruch&quot;,&quot;given&quot;:&quot;S&quot;,&quot;parse-names&quot;:false,&quot;dropping-particle&quot;:&quot;&quot;,&quot;non-dropping-particle&quot;:&quot;&quot;},{&quot;family&quot;:&quot;Harush&quot;,&quot;given&quot;:&quot;A&quot;,&quot;parse-names&quot;:false,&quot;dropping-particle&quot;:&quot;&quot;,&quot;non-dropping-particle&quot;:&quot;&quot;},{&quot;family&quot;:&quot;Dar&quot;,&quot;given&quot;:&quot;R&quot;,&quot;parse-names&quot;:false,&quot;dropping-particle&quot;:&quot;&quot;,&quot;non-dropping-particle&quot;:&quot;&quot;},{&quot;family&quot;:&quot;Woods&quot;,&quot;given&quot;:&quot;D&quot;,&quot;parse-names&quot;:false,&quot;dropping-particle&quot;:&quot;&quot;,&quot;non-dropping-particle&quot;:&quot;&quot;},{&quot;family&quot;:&quot;Piacentini&quot;,&quot;given&quot;:&quot;J&quot;,&quot;parse-names&quot;:false,&quot;dropping-particle&quot;:&quot;&quot;,&quot;non-dropping-particle&quot;:&quot;&quot;},{&quot;family&quot;:&quot;Apter&quot;,&quot;given&quot;:&quot;A&quot;,&quot;parse-names&quot;:false,&quot;dropping-particle&quot;:&quot;&quot;,&quot;non-dropping-particle&quot;:&quot;&quot;}],&quot;container-title&quot;:&quot;J Neural Transm (Vienna)&quot;,&quot;DOI&quot;:&quot;10.1007/s00702-009-0353-3&quot;,&quot;PMID&quot;:&quot;20033236&quot;,&quot;URL&quot;:&quot;https://link.springer.com/content/pdf/10.1007/s00702-009-0353-3.pdf&quot;,&quot;issued&quot;:{&quot;date-parts&quot;:[[2010]]},&quot;page&quot;:&quot;277-284&quot;,&quot;abstract&quot;:&quot;The aims of this study were to examine a non-English (Hebrew) version of a scale that measures the premonitory urge in children suffering from tic disorder, as well as examine the correlations of the urge with demographic and clinical aspects of Tourette Syndrome. Forty children and adolescents, suffering from tics participated in this study. They were assessed with the Premonitory Urge for Tics Scale (PUTS); the Yale Global Tic Severity Scale (YGTSS); the Childhood Version of the Yale Brown Obsessive Compulsive Scale (CYBOCS); the ADHD Rating Scale IV (Conners) Scale; the Screen for Child Anxiety Related Emotional Disorders (SCARED); and the Child Depression Inventory (CDI). The mean PUTS score was 20.15 (SD = 5.89). For the entire sample the PUTS was found to be internally consistent at a = 0.79. Youths older than 10 years had higher consistency (a = 0.83) than youths younger than 10 (a = 0.69). Premonitory urge was not correlated with tic severity in the entire sample. In youths older than 10, as opposed to youths younger than 10, premonitory urge did correlate with obsessions, compulsions and depression, but not with anxiety or with ADHD. The premonitory urge can be measured reliably and the PUTS is a useful instrument for measuring this important phenomena. Premonitory urges seems to be related to obsessions, compulsions, and depression in older children and this may have implications for the developmental psychopatholgy of these symptoms.&quot;,&quot;issue&quot;:&quot;2&quot;,&quot;volume&quot;:&quot;117&quot;,&quot;container-title-short&quot;:&quot;&quot;},&quot;isTemporary&quot;:false}]},{&quot;citationID&quot;:&quot;MENDELEY_CITATION_37aa7d35-484c-4551-bd2c-2717d21ed349&quot;,&quot;properties&quot;:{&quot;noteIndex&quot;:0},&quot;isEdited&quot;:false,&quot;manualOverride&quot;:{&quot;isManuallyOverridden&quot;:false,&quot;citeprocText&quot;:&quot;(17)&quot;,&quot;manualOverrideText&quot;:&quot;&quot;},&quot;citationTag&quot;:&quot;MENDELEY_CITATION_v3_eyJjaXRhdGlvbklEIjoiTUVOREVMRVlfQ0lUQVRJT05fMzdhYTdkMzUtNDg0Yy00NTUxLWJkMmMtMjcxN2QyMWVkMzQ5IiwicHJvcGVydGllcyI6eyJub3RlSW5kZXgiOjB9LCJpc0VkaXRlZCI6ZmFsc2UsIm1hbnVhbE92ZXJyaWRlIjp7ImlzTWFudWFsbHlPdmVycmlkZGVuIjpmYWxzZSwiY2l0ZXByb2NUZXh0IjoiKDE3KSIsIm1hbnVhbE92ZXJyaWRlVGV4dCI6IiJ9LCJjaXRhdGlvbkl0ZW1zIjpbeyJpZCI6ImNhMjRjM2EyLThmNDEtMzdjYS1iMDE0LWIxMGQyOWJiYWYwMyIsIml0ZW1EYXRhIjp7InR5cGUiOiJhcnRpY2xlLWpvdXJuYWwiLCJpZCI6ImNhMjRjM2EyLThmNDEtMzdjYS1iMDE0LWIxMGQyOWJiYWYwMyIsInRpdGxlIjoiUHJlbW9uaXRvcnkgVXJnZXMgYW5kIFRoZWlyIExpbmsgV2l0aCBUaWMgU2V2ZXJpdHkgaW4gQ2hpbGRyZW4gYW5kIEFkb2xlc2NlbnRzIFdpdGggVGljIERpc29yZGVycyIsImdyb3VwSWQiOiIwN2Q2MmFjMS01YWE4LTM5YWYtYjQ5ZS01MmQyMDg4YWM1NzEiLCJhdXRob3IiOlt7ImZhbWlseSI6Ikt5cmlhemkiLCJnaXZlbiI6Ik0iLCJwYXJzZS1uYW1lcyI6ZmFsc2UsImRyb3BwaW5nLXBhcnRpY2xlIjoiIiwibm9uLWRyb3BwaW5nLXBhcnRpY2xlIjoiIn0seyJmYW1pbHkiOiJLYWx5dmEiLCJnaXZlbiI6IkUiLCJwYXJzZS1uYW1lcyI6ZmFsc2UsImRyb3BwaW5nLXBhcnRpY2xlIjoiIiwibm9uLWRyb3BwaW5nLXBhcnRpY2xlIjoiIn0seyJmYW1pbHkiOiJWYXJnaWFtaSIsImdpdmVuIjoiRSIsInBhcnNlLW5hbWVzIjpmYWxzZSwiZHJvcHBpbmctcGFydGljbGUiOiIiLCJub24tZHJvcHBpbmctcGFydGljbGUiOiIifSx7ImZhbWlseSI6IktyaWtvbmlzIiwiZ2l2ZW4iOiJLIiwicGFyc2UtbmFtZXMiOmZhbHNlLCJkcm9wcGluZy1wYXJ0aWNsZSI6IiIsIm5vbi1kcm9wcGluZy1wYXJ0aWNsZSI6IiJ9LHsiZmFtaWx5IjoiWmFmZWlyaW91IiwiZ2l2ZW4iOiJEIiwicGFyc2UtbmFtZXMiOmZhbHNlLCJkcm9wcGluZy1wYXJ0aWNsZSI6IiIsIm5vbi1kcm9wcGluZy1wYXJ0aWNsZSI6IiJ9XSwiY29udGFpbmVyLXRpdGxlIjoiRnJvbnQgUHN5Y2hpYXRyeSIsIkRPSSI6IjEwLjMzODkvZnBzeXQuMjAxOS4wMDU2OSIsIlBNSUQiOiIzMTQ3NDg4NSIsImlzc3VlZCI6eyJkYXRlLXBhcnRzIjpbWzIwMTldXX0sInBhZ2UiOiI1NjkiLCJhYnN0cmFjdCI6IlRpY3Mgd2F4IGFuZCB3YW5lIHJlZ2FyZGluZyB0aGVpciBzZXZlcml0eSwgd2hpbGUgdGhlaXIgZXhwcmVzc2lvbiBpcyBhZmZlY3RlZCBieSBub24tbW90b3Igc2Vuc29yeSBvciBjb2duaXRpdmUgZWxlbWVudHMgdGhhdCBhcmUgbW9zdGx5IGtub3duIGFzIFwicHJlbW9uaXRvcnkgdXJnZXMuXCIgU2luY2UgcHJlbW9uaXRvcnkgdXJnZXMgYXJlIG9mdGVuIHVzZWQgaW4gbm9uLXBoYXJtYWNvbG9naWNhbCBpbnRlcnZlbnRpb25zIHRvIGRlY3JlYXNlIHRpYyBzZXZlcml0eSwgaXQgaXMgb2YgaW50ZXJlc3QgaW4gdGhlIHByZXNlbnQgc3R1ZHkgdG8gZXhhbWluZSB3aGV0aGVyIHByZW1vbml0b3J5IHVyZ2VzIGNhbiBhY3R1YWxseSBwcmVkaWN0IHRpYyBzZXZlcml0eS4gRmlmdHktdHdvIGNoaWxkcmVuIGFuZCBhZG9sZXNjZW50cyBkaWFnbm9zZWQgd2l0aCB0aWNzIGFuZCBUb3VyZXR0ZSBzeW5kcm9tZSAoMjkgY2hpbGRyZW4gd2l0aCBwcm92aXNpb25hbCB0aWMgZGlzb3JkZXIsIDE2IGNoaWxkcmVuIHdpdGggY2hyb25pYyBtb3RvciB0aWMgZGlzb3JkZXIsIGFuZCA3IGNoaWxkcmVuIHdpdGggVG91cmV0dGUgc3luZHJvbWUpIHdlcmUgaW5jbHVkZWQgaW4gdGhlIHN0dWR5LiBUaGVpciBhZ2UgcmFuZ2VkIGJldHdlZW4gNiBhbmQgMTUuNyB5ZWFycyAobWVhbiBhZ2UgOSB5ZWFycyBhbmQgMiBtb250aHMpLiBBbGwgcGFydGljaXBhbnRzIGNvbXBsZXRlZCB0aGUgWUdUU1MgKFlhbGUgR2xvYmFsIFRpYyBTZXZlcml0eSBTY2FsZSkgaW4gb3JkZXIgdG8gYXNzZXNzIHRpYyBzZXZlcml0eSBhbmQgdGhlIFByZW1vbml0b3J5IFVyZ2UgZm9yIFRpY3MgU2NhbGUgKFBVVFMpIHRvIG1lYXN1cmUgcHJlbW9uaXRvcnkgdXJnZXMgKFBVKS4gUmVncmVzc2lvbiBhbmFseXNpcyByZXZlYWxlZCB0aGF0IFBVIHdlcmUgcHJlc2VudCBhdCBhIGhpZ2hlciByYXRlIGluIG9sZGVyIHN1YmplY3RzICg+MTIgeWVhcnMgb2YgYWdlKSB0aGFuIGluIHlvdW5nZXIgY2hpbGRyZW4gYW5kIHdpdGggYSBoaWdoZXIgbGV2ZWwgb2YgdGljIHNldmVyaXR5LiBBbHRob3VnaCB0aGUgcHJlc2VuY2Ugb2YgUFUgd2FzIGFzc29jaWF0ZWQgd2l0aCB0aWMgc2V2ZXJpdHkgYWNyb3NzIHRoZSBlbnRpcmUgYWdlIHJhbmdlLCB0aGVyZSB3YXMgYSBzdHJvbmdlciBhc3NvY2lhdGlvbiBiZXR3ZWVuIFBVIGFuZCB0aWMgc2V2ZXJpdHkgaW4gb2xkZXIgY2hpbGRyZW4uIEEgYmV0dGVyIGluc2lnaHQgaW50byB0aGUgcGF0aG9waHlzaW9sb2d5IG9mIHByZW1vbml0b3J5IHVyZ2VzIGNvdWxkIHBvc3NpYmx5IGxlYWQgdG8gdGhlIGlkZW50aWZpY2F0aW9uIG9mIG5ldyB0aGVyYXBldXRpYyBtb2RhbGl0aWVzIHRhcmdldGluZyB0aGUgc2Vuc29yeSBpbml0aWF0b3JzIG9mIHRpY3MgaW4gZnV0dXJlIHJlc2VhcmNoLiIsInZvbHVtZSI6IjEwIiwiY29udGFpbmVyLXRpdGxlLXNob3J0IjoiIn0sImlzVGVtcG9yYXJ5IjpmYWxzZX1dfQ==&quot;,&quot;citationItems&quot;:[{&quot;id&quot;:&quot;ca24c3a2-8f41-37ca-b014-b10d29bbaf03&quot;,&quot;itemData&quot;:{&quot;type&quot;:&quot;article-journal&quot;,&quot;id&quot;:&quot;ca24c3a2-8f41-37ca-b014-b10d29bbaf03&quot;,&quot;title&quot;:&quot;Premonitory Urges and Their Link With Tic Severity in Children and Adolescents With Tic Disorders&quot;,&quot;groupId&quot;:&quot;07d62ac1-5aa8-39af-b49e-52d2088ac571&quot;,&quot;author&quot;:[{&quot;family&quot;:&quot;Kyriazi&quot;,&quot;given&quot;:&quot;M&quot;,&quot;parse-names&quot;:false,&quot;dropping-particle&quot;:&quot;&quot;,&quot;non-dropping-particle&quot;:&quot;&quot;},{&quot;family&quot;:&quot;Kalyva&quot;,&quot;given&quot;:&quot;E&quot;,&quot;parse-names&quot;:false,&quot;dropping-particle&quot;:&quot;&quot;,&quot;non-dropping-particle&quot;:&quot;&quot;},{&quot;family&quot;:&quot;Vargiami&quot;,&quot;given&quot;:&quot;E&quot;,&quot;parse-names&quot;:false,&quot;dropping-particle&quot;:&quot;&quot;,&quot;non-dropping-particle&quot;:&quot;&quot;},{&quot;family&quot;:&quot;Krikonis&quot;,&quot;given&quot;:&quot;K&quot;,&quot;parse-names&quot;:false,&quot;dropping-particle&quot;:&quot;&quot;,&quot;non-dropping-particle&quot;:&quot;&quot;},{&quot;family&quot;:&quot;Zafeiriou&quot;,&quot;given&quot;:&quot;D&quot;,&quot;parse-names&quot;:false,&quot;dropping-particle&quot;:&quot;&quot;,&quot;non-dropping-particle&quot;:&quot;&quot;}],&quot;container-title&quot;:&quot;Front Psychiatry&quot;,&quot;DOI&quot;:&quot;10.3389/fpsyt.2019.00569&quot;,&quot;PMID&quot;:&quot;31474885&quot;,&quot;issued&quot;:{&quot;date-parts&quot;:[[2019]]},&quot;page&quot;:&quot;569&quot;,&quot;abstract&quot;:&quot;Tics wax and wane regarding their severity, while their expression is affected by non-motor sensory or cognitive elements that are mostly known as \&quot;premonitory urges.\&quot; Since premonitory urges are often used in non-pharmacological interventions to decrease tic severity, it is of interest in the present study to examine whether premonitory urges can actually predict tic severity. Fifty-two children and adolescents diagnosed with tics and Tourette syndrome (29 children with provisional tic disorder, 16 children with chronic motor tic disorder, and 7 children with Tourette syndrome) were included in the study. Their age ranged between 6 and 15.7 years (mean age 9 years and 2 months). All participants completed the YGTSS (Yale Global Tic Severity Scale) in order to assess tic severity and the Premonitory Urge for Tics Scale (PUTS) to measure premonitory urges (PU). Regression analysis revealed that PU were present at a higher rate in older subjects (&gt;12 years of age) than in younger children and with a higher level of tic severity. Although the presence of PU was associated with tic severity across the entire age range, there was a stronger association between PU and tic severity in older children. A better insight into the pathophysiology of premonitory urges could possibly lead to the identification of new therapeutic modalities targeting the sensory initiators of tics in future research.&quot;,&quot;volume&quot;:&quot;10&quot;,&quot;container-title-short&quot;:&quot;&quot;},&quot;isTemporary&quot;:false}]},{&quot;citationID&quot;:&quot;MENDELEY_CITATION_3d26b859-dd79-4dff-a855-cdb0ab721240&quot;,&quot;properties&quot;:{&quot;noteIndex&quot;:0},&quot;isEdited&quot;:false,&quot;manualOverride&quot;:{&quot;isManuallyOverridden&quot;:false,&quot;citeprocText&quot;:&quot;(7)&quot;,&quot;manualOverrideText&quot;:&quot;&quot;},&quot;citationTag&quot;:&quot;MENDELEY_CITATION_v3_eyJjaXRhdGlvbklEIjoiTUVOREVMRVlfQ0lUQVRJT05fM2QyNmI4NTktZGQ3OS00ZGZmLWE4NTUtY2RiMGFiNzIxMjQwIiwicHJvcGVydGllcyI6eyJub3RlSW5kZXgiOjB9LCJpc0VkaXRlZCI6ZmFsc2UsIm1hbnVhbE92ZXJyaWRlIjp7ImlzTWFudWFsbHlPdmVycmlkZGVuIjpmYWxzZSwiY2l0ZXByb2NUZXh0IjoiKDcpIiwibWFudWFsT3ZlcnJpZGVUZXh0IjoiIn0sImNpdGF0aW9uSXRlbXMiOlt7ImlkIjoiMjMxMzg1NzUtZDFlNC0zZWFmLWJiM2UtNGRlMTJiNWNmMTBhIiwiaXRlbURhdGEiOnsidHlwZSI6ImFydGljbGUtam91cm5hbCIsImlkIjoiMjMxMzg1NzUtZDFlNC0zZWFmLWJiM2UtNGRlMTJiNWNmMTBhIiwidGl0bGUiOiJUaGUgUHJlbW9uaXRvcnkgVXJnZSBmb3IgVGljcyBTY2FsZSBpbiBhIGxhcmdlIHNhbXBsZSBvZiBjaGlsZHJlbiBhbmQgYWRvbGVzY2VudHM6IHBzeWNob21ldHJpYyBwcm9wZXJ0aWVzIGluIGEgZGV2ZWxvcG1lbnRhbCBjb250ZXh0LiBBbiBFTVRJQ1Mgc3R1ZHkiLCJncm91cElkIjoiMDdkNjJhYzEtNWFhOC0zOWFmLWI0OWUtNTJkMjA4OGFjNTcxIiwiYXV0aG9yIjpbeyJmYW1pbHkiOiJPcGVubmVlciIsImdpdmVuIjoiVCBKIEMiLCJwYXJzZS1uYW1lcyI6ZmFsc2UsImRyb3BwaW5nLXBhcnRpY2xlIjoiIiwibm9uLWRyb3BwaW5nLXBhcnRpY2xlIjoiIn0seyJmYW1pbHkiOiJUw6Fybm9rIiwiZ2l2ZW4iOiJaIiwicGFyc2UtbmFtZXMiOmZhbHNlLCJkcm9wcGluZy1wYXJ0aWNsZSI6IiIsIm5vbi1kcm9wcGluZy1wYXJ0aWNsZSI6IiJ9LHsiZmFtaWx5IjoiQm9nbmFyIiwiZ2l2ZW4iOiJFIiwicGFyc2UtbmFtZXMiOmZhbHNlLCJkcm9wcGluZy1wYXJ0aWNsZSI6IiIsIm5vbi1kcm9wcGluZy1wYXJ0aWNsZSI6IiJ9LHsiZmFtaWx5IjoiQmVuYXJveWEtTWlsc2h0ZWluIiwiZ2l2ZW4iOiJOIiwicGFyc2UtbmFtZXMiOmZhbHNlLCJkcm9wcGluZy1wYXJ0aWNsZSI6IiIsIm5vbi1kcm9wcGluZy1wYXJ0aWNsZSI6IiJ9LHsiZmFtaWx5IjoiR2FyY2lhLURlbGdhciIsImdpdmVuIjoiQiIsInBhcnNlLW5hbWVzIjpmYWxzZSwiZHJvcHBpbmctcGFydGljbGUiOiIiLCJub24tZHJvcHBpbmctcGFydGljbGUiOiIifSx7ImZhbWlseSI6Ik1vcmVyIiwiZ2l2ZW4iOiJBIiwicGFyc2UtbmFtZXMiOmZhbHNlLCJkcm9wcGluZy1wYXJ0aWNsZSI6IiIsIm5vbi1kcm9wcGluZy1wYXJ0aWNsZSI6IiJ9LHsiZmFtaWx5IjoiU3RlaW5iZXJnIiwiZ2l2ZW4iOiJUIiwicGFyc2UtbmFtZXMiOmZhbHNlLCJkcm9wcGluZy1wYXJ0aWNsZSI6IiIsIm5vbi1kcm9wcGluZy1wYXJ0aWNsZSI6IiJ9LHsiZmFtaWx5IjoiSG9la3N0cmEiLCJnaXZlbiI6IlAgSiIsInBhcnNlLW5hbWVzIjpmYWxzZSwiZHJvcHBpbmctcGFydGljbGUiOiIiLCJub24tZHJvcHBpbmctcGFydGljbGUiOiIifSx7ImZhbWlseSI6IkRpZXRyaWNoIiwiZ2l2ZW4iOiJBIiwicGFyc2UtbmFtZXMiOmZhbHNlLCJkcm9wcGluZy1wYXJ0aWNsZSI6IiIsIm5vbi1kcm9wcGluZy1wYXJ0aWNsZSI6IiJ9XSwiY29udGFpbmVyLXRpdGxlIjoiRXVyIENoaWxkIEFkb2xlc2MgUHN5Y2hpYXRyeSIsIkRPSSI6IjEwLjEwMDcvczAwNzg3LTAxOS0wMTQ1MC0xIiwiUE1JRCI6IjMxODAyMjcxIiwiVVJMIjoiaHR0cHM6Ly9saW5rLnNwcmluZ2VyLmNvbS9jb250ZW50L3BkZi8xMC4xMDA3L3MwMDc4Ny0wMTktMDE0NTAtMS5wZGYiLCJpc3N1ZWQiOnsiZGF0ZS1wYXJ0cyI6W1syMDIwXV19LCJwYWdlIjoiMTQxMS0xNDI0IiwiYWJzdHJhY3QiOiJQcmVtb25pdG9yeSB1cmdlcyBhcmUgdW5jb21mb3J0YWJsZSBwaHlzaWNhbCBzZW5zYXRpb25zIHByZWNlZGluZyB0aWNzIHRoYXQgb2NjdXIgaW4gbW9zdCBpbmRpdmlkdWFscyB3aXRoIGEgY2hyb25pYyB0aWMgZGlzb3JkZXIuIFRoZSBQcmVtb25pdG9yeSBVcmdlIGZvciBUaWNzIFNjYWxlIChQVVRTKSBpcyB0aGUgbW9zdCBmcmVxdWVudGx5IHVzZWQgc2VsZi1yZXBvcnQgbWVhc3VyZSB0byBhc3Nlc3MgdGhlIHNldmVyaXR5IG9mIHByZW1vbml0b3J5IHVyZ2VzLiBXZSBhaW1lZCB0byBldmFsdWF0ZSB0aGUgcHN5Y2hvbWV0cmljIHByb3BlcnRpZXMgb2YgdGhlIFBVVFMgaW4gdGhlIGxhcmdlc3Qgc2FtcGxlIHNpemUgdG8gZGF0ZSAobuKAiT3igIk2NTYpLCBpbiBjaGlsZHJlbiBhZ2VkIDMtMTbCoHllYXJzLCBmcm9tIHRoZSBiYXNlbGluZSBtZWFzdXJlbWVudCBvZiB0aGUgbG9uZ2l0dWRpbmFsIEV1cm9wZWFuIE11bHRpY2VudGVyIFRpY3MgaW4gQ2hpbGRyZW4gU3R1ZHkgKEVNVElDUykuIE91ciBwc3ljaG9tZXRyaWMgZXZhbHVhdGlvbiB3YXMgZG9uZSBpbiB0aHJlZSBhZ2UtZ3JvdXBzOiBjaGlsZHJlbiBhZ2VkIDMtN8KgeWVhcnMgKG7igIk94oCJMTAzKSwgY2hpbGRyZW4gYmV0d2VlbiA4IGFuZCAxMMKgeWVhcnMgKG7igIk94oCJMjUzKSwgYW5kIGNoaWxkcmVuIGFnZWQgMTEtMTbCoHllYXJzIChu4oCJPeKAiTMwMCkuIFRoZSBQVVRTIGV4aGliaXRlZCBnb29kIGludGVybmFsIHJlbGlhYmlsaXR5IGluIGNoaWxkcmVuIGFuZCBhZG9sZXNjZW50cywgYWxzbyB1bmRlciB0aGUgYWdlIG9mIDEwLCB3aGljaCBpcyB5b3VuZ2VyIHRoYW4gcHJldmlvdXNseSB0aG91Z2h0LiBXZSBvYnNlcnZlZCBzaWduaWZpY2FudCBidXQgc21hbGwgY29ycmVsYXRpb25zIGJldHdlZW4gdGhlIHNldmVyaXR5IG9mIHVyZ2VzIGFuZCBzZXZlcml0eSBvZiB0aWNzIGFuZCBvYnNlc3NpdmUtY29tcHVsc2l2ZSBzeW1wdG9tcywgYW5kIGJldHdlZW4gc2V2ZXJpdHkgb2YgdXJnZXMgYW5kIHJhdGluZ3Mgb2YgYXR0ZW50aW9uLWRlZmljaXQvaHlwZXJhY3Rpdml0eSBkaXNvcmRlciBhbmQgaW50ZXJuYWxpemluZyBhbmQgZXh0ZXJuYWxpemluZyBiZWhhdmlvcnMsIGhvd2V2ZXIsIG9ubHkgaW4gY2hpbGRyZW4gb2YgOC0xMMKgeWVhcnMuIENvbnNpc3RlbnQgd2l0aCBwcmV2aW91cyByZXN1bHRzLCB0aGUgMTB0aCBpdGVtIG9mIHRoZSBQVVRTIGNvcnJlbGF0ZWQgbGVzcyB3aXRoIHRoZSByZXN0IG9mIHRoZSBzY2FsZSBjb21wYXJlZCB0byB0aGUgb3RoZXIgaXRlbXMgYW5kLCB0aGVyZWZvcmUsIHNob3VsZCBub3QgYmUgdXNlZCBhcyBwYXJ0IG9mIHRoZSBxdWVzdGlvbm5haXJlLiBXZSBmb3VuZCBhIHR3by1mYWN0b3Igc3RydWN0dXJlIG9mIHRoZSBQVVRTIGluIGNoaWxkcmVuIG9mIDExwqB5ZWFycyBhbmQgb2xkZXIsIGRpc3Rpbmd1aXNoaW5nIGJldHdlZW4gc2Vuc29yeSBwaGVub21lbmEgcmVsYXRlZCB0byB0aWNzLCBhbmQgbWVudGFsIHBoZW5vbWVuYSBhcyBvZnRlbiBmb3VuZCBpbiBvYnNlc3NpdmUtY29tcHVsc2l2ZSBkaXNvcmRlci4gVGhlIGFnZS1yZWxhdGVkIGRpZmZlcmVuY2VzIG9ic2VydmVkIGluIHRoaXMgc3R1ZHkgbWF5IGluZGljYXRlIHRoZSBuZWVkIGZvciB0aGUgZGV2ZWxvcG1lbnQgb2YgYW4gYWdlLXNwZWNpZmljIHF1ZXN0aW9ubmFpcmUgdG8gYXNzZXNzIHByZW1vbml0b3J5IHVyZ2VzLiIsImlzc3VlIjoiMTAiLCJ2b2x1bWUiOiIyOSIsImNvbnRhaW5lci10aXRsZS1zaG9ydCI6IiJ9LCJpc1RlbXBvcmFyeSI6ZmFsc2V9XX0=&quot;,&quot;citationItems&quot;:[{&quot;id&quot;:&quot;23138575-d1e4-3eaf-bb3e-4de12b5cf10a&quot;,&quot;itemData&quot;:{&quot;type&quot;:&quot;article-journal&quot;,&quot;id&quot;:&quot;23138575-d1e4-3eaf-bb3e-4de12b5cf10a&quot;,&quot;title&quot;:&quot;The Premonitory Urge for Tics Scale in a large sample of children and adolescents: psychometric properties in a developmental context. An EMTICS study&quot;,&quot;groupId&quot;:&quot;07d62ac1-5aa8-39af-b49e-52d2088ac571&quot;,&quot;author&quot;:[{&quot;family&quot;:&quot;Openneer&quot;,&quot;given&quot;:&quot;T J C&quot;,&quot;parse-names&quot;:false,&quot;dropping-particle&quot;:&quot;&quot;,&quot;non-dropping-particle&quot;:&quot;&quot;},{&quot;family&quot;:&quot;Tárnok&quot;,&quot;given&quot;:&quot;Z&quot;,&quot;parse-names&quot;:false,&quot;dropping-particle&quot;:&quot;&quot;,&quot;non-dropping-particle&quot;:&quot;&quot;},{&quot;family&quot;:&quot;Bognar&quot;,&quot;given&quot;:&quot;E&quot;,&quot;parse-names&quot;:false,&quot;dropping-particle&quot;:&quot;&quot;,&quot;non-dropping-particle&quot;:&quot;&quot;},{&quot;family&quot;:&quot;Benaroya-Milshtein&quot;,&quot;given&quot;:&quot;N&quot;,&quot;parse-names&quot;:false,&quot;dropping-particle&quot;:&quot;&quot;,&quot;non-dropping-particle&quot;:&quot;&quot;},{&quot;family&quot;:&quot;Garcia-Delgar&quot;,&quot;given&quot;:&quot;B&quot;,&quot;parse-names&quot;:false,&quot;dropping-particle&quot;:&quot;&quot;,&quot;non-dropping-particle&quot;:&quot;&quot;},{&quot;family&quot;:&quot;Morer&quot;,&quot;given&quot;:&quot;A&quot;,&quot;parse-names&quot;:false,&quot;dropping-particle&quot;:&quot;&quot;,&quot;non-dropping-particle&quot;:&quot;&quot;},{&quot;family&quot;:&quot;Steinberg&quot;,&quot;given&quot;:&quot;T&quot;,&quot;parse-names&quot;:false,&quot;dropping-particle&quot;:&quot;&quot;,&quot;non-dropping-particle&quot;:&quot;&quot;},{&quot;family&quot;:&quot;Hoekstra&quot;,&quot;given&quot;:&quot;P J&quot;,&quot;parse-names&quot;:false,&quot;dropping-particle&quot;:&quot;&quot;,&quot;non-dropping-particle&quot;:&quot;&quot;},{&quot;family&quot;:&quot;Dietrich&quot;,&quot;given&quot;:&quot;A&quot;,&quot;parse-names&quot;:false,&quot;dropping-particle&quot;:&quot;&quot;,&quot;non-dropping-particle&quot;:&quot;&quot;}],&quot;container-title&quot;:&quot;Eur Child Adolesc Psychiatry&quot;,&quot;DOI&quot;:&quot;10.1007/s00787-019-01450-1&quot;,&quot;PMID&quot;:&quot;31802271&quot;,&quot;URL&quot;:&quot;https://link.springer.com/content/pdf/10.1007/s00787-019-01450-1.pdf&quot;,&quot;issued&quot;:{&quot;date-parts&quot;:[[2020]]},&quot;page&quot;:&quot;1411-1424&quot;,&quot;abstract&quot;:&quot;Premonitory urges are uncomfortable physical sensations preceding tics that occur in most individuals with a chronic tic disorder. The Premonitory Urge for Tics Scale (PUTS) is the most frequently used self-report measure to assess the severity of premonitory urges. We aimed to evaluate the psychometric properties of the PUTS in the largest sample size to date (n = 656), in children aged 3-16 years, from the baseline measurement of the longitudinal European Multicenter Tics in Children Study (EMTICS). Our psychometric evaluation was done in three age-groups: children aged 3-7 years (n = 103), children between 8 and 10 years (n = 253), and children aged 11-16 years (n = 300). The PUTS exhibited good internal reliability in children and adolescents, also under the age of 10, which is younger than previously thought. We observed significant but small correlations between the severity of urges and severity of tics and obsessive-compulsive symptoms, and between severity of urges and ratings of attention-deficit/hyperactivity disorder and internalizing and externalizing behaviors, however, only in children of 8-10 years. Consistent with previous results, the 10th item of the PUTS correlated less with the rest of the scale compared to the other items and, therefore, should not be used as part of the questionnaire. We found a two-factor structure of the PUTS in children of 11 years and older, distinguishing between sensory phenomena related to tics, and mental phenomena as often found in obsessive-compulsive disorder. The age-related differences observed in this study may indicate the need for the development of an age-specific questionnaire to assess premonitory urges.&quot;,&quot;issue&quot;:&quot;10&quot;,&quot;volume&quot;:&quot;29&quot;,&quot;container-title-short&quot;:&quot;&quot;},&quot;isTemporary&quot;:false}]},{&quot;citationID&quot;:&quot;MENDELEY_CITATION_378389fe-2eaa-46c8-8ea0-4fabc7e063a8&quot;,&quot;properties&quot;:{&quot;noteIndex&quot;:0},&quot;isEdited&quot;:false,&quot;manualOverride&quot;:{&quot;isManuallyOverridden&quot;:false,&quot;citeprocText&quot;:&quot;(4)&quot;,&quot;manualOverrideText&quot;:&quot;&quot;},&quot;citationTag&quot;:&quot;MENDELEY_CITATION_v3_eyJjaXRhdGlvbklEIjoiTUVOREVMRVlfQ0lUQVRJT05fMzc4Mzg5ZmUtMmVhYS00NmM4LThlYTAtNGZhYmM3ZTA2M2E4IiwicHJvcGVydGllcyI6eyJub3RlSW5kZXgiOjB9LCJpc0VkaXRlZCI6ZmFsc2UsIm1hbnVhbE92ZXJyaWRlIjp7ImlzTWFudWFsbHlPdmVycmlkZGVuIjpmYWxzZSwiY2l0ZXByb2NUZXh0IjoiKDQpIiwibWFudWFsT3ZlcnJpZGVUZXh0IjoiIn0sImNpdGF0aW9uSXRlbXMiOlt7ImlkIjoiYjVhNWI5YWYtNTk2OC0zZmZkLTlmOTAtMzZhNTI0NGE1MDU4IiwiaXRlbURhdGEiOnsidHlwZSI6ImFydGljbGUtam91cm5hbCIsImlkIjoiYjVhNWI5YWYtNTk2OC0zZmZkLTlmOTAtMzZhNTI0NGE1MDU4IiwidGl0bGUiOiJQcmVtb25pdG9yeSBVcmdlcyBpbiBQYXRpZW50cyB3aXRoIEdpbGxlcyBkZSBsYSBUb3VyZXR0ZSBTeW5kcm9tZTogQW4gSXRhbGlhbiBUcmFuc2xhdGlvbiBhbmQgYSA3LVllYXIgRm9sbG93LXVwIiwiZ3JvdXBJZCI6IjA3ZDYyYWMxLTVhYTgtMzlhZi1iNDllLTUyZDIwODhhYzU3MSIsImF1dGhvciI6W3siZmFtaWx5IjoiR3VsaXNhbm8iLCJnaXZlbiI6Ik0iLCJwYXJzZS1uYW1lcyI6ZmFsc2UsImRyb3BwaW5nLXBhcnRpY2xlIjoiIiwibm9uLWRyb3BwaW5nLXBhcnRpY2xlIjoiIn0seyJmYW1pbHkiOiJDYWzDrCIsImdpdmVuIjoiUCIsInBhcnNlLW5hbWVzIjpmYWxzZSwiZHJvcHBpbmctcGFydGljbGUiOiIiLCJub24tZHJvcHBpbmctcGFydGljbGUiOiIifSx7ImZhbWlseSI6IlBhbGVybW8iLCJnaXZlbiI6IkYiLCJwYXJzZS1uYW1lcyI6ZmFsc2UsImRyb3BwaW5nLXBhcnRpY2xlIjoiIiwibm9uLWRyb3BwaW5nLXBhcnRpY2xlIjoiIn0seyJmYW1pbHkiOiJSb2JlcnRzb24iLCJnaXZlbiI6Ik0iLCJwYXJzZS1uYW1lcyI6ZmFsc2UsImRyb3BwaW5nLXBhcnRpY2xlIjoiIiwibm9uLWRyb3BwaW5nLXBhcnRpY2xlIjoiIn0seyJmYW1pbHkiOiJSaXp6byIsImdpdmVuIjoiUiIsInBhcnNlLW5hbWVzIjpmYWxzZSwiZHJvcHBpbmctcGFydGljbGUiOiIiLCJub24tZHJvcHBpbmctcGFydGljbGUiOiIifV0sImNvbnRhaW5lci10aXRsZSI6IkogQ2hpbGQgQWRvbGVzYyBQc3ljaG9waGFybWFjb2wiLCJET0kiOiIxMC4xMDg5L2NhcC4yMDE0LjAxNTQiLCJQTUlEIjoiMjYyODgzNDUiLCJVUkwiOiJodHRwczovL3d3dy5saWViZXJ0cHViLmNvbS9kb2kvMTAuMTA4OS9jYXAuMjAxNC4wMTU0IiwiaXNzdWVkIjp7ImRhdGUtcGFydHMiOltbMjAxNV1dfSwicGFnZSI6IjgxMC04MTYiLCJhYnN0cmFjdCI6Ik9CSkVDVElWRTogUHJlbW9uaXRvcnkgc2Vuc2F0aW9ucyBvciB1cmdlcyAoUFVzKSBhcmUgZGVzY3JpYmVkIGFzIGNoYXJhY3RlcmlzdGljIHNlbnNvcnkgcGhlbm9tZW5hIHByZWNlZGluZyB0aWNzLCB3aGljaCBhcmUgb2Z0ZW4gZGVzY3JpYmVkIGFzIHVucGxlYXNhbnQuIFRoZXkgb2NjdXIgaW4gOTAlIG9mIHBhdGllbnRzIGFmZmVjdGVkIGJ5IEdpbGxlcyBkZSBsYSBUb3VyZXR0ZSBTeW5kcm9tZSAoR1RTKS4gVGhleSBtYXkgYmUgbG9jYWxpemVkIChhcm91bmQgdGhlIGFyZWEgb2YgdGljKSBvciBnZW5lcmFsaXplZCAoY292ZXJpbmcgYSB3aWRlIGFyZWEgb2YgdGhlIGJvZHkpLiBUaGUgUFVzIGNhbiBiZSBtZWFzdXJlZCBieSB0aGUgUHJlbW9uaXRvcnkgVXJnZSBmb3IgVGljcyBTY2FsZSAoUFVUUykuIEluIHRoaXMgc3R1ZHkgd2UgdHJhbnNsYXRlZCB0aGUgUFVUUyBzY2FsZSBpbnRvIEl0YWxpYW4gYW5kIHRoZW4gYXNzZXNzZWQgY2hpbGRyZW4gYW5kIGFkb2xlc2NlbnRzL3lvdW5nIHBlb3BsZSAoQ1lQKSB3aXRoIEdUUyB1c2luZyB0aGUgc2NhbGUuIE1FVEhPRFM6IEdUUyBwYXRpZW50cyB3ZXJlIGFzc2Vzc2VkIGF0IHRoZSBpbml0aWFsIGludGVydmlldyBhbmQgYWZ0ZXIgNyB5ZWFycyB0byBldmFsdWF0ZSB0aGUgUFVzLCBhbmQgdGhlIGNvcnJlbGF0aW9ucyBvZiB0aGUgUFVUUyBzY29yZXMgd2l0aCB0aWMgc2V2ZXJpdHksIHNldmVyaXR5IG9mIGNvbW9yYmlkIGRpc29yZGVycyAob2JzZXNzaXZlLWNvbXB1bHNpdmUgZGlzb3JkZXIgW09DRF0sIGF0dGVudGlvbi1kZWZpY2l0L2h5cGVyYWN0aXZpdHkgZGlzb3JkZXIgW0FESERdKSwgYW5kIGEgdmFyaWV0eSBvZiBjb2V4aXN0aW5nIHBzeWNob3BhdGhvbG9naWVzLiBSRVNVTFRTOiBBIHRvdGFsIG9mIDk1IHBhdGllbnRzIHdlcmUgc3R1ZGllZC4gV2Ugc3VjY2Vzc2Z1bGx5IHRyYW5zbGF0ZWQgdGhlIFBVVFMgaW50byBJdGFsaWFuLCBhbmQgb3VyIHJlc3VsdHMgaW5kaWNhdGVkIHRoYXQgb3VyIHRyYW5zbGF0ZWQgdmVyc2lvbiBoYWQgZ29vZCBwc3ljaG9tZXRyaWMgcHJvcGVydGllcy4gUmVzdWx0cyBkZW1vbnN0cmF0ZWQgdGhhdCB0aGUgQ1lQIGhhZCBQVXMgYXQgYm90aCBpbnRlcnZpZXdzLCBidXQgdGhhdCBvbGRlciBDWVAgd2VyZSBtb3JlIGNvbnNpc3RlbnQgaW4gcmVwb3J0aW5nIFBVcyB0aGFuIHlvdW5nZXIgQ1lQIChpLmUuLCBQVVRTIHNjb3JlcyBpbmNyZWFzZWQgd2l0aCBhZ2UpLiBXZSBmb3VuZCBubyBjb3JyZWxhdGlvbnMgYmV0d2VlbiBQVVRTIHNjb3JlIGFuZCB0aWMgc2V2ZXJpdHkgYXQgZWl0aGVyIGludGVydmlldy4gV2UgZm91bmQgYSBzdGF0aXN0aWNhbCBzaWduaWZpY2FudCBjb3JyZWxhdGlvbiBiZXR3ZWVuIFBVVFMgc2NvcmUgYW5kIG9ic2Vzc2l2ZS1jb21wdWxzaXZlIHN5bXB0b21zIChPQ1MpIGF0IGJvdGggaW50ZXJ2aWV3czsgTW9yZW92ZXIgYm90aCB0aGUgUFVUUyBhbmQgQ2hpbGRyZW4ncyBZYWxlLUJyb3duIE9ic2Vzc2l2ZSBDb21wdWxzaXZlIFNjYWxlIChDWS1CT0NTKSBzY29yZXMgaW5jcmVhc2VkIHNpZ25pZmljYW50bHksIHdoZXJlYXMgdGhlIFlhbGUgR2xvYmFsIFRpYyBTZXZlcml0eSBSYXRpbmcgU2NhbGUgKFlHVFNTKSBzY29yZSBkZWNyZWFzZWQgc2lnbmlmaWNhbnRseS4gV2UgZm91bmQgbm8gcmVsYXRpb25zaGlwcyBiZXR3ZWVuIFBVVFMgc2NvcmVzIGFuZCBhbnhpZXR5LCBkZXByZXNzaW9uLCBBREhELCBhbmQgZXh0ZXJuYWxpemluZy9pbnRlcm5hbGl6aW5nIGJlaGF2aW9yYWwgc2NvcmVzLiBDT05DTFVTSU9OUzogT3VyIHJlc3VsdHMgc3VnZ2VzdCB0aGUgdGhlIEl0YWxpYW4gdHJhbnNsYXRpb24gb2YgdGhlIFBVVFMgaGFzIGdvb2QgcHN5Y2hvbWV0cmljIHByb3BlcnRpZXMuIEFsdGhvdWdoIGJvdGggeW91bmdlciAoPDEwIHllYXJzIG9mIGFnZSkgYW5kIG9sZGVyIENZUCAo4omkIDEwIHllYXJzIG9mIGFnZSkgcmVwb3J0ZWQgUFVzLCB0aGUgc2NvcmVzIGF0IHRoZSBpbml0aWFsIGludGVydmlldyB3ZXJlIHN0YXRpc3RpY2FsbHkgc2lnbmlmaWNhbnRseSBsb3dlciB0aGFuIGF0IGZvbGxvdy11cC4gTW9yZW92ZXIsIGluIENZUCA+MTAgeWVhcnMgb2YgYWdlLCB0aGUgUFVzIGNvcnJlbGF0ZWQgd2l0aCBvYnNlc3Npb25zIGFuZCBjb21wdWxzaW9ucyAoQ1ktQk9DUyBzY29yZXMpLiIsImlzc3VlIjoiMTAiLCJ2b2x1bWUiOiIyNSIsImNvbnRhaW5lci10aXRsZS1zaG9ydCI6IiJ9LCJpc1RlbXBvcmFyeSI6ZmFsc2V9XX0=&quot;,&quot;citationItems&quot;:[{&quot;id&quot;:&quot;b5a5b9af-5968-3ffd-9f90-36a5244a5058&quot;,&quot;itemData&quot;:{&quot;type&quot;:&quot;article-journal&quot;,&quot;id&quot;:&quot;b5a5b9af-5968-3ffd-9f90-36a5244a5058&quot;,&quot;title&quot;:&quot;Premonitory Urges in Patients with Gilles de la Tourette Syndrome: An Italian Translation and a 7-Year Follow-up&quot;,&quot;groupId&quot;:&quot;07d62ac1-5aa8-39af-b49e-52d2088ac571&quot;,&quot;author&quot;:[{&quot;family&quot;:&quot;Gulisano&quot;,&quot;given&quot;:&quot;M&quot;,&quot;parse-names&quot;:false,&quot;dropping-particle&quot;:&quot;&quot;,&quot;non-dropping-particle&quot;:&quot;&quot;},{&quot;family&quot;:&quot;Calì&quot;,&quot;given&quot;:&quot;P&quot;,&quot;parse-names&quot;:false,&quot;dropping-particle&quot;:&quot;&quot;,&quot;non-dropping-particle&quot;:&quot;&quot;},{&quot;family&quot;:&quot;Palermo&quot;,&quot;given&quot;:&quot;F&quot;,&quot;parse-names&quot;:false,&quot;dropping-particle&quot;:&quot;&quot;,&quot;non-dropping-particle&quot;:&quot;&quot;},{&quot;family&quot;:&quot;Robertson&quot;,&quot;given&quot;:&quot;M&quot;,&quot;parse-names&quot;:false,&quot;dropping-particle&quot;:&quot;&quot;,&quot;non-dropping-particle&quot;:&quot;&quot;},{&quot;family&quot;:&quot;Rizzo&quot;,&quot;given&quot;:&quot;R&quot;,&quot;parse-names&quot;:false,&quot;dropping-particle&quot;:&quot;&quot;,&quot;non-dropping-particle&quot;:&quot;&quot;}],&quot;container-title&quot;:&quot;J Child Adolesc Psychopharmacol&quot;,&quot;DOI&quot;:&quot;10.1089/cap.2014.0154&quot;,&quot;PMID&quot;:&quot;26288345&quot;,&quot;URL&quot;:&quot;https://www.liebertpub.com/doi/10.1089/cap.2014.0154&quot;,&quot;issued&quot;:{&quot;date-parts&quot;:[[2015]]},&quot;page&quot;:&quot;810-816&quot;,&quot;abstract&quot;:&quot;OBJECTIVE: Premonitory sensations or urges (PUs) are described as characteristic sensory phenomena preceding tics, which are often described as unpleasant. They occur in 90% of patients affected by Gilles de la Tourette Syndrome (GTS). They may be localized (around the area of tic) or generalized (covering a wide area of the body). The PUs can be measured by the Premonitory Urge for Tics Scale (PUTS). In this study we translated the PUTS scale into Italian and then assessed children and adolescents/young people (CYP) with GTS using the scale. METHODS: GTS patients were assessed at the initial interview and after 7 years to evaluate the PUs, and the correlations of the PUTS scores with tic severity, severity of comorbid disorders (obsessive-compulsive disorder [OCD], attention-deficit/hyperactivity disorder [ADHD]), and a variety of coexisting psychopathologies. RESULTS: A total of 95 patients were studied. We successfully translated the PUTS into Italian, and our results indicated that our translated version had good psychometric properties. Results demonstrated that the CYP had PUs at both interviews, but that older CYP were more consistent in reporting PUs than younger CYP (i.e., PUTS scores increased with age). We found no correlations between PUTS score and tic severity at either interview. We found a statistical significant correlation between PUTS score and obsessive-compulsive symptoms (OCS) at both interviews; Moreover both the PUTS and Children's Yale-Brown Obsessive Compulsive Scale (CY-BOCS) scores increased significantly, whereas the Yale Global Tic Severity Rating Scale (YGTSS) score decreased significantly. We found no relationships between PUTS scores and anxiety, depression, ADHD, and externalizing/internalizing behavioral scores. CONCLUSIONS: Our results suggest the the Italian translation of the PUTS has good psychometric properties. Although both younger (&lt;10 years of age) and older CYP (≤ 10 years of age) reported PUs, the scores at the initial interview were statistically significantly lower than at follow-up. Moreover, in CYP &gt;10 years of age, the PUs correlated with obsessions and compulsions (CY-BOCS scores).&quot;,&quot;issue&quot;:&quot;10&quot;,&quot;volume&quot;:&quot;25&quot;,&quot;container-title-short&quot;:&quot;&quot;},&quot;isTemporary&quot;:false}]},{&quot;citationID&quot;:&quot;MENDELEY_CITATION_db247de0-06d9-4a56-b110-8b3c73c8d110&quot;,&quot;properties&quot;:{&quot;noteIndex&quot;:0},&quot;isEdited&quot;:false,&quot;manualOverride&quot;:{&quot;isManuallyOverridden&quot;:false,&quot;citeprocText&quot;:&quot;(41)&quot;,&quot;manualOverrideText&quot;:&quot;&quot;},&quot;citationTag&quot;:&quot;MENDELEY_CITATION_v3_eyJjaXRhdGlvbklEIjoiTUVOREVMRVlfQ0lUQVRJT05fZGIyNDdkZTAtMDZkOS00YTU2LWIxMTAtOGIzYzczYzhkMTEwIiwicHJvcGVydGllcyI6eyJub3RlSW5kZXgiOjB9LCJpc0VkaXRlZCI6ZmFsc2UsIm1hbnVhbE92ZXJyaWRlIjp7ImlzTWFudWFsbHlPdmVycmlkZGVuIjpmYWxzZSwiY2l0ZXByb2NUZXh0IjoiKDQxKSIsIm1hbnVhbE92ZXJyaWRlVGV4dCI6IiJ9LCJjaXRhdGlvbkl0ZW1zIjpbeyJpZCI6ImJmZDU3MzgxLTZlOWEtMzNhZS04N2MxLTRiNTdiMGM2YzNhOSIsIml0ZW1EYXRhIjp7InR5cGUiOiJhcnRpY2xlLWpvdXJuYWwiLCJpZCI6ImJmZDU3MzgxLTZlOWEtMzNhZS04N2MxLTRiNTdiMGM2YzNhOSIsInRpdGxlIjoiQ2hhbmdlcyBpbiBTZW5zb3J5IFBoZW5vbWVuYSwgVGljcywgT2JzZXNzaXZlLUNvbXB1bHNpdmUgU3ltcHRvbXMsIGFuZCBHbG9iYWwgRnVuY3Rpb25pbmcgb2YgVG91cmV0dGUgU3luZHJvbWU6IEEgRm9sbG93LVVwIEFmdGVyIEZvdXIgWWVhcnMiLCJncm91cElkIjoiMDdkNjJhYzEtNWFhOC0zOWFmLWI0OWUtNTJkMjA4OGFjNTcxIiwiYXV0aG9yIjpbeyJmYW1pbHkiOiJLYW5vIiwiZ2l2ZW4iOiJZIiwicGFyc2UtbmFtZXMiOmZhbHNlLCJkcm9wcGluZy1wYXJ0aWNsZSI6IiIsIm5vbi1kcm9wcGluZy1wYXJ0aWNsZSI6IiJ9LHsiZmFtaWx5IjoiRnVqaW8iLCJnaXZlbiI6Ik0iLCJwYXJzZS1uYW1lcyI6ZmFsc2UsImRyb3BwaW5nLXBhcnRpY2xlIjoiIiwibm9uLWRyb3BwaW5nLXBhcnRpY2xlIjoiIn0seyJmYW1pbHkiOiJLYWppIiwiZ2l2ZW4iOiJOIiwicGFyc2UtbmFtZXMiOmZhbHNlLCJkcm9wcGluZy1wYXJ0aWNsZSI6IiIsIm5vbi1kcm9wcGluZy1wYXJ0aWNsZSI6IiJ9LHsiZmFtaWx5IjoiTWF0c3VkYSIsImdpdmVuIjoiTiIsInBhcnNlLW5hbWVzIjpmYWxzZSwiZHJvcHBpbmctcGFydGljbGUiOiIiLCJub24tZHJvcHBpbmctcGFydGljbGUiOiIifSx7ImZhbWlseSI6Ik5vbmFrYSIsImdpdmVuIjoiTSIsInBhcnNlLW5hbWVzIjpmYWxzZSwiZHJvcHBpbmctcGFydGljbGUiOiIiLCJub24tZHJvcHBpbmctcGFydGljbGUiOiIifSx7ImZhbWlseSI6Iktvbm8iLCJnaXZlbiI6IlQiLCJwYXJzZS1uYW1lcyI6ZmFsc2UsImRyb3BwaW5nLXBhcnRpY2xlIjoiIiwibm9uLWRyb3BwaW5nLXBhcnRpY2xlIjoiIn1dLCJjb250YWluZXItdGl0bGUiOiJGcm9udCBQc3ljaGlhdHJ5IiwiRE9JIjoiMTAuMzM4OS9mcHN5dC4yMDIwLjAwNjE5IiwiUE1JRCI6IjMyNjk1MDMzIiwiaXNzdWVkIjp7ImRhdGUtcGFydHMiOltbMjAyMF1dfSwicGFnZSI6IjYxOSIsImFic3RyYWN0IjoiU2Vuc29yeSBwaGVub21lbmEgYW5kIHJlbGF0ZWQgZmVhdHVyZXMgb2YgVG91cmV0dGUgc3luZHJvbWUgYXJlIHJlbGF0ZWQgdG8gcG9vcmVyIHF1YWxpdHkgb2YgbGlmZS4gVGhlcmVmb3JlLCBzZW5zb3J5IHBoZW5vbWVuYSBtaWdodCBhbHNvIGhhdmUgYSBuZWdhdGl2ZSBpbXBhY3Qgb24gZ2xvYmFsIGZ1bmN0aW9uaW5nLiBIb3dldmVyLCB0aGUgaW5mbHVlbmNlIG9mIHNlbnNvcnkgcGhlbm9tZW5hLCB0aWNzLCBhbmQgb2JzZXNzaXZlLWNvbXB1bHNpdmUgc3ltcHRvbXMgKE9DUykgb24gZ2xvYmFsIGZ1bmN0aW9uaW5nIGFmdGVyIHNldmVyYWwgeWVhcnMgb2YgdXN1YWwgdHJlYXRtZW50IGhhcyBub3QgYmVlbiBpbnZlc3RpZ2F0ZWQuIFR3ZW50eSBvdXQgb2YgNDUgSmFwYW5lc2UgcGF0aWVudHMgd2l0aCBUb3VyZXR0ZSBzeW5kcm9tZSB3aG8gaGFkIHByZXZpb3VzbHkgdW5kZXJnb25lIGFuIGV2YWx1YXRpb24gb2YgdGhlc2UgY2xpbmljYWwgZmVhdHVyZXMgd2VyZSBhc3Nlc3NlZCBhZ2FpbiBhZnRlciBhbiBhdmVyYWdlIG9mIGZvdXIgeWVhcnMuIFdlIGNvbmR1Y3RlZCBhIHBhbmVsIG9mIGFzc2Vzc21lbnRzIGZvciBwcmVtb25pdG9yeSB1cmdlcywgYnJvYWRlciBzZW5zb3J5IHBoZW5vbWVuYSwgdGljIHNldmVyaXR5LCBPQ1MsIGFuZCBnbG9iYWwgZnVuY3Rpb25pbmcuIEJhc2VkIG9uIFBlYXJzb24ncyBjb3JyZWxhdGlvbiBjb2VmZmljaWVudCwgY3VycmVudCBnbG9iYWwgZnVuY3Rpb25pbmcgd2FzIHNpZ25pZmljYW50bHkgbmVnYXRpdmVseSBjb3JyZWxhdGVkIHdpdGggcHJldmlvdXMgdGljcyBhbmQgbWFyZ2luYWxseSBuZWdhdGl2ZWx5IGNvcnJlbGF0ZWQgd2l0aCBwcmV2aW91cyBicm9hZGVyIHNlbnNvcnkgcGhlbm9tZW5hLiBDdXJyZW50IGdsb2JhbCBmdW5jdGlvbmluZyB3YXMgbWFyZ2luYWxseSBjb3JyZWxhdGVkIHdpdGggY2hhbmdlIGluIHRpY3MuIENoYW5nZSBpbiBnbG9iYWwgZnVuY3Rpb25pbmcgd2FzIHNpZ25pZmljYW50bHkgY29ycmVsYXRlZCB3aXRoIGNoYW5nZSBpbiBPQ1MgYW5kIG1hcmdpbmFsbHkgY29ycmVsYXRlZCB3aXRoIGNoYW5nZSBpbiBwcmVtb25pdG9yeSB1cmdlcy4gRHVlIHRvIHRoZSBzbWFsbCBzYW1wbGUgc2l6ZSwgaXQgd2FzIG5vdCBwb3NzaWJsZSB0byB1c2UgYSBtdWx0aXBsZSByZWdyZXNzaW9uIGFuYWx5c2lzIHRvIGNvbmNsdWRlIHRoYXQgc2Vuc29yeSBwaGVub21lbmEsIHRpY3MsIGFuZCBPQ1MgcHJlZGljdCBnbG9iYWwgZnVuY3Rpb25pbmcgaW4gYWRvbGVzY2VudHMgYW5kIGFkdWx0cyB3aXRoIFRTLiBIb3dldmVyLCBpdCB3YXMgc3VnZ2VzdGVkIHRoYXQgZnVydGhlciBpbnZlc3RpZ2F0aW9uIG9mIHRoaXMgcmVsYXRpb25zaGlwIHdvdWxkIGJlIG1lYW5pbmdmdWwuIiwidm9sdW1lIjoiMTEiLCJjb250YWluZXItdGl0bGUtc2hvcnQiOiIifSwiaXNUZW1wb3JhcnkiOmZhbHNlfV19&quot;,&quot;citationItems&quot;:[{&quot;id&quot;:&quot;bfd57381-6e9a-33ae-87c1-4b57b0c6c3a9&quot;,&quot;itemData&quot;:{&quot;type&quot;:&quot;article-journal&quot;,&quot;id&quot;:&quot;bfd57381-6e9a-33ae-87c1-4b57b0c6c3a9&quot;,&quot;title&quot;:&quot;Changes in Sensory Phenomena, Tics, Obsessive-Compulsive Symptoms, and Global Functioning of Tourette Syndrome: A Follow-Up After Four Years&quot;,&quot;groupId&quot;:&quot;07d62ac1-5aa8-39af-b49e-52d2088ac571&quot;,&quot;author&quot;:[{&quot;family&quot;:&quot;Kano&quot;,&quot;given&quot;:&quot;Y&quot;,&quot;parse-names&quot;:false,&quot;dropping-particle&quot;:&quot;&quot;,&quot;non-dropping-particle&quot;:&quot;&quot;},{&quot;family&quot;:&quot;Fujio&quot;,&quot;given&quot;:&quot;M&quot;,&quot;parse-names&quot;:false,&quot;dropping-particle&quot;:&quot;&quot;,&quot;non-dropping-particle&quot;:&quot;&quot;},{&quot;family&quot;:&quot;Kaji&quot;,&quot;given&quot;:&quot;N&quot;,&quot;parse-names&quot;:false,&quot;dropping-particle&quot;:&quot;&quot;,&quot;non-dropping-particle&quot;:&quot;&quot;},{&quot;family&quot;:&quot;Matsuda&quot;,&quot;given&quot;:&quot;N&quot;,&quot;parse-names&quot;:false,&quot;dropping-particle&quot;:&quot;&quot;,&quot;non-dropping-particle&quot;:&quot;&quot;},{&quot;family&quot;:&quot;Nonaka&quot;,&quot;given&quot;:&quot;M&quot;,&quot;parse-names&quot;:false,&quot;dropping-particle&quot;:&quot;&quot;,&quot;non-dropping-particle&quot;:&quot;&quot;},{&quot;family&quot;:&quot;Kono&quot;,&quot;given&quot;:&quot;T&quot;,&quot;parse-names&quot;:false,&quot;dropping-particle&quot;:&quot;&quot;,&quot;non-dropping-particle&quot;:&quot;&quot;}],&quot;container-title&quot;:&quot;Front Psychiatry&quot;,&quot;DOI&quot;:&quot;10.3389/fpsyt.2020.00619&quot;,&quot;PMID&quot;:&quot;32695033&quot;,&quot;issued&quot;:{&quot;date-parts&quot;:[[2020]]},&quot;page&quot;:&quot;619&quot;,&quot;abstract&quot;:&quot;Sensory phenomena and related features of Tourette syndrome are related to poorer quality of life. Therefore, sensory phenomena might also have a negative impact on global functioning. However, the influence of sensory phenomena, tics, and obsessive-compulsive symptoms (OCS) on global functioning after several years of usual treatment has not been investigated. Twenty out of 45 Japanese patients with Tourette syndrome who had previously undergone an evaluation of these clinical features were assessed again after an average of four years. We conducted a panel of assessments for premonitory urges, broader sensory phenomena, tic severity, OCS, and global functioning. Based on Pearson's correlation coefficient, current global functioning was significantly negatively correlated with previous tics and marginally negatively correlated with previous broader sensory phenomena. Current global functioning was marginally correlated with change in tics. Change in global functioning was significantly correlated with change in OCS and marginally correlated with change in premonitory urges. Due to the small sample size, it was not possible to use a multiple regression analysis to conclude that sensory phenomena, tics, and OCS predict global functioning in adolescents and adults with TS. However, it was suggested that further investigation of this relationship would be meaningful.&quot;,&quot;volume&quot;:&quot;11&quot;,&quot;container-title-short&quot;:&quot;&quot;},&quot;isTemporary&quot;:false}]},{&quot;citationID&quot;:&quot;MENDELEY_CITATION_59ca6c7b-41c3-4186-aa52-f20e82a3dec4&quot;,&quot;properties&quot;:{&quot;noteIndex&quot;:0},&quot;isEdited&quot;:false,&quot;manualOverride&quot;:{&quot;isManuallyOverridden&quot;:false,&quot;citeprocText&quot;:&quot;(11)&quot;,&quot;manualOverrideText&quot;:&quot;&quot;},&quot;citationTag&quot;:&quot;MENDELEY_CITATION_v3_eyJjaXRhdGlvbklEIjoiTUVOREVMRVlfQ0lUQVRJT05fNTljYTZjN2ItNDFjMy00MTg2LWFhNTItZjIwZTgyYTNkZWM0IiwicHJvcGVydGllcyI6eyJub3RlSW5kZXgiOjB9LCJpc0VkaXRlZCI6ZmFsc2UsIm1hbnVhbE92ZXJyaWRlIjp7ImlzTWFudWFsbHlPdmVycmlkZGVuIjpmYWxzZSwiY2l0ZXByb2NUZXh0IjoiKDExKSIsIm1hbnVhbE92ZXJyaWRlVGV4dCI6IiJ9LCJjaXRhdGlvbkl0ZW1zIjpbeyJpZCI6ImFkZTRmY2VmLTdmOTYtMzkwZC04MDY3LTIwMWQzNGI1ODJhYiIsIml0ZW1EYXRhIjp7InR5cGUiOiJhcnRpY2xlLWpvdXJuYWwiLCJpZCI6ImFkZTRmY2VmLTdmOTYtMzkwZC04MDY3LTIwMWQzNGI1ODJhYiIsInRpdGxlIjoiQ29udmVyZ2VudCB2YWxpZGl0eSBvZiB0aGUgUFVUUyIsImdyb3VwSWQiOiIwN2Q2MmFjMS01YWE4LTM5YWYtYjQ5ZS01MmQyMDg4YWM1NzEiLCJhdXRob3IiOlt7ImZhbWlseSI6IkJyYW5kdCIsImdpdmVuIjoiVmFsZXJpZSBDYXRow6lyaW5lIiwicGFyc2UtbmFtZXMiOmZhbHNlLCJkcm9wcGluZy1wYXJ0aWNsZSI6IiIsIm5vbi1kcm9wcGluZy1wYXJ0aWNsZSI6IiJ9LHsiZmFtaWx5IjoiQmVjayIsImdpdmVuIjoiQ2hyaXN0aWFuIiwicGFyc2UtbmFtZXMiOmZhbHNlLCJkcm9wcGluZy1wYXJ0aWNsZSI6IiIsIm5vbi1kcm9wcGluZy1wYXJ0aWNsZSI6IiJ9LHsiZmFtaWx5IjoiU2FqaW4iLCJnaXZlbiI6IlZhbGVyaWEiLCJwYXJzZS1uYW1lcyI6ZmFsc2UsImRyb3BwaW5nLXBhcnRpY2xlIjoiIiwibm9uLWRyb3BwaW5nLXBhcnRpY2xlIjoiIn0seyJmYW1pbHkiOiJBbmRlcnMiLCJnaXZlbiI6IlNpbGtlIiwicGFyc2UtbmFtZXMiOmZhbHNlLCJkcm9wcGluZy1wYXJ0aWNsZSI6IiIsIm5vbi1kcm9wcGluZy1wYXJ0aWNsZSI6IiJ9LHsiZmFtaWx5IjoiTcO8bmNoYXUiLCJnaXZlbiI6IkFsZXhhbmRlciIsInBhcnNlLW5hbWVzIjpmYWxzZSwiZHJvcHBpbmctcGFydGljbGUiOiIiLCJub24tZHJvcHBpbmctcGFydGljbGUiOiIifV0sImNvbnRhaW5lci10aXRsZSI6IkZyb250aWVycyBpbiBQc3ljaGlhdHJ5IiwiRE9JIjoiMTAuMzM4OS9mcHN5dC4yMDE2LjAwMDUxIiwiSVNTTiI6IjE2NjQwNjQwIiwiaXNzdWVkIjp7ImRhdGUtcGFydHMiOltbMjAxNiw0LDddXX0sImFic3RyYWN0IjoiUHJlbW9uaXRvcnkgdXJnZXMgYXJlIGEgY2FyZGluYWwgZmVhdHVyZSBpbiBHaWxsZXMgZGUgbGEgVG91cmV0dGUgc3luZHJvbWUuIFNldmVyaXR5IG9mIHByZW1vbml0b3J5IHVyZ2VzIGNhbiBiZSBhc3Nlc3NlZCB3aXRoIHRoZSBcIlByZW1vbml0b3J5IFVyZ2UgZm9yIFRpYyBEaXNvcmRlcnMgU2NhbGVcIiAoUFVUUykuIEhvd2V2ZXIsIGNvbnZlcmdlbnQgdmFsaWRpdHkgb2YgdGhlIG1lYXN1cmUgaGFzIGJlZW4gZGlmZmljdWx0IHRvIGFzc2VzcyBkdWUgdG8gdGhlIGxhY2sgb2Ygb3RoZXIgdXJnZSBtZWFzdXJlcy4gV2UgaW52ZXN0aWdhdGVkIHRoZSByZWxhdGlvbnNoaXAgYmV0d2VlbiBhdmVyYWdlIHJlYWwtdGltZSB1cmdlIGludGVuc2l0eSBhc3Nlc3NlZCBieSBhbiBpbi1ob3VzZSBkZXZlbG9wZWQgcmVhbC10aW1lIHVyZ2UgbW9uaXRvciAoUlVNKSwgbWVhc3VyaW5nIHVyZ2UgaW50ZW5zaXR5IGNvbnRpbnVvdXNseSBmb3IgNSBtaW4gb24gYSB2aXN1YWwgYW5hbG9nIHNjYWxlLCBhbmQgZ2VuZXJhbCB1cmdlIGludGVuc2l0eSBhc3Nlc3NlZCBieSB0aGUgUFVUUyBpbiAyMiBhZHVsdCBUb3VyZXR0ZSBwYXRpZW50cyAobWVhbiBhZ2UgMjkuOCDCsSAxMC4zIFNELCAxOSBtYWxlcykuIEFkZGl0aW9uYWxseSwgdW5kZXJseWluZyBmYWN0b3JzIG9mIHByZW1vbml0b3J5IHVyZ2VzIGFzc2Vzc2VkIGJ5IHRoZSBQVVRTIHdlcmUgaW52ZXN0aWdhdGVkIGluIHRoZSBhZHVsdCBzYW1wbGUgdXNpbmcgZmFjdG9yIGFuYWx5c2lzIGFuZCB3ZXJlIHJlcGxpY2F0ZWQgaW4gNDAgY2hpbGRyZW4gYW5kIGFkb2xlc2NlbnRzIGRpYWdub3NlZCB3aXRoIFRvdXJldHRlIHN5bmRyb21lIChtZWFuIGFnZSAxMi4wNSDCsSAyLjgzIFNELCAzMSBtYWxlcykuIENyb25iYWNoJ3MgYSBmb3IgdGhlIFBVVFMgMTAgd2FzIGFjY2VwdGFibGUgKM6xID0gMC43OSkgaW4gdGhlIGFkdWx0IHNhbXBsZS4gQ29udmVyZ2VudCB2YWxpZGl0eSBiZXR3ZWVuIGF2ZXJhZ2UgcmVhbC10aW1lIHVyZ2UgaW50ZW5zaXR5IHNjb3JlcyAoYXMgYXNzZXNzZWQgd2l0aCB0aGUgUlVNKSBhbmQgdGhlIDEwLWl0ZW0gdmVyc2lvbiBvZiB0aGUgUFVUUyAociA9IDAuNjQpIGFuZCB0aGUgOS1pdGVtIHZlcnNpb24gb2YgdGhlIFBVVFMgKHIgPSAwLjY2KSB3YXMgZ29vZC4gQSBmYWN0b3IgYW5hbHlzaXMgaW5jbHVkaW5nIHRoZSAxMCBpdGVtcyBvZiB0aGUgUFVUUyBhbmQgYXZlcmFnZSByZWFsLXRpbWUgdXJnZSBpbnRlbnNpdHkgc2NvcmVzIHJldmVhbGVkIHRocmVlIGZhY3RvcnMuIE9uZSBmYWN0b3IgaW5jbHVkZWQgdGhlIGF2ZXJhZ2UgcmVhbC10aW1lIHVyZ2UgaW50ZW5zaXR5IHNjb3JlIGFuZCBhcHBlYXJlZCB0byBtZWFzdXJlIHVyZ2UgaW50ZW5zaXR5LCB3aGVyZWFzIHRoZSBvdGhlciB0d28gZmFjdG9ycyBjYW4gYmUgYXNzdW1lZCB0byByZWZsZWN0IHRoZSAoc2Vuc29yeSkgcXVhbGl0eSBvZiB1cmdlcyBhbmQgc3ViamVjdGl2ZSBjb250cm9sLCByZXNwZWN0aXZlbHkuIFRoZSBmYWN0b3Igc3RydWN0dXJlIG9mIHRoZSAxMCBQVVRTIGl0ZW1zIGFsb25lIHdhcyByZXBsaWNhdGVkIGluIGEgc2FtcGxlIG9mIGNoaWxkcmVuIGFuZCBhZG9sZXNjZW50cy4gVGhlIHJlc3VsdHMgaW5kaWNhdGUgdGhhdCBjb252ZXJnZW50IHZhbGlkaXR5IGJldHdlZW4gdGhlIFBVVFMgYW5kIHRoZSByZWFsLXRpbWUgdXJnZSBhc3Nlc3NtZW50IG1vbml0b3IgaXMgZ29vZC4gRnVydGhlcm1vcmUsIHRoZSByZXN1bHRzIHN1Z2dlc3QgdGhhdCB0aGUgUFVUUyBtaWdodCBhc3Nlc3MgbW9yZSB0aGFuIG9uZSBkaW1lbnNpb24gb2YgdXJnZXMsIGFuZCBpdCBtYXkgYmUgd29ydGh3aGlsZSBkZXZlbG9waW5nIGRpZmZlcmVudCBzdWJzY2FsZXMgb2YgdGhlIFBVVFMgYXNzZXNzaW5nIHByZW1vbml0b3J5IHVyZ2VzIGluIHRlcm1zIG9mIGludGVuc2l0eSBhbmQgcXVhbGl0eSwgYXMgd2VsbCBhcyBzdWJqZWN0aXZlbHkgZXhwZXJpZW5jZWQgY29udHJvbCBvdmVyIHRpY3MgYW5kIHByZW1vbml0b3J5IHVyZ2VzLiIsInB1Ymxpc2hlciI6IkZyb250aWVycyBSZXNlYXJjaCBGb3VuZGF0aW9uIiwiaXNzdWUiOiJBUFIiLCJ2b2x1bWUiOiI3IiwiY29udGFpbmVyLXRpdGxlLXNob3J0IjoiRnJvbnQgUHN5Y2hpYXRyeSJ9LCJpc1RlbXBvcmFyeSI6ZmFsc2V9XX0=&quot;,&quot;citationItems&quot;:[{&quot;id&quot;:&quot;ade4fcef-7f96-390d-8067-201d34b582ab&quot;,&quot;itemData&quot;:{&quot;type&quot;:&quot;article-journal&quot;,&quot;id&quot;:&quot;ade4fcef-7f96-390d-8067-201d34b582ab&quot;,&quot;title&quot;:&quot;Convergent validity of the PUTS&quot;,&quot;groupId&quot;:&quot;07d62ac1-5aa8-39af-b49e-52d2088ac571&quot;,&quot;author&quot;:[{&quot;family&quot;:&quot;Brandt&quot;,&quot;given&quot;:&quot;Valerie Cathérine&quot;,&quot;parse-names&quot;:false,&quot;dropping-particle&quot;:&quot;&quot;,&quot;non-dropping-particle&quot;:&quot;&quot;},{&quot;family&quot;:&quot;Beck&quot;,&quot;given&quot;:&quot;Christian&quot;,&quot;parse-names&quot;:false,&quot;dropping-particle&quot;:&quot;&quot;,&quot;non-dropping-particle&quot;:&quot;&quot;},{&quot;family&quot;:&quot;Sajin&quot;,&quot;given&quot;:&quot;Valeria&quot;,&quot;parse-names&quot;:false,&quot;dropping-particle&quot;:&quot;&quot;,&quot;non-dropping-particle&quot;:&quot;&quot;},{&quot;family&quot;:&quot;Anders&quot;,&quot;given&quot;:&quot;Silke&quot;,&quot;parse-names&quot;:false,&quot;dropping-particle&quot;:&quot;&quot;,&quot;non-dropping-particle&quot;:&quot;&quot;},{&quot;family&quot;:&quot;Münchau&quot;,&quot;given&quot;:&quot;Alexander&quot;,&quot;parse-names&quot;:false,&quot;dropping-particle&quot;:&quot;&quot;,&quot;non-dropping-particle&quot;:&quot;&quot;}],&quot;container-title&quot;:&quot;Frontiers in Psychiatry&quot;,&quot;DOI&quot;:&quot;10.3389/fpsyt.2016.00051&quot;,&quot;ISSN&quot;:&quot;16640640&quot;,&quot;issued&quot;:{&quot;date-parts&quot;:[[2016,4,7]]},&quot;abstract&quot;:&quot;Premonitory urges are a cardinal feature in Gilles de la Tourette syndrome. Severity of premonitory urges can be assessed with the \&quot;Premonitory Urge for Tic Disorders Scale\&quot; (PUTS). However, convergent validity of the measure has been difficult to assess due to the lack of other urge measures. We investigated the relationship between average real-time urge intensity assessed by an in-house developed real-time urge monitor (RUM), measuring urge intensity continuously for 5 min on a visual analog scale, and general urge intensity assessed by the PUTS in 22 adult Tourette patients (mean age 29.8 ± 10.3 SD, 19 males). Additionally, underlying factors of premonitory urges assessed by the PUTS were investigated in the adult sample using factor analysis and were replicated in 40 children and adolescents diagnosed with Tourette syndrome (mean age 12.05 ± 2.83 SD, 31 males). Cronbach's a for the PUTS 10 was acceptable (α = 0.79) in the adult sample. Convergent validity between average real-time urge intensity scores (as assessed with the RUM) and the 10-item version of the PUTS (r = 0.64) and the 9-item version of the PUTS (r = 0.66) was good. A factor analysis including the 10 items of the PUTS and average real-time urge intensity scores revealed three factors. One factor included the average real-time urge intensity score and appeared to measure urge intensity, whereas the other two factors can be assumed to reflect the (sensory) quality of urges and subjective control, respectively. The factor structure of the 10 PUTS items alone was replicated in a sample of children and adolescents. The results indicate that convergent validity between the PUTS and the real-time urge assessment monitor is good. Furthermore, the results suggest that the PUTS might assess more than one dimension of urges, and it may be worthwhile developing different subscales of the PUTS assessing premonitory urges in terms of intensity and quality, as well as subjectively experienced control over tics and premonitory urges.&quot;,&quot;publisher&quot;:&quot;Frontiers Research Foundation&quot;,&quot;issue&quot;:&quot;APR&quot;,&quot;volume&quot;:&quot;7&quot;,&quot;container-title-short&quot;:&quot;Front Psychiatry&quot;},&quot;isTemporary&quot;:false}]},{&quot;citationID&quot;:&quot;MENDELEY_CITATION_d4456973-7b28-4160-9982-4e557493c2e2&quot;,&quot;properties&quot;:{&quot;noteIndex&quot;:0},&quot;isEdited&quot;:false,&quot;manualOverride&quot;:{&quot;isManuallyOverridden&quot;:false,&quot;citeprocText&quot;:&quot;(42)&quot;,&quot;manualOverrideText&quot;:&quot;&quot;},&quot;citationTag&quot;:&quot;MENDELEY_CITATION_v3_eyJjaXRhdGlvbklEIjoiTUVOREVMRVlfQ0lUQVRJT05fZDQ0NTY5NzMtN2IyOC00MTYwLTk5ODItNGU1NTc0OTNjMmUyIiwicHJvcGVydGllcyI6eyJub3RlSW5kZXgiOjB9LCJpc0VkaXRlZCI6ZmFsc2UsIm1hbnVhbE92ZXJyaWRlIjp7ImlzTWFudWFsbHlPdmVycmlkZGVuIjpmYWxzZSwiY2l0ZXByb2NUZXh0IjoiKDQyKSIsIm1hbnVhbE92ZXJyaWRlVGV4dCI6IiJ9LCJjaXRhdGlvbkl0ZW1zIjpbeyJpZCI6IjZlZGZkMjczLWQ4NGQtMzQwYS05MzhhLTQ0M2MyZmI3NzIxYyIsIml0ZW1EYXRhIjp7InR5cGUiOiJhcnRpY2xlLWpvdXJuYWwiLCJpZCI6IjZlZGZkMjczLWQ4NGQtMzQwYS05MzhhLTQ0M2MyZmI3NzIxYyIsInRpdGxlIjoiQWx0ZXJlZCBzeW5hcHRpYyBwbGFzdGljaXR5IGluIFRvdXJldHRlJ3Mgc3luZHJvbWUgYW5kIGl0cyByZWxhdGlvbnNoaXAgdG8gbW90b3Igc2tpbGwgbGVhcm5pbmciLCJncm91cElkIjoiMDdkNjJhYzEtNWFhOC0zOWFmLWI0OWUtNTJkMjA4OGFjNTcxIiwiYXV0aG9yIjpbeyJmYW1pbHkiOiJCcmFuZHQiLCJnaXZlbiI6IlYgQyIsInBhcnNlLW5hbWVzIjpmYWxzZSwiZHJvcHBpbmctcGFydGljbGUiOiIiLCJub24tZHJvcHBpbmctcGFydGljbGUiOiIifSx7ImZhbWlseSI6Ik5pZXNzZW4iLCJnaXZlbiI6IkUiLCJwYXJzZS1uYW1lcyI6ZmFsc2UsImRyb3BwaW5nLXBhcnRpY2xlIjoiIiwibm9uLWRyb3BwaW5nLXBhcnRpY2xlIjoiIn0seyJmYW1pbHkiOiJHYW5vcyIsImdpdmVuIjoiQyIsInBhcnNlLW5hbWVzIjpmYWxzZSwiZHJvcHBpbmctcGFydGljbGUiOiIiLCJub24tZHJvcHBpbmctcGFydGljbGUiOiIifSx7ImZhbWlseSI6IkthaGwiLCJnaXZlbiI6IlUiLCJwYXJzZS1uYW1lcyI6ZmFsc2UsImRyb3BwaW5nLXBhcnRpY2xlIjoiIiwibm9uLWRyb3BwaW5nLXBhcnRpY2xlIjoiIn0seyJmYW1pbHkiOiJCw6R1bWVyIiwiZ2l2ZW4iOiJUIiwicGFyc2UtbmFtZXMiOmZhbHNlLCJkcm9wcGluZy1wYXJ0aWNsZSI6IiIsIm5vbi1kcm9wcGluZy1wYXJ0aWNsZSI6IiJ9LHsiZmFtaWx5IjoiTcO8bmNoYXUiLCJnaXZlbiI6IkEiLCJwYXJzZS1uYW1lcyI6ZmFsc2UsImRyb3BwaW5nLXBhcnRpY2xlIjoiIiwibm9uLWRyb3BwaW5nLXBhcnRpY2xlIjoiIn1dLCJjb250YWluZXItdGl0bGUiOiJQTG9TIE9uZSIsIkRPSSI6IjEwLjEzNzEvam91cm5hbC5wb25lLjAwOTg0MTciLCJQTUlEIjoiMjQ4Nzg2NjUiLCJpc3N1ZWQiOnsiZGF0ZS1wYXJ0cyI6W1syMDE0XV19LCJwYWdlIjoiZTk4NDE3LSIsImFic3RyYWN0IjoiR2lsbGVzIGRlIGxhIFRvdXJldHRlIHN5bmRyb21lIGlzIGEgbmV1cm9wc3ljaGlhdHJpYyBkaXNvcmRlciBjaGFyYWN0ZXJpemVkIGJ5IG1vdG9yIGFuZCBwaG9uaWMgdGljcyB0aGF0IGNhbiBiZSBjb25zaWRlcmVkIG1vdG9yIHJlc3BvbnNlcyB0byBwcmVjZWRpbmcgaW5uZXIgdXJnZXMuIEl0IGhhcyBiZWVuIHNob3duIHRoYXQgVG91cmV0dGUgcGF0aWVudHMgaGF2ZSBpbmZlcmlvciBwZXJmb3JtYW5jZSBpbiBzb21lIG1vdG9yIGxlYXJuaW5nIHRhc2tzIGFuZCByZWR1Y2VkIHN5bmFwdGljIHBsYXN0aWNpdHkgaW5kdWNlZCBieSB0cmFuc2NyYW5pYWwgbWFnbmV0aWMgc3RpbXVsYXRpb24uIEhvd2V2ZXIsIGl0IGhhcyBub3QgYmVlbiBpbnZlc3RpZ2F0ZWQgd2hldGhlciBhbHRlcmVkIHN5bmFwdGljIHBsYXN0aWNpdHkgaXMgZGlyZWN0bHkgbGlua2VkIHRvIGltcGFpcmVkIG1vdG9yIHNraWxsIGFjcXVpc2l0aW9uIGluIFRvdXJldHRlIHBhdGllbnRzLiBJbiB0aGlzIHN0dWR5LCBjb3J0aWNhbCBwbGFzdGljaXR5IHdhcyBhc3Nlc3NlZCBieSBtZWFzdXJpbmcgbW90b3ItZXZva2VkIHBvdGVudGlhbHMgYmVmb3JlIGFuZCBhZnRlciBwYWlyZWQgYXNzb2NpYXRpdmUgc3RpbXVsYXRpb24gaW4gMTQgVG91cmV0dGUgcGF0aWVudHMgKDEzIG1hbGU7IGFnZSAxOC0zOSkgYW5kIDE1IGhlYWx0aHkgY29udHJvbHMgKDEyIG1hbGU7IGFnZSAxOC0zMykuIFRpYyBhbmQgdXJnZSBzZXZlcml0eSB3ZXJlIGFzc2Vzc2VkIHVzaW5nIHRoZSBZYWxlIEdsb2JhbCBUaWMgU2V2ZXJpdHkgU2NhbGUgYW5kIHRoZSBQcmVtb25pdG9yeSBVcmdlcyBmb3IgVGljcyBTY2FsZS4gTW90b3IgbGVhcm5pbmcgd2FzIGFzc2Vzc2VkIDQ1IG1pbnV0ZXMgYWZ0ZXIgaW5kdWNpbmcgc3luYXB0aWMgcGxhc3RpY2l0eSBhbmQgOSBtb250aHMgbGF0ZXIsIHVzaW5nIHRoZSByb3RhcnkgcHVyc3VpdCB0YXNrLiBPbiBhdmVyYWdlLCBsb25nLXRlcm0gcG90ZW50aWF0aW9uLWxpa2UgZWZmZWN0cyBpbiByZXNwb25zZSB0byB0aGUgcGFpcmVkIGFzc29jaWF0aXZlIHN0aW11bGF0aW9uIHdlcmUgcHJlc2VudCBpbiBoZWFsdGh5IGNvbnRyb2xzIGJ1dCBub3QgaW4gcGF0aWVudHMuIEluIFRvdXJldHRlIHBhdGllbnRzLCBsb25nLXRlcm0gcG90ZW50aWF0aW9uLWxpa2UgZWZmZWN0cyB3ZXJlIGFzc29jaWF0ZWQgd2l0aCBtb3JlIGFuZCBsb25nLXRlcm0gZGVwcmVzc2lvbi1saWtlIGVmZmVjdHMgd2l0aCBsZXNzIHNldmVyZSB1cmdlcyBhbmQgdGljcy4gV2hpbGUgbW90b3IgbGVhcm5pbmcgZGlkIG5vdCBkaWZmZXIgYmV0d2VlbiBwYXRpZW50cyBhbmQgaGVhbHRoeSBjb250cm9scyA0NSBtaW51dGVzIGFmdGVyIGluZHVjaW5nIHN5bmFwdGljIHBsYXN0aWNpdHksIHRoZSBsZWFybmluZyBjdXJ2ZSBvZiB0aGUgaGVhbHRoeSBjb250cm9scyBzdGFydGVkIGF0IGEgc2lnbmlmaWNhbnRseSBoaWdoZXIgbGV2ZWwgdGhhbiB0aGUgVG91cmV0dGUgcGF0aWVudHMnIDkgbW9udGhzIGxhdGVyLiBJbmR1Y2VkIHN5bmFwdGljIHBsYXN0aWNpdHkgY29ycmVsYXRlZCBwb3NpdGl2ZWx5IHdpdGggbW90b3Igc2tpbGxzIGluIGhlYWx0aHkgY29udHJvbHMgOSBtb250aHMgbGF0ZXIuIFRoZSBwcmVzZW50IHN0dWR5IGNvbmZpcm1zIHByZXZpb3VzbHkgZm91bmQgbG9uZy10ZXJtIGltcHJvdmVtZW50IGluIG1vdG9yIHBlcmZvcm1hbmNlIGFmdGVyIHBhaXJlZCBhc3NvY2lhdGl2ZSBzdGltdWxhdGlvbiBpbiBoZWFsdGh5IGNvbnRyb2xzIGJ1dCBub3QgaW4gVG91cmV0dGUgcGF0aWVudHMuIFRvdXJldHRlIHBhdGllbnRzIGRpZCBub3Qgc2hvdyBsb25nLXRlcm0gcG90ZW50aWF0aW9uIGluIHJlc3BvbnNlIHRvIFBBUyBhbmQgYWxzbyBzaG93ZWQgcmVkdWNlZCBsZXZlbHMgb2YgbW90b3Igc2tpbGwgY29uc29saWRhdGlvbiBhZnRlciA5IG1vbnRocyBjb21wYXJlZCB0byBoZWFsdGh5IGNvbnRyb2xzLiBNb3Jlb3Zlciwgc3luYXB0aWMgcGxhc3RpY2l0eSBhcHBlYXJzIHRvIGJlIHJlbGF0ZWQgdG8gc3ltcHRvbSBzZXZlcml0eS4iLCJpc3N1ZSI6IjUiLCJ2b2x1bWUiOiI5IiwiY29udGFpbmVyLXRpdGxlLXNob3J0IjoiUExvUyBPbmUifSwiaXNUZW1wb3JhcnkiOmZhbHNlfV19&quot;,&quot;citationItems&quot;:[{&quot;id&quot;:&quot;6edfd273-d84d-340a-938a-443c2fb7721c&quot;,&quot;itemData&quot;:{&quot;type&quot;:&quot;article-journal&quot;,&quot;id&quot;:&quot;6edfd273-d84d-340a-938a-443c2fb7721c&quot;,&quot;title&quot;:&quot;Altered synaptic plasticity in Tourette's syndrome and its relationship to motor skill learning&quot;,&quot;groupId&quot;:&quot;07d62ac1-5aa8-39af-b49e-52d2088ac571&quot;,&quot;author&quot;:[{&quot;family&quot;:&quot;Brandt&quot;,&quot;given&quot;:&quot;V C&quot;,&quot;parse-names&quot;:false,&quot;dropping-particle&quot;:&quot;&quot;,&quot;non-dropping-particle&quot;:&quot;&quot;},{&quot;family&quot;:&quot;Niessen&quot;,&quot;given&quot;:&quot;E&quot;,&quot;parse-names&quot;:false,&quot;dropping-particle&quot;:&quot;&quot;,&quot;non-dropping-particle&quot;:&quot;&quot;},{&quot;family&quot;:&quot;Ganos&quot;,&quot;given&quot;:&quot;C&quot;,&quot;parse-names&quot;:false,&quot;dropping-particle&quot;:&quot;&quot;,&quot;non-dropping-particle&quot;:&quot;&quot;},{&quot;family&quot;:&quot;Kahl&quot;,&quot;given&quot;:&quot;U&quot;,&quot;parse-names&quot;:false,&quot;dropping-particle&quot;:&quot;&quot;,&quot;non-dropping-particle&quot;:&quot;&quot;},{&quot;family&quot;:&quot;Bäumer&quot;,&quot;given&quot;:&quot;T&quot;,&quot;parse-names&quot;:false,&quot;dropping-particle&quot;:&quot;&quot;,&quot;non-dropping-particle&quot;:&quot;&quot;},{&quot;family&quot;:&quot;Münchau&quot;,&quot;given&quot;:&quot;A&quot;,&quot;parse-names&quot;:false,&quot;dropping-particle&quot;:&quot;&quot;,&quot;non-dropping-particle&quot;:&quot;&quot;}],&quot;container-title&quot;:&quot;PLoS One&quot;,&quot;DOI&quot;:&quot;10.1371/journal.pone.0098417&quot;,&quot;PMID&quot;:&quot;24878665&quot;,&quot;issued&quot;:{&quot;date-parts&quot;:[[2014]]},&quot;page&quot;:&quot;e98417-&quot;,&quot;abstract&quot;:&quot;Gilles de la Tourette syndrome is a neuropsychiatric disorder characterized by motor and phonic tics that can be considered motor responses to preceding inner urges. It has been shown that Tourette patients have inferior performance in some motor learning tasks and reduced synaptic plasticity induced by transcranial magnetic stimulation. However, it has not been investigated whether altered synaptic plasticity is directly linked to impaired motor skill acquisition in Tourette patients. In this study, cortical plasticity was assessed by measuring motor-evoked potentials before and after paired associative stimulation in 14 Tourette patients (13 male; age 18-39) and 15 healthy controls (12 male; age 18-33). Tic and urge severity were assessed using the Yale Global Tic Severity Scale and the Premonitory Urges for Tics Scale. Motor learning was assessed 45 minutes after inducing synaptic plasticity and 9 months later, using the rotary pursuit task. On average, long-term potentiation-like effects in response to the paired associative stimulation were present in healthy controls but not in patients. In Tourette patients, long-term potentiation-like effects were associated with more and long-term depression-like effects with less severe urges and tics. While motor learning did not differ between patients and healthy controls 45 minutes after inducing synaptic plasticity, the learning curve of the healthy controls started at a significantly higher level than the Tourette patients' 9 months later. Induced synaptic plasticity correlated positively with motor skills in healthy controls 9 months later. The present study confirms previously found long-term improvement in motor performance after paired associative stimulation in healthy controls but not in Tourette patients. Tourette patients did not show long-term potentiation in response to PAS and also showed reduced levels of motor skill consolidation after 9 months compared to healthy controls. Moreover, synaptic plasticity appears to be related to symptom severity.&quot;,&quot;issue&quot;:&quot;5&quot;,&quot;volume&quot;:&quot;9&quot;,&quot;container-title-short&quot;:&quot;PLoS One&quot;},&quot;isTemporary&quot;:false}]},{&quot;citationID&quot;:&quot;MENDELEY_CITATION_9ebb9076-674a-4a25-b22f-aff528fc877a&quot;,&quot;properties&quot;:{&quot;noteIndex&quot;:0},&quot;isEdited&quot;:false,&quot;manualOverride&quot;:{&quot;isManuallyOverridden&quot;:false,&quot;citeprocText&quot;:&quot;(43)&quot;,&quot;manualOverrideText&quot;:&quot;&quot;},&quot;citationTag&quot;:&quot;MENDELEY_CITATION_v3_eyJjaXRhdGlvbklEIjoiTUVOREVMRVlfQ0lUQVRJT05fOWViYjkwNzYtNjc0YS00YTI1LWIyMmYtYWZmNTI4ZmM4NzdhIiwicHJvcGVydGllcyI6eyJub3RlSW5kZXgiOjB9LCJpc0VkaXRlZCI6ZmFsc2UsIm1hbnVhbE92ZXJyaWRlIjp7ImlzTWFudWFsbHlPdmVycmlkZGVuIjpmYWxzZSwiY2l0ZXByb2NUZXh0IjoiKDQzKSIsIm1hbnVhbE92ZXJyaWRlVGV4dCI6IiJ9LCJjaXRhdGlvbkl0ZW1zIjpbeyJpZCI6ImIxOGVhNzQxLWVlZjYtMzg5ZC05MDIwLTExMzNhOTlhMzgyNCIsIml0ZW1EYXRhIjp7InR5cGUiOiJhcnRpY2xlLWpvdXJuYWwiLCJpZCI6ImIxOGVhNzQxLWVlZjYtMzg5ZC05MDIwLTExMzNhOTlhMzgyNCIsInRpdGxlIjoiVGhlIHByZW1vbml0b3J5IHVyZ2UgcmV2aXNpdGVkOiBBbiBpbmRpdmlkdWFsaXplZCBwcmVtb25pdG9yeSB1cmdlIGZvciB0aWNzIHNjYWxlIiwiZ3JvdXBJZCI6IjA3ZDYyYWMxLTVhYTgtMzlhZi1iNDllLTUyZDIwODhhYzU3MSIsImF1dGhvciI6W3siZmFtaWx5IjoiTWNHdWlyZSIsImdpdmVuIjoiSiBGIiwicGFyc2UtbmFtZXMiOmZhbHNlLCJkcm9wcGluZy1wYXJ0aWNsZSI6IiIsIm5vbi1kcm9wcGluZy1wYXJ0aWNsZSI6IiJ9LHsiZmFtaWx5IjoiTWNCcmlkZSIsImdpdmVuIjoiTiIsInBhcnNlLW5hbWVzIjpmYWxzZSwiZHJvcHBpbmctcGFydGljbGUiOiIiLCJub24tZHJvcHBpbmctcGFydGljbGUiOiIifSx7ImZhbWlseSI6IlBpYWNlbnRpbmkiLCJnaXZlbiI6IkoiLCJwYXJzZS1uYW1lcyI6ZmFsc2UsImRyb3BwaW5nLXBhcnRpY2xlIjoiIiwibm9uLWRyb3BwaW5nLXBhcnRpY2xlIjoiIn0seyJmYW1pbHkiOiJKb2huY28iLCJnaXZlbiI6IkMiLCJwYXJzZS1uYW1lcyI6ZmFsc2UsImRyb3BwaW5nLXBhcnRpY2xlIjoiIiwibm9uLWRyb3BwaW5nLXBhcnRpY2xlIjoiIn0seyJmYW1pbHkiOiJMZXdpbiIsImdpdmVuIjoiQSBCIiwicGFyc2UtbmFtZXMiOmZhbHNlLCJkcm9wcGluZy1wYXJ0aWNsZSI6IiIsIm5vbi1kcm9wcGluZy1wYXJ0aWNsZSI6IiJ9LHsiZmFtaWx5IjoiTXVycGh5IiwiZ2l2ZW4iOiJUIEsiLCJwYXJzZS1uYW1lcyI6ZmFsc2UsImRyb3BwaW5nLXBhcnRpY2xlIjoiIiwibm9uLWRyb3BwaW5nLXBhcnRpY2xlIjoiIn0seyJmYW1pbHkiOiJTdG9yY2giLCJnaXZlbiI6IkUgQSIsInBhcnNlLW5hbWVzIjpmYWxzZSwiZHJvcHBpbmctcGFydGljbGUiOiIiLCJub24tZHJvcHBpbmctcGFydGljbGUiOiIifV0sImNvbnRhaW5lci10aXRsZSI6IkogUHN5Y2hpYXRyIFJlcyIsIkRPSSI6IjEwLjEwMTYvai5qcHN5Y2hpcmVzLjIwMTYuMDkuMDA3IiwiUE1JRCI6IjI3NjQzNDc2IiwiaXNzdWVkIjp7ImRhdGUtcGFydHMiOltbMjAxNl1dfSwicGFnZSI6IjE3Ni0xODMiLCJhYnN0cmFjdCI6IkJBQ0tHUk9VTkQ6IFByZW1vbml0b3J5IHVyZ2UgcmF0aW5ncyBoYXZlIGFkdmFuY2VkIG91ciB1bmRlcnN0YW5kaW5nIG9mIHVyZ2UgcGhlbm9tZW5vbG9neSBhbW9uZyBpbmRpdmlkdWFscyB3aXRoIHRpYyBkaXNvcmRlcnMgKFREKS4gSG93ZXZlciwgdGhlc2UgcmF0aW5ncyBoYXZlIGJlZW4gbGltaXRlZCBieSB0aGVpciByZWxpYW5jZSBvbiBhIHNpbmdsZSBnbG9iYWwgZGltZW5zaW9uIG9mIHVyZ2Ugc2V2ZXJpdHkuIFRoaXMgc3R1ZHkgZXhhbWluZWQgdGhlIHBzeWNob21ldHJpYyBwcm9wZXJ0aWVzIG9mIGEgbm92ZWwgc2NhbGUgY2FsbGVkIHRoZSBJbmRpdmlkdWFsaXplZCBQcmVtb25pdG9yeSBVcmdlIGZvciBUaWNzIFNjYWxlIChJLVBVVFMpIHRoYXQgYXNzZXNzZXMgdXJnZSBzZXZlcml0eSBhY3Jvc3MgbXVsdGlwbGUgZGltZW5zaW9ucyAobnVtYmVyLCBmcmVxdWVuY3ksIGFuZCBpbnRlbnNpdHkpLiBNRVRIT0Q6IFNldmVudHktZml2ZSB5b3V0aCB3aXRoIGEgVEQgYW5kIHRoZWlyIHBhcmVudHMgcGFydGljaXBhdGVkLiBDbGluaWNpYW5zIGFzc2Vzc2VkIHlvdXRoJ3MgdGljIHNldmVyaXR5LCBkZXByZXNzaW9uIHNldmVyaXR5LCByYWdlcywgYW5kIHByZW1vbml0b3J5IHVyZ2VzLiBQYXJlbnRzIGNvbXBsZXRlZCByYXRpbmdzIG9mIHlvdXRoJ3MgYW54aWV0eSwgYWZmZWN0IGxhYmlsaXR5LCBhbmQgZ2VuZXJhbCBwc3ljaG9wYXRob2xvZ3kuIFlvdXRoIGNvbXBsZXRlZCBzZWxmLXJlcG9ydCByYXRpbmdzIG9mIGFueGlldHksIHVyZ2Ugc2V2ZXJpdHksIGFuZCBkaXN0cmVzcyB0b2xlcmFuY2UuIFJFU1VMVFM6IFRoZSBJLVBVVFMgaWRlbnRpZmllZCB0aGF0IHlvdXRoIGV4cGVyaWVuY2VkIGFuIGF2ZXJhZ2Ugb2YgdGhyZWUgZGlzdGluY3QgdXJnZXMsIGJ1dCBoYWQgYW4gYXZlcmFnZSBvZiBzZXZlbiB0aWNzIG92ZXIgdGhlIHBhc3Qgd2Vlay4gVXJnZXMgd2VyZSBwcmltYXJpbHkgbG9jYWxpemVkIGluIHRoZSBoZWFkL2ZhY2UsIG5lY2svdGhyb2F0LCBhbmQgYXJtIHJlZ2lvbnMuIEFsbCBJLVBVVFMgZGltZW5zaW9ucyBleGhpYml0ZWQgZXhjZWxsZW50IGludGVyLXJhdGVyIHJlbGlhYmlsaXR5LiBUaGUgSS1QVVRTIGRpbWVuc2lvbnMgZXhoaWJpdGVkIGdvb2QgY29udmVyZ2VudCB2YWxpZGl0eSB3aXRoIGdsb2JhbCB1cmdlIHJhdGluZ3MgYW5kIHRpYyBzZXZlcml0eSwgYW5kIGFwcHJvcHJpYXRlIGRpdmVyZ2VudCB2YWxpZGl0eSBmcm9tIG90aGVyIGNsaW5pY2FsIGNvbnN0cnVjdHMuIFlvdXRoIHdobyBleGhpYml0ZWQgZGlzY3JlcGFudCByZXBvcnRzIGJldHdlZW4gY2xpbmljaWFuLWFkbWluaXN0ZXJlZCBhbmQgc2VsZi1yZXBvcnQgdXJnZSByYXRpbmdzIGhhZCBsZXNzIGFueGlldHkgYW5kIHRpYyBzZXZlcml0eSwgYW5kIGdyZWF0ZXIgaW5hdHRlbnRpb24gYW5kIGV4dGVybmFsaXppbmcgcHJvYmxlbXMgY29tcGFyZWQgdG8geW91dGggd2hvIGV4aGliaXRlZCBnb29kIGFncmVlbWVudC4gQ09OQ0xVU0lPTlM6IFRoZSBJLVBVVFMgaXMgYSByZWxpYWJsZSBhbmQgdmFsaWQgYXNzZXNzbWVudCBvZiB1cmdlIHBoZW5vbWVuYSwgd2hpY2ggcHJvdmlkZXMgYWRkaXRpb25hbCBhbmQgY29tcGxlbWVudGFyeSBpbmZvcm1hdGlvbiB0byBleGlzdGluZyB1cmdlIHNjYWxlcy4gSXQgaGlnaGxpZ2h0cyB0aGUgZXhpc3RlbmNlIG9mIG11bHRpcGxlIGRpbWVuc2lvbnMgb2YgdXJnZSBzZXZlcml0eSwgYW5kIHByZXNlbnRzIHBhcnRpY3VsYXIgdXRpbGl0eSB3aGVuIGFzc2Vzc2luZyB1cmdlcyBpbiB5b3V0aCB3aXRoIFREIHdobyBoYXZlIGluYXR0ZW50aW9uIGFuZCBleHRlcm5hbGl6aW5nIHByb2JsZW1zLiIsInZvbHVtZSI6IjgzIiwiY29udGFpbmVyLXRpdGxlLXNob3J0IjoiIn0sImlzVGVtcG9yYXJ5IjpmYWxzZX1dfQ==&quot;,&quot;citationItems&quot;:[{&quot;id&quot;:&quot;b18ea741-eef6-389d-9020-1133a99a3824&quot;,&quot;itemData&quot;:{&quot;type&quot;:&quot;article-journal&quot;,&quot;id&quot;:&quot;b18ea741-eef6-389d-9020-1133a99a3824&quot;,&quot;title&quot;:&quot;The premonitory urge revisited: An individualized premonitory urge for tics scale&quot;,&quot;groupId&quot;:&quot;07d62ac1-5aa8-39af-b49e-52d2088ac571&quot;,&quot;author&quot;:[{&quot;family&quot;:&quot;McGuire&quot;,&quot;given&quot;:&quot;J F&quot;,&quot;parse-names&quot;:false,&quot;dropping-particle&quot;:&quot;&quot;,&quot;non-dropping-particle&quot;:&quot;&quot;},{&quot;family&quot;:&quot;McBride&quot;,&quot;given&quot;:&quot;N&quot;,&quot;parse-names&quot;:false,&quot;dropping-particle&quot;:&quot;&quot;,&quot;non-dropping-particle&quot;:&quot;&quot;},{&quot;family&quot;:&quot;Piacentini&quot;,&quot;given&quot;:&quot;J&quot;,&quot;parse-names&quot;:false,&quot;dropping-particle&quot;:&quot;&quot;,&quot;non-dropping-particle&quot;:&quot;&quot;},{&quot;family&quot;:&quot;Johnco&quot;,&quot;given&quot;:&quot;C&quot;,&quot;parse-names&quot;:false,&quot;dropping-particle&quot;:&quot;&quot;,&quot;non-dropping-particle&quot;:&quot;&quot;},{&quot;family&quot;:&quot;Lewin&quot;,&quot;given&quot;:&quot;A B&quot;,&quot;parse-names&quot;:false,&quot;dropping-particle&quot;:&quot;&quot;,&quot;non-dropping-particle&quot;:&quot;&quot;},{&quot;family&quot;:&quot;Murphy&quot;,&quot;given&quot;:&quot;T K&quot;,&quot;parse-names&quot;:false,&quot;dropping-particle&quot;:&quot;&quot;,&quot;non-dropping-particle&quot;:&quot;&quot;},{&quot;family&quot;:&quot;Storch&quot;,&quot;given&quot;:&quot;E A&quot;,&quot;parse-names&quot;:false,&quot;dropping-particle&quot;:&quot;&quot;,&quot;non-dropping-particle&quot;:&quot;&quot;}],&quot;container-title&quot;:&quot;J Psychiatr Res&quot;,&quot;DOI&quot;:&quot;10.1016/j.jpsychires.2016.09.007&quot;,&quot;PMID&quot;:&quot;27643476&quot;,&quot;issued&quot;:{&quot;date-parts&quot;:[[2016]]},&quot;page&quot;:&quot;176-183&quot;,&quot;abstract&quot;:&quot;BACKGROUND: Premonitory urge ratings have advanced our understanding of urge phenomenology among individuals with tic disorders (TD). However, these ratings have been limited by their reliance on a single global dimension of urge severity. This study examined the psychometric properties of a novel scale called the Individualized Premonitory Urge for Tics Scale (I-PUTS) that assesses urge severity across multiple dimensions (number, frequency, and intensity). METHOD: Seventy-five youth with a TD and their parents participated. Clinicians assessed youth's tic severity, depression severity, rages, and premonitory urges. Parents completed ratings of youth's anxiety, affect lability, and general psychopathology. Youth completed self-report ratings of anxiety, urge severity, and distress tolerance. RESULTS: The I-PUTS identified that youth experienced an average of three distinct urges, but had an average of seven tics over the past week. Urges were primarily localized in the head/face, neck/throat, and arm regions. All I-PUTS dimensions exhibited excellent inter-rater reliability. The I-PUTS dimensions exhibited good convergent validity with global urge ratings and tic severity, and appropriate divergent validity from other clinical constructs. Youth who exhibited discrepant reports between clinician-administered and self-report urge ratings had less anxiety and tic severity, and greater inattention and externalizing problems compared to youth who exhibited good agreement. CONCLUSIONS: The I-PUTS is a reliable and valid assessment of urge phenomena, which provides additional and complementary information to existing urge scales. It highlights the existence of multiple dimensions of urge severity, and presents particular utility when assessing urges in youth with TD who have inattention and externalizing problems.&quot;,&quot;volume&quot;:&quot;83&quot;,&quot;container-title-short&quot;:&quot;&quot;},&quot;isTemporary&quot;:false}]},{&quot;citationID&quot;:&quot;MENDELEY_CITATION_4dd43337-61aa-4679-9323-c2c399b5cbf8&quot;,&quot;properties&quot;:{&quot;noteIndex&quot;:0},&quot;isEdited&quot;:false,&quot;manualOverride&quot;:{&quot;isManuallyOverridden&quot;:false,&quot;citeprocText&quot;:&quot;(44)&quot;,&quot;manualOverrideText&quot;:&quot;&quot;},&quot;citationTag&quot;:&quot;MENDELEY_CITATION_v3_eyJjaXRhdGlvbklEIjoiTUVOREVMRVlfQ0lUQVRJT05fNGRkNDMzMzctNjFhYS00Njc5LTkzMjMtYzJjMzk5YjVjYmY4IiwicHJvcGVydGllcyI6eyJub3RlSW5kZXgiOjB9LCJpc0VkaXRlZCI6ZmFsc2UsIm1hbnVhbE92ZXJyaWRlIjp7ImlzTWFudWFsbHlPdmVycmlkZGVuIjpmYWxzZSwiY2l0ZXByb2NUZXh0IjoiKDQ0KSIsIm1hbnVhbE92ZXJyaWRlVGV4dCI6IiJ9LCJjaXRhdGlvbkl0ZW1zIjpbeyJpZCI6ImExMjE0Nzc2LWNhNjktMzZmMi1hZjkyLTdiNWI3NmVhODQ5YiIsIml0ZW1EYXRhIjp7InR5cGUiOiJhcnRpY2xlLWpvdXJuYWwiLCJpZCI6ImExMjE0Nzc2LWNhNjktMzZmMi1hZjkyLTdiNWI3NmVhODQ5YiIsInRpdGxlIjoiRnJvbSB1cmdlcyB0byB0aWNzIGluIGNoaWxkcmVuIHdpdGggVG91cmV0dGUgc3luZHJvbWU6IGFzc29jaWF0aW9ucyB3aXRoIHN1cHBsZW1lbnRhcnkgbW90b3IgYXJlYSBHQUJBIGFuZCByaWdodCBtb3RvciBjb3J0ZXggcGh5c2lvbG9neSIsImdyb3VwSWQiOiIwN2Q2MmFjMS01YWE4LTM5YWYtYjQ5ZS01MmQyMDg4YWM1NzEiLCJhdXRob3IiOlt7ImZhbWlseSI6IkxhcnNoIiwiZ2l2ZW4iOiJUIFIiLCJwYXJzZS1uYW1lcyI6ZmFsc2UsImRyb3BwaW5nLXBhcnRpY2xlIjoiIiwibm9uLWRyb3BwaW5nLXBhcnRpY2xlIjoiIn0seyJmYW1pbHkiOiJIdWRkbGVzdG9uIiwiZ2l2ZW4iOiJEIEEiLCJwYXJzZS1uYW1lcyI6ZmFsc2UsImRyb3BwaW5nLXBhcnRpY2xlIjoiIiwibm9uLWRyb3BwaW5nLXBhcnRpY2xlIjoiIn0seyJmYW1pbHkiOiJIb3JuIiwiZ2l2ZW4iOiJQIFMiLCJwYXJzZS1uYW1lcyI6ZmFsc2UsImRyb3BwaW5nLXBhcnRpY2xlIjoiIiwibm9uLWRyb3BwaW5nLXBhcnRpY2xlIjoiIn0seyJmYW1pbHkiOiJXdSIsImdpdmVuIjoiUyBXIiwicGFyc2UtbmFtZXMiOmZhbHNlLCJkcm9wcGluZy1wYXJ0aWNsZSI6IiIsIm5vbi1kcm9wcGluZy1wYXJ0aWNsZSI6IiJ9LHsiZmFtaWx5IjoiQ2VjaWwiLCJnaXZlbiI6IksgTSIsInBhcnNlLW5hbWVzIjpmYWxzZSwiZHJvcHBpbmctcGFydGljbGUiOiIiLCJub24tZHJvcHBpbmctcGFydGljbGUiOiIifSx7ImZhbWlseSI6IkphY2tzb24iLCJnaXZlbiI6IkggUyIsInBhcnNlLW5hbWVzIjpmYWxzZSwiZHJvcHBpbmctcGFydGljbGUiOiIiLCJub24tZHJvcHBpbmctcGFydGljbGUiOiIifSx7ImZhbWlseSI6IkVkZGVuIiwiZ2l2ZW4iOiJSIEEgRSIsInBhcnNlLW5hbWVzIjpmYWxzZSwiZHJvcHBpbmctcGFydGljbGUiOiIiLCJub24tZHJvcHBpbmctcGFydGljbGUiOiIifSx7ImZhbWlseSI6Ik1vc3RvZnNreSIsImdpdmVuIjoiUyBIIiwicGFyc2UtbmFtZXMiOmZhbHNlLCJkcm9wcGluZy1wYXJ0aWNsZSI6IiIsIm5vbi1kcm9wcGluZy1wYXJ0aWNsZSI6IiJ9LHsiZmFtaWx5IjoiR2lsYmVydCIsImdpdmVuIjoiRCBMIiwicGFyc2UtbmFtZXMiOmZhbHNlLCJkcm9wcGluZy1wYXJ0aWNsZSI6IiIsIm5vbi1kcm9wcGluZy1wYXJ0aWNsZSI6IiJ9XSwiY29udGFpbmVyLXRpdGxlIjoiQ2VyZWJyYWwgY29ydGV4IChOZXcgWW9yaywgTi5ZLiA6IDE5OTEpIiwiRE9JIjoiaHR0cHM6Ly9keC5kb2kub3JnLzEwLjEwOTMvY2VyY29yL2JoYWMzMTYiLCJVUkwiOiJodHRwOi8vb3ZpZHNwLm92aWQuY29tL292aWR3ZWIuY2dpP1Q9SlMmUEFHRT1yZWZlcmVuY2UmRD1lbWV4YiZORVdTPU4mQU49NjM4NzYzNzcwIiwiaXNzdWVkIjp7ImRhdGUtcGFydHMiOltbMjAyMl1dfSwicGFnZSI6Ii0iLCJhYnN0cmFjdCI6IlRvdXJldHRlIHN5bmRyb21lIChUUykgaXMgYSBjaGlsZGhvb2Qtb25zZXQgZGlzb3JkZXIgaW4gd2hpY2ggdGljcyBhcmUgb2Z0ZW4gcHJlY2VkZWQgYnkgcHJlbW9uaXRvcnkgc2Vuc29yeSB1cmdlcy4gTW9yZSBzZXZlcmUgdXJnZXMgY29ycmVsYXRlIHdpdGggd29yc2UgdGljcyBhbmQgY2FuIHJlbmRlciBiZWhhdmlvcmFsIHRoZXJhcGllcyBsZXNzIGVmZmVjdGl2ZS4gVGhlIHN1cHBsZW1lbnRhcnkgbW90b3IgYXJlYSAoU01BKSBpcyBhIHByZWZyb250YWwgcmVnaW9uIGJlbGlldmVkIHRvIGluZmx1ZW5jZSB0aWMgcGVyZm9ybWFuY2UuIFRvIGRldGVybWluZSB3aGV0aGVyIGNvcnRpY2FsIHBoeXNpb2xvZ2ljYWwgcHJvcGVydGllcyBjb3JyZWxhdGUgd2l0aCB1cmdlcyBhbmQgdGljcywgd2UgZXZhbHVhdGVkLCBpbiA4LTEyLXllYXItb2xkIHJpZ2h0LWhhbmRlZCBUUyBjaGlsZHJlbiAobj0xNyksIGNvcnJlbGF0aW9ucyBvZiB1cmdlIGFuZCB0aWMgc2V2ZXJpdHkgc2NvcmVzIGFuZCBjb21wYXJlZCBib3RoIHRvIGNvcnRpY2FsIGV4Y2l0YWJpbGl0eSAoQ0UpIGFuZCBzaG9ydC0gYW5kIGxvbmctaW50ZXJ2YWwgY29ydGljYWwgaW5oaWJpdGlvbiAoU0lDSSBhbmQgTElDSSkgaW4gYm90aCBsZWZ0IGFuZCByaWdodCBNMS4gV2UgYWxzbyBtb2RlbGVkIHRoZXNlIE0xIHRyYW5zY3JhbmlhbCBtYWduZXRpYyBzdGltdWxhdGlvbiBtZWFzdXJlcyB3aXRoIFNNQSBnYW1tYS1hbWlubyBidXR5cmljIGFjaWQgKEdBQkEpIGxldmVscyBpbiBUUyBhbmQgdHlwaWNhbGx5IGRldmVsb3BpbmcgY29udHJvbCBjaGlsZHJlbiAobj0xNikuIFVyZ2UgaW50ZW5zaXR5IGNvcnJlbGF0ZWQgc3Ryb25nbHkgd2l0aCB0aWMgc2NvcmVzLiBNb3JlIHNldmVyZSB1cmdlcyBjb3JyZWxhdGVkIHdpdGggbG93ZXIgQ0UgYW5kIGxlc3MgTElDSSBpbiBib3RoIHJpZ2h0IGFuZCBsZWZ0IE0xLiBVbmV4cGVjdGVkbHksIGluIHJpZ2h0IE0xLCBsb3dlciBDRSBhbmQgbGVzcyBMSUNJIGNvcnJlbGF0ZWQgd2l0aCBsZXNzIHNldmVyZSB0aWNzLiBXZSBmb3VuZCB0aGF0IFNNQSBHQUJBIG1vZHVsYXRpb24gb2YgcmlnaHQsIGJ1dCBub3QgbGVmdCwgTTEgQ0UgYW5kIExJQ0kgZGlmZmVyZWQgaW4gVFMuIFdlIGNvbmNsdWRlIHRoYXQgaW4geW91bmcgY2hpbGRyZW4gd2l0aCBUUywgbG93ZXIgcmlnaHQgTTEgQ0UgYW5kIExJQ0ksIG1vZHVsYXRlZCBieSBTTUEgR0FCQSwgbWF5IHJlZmxlY3QgY29tcGVuc2F0b3J5IG1lY2hhbmlzbXMgdG8gZGltaW5pc2ggdGljcyBpbiByZXNwb25zZSB0byBwcmVtb25pdG9yeSB1cmdlcy5Db3B5cmlnaHQgwqkgVGhlIEF1dGhvcihzKSAyMDIyLiBQdWJsaXNoZWQgYnkgT3hmb3JkIFVuaXZlcnNpdHkgUHJlc3MuIEFsbCByaWdodHMgcmVzZXJ2ZWQuIEZvciBwZXJtaXNzaW9ucywgcGxlYXNlIGUtbWFpbDogam91cm5hbHMucGVybWlzc2lvbkBvdXAuY29tLiIsImNvbnRhaW5lci10aXRsZS1zaG9ydCI6IkNlcmViIENvcnRleCJ9LCJpc1RlbXBvcmFyeSI6ZmFsc2V9XX0=&quot;,&quot;citationItems&quot;:[{&quot;id&quot;:&quot;a1214776-ca69-36f2-af92-7b5b76ea849b&quot;,&quot;itemData&quot;:{&quot;type&quot;:&quot;article-journal&quot;,&quot;id&quot;:&quot;a1214776-ca69-36f2-af92-7b5b76ea849b&quot;,&quot;title&quot;:&quot;From urges to tics in children with Tourette syndrome: associations with supplementary motor area GABA and right motor cortex physiology&quot;,&quot;groupId&quot;:&quot;07d62ac1-5aa8-39af-b49e-52d2088ac571&quot;,&quot;author&quot;:[{&quot;family&quot;:&quot;Larsh&quot;,&quot;given&quot;:&quot;T R&quot;,&quot;parse-names&quot;:false,&quot;dropping-particle&quot;:&quot;&quot;,&quot;non-dropping-particle&quot;:&quot;&quot;},{&quot;family&quot;:&quot;Huddleston&quot;,&quot;given&quot;:&quot;D A&quot;,&quot;parse-names&quot;:false,&quot;dropping-particle&quot;:&quot;&quot;,&quot;non-dropping-particle&quot;:&quot;&quot;},{&quot;family&quot;:&quot;Horn&quot;,&quot;given&quot;:&quot;P S&quot;,&quot;parse-names&quot;:false,&quot;dropping-particle&quot;:&quot;&quot;,&quot;non-dropping-particle&quot;:&quot;&quot;},{&quot;family&quot;:&quot;Wu&quot;,&quot;given&quot;:&quot;S W&quot;,&quot;parse-names&quot;:false,&quot;dropping-particle&quot;:&quot;&quot;,&quot;non-dropping-particle&quot;:&quot;&quot;},{&quot;family&quot;:&quot;Cecil&quot;,&quot;given&quot;:&quot;K M&quot;,&quot;parse-names&quot;:false,&quot;dropping-particle&quot;:&quot;&quot;,&quot;non-dropping-particle&quot;:&quot;&quot;},{&quot;family&quot;:&quot;Jackson&quot;,&quot;given&quot;:&quot;H S&quot;,&quot;parse-names&quot;:false,&quot;dropping-particle&quot;:&quot;&quot;,&quot;non-dropping-particle&quot;:&quot;&quot;},{&quot;family&quot;:&quot;Edden&quot;,&quot;given&quot;:&quot;R A E&quot;,&quot;parse-names&quot;:false,&quot;dropping-particle&quot;:&quot;&quot;,&quot;non-dropping-particle&quot;:&quot;&quot;},{&quot;family&quot;:&quot;Mostofsky&quot;,&quot;given&quot;:&quot;S H&quot;,&quot;parse-names&quot;:false,&quot;dropping-particle&quot;:&quot;&quot;,&quot;non-dropping-particle&quot;:&quot;&quot;},{&quot;family&quot;:&quot;Gilbert&quot;,&quot;given&quot;:&quot;D L&quot;,&quot;parse-names&quot;:false,&quot;dropping-particle&quot;:&quot;&quot;,&quot;non-dropping-particle&quot;:&quot;&quot;}],&quot;container-title&quot;:&quot;Cerebral cortex (New York, N.Y. : 1991)&quot;,&quot;DOI&quot;:&quot;https://dx.doi.org/10.1093/cercor/bhac316&quot;,&quot;URL&quot;:&quot;http://ovidsp.ovid.com/ovidweb.cgi?T=JS&amp;PAGE=reference&amp;D=emexb&amp;NEWS=N&amp;AN=638763770&quot;,&quot;issued&quot;:{&quot;date-parts&quot;:[[2022]]},&quot;page&quot;:&quot;-&quot;,&quot;abstract&quot;:&quot;Tourette syndrome (TS) is a childhood-onset disorder in which tics are often preceded by premonitory sensory urges. More severe urges correlate with worse tics and can render behavioral therapies less effective. The supplementary motor area (SMA) is a prefrontal region believed to influence tic performance. To determine whether cortical physiological properties correlate with urges and tics, we evaluated, in 8-12-year-old right-handed TS children (n=17), correlations of urge and tic severity scores and compared both to cortical excitability (CE) and short- and long-interval cortical inhibition (SICI and LICI) in both left and right M1. We also modeled these M1 transcranial magnetic stimulation measures with SMA gamma-amino butyric acid (GABA) levels in TS and typically developing control children (n=16). Urge intensity correlated strongly with tic scores. More severe urges correlated with lower CE and less LICI in both right and left M1. Unexpectedly, in right M1, lower CE and less LICI correlated with less severe tics. We found that SMA GABA modulation of right, but not left, M1 CE and LICI differed in TS. We conclude that in young children with TS, lower right M1 CE and LICI, modulated by SMA GABA, may reflect compensatory mechanisms to diminish tics in response to premonitory urges.Copyright © The Author(s) 2022. Published by Oxford University Press. All rights reserved. For permissions, please e-mail: journals.permission@oup.com.&quot;,&quot;container-title-short&quot;:&quot;Cereb Cortex&quot;},&quot;isTemporary&quot;:false}]},{&quot;citationID&quot;:&quot;MENDELEY_CITATION_af445615-675b-4f25-af08-76c6d6e2732f&quot;,&quot;properties&quot;:{&quot;noteIndex&quot;:0},&quot;isEdited&quot;:false,&quot;manualOverride&quot;:{&quot;isManuallyOverridden&quot;:false,&quot;citeprocText&quot;:&quot;(45)&quot;,&quot;manualOverrideText&quot;:&quot;&quot;},&quot;citationTag&quot;:&quot;MENDELEY_CITATION_v3_eyJjaXRhdGlvbklEIjoiTUVOREVMRVlfQ0lUQVRJT05fYWY0NDU2MTUtNjc1Yi00ZjI1LWFmMDgtNzZjNmQ2ZTI3MzJmIiwicHJvcGVydGllcyI6eyJub3RlSW5kZXgiOjB9LCJpc0VkaXRlZCI6ZmFsc2UsIm1hbnVhbE92ZXJyaWRlIjp7ImlzTWFudWFsbHlPdmVycmlkZGVuIjpmYWxzZSwiY2l0ZXByb2NUZXh0IjoiKDQ1KSIsIm1hbnVhbE92ZXJyaWRlVGV4dCI6IiJ9LCJjaXRhdGlvbkl0ZW1zIjpbeyJpZCI6ImE3ODBkMzEyLWJkMmItMzFmNi1iMzBlLTE4MmU1ZGQzNzAxZiIsIml0ZW1EYXRhIjp7InR5cGUiOiJhcnRpY2xlLWpvdXJuYWwiLCJpZCI6ImE3ODBkMzEyLWJkMmItMzFmNi1iMzBlLTE4MmU1ZGQzNzAxZiIsInRpdGxlIjoiQmlvbWFya2VycyBvZiB0aWMgc2V2ZXJpdHkgaW4gY2hpbGRyZW4gd2l0aCBUb3VyZXR0ZSBzeW5kcm9tZTogTW90b3IgY29ydGV4IGluaGliaXRpb24gbWVhc3VyZWQgd2l0aCB0cmFuc2NyYW5pYWwgbWFnbmV0aWMgc3RpbXVsYXRpb24iLCJncm91cElkIjoiMDdkNjJhYzEtNWFhOC0zOWFmLWI0OWUtNTJkMjA4OGFjNTcxIiwiYXV0aG9yIjpbeyJmYW1pbHkiOiJCYXRzY2hlbGV0dCIsImdpdmVuIjoiTSBBIiwicGFyc2UtbmFtZXMiOmZhbHNlLCJkcm9wcGluZy1wYXJ0aWNsZSI6IiIsIm5vbi1kcm9wcGluZy1wYXJ0aWNsZSI6IiJ9LHsiZmFtaWx5IjoiSHVkZGxlc3RvbiIsImdpdmVuIjoiRCBBIiwicGFyc2UtbmFtZXMiOmZhbHNlLCJkcm9wcGluZy1wYXJ0aWNsZSI6IiIsIm5vbi1kcm9wcGluZy1wYXJ0aWNsZSI6IiJ9LHsiZmFtaWx5IjoiQ3JvY2V0dGkiLCJnaXZlbiI6IkQiLCJwYXJzZS1uYW1lcyI6ZmFsc2UsImRyb3BwaW5nLXBhcnRpY2xlIjoiIiwibm9uLWRyb3BwaW5nLXBhcnRpY2xlIjoiIn0seyJmYW1pbHkiOiJIb3JuIiwiZ2l2ZW4iOiJQIFMiLCJwYXJzZS1uYW1lcyI6ZmFsc2UsImRyb3BwaW5nLXBhcnRpY2xlIjoiIiwibm9uLWRyb3BwaW5nLXBhcnRpY2xlIjoiIn0seyJmYW1pbHkiOiJNb3N0b2Zza3kiLCJnaXZlbiI6IlMgSCIsInBhcnNlLW5hbWVzIjpmYWxzZSwiZHJvcHBpbmctcGFydGljbGUiOiIiLCJub24tZHJvcHBpbmctcGFydGljbGUiOiIifSx7ImZhbWlseSI6IkdpbGJlcnQiLCJnaXZlbiI6IkQgTCIsInBhcnNlLW5hbWVzIjpmYWxzZSwiZHJvcHBpbmctcGFydGljbGUiOiIiLCJub24tZHJvcHBpbmctcGFydGljbGUiOiIifV0sImNvbnRhaW5lci10aXRsZSI6IkRldiBNZWQgQ2hpbGQgTmV1cm9sIiwiRE9JIjoiMTAuMTExMS9kbWNuLjE1NTc4IiwiUE1JRCI6IjM2OTM4Njk4IiwiaXNzdWVkIjp7ImRhdGUtcGFydHMiOltbMjAyM11dfSwicGFnZSI6IjEzMjEtMTMzMSIsImFic3RyYWN0IjoiQUlNOiBUbyBjb21wYXJlIHRyYW5zY3JhbmlhbCBtYWduZXRpYyBzdGltdWxhdGlvbiAoVE1TKS1kZXJpdmVkIG1lYXN1cmVzIG9mIHByaW1hcnkgbW90b3IgY29ydGV4IChNMSkgcGh5c2lvbG9neSBiZXR3ZWVuIGNoaWxkcmVuIHdpdGggYW5kIHdpdGhvdXQgVG91cmV0dGUgc3luZHJvbWUsIGFuZCB0byBkaW1lbnNpb25hbGx5IGFuYWx5emUgVE1TIG1lYXN1cmVzIHdpdGggVG91cmV0dGUgc3luZHJvbWUtcmVsYXRlZCBzeW1wdG9tIHNldmVyaXR5LiBNRVRIT0Q6IFdlIHVzZWQgYSBjcm9zcy1zZWN0aW9uYWwgZXhwZXJpbWVudGFsIGRlc2lnbi4gU2l4dHkgOC0gdG8gMTIteWVhci1vbGQgY2hpbGRyZW4gcGFydGljaXBhdGVkICgzMCB3aXRoIFRvdXJldHRlIHN5bmRyb21lOiB0aHJlZSBmZW1hbGVzLCBtZWFuIGFnZSAxMOKAiXllYXJzIDEw4oCJbW9udGhzLCBzdGFuZGFyZCBkZXZpYXRpb24gW1NEXSAxIHllYXIgMyBtb250aHM7IDMwIHR5cGljYWxseSBkZXZlbG9waW5nIGNoaWxkcmVuOiBzZXZlbiBmZW1hbGVzLCBtZWFuIGFnZSAxMOKAiXllYXJzIDfigIltb250aHMsIFNEIDEgeWVhciAzIG1vbnRocykuIEluIHRoZSBncm91cCB3aXRoIFRvdXJldHRlIHN5bmRyb21lLCAxNSAob25lIGZlbWFsZSwgbWVhbiBhZ2UgMTDigIl5ZWFycyAxMeKAiW1vbnRocywgU0QgMSB5ZWFyIDMgbW9udGhzKSBoYWQgY29tb3JiaWQgYXR0ZW50aW9uLWRlZmljaXQvaHlwZXJhY3Rpdml0eSBkaXNvcmRlciAoQURIRCksIHJhdGVkIHdpdGggdGhlIENvbm5lcnMsIFRoaXJkIEVkaXRpb24gYW5kIHRoZSBwYXJlbnQtcmVwb3J0ZWQgQURIRCByYXRpbmcgc2NhbGVzLiBUaWMgc2V2ZXJpdHkgd2FzIHJhdGVkIHdpdGggdGhlIFlhbGUgR2xvYmFsIFRpYyBTZXZlcml0eSBTY2FsZSBhbmQgdXJnZSBzZXZlcml0eSB3aXRoIHRoZSBJbmRpdmlkdWFsaXplZCBQcmVtb25pdG9yeSBVcmdlIGZvciBUaWNzIFNjYWxlLiBNMSBzaG9ydC1pbnRlcnZhbCBjb3J0aWNhbCBpbmhpYml0aW9uIChTSUNJKSBhbmQgaW50cmFjb3J0aWNhbCBmYWNpbGl0YXRpb24gd2VyZSBjb21wYXJlZCBiZXR3ZWVuIGRpYWdub3N0aWMgZ3JvdXBzIGFuZCwgd2l0aGluIHRoZSBncm91cCB3aXRoIFRvdXJldHRlIHN5bmRyb21lLCBjb3JyZWxhdGVkIHdpdGggc3ltcHRvbSBzZXZlcml0eSB1c2luZyBsaW5lYXIgbWl4ZWQtZWZmZWN0cyBtb2RlbHMgZm9yIHJlcGVhdGVkIG1lYXN1cmVzLiBSRVNVTFRTOiBBY2NvdW50aW5nIGZvciBBREhELCB3ZSBmb3VuZCBubyBkaWZmZXJlbmNlIGluIFNJQ0kgb3IgaW50cmFjb3J0aWNhbCBmYWNpbGl0YXRpb24gaW4gdGhvc2Ugd2l0aCBUb3VyZXR0ZSBzeW5kcm9tZSB2ZXJzdXMgdHlwaWNhbGx5IGRldmVsb3BpbmcgY2hpbGRyZW4gKHDigIk+4oCJMC4xKS4gSW4gdGhlIGdyb3VwIHdpdGggVG91cmV0dGUgc3luZHJvbWUsIHJlZHVjZWQgTTEgU0lDSSBwcmVkaWN0ZWQgZ3JlYXRlciB0b3RhbCAocMKgPcKgMC4wMTIpIGFuZCBnbG9iYWwgKHDCoD3CoDAuMDAyKSB0aWMgc2V2ZXJpdHkuIFRoZXJlIHdlcmUgbm8gYXNzb2NpYXRpb25zIHdpdGggdXJnZSBzZXZlcml0eSAocOKAiT7igIkwLjUpLiBJTlRFUlBSRVRBVElPTjogUmVkdWNlZCBNMSBTSUNJIGlzIHJvYnVzdGx5IGFzc29jaWF0ZWQgd2l0aCBpbmNyZWFzZWQgdGljLCBidXQgbm90IHVyZ2UsIHNldmVyaXR5LiBXSEFUIFRISVMgUEFQRVIgQUREUzogSW5jcmVhc2VkIHRpYyBzZXZlcml0eSBpcyBhc3NvY2lhdGVkIHdpdGggcmVkdWNlZCBtb3RvciBjb3J0ZXggc2hvcnQtaW50ZXJ2YWwgY29ydGljYWwgaW5oaWJpdGlvbiAoU0lDSSkuIENoaWxkcmVuIHdpdGggVG91cmV0dGUgc3luZHJvbWUgd2l0aCBpbmNyZWFzZWQgdXJnZSBzZXZlcml0eSBhbHNvIHNob3cgaW5jcmVhc2VkIHRpYyBzZXZlcml0eS4gSG93ZXZlciwgcmVkdWNlZCBtb3RvciBjb3J0ZXggU0lDSSBpcyBhc3NvY2lhdGVkIHdpdGggdGljLCBidXQgbm90IHVyZ2UsIHNldmVyaXR5LiIsImlzc3VlIjoiMTAiLCJ2b2x1bWUiOiI2NSIsImNvbnRhaW5lci10aXRsZS1zaG9ydCI6IiJ9LCJpc1RlbXBvcmFyeSI6ZmFsc2V9XX0=&quot;,&quot;citationItems&quot;:[{&quot;id&quot;:&quot;a780d312-bd2b-31f6-b30e-182e5dd3701f&quot;,&quot;itemData&quot;:{&quot;type&quot;:&quot;article-journal&quot;,&quot;id&quot;:&quot;a780d312-bd2b-31f6-b30e-182e5dd3701f&quot;,&quot;title&quot;:&quot;Biomarkers of tic severity in children with Tourette syndrome: Motor cortex inhibition measured with transcranial magnetic stimulation&quot;,&quot;groupId&quot;:&quot;07d62ac1-5aa8-39af-b49e-52d2088ac571&quot;,&quot;author&quot;:[{&quot;family&quot;:&quot;Batschelett&quot;,&quot;given&quot;:&quot;M A&quot;,&quot;parse-names&quot;:false,&quot;dropping-particle&quot;:&quot;&quot;,&quot;non-dropping-particle&quot;:&quot;&quot;},{&quot;family&quot;:&quot;Huddleston&quot;,&quot;given&quot;:&quot;D A&quot;,&quot;parse-names&quot;:false,&quot;dropping-particle&quot;:&quot;&quot;,&quot;non-dropping-particle&quot;:&quot;&quot;},{&quot;family&quot;:&quot;Crocetti&quot;,&quot;given&quot;:&quot;D&quot;,&quot;parse-names&quot;:false,&quot;dropping-particle&quot;:&quot;&quot;,&quot;non-dropping-particle&quot;:&quot;&quot;},{&quot;family&quot;:&quot;Horn&quot;,&quot;given&quot;:&quot;P S&quot;,&quot;parse-names&quot;:false,&quot;dropping-particle&quot;:&quot;&quot;,&quot;non-dropping-particle&quot;:&quot;&quot;},{&quot;family&quot;:&quot;Mostofsky&quot;,&quot;given&quot;:&quot;S H&quot;,&quot;parse-names&quot;:false,&quot;dropping-particle&quot;:&quot;&quot;,&quot;non-dropping-particle&quot;:&quot;&quot;},{&quot;family&quot;:&quot;Gilbert&quot;,&quot;given&quot;:&quot;D L&quot;,&quot;parse-names&quot;:false,&quot;dropping-particle&quot;:&quot;&quot;,&quot;non-dropping-particle&quot;:&quot;&quot;}],&quot;container-title&quot;:&quot;Dev Med Child Neurol&quot;,&quot;DOI&quot;:&quot;10.1111/dmcn.15578&quot;,&quot;PMID&quot;:&quot;36938698&quot;,&quot;issued&quot;:{&quot;date-parts&quot;:[[2023]]},&quot;page&quot;:&quot;1321-1331&quot;,&quot;abstract&quot;:&quot;AIM: To compare transcranial magnetic stimulation (TMS)-derived measures of primary motor cortex (M1) physiology between children with and without Tourette syndrome, and to dimensionally analyze TMS measures with Tourette syndrome-related symptom severity. METHOD: We used a cross-sectional experimental design. Sixty 8- to 12-year-old children participated (30 with Tourette syndrome: three females, mean age 10 years 10 months, standard deviation [SD] 1 year 3 months; 30 typically developing children: seven females, mean age 10 years 7 months, SD 1 year 3 months). In the group with Tourette syndrome, 15 (one female, mean age 10 years 11 months, SD 1 year 3 months) had comorbid attention-deficit/hyperactivity disorder (ADHD), rated with the Conners, Third Edition and the parent-reported ADHD rating scales. Tic severity was rated with the Yale Global Tic Severity Scale and urge severity with the Individualized Premonitory Urge for Tics Scale. M1 short-interval cortical inhibition (SICI) and intracortical facilitation were compared between diagnostic groups and, within the group with Tourette syndrome, correlated with symptom severity using linear mixed-effects models for repeated measures. RESULTS: Accounting for ADHD, we found no difference in SICI or intracortical facilitation in those with Tourette syndrome versus typically developing children (p &gt; 0.1). In the group with Tourette syndrome, reduced M1 SICI predicted greater total (p = 0.012) and global (p = 0.002) tic severity. There were no associations with urge severity (p &gt; 0.5). INTERPRETATION: Reduced M1 SICI is robustly associated with increased tic, but not urge, severity. WHAT THIS PAPER ADDS: Increased tic severity is associated with reduced motor cortex short-interval cortical inhibition (SICI). Children with Tourette syndrome with increased urge severity also show increased tic severity. However, reduced motor cortex SICI is associated with tic, but not urge, severity.&quot;,&quot;issue&quot;:&quot;10&quot;,&quot;volume&quot;:&quot;65&quot;,&quot;container-title-short&quot;:&quot;&quot;},&quot;isTemporary&quot;:false}]},{&quot;citationID&quot;:&quot;MENDELEY_CITATION_74956a0d-c5df-4d87-b6a2-6aac415d2fe7&quot;,&quot;properties&quot;:{&quot;noteIndex&quot;:0},&quot;isEdited&quot;:false,&quot;manualOverride&quot;:{&quot;isManuallyOverridden&quot;:false,&quot;citeprocText&quot;:&quot;(46)&quot;,&quot;manualOverrideText&quot;:&quot;&quot;},&quot;citationTag&quot;:&quot;MENDELEY_CITATION_v3_eyJjaXRhdGlvbklEIjoiTUVOREVMRVlfQ0lUQVRJT05fNzQ5NTZhMGQtYzVkZi00ZDg3LWI2YTItNmFhYzQxNWQyZmU3IiwicHJvcGVydGllcyI6eyJub3RlSW5kZXgiOjB9LCJpc0VkaXRlZCI6ZmFsc2UsIm1hbnVhbE92ZXJyaWRlIjp7ImlzTWFudWFsbHlPdmVycmlkZGVuIjpmYWxzZSwiY2l0ZXByb2NUZXh0IjoiKDQ2KSIsIm1hbnVhbE92ZXJyaWRlVGV4dCI6IiJ9LCJjaXRhdGlvbkl0ZW1zIjpbeyJpZCI6ImJhMjNjNmYwLTMzMzYtMzljYS1iMTkwLTJkNDlkZDFiZmY0ZSIsIml0ZW1EYXRhIjp7InR5cGUiOiJhcnRpY2xlLWpvdXJuYWwiLCJpZCI6ImJhMjNjNmYwLTMzMzYtMzljYS1iMTkwLTJkNDlkZDFiZmY0ZSIsInRpdGxlIjoiQ2xpbmljYWwgZXZhbHVhdGlvbiBvZiBwcmVtb25pdG9yeSB1cmdlcyBpbiBjaGlsZHJlbiBhbmQgYWRvbGVzY2VudHMgdXNpbmcgdGhlIENoaW5lc2UgdmVyc2lvbiBvZiBJbmRpdmlkdWFsaXplZCBQcmVtb25pdG9yeSBVcmdlIGZvciBUaWNzIFNjYWxlIiwiZ3JvdXBJZCI6IjA3ZDYyYWMxLTVhYTgtMzlhZi1iNDllLTUyZDIwODhhYzU3MSIsImF1dGhvciI6W3siZmFtaWx5IjoiQ2hlIiwiZ2l2ZW4iOiJHIiwicGFyc2UtbmFtZXMiOmZhbHNlLCJkcm9wcGluZy1wYXJ0aWNsZSI6IiIsIm5vbi1kcm9wcGluZy1wYXJ0aWNsZSI6IiJ9LHsiZmFtaWx5IjoiUmVuIiwiZ2l2ZW4iOiJXIiwicGFyc2UtbmFtZXMiOmZhbHNlLCJkcm9wcGluZy1wYXJ0aWNsZSI6IiIsIm5vbi1kcm9wcGluZy1wYXJ0aWNsZSI6IiJ9LHsiZmFtaWx5IjoiTWNHdWlyZSIsImdpdmVuIjoiSiBGIiwicGFyc2UtbmFtZXMiOmZhbHNlLCJkcm9wcGluZy1wYXJ0aWNsZSI6IiIsIm5vbi1kcm9wcGluZy1wYXJ0aWNsZSI6IiJ9LHsiZmFtaWx5IjoiTGkiLCJnaXZlbiI6IlAiLCJwYXJzZS1uYW1lcyI6ZmFsc2UsImRyb3BwaW5nLXBhcnRpY2xlIjoiIiwibm9uLWRyb3BwaW5nLXBhcnRpY2xlIjoiIn0seyJmYW1pbHkiOiJaaGFvIiwiZ2l2ZW4iOiJaIiwicGFyc2UtbmFtZXMiOmZhbHNlLCJkcm9wcGluZy1wYXJ0aWNsZSI6IiIsIm5vbi1kcm9wcGluZy1wYXJ0aWNsZSI6IiJ9LHsiZmFtaWx5IjoiVGlhbiIsImdpdmVuIjoiSiIsInBhcnNlLW5hbWVzIjpmYWxzZSwiZHJvcHBpbmctcGFydGljbGUiOiIiLCJub24tZHJvcHBpbmctcGFydGljbGUiOiIifSx7ImZhbWlseSI6IlpoYW5nIiwiZ2l2ZW4iOiJKIiwicGFyc2UtbmFtZXMiOmZhbHNlLCJkcm9wcGluZy1wYXJ0aWNsZSI6IiIsIm5vbi1kcm9wcGluZy1wYXJ0aWNsZSI6IiJ9LHsiZmFtaWx5IjoiWmhhbmciLCJnaXZlbiI6IlkiLCJwYXJzZS1uYW1lcyI6ZmFsc2UsImRyb3BwaW5nLXBhcnRpY2xlIjoiIiwibm9uLWRyb3BwaW5nLXBhcnRpY2xlIjoiIn1dLCJjb250YWluZXItdGl0bGUiOiJGcm9udCBQc3ljaGlhdHJ5IiwiRE9JIjoiMTAuMzM4OS9mcHN5dC4yMDIzLjEyMjQ4MjUiLCJQTUlEIjoiMzgwMzQ5MjUiLCJpc3N1ZWQiOnsiZGF0ZS1wYXJ0cyI6W1syMDIzXV19LCJwYWdlIjoiMTIyNDgyNSIsImFic3RyYWN0IjoiQkFDS0dST1VORDogUHJlbW9uaXRvcnkgdXJnZXMgKFBVcykgaGF2ZSBiZWVuIHRoZSBmb2N1cyBvZiByZWNlbnQgZWZmb3J0cyB0byBhc3Nlc3MgdGhlIHNldmVyaXR5IGFuZCBkZXZlbG9wIGludGVydmVudGlvbnMgZm9yIHRpYyBkaXNvcmRlcnMgKFREKS4gV2UgYWltZWQgdG8gaW52ZXN0aWdhdGUgdGhlIFBVcyBpbiBURCBhbmQgaXRzIGNvbW9yYmlkaXRpZXMgZnJvbSBtdWx0aXBsZSBkaW1lbnNpb25zLCB1c2luZyB0aGUgQ2hpbmVzZSB2ZXJzaW9uIG9mIHRoZSBQcmVtb25pdG9yeSBVcmdlIGZvciBUaWNzIFNjYWxlIChDLVBVVFMpIGFuZCB0aGUgQ2hpbmVzZSB2ZXJzaW9uIG9mIHRoZSBJbmRpdmlkdWFsaXplZCBQcmVtb25pdG9yeSBVcmdlIGZvciBUaWNzIFNjYWxlIChDLUlQVVRTKSwgaW4gb3JkZXIgdG8gcHJvdmlkZSBwZXJzcGVjdGl2ZXMgZm9yIHRoZSBkaWFnbm9zaXMgYW5kIG1hbmFnZW1lbnQgb2YgVEQgaW4gY2hpbGRyZW4gYW5kIGFkb2xlc2NlbnRzLiBNRVRIT0RTOiBBIHRvdGFsIG9mIDEyMyBjYXNlcyB3ZXJlIGluY2x1ZGVkIGluIHRoZSBzdHVkeS4gVGhlIElQVVRTIHdhcyB0cmFuc2xhdGVkLCBiYWNrLXRyYW5zbGF0ZWQsIGN1bHR1cmFsbHkgYWRqdXN0ZWQsIGFuZCBwcmUtaW52ZXN0aWdhdGVkIHRvIGRldGVybWluZSB0aGUgaXRlbXMgb2YgdGhlIEMtSVBVVFMuIFRoZSByZWxpYWJpbGl0eSBhbmQgdmFsaWRpdHkgb2YgdGhlIEMtSVBVVFMgc2NhbGUgd2VyZSBldmFsdWF0ZWQgYnkgYSBxdWVzdGlvbm5haXJlIHN1cnZleSBvbiBjaGlsZHJlbiBhbmQgYWRvbGVzY2VudHMgd2l0aCBURCBhdCB0aGUgRGV2ZWxvcG1lbnRhbCBQZWRpYXRyaWNzIERlcGFydG1lbnQgb2YgdGhlIFNlY29uZCBIb3NwaXRhbCBvZiBKaWxpbiBVbml2ZXJzaXR5LiBNZWFud2hpbGUsIHRoZSBDLVBVVFMsIHdoaWNoIGhhZCBiZWVuIGV2YWx1YXRlZCBhbmQgdXNlZCBpbiBDaGluYSwgWWFsZSBHbG9iYWwgVGljIFNldmVyaXR5IFNjYWxlIChZR1RTUyksIFlhbGUtQnJvd24gT2JzZXNzaXZlLUNvbXB1bHNpdmUgU2NhbGUgKFktQk9DUyksIERlcHJlc3Npb24gU2VsZi1SYXRpbmcgU2NhbGUgKERTUlMpLCBTY3JlZW4gZm9yIENoaWxkaG9vZCBBbnhpZXR5LVJlbGF0ZWQgRGlzb3JkZXJzIChTQ0FSRUQpLCBBY2hlbmJhY2ggQ2hpbGQgQmVoYXZpb3IgQ2hlY2tsaXN0IChDQkNMKSwgYW5kIFN3YW5zb24sIE5vbGFuIGFuZCBQZWxoYW0sIFZlcnNpb24gSVYgKFNOQVAtSVYpLCB3ZXJlIHVzZWQgdG8gYXNzZXNzIHRoZSBhc3NvY2lhdGlvbiBvZiBQVXMgd2l0aCB0aWNzIGFuZCBjb21vcmJpZGl0aWVzIG9mIFRELiBSRVNVTFRTOiBBbGwgZGltZW5zaW9ucyBvZiB0aGUgQy1JUFVUUyBkZW1vbnN0cmF0ZWQgZ29vZCByZWxpYWJpbGl0eSBhbmQgdmFsaWRpdHkuIE91ciBmaW5kaW5ncyBzdWdnZXN0ZWQgdGhhdCBQVXMgaW4gY2hpbGRyZW4gYW5kIGFkb2xlc2NlbnRzIGluIENoaW5hIG9jY3VycmVkIHByaW1hcmlseSBhdCB0aGUgaGVhZC9mYWNlIGFuZCBuZWNrL3Rocm9hdC4gVGhlIGRpZmZlcmVudCBkaW1lbnNpb25zIG9mIHRoZSBDLUlQVVRTIChudW1iZXIsIGZyZXF1ZW5jeSwgYW5kIGludGVuc2l0eSkgYW5kIEMtUFVUUyB3ZXJlIHBvc2l0aXZlbHkgY29ycmVsYXRlZCB3aXRoIHRoZSBZR1RTUyB0b3RhbCBzY29yZSwgd2hpbGUgdGhlIEMtUFVUUyB3YXMgcG9zaXRpdmVseSBjb3JyZWxhdGVkIHdpdGggdGhlIFktQk9DUywgU0NBUkVELCBEU1JTLCBhbmQgU05BUC1JViBzY2FsZSB0b3RhbCBzY29yZXMuIFRoZSB0aHJlZSBkaW1lbnNpb25zIG9mIHRoZSBDLUlQVVRTIGRlbW9uc3RyYXRlZCBjb3JyZWxhdGlvbnMgd2l0aCBhbnhpZXR5IHNldmVyaXR5IGFuZCBvYnNlc3NpdmUtY29tcHVsc2l2ZSBzeW1wdG9tcy4gQ09OQ0xVU0lPTjogVGhlIEMtSVBVVFMgY2FuIGJlIHVzZWQgdG8gYXNzZXNzIFBVcyByZWxpYWJseSBhbmQgZWZmZWN0aXZlbHkgYW5kIHByb3ZpZGUgZnVydGhlciBpbmZvcm1hdGlvbiBmb3IgdGhlIEMtUFVUUyBmcm9tIHZhcmlvdXMgZGltZW5zaW9ucyBpbiBhIENoaW5lc2Ugc2V0dGluZy4gUFVzIHJlbGF0ZSB0byBvYnNlc3NpdmUtY29tcHVsc2l2ZSBzeW1wdG9tcywgYW54aWV0eSwgYXR0ZW50aW9uIGRlZmljaXQgaHlwZXJhY3Rpdml0eSwgYW5kIGJlaGF2aW9yYWwgcHJvYmxlbXMgaW4gY2hpbGRyZW4gYW5kIGFkb2xlc2NlbnRzIHdpdGggVERzLiBBY2NvcmRpbmdseSwgUFVzIGV2YWx1YXRpb24gdXNpbmcgdGhlIEMtSVBVVFMgY29tYmluZWQgd2l0aCB0aGUgUFVUUyBtaWdodCBwcm92aWRlIHVzZWZ1bCBpbmZvcm1hdGlvbiBmb3IgZnV0dXJlIHRoZXJhcGllcyBmb3IgVERzIHRvIGFjaGlldmUgZ3JlYXRlciB0aWMgcmVkdWN0aW9uLiIsInZvbHVtZSI6IjE0IiwiY29udGFpbmVyLXRpdGxlLXNob3J0IjoiIn0sImlzVGVtcG9yYXJ5IjpmYWxzZX1dfQ==&quot;,&quot;citationItems&quot;:[{&quot;id&quot;:&quot;ba23c6f0-3336-39ca-b190-2d49dd1bff4e&quot;,&quot;itemData&quot;:{&quot;type&quot;:&quot;article-journal&quot;,&quot;id&quot;:&quot;ba23c6f0-3336-39ca-b190-2d49dd1bff4e&quot;,&quot;title&quot;:&quot;Clinical evaluation of premonitory urges in children and adolescents using the Chinese version of Individualized Premonitory Urge for Tics Scale&quot;,&quot;groupId&quot;:&quot;07d62ac1-5aa8-39af-b49e-52d2088ac571&quot;,&quot;author&quot;:[{&quot;family&quot;:&quot;Che&quot;,&quot;given&quot;:&quot;G&quot;,&quot;parse-names&quot;:false,&quot;dropping-particle&quot;:&quot;&quot;,&quot;non-dropping-particle&quot;:&quot;&quot;},{&quot;family&quot;:&quot;Ren&quot;,&quot;given&quot;:&quot;W&quot;,&quot;parse-names&quot;:false,&quot;dropping-particle&quot;:&quot;&quot;,&quot;non-dropping-particle&quot;:&quot;&quot;},{&quot;family&quot;:&quot;McGuire&quot;,&quot;given&quot;:&quot;J F&quot;,&quot;parse-names&quot;:false,&quot;dropping-particle&quot;:&quot;&quot;,&quot;non-dropping-particle&quot;:&quot;&quot;},{&quot;family&quot;:&quot;Li&quot;,&quot;given&quot;:&quot;P&quot;,&quot;parse-names&quot;:false,&quot;dropping-particle&quot;:&quot;&quot;,&quot;non-dropping-particle&quot;:&quot;&quot;},{&quot;family&quot;:&quot;Zhao&quot;,&quot;given&quot;:&quot;Z&quot;,&quot;parse-names&quot;:false,&quot;dropping-particle&quot;:&quot;&quot;,&quot;non-dropping-particle&quot;:&quot;&quot;},{&quot;family&quot;:&quot;Tian&quot;,&quot;given&quot;:&quot;J&quot;,&quot;parse-names&quot;:false,&quot;dropping-particle&quot;:&quot;&quot;,&quot;non-dropping-particle&quot;:&quot;&quot;},{&quot;family&quot;:&quot;Zhang&quot;,&quot;given&quot;:&quot;J&quot;,&quot;parse-names&quot;:false,&quot;dropping-particle&quot;:&quot;&quot;,&quot;non-dropping-particle&quot;:&quot;&quot;},{&quot;family&quot;:&quot;Zhang&quot;,&quot;given&quot;:&quot;Y&quot;,&quot;parse-names&quot;:false,&quot;dropping-particle&quot;:&quot;&quot;,&quot;non-dropping-particle&quot;:&quot;&quot;}],&quot;container-title&quot;:&quot;Front Psychiatry&quot;,&quot;DOI&quot;:&quot;10.3389/fpsyt.2023.1224825&quot;,&quot;PMID&quot;:&quot;38034925&quot;,&quot;issued&quot;:{&quot;date-parts&quot;:[[2023]]},&quot;page&quot;:&quot;1224825&quot;,&quot;abstract&quot;:&quot;BACKGROUND: Premonitory urges (PUs) have been the focus of recent efforts to assess the severity and develop interventions for tic disorders (TD). We aimed to investigate the PUs in TD and its comorbidities from multiple dimensions, using the Chinese version of the Premonitory Urge for Tics Scale (C-PUTS) and the Chinese version of the Individualized Premonitory Urge for Tics Scale (C-IPUTS), in order to provide perspectives for the diagnosis and management of TD in children and adolescents. METHODS: A total of 123 cases were included in the study. The IPUTS was translated, back-translated, culturally adjusted, and pre-investigated to determine the items of the C-IPUTS. The reliability and validity of the C-IPUTS scale were evaluated by a questionnaire survey on children and adolescents with TD at the Developmental Pediatrics Department of the Second Hospital of Jilin University. Meanwhile, the C-PUTS, which had been evaluated and used in China, Yale Global Tic Severity Scale (YGTSS), Yale-Brown Obsessive-Compulsive Scale (Y-BOCS), Depression Self-Rating Scale (DSRS), Screen for Childhood Anxiety-Related Disorders (SCARED), Achenbach Child Behavior Checklist (CBCL), and Swanson, Nolan and Pelham, Version IV (SNAP-IV), were used to assess the association of PUs with tics and comorbidities of TD. RESULTS: All dimensions of the C-IPUTS demonstrated good reliability and validity. Our findings suggested that PUs in children and adolescents in China occurred primarily at the head/face and neck/throat. The different dimensions of the C-IPUTS (number, frequency, and intensity) and C-PUTS were positively correlated with the YGTSS total score, while the C-PUTS was positively correlated with the Y-BOCS, SCARED, DSRS, and SNAP-IV scale total scores. The three dimensions of the C-IPUTS demonstrated correlations with anxiety severity and obsessive-compulsive symptoms. CONCLUSION: The C-IPUTS can be used to assess PUs reliably and effectively and provide further information for the C-PUTS from various dimensions in a Chinese setting. PUs relate to obsessive-compulsive symptoms, anxiety, attention deficit hyperactivity, and behavioral problems in children and adolescents with TDs. Accordingly, PUs evaluation using the C-IPUTS combined with the PUTS might provide useful information for future therapies for TDs to achieve greater tic reduction.&quot;,&quot;volume&quot;:&quot;14&quot;,&quot;container-title-short&quot;:&quot;&quot;},&quot;isTemporary&quot;:false}]},{&quot;citationID&quot;:&quot;MENDELEY_CITATION_6ad92961-8c5c-45d5-8a22-e14cc52b27f7&quot;,&quot;properties&quot;:{&quot;noteIndex&quot;:0},&quot;isEdited&quot;:false,&quot;manualOverride&quot;:{&quot;isManuallyOverridden&quot;:false,&quot;citeprocText&quot;:&quot;(47)&quot;,&quot;manualOverrideText&quot;:&quot;&quot;},&quot;citationTag&quot;:&quot;MENDELEY_CITATION_v3_eyJjaXRhdGlvbklEIjoiTUVOREVMRVlfQ0lUQVRJT05fNmFkOTI5NjEtOGM1Yy00NWQ1LThhMjItZTE0Y2M1MmIyN2Y3IiwicHJvcGVydGllcyI6eyJub3RlSW5kZXgiOjB9LCJpc0VkaXRlZCI6ZmFsc2UsIm1hbnVhbE92ZXJyaWRlIjp7ImlzTWFudWFsbHlPdmVycmlkZGVuIjpmYWxzZSwiY2l0ZXByb2NUZXh0IjoiKDQ3KSIsIm1hbnVhbE92ZXJyaWRlVGV4dCI6IiJ9LCJjaXRhdGlvbkl0ZW1zIjpbeyJpZCI6IjZhNmNjMDZiLTRiMWMtM2Q5My04YWU2LTU3MDFhNDYwMDVlNyIsIml0ZW1EYXRhIjp7InR5cGUiOiJhcnRpY2xlLWpvdXJuYWwiLCJpZCI6IjZhNmNjMDZiLTRiMWMtM2Q5My04YWU2LTU3MDFhNDYwMDVlNyIsInRpdGxlIjoiQ2xpbmljYWwgY2hhcmFjdGVyaXN0aWNzIG9mIHBlZGlhdHJpYyBwYXRpZW50cyB3aXRoIHRyZWF0bWVudC1yZWZyYWN0b3J5IFRvdXJldHRlIHN5bmRyb21lOiBBbiBldmlkZW5jZS1iYXNlZCBzdXJ2ZXkgaW4gYSBDaGluZXNlIHBvcHVsYXRpb24iLCJncm91cElkIjoiMDdkNjJhYzEtNWFhOC0zOWFmLWI0OWUtNTJkMjA4OGFjNTcxIiwiYXV0aG9yIjpbeyJmYW1pbHkiOiJMaSIsImdpdmVuIjoiWSIsInBhcnNlLW5hbWVzIjpmYWxzZSwiZHJvcHBpbmctcGFydGljbGUiOiIiLCJub24tZHJvcHBpbmctcGFydGljbGUiOiIifSx7ImZhbWlseSI6IllhbiIsImdpdmVuIjoiSiBKIiwicGFyc2UtbmFtZXMiOmZhbHNlLCJkcm9wcGluZy1wYXJ0aWNsZSI6IiIsIm5vbi1kcm9wcGluZy1wYXJ0aWNsZSI6IiJ9LHsiZmFtaWx5IjoiQ3VpIiwiZ2l2ZW4iOiJZIEgiLCJwYXJzZS1uYW1lcyI6ZmFsc2UsImRyb3BwaW5nLXBhcnRpY2xlIjoiIiwibm9uLWRyb3BwaW5nLXBhcnRpY2xlIjoiIn1dLCJjb250YWluZXItdGl0bGUiOiJXb3JsZCBKIFBzeWNoaWF0cnkiLCJET0kiOiIxMC41NDk4L3dqcC52MTIuaTcuOTU4IiwiUE1JRCI6IjM2MDUxNjAyIiwiVVJMIjoiaHR0cHM6Ly9mNnB1Ymxpc2hpbmcuYmxvYi5jb3JlLndpbmRvd3MubmV0L2Y1NGYyNGY4LTM0ZmYtNGViNy1iYzI5LTk2ODI2NjY5OTJhZC9XSlAtMTItOTU4LnBkZiIsImlzc3VlZCI6eyJkYXRlLXBhcnRzIjpbWzIwMjJdXX0sInBhZ2UiOiI5NTgtOTY5IiwiYWJzdHJhY3QiOiJCQUNLR1JPVU5EOiBUb3VyZXR0ZSBzeW5kcm9tZSAoVFMpIGlzIGEgY29tcGxleCBuZXVyb2RldmVsb3BtZW50YWwgY29uZGl0aW9uIG1hcmtlZCBieSB0aWNzLCBhcyB3ZWxsIGFzIGEgdmFyaWV0eSBvZiBwc3ljaGlhdHJpYyBjb21vcmJpZGl0aWVzLCBzdWNoIGFzIG9ic2Vzc2l2ZS1jb21wdWxzaXZlIGRpc29yZGVycyAoT0NEcyksIGF0dGVudGlvbiBkZWZpY2l0IGh5cGVyYWN0aXZpdHkgZGlzb3JkZXIgKEFESEQpLCBhbnhpZXR5LCBhbmQgc2VsZi1pbmp1cmlvdXMgYmVoYXZpb3IuIFRTIG1pZ2h0IHByb2dyZXNzIHRvIHRyZWF0bWVudC1yZWZyYWN0b3J5IFRvdXJldHRlIHN5bmRyb21lIChUUlRTKSBpbiBzb21lIHBhdGllbnRzLiBIb3dldmVyLCB0aGVyZSBpcyBubyBjb25maXJtZWQgZXZpZGVuY2UgaW4gcGVkaWF0cmljIHBhdGllbnRzIHdpdGggVFJUUy4gQUlNOiBUbyBpbnZlc3RpZ2F0ZSB0aGUgY2xpbmljYWwgY2hhcmFjdGVyaXN0aWNzIG9mIFRSVFMgaW4gYSBDaGluZXNlIHBlZGlhdHJpYyBzYW1wbGUuIE1FVEhPRFM6IEEgdG90YWwgb2YgMTI2IHBlZGlhdHJpYyBwYXRpZW50cyBhZ2VkIDYtMTIgeWVhcnMgd2l0aCBUUyB3ZXJlIGlkZW50aWZpZWQsIGluY2x1ZGluZyA2NCBUUlRTIGFuZCA2MiBub24tVFJUUyBwYXRpZW50cy4gVGhlIFlhbGUgR2xvYmFsIFRpYyBTZXZlcml0eSBTY2FsZSAoWUdUU1MpLCBQcmVtb25pdG9yeSBVcmdlIGZvciBUaWNzIFNjYWxlIChQVVRTKSwgYW5kIENoaWxkIEJlaGF2aW9yIENoZWNrbGlzdCAoQ0JDTCkgd2VyZSB1c2VkIHRvIGFzc2VzcyB0aGVzZSB0d28gZ3JvdXBzIGFuZCBjb21wYXJlZCB0aGUgZGlmZmVyZW5jZSBiZXR3ZWVuIHRoZSBUUlRTIGFuZCBub24tVFJUUyBwYXRpZW50cy4gUkVTVUxUUzogV2hlbiBjb21wYXJlZCB3aXRoIHRoZSBub24tVFJUUyBncm91cCwgd2UgZm91bmQgdGhhdCB0aGUgYWdlIG9mIG9uc2V0IGZvciBUUlRTIHdhcyB5b3VuZ2VyIChQIDwgMC4wMDEpLCBhbmQgdGhlIGR1cmF0aW9uIG9mIGlsbG5lc3Mgd2FzIGxvbmdlciAoUCA8IDAuMDAxKS4gVFJUUyB3YXMgbW9yZSBvZnRlbiBjYXVzZWQgYnkgcHN5Y2hvc29jaWFsIChQIDwgMC4wMDEpIHRoYW4gcGh5c2lvbG9naWNhbCBmYWN0b3JzLCBhbmQgY29wcm9sYWxpYSBhbmQgaW5hcHByb3ByaWF0ZSBwYXJlbnRpbmcgc3R5bGUgd2VyZSBtb3JlIG9mdGVuIHByZXNlbnQgaW4gdGhlIFRSVFMgZ3JvdXAgKFAgPCAwLjAwMSkuIFRoZSBUUlRTIGdyb3VwIHNob3dlZCBhIGhpZ2hlciBsZXZlbCBvZiBwcmVtb25pdG9yeSB1cmdlIChQIDwgMC4wMDEpLCBhIGxvd2VyIGludGVsbGlnZW5jZSBxdW90aWVudCAoSVEpIChQIDwgMC4wMDEpLCBhbmQgYSBoaWdoZXIgcGVyY2VudGFnZSBvZiBmYW1pbHkgaGlzdG9yeSBvZiBUUy4gVGhlIFRSVFMgcGF0aWVudHMgZGVtb25zdHJhdGVkIG1vcmUgcHJvYmxlbXMgKFAgPCAwLjAxKSBpbiB0aGUgXCJVbmNvbW11bmljYXRpdmVcIiwgXCJPYnNlc3NpdmUtQ29tcHVsc2l2ZVwiLCBcIlNvY2lhbC1XaXRoZHJhd2FsXCIsIFwiSHlwZXJhY3RpdmVcIiwgXCJBZ2dyZXNzaXZlXCIsIGFuZCBcIkRlbGlucXVlbnRcIiBzdWJzY2FsZXMgaW4gdGhlIGJveXMgZ3JvdXAsIGFuZCBcIlNvY2lhbC1XaXRoZHJhd2FsXCIgKFAgPSAwLjAyKSBzdWJzY2FsZSBpbiB0aGUgZ2lybHMgZ3JvdXAuIENPTkNMVVNJT046IFBlZGlhdHJpYyBUUlRTIG1pZ2h0IHNob3cgYW4gZWFybGllciBhZ2Ugb2Ygb25zZXQgYWdlLCBsb25nZXIgZHVyYXRpb24gb2YgaWxsbmVzcywgbG93ZXIgSVEsIGhpZ2hlciBwcmVtb25pdG9yeSB1cmdlLCBhbmQgaGlnaGVyIGNvbW9yYmlkaXRpZXMgd2l0aCBBREhELXJlbGF0ZWQgc3ltcHRvbXMgYW5kIE9DRC1yZWxhdGVkIHN5bXB0b21zLiBXZSBuZWVkIHRvIHBheSBtb3JlIGF0dGVudGlvbiB0byB0aGUgc29jaWFsIGNvbW11bmljYXRpb24gZGVmaWNpdHMgb2YgVFJUUy4iLCJpc3N1ZSI6IjciLCJ2b2x1bWUiOiIxMiIsImNvbnRhaW5lci10aXRsZS1zaG9ydCI6IiJ9LCJpc1RlbXBvcmFyeSI6ZmFsc2V9XX0=&quot;,&quot;citationItems&quot;:[{&quot;id&quot;:&quot;6a6cc06b-4b1c-3d93-8ae6-5701a46005e7&quot;,&quot;itemData&quot;:{&quot;type&quot;:&quot;article-journal&quot;,&quot;id&quot;:&quot;6a6cc06b-4b1c-3d93-8ae6-5701a46005e7&quot;,&quot;title&quot;:&quot;Clinical characteristics of pediatric patients with treatment-refractory Tourette syndrome: An evidence-based survey in a Chinese population&quot;,&quot;groupId&quot;:&quot;07d62ac1-5aa8-39af-b49e-52d2088ac571&quot;,&quot;author&quot;:[{&quot;family&quot;:&quot;Li&quot;,&quot;given&quot;:&quot;Y&quot;,&quot;parse-names&quot;:false,&quot;dropping-particle&quot;:&quot;&quot;,&quot;non-dropping-particle&quot;:&quot;&quot;},{&quot;family&quot;:&quot;Yan&quot;,&quot;given&quot;:&quot;J J&quot;,&quot;parse-names&quot;:false,&quot;dropping-particle&quot;:&quot;&quot;,&quot;non-dropping-particle&quot;:&quot;&quot;},{&quot;family&quot;:&quot;Cui&quot;,&quot;given&quot;:&quot;Y H&quot;,&quot;parse-names&quot;:false,&quot;dropping-particle&quot;:&quot;&quot;,&quot;non-dropping-particle&quot;:&quot;&quot;}],&quot;container-title&quot;:&quot;World J Psychiatry&quot;,&quot;DOI&quot;:&quot;10.5498/wjp.v12.i7.958&quot;,&quot;PMID&quot;:&quot;36051602&quot;,&quot;URL&quot;:&quot;https://f6publishing.blob.core.windows.net/f54f24f8-34ff-4eb7-bc29-9682666992ad/WJP-12-958.pdf&quot;,&quot;issued&quot;:{&quot;date-parts&quot;:[[2022]]},&quot;page&quot;:&quot;958-969&quot;,&quot;abstract&quot;:&quot;BACKGROUND: Tourette syndrome (TS) is a complex neurodevelopmental condition marked by tics, as well as a variety of psychiatric comorbidities, such as obsessive-compulsive disorders (OCDs), attention deficit hyperactivity disorder (ADHD), anxiety, and self-injurious behavior. TS might progress to treatment-refractory Tourette syndrome (TRTS) in some patients. However, there is no confirmed evidence in pediatric patients with TRTS. AIM: To investigate the clinical characteristics of TRTS in a Chinese pediatric sample. METHODS: A total of 126 pediatric patients aged 6-12 years with TS were identified, including 64 TRTS and 62 non-TRTS patients. The Yale Global Tic Severity Scale (YGTSS), Premonitory Urge for Tics Scale (PUTS), and Child Behavior Checklist (CBCL) were used to assess these two groups and compared the difference between the TRTS and non-TRTS patients. RESULTS: When compared with the non-TRTS group, we found that the age of onset for TRTS was younger (P &lt; 0.001), and the duration of illness was longer (P &lt; 0.001). TRTS was more often caused by psychosocial (P &lt; 0.001) than physiological factors, and coprolalia and inappropriate parenting style were more often present in the TRTS group (P &lt; 0.001). The TRTS group showed a higher level of premonitory urge (P &lt; 0.001), a lower intelligence quotient (IQ) (P &lt; 0.001), and a higher percentage of family history of TS. The TRTS patients demonstrated more problems (P &lt; 0.01) in the \&quot;Uncommunicative\&quot;, \&quot;Obsessive-Compulsive\&quot;, \&quot;Social-Withdrawal\&quot;, \&quot;Hyperactive\&quot;, \&quot;Aggressive\&quot;, and \&quot;Delinquent\&quot; subscales in the boys group, and \&quot;Social-Withdrawal\&quot; (P = 0.02) subscale in the girls group. CONCLUSION: Pediatric TRTS might show an earlier age of onset age, longer duration of illness, lower IQ, higher premonitory urge, and higher comorbidities with ADHD-related symptoms and OCD-related symptoms. We need to pay more attention to the social communication deficits of TRTS.&quot;,&quot;issue&quot;:&quot;7&quot;,&quot;volume&quot;:&quot;12&quot;,&quot;container-title-short&quot;:&quot;&quot;},&quot;isTemporary&quot;:false}]},{&quot;citationID&quot;:&quot;MENDELEY_CITATION_85c17cd8-ba6f-4be1-9d4b-8450edcfc5db&quot;,&quot;properties&quot;:{&quot;noteIndex&quot;:0},&quot;isEdited&quot;:false,&quot;manualOverride&quot;:{&quot;isManuallyOverridden&quot;:false,&quot;citeprocText&quot;:&quot;(48)&quot;,&quot;manualOverrideText&quot;:&quot;&quot;},&quot;citationTag&quot;:&quot;MENDELEY_CITATION_v3_eyJjaXRhdGlvbklEIjoiTUVOREVMRVlfQ0lUQVRJT05fODVjMTdjZDgtYmE2Zi00YmUxLTlkNGItODQ1MGVkY2ZjNWRiIiwicHJvcGVydGllcyI6eyJub3RlSW5kZXgiOjB9LCJpc0VkaXRlZCI6ZmFsc2UsIm1hbnVhbE92ZXJyaWRlIjp7ImlzTWFudWFsbHlPdmVycmlkZGVuIjpmYWxzZSwiY2l0ZXByb2NUZXh0IjoiKDQ4KSIsIm1hbnVhbE92ZXJyaWRlVGV4dCI6IiJ9LCJjaXRhdGlvbkl0ZW1zIjpbeyJpZCI6IjI0OWQwNTdiLWEwYzUtMzI0Zi04MmY1LTY3Y2ZhM2YyZWQ3OCIsIml0ZW1EYXRhIjp7InR5cGUiOiJhcnRpY2xlLWpvdXJuYWwiLCJpZCI6IjI0OWQwNTdiLWEwYzUtMzI0Zi04MmY1LTY3Y2ZhM2YyZWQ3OCIsInRpdGxlIjoiTmV3IGluc2lnaHRzIGludG8gY2xpbmljYWwgY2hhcmFjdGVyaXN0aWNzIG9mIEdpbGxlcyBkZSBsYSBUb3VyZXR0ZSBzeW5kcm9tZTogRmluZGluZ3MgaW4gMTAzMiBwYXRpZW50cyBmcm9tIGEgc2luZ2xlIEdlcm1hbiBjZW50ZXIiLCJncm91cElkIjoiMDdkNjJhYzEtNWFhOC0zOWFmLWI0OWUtNTJkMjA4OGFjNTcxIiwiYXV0aG9yIjpbeyJmYW1pbHkiOiJTYW1icmFuaSIsImdpdmVuIjoiVCIsInBhcnNlLW5hbWVzIjpmYWxzZSwiZHJvcHBpbmctcGFydGljbGUiOiIiLCJub24tZHJvcHBpbmctcGFydGljbGUiOiIifSx7ImZhbWlseSI6Ikpha3Vib3Zza2kiLCJnaXZlbiI6IkUiLCJwYXJzZS1uYW1lcyI6ZmFsc2UsImRyb3BwaW5nLXBhcnRpY2xlIjoiIiwibm9uLWRyb3BwaW5nLXBhcnRpY2xlIjoiIn0seyJmYW1pbHkiOiJNdWxsZXItVmFobCIsImdpdmVuIjoiSyBSIiwicGFyc2UtbmFtZXMiOmZhbHNlLCJkcm9wcGluZy1wYXJ0aWNsZSI6IiIsIm5vbi1kcm9wcGluZy1wYXJ0aWNsZSI6IiJ9XSwiY29udGFpbmVyLXRpdGxlIjoiRnJvbnRpZXJzIGluIE5ldXJvc2NpZW5jZSIsIkRPSSI6Imh0dHBzOi8vZHguZG9pLm9yZy8xMC4zMzg5L2ZuaW5zLjIwMTYuMDA0MTUiLCJVUkwiOiJodHRwOi8vam91cm5hbC5mcm9udGllcnNpbi5vcmcvYXJ0aWNsZS8xMC4zMzg5L2ZuaW5zLjIwMTYuMDA0MTUvZnVsbGh0dHA6Ly9vdmlkc3Aub3ZpZC5jb20vb3ZpZHdlYi5jZ2k/VD1KUyZQQUdFPXJlZmVyZW5jZSZEPWVtZWQxNyZORVdTPU4mQU49NjEyNzkzNjUzIiwiaXNzdWVkIjp7ImRhdGUtcGFydHMiOltbMjAxNl1dfSwicGFnZSI6IjQxNSIsImFic3RyYWN0IjoiQmFja2dyb3VuZDogR2lsbGVzIGRlIGxhIFRvdXJldHRlIHN5bmRyb21lIChUUykgaXMgYSBjb21wbGV4IG5ldXJvcHN5Y2hpYXRyaWMgZGlzb3JkZXIgZGVmaW5lZCBieSB0aGUgcHJlc2VuY2Ugb2YgbW90b3IgYW5kIHBob25pYyB0aWNzLCBidXQgb2Z0ZW4gYXNzb2NpYXRlZCB3aXRoIHBzeWNoaWF0cmljIGNvbW9yYmlkaXRpZXMuIFRoZSBtYWluIG9iamVjdGl2ZSBvZiB0aGlzIHN0dWR5IHdhcyB0byBleHBsb3JlIHRoZSBjbGluaWNhbCBwcmVzZW50YXRpb24gYW5kIGNvbW9yYmlkaXRpZXMgb2YgVFMuIE1ldGhvZChzKTogV2UgYW5hbHl6ZWQgY2xpbmljYWwgZGF0YSBvYnRhaW5lZCBmcm9tIGEgbGFyZ2Ugc2FtcGxlIChuID0gMTAzMjsgNTI5IGNoaWxkcmVuIGFuZCA1MDMgYWR1bHRzKSBvZiBwYXRpZW50cyB3aXRoIHRpYyBkaXNvcmRlcnMgZnJvbSBvbmUgc2luZ2xlIEdlcm1hbiBUUyBjZW50ZXIgYXNzZXNzZWQgYnkgb25lIGludmVzdGlnYXRvci4gRGF0YSB3YXMgY29sbGVjdGVkIHdpdGggdGhlIGhlbHAgb2YgYW4gZXhwZXJ0LXJldmlld2VkIHNlbWktc3RydWN0dXJlZCBpbnRlcnZpZXcsIGRlc2lnbmVkIHRvIGFzc2VzcyB0aWMgc2V2ZXJpdHkgYW5kIGNlcnRhaW4gY29tb3JiaWRpdGllcy4gR3JvdXAgY29tcGFyaXNvbnMgd2VyZSBjYXJyaWVkIG91dCB2aWEgaW5kZXBlbmRlbnQgc2FtcGxlIHQtdGVzdHMgYW5kIGNoaS1zcXVhcmUgdGVzdHMuIFJlc3VsdChzKTogVGhlIG1haW4gZmluZGluZ3Mgb2YgdGhlIHN0dWR5IGFyZTogKDEpIHRpYyBzZXZlcml0eSBpcyBhc3NvY2lhdGVkIHdpdGggdGhlIHByZXNlbmNlIG9mIHByZW1vbml0b3J5IHVyZ2VzIChQVSksIGNvcHJvLSwgZWNoby0sIGFuZCBwYWxpcGhlbm9tZW5hIGFuZCB0aGUgbnVtYmVyIG9mIGNvbW9yYmlkaXRpZXMsIGJ1dCBub3QgYWdlIGF0IHRpYyBvbnNldDsgaXQgaXMgaGlnaGVyIGluIHBhdGllbnRzIHdpdGggY29tb3JiaWQgb2JzZXNzaXZlLWNvbXB1bHNpdmUgZGlzb3JkZXIgKE9DRCkgdGhhbiBpbiBwYXRpZW50cyB3aXRoIGNvbW9yYmlkIGF0dGVudGlvbiBkZWZpY2l0L2h5cGVyYWN0aXZpdHkgZGlzb3JkZXIgKEFESEQpLiAoMikgUFUgd2VyZSBmb3VuZCB0byBiZSBoaWdobHkgYXNzb2NpYXRlZCB3aXRoIFwibm90IGp1c3QgcmlnaHQgZXhwZXJpZW5jZXNcIiBhbmQgdG8gZW1lcmdlIG11Y2ggZWFybGllciB0aGFuIHByZXZpb3VzbHkgdGhvdWdodCBhbG9uZ3NpZGUgd2l0aCB0aGUgYWJpbGl0eSB0byBzdXBwcmVzcyB0aWNzIChQVSBpbiA+IDYwJSBhbmQgc3VwcHJlc3NpYmlsaXR5IGluID4gNzUlIGF0IGFnZSA4LTEwIHllYXJzKS4gKDMpIFNlbGYtaW5qdXJpb3VzIGJlaGF2aW9yIChTSUIpIGlzIGhpZ2hseSBhc3NvY2lhdGVkIHdpdGggY29tcGxleCBtb3RvciB0aWNzIGFuZCBjb3Byb3BoZW5vbWVuYSwgYnV0IG5vdCB3aXRoIE9DRC9vYnNlc3NpdmUtY29tcHVsc2l2ZSBiZWhhdmlvciAoT0NCKS4gV2hpbGUgY29tb3JiaWQgQURIRCBpcyBhc3NvY2lhdGVkIHdpdGggYSBsb3dlciBhYmlsaXR5IHRvIHN1cHByZXNzIHRpY3MsIGNvbW9yYmlkIGRlcHJlc3Npb24gaXMgYXNzb2NpYXRlZCB3aXRoIHNsZWVwaW5nIHByb2JsZW1zLiBEaXNjdXNzaW9uKHMpOiBPdXIgcmVzdWx0cyBkZW1vbnN0cmF0ZSB0aGF0IHRpYyBzZXZlcml0eSBpcyBub3QgaW5mbHVlbmNlZCBieSBhZ2UgYXQgb25zZXQuIEZyb20gb3VyIGRhdGEsIGl0IGlzIHN1Z2dlc3RlZCB0aGF0IFBVIHJlcHJlc2VudCBhIHNwZWNpZmljIHR5cGUgb2YgXCJub3QganVzdCByaWdodCBleHBlcmllbmNlXCIgdGhhdCBpcyBub3QgYSBwcmVyZXF1aXNpdGUgZm9yIHRpYyBzdXBwcmVzc2lvbi4gQ29tb3JiaWQgQURIRCByZWR1Y2VzIHBhdGllbnRzJyBhYmlsaXR5IG9mIHN1Y2Nlc3NmdWwgdGljIHN1cHByZXNzaW9uLiBPdXIgZGF0YSBzdWdnZXN0IHRoYXQgU0lCIGJlbG9uZ3MgdG8gdGhlIGNvcHJvcGhlbm9tZW5hIHNwZWN0cnVtIGFuZCBoZW5jZSBzaG91bGQgYmUgY29uY2VwdHVhbGl6ZWQgYXMgYSBjb21wbGV4IHRpYyByYXRoZXIgdGhhbiBhIGNvbXB1bHNpb24uIEZpbmFsbHksIHRoaXMgc3R1ZHkgc3Ryb25nbHkgc3VwcG9ydHMgdGhlIGh5cG90aGVzaXMgdGhhdCBUUytPQ0QgaXMgYSBtb3JlIHNldmVyZSBmb3JtIG9mIFRTIGFuZCB0aGF0IGNvbW9yYmlkIE9DRC9PQ0IsIGRlcHJlc3Npb24sIGFuZCBhbnhpZXR5IGJlbG9uZyB0byB0aGUgVFMgc3BlY3RydW0sIHdoaWxlIEFESEQgc2hvdWxkIGJlIGJldHRlciBjb25jZXB0dWFsaXplZCBhcyBhIHNlcGFyYXRlIHByb2JsZW0uIENvcHlyaWdodCDCqSAyMDE2IFNhbWJyYW5pLCBKYWt1Ym92c2tpIGFuZCBNdWxsZXItVmFobC4iLCJpc3N1ZSI6IlNFUCIsInZvbHVtZSI6IjEwIiwiY29udGFpbmVyLXRpdGxlLXNob3J0IjoiRnJvbnQgTmV1cm9zY2kifSwiaXNUZW1wb3JhcnkiOmZhbHNlfV19&quot;,&quot;citationItems&quot;:[{&quot;id&quot;:&quot;249d057b-a0c5-324f-82f5-67cfa3f2ed78&quot;,&quot;itemData&quot;:{&quot;type&quot;:&quot;article-journal&quot;,&quot;id&quot;:&quot;249d057b-a0c5-324f-82f5-67cfa3f2ed78&quot;,&quot;title&quot;:&quot;New insights into clinical characteristics of Gilles de la Tourette syndrome: Findings in 1032 patients from a single German center&quot;,&quot;groupId&quot;:&quot;07d62ac1-5aa8-39af-b49e-52d2088ac571&quot;,&quot;author&quot;:[{&quot;family&quot;:&quot;Sambrani&quot;,&quot;given&quot;:&quot;T&quot;,&quot;parse-names&quot;:false,&quot;dropping-particle&quot;:&quot;&quot;,&quot;non-dropping-particle&quot;:&quot;&quot;},{&quot;family&quot;:&quot;Jakubovski&quot;,&quot;given&quot;:&quot;E&quot;,&quot;parse-names&quot;:false,&quot;dropping-particle&quot;:&quot;&quot;,&quot;non-dropping-particle&quot;:&quot;&quot;},{&quot;family&quot;:&quot;Muller-Vahl&quot;,&quot;given&quot;:&quot;K R&quot;,&quot;parse-names&quot;:false,&quot;dropping-particle&quot;:&quot;&quot;,&quot;non-dropping-particle&quot;:&quot;&quot;}],&quot;container-title&quot;:&quot;Frontiers in Neuroscience&quot;,&quot;DOI&quot;:&quot;https://dx.doi.org/10.3389/fnins.2016.00415&quot;,&quot;URL&quot;:&quot;http://journal.frontiersin.org/article/10.3389/fnins.2016.00415/fullhttp://ovidsp.ovid.com/ovidweb.cgi?T=JS&amp;PAGE=reference&amp;D=emed17&amp;NEWS=N&amp;AN=612793653&quot;,&quot;issued&quot;:{&quot;date-parts&quot;:[[2016]]},&quot;page&quot;:&quot;415&quot;,&quot;abstract&quot;:&quot;Background: Gilles de la Tourette syndrome (TS) is a complex neuropsychiatric disorder defined by the presence of motor and phonic tics, but often associated with psychiatric comorbidities. The main objective of this study was to explore the clinical presentation and comorbidities of TS. Method(s): We analyzed clinical data obtained from a large sample (n = 1032; 529 children and 503 adults) of patients with tic disorders from one single German TS center assessed by one investigator. Data was collected with the help of an expert-reviewed semi-structured interview, designed to assess tic severity and certain comorbidities. Group comparisons were carried out via independent sample t-tests and chi-square tests. Result(s): The main findings of the study are: (1) tic severity is associated with the presence of premonitory urges (PU), copro-, echo-, and paliphenomena and the number of comorbidities, but not age at tic onset; it is higher in patients with comorbid obsessive-compulsive disorder (OCD) than in patients with comorbid attention deficit/hyperactivity disorder (ADHD). (2) PU were found to be highly associated with \&quot;not just right experiences\&quot; and to emerge much earlier than previously thought alongside with the ability to suppress tics (PU in &gt; 60% and suppressibility in &gt; 75% at age 8-10 years). (3) Self-injurious behavior (SIB) is highly associated with complex motor tics and coprophenomena, but not with OCD/obsessive-compulsive behavior (OCB). While comorbid ADHD is associated with a lower ability to suppress tics, comorbid depression is associated with sleeping problems. Discussion(s): Our results demonstrate that tic severity is not influenced by age at onset. From our data, it is suggested that PU represent a specific type of \&quot;not just right experience\&quot; that is not a prerequisite for tic suppression. Comorbid ADHD reduces patients' ability of successful tic suppression. Our data suggest that SIB belongs to the coprophenomena spectrum and hence should be conceptualized as a complex tic rather than a compulsion. Finally, this study strongly supports the hypothesis that TS+OCD is a more severe form of TS and that comorbid OCD/OCB, depression, and anxiety belong to the TS spectrum, while ADHD should be better conceptualized as a separate problem. Copyright © 2016 Sambrani, Jakubovski and Muller-Vahl.&quot;,&quot;issue&quot;:&quot;SEP&quot;,&quot;volume&quot;:&quot;10&quot;,&quot;container-title-short&quot;:&quot;Front Neurosci&quot;},&quot;isTemporary&quot;:false}]},{&quot;citationID&quot;:&quot;MENDELEY_CITATION_345f5970-97bb-4ac7-94de-437c4cc58d6f&quot;,&quot;properties&quot;:{&quot;noteIndex&quot;:0},&quot;isEdited&quot;:false,&quot;manualOverride&quot;:{&quot;isManuallyOverridden&quot;:false,&quot;citeprocText&quot;:&quot;(49)&quot;,&quot;manualOverrideText&quot;:&quot;&quot;},&quot;citationTag&quot;:&quot;MENDELEY_CITATION_v3_eyJjaXRhdGlvbklEIjoiTUVOREVMRVlfQ0lUQVRJT05fMzQ1ZjU5NzAtOTdiYi00YWM3LTk0ZGUtNDM3YzRjYzU4ZDZmIiwicHJvcGVydGllcyI6eyJub3RlSW5kZXgiOjB9LCJpc0VkaXRlZCI6ZmFsc2UsIm1hbnVhbE92ZXJyaWRlIjp7ImlzTWFudWFsbHlPdmVycmlkZGVuIjpmYWxzZSwiY2l0ZXByb2NUZXh0IjoiKDQ5KSIsIm1hbnVhbE92ZXJyaWRlVGV4dCI6IiJ9LCJjaXRhdGlvbkl0ZW1zIjpbeyJpZCI6IjYyNTIxMjRlLWU4NGMtM2I1NS1iMjg5LWVkNDFiMzgyNThlNiIsIml0ZW1EYXRhIjp7InR5cGUiOiJhcnRpY2xlLWpvdXJuYWwiLCJpZCI6IjYyNTIxMjRlLWU4NGMtM2I1NS1iMjg5LWVkNDFiMzgyNThlNiIsInRpdGxlIjoiQXJlIHRoZXJlIGRpc3RpbmN0IHN1YnR5cGVzIGluIFRvdXJldHRlIHN5bmRyb21lPyBQdXJlLVRvdXJldHRlIHN5bmRyb21lIHZlcnN1cyBUb3VyZXR0ZSBzeW5kcm9tZS1wbHVzLCBhbmQgc2ltcGxlIHZlcnN1cyBjb21wbGV4IHRpY3MiLCJncm91cElkIjoiMDdkNjJhYzEtNWFhOC0zOWFmLWI0OWUtNTJkMjA4OGFjNTcxIiwiYXV0aG9yIjpbeyJmYW1pbHkiOiJFYXBlbiIsImdpdmVuIjoiViIsInBhcnNlLW5hbWVzIjpmYWxzZSwiZHJvcHBpbmctcGFydGljbGUiOiIiLCJub24tZHJvcHBpbmctcGFydGljbGUiOiIifSx7ImZhbWlseSI6IlJvYmVydHNvbiIsImdpdmVuIjoiTSBNIiwicGFyc2UtbmFtZXMiOmZhbHNlLCJkcm9wcGluZy1wYXJ0aWNsZSI6IiIsIm5vbi1kcm9wcGluZy1wYXJ0aWNsZSI6IiJ9XSwiY29udGFpbmVyLXRpdGxlIjoiTmV1cm9wc3ljaGlhdHJpYyBEaXNlYXNlIGFuZCBUcmVhdG1lbnQiLCJET0kiOiJodHRwczovL2R4LmRvaS5vcmcvMTAuMjE0Ny9ORFQuUzcyMjg0IiwiVVJMIjoiaHR0cDovL3d3dy5kb3ZlcHJlc3MuY29tL2dldGZpbGUucGhwP2ZpbGVJRD0yNTQ0NWh0dHA6Ly9vdmlkc3Aub3ZpZC5jb20vb3ZpZHdlYi5jZ2k/VD1KUyZQQUdFPXJlZmVyZW5jZSZEPWVtZWQxNiZORVdTPU4mQU49NjA0OTg0MTc0IiwiaXNzdWVkIjp7ImRhdGUtcGFydHMiOltbMjAxNV1dfSwicGFnZSI6IjE0MzEtMTQzNiIsImFic3RyYWN0IjoiVGhpcyBzdHVkeSBhZGRyZXNzZWQgc2V2ZXJhbCBxdWVzdGlvbnMgcmVsYXRpbmcgdG8gdGhlIGNvcmUgZmVhdHVyZXMgb2YgVG91cmV0dGUgc3luZHJvbWUgKFRTKSBpbmNsdWRpbmcgaW4gcGFydGljdWxhciBjb3Byb2xhbGlhIChpbnZvbHVudGFyeSB1dHRlcmFuY2Ugb2Ygb2JzY2VuZSB3b3JkcykgYW5kIGNvcHJvcHJheGlhIChpbnZvbHVudGFyeSBhbmQgaW5hcHByb3ByaWF0ZSBydWRlIGdlc3R1cmluZykuIEEgY29ob3J0IG9mIDQwMCBUUyBwYXRpZW50cyB3YXMgaW52ZXN0aWdhdGVkLiBXZSBvYnNlcnZlZCB0aGF0IGNvcHJvbGFsaWEgb2NjdXJyZWQgaW4gMzklIG9mIHRoZSBmdWxsIGNvaG9ydCBvZiA0MDAgcGF0aWVudHMgYW5kIGNvcHJvcHJheGlhIG9jY3VycmVkIGluIDIwJSBvZiB0aGUgY29ob3J0LiBUaG9zZSB3aXRoIGNvcHJvbGFsaWEgaGFkIHNpZ25pZmljYW50bHkgaGlnaGVyIFlhbGUgR2xvYmFsIFRpYyBTZXZlcml0eSBTY2FsZSAoWUdUU1MpIGFuZCBEaWFnbm9zdGljIENvbmZpZGVuY2UgSW5kZXggKERDSSkgdG90YWwgc2NvcmVzIGFuZCBhIHNpZ25pZmljYW50bHkgaGlnaGVyIHByb3BvcnRpb24gYWxzbyBleHBlcmllbmNlZCBjb3Byb3ByYXhpYSBhbmQgZWNob2xhbGlhLiBBIHN1Ymdyb3VwIG9mIDIyMiBUUyBwYXRpZW50cyB3aXRoIGZ1bGwgY29tb3JiaWRpdHkgZGF0YSBhdmFpbGFibGUgd2VyZSBhbHNvIGNvbXBhcmVkIGJhc2VkIG9uIHdoZXRoZXIgdGhleSBoYWQgcHVyZS1UUyAobW90b3IgYW5kIHZvY2FsIHRpY3Mgb25seSkgb3IgYXNzb2NpYXRlZCBjb21vcmJpZGl0aWVzIGFuZCBjby1leGlzdGVudCBwc3ljaG9wYXRob2xvZ2llcyAoVFMtcGx1cykuIFB1cmUtVFMgYW5kIFRTLXBsdXMgZ3JvdXBzIHdlcmUgY29tcGFyZWQgYWNyb3NzIGEgbnVtYmVyIG9mIGNoYXJhY3RlcmlzdGljcyBpbmNsdWRpbmcgVFMgc2V2ZXJpdHksIGFzc29jaWF0ZWQgY2xpbmljYWwgZmVhdHVyZXMsIGFuZCBmYW1pbHkgaGlzdG9yeS4gSW4gdGhpcyBzdWJncm91cCwgMTMuNSUgaGFkIHB1cmUtVFMsIHdoaWxlIHRoZSByZW1haW5kZXIgaGFkIGNvbW9yYmlkaXRpZXMgYW5kIHBzeWNob3BhdGhvbG9naWVzIGNvbnNpc3RlbnQgd2l0aCBUUy1wbHVzLiBUaGlydHktbmluZSBwZXJjZW50IG9mIHRoZSBUUy1wbHVzIGdyb3VwIGRpc3BsYXllZCBjb3Byb2xhbGlhLCBjb21wYXJlZCB0byAoMCUpIG9mIHRoZSBwdXJlLVRTIGdyb3VwIGFuZCB0aGUgZGlmZmVyZW5jZSBpbiBwcm9wb3J0aW9ucyB3YXMgc3RhdGlzdGljYWxseSBzaWduaWZpY2FudC4gVGhlIG9ubHkgb3RoZXIgc2lnbmlmaWNhbnQgZGlmZmVyZW5jZSBmb3VuZCBiZXR3ZWVuIHRoZSB0d28gZ3JvdXBzIHdhcyB0aGF0IHB1cmUtVFMgd2FzIGFzc29jaWF0ZWQgd2l0aCBubyBmYW1pbHkgaGlzdG9yeSBvZiBvYnNlc3NpdmUgY29tcHVsc2l2ZSBkaXNvcmRlciB3aGljaCBpcyBhbiBpbnRlcmVzdGluZyBmaW5kaW5nIHRoYXQgbWF5IHN1Z2dlc3QgdGhhdCBhZGRpdGlvbmFsIGdlbmVzIG9yIGVudmlyb25tZW50YWwgZmFjdG9ycyBtYXkgYmUgYXQgcGxheSB3aGVuIFRTIGlzIGFzc29jaWF0ZWQgd2l0aCBjb21vcmJpZGl0aWVzLiBGaW5hbGx5LCBkaWZmZXJlbmNlcyBiZXR3ZWVuIGluZGl2aWR1YWxzIHdpdGggc2ltcGxlIHZlcnN1cyBjb21wbGV4IHZvY2FsL21vdG9yIHRpY3Mgd2VyZSBldmFsdWF0ZWQuIFJlc3VsdHMgaW5kaWNhdGVkIHRoYXQgaW5kaXZpZHVhbHMgd2l0aCBjb21wbGV4IG1vdG9yL3ZvY2FsIHRpY3Mgd2VyZSBzaWduaWZpY2FudGx5IG1vcmUgbGlrZWx5IHRvIHJlcG9ydCBwcmVtb25pdG9yeSB1cmdlcy9zZW5zYXRpb25zIHRoYW4gaW5kaXZpZHVhbHMgd2l0aCBzaW1wbGUgdGljcyBhbmQgVFMuIFRoZSBpbXBsaWNhdGlvbnMgb2YgdGhlc2UgZmluZGluZ3MgZm9yIHRoZSBhc3Nlc3NtZW50IGFuZCB1bmRlcnN0YW5kaW5nIG9mIFRTIGFyZSBkaXNjdXNzZWQuQ29weXJpZ2h0IMKpIDIwMTUgRWFwZW4gYW5kIFJvYmVydHNvbi4iLCJ2b2x1bWUiOiIxMSIsImNvbnRhaW5lci10aXRsZS1zaG9ydCI6Ik5ldXJvcHN5Y2hpYXRyIERpcyBUcmVhdCJ9LCJpc1RlbXBvcmFyeSI6ZmFsc2V9XX0=&quot;,&quot;citationItems&quot;:[{&quot;id&quot;:&quot;6252124e-e84c-3b55-b289-ed41b38258e6&quot;,&quot;itemData&quot;:{&quot;type&quot;:&quot;article-journal&quot;,&quot;id&quot;:&quot;6252124e-e84c-3b55-b289-ed41b38258e6&quot;,&quot;title&quot;:&quot;Are there distinct subtypes in Tourette syndrome? Pure-Tourette syndrome versus Tourette syndrome-plus, and simple versus complex tics&quot;,&quot;groupId&quot;:&quot;07d62ac1-5aa8-39af-b49e-52d2088ac571&quot;,&quot;author&quot;:[{&quot;family&quot;:&quot;Eapen&quot;,&quot;given&quot;:&quot;V&quot;,&quot;parse-names&quot;:false,&quot;dropping-particle&quot;:&quot;&quot;,&quot;non-dropping-particle&quot;:&quot;&quot;},{&quot;family&quot;:&quot;Robertson&quot;,&quot;given&quot;:&quot;M M&quot;,&quot;parse-names&quot;:false,&quot;dropping-particle&quot;:&quot;&quot;,&quot;non-dropping-particle&quot;:&quot;&quot;}],&quot;container-title&quot;:&quot;Neuropsychiatric Disease and Treatment&quot;,&quot;DOI&quot;:&quot;https://dx.doi.org/10.2147/NDT.S72284&quot;,&quot;URL&quot;:&quot;http://www.dovepress.com/getfile.php?fileID=25445http://ovidsp.ovid.com/ovidweb.cgi?T=JS&amp;PAGE=reference&amp;D=emed16&amp;NEWS=N&amp;AN=604984174&quot;,&quot;issued&quot;:{&quot;date-parts&quot;:[[2015]]},&quot;page&quot;:&quot;1431-1436&quot;,&quot;abstract&quot;:&quot;This study addressed several questions relating to the core features of Tourette syndrome (TS) including in particular coprolalia (involuntary utterance of obscene words) and copropraxia (involuntary and inappropriate rude gesturing). A cohort of 400 TS patients was investigated. We observed that coprolalia occurred in 39% of the full cohort of 400 patients and copropraxia occurred in 20% of the cohort. Those with coprolalia had significantly higher Yale Global Tic Severity Scale (YGTSS) and Diagnostic Confidence Index (DCI) total scores and a significantly higher proportion also experienced copropraxia and echolalia. A subgroup of 222 TS patients with full comorbidity data available were also compared based on whether they had pure-TS (motor and vocal tics only) or associated comorbidities and co-existent psychopathologies (TS-plus). Pure-TS and TS-plus groups were compared across a number of characteristics including TS severity, associated clinical features, and family history. In this subgroup, 13.5% had pure-TS, while the remainder had comorbidities and psychopathologies consistent with TS-plus. Thirty-nine percent of the TS-plus group displayed coprolalia, compared to (0%) of the pure-TS group and the difference in proportions was statistically significant. The only other significant difference found between the two groups was that pure-TS was associated with no family history of obsessive compulsive disorder which is an interesting finding that may suggest that additional genes or environmental factors may be at play when TS is associated with comorbidities. Finally, differences between individuals with simple versus complex vocal/motor tics were evaluated. Results indicated that individuals with complex motor/vocal tics were significantly more likely to report premonitory urges/sensations than individuals with simple tics and TS. The implications of these findings for the assessment and understanding of TS are discussed.Copyright © 2015 Eapen and Robertson.&quot;,&quot;volume&quot;:&quot;11&quot;,&quot;container-title-short&quot;:&quot;Neuropsychiatr Dis Treat&quot;},&quot;isTemporary&quot;:false}]},{&quot;citationID&quot;:&quot;MENDELEY_CITATION_3f1e5e1a-b7dc-43c6-8d54-3f120272552d&quot;,&quot;properties&quot;:{&quot;noteIndex&quot;:0},&quot;isEdited&quot;:false,&quot;manualOverride&quot;:{&quot;isManuallyOverridden&quot;:false,&quot;citeprocText&quot;:&quot;(50)&quot;,&quot;manualOverrideText&quot;:&quot;&quot;},&quot;citationTag&quot;:&quot;MENDELEY_CITATION_v3_eyJjaXRhdGlvbklEIjoiTUVOREVMRVlfQ0lUQVRJT05fM2YxZTVlMWEtYjdkYy00M2M2LThkNTQtM2YxMjAyNzI1NTJkIiwicHJvcGVydGllcyI6eyJub3RlSW5kZXgiOjB9LCJpc0VkaXRlZCI6ZmFsc2UsIm1hbnVhbE92ZXJyaWRlIjp7ImlzTWFudWFsbHlPdmVycmlkZGVuIjpmYWxzZSwiY2l0ZXByb2NUZXh0IjoiKDUwKSIsIm1hbnVhbE92ZXJyaWRlVGV4dCI6IiJ9LCJjaXRhdGlvbkl0ZW1zIjpbeyJpZCI6IjRjNjJmMGFiLWU1MTItMzRmZC04N2MxLWRlODZhYjVjOTJjNyIsIml0ZW1EYXRhIjp7InR5cGUiOiJhcnRpY2xlLWpvdXJuYWwiLCJpZCI6IjRjNjJmMGFiLWU1MTItMzRmZC04N2MxLWRlODZhYjVjOTJjNyIsInRpdGxlIjoiVG9uaWMgVGljcyBpbiBHaWxsZXMgZGUgbGEgVG91cmV0dGUgU3luZHJvbWUiLCJncm91cElkIjoiMDdkNjJhYzEtNWFhOC0zOWFmLWI0OWUtNTJkMjA4OGFjNTcxIiwiYXV0aG9yIjpbeyJmYW1pbHkiOiJLYWN6ecWEc2thIiwiZ2l2ZW4iOiJKIiwicGFyc2UtbmFtZXMiOmZhbHNlLCJkcm9wcGluZy1wYXJ0aWNsZSI6IiIsIm5vbi1kcm9wcGluZy1wYXJ0aWNsZSI6IiJ9LHsiZmFtaWx5IjoiSmFuaWsiLCJnaXZlbiI6IlAiLCJwYXJzZS1uYW1lcyI6ZmFsc2UsImRyb3BwaW5nLXBhcnRpY2xlIjoiIiwibm9uLWRyb3BwaW5nLXBhcnRpY2xlIjoiIn1dLCJjb250YWluZXItdGl0bGUiOiJOZXVyb3BlZGlhdHJpY3MiLCJET0kiOiIxMC4xMDU1L3MtMDA0MC0xNzIyNjg5IiwiUE1JRCI6IjMzNDQ1MTkwIiwiVVJMIjoiaHR0cHM6Ly93d3cudGhpZW1lLWNvbm5lY3QuZGUvcHJvZHVjdHMvZWpvdXJuYWxzL3BkZi8xMC4xMDU1L3MtMDA0MC0xNzIyNjg5LnBkZiIsImlzc3VlZCI6eyJkYXRlLXBhcnRzIjpbWzIwMjFdXX0sInBhZ2UiOiIzNzAtMzc2IiwiYWJzdHJhY3QiOiJBSU06IFRvbmljIHRpY3MgKFRUcykgYXJlIGEgcGFydCBvZiBhIGNsaW5pY2FsIHBpY3R1cmUgb2YgR2lsbGVzIGRlIGxhIFRvdXJldHRlIHN5bmRyb21lIChHVFMpIGFuZCBtYW5pZmVzdCB0aGVtc2VsdmVzIGFzIHN1c3RhaW5lZCBhbmQgaXNvbWV0cmljIGNvbnRyYWN0aW9uIG9mIGEgbXVzY2xlIGdyb3VwIGRldm9pZCBvZiB0aGUgbW92ZW1lbnQgZWZmZWN0IG9yIGFjY29tcGFuaWVkIGJ5IG9ubHkgc2xpZ2h0IHZpc2libGUgbW90aW9uLiBUaGUgYWltIG9mIHRoaXMgc3R1ZHkgd2FzIHRvIGV2YWx1YXRlIHRoZSBwcmV2YWxlbmNlIGFuZCBwaGVub21lbm9sb2d5IG9mIFRUcywgYW5kIHRvIGFzc2VzcyB0aGUgY2xpbmljYWwgYXNzb2NpYXRpb25zIG9mIFRUcyB3aXRoIHRpYyBzZXZlcml0eSBhbmQgY29tb3JiaWRpdGllcyBpbiBwYXRpZW50cyB3aXRoIEdUUy4gTUVUSE9EUzogV2UgcGVyZm9ybWVkIGEgb25lLXRpbWUgcmVnaXN0cmF0aW9uIHN0dWR5IGluIGEgY29ob3J0IG9mIDI0MSBjb25zZWN1dGl2ZSBvdXRwYXRpZW50cyB3aXRoIEdUUyBhZ2VkIDUgdG8gNTAgeWVhcnMgKDE4OCBtYWxlcywgMTUzIHBhdGllbnRzIHVuZGVyIHRoZSBhZ2Ugb2YgMTggeWVhcnMpLiBBbGwgcGF0aWVudHMgd2VyZSBwZXJzb25hbGx5IGludGVydmlld2VkIGFuZCBleGFtaW5lZC4gUkVTVUxUUzogVFRzIG9jY3VycmVkIGluIDg1LjIlIG9mIGFkdWx0cyBhbmQgNjMuOSUgb2YgY2hpbGRyZW4gYW5kIGFkb2xlc2NlbnRzLiBNb3N0IGZyZXF1ZW50bHkgcmVwb3J0ZWQgdHlwZXMgb2YgVFRzIHdlcmUgdGVuc2luZyBvZiB0aGUgYWJkb21lbiAoNTguNyUpLCBuZWNrICg1Mi43JSksIGFuZCB1cHBlciBsaW1icyAoNTAuMyUpLiBNdWx0aXZhcmlhdGUgc3RhdGlzdGljYWwgYW5hbHlzaXMgc2hvd2VkIGEgc2lnbmlmaWNhbnQgY29ycmVsYXRpb24gYmV0d2VlbiBUVHMgYW5kIHRoZSB0b3RhbCBudW1iZXIgb2Ygc2ltcGxlIHRpY3MsIHRvdGFsIG51bWJlciBvZiBjb21wbGV4IHRpY3MsIGFuZCBhZ2UgYXQgZXZhbHVhdGlvbi4gSW4gdGhlIGdyb3VwIG9mIGNoaWxkcmVuIGFuZCBhZG9sZXNjZW50cywgYW4gYWRkaXRpb25hbCBzaWduaWZpY2FudCB2YXJpYWJsZSB3YXMgdGhlIGR1cmF0aW9uIG9mIEdUUy4gSW4gdGhlIGdyb3VwIG9mIGFkdWx0cywgc2lnbmlmaWNhbnQgcGFyYW1ldGVycyB3ZXJlIHRvdGFsIG51bWJlciBvZiBzaW1wbGUgdGljcywgdG90YWwgbnVtYmVyIG9mIGNvbXBsZXggdGljcywgcGVhayB0aWMgc2V2ZXJpdHkgZXZlciBleHBlcmllbmNlZCwgcHJlbW9uaXRvcnkgdXJnZXMsIGFuZCB0aGUgcHJlc2VuY2Ugb2YgZHlzdG9uaWMgdGljcy4gQ09OQ0xVU0lPTjogVFRzIGJlbG9uZyB0byB0aGUgdGljIHNwZWN0cnVtLCBjb21tb24gYW5kIGVhcmx5IHN5bXB0b21zIG9mIEdUUywgYXJlIGFzc29jaWF0ZWQgd2l0aCBvdmVyYWxsIGEgZ3JlYXRlciBudW1iZXIgb2YgdGljcyB3aGljaCBhcmUgbW9yZSBzZXZlcmUsIGFuZCB3aXRoIG1vcmUgY29tb3JiaWRpdGllcy4iLCJpc3N1ZSI6IjUiLCJ2b2x1bWUiOiI1MiIsImNvbnRhaW5lci10aXRsZS1zaG9ydCI6Ik5ldXJvcGVkaWF0cmljcyJ9LCJpc1RlbXBvcmFyeSI6ZmFsc2V9XX0=&quot;,&quot;citationItems&quot;:[{&quot;id&quot;:&quot;4c62f0ab-e512-34fd-87c1-de86ab5c92c7&quot;,&quot;itemData&quot;:{&quot;type&quot;:&quot;article-journal&quot;,&quot;id&quot;:&quot;4c62f0ab-e512-34fd-87c1-de86ab5c92c7&quot;,&quot;title&quot;:&quot;Tonic Tics in Gilles de la Tourette Syndrome&quot;,&quot;groupId&quot;:&quot;07d62ac1-5aa8-39af-b49e-52d2088ac571&quot;,&quot;author&quot;:[{&quot;family&quot;:&quot;Kaczyńska&quot;,&quot;given&quot;:&quot;J&quot;,&quot;parse-names&quot;:false,&quot;dropping-particle&quot;:&quot;&quot;,&quot;non-dropping-particle&quot;:&quot;&quot;},{&quot;family&quot;:&quot;Janik&quot;,&quot;given&quot;:&quot;P&quot;,&quot;parse-names&quot;:false,&quot;dropping-particle&quot;:&quot;&quot;,&quot;non-dropping-particle&quot;:&quot;&quot;}],&quot;container-title&quot;:&quot;Neuropediatrics&quot;,&quot;DOI&quot;:&quot;10.1055/s-0040-1722689&quot;,&quot;PMID&quot;:&quot;33445190&quot;,&quot;URL&quot;:&quot;https://www.thieme-connect.de/products/ejournals/pdf/10.1055/s-0040-1722689.pdf&quot;,&quot;issued&quot;:{&quot;date-parts&quot;:[[2021]]},&quot;page&quot;:&quot;370-376&quot;,&quot;abstract&quot;:&quot;AIM: Tonic tics (TTs) are a part of a clinical picture of Gilles de la Tourette syndrome (GTS) and manifest themselves as sustained and isometric contraction of a muscle group devoid of the movement effect or accompanied by only slight visible motion. The aim of this study was to evaluate the prevalence and phenomenology of TTs, and to assess the clinical associations of TTs with tic severity and comorbidities in patients with GTS. METHODS: We performed a one-time registration study in a cohort of 241 consecutive outpatients with GTS aged 5 to 50 years (188 males, 153 patients under the age of 18 years). All patients were personally interviewed and examined. RESULTS: TTs occurred in 85.2% of adults and 63.9% of children and adolescents. Most frequently reported types of TTs were tensing of the abdomen (58.7%), neck (52.7%), and upper limbs (50.3%). Multivariate statistical analysis showed a significant correlation between TTs and the total number of simple tics, total number of complex tics, and age at evaluation. In the group of children and adolescents, an additional significant variable was the duration of GTS. In the group of adults, significant parameters were total number of simple tics, total number of complex tics, peak tic severity ever experienced, premonitory urges, and the presence of dystonic tics. CONCLUSION: TTs belong to the tic spectrum, common and early symptoms of GTS, are associated with overall a greater number of tics which are more severe, and with more comorbidities.&quot;,&quot;issue&quot;:&quot;5&quot;,&quot;volume&quot;:&quot;52&quot;,&quot;container-title-short&quot;:&quot;Neuropediatrics&quot;},&quot;isTemporary&quot;:false}]},{&quot;citationID&quot;:&quot;MENDELEY_CITATION_b376d0fa-de56-4c8c-b41d-65dab6a66254&quot;,&quot;properties&quot;:{&quot;noteIndex&quot;:0},&quot;isEdited&quot;:false,&quot;manualOverride&quot;:{&quot;isManuallyOverridden&quot;:false,&quot;citeprocText&quot;:&quot;(51)&quot;,&quot;manualOverrideText&quot;:&quot;&quot;},&quot;citationTag&quot;:&quot;MENDELEY_CITATION_v3_eyJjaXRhdGlvbklEIjoiTUVOREVMRVlfQ0lUQVRJT05fYjM3NmQwZmEtZGU1Ni00YzhjLWI0MWQtNjVkYWI2YTY2MjU0IiwicHJvcGVydGllcyI6eyJub3RlSW5kZXgiOjB9LCJpc0VkaXRlZCI6ZmFsc2UsIm1hbnVhbE92ZXJyaWRlIjp7ImlzTWFudWFsbHlPdmVycmlkZGVuIjpmYWxzZSwiY2l0ZXByb2NUZXh0IjoiKDUxKSIsIm1hbnVhbE92ZXJyaWRlVGV4dCI6IiJ9LCJjaXRhdGlvbkl0ZW1zIjpbeyJpZCI6IjNmZjIxZTE0LWQ0NDEtM2FlMy1iOTc4LWVhYjBkN2I2YjNjYyIsIml0ZW1EYXRhIjp7InR5cGUiOiJhcnRpY2xlLWpvdXJuYWwiLCJpZCI6IjNmZjIxZTE0LWQ0NDEtM2FlMy1iOTc4LWVhYjBkN2I2YjNjYyIsInRpdGxlIjoiU2Vuc29yeSBwaGVub21lbmE6IGNsaW5pY2FsIGNvcnJlbGF0ZXMgYW5kIGltcGFjdCBvbiBxdWFsaXR5IG9mIGxpZmUgaW4gYWR1bHQgcGF0aWVudHMgd2l0aCBUb3VyZXR0ZSBzeW5kcm9tZSIsImdyb3VwSWQiOiIwN2Q2MmFjMS01YWE4LTM5YWYtYjQ5ZS01MmQyMDg4YWM1NzEiLCJhdXRob3IiOlt7ImZhbWlseSI6IkNyb3NzbGV5IiwiZ2l2ZW4iOiJFIiwicGFyc2UtbmFtZXMiOmZhbHNlLCJkcm9wcGluZy1wYXJ0aWNsZSI6IiIsIm5vbi1kcm9wcGluZy1wYXJ0aWNsZSI6IiJ9LHsiZmFtaWx5IjoiQ2F2YW5uYSIsImdpdmVuIjoiQSBFIiwicGFyc2UtbmFtZXMiOmZhbHNlLCJkcm9wcGluZy1wYXJ0aWNsZSI6IiIsIm5vbi1kcm9wcGluZy1wYXJ0aWNsZSI6IiJ9XSwiY29udGFpbmVyLXRpdGxlIjoiUHN5Y2hpYXRyeSBSZXMiLCJET0kiOiIxMC4xMDE2L2oucHN5Y2hyZXMuMjAxMy4wNC4wMTkiLCJQTUlEIjoiMjM2ODQwNTEiLCJpc3N1ZWQiOnsiZGF0ZS1wYXJ0cyI6W1syMDEzXV19LCJwYWdlIjoiNzA1LTcxMCIsImFic3RyYWN0IjoiVG91cmV0dGUgc3luZHJvbWUgKFRTKSBpcyBhIG5ldXJvZGV2ZWxvcG1lbnRhbCBjb25kaXRpb24gY2hhcmFjdGVyaXNlZCBieSBtdWx0aXBsZSB0aWNzLCB3aXRoIGZyZXF1ZW50IGJlaGF2aW91cmFsIGNvLW1vcmJpZGl0eS4gU2Vuc29yeSBwaGVub21lbmEgKFNQKSBhcmUgdW5wbGVhc2FudCBzZW5zYXRpb25zIHdoaWNoIHByb3ZpZGUgaW52b2x1bnRhcnkgdXJnZXMgdG8gdGljIGluIHBhdGllbnRzIHdpdGggVFMuIFdoaWxlIFNQIGhhdmUgYSBjZW50cmFsIHJvbGUgaW4gdGljIGV4cHJlc3Npb24sIGxpdHRsZSBpcyBrbm93biBhYm91dCB0aGVpciBjbGluaWNhbCBjb3JyZWxhdGVzIG9yIGFzc29jaWF0aW9uIHdpdGggaGVhbHRoLXJlbGF0ZWQgcXVhbGl0eSBvZiBsaWZlIChIUi1RT0wpIGluIFRTLiBXZSBjb25kdWN0ZWQgYSBjcm9zcy1zZWN0aW9uYWwgc3R1ZHkgb24gNzIgYWR1bHQgb3V0cGF0aWVudHMgd2l0aCBUUywgcmVjcnVpdGVkIGF0IGEgc3BlY2lhbGlzdCBjbGluaWMuIEFsbCBwYXJ0aWNpcGFudHMgY29tcGxldGVkIGEgY29tcHJlaGVuc2l2ZSBiYXR0ZXJ5IG9mIHBzeWNob21ldHJpYyBtZWFzdXJlcywgaW5jbHVkaW5nIHRoZSBQcmVtb25pdG9yeSBVcmdlcyBmb3IgVGljcyBTY2FsZSAoUFVUUykgdG8gYXNzZXNzIFNQIGFuZCBhIGRpc2Vhc2Utc3BlY2lmaWMgcXVhbGl0eSBvZiBsaWZlIHNjYWxlIChHVFMtUU9MKSB0byBhc3Nlc3MgSFItUU9MLiBTUCB3ZXJlIHZlcnkgY29tbW9uICg5Ny4yJSBvZiBwYXRpZW50cyksIHdpdGggYSBtZWRpYW4gUFVUUyB0b3RhbCBzY29yZSBvZiAyOC80MC4gQml2YXJpYXRlIGFuYWx5c2VzIHNob3dlZCB0aGF0IFBVVFMgc2NvcmVzIHdlcmUgbW9zdCBzaWduaWZpY2FudGx5IGNvcnJlbGF0ZWQgd2l0aCBzZWxmLXJlcG9ydCBtZWFzdXJlcyBvZiB2b2NhbCB0aWMgc2V2ZXJpdHkgYW5kIGNvbXB1bHNpdml0eS4gUFVUUyBzY29yZXMgd2VyZSBhbHNvIHNpZ25pZmljYW50bHkgY29ycmVsYXRlZCB3aXRoIEdUUy1RT0wgc2NvcmVzLCBtb3N0IG5vdGFibHkgd2l0aCB0aGUgcHN5Y2hvbG9naWNhbCBzdWJzY2FsZS4gU1AgYXJlIGZyZXF1ZW50bHkgcmVwb3J0ZWQgYnkgYWR1bHRzIHdpdGggVFMsIGFyZSBhc3NvY2lhdGVkIHdpdGggcGVyY2VpdmVkIHRpYyBzZXZlcml0eSBhbmQgY29tcHVsc2l2aXR5LCBhbmQgY2FuIHNpZ25pZmljYW50bHkgYWZmZWN0IHBzeWNob2xvZ2ljYWwgd2VsbC1iZWluZy4gU3RhbmRhcmRpc2VkIG1lYXN1cmVtZW50IG9mIFNQIHNob3VsZCBiZSBpbmNvcnBvcmF0ZWQgaW50byByb3V0aW5lIGFzc2Vzc21lbnQgb2YgcGF0aWVudHMgd2l0aCBUUyB0byBvcHRpbWlzZSB0aGVpciBjbGluaWNhbCBtYW5hZ2VtZW50LiIsImlzc3VlIjoiMyIsInZvbHVtZSI6IjIwOSIsImNvbnRhaW5lci10aXRsZS1zaG9ydCI6IiJ9LCJpc1RlbXBvcmFyeSI6ZmFsc2V9XX0=&quot;,&quot;citationItems&quot;:[{&quot;id&quot;:&quot;3ff21e14-d441-3ae3-b978-eab0d7b6b3cc&quot;,&quot;itemData&quot;:{&quot;type&quot;:&quot;article-journal&quot;,&quot;id&quot;:&quot;3ff21e14-d441-3ae3-b978-eab0d7b6b3cc&quot;,&quot;title&quot;:&quot;Sensory phenomena: clinical correlates and impact on quality of life in adult patients with Tourette syndrome&quot;,&quot;groupId&quot;:&quot;07d62ac1-5aa8-39af-b49e-52d2088ac571&quot;,&quot;author&quot;:[{&quot;family&quot;:&quot;Crossley&quot;,&quot;given&quot;:&quot;E&quot;,&quot;parse-names&quot;:false,&quot;dropping-particle&quot;:&quot;&quot;,&quot;non-dropping-particle&quot;:&quot;&quot;},{&quot;family&quot;:&quot;Cavanna&quot;,&quot;given&quot;:&quot;A E&quot;,&quot;parse-names&quot;:false,&quot;dropping-particle&quot;:&quot;&quot;,&quot;non-dropping-particle&quot;:&quot;&quot;}],&quot;container-title&quot;:&quot;Psychiatry Res&quot;,&quot;DOI&quot;:&quot;10.1016/j.psychres.2013.04.019&quot;,&quot;PMID&quot;:&quot;23684051&quot;,&quot;issued&quot;:{&quot;date-parts&quot;:[[2013]]},&quot;page&quot;:&quot;705-710&quot;,&quot;abstract&quot;:&quot;Tourette syndrome (TS) is a neurodevelopmental condition characterised by multiple tics, with frequent behavioural co-morbidity. Sensory phenomena (SP) are unpleasant sensations which provide involuntary urges to tic in patients with TS. While SP have a central role in tic expression, little is known about their clinical correlates or association with health-related quality of life (HR-QOL) in TS. We conducted a cross-sectional study on 72 adult outpatients with TS, recruited at a specialist clinic. All participants completed a comprehensive battery of psychometric measures, including the Premonitory Urges for Tics Scale (PUTS) to assess SP and a disease-specific quality of life scale (GTS-QOL) to assess HR-QOL. SP were very common (97.2% of patients), with a median PUTS total score of 28/40. Bivariate analyses showed that PUTS scores were most significantly correlated with self-report measures of vocal tic severity and compulsivity. PUTS scores were also significantly correlated with GTS-QOL scores, most notably with the psychological subscale. SP are frequently reported by adults with TS, are associated with perceived tic severity and compulsivity, and can significantly affect psychological well-being. Standardised measurement of SP should be incorporated into routine assessment of patients with TS to optimise their clinical management.&quot;,&quot;issue&quot;:&quot;3&quot;,&quot;volume&quot;:&quot;209&quot;,&quot;container-title-short&quot;:&quot;&quot;},&quot;isTemporary&quot;:false}]},{&quot;citationID&quot;:&quot;MENDELEY_CITATION_8261fa69-04fe-4a24-832f-5e714286d95b&quot;,&quot;properties&quot;:{&quot;noteIndex&quot;:0},&quot;isEdited&quot;:false,&quot;manualOverride&quot;:{&quot;isManuallyOverridden&quot;:false,&quot;citeprocText&quot;:&quot;(26)&quot;,&quot;manualOverrideText&quot;:&quot;&quot;},&quot;citationTag&quot;:&quot;MENDELEY_CITATION_v3_eyJjaXRhdGlvbklEIjoiTUVOREVMRVlfQ0lUQVRJT05fODI2MWZhNjktMDRmZS00YTI0LTgzMmYtNWU3MTQyODZkOTViIiwicHJvcGVydGllcyI6eyJub3RlSW5kZXgiOjB9LCJpc0VkaXRlZCI6ZmFsc2UsIm1hbnVhbE92ZXJyaWRlIjp7ImlzTWFudWFsbHlPdmVycmlkZGVuIjpmYWxzZSwiY2l0ZXByb2NUZXh0IjoiKDI2KSIsIm1hbnVhbE92ZXJyaWRlVGV4dCI6IiJ9LCJjaXRhdGlvbkl0ZW1zIjpbeyJpZCI6ImJiM2Q3NWY1LTU0MTctMzhmZC04NDIxLTZlYmEzZjE5MzVmYSIsIml0ZW1EYXRhIjp7InR5cGUiOiJhcnRpY2xlLWpvdXJuYWwiLCJpZCI6ImJiM2Q3NWY1LTU0MTctMzhmZC04NDIxLTZlYmEzZjE5MzVmYSIsInRpdGxlIjoiUHJlbW9uaXRvcnkgVXJnZXMgaW4gQWR1bHRzIFdpdGggQ29tcGxpY2F0ZWQgYW5kIFVuY29tcGxpY2F0ZWQgVG91cmV0dGUgU3luZHJvbWUiLCJncm91cElkIjoiMDdkNjJhYzEtNWFhOC0zOWFmLWI0OWUtNTJkMjA4OGFjNTcxIiwiYXV0aG9yIjpbeyJmYW1pbHkiOiJFZGR5IiwiZ2l2ZW4iOiJDIE0iLCJwYXJzZS1uYW1lcyI6ZmFsc2UsImRyb3BwaW5nLXBhcnRpY2xlIjoiIiwibm9uLWRyb3BwaW5nLXBhcnRpY2xlIjoiIn0seyJmYW1pbHkiOiJDYXZhbm5hIiwiZ2l2ZW4iOiJBIEUiLCJwYXJzZS1uYW1lcyI6ZmFsc2UsImRyb3BwaW5nLXBhcnRpY2xlIjoiIiwibm9uLWRyb3BwaW5nLXBhcnRpY2xlIjoiIn1dLCJjb250YWluZXItdGl0bGUiOiJCZWhhdmlvciBtb2RpZmljYXRpb24iLCJET0kiOiJodHRwczovL2R4LmRvaS5vcmcvMTAuMTE3Ny8wMTQ1NDQ1NTEzNTA0NDMyIiwiVVJMIjoiaHR0cDovL292aWRzcC5vdmlkLmNvbS9vdmlkd2ViLmNnaT9UPUpTJlBBR0U9cmVmZXJlbmNlJkQ9ZW1lZDE1Jk5FV1M9TiZBTj02MTE0MjU3MjIiLCJpc3N1ZWQiOnsiZGF0ZS1wYXJ0cyI6W1syMDE0XV19LCJwYWdlIjoiMjY0LTI3NSIsImFic3RyYWN0IjoiTW9zdCBwYXRpZW50cyB3aXRoIFRvdXJldHRlIHN5bmRyb21lIChUUykgcmVwb3J0IGV4cGVyaWVuY2luZyBzdWJqZWN0aXZlIGJvZGlseSBzZW5zYXRpb25zIHRlcm1lZCBwcmVtb25pdG9yeSB1cmdlcywgYmVmb3JlIHRoZXkgaGF2ZSBhIHRpYy4gVGhpcyBzdHVkeSBpbnZlc3RpZ2F0ZWQgcmVsYXRpb25zaGlwcyBiZXR3ZWVuIHByZW1vbml0b3J5IHVyZ2VzIGFuZCB0aWMgc2V2ZXJpdHksIGRlcHJlc3Npb24sIGFueGlldHksIG9ic2Vzc2lvbnMsIGNvbXB1bHNpb25zLCBhbmQgYXR0ZW50aW9uIHByb2JsZW1zLiBXZSBhbHNvIGV4cGxvcmVkIHBvc3NpYmxlIGRpZmZlcmVuY2VzIGJldHdlZW4gcGF0aWVudHMgd2l0aCBhbmQgd2l0aG91dCBjb21vcmJpZCBjb25kaXRpb25zLiBGaW5hbGx5LCB3ZSBleHBsb3JlZCB3aGV0aGVyIHByZW1vbml0b3J5IHVyZ2VzIGltcGFjdGVkIG9uIHBlcmNlaXZlZCBxdWFsaXR5IG9mIGxpZmUgKFFvTCkuIE9uZSBodW5kcmVkIGFkdWx0IG91dHBhdGllbnRzICg3MCBtYWxlczsgbWVhbiBhZ2UgMzIgeWVhcnMpIHdlcmUgcmVjcnVpdGVkIGZyb20gYSBzcGVjaWFsaXN0IFRTIGNsaW5pYy4gRmlmdHkgcGVyY2VudCBleGhpYml0ZWQgY29tb3JiaWQgZGlhZ25vc2VzLCB0aGUgbW9zdCBjb21tb24gb2Ygd2hpY2ggd2VyZSBvYnNlc3NpdmUtY29tcHVsc2l2ZSBkaXNvcmRlciAoMjMlKSwgYXR0ZW50aW9uLWRlZmljaXQgaHlwZXJhY3Rpdml0eSBkaXNvcmRlciAoMTUlKSwgYW54aWV0eSAoNiUpLCBhbmQgZGVwcmVzc2lvbiAoNSUpLiBGb3IgdGhlIGVudGlyZSBzYW1wbGUsIHByZW1vbml0b3J5IHVyZ2VzIHdlcmUgc2lnbmlmaWNhbnRseSByZWxhdGVkIHRvIGNsaW5pY2FsIHN5bXB0b21zLCBlc3BlY2lhbGx5IG9ic2Vzc2l2ZS1jb21wdWxzaXZlIHN5bXB0b21zIGFuZCBhbnhpZXR5LCBhbmQgd2VyZSBzaWduaWZpY2FudGx5IG5lZ2F0aXZlbHkgcmVsYXRlZCB0byBRb0wgc2NvcmVzLiBQcmVtb25pdG9yeSB1cmdlcyBoYWQgYSBzdHJvbmcgbmVnYXRpdmUgY29ycmVsYXRpb24gd2l0aCBRb0wgaW4gcGF0aWVudHMgd2l0aCBcInB1cmVcIiBUUyAobm8gY29tb3JiaWRpdGllcyksIHdoaWxlIHRoaXMgcmVsYXRpb25zaGlwIHdhcyB3ZWFrZXIgZm9yIHBhdGllbnRzIHdpdGggY29tb3JiaWQgY29uZGl0aW9ucywgd2hvIHJlcG9ydGVkIHN0cm9uZ2VyIG9yIG1vcmUgZnJlcXVlbnQgcHJlbW9uaXRvcnkgdXJnZXMgaW4gYXNzb2NpYXRpb24gd2l0aCBncmVhdGVyIGFueGlldHkuIFRoZXNlIGZpbmRpbmdzIG1heSBpbXBseSB0aGF0IHNsaWdodGx5IGRpZmZlcmVudCBwc3ljaG9sb2dpY2FsIGZhY3RvcnMgZHJpdmUgc2VsZi1yZXBvcnRlZCBwcmVtb25pdG9yeSB1cmdlIHJhdGluZ3MgaW4gcGF0aWVudHMgd2l0aCBhbmQgd2l0aG91dCBjb21vcmJpZGl0aWVzIGFuZCB0aGF0IHRoZSBwZXJjZWl2ZWQgaW5mbHVlbmNlIG9mIGRpc3RyZXNzaW5nIHByZW1vbml0b3J5IHVyZ2VzIG9uIHdlbGxiZWluZyBpcyBsZXNzIGltcG9ydGFudCBpbiB0aGUgY29udGV4dCBvZiBjb21vcmJpZCBzeW1wdG9tYXRvbG9neS4gQXMgcHJlbW9uaXRvcnkgdXJnZXMgYXJlIHJlbGF0ZWQgdG8gUW9MLCB0aGV5IHNob3VsZCBiZSB0YWtlbiBpbnRvIGFjY291bnQgZHVyaW5nIGV2YWx1YXRpb24gb2YgdHJlYXRtZW50IGVmZmljYWN5LCBlc3BlY2lhbGx5IGluIGNhc2VzIHdpdGggXCJwdXJlXCIgVFMuIENvcHlyaWdodCDCqSBUaGUgQXV0aG9yKHMpIDIwMTMuIiwiaXNzdWUiOiIyIiwidm9sdW1lIjoiMzgiLCJjb250YWluZXItdGl0bGUtc2hvcnQiOiJCZWhhdiBNb2RpZiJ9LCJpc1RlbXBvcmFyeSI6ZmFsc2V9XX0=&quot;,&quot;citationItems&quot;:[{&quot;id&quot;:&quot;bb3d75f5-5417-38fd-8421-6eba3f1935fa&quot;,&quot;itemData&quot;:{&quot;type&quot;:&quot;article-journal&quot;,&quot;id&quot;:&quot;bb3d75f5-5417-38fd-8421-6eba3f1935fa&quot;,&quot;title&quot;:&quot;Premonitory Urges in Adults With Complicated and Uncomplicated Tourette Syndrome&quot;,&quot;groupId&quot;:&quot;07d62ac1-5aa8-39af-b49e-52d2088ac571&quot;,&quot;author&quot;:[{&quot;family&quot;:&quot;Eddy&quot;,&quot;given&quot;:&quot;C M&quot;,&quot;parse-names&quot;:false,&quot;dropping-particle&quot;:&quot;&quot;,&quot;non-dropping-particle&quot;:&quot;&quot;},{&quot;family&quot;:&quot;Cavanna&quot;,&quot;given&quot;:&quot;A E&quot;,&quot;parse-names&quot;:false,&quot;dropping-particle&quot;:&quot;&quot;,&quot;non-dropping-particle&quot;:&quot;&quot;}],&quot;container-title&quot;:&quot;Behavior modification&quot;,&quot;DOI&quot;:&quot;https://dx.doi.org/10.1177/0145445513504432&quot;,&quot;URL&quot;:&quot;http://ovidsp.ovid.com/ovidweb.cgi?T=JS&amp;PAGE=reference&amp;D=emed15&amp;NEWS=N&amp;AN=611425722&quot;,&quot;issued&quot;:{&quot;date-parts&quot;:[[2014]]},&quot;page&quot;:&quot;264-275&quot;,&quot;abstract&quot;:&quot;Most patients with Tourette syndrome (TS) report experiencing subjective bodily sensations termed premonitory urges, before they have a tic. This study investigated relationships between premonitory urges and tic severity, depression, anxiety, obsessions, compulsions, and attention problems. We also explored possible differences between patients with and without comorbid conditions. Finally, we explored whether premonitory urges impacted on perceived quality of life (QoL). One hundred adult outpatients (70 males; mean age 32 years) were recruited from a specialist TS clinic. Fifty percent exhibited comorbid diagnoses, the most common of which were obsessive-compulsive disorder (23%), attention-deficit hyperactivity disorder (15%), anxiety (6%), and depression (5%). For the entire sample, premonitory urges were significantly related to clinical symptoms, especially obsessive-compulsive symptoms and anxiety, and were significantly negatively related to QoL scores. Premonitory urges had a strong negative correlation with QoL in patients with \&quot;pure\&quot; TS (no comorbidities), while this relationship was weaker for patients with comorbid conditions, who reported stronger or more frequent premonitory urges in association with greater anxiety. These findings may imply that slightly different psychological factors drive self-reported premonitory urge ratings in patients with and without comorbidities and that the perceived influence of distressing premonitory urges on wellbeing is less important in the context of comorbid symptomatology. As premonitory urges are related to QoL, they should be taken into account during evaluation of treatment efficacy, especially in cases with \&quot;pure\&quot; TS. Copyright © The Author(s) 2013.&quot;,&quot;issue&quot;:&quot;2&quot;,&quot;volume&quot;:&quot;38&quot;,&quot;container-title-short&quot;:&quot;Behav Modif&quot;},&quot;isTemporary&quot;:false}]},{&quot;citationID&quot;:&quot;MENDELEY_CITATION_643dacda-67bd-42b4-ae3a-2e63d12cced2&quot;,&quot;properties&quot;:{&quot;noteIndex&quot;:0},&quot;isEdited&quot;:false,&quot;manualOverride&quot;:{&quot;isManuallyOverridden&quot;:false,&quot;citeprocText&quot;:&quot;(10)&quot;,&quot;manualOverrideText&quot;:&quot;&quot;},&quot;citationTag&quot;:&quot;MENDELEY_CITATION_v3_eyJjaXRhdGlvbklEIjoiTUVOREVMRVlfQ0lUQVRJT05fNjQzZGFjZGEtNjdiZC00MmI0LWFlM2EtMmU2M2QxMmNjZWQyIiwicHJvcGVydGllcyI6eyJub3RlSW5kZXgiOjB9LCJpc0VkaXRlZCI6ZmFsc2UsIm1hbnVhbE92ZXJyaWRlIjp7ImlzTWFudWFsbHlPdmVycmlkZGVuIjpmYWxzZSwiY2l0ZXByb2NUZXh0IjoiKDEwKSIsIm1hbnVhbE92ZXJyaWRlVGV4dCI6IiJ9LCJjaXRhdGlvbkl0ZW1zIjpbeyJpZCI6IjQxYzU3YjA4LTQ3MmMtMzNiMy1iZDY2LWMxN2YyOWE0ODE2NCIsIml0ZW1EYXRhIjp7InR5cGUiOiJhcnRpY2xlLWpvdXJuYWwiLCJpZCI6IjQxYzU3YjA4LTQ3MmMtMzNiMy1iZDY2LWMxN2YyOWE0ODE2NCIsInRpdGxlIjoiUHJlbW9uaXRvcnkgQXdhcmVuZXNzIEZhY2lsaXRhdGVzIFRpYyBTdXBwcmVzc2lvbjogU3Vic2NhbGVzIG9mIHRoZSBQcmVtb25pdG9yeSBVcmdlIGZvciBUaWNzIFNjYWxlIGFuZCBhIE5ldyBTZWxmLVJlcG9ydCBRdWVzdGlvbm5haXJlIGZvciBUaWMtQXNzb2NpYXRlZCBTZW5zYXRpb25zIiwiZ3JvdXBJZCI6IjA3ZDYyYWMxLTVhYTgtMzlhZi1iNDllLTUyZDIwODhhYzU3MSIsImF1dGhvciI6W3siZmFtaWx5IjoiTWF0c3VkYSIsImdpdmVuIjoiTiIsInBhcnNlLW5hbWVzIjpmYWxzZSwiZHJvcHBpbmctcGFydGljbGUiOiIiLCJub24tZHJvcHBpbmctcGFydGljbGUiOiIifSx7ImZhbWlseSI6Ik5vbmFrYSIsImdpdmVuIjoiTSIsInBhcnNlLW5hbWVzIjpmYWxzZSwiZHJvcHBpbmctcGFydGljbGUiOiIiLCJub24tZHJvcHBpbmctcGFydGljbGUiOiIifSx7ImZhbWlseSI6Iktvbm8iLCJnaXZlbiI6IlQiLCJwYXJzZS1uYW1lcyI6ZmFsc2UsImRyb3BwaW5nLXBhcnRpY2xlIjoiIiwibm9uLWRyb3BwaW5nLXBhcnRpY2xlIjoiIn0seyJmYW1pbHkiOiJGdWppbyIsImdpdmVuIjoiTSIsInBhcnNlLW5hbWVzIjpmYWxzZSwiZHJvcHBpbmctcGFydGljbGUiOiIiLCJub24tZHJvcHBpbmctcGFydGljbGUiOiIifSx7ImZhbWlseSI6Ik5vYnV5b3NoaSIsImdpdmVuIjoiTSIsInBhcnNlLW5hbWVzIjpmYWxzZSwiZHJvcHBpbmctcGFydGljbGUiOiIiLCJub24tZHJvcHBpbmctcGFydGljbGUiOiIifSx7ImZhbWlseSI6Ikthbm8iLCJnaXZlbiI6IlkiLCJwYXJzZS1uYW1lcyI6ZmFsc2UsImRyb3BwaW5nLXBhcnRpY2xlIjoiIiwibm9uLWRyb3BwaW5nLXBhcnRpY2xlIjoiIn1dLCJjb250YWluZXItdGl0bGUiOiJGcm9udCBQc3ljaGlhdHJ5IiwiRE9JIjoiMTAuMzM4OS9mcHN5dC4yMDIwLjAwNTkyIiwiUE1JRCI6IjMyNzE5NjIxIiwiaXNzdWVkIjp7ImRhdGUtcGFydHMiOltbMjAyMF1dfSwicGFnZSI6IjU5MiIsImFic3RyYWN0IjoiQXdhcmVuZXNzIG9mIHByZW1vbml0b3J5IHVyZ2UgaW4gVG91cmV0dGUgc3luZHJvbWUgKFRTKSBtYXkgZmFjaWxpdGF0ZSB0aWMgc3VwcHJlc3Npb247IGhvd2V2ZXIsIHByZXZpb3VzIHN0dWRpZXMgaGF2ZSBub3Qgc3VwcG9ydGVkIHRoaXMgb2JzZXJ2YXRpb24uIFdlIGFpbWVkIHRvIGNsYXJpZnkgdGhlIHJlbGF0aW9uc2hpcCBiZXR3ZWVuIHRpYy1hc3NvY2lhdGVkIHNlbnNhdGlvbiBhbmQgdGljIHN1cHByZXNzaW9uIGJ5IGlkZW50aWZ5aW5nIHRoZSBzdWJ0eXBlcyBvZiB0aWMtYXNzb2NpYXRlZCBzZW5zYXRpb25zLCBpbmNsdWRpbmcgdGhlIFByZW1vbml0b3J5IFVyZ2UgZm9yIFRpY3MgU2NhbGUgKFBVVFMpLiBXZSBkZXZlbG9wZWQgYSBuZXcgcXVlc3Rpb25uYWlyZSBjYWxsZWQgXCJSdW1pbmF0aW9uIGFuZCBBd2FyZW5lc3MgU2NhbGUgZm9yIHRpYy1hc3NvY2lhdGVkIHNlbnNhdGlvbnNcIiAoUkFTVFMpIHRvIGFzc2VzcyB0aGUgdHdvIGFkZGl0aW9uYWwgYXNwZWN0cyBvZiB0aWMtYXNzb2NpYXRlZCBzZW5zYXRpb25zOiB0aGUgaW50ZW5zaXR5IG9mIHNvbWF0b3NlbnNvcnkgaHlwZXJhd2FyZW5lc3MgYW5kIHRoZSBhYmlsaXR5IHRvIGlkZW50aWZ5IHNpZ25hbHMgb2YgZW1lcmdpbmcgdGljcy4gU2l4dHktdHdvIGluZGl2aWR1YWxzIHdpdGggVFMgcGFydGljaXBhdGVkIGluIHRoZSBzdHVkeSAobWVhbiBhZ2UgPSAxOS4yIMKxIDEwLjMgeWVhcnMpLiBBbGwgcGFydGljaXBhbnRzIGNvbXBsZXRlZCB0aGUgUkFTVFMsIFBVVFMsIGFuZCBUaWMgU3VwcHJlc3Npb24gU2NhbGUuIE9mIGFsbCBwYXJ0aWNpcGFudHMsIDQxIHdlcmUgZXZhbHVhdGVkIGJ5IHRoZSBZYWxlIEdsb2JhbCBUaWMgU2V2ZXJpdHkgU2NhbGUgKFlHVFNTKSwgd2hpbGUgYW5vdGhlciBncm91cCBvZiA0MSBjb21wbGV0ZWQgYm90aCB0aGUgTGV5dG9uIE9ic2Vzc2lvbmFsIEludmVudG9yeS1DaGlsZCBWZXJzaW9uIChMT0ktQ1YpIGFuZCB0aGUgVGljcyBTeW1wdG9tIFNlbGYtUmVwb3J0IChUU1NSKS4gRmFjdG9yIGFuYWx5c2VzIGluY2x1ZGluZyBuaW5lIGl0ZW1zIG9mIHRoZSBQVVRTIGFuZCB0aGUgUkFTVFMgd2VyZSBjb25kdWN0ZWQsIGFuZCB0aGVpciByZWxhdGlvbnNoaXBzIHdpdGggcGF0aWVudHMnIHRpYyBzdXBwcmVzc2lvbiBhYmlsaXR5IHdlcmUgZXhhbWluZWQuIFRoZSByZXN1bHRzIHN1cHBvcnQgdXNpbmcgUkFTVFMgZm9yIHRoZSB0d28gc3VwcG9zZWQgZGltZW5zaW9ucyAocnVtaW5hdGlvbiBhYm91dCBzZW5zYXRpb24gYW5kIHByZW1vbml0b3J5IGF3YXJlbmVzcykgZm9yIGFzc2Vzc2luZyB0aGUgdHdvIGRpZmZlcmVudCB0aWMtYXNzb2NpYXRlZCBzZW5zYXRpb25zLCBhbmQgUFVUUyBmb3IgdGhyZWUgZGltZW5zaW9ucyBmb3IgYXNzZXNzaW5nIHRoZSB0d28gdHlwZXMgb2YgcXVhbGl0eSBvZiBwcmVtb25pdG9yeSB1cmdlcyBhbmQgaW50ZW5zaXR5IG9mIHByZW1vbml0b3J5IHVyZ2VzLiBQcmVtb25pdG9yeSBhd2FyZW5lc3MgY29ycmVsYXRlZCB3aXRoIHRpYyBzdXBwcmVzc2lvbiBhYmlsaXR5LiBDb252ZXJzZWx5LCBydW1pbmF0aW9uIGFib3V0IHNlbnNhdGlvbiwgUFVUUyB0b3RhbCBzY29yZSwgYW5kIHRoZSB0aHJlZSBzdWJzY2FsZXMgb2YgUFVUUyBjb3JyZWxhdGVkIHdpdGggb2JzZXNzaXZlLWNvbXB1bHNpdmUgc3ltcHRvbXMuIEluIHN1bW1hcnksIGJlaW5nIGF3YXJlIG9mIHNpZ25hbHMgZm9yIGVtZXJnaW5nIHRpY3MgZmFjaWxpdGF0ZWQgc2VsZi1pbml0aWF0ZWQgdGljIHN1cHByZXNzaW9uLCB3aGlsZSBydW1pbmF0aXZlIHRpYy1hc3NvY2lhdGVkIHNlbnNhdGlvbnMgZGlkIG5vdC4gVGhpcyBzdHVkeSBwcm92aWRlcyBuZXcgaW5zaWdodHMgaW50byBiZWhhdmlvcmFsIHRoZXJhcHkgZm9yIHRpY3MgYnkgaWRlbnRpZnlpbmcgdHdvIGRpc3RpbmN0IGFzcGVjdHMgb2YgdGljLWFzc29jaWF0ZWQgc2Vuc2F0aW9ucyB0aGF0IGluY2x1ZGUgcHJlbW9uaXRvcnkgdXJnZXMuIiwidm9sdW1lIjoiMTEiLCJjb250YWluZXItdGl0bGUtc2hvcnQiOiIifSwiaXNUZW1wb3JhcnkiOmZhbHNlfV19&quot;,&quot;citationItems&quot;:[{&quot;id&quot;:&quot;41c57b08-472c-33b3-bd66-c17f29a48164&quot;,&quot;itemData&quot;:{&quot;type&quot;:&quot;article-journal&quot;,&quot;id&quot;:&quot;41c57b08-472c-33b3-bd66-c17f29a48164&quot;,&quot;title&quot;:&quot;Premonitory Awareness Facilitates Tic Suppression: Subscales of the Premonitory Urge for Tics Scale and a New Self-Report Questionnaire for Tic-Associated Sensations&quot;,&quot;groupId&quot;:&quot;07d62ac1-5aa8-39af-b49e-52d2088ac571&quot;,&quot;author&quot;:[{&quot;family&quot;:&quot;Matsuda&quot;,&quot;given&quot;:&quot;N&quot;,&quot;parse-names&quot;:false,&quot;dropping-particle&quot;:&quot;&quot;,&quot;non-dropping-particle&quot;:&quot;&quot;},{&quot;family&quot;:&quot;Nonaka&quot;,&quot;given&quot;:&quot;M&quot;,&quot;parse-names&quot;:false,&quot;dropping-particle&quot;:&quot;&quot;,&quot;non-dropping-particle&quot;:&quot;&quot;},{&quot;family&quot;:&quot;Kono&quot;,&quot;given&quot;:&quot;T&quot;,&quot;parse-names&quot;:false,&quot;dropping-particle&quot;:&quot;&quot;,&quot;non-dropping-particle&quot;:&quot;&quot;},{&quot;family&quot;:&quot;Fujio&quot;,&quot;given&quot;:&quot;M&quot;,&quot;parse-names&quot;:false,&quot;dropping-particle&quot;:&quot;&quot;,&quot;non-dropping-particle&quot;:&quot;&quot;},{&quot;family&quot;:&quot;Nobuyoshi&quot;,&quot;given&quot;:&quot;M&quot;,&quot;parse-names&quot;:false,&quot;dropping-particle&quot;:&quot;&quot;,&quot;non-dropping-particle&quot;:&quot;&quot;},{&quot;family&quot;:&quot;Kano&quot;,&quot;given&quot;:&quot;Y&quot;,&quot;parse-names&quot;:false,&quot;dropping-particle&quot;:&quot;&quot;,&quot;non-dropping-particle&quot;:&quot;&quot;}],&quot;container-title&quot;:&quot;Front Psychiatry&quot;,&quot;DOI&quot;:&quot;10.3389/fpsyt.2020.00592&quot;,&quot;PMID&quot;:&quot;32719621&quot;,&quot;issued&quot;:{&quot;date-parts&quot;:[[2020]]},&quot;page&quot;:&quot;592&quot;,&quot;abstract&quot;:&quot;Awareness of premonitory urge in Tourette syndrome (TS) may facilitate tic suppression; however, previous studies have not supported this observation. We aimed to clarify the relationship between tic-associated sensation and tic suppression by identifying the subtypes of tic-associated sensations, including the Premonitory Urge for Tics Scale (PUTS). We developed a new questionnaire called \&quot;Rumination and Awareness Scale for tic-associated sensations\&quot; (RASTS) to assess the two additional aspects of tic-associated sensations: the intensity of somatosensory hyperawareness and the ability to identify signals of emerging tics. Sixty-two individuals with TS participated in the study (mean age = 19.2 ± 10.3 years). All participants completed the RASTS, PUTS, and Tic Suppression Scale. Of all participants, 41 were evaluated by the Yale Global Tic Severity Scale (YGTSS), while another group of 41 completed both the Leyton Obsessional Inventory-Child Version (LOI-CV) and the Tics Symptom Self-Report (TSSR). Factor analyses including nine items of the PUTS and the RASTS were conducted, and their relationships with patients' tic suppression ability were examined. The results support using RASTS for the two supposed dimensions (rumination about sensation and premonitory awareness) for assessing the two different tic-associated sensations, and PUTS for three dimensions for assessing the two types of quality of premonitory urges and intensity of premonitory urges. Premonitory awareness correlated with tic suppression ability. Conversely, rumination about sensation, PUTS total score, and the three subscales of PUTS correlated with obsessive-compulsive symptoms. In summary, being aware of signals for emerging tics facilitated self-initiated tic suppression, while ruminative tic-associated sensations did not. This study provides new insights into behavioral therapy for tics by identifying two distinct aspects of tic-associated sensations that include premonitory urges.&quot;,&quot;volume&quot;:&quot;11&quot;,&quot;container-title-short&quot;:&quot;&quot;},&quot;isTemporary&quot;:false}]},{&quot;citationID&quot;:&quot;MENDELEY_CITATION_3a870026-efe6-4345-9384-24a037c24664&quot;,&quot;properties&quot;:{&quot;noteIndex&quot;:0},&quot;isEdited&quot;:false,&quot;manualOverride&quot;:{&quot;isManuallyOverridden&quot;:false,&quot;citeprocText&quot;:&quot;(32)&quot;,&quot;manualOverrideText&quot;:&quot;&quot;},&quot;citationTag&quot;:&quot;MENDELEY_CITATION_v3_eyJjaXRhdGlvbklEIjoiTUVOREVMRVlfQ0lUQVRJT05fM2E4NzAwMjYtZWZlNi00MzQ1LTkzODQtMjRhMDM3YzI0NjY0IiwicHJvcGVydGllcyI6eyJub3RlSW5kZXgiOjB9LCJpc0VkaXRlZCI6ZmFsc2UsIm1hbnVhbE92ZXJyaWRlIjp7ImlzTWFudWFsbHlPdmVycmlkZGVuIjpmYWxzZSwiY2l0ZXByb2NUZXh0IjoiKDMyKSIsIm1hbnVhbE92ZXJyaWRlVGV4dCI6IiJ9LCJjaXRhdGlvbkl0ZW1zIjpbeyJpZCI6IjYxMWRmMGE3LTJlN2QtM2JiYy05ZjRhLWNlYzA2MTBlMDQ2NSIsIml0ZW1EYXRhIjp7InR5cGUiOiJhcnRpY2xlLWpvdXJuYWwiLCJpZCI6IjYxMWRmMGE3LTJlN2QtM2JiYy05ZjRhLWNlYzA2MTBlMDQ2NSIsInRpdGxlIjoiQWx0ZXJlZCBJbnRlcm9jZXB0aXZlIFNlbnNpYmlsaXR5IGluIEFkdWx0cyBXaXRoIENocm9uaWMgVGljIERpc29yZGVyIiwiZ3JvdXBJZCI6IjA3ZDYyYWMxLTVhYTgtMzlhZi1iNDllLTUyZDIwODhhYzU3MSIsImF1dGhvciI6W3siZmFtaWx5IjoiTmFyYXBhcmVkZHkiLCJnaXZlbiI6IkEiLCJwYXJzZS1uYW1lcyI6ZmFsc2UsImRyb3BwaW5nLXBhcnRpY2xlIjoiIiwibm9uLWRyb3BwaW5nLXBhcnRpY2xlIjoiIn0seyJmYW1pbHkiOiJFY2tsYW5kIiwiZ2l2ZW4iOiJNIFIiLCJwYXJzZS1uYW1lcyI6ZmFsc2UsImRyb3BwaW5nLXBhcnRpY2xlIjoiIiwibm9uLWRyb3BwaW5nLXBhcnRpY2xlIjoiIn0seyJmYW1pbHkiOiJSaW9yZGFuIiwiZ2l2ZW4iOiJIIFIiLCJwYXJzZS1uYW1lcyI6ZmFsc2UsImRyb3BwaW5nLXBhcnRpY2xlIjoiIiwibm9uLWRyb3BwaW5nLXBhcnRpY2xlIjoiIn0seyJmYW1pbHkiOiJDYXNjaW8iLCJnaXZlbiI6IkMgSiIsInBhcnNlLW5hbWVzIjpmYWxzZSwiZHJvcHBpbmctcGFydGljbGUiOiIiLCJub24tZHJvcHBpbmctcGFydGljbGUiOiIifSx7ImZhbWlseSI6IklzYWFjcyIsImdpdmVuIjoiRCBBIiwicGFyc2UtbmFtZXMiOmZhbHNlLCJkcm9wcGluZy1wYXJ0aWNsZSI6IiIsIm5vbi1kcm9wcGluZy1wYXJ0aWNsZSI6IiJ9XSwiY29udGFpbmVyLXRpdGxlIjoiRnJvbnRpZXJzIGluIFBzeWNoaWF0cnkiLCJET0kiOiIxMC4zMzg5L2Zwc3l0LjIwMjIuOTE0ODk3IiwiVVJMIjoiaHR0cHM6Ly93d3cuc2NvcHVzLmNvbS9pbndhcmQvcmVjb3JkLnVyaT9laWQ9Mi1zMi4wLTg1MTMzNjY0NzU5JmRvaT0xMC4zMzg5JTJmZnBzeXQuMjAyMi45MTQ4OTcmcGFydG5lcklEPTQwJm1kNT1jZThmNDc3MjFjMGE2MDNiNWMzMTg0ZmIyNzdjNDBiNCIsImlzc3VlZCI6eyJkYXRlLXBhcnRzIjpbWzIwMjJdXX0sInBhZ2UiOiItIiwidm9sdW1lIjoiMTMiLCJjb250YWluZXItdGl0bGUtc2hvcnQiOiJGcm9udCBQc3ljaGlhdHJ5In0sImlzVGVtcG9yYXJ5IjpmYWxzZX1dfQ==&quot;,&quot;citationItems&quot;:[{&quot;id&quot;:&quot;611df0a7-2e7d-3bbc-9f4a-cec0610e0465&quot;,&quot;itemData&quot;:{&quot;type&quot;:&quot;article-journal&quot;,&quot;id&quot;:&quot;611df0a7-2e7d-3bbc-9f4a-cec0610e0465&quot;,&quot;title&quot;:&quot;Altered Interoceptive Sensibility in Adults With Chronic Tic Disorder&quot;,&quot;groupId&quot;:&quot;07d62ac1-5aa8-39af-b49e-52d2088ac571&quot;,&quot;author&quot;:[{&quot;family&quot;:&quot;Narapareddy&quot;,&quot;given&quot;:&quot;A&quot;,&quot;parse-names&quot;:false,&quot;dropping-particle&quot;:&quot;&quot;,&quot;non-dropping-particle&quot;:&quot;&quot;},{&quot;family&quot;:&quot;Eckland&quot;,&quot;given&quot;:&quot;M R&quot;,&quot;parse-names&quot;:false,&quot;dropping-particle&quot;:&quot;&quot;,&quot;non-dropping-particle&quot;:&quot;&quot;},{&quot;family&quot;:&quot;Riordan&quot;,&quot;given&quot;:&quot;H R&quot;,&quot;parse-names&quot;:false,&quot;dropping-particle&quot;:&quot;&quot;,&quot;non-dropping-particle&quot;:&quot;&quot;},{&quot;family&quot;:&quot;Cascio&quot;,&quot;given&quot;:&quot;C J&quot;,&quot;parse-names&quot;:false,&quot;dropping-particle&quot;:&quot;&quot;,&quot;non-dropping-particle&quot;:&quot;&quot;},{&quot;family&quot;:&quot;Isaacs&quot;,&quot;given&quot;:&quot;D A&quot;,&quot;parse-names&quot;:false,&quot;dropping-particle&quot;:&quot;&quot;,&quot;non-dropping-particle&quot;:&quot;&quot;}],&quot;container-title&quot;:&quot;Frontiers in Psychiatry&quot;,&quot;DOI&quot;:&quot;10.3389/fpsyt.2022.914897&quot;,&quot;URL&quot;:&quot;https://www.scopus.com/inward/record.uri?eid=2-s2.0-85133664759&amp;doi=10.3389%2ffpsyt.2022.914897&amp;partnerID=40&amp;md5=ce8f47721c0a603b5c3184fb277c40b4&quot;,&quot;issued&quot;:{&quot;date-parts&quot;:[[2022]]},&quot;page&quot;:&quot;-&quot;,&quot;volume&quot;:&quot;13&quot;,&quot;container-title-short&quot;:&quot;Front Psychiatry&quot;},&quot;isTemporary&quot;:false}]},{&quot;citationID&quot;:&quot;MENDELEY_CITATION_2904a06f-cccf-4c72-8a24-775a7dd4f8fd&quot;,&quot;properties&quot;:{&quot;noteIndex&quot;:0},&quot;isEdited&quot;:false,&quot;manualOverride&quot;:{&quot;isManuallyOverridden&quot;:false,&quot;citeprocText&quot;:&quot;(23)&quot;,&quot;manualOverrideText&quot;:&quot;&quot;},&quot;citationTag&quot;:&quot;MENDELEY_CITATION_v3_eyJjaXRhdGlvbklEIjoiTUVOREVMRVlfQ0lUQVRJT05fMjkwNGEwNmYtY2NjZi00YzcyLThhMjQtNzc1YTdkZDRmOGZkIiwicHJvcGVydGllcyI6eyJub3RlSW5kZXgiOjB9LCJpc0VkaXRlZCI6ZmFsc2UsIm1hbnVhbE92ZXJyaWRlIjp7ImlzTWFudWFsbHlPdmVycmlkZGVuIjpmYWxzZSwiY2l0ZXByb2NUZXh0IjoiKDIzKSIsIm1hbnVhbE92ZXJyaWRlVGV4dCI6IiJ9LCJjaXRhdGlvbkl0ZW1zIjpbeyJpZCI6IjMzMmE2MmZjLTBiYzAtMzJmNi1hODFjLTUyN2RiMTcyZDZjNCIsIml0ZW1EYXRhIjp7InR5cGUiOiJhcnRpY2xlLWpvdXJuYWwiLCJpZCI6IjMzMmE2MmZjLTBiYzAtMzJmNi1hODFjLTUyN2RiMTcyZDZjNCIsInRpdGxlIjoiQXJpcGlwcmF6b2xlIGltcHJvdmVzIGFzc29jaWF0ZWQgY29tb3JiaWQgY29uZGl0aW9ucyBpbiBhZGRpdGlvbiB0byB0aWNzIGluIGFkdWx0IHBhdGllbnRzIHdpdGggR2lsbGVzIGRlIGxhIFRvdXJldHRlIFN5bmRyb21lIiwiZ3JvdXBJZCI6IjA3ZDYyYWMxLTVhYTgtMzlhZi1iNDllLTUyZDIwODhhYzU3MSIsImF1dGhvciI6W3siZmFtaWx5IjoiR2VyYXNjaCIsImdpdmVuIjoiUyIsInBhcnNlLW5hbWVzIjpmYWxzZSwiZHJvcHBpbmctcGFydGljbGUiOiIiLCJub24tZHJvcHBpbmctcGFydGljbGUiOiIifSx7ImZhbWlseSI6IkthbmFhbiIsImdpdmVuIjoiQSBTIiwicGFyc2UtbmFtZXMiOmZhbHNlLCJkcm9wcGluZy1wYXJ0aWNsZSI6IiIsIm5vbi1kcm9wcGluZy1wYXJ0aWNsZSI6IiJ9LHsiZmFtaWx5IjoiSmFrdWJvdnNraSIsImdpdmVuIjoiRSIsInBhcnNlLW5hbWVzIjpmYWxzZSwiZHJvcHBpbmctcGFydGljbGUiOiIiLCJub24tZHJvcHBpbmctcGFydGljbGUiOiIifSx7ImZhbWlseSI6Ik11bGxlci1WYWhsIiwiZ2l2ZW4iOiJLIFIiLCJwYXJzZS1uYW1lcyI6ZmFsc2UsImRyb3BwaW5nLXBhcnRpY2xlIjoiIiwibm9uLWRyb3BwaW5nLXBhcnRpY2xlIjoiIn1dLCJjb250YWluZXItdGl0bGUiOiJGcm9udGllcnMgaW4gTmV1cm9zY2llbmNlIiwiRE9JIjoiaHR0cHM6Ly9keC5kb2kub3JnLzEwLjMzODkvZm5pbnMuMjAxNi4wMDQxNiIsIlVSTCI6Imh0dHA6Ly9qb3VybmFsLmZyb250aWVyc2luLm9yZy9hcnRpY2xlLzEwLjMzODkvZm5pbnMuMjAxNi4wMDQxNi9mdWxsaHR0cDovL292aWRzcC5vdmlkLmNvbS9vdmlkd2ViLmNnaT9UPUpTJlBBR0U9cmVmZXJlbmNlJkQ9ZW1lZDE3Jk5FV1M9TiZBTj02MTI3OTM2NDgiLCJpc3N1ZWQiOnsiZGF0ZS1wYXJ0cyI6W1syMDE2XV19LCJwYWdlIjoiNDE2IiwiYWJzdHJhY3QiOiJHaWxsZXMgZGUgbGEgVG91cmV0dGUgU3luZHJvbWUgKEdUUykgaXMgY2hhcmFjdGVyaXplZCBieSBtb3RvciBhbmQgdm9jYWwgdGljcywgYXMgd2VsbCBhcyBhc3NvY2lhdGVkIGNvbW9yYmlkIGNvbmRpdGlvbnMgaW5jbHVkaW5nIG9ic2Vzc2l2ZS1jb21wdWxzaXZlIGRpc29yZGVyIChPQ0QpLCBhdHRlbnRpb24gZGVmaWNpdC9oeXBlcmFjdGl2aXR5IGRpc29yZGVyIChBREhEKSwgZGVwcmVzc2lvbiwgYW5kIGFueGlldHkgd2hpY2ggYXJlIHByZXNlbnQgaW4gYSBzdWJzdGFudGlhbCBudW1iZXIgb2YgcGF0aWVudHMuIEFsdGhvdWdoIHJhbmRvbWl6ZWQgY29udHJvbGxlZCB0cmlhbHMgaW5jbHVkaW5nIGEgbGFyZ2UgbnVtYmVyIG9mIHBhdGllbnRzIGFyZSBzdGlsbCBtaXNzaW5nLCBhcmlwaXByYXpvbGUgaXMgY3VycmVudGx5IGNvbnNpZGVyZWQgYXMgYSBmaXJzdCBjaG9pY2UgZHJ1ZyBmb3IgdGhlIHRyZWF0bWVudCBvZiB0aWNzLiBUaGUgYWltIG9mIHRoaXMgc3R1ZHkgd2FzIHRvIGZ1cnRoZXIgaW52ZXN0aWdhdGUgZWZmaWNhY3kgYW5kIHNhZmV0eSBvZiBhcmlwaXByYXpvbGUgaW4gYSBncm91cCBvZiBkcnVnLWZyZWUsIGFkdWx0IHBhdGllbnRzLiBTcGVjaWZpY2FsbHksIHdlIGludmVzdGlnYXRlZCB0aGUgaW5mbHVlbmNlIG9mIGFyaXBpcHJhem9sZSBvbiB0aWMgc2V2ZXJpdHksIGNvbW9yYmlkaXRpZXMsIHByZW1vbml0b3J5IHVyZ2UgKFBVKSwgYW5kIHF1YWxpdHkgb2YgbGlmZSAoUW9MKS4gTW9yZW92ZXIsIHdlIHdlcmUgaW50ZXJlc3RlZCBpbiB0aGUgZmFjdG9ycyB0aGF0IGluZmx1ZW5jZSBhIHBhdGllbnQncyBkZWNpc2lvbiBpbiBlbGVjdGluZyBmb3Itb3IgYWdhaW5zdC0gcGhhcm1hY29sb2dpY2FsIHRyZWF0bWVudC4gSW4gdGhpcyBwcm9zcGVjdGl2ZSB1bmNvbnRyb2xsZWQgb3Blbi1sYWJlbCBzdHVkeSwgd2UgaW5jbHVkZWQgNDQgcGF0aWVudHMgYW5kIHVzZWQgYSBudW1iZXIgb2YgcmF0aW5nIHNjYWxlcyB0byBhc3Nlc3MgdGljIHNldmVyaXR5LCBQVSwgY29tb3JiaWRpdGllcywgYW5kIFFvTCBhdCBiYXNlbGluZSBhbmQgZHVyaW5nIHRyZWF0bWVudCB3aXRoIGFyaXBpcHJhem9sZS4gRWlnaHRlZW4gb3V0IG9mIGZvcnR5Zm91ciBwYXRpZW50cyBkZWNpZGVkIGZvciB1bmRlcmdvaW5nIHRyZWF0bWVudCBmb3IgdGhlaXIgdGljcyB3aXRoIGFyaXBpcHJhem9sZSBhbmQgY29tcGxldGVkIGZvbGxvdy11cCBhc3Nlc3NtZW50cyBhZnRlciA0LTYgd2Vla3MuIE91ciBtYWpvciBmaW5kaW5ncyB3ZXJlICgxKSBhcmlwaXByYXpvbGUgcmVzdWx0ZWQgaW4gc2lnbmlmaWNhbnQgcmVkdWN0aW9uIG9mIHRpY3MsIGJ1dCBkaWQgbm90IGFmZmVjdCBQVTsgKDIpIGFyaXBpcHJhem9sZSBzaWduaWZpY2FudGx5IGltcHJvdmVkIE9DRCBhbmQgc2hvd2VkIGEgdHJlbmQgdG93YXJkIGltcHJvdmVtZW50IG9mIG90aGVyIGNvbW9yYmlkaXRpZXMgaW5jbHVkaW5nIGRlcHJlc3Npb24sIGFueGlldHksIGFuZCBBREhEOyAoMykgbmVpdGhlciBzZXZlcml0eSBvZiB0aWNzLCBub3IgUFUgb3IgUW9MIGluZmx1ZW5jZWQgcGF0aWVudHMnIGRlY2lzaW9ucyBmb3Igb3IgYWdhaW5zdCB0cmVhdG1lbnQgb2YgdGljcyB3aXRoIGFyaXBpcHJhem9sZTsgaW5zdGVhZCBwYXRpZW50cyB3aXRoIGNvbW9yYmlkIE9DRCB0ZW5kZWQgdG8gZGVjaWRlIGluIGZhdm9yIG9mLCB3aGlsZSBwYXRpZW50cyB3aXRoIGNvbW9yYmlkIEFESEQgdGVuZGVkIHRvIGRlY2lkZSBhZ2FpbnN0IHRpYyB0cmVhdG1lbnQ7ICg0KSBtb3N0IGZyZXF1ZW50bHkgcmVwb3J0ZWQgYWR2ZXJzZSBlZmZlY3RzIHdlcmUgc2xlZXBpbmcgcHJvYmxlbXM7ICg1KSBwYXRpZW50cycgUW9MIHdhcyBtb3N0bHkgaW1wYWlyZWQgYnkgY29tb3JiaWQgZGVwcmVzc2lvbi4gT3VyIHJlc3VsdHMgc3VnZ2VzdCB0aGF0IGFyaXBpcHJhem9sZSBtYXkgaW1wcm92ZSBhc3NvY2lhdGVkIGNvbW9yYmlkIGNvbmRpdGlvbnMgaW4gYWRkaXRpb24gdG8gdGljcyBpbiBwYXRpZW50cyB3aXRoIEdUUy4gSXQgY2FuIGJlIGh5cG90aGVzaXplZCB0aGF0IHRoZXNlIGJlbmVmaWNpYWwgZWZmZWN0cyBhcmUgcmVsYXRlZCB0byBhcmlwaXByYXpvbGUncyBhZGFwdGl2ZSBwaGFybWFjb2xvZ2ljYWwgcHJvZmlsZSwgd2hpY2ggZXhoaWJpdHMgYW4gaW5mbHVlbmNlIG9uIHRoZSBkb3BhbWluZXJnaWMgYXMgd2VsbCBhcyBhIG51bWJlciBvZiBvdGhlciBuZXVyb3RyYW5zbWl0dGVyIHN5c3RlbXMuIEZvciB0aGUgZmlyc3QgdGltZSwgb3VyIGRhdGEgcHJvdmlkZSBldmlkZW5jZSB0aGF0IHBhdGllbnRzJyBkZWNpc2lvbiBtYWtpbmcgcHJvY2VzcyBmb3Igb3IgYWdhaW5zdCBtZWRpY2FsIHRyZWF0bWVudCBpcyBpbmZsdWVuY2VkIGJ5IG90aGVyIGZhY3RvcnMgdGhhbiB0aWMgc2V2ZXJpdHkgYW5kIFFvTC5Db3B5cmlnaHQgwqkgMjAxNiBHZXJhc2NoLCBLYW5hYW4sIEpha3Vib3Zza2kgYW5kIE11bGxlci1WYWhsLiIsImlzc3VlIjoiU0VQIiwidm9sdW1lIjoiMTAiLCJjb250YWluZXItdGl0bGUtc2hvcnQiOiJGcm9udCBOZXVyb3NjaSJ9LCJpc1RlbXBvcmFyeSI6ZmFsc2V9XX0=&quot;,&quot;citationItems&quot;:[{&quot;id&quot;:&quot;332a62fc-0bc0-32f6-a81c-527db172d6c4&quot;,&quot;itemData&quot;:{&quot;type&quot;:&quot;article-journal&quot;,&quot;id&quot;:&quot;332a62fc-0bc0-32f6-a81c-527db172d6c4&quot;,&quot;title&quot;:&quot;Aripiprazole improves associated comorbid conditions in addition to tics in adult patients with Gilles de la Tourette Syndrome&quot;,&quot;groupId&quot;:&quot;07d62ac1-5aa8-39af-b49e-52d2088ac571&quot;,&quot;author&quot;:[{&quot;family&quot;:&quot;Gerasch&quot;,&quot;given&quot;:&quot;S&quot;,&quot;parse-names&quot;:false,&quot;dropping-particle&quot;:&quot;&quot;,&quot;non-dropping-particle&quot;:&quot;&quot;},{&quot;family&quot;:&quot;Kanaan&quot;,&quot;given&quot;:&quot;A S&quot;,&quot;parse-names&quot;:false,&quot;dropping-particle&quot;:&quot;&quot;,&quot;non-dropping-particle&quot;:&quot;&quot;},{&quot;family&quot;:&quot;Jakubovski&quot;,&quot;given&quot;:&quot;E&quot;,&quot;parse-names&quot;:false,&quot;dropping-particle&quot;:&quot;&quot;,&quot;non-dropping-particle&quot;:&quot;&quot;},{&quot;family&quot;:&quot;Muller-Vahl&quot;,&quot;given&quot;:&quot;K R&quot;,&quot;parse-names&quot;:false,&quot;dropping-particle&quot;:&quot;&quot;,&quot;non-dropping-particle&quot;:&quot;&quot;}],&quot;container-title&quot;:&quot;Frontiers in Neuroscience&quot;,&quot;DOI&quot;:&quot;https://dx.doi.org/10.3389/fnins.2016.00416&quot;,&quot;URL&quot;:&quot;http://journal.frontiersin.org/article/10.3389/fnins.2016.00416/fullhttp://ovidsp.ovid.com/ovidweb.cgi?T=JS&amp;PAGE=reference&amp;D=emed17&amp;NEWS=N&amp;AN=612793648&quot;,&quot;issued&quot;:{&quot;date-parts&quot;:[[2016]]},&quot;page&quot;:&quot;416&quot;,&quot;abstract&quot;:&quot;Gilles de la Tourette Syndrome (GTS) is characterized by motor and vocal tics, as well as associated comorbid conditions including obsessive-compulsive disorder (OCD), attention deficit/hyperactivity disorder (ADHD), depression, and anxiety which are present in a substantial number of patients. Although randomized controlled trials including a large number of patients are still missing, aripiprazole is currently considered as a first choice drug for the treatment of tics. The aim of this study was to further investigate efficacy and safety of aripiprazole in a group of drug-free, adult patients. Specifically, we investigated the influence of aripiprazole on tic severity, comorbidities, premonitory urge (PU), and quality of life (QoL). Moreover, we were interested in the factors that influence a patient's decision in electing for-or against- pharmacological treatment. In this prospective uncontrolled open-label study, we included 44 patients and used a number of rating scales to assess tic severity, PU, comorbidities, and QoL at baseline and during treatment with aripiprazole. Eighteen out of fortyfour patients decided for undergoing treatment for their tics with aripiprazole and completed follow-up assessments after 4-6 weeks. Our major findings were (1) aripiprazole resulted in significant reduction of tics, but did not affect PU; (2) aripiprazole significantly improved OCD and showed a trend toward improvement of other comorbidities including depression, anxiety, and ADHD; (3) neither severity of tics, nor PU or QoL influenced patients' decisions for or against treatment of tics with aripiprazole; instead patients with comorbid OCD tended to decide in favor of, while patients with comorbid ADHD tended to decide against tic treatment; (4) most frequently reported adverse effects were sleeping problems; (5) patients' QoL was mostly impaired by comorbid depression. Our results suggest that aripiprazole may improve associated comorbid conditions in addition to tics in patients with GTS. It can be hypothesized that these beneficial effects are related to aripiprazole's adaptive pharmacological profile, which exhibits an influence on the dopaminergic as well as a number of other neurotransmitter systems. For the first time, our data provide evidence that patients' decision making process for or against medical treatment is influenced by other factors than tic severity and QoL.Copyright © 2016 Gerasch, Kanaan, Jakubovski and Muller-Vahl.&quot;,&quot;issue&quot;:&quot;SEP&quot;,&quot;volume&quot;:&quot;10&quot;,&quot;container-title-short&quot;:&quot;Front Neurosci&quot;},&quot;isTemporary&quot;:false}]},{&quot;citationID&quot;:&quot;MENDELEY_CITATION_b6ad6890-4e35-4810-8ff5-2156ea1db217&quot;,&quot;properties&quot;:{&quot;noteIndex&quot;:0},&quot;isEdited&quot;:false,&quot;manualOverride&quot;:{&quot;isManuallyOverridden&quot;:false,&quot;citeprocText&quot;:&quot;(4)&quot;,&quot;manualOverrideText&quot;:&quot;&quot;},&quot;citationTag&quot;:&quot;MENDELEY_CITATION_v3_eyJjaXRhdGlvbklEIjoiTUVOREVMRVlfQ0lUQVRJT05fYjZhZDY4OTAtNGUzNS00ODEwLThmZjUtMjE1NmVhMWRiMjE3IiwicHJvcGVydGllcyI6eyJub3RlSW5kZXgiOjB9LCJpc0VkaXRlZCI6ZmFsc2UsIm1hbnVhbE92ZXJyaWRlIjp7ImlzTWFudWFsbHlPdmVycmlkZGVuIjpmYWxzZSwiY2l0ZXByb2NUZXh0IjoiKDQpIiwibWFudWFsT3ZlcnJpZGVUZXh0IjoiIn0sImNpdGF0aW9uSXRlbXMiOlt7ImlkIjoiYjVhNWI5YWYtNTk2OC0zZmZkLTlmOTAtMzZhNTI0NGE1MDU4IiwiaXRlbURhdGEiOnsidHlwZSI6ImFydGljbGUtam91cm5hbCIsImlkIjoiYjVhNWI5YWYtNTk2OC0zZmZkLTlmOTAtMzZhNTI0NGE1MDU4IiwidGl0bGUiOiJQcmVtb25pdG9yeSBVcmdlcyBpbiBQYXRpZW50cyB3aXRoIEdpbGxlcyBkZSBsYSBUb3VyZXR0ZSBTeW5kcm9tZTogQW4gSXRhbGlhbiBUcmFuc2xhdGlvbiBhbmQgYSA3LVllYXIgRm9sbG93LXVwIiwiZ3JvdXBJZCI6IjA3ZDYyYWMxLTVhYTgtMzlhZi1iNDllLTUyZDIwODhhYzU3MSIsImF1dGhvciI6W3siZmFtaWx5IjoiR3VsaXNhbm8iLCJnaXZlbiI6Ik0iLCJwYXJzZS1uYW1lcyI6ZmFsc2UsImRyb3BwaW5nLXBhcnRpY2xlIjoiIiwibm9uLWRyb3BwaW5nLXBhcnRpY2xlIjoiIn0seyJmYW1pbHkiOiJDYWzDrCIsImdpdmVuIjoiUCIsInBhcnNlLW5hbWVzIjpmYWxzZSwiZHJvcHBpbmctcGFydGljbGUiOiIiLCJub24tZHJvcHBpbmctcGFydGljbGUiOiIifSx7ImZhbWlseSI6IlBhbGVybW8iLCJnaXZlbiI6IkYiLCJwYXJzZS1uYW1lcyI6ZmFsc2UsImRyb3BwaW5nLXBhcnRpY2xlIjoiIiwibm9uLWRyb3BwaW5nLXBhcnRpY2xlIjoiIn0seyJmYW1pbHkiOiJSb2JlcnRzb24iLCJnaXZlbiI6Ik0iLCJwYXJzZS1uYW1lcyI6ZmFsc2UsImRyb3BwaW5nLXBhcnRpY2xlIjoiIiwibm9uLWRyb3BwaW5nLXBhcnRpY2xlIjoiIn0seyJmYW1pbHkiOiJSaXp6byIsImdpdmVuIjoiUiIsInBhcnNlLW5hbWVzIjpmYWxzZSwiZHJvcHBpbmctcGFydGljbGUiOiIiLCJub24tZHJvcHBpbmctcGFydGljbGUiOiIifV0sImNvbnRhaW5lci10aXRsZSI6IkogQ2hpbGQgQWRvbGVzYyBQc3ljaG9waGFybWFjb2wiLCJET0kiOiIxMC4xMDg5L2NhcC4yMDE0LjAxNTQiLCJQTUlEIjoiMjYyODgzNDUiLCJVUkwiOiJodHRwczovL3d3dy5saWViZXJ0cHViLmNvbS9kb2kvMTAuMTA4OS9jYXAuMjAxNC4wMTU0IiwiaXNzdWVkIjp7ImRhdGUtcGFydHMiOltbMjAxNV1dfSwicGFnZSI6IjgxMC04MTYiLCJhYnN0cmFjdCI6Ik9CSkVDVElWRTogUHJlbW9uaXRvcnkgc2Vuc2F0aW9ucyBvciB1cmdlcyAoUFVzKSBhcmUgZGVzY3JpYmVkIGFzIGNoYXJhY3RlcmlzdGljIHNlbnNvcnkgcGhlbm9tZW5hIHByZWNlZGluZyB0aWNzLCB3aGljaCBhcmUgb2Z0ZW4gZGVzY3JpYmVkIGFzIHVucGxlYXNhbnQuIFRoZXkgb2NjdXIgaW4gOTAlIG9mIHBhdGllbnRzIGFmZmVjdGVkIGJ5IEdpbGxlcyBkZSBsYSBUb3VyZXR0ZSBTeW5kcm9tZSAoR1RTKS4gVGhleSBtYXkgYmUgbG9jYWxpemVkIChhcm91bmQgdGhlIGFyZWEgb2YgdGljKSBvciBnZW5lcmFsaXplZCAoY292ZXJpbmcgYSB3aWRlIGFyZWEgb2YgdGhlIGJvZHkpLiBUaGUgUFVzIGNhbiBiZSBtZWFzdXJlZCBieSB0aGUgUHJlbW9uaXRvcnkgVXJnZSBmb3IgVGljcyBTY2FsZSAoUFVUUykuIEluIHRoaXMgc3R1ZHkgd2UgdHJhbnNsYXRlZCB0aGUgUFVUUyBzY2FsZSBpbnRvIEl0YWxpYW4gYW5kIHRoZW4gYXNzZXNzZWQgY2hpbGRyZW4gYW5kIGFkb2xlc2NlbnRzL3lvdW5nIHBlb3BsZSAoQ1lQKSB3aXRoIEdUUyB1c2luZyB0aGUgc2NhbGUuIE1FVEhPRFM6IEdUUyBwYXRpZW50cyB3ZXJlIGFzc2Vzc2VkIGF0IHRoZSBpbml0aWFsIGludGVydmlldyBhbmQgYWZ0ZXIgNyB5ZWFycyB0byBldmFsdWF0ZSB0aGUgUFVzLCBhbmQgdGhlIGNvcnJlbGF0aW9ucyBvZiB0aGUgUFVUUyBzY29yZXMgd2l0aCB0aWMgc2V2ZXJpdHksIHNldmVyaXR5IG9mIGNvbW9yYmlkIGRpc29yZGVycyAob2JzZXNzaXZlLWNvbXB1bHNpdmUgZGlzb3JkZXIgW09DRF0sIGF0dGVudGlvbi1kZWZpY2l0L2h5cGVyYWN0aXZpdHkgZGlzb3JkZXIgW0FESERdKSwgYW5kIGEgdmFyaWV0eSBvZiBjb2V4aXN0aW5nIHBzeWNob3BhdGhvbG9naWVzLiBSRVNVTFRTOiBBIHRvdGFsIG9mIDk1IHBhdGllbnRzIHdlcmUgc3R1ZGllZC4gV2Ugc3VjY2Vzc2Z1bGx5IHRyYW5zbGF0ZWQgdGhlIFBVVFMgaW50byBJdGFsaWFuLCBhbmQgb3VyIHJlc3VsdHMgaW5kaWNhdGVkIHRoYXQgb3VyIHRyYW5zbGF0ZWQgdmVyc2lvbiBoYWQgZ29vZCBwc3ljaG9tZXRyaWMgcHJvcGVydGllcy4gUmVzdWx0cyBkZW1vbnN0cmF0ZWQgdGhhdCB0aGUgQ1lQIGhhZCBQVXMgYXQgYm90aCBpbnRlcnZpZXdzLCBidXQgdGhhdCBvbGRlciBDWVAgd2VyZSBtb3JlIGNvbnNpc3RlbnQgaW4gcmVwb3J0aW5nIFBVcyB0aGFuIHlvdW5nZXIgQ1lQIChpLmUuLCBQVVRTIHNjb3JlcyBpbmNyZWFzZWQgd2l0aCBhZ2UpLiBXZSBmb3VuZCBubyBjb3JyZWxhdGlvbnMgYmV0d2VlbiBQVVRTIHNjb3JlIGFuZCB0aWMgc2V2ZXJpdHkgYXQgZWl0aGVyIGludGVydmlldy4gV2UgZm91bmQgYSBzdGF0aXN0aWNhbCBzaWduaWZpY2FudCBjb3JyZWxhdGlvbiBiZXR3ZWVuIFBVVFMgc2NvcmUgYW5kIG9ic2Vzc2l2ZS1jb21wdWxzaXZlIHN5bXB0b21zIChPQ1MpIGF0IGJvdGggaW50ZXJ2aWV3czsgTW9yZW92ZXIgYm90aCB0aGUgUFVUUyBhbmQgQ2hpbGRyZW4ncyBZYWxlLUJyb3duIE9ic2Vzc2l2ZSBDb21wdWxzaXZlIFNjYWxlIChDWS1CT0NTKSBzY29yZXMgaW5jcmVhc2VkIHNpZ25pZmljYW50bHksIHdoZXJlYXMgdGhlIFlhbGUgR2xvYmFsIFRpYyBTZXZlcml0eSBSYXRpbmcgU2NhbGUgKFlHVFNTKSBzY29yZSBkZWNyZWFzZWQgc2lnbmlmaWNhbnRseS4gV2UgZm91bmQgbm8gcmVsYXRpb25zaGlwcyBiZXR3ZWVuIFBVVFMgc2NvcmVzIGFuZCBhbnhpZXR5LCBkZXByZXNzaW9uLCBBREhELCBhbmQgZXh0ZXJuYWxpemluZy9pbnRlcm5hbGl6aW5nIGJlaGF2aW9yYWwgc2NvcmVzLiBDT05DTFVTSU9OUzogT3VyIHJlc3VsdHMgc3VnZ2VzdCB0aGUgdGhlIEl0YWxpYW4gdHJhbnNsYXRpb24gb2YgdGhlIFBVVFMgaGFzIGdvb2QgcHN5Y2hvbWV0cmljIHByb3BlcnRpZXMuIEFsdGhvdWdoIGJvdGggeW91bmdlciAoPDEwIHllYXJzIG9mIGFnZSkgYW5kIG9sZGVyIENZUCAo4omkIDEwIHllYXJzIG9mIGFnZSkgcmVwb3J0ZWQgUFVzLCB0aGUgc2NvcmVzIGF0IHRoZSBpbml0aWFsIGludGVydmlldyB3ZXJlIHN0YXRpc3RpY2FsbHkgc2lnbmlmaWNhbnRseSBsb3dlciB0aGFuIGF0IGZvbGxvdy11cC4gTW9yZW92ZXIsIGluIENZUCA+MTAgeWVhcnMgb2YgYWdlLCB0aGUgUFVzIGNvcnJlbGF0ZWQgd2l0aCBvYnNlc3Npb25zIGFuZCBjb21wdWxzaW9ucyAoQ1ktQk9DUyBzY29yZXMpLiIsImlzc3VlIjoiMTAiLCJ2b2x1bWUiOiIyNSIsImNvbnRhaW5lci10aXRsZS1zaG9ydCI6IiJ9LCJpc1RlbXBvcmFyeSI6ZmFsc2V9XX0=&quot;,&quot;citationItems&quot;:[{&quot;id&quot;:&quot;b5a5b9af-5968-3ffd-9f90-36a5244a5058&quot;,&quot;itemData&quot;:{&quot;type&quot;:&quot;article-journal&quot;,&quot;id&quot;:&quot;b5a5b9af-5968-3ffd-9f90-36a5244a5058&quot;,&quot;title&quot;:&quot;Premonitory Urges in Patients with Gilles de la Tourette Syndrome: An Italian Translation and a 7-Year Follow-up&quot;,&quot;groupId&quot;:&quot;07d62ac1-5aa8-39af-b49e-52d2088ac571&quot;,&quot;author&quot;:[{&quot;family&quot;:&quot;Gulisano&quot;,&quot;given&quot;:&quot;M&quot;,&quot;parse-names&quot;:false,&quot;dropping-particle&quot;:&quot;&quot;,&quot;non-dropping-particle&quot;:&quot;&quot;},{&quot;family&quot;:&quot;Calì&quot;,&quot;given&quot;:&quot;P&quot;,&quot;parse-names&quot;:false,&quot;dropping-particle&quot;:&quot;&quot;,&quot;non-dropping-particle&quot;:&quot;&quot;},{&quot;family&quot;:&quot;Palermo&quot;,&quot;given&quot;:&quot;F&quot;,&quot;parse-names&quot;:false,&quot;dropping-particle&quot;:&quot;&quot;,&quot;non-dropping-particle&quot;:&quot;&quot;},{&quot;family&quot;:&quot;Robertson&quot;,&quot;given&quot;:&quot;M&quot;,&quot;parse-names&quot;:false,&quot;dropping-particle&quot;:&quot;&quot;,&quot;non-dropping-particle&quot;:&quot;&quot;},{&quot;family&quot;:&quot;Rizzo&quot;,&quot;given&quot;:&quot;R&quot;,&quot;parse-names&quot;:false,&quot;dropping-particle&quot;:&quot;&quot;,&quot;non-dropping-particle&quot;:&quot;&quot;}],&quot;container-title&quot;:&quot;J Child Adolesc Psychopharmacol&quot;,&quot;DOI&quot;:&quot;10.1089/cap.2014.0154&quot;,&quot;PMID&quot;:&quot;26288345&quot;,&quot;URL&quot;:&quot;https://www.liebertpub.com/doi/10.1089/cap.2014.0154&quot;,&quot;issued&quot;:{&quot;date-parts&quot;:[[2015]]},&quot;page&quot;:&quot;810-816&quot;,&quot;abstract&quot;:&quot;OBJECTIVE: Premonitory sensations or urges (PUs) are described as characteristic sensory phenomena preceding tics, which are often described as unpleasant. They occur in 90% of patients affected by Gilles de la Tourette Syndrome (GTS). They may be localized (around the area of tic) or generalized (covering a wide area of the body). The PUs can be measured by the Premonitory Urge for Tics Scale (PUTS). In this study we translated the PUTS scale into Italian and then assessed children and adolescents/young people (CYP) with GTS using the scale. METHODS: GTS patients were assessed at the initial interview and after 7 years to evaluate the PUs, and the correlations of the PUTS scores with tic severity, severity of comorbid disorders (obsessive-compulsive disorder [OCD], attention-deficit/hyperactivity disorder [ADHD]), and a variety of coexisting psychopathologies. RESULTS: A total of 95 patients were studied. We successfully translated the PUTS into Italian, and our results indicated that our translated version had good psychometric properties. Results demonstrated that the CYP had PUs at both interviews, but that older CYP were more consistent in reporting PUs than younger CYP (i.e., PUTS scores increased with age). We found no correlations between PUTS score and tic severity at either interview. We found a statistical significant correlation between PUTS score and obsessive-compulsive symptoms (OCS) at both interviews; Moreover both the PUTS and Children's Yale-Brown Obsessive Compulsive Scale (CY-BOCS) scores increased significantly, whereas the Yale Global Tic Severity Rating Scale (YGTSS) score decreased significantly. We found no relationships between PUTS scores and anxiety, depression, ADHD, and externalizing/internalizing behavioral scores. CONCLUSIONS: Our results suggest the the Italian translation of the PUTS has good psychometric properties. Although both younger (&lt;10 years of age) and older CYP (≤ 10 years of age) reported PUs, the scores at the initial interview were statistically significantly lower than at follow-up. Moreover, in CYP &gt;10 years of age, the PUs correlated with obsessions and compulsions (CY-BOCS scores).&quot;,&quot;issue&quot;:&quot;10&quot;,&quot;volume&quot;:&quot;25&quot;,&quot;container-title-short&quot;:&quot;&quot;},&quot;isTemporary&quot;:false}]},{&quot;citationID&quot;:&quot;MENDELEY_CITATION_74269664-6a0f-40a1-b3f5-30f57435b467&quot;,&quot;properties&quot;:{&quot;noteIndex&quot;:0},&quot;isEdited&quot;:false,&quot;manualOverride&quot;:{&quot;isManuallyOverridden&quot;:false,&quot;citeprocText&quot;:&quot;(41)&quot;,&quot;manualOverrideText&quot;:&quot;&quot;},&quot;citationTag&quot;:&quot;MENDELEY_CITATION_v3_eyJjaXRhdGlvbklEIjoiTUVOREVMRVlfQ0lUQVRJT05fNzQyNjk2NjQtNmEwZi00MGExLWIzZjUtMzBmNTc0MzViNDY3IiwicHJvcGVydGllcyI6eyJub3RlSW5kZXgiOjB9LCJpc0VkaXRlZCI6ZmFsc2UsIm1hbnVhbE92ZXJyaWRlIjp7ImlzTWFudWFsbHlPdmVycmlkZGVuIjpmYWxzZSwiY2l0ZXByb2NUZXh0IjoiKDQxKSIsIm1hbnVhbE92ZXJyaWRlVGV4dCI6IiJ9LCJjaXRhdGlvbkl0ZW1zIjpbeyJpZCI6ImJmZDU3MzgxLTZlOWEtMzNhZS04N2MxLTRiNTdiMGM2YzNhOSIsIml0ZW1EYXRhIjp7InR5cGUiOiJhcnRpY2xlLWpvdXJuYWwiLCJpZCI6ImJmZDU3MzgxLTZlOWEtMzNhZS04N2MxLTRiNTdiMGM2YzNhOSIsInRpdGxlIjoiQ2hhbmdlcyBpbiBTZW5zb3J5IFBoZW5vbWVuYSwgVGljcywgT2JzZXNzaXZlLUNvbXB1bHNpdmUgU3ltcHRvbXMsIGFuZCBHbG9iYWwgRnVuY3Rpb25pbmcgb2YgVG91cmV0dGUgU3luZHJvbWU6IEEgRm9sbG93LVVwIEFmdGVyIEZvdXIgWWVhcnMiLCJncm91cElkIjoiMDdkNjJhYzEtNWFhOC0zOWFmLWI0OWUtNTJkMjA4OGFjNTcxIiwiYXV0aG9yIjpbeyJmYW1pbHkiOiJLYW5vIiwiZ2l2ZW4iOiJZIiwicGFyc2UtbmFtZXMiOmZhbHNlLCJkcm9wcGluZy1wYXJ0aWNsZSI6IiIsIm5vbi1kcm9wcGluZy1wYXJ0aWNsZSI6IiJ9LHsiZmFtaWx5IjoiRnVqaW8iLCJnaXZlbiI6Ik0iLCJwYXJzZS1uYW1lcyI6ZmFsc2UsImRyb3BwaW5nLXBhcnRpY2xlIjoiIiwibm9uLWRyb3BwaW5nLXBhcnRpY2xlIjoiIn0seyJmYW1pbHkiOiJLYWppIiwiZ2l2ZW4iOiJOIiwicGFyc2UtbmFtZXMiOmZhbHNlLCJkcm9wcGluZy1wYXJ0aWNsZSI6IiIsIm5vbi1kcm9wcGluZy1wYXJ0aWNsZSI6IiJ9LHsiZmFtaWx5IjoiTWF0c3VkYSIsImdpdmVuIjoiTiIsInBhcnNlLW5hbWVzIjpmYWxzZSwiZHJvcHBpbmctcGFydGljbGUiOiIiLCJub24tZHJvcHBpbmctcGFydGljbGUiOiIifSx7ImZhbWlseSI6Ik5vbmFrYSIsImdpdmVuIjoiTSIsInBhcnNlLW5hbWVzIjpmYWxzZSwiZHJvcHBpbmctcGFydGljbGUiOiIiLCJub24tZHJvcHBpbmctcGFydGljbGUiOiIifSx7ImZhbWlseSI6Iktvbm8iLCJnaXZlbiI6IlQiLCJwYXJzZS1uYW1lcyI6ZmFsc2UsImRyb3BwaW5nLXBhcnRpY2xlIjoiIiwibm9uLWRyb3BwaW5nLXBhcnRpY2xlIjoiIn1dLCJjb250YWluZXItdGl0bGUiOiJGcm9udCBQc3ljaGlhdHJ5IiwiRE9JIjoiMTAuMzM4OS9mcHN5dC4yMDIwLjAwNjE5IiwiUE1JRCI6IjMyNjk1MDMzIiwiaXNzdWVkIjp7ImRhdGUtcGFydHMiOltbMjAyMF1dfSwicGFnZSI6IjYxOSIsImFic3RyYWN0IjoiU2Vuc29yeSBwaGVub21lbmEgYW5kIHJlbGF0ZWQgZmVhdHVyZXMgb2YgVG91cmV0dGUgc3luZHJvbWUgYXJlIHJlbGF0ZWQgdG8gcG9vcmVyIHF1YWxpdHkgb2YgbGlmZS4gVGhlcmVmb3JlLCBzZW5zb3J5IHBoZW5vbWVuYSBtaWdodCBhbHNvIGhhdmUgYSBuZWdhdGl2ZSBpbXBhY3Qgb24gZ2xvYmFsIGZ1bmN0aW9uaW5nLiBIb3dldmVyLCB0aGUgaW5mbHVlbmNlIG9mIHNlbnNvcnkgcGhlbm9tZW5hLCB0aWNzLCBhbmQgb2JzZXNzaXZlLWNvbXB1bHNpdmUgc3ltcHRvbXMgKE9DUykgb24gZ2xvYmFsIGZ1bmN0aW9uaW5nIGFmdGVyIHNldmVyYWwgeWVhcnMgb2YgdXN1YWwgdHJlYXRtZW50IGhhcyBub3QgYmVlbiBpbnZlc3RpZ2F0ZWQuIFR3ZW50eSBvdXQgb2YgNDUgSmFwYW5lc2UgcGF0aWVudHMgd2l0aCBUb3VyZXR0ZSBzeW5kcm9tZSB3aG8gaGFkIHByZXZpb3VzbHkgdW5kZXJnb25lIGFuIGV2YWx1YXRpb24gb2YgdGhlc2UgY2xpbmljYWwgZmVhdHVyZXMgd2VyZSBhc3Nlc3NlZCBhZ2FpbiBhZnRlciBhbiBhdmVyYWdlIG9mIGZvdXIgeWVhcnMuIFdlIGNvbmR1Y3RlZCBhIHBhbmVsIG9mIGFzc2Vzc21lbnRzIGZvciBwcmVtb25pdG9yeSB1cmdlcywgYnJvYWRlciBzZW5zb3J5IHBoZW5vbWVuYSwgdGljIHNldmVyaXR5LCBPQ1MsIGFuZCBnbG9iYWwgZnVuY3Rpb25pbmcuIEJhc2VkIG9uIFBlYXJzb24ncyBjb3JyZWxhdGlvbiBjb2VmZmljaWVudCwgY3VycmVudCBnbG9iYWwgZnVuY3Rpb25pbmcgd2FzIHNpZ25pZmljYW50bHkgbmVnYXRpdmVseSBjb3JyZWxhdGVkIHdpdGggcHJldmlvdXMgdGljcyBhbmQgbWFyZ2luYWxseSBuZWdhdGl2ZWx5IGNvcnJlbGF0ZWQgd2l0aCBwcmV2aW91cyBicm9hZGVyIHNlbnNvcnkgcGhlbm9tZW5hLiBDdXJyZW50IGdsb2JhbCBmdW5jdGlvbmluZyB3YXMgbWFyZ2luYWxseSBjb3JyZWxhdGVkIHdpdGggY2hhbmdlIGluIHRpY3MuIENoYW5nZSBpbiBnbG9iYWwgZnVuY3Rpb25pbmcgd2FzIHNpZ25pZmljYW50bHkgY29ycmVsYXRlZCB3aXRoIGNoYW5nZSBpbiBPQ1MgYW5kIG1hcmdpbmFsbHkgY29ycmVsYXRlZCB3aXRoIGNoYW5nZSBpbiBwcmVtb25pdG9yeSB1cmdlcy4gRHVlIHRvIHRoZSBzbWFsbCBzYW1wbGUgc2l6ZSwgaXQgd2FzIG5vdCBwb3NzaWJsZSB0byB1c2UgYSBtdWx0aXBsZSByZWdyZXNzaW9uIGFuYWx5c2lzIHRvIGNvbmNsdWRlIHRoYXQgc2Vuc29yeSBwaGVub21lbmEsIHRpY3MsIGFuZCBPQ1MgcHJlZGljdCBnbG9iYWwgZnVuY3Rpb25pbmcgaW4gYWRvbGVzY2VudHMgYW5kIGFkdWx0cyB3aXRoIFRTLiBIb3dldmVyLCBpdCB3YXMgc3VnZ2VzdGVkIHRoYXQgZnVydGhlciBpbnZlc3RpZ2F0aW9uIG9mIHRoaXMgcmVsYXRpb25zaGlwIHdvdWxkIGJlIG1lYW5pbmdmdWwuIiwidm9sdW1lIjoiMTEiLCJjb250YWluZXItdGl0bGUtc2hvcnQiOiIifSwiaXNUZW1wb3JhcnkiOmZhbHNlfV19&quot;,&quot;citationItems&quot;:[{&quot;id&quot;:&quot;bfd57381-6e9a-33ae-87c1-4b57b0c6c3a9&quot;,&quot;itemData&quot;:{&quot;type&quot;:&quot;article-journal&quot;,&quot;id&quot;:&quot;bfd57381-6e9a-33ae-87c1-4b57b0c6c3a9&quot;,&quot;title&quot;:&quot;Changes in Sensory Phenomena, Tics, Obsessive-Compulsive Symptoms, and Global Functioning of Tourette Syndrome: A Follow-Up After Four Years&quot;,&quot;groupId&quot;:&quot;07d62ac1-5aa8-39af-b49e-52d2088ac571&quot;,&quot;author&quot;:[{&quot;family&quot;:&quot;Kano&quot;,&quot;given&quot;:&quot;Y&quot;,&quot;parse-names&quot;:false,&quot;dropping-particle&quot;:&quot;&quot;,&quot;non-dropping-particle&quot;:&quot;&quot;},{&quot;family&quot;:&quot;Fujio&quot;,&quot;given&quot;:&quot;M&quot;,&quot;parse-names&quot;:false,&quot;dropping-particle&quot;:&quot;&quot;,&quot;non-dropping-particle&quot;:&quot;&quot;},{&quot;family&quot;:&quot;Kaji&quot;,&quot;given&quot;:&quot;N&quot;,&quot;parse-names&quot;:false,&quot;dropping-particle&quot;:&quot;&quot;,&quot;non-dropping-particle&quot;:&quot;&quot;},{&quot;family&quot;:&quot;Matsuda&quot;,&quot;given&quot;:&quot;N&quot;,&quot;parse-names&quot;:false,&quot;dropping-particle&quot;:&quot;&quot;,&quot;non-dropping-particle&quot;:&quot;&quot;},{&quot;family&quot;:&quot;Nonaka&quot;,&quot;given&quot;:&quot;M&quot;,&quot;parse-names&quot;:false,&quot;dropping-particle&quot;:&quot;&quot;,&quot;non-dropping-particle&quot;:&quot;&quot;},{&quot;family&quot;:&quot;Kono&quot;,&quot;given&quot;:&quot;T&quot;,&quot;parse-names&quot;:false,&quot;dropping-particle&quot;:&quot;&quot;,&quot;non-dropping-particle&quot;:&quot;&quot;}],&quot;container-title&quot;:&quot;Front Psychiatry&quot;,&quot;DOI&quot;:&quot;10.3389/fpsyt.2020.00619&quot;,&quot;PMID&quot;:&quot;32695033&quot;,&quot;issued&quot;:{&quot;date-parts&quot;:[[2020]]},&quot;page&quot;:&quot;619&quot;,&quot;abstract&quot;:&quot;Sensory phenomena and related features of Tourette syndrome are related to poorer quality of life. Therefore, sensory phenomena might also have a negative impact on global functioning. However, the influence of sensory phenomena, tics, and obsessive-compulsive symptoms (OCS) on global functioning after several years of usual treatment has not been investigated. Twenty out of 45 Japanese patients with Tourette syndrome who had previously undergone an evaluation of these clinical features were assessed again after an average of four years. We conducted a panel of assessments for premonitory urges, broader sensory phenomena, tic severity, OCS, and global functioning. Based on Pearson's correlation coefficient, current global functioning was significantly negatively correlated with previous tics and marginally negatively correlated with previous broader sensory phenomena. Current global functioning was marginally correlated with change in tics. Change in global functioning was significantly correlated with change in OCS and marginally correlated with change in premonitory urges. Due to the small sample size, it was not possible to use a multiple regression analysis to conclude that sensory phenomena, tics, and OCS predict global functioning in adolescents and adults with TS. However, it was suggested that further investigation of this relationship would be meaningful.&quot;,&quot;volume&quot;:&quot;11&quot;,&quot;container-title-short&quot;:&quot;&quot;},&quot;isTemporary&quot;:false}]},{&quot;citationID&quot;:&quot;MENDELEY_CITATION_8dee8276-7bde-4b3a-b915-c61c37fcd1a8&quot;,&quot;properties&quot;:{&quot;noteIndex&quot;:0},&quot;isEdited&quot;:false,&quot;manualOverride&quot;:{&quot;isManuallyOverridden&quot;:false,&quot;citeprocText&quot;:&quot;(34)&quot;,&quot;manualOverrideText&quot;:&quot;&quot;},&quot;citationTag&quot;:&quot;MENDELEY_CITATION_v3_eyJjaXRhdGlvbklEIjoiTUVOREVMRVlfQ0lUQVRJT05fOGRlZTgyNzYtN2JkZS00YjNhLWI5MTUtYzYxYzM3ZmNkMWE4IiwicHJvcGVydGllcyI6eyJub3RlSW5kZXgiOjB9LCJpc0VkaXRlZCI6ZmFsc2UsIm1hbnVhbE92ZXJyaWRlIjp7ImlzTWFudWFsbHlPdmVycmlkZGVuIjpmYWxzZSwiY2l0ZXByb2NUZXh0IjoiKDM0KSIsIm1hbnVhbE92ZXJyaWRlVGV4dCI6IiJ9LCJjaXRhdGlvbkl0ZW1zIjpbeyJpZCI6ImRjODk3YzhiLTQ1YjQtMzk4My04NTliLTEzMTE1MmFjYWU3MyIsIml0ZW1EYXRhIjp7InR5cGUiOiJhcnRpY2xlLWpvdXJuYWwiLCJpZCI6ImRjODk3YzhiLTQ1YjQtMzk4My04NTliLTEzMTE1MmFjYWU3MyIsInRpdGxlIjoiU2Vuc29yeSBwaGVub21lbmEgcmVsYXRlZCB0byB0aWNzLCBvYnNlc3NpdmUtY29tcHVsc2l2ZSBzeW1wdG9tcywgYW5kIGdsb2JhbCBmdW5jdGlvbmluZyBpbiBUb3VyZXR0ZSBzeW5kcm9tZSIsImdyb3VwSWQiOiIwN2Q2MmFjMS01YWE4LTM5YWYtYjQ5ZS01MmQyMDg4YWM1NzEiLCJhdXRob3IiOlt7ImZhbWlseSI6Ikthbm8iLCJnaXZlbiI6IlkiLCJwYXJzZS1uYW1lcyI6ZmFsc2UsImRyb3BwaW5nLXBhcnRpY2xlIjoiIiwibm9uLWRyb3BwaW5nLXBhcnRpY2xlIjoiIn0seyJmYW1pbHkiOiJNYXRzdWRhIiwiZ2l2ZW4iOiJOIiwicGFyc2UtbmFtZXMiOmZhbHNlLCJkcm9wcGluZy1wYXJ0aWNsZSI6IiIsIm5vbi1kcm9wcGluZy1wYXJ0aWNsZSI6IiJ9LHsiZmFtaWx5IjoiTm9uYWthIiwiZ2l2ZW4iOiJNIiwicGFyc2UtbmFtZXMiOmZhbHNlLCJkcm9wcGluZy1wYXJ0aWNsZSI6IiIsIm5vbi1kcm9wcGluZy1wYXJ0aWNsZSI6IiJ9LHsiZmFtaWx5IjoiRnVqaW8iLCJnaXZlbiI6Ik0iLCJwYXJzZS1uYW1lcyI6ZmFsc2UsImRyb3BwaW5nLXBhcnRpY2xlIjoiIiwibm9uLWRyb3BwaW5nLXBhcnRpY2xlIjoiIn0seyJmYW1pbHkiOiJLdXdhYmFyYSIsImdpdmVuIjoiSCIsInBhcnNlLW5hbWVzIjpmYWxzZSwiZHJvcHBpbmctcGFydGljbGUiOiIiLCJub24tZHJvcHBpbmctcGFydGljbGUiOiIifSx7ImZhbWlseSI6Iktvbm8iLCJnaXZlbiI6IlQiLCJwYXJzZS1uYW1lcyI6ZmFsc2UsImRyb3BwaW5nLXBhcnRpY2xlIjoiIiwibm9uLWRyb3BwaW5nLXBhcnRpY2xlIjoiIn1dLCJjb250YWluZXItdGl0bGUiOiJDb21wciBQc3ljaGlhdHJ5IiwiRE9JIjoiMTAuMTAxNi9qLmNvbXBwc3ljaC4yMDE1LjA3LjAwNiIsIlBNSUQiOiIyNjM0MzQ3OCIsImlzc3VlZCI6eyJkYXRlLXBhcnRzIjpbWzIwMTVdXX0sInBhZ2UiOiIxNDEtMTQ2IiwiYWJzdHJhY3QiOiJPQkpFQ1RJVkVTOiBTZW5zb3J5IHBoZW5vbWVuYSwgaW5jbHVkaW5nIHByZW1vbml0b3J5IHVyZ2VzLCBhcmUgZXhwZXJpZW5jZWQgYnkgcGF0aWVudHMgd2l0aCBUb3VyZXR0ZSBzeW5kcm9tZSAoVFMpIGFuZCBvYnNlc3NpdmUtY29tcHVsc2l2ZSBkaXNvcmRlciAoT0NEKS4gVGhlIGdvYWwgb2YgdGhlIHByZXNlbnQgc3R1ZHkgd2FzIHRvIGludmVzdGlnYXRlIHN1Y2ggcGhlbm9tZW5hIHJlbGF0ZWQgdG8gdGljcywgb2JzZXNzaXZlLWNvbXB1bHNpdmUgc3ltcHRvbXMgKE9DUyksIGFuZCBnbG9iYWwgZnVuY3Rpb25pbmcgaW4gSmFwYW5lc2UgcGF0aWVudHMgd2l0aCBUUy4gTUVUSE9EUzogRm9ydHktb25lIHBhdGllbnRzIHdpdGggVFMgd2VyZSBhc3Nlc3NlZCB1c2luZyB0aGUgVW5pdmVyc2l0eSBvZiBTw6NvIFBhdWxvIFNlbnNvcnkgUGhlbm9tZW5hIFNjYWxlIChVU1AtU1BTKSwgdGhlIFByZW1vbml0b3J5IFVyZ2UgZm9yIFRpY3MgU2NhbGUgKFBVVFMpLCB0aGUgWWFsZSBHbG9iYWwgVGljIFNldmVyaXR5IFNjYWxlIChZR1RTUyksIHRoZSBEaW1lbnNpb25hbCBZYWxlLUJyb3duIE9ic2Vzc2l2ZS1Db21wdWxzaXZlIFNjYWxlIChEWS1CT0NTKSwgYW5kIHRoZSBHbG9iYWwgQXNzZXNzbWVudCBvZiBGdW5jdGlvbmluZyAoR0FGKSBTY2FsZS4gUkVTVUxUUzogVVNQLVNQUyBhbmQgUFVUUyB0b3RhbCBzY29yZXMgd2VyZSBzaWduaWZpY2FudGx5IGNvcnJlbGF0ZWQgd2l0aCBZR1RTUyB0b3RhbCBhbmQgdm9jYWwgdGljcyBzY29yZXMuIEFkZGl0aW9uYWxseSwgYm90aCBzZW5zb3J5IHBoZW5vbWVuYSBzZXZlcml0eSBzY29yZXMgd2VyZSBzaWduaWZpY2FudGx5IGNvcnJlbGF0ZWQgd2l0aCBEWS1CT0NTIHRvdGFsIE9DUyBzY29yZXMuIE9mIHRoZSBzaXggZGltZW5zaW9uYWwgT0NTIHNjb3JlcywgdGhlIFVTUC1TUFMgc2NvcmVzIHdlcmUgc2lnbmlmaWNhbnRseSBjb3JyZWxhdGVkIHdpdGggbWVhc3VyZXMgb2YgYWdncmVzc2lvbiBhbmQgc2V4dWFsL3JlbGlnaW91cyBkaW1lbnNpb25zLiBGaW5hbGx5LCB0aGUgUFVUUyB0b3RhbCBzY29yZXMgd2VyZSBzaWduaWZpY2FudGx5IGFuZCBuZWdhdGl2ZWx5IGNvcnJlbGF0ZWQgd2l0aCBHQUYgc2NvcmVzLiBDT05DTFVTSU9OUzogQnkgYXNzZXNzaW5nIHByZW1vbml0b3J5IHVyZ2VzIGFuZCBicm9hZGVyIHNlbnNvcnkgcGhlbm9tZW5hLCBhbmQgYnkgdmlld2luZyBPQ1MgZnJvbSBhIGRpbWVuc2lvbmFsIGFwcHJvYWNoLCB0aGlzIHN0dWR5IHByb3ZpZGVzIHNpZ25pZmljYW50IGluc2lnaHQgaW50byBzZW5zb3J5IHBoZW5vbWVuYSByZWxhdGVkIHRvIHRpY3MsIE9DUywgYW5kIGdsb2JhbCBmdW5jdGlvbmluZyBpbiBwYXRpZW50cyB3aXRoIFRTLiIsInZvbHVtZSI6IjYyIiwiY29udGFpbmVyLXRpdGxlLXNob3J0IjoiIn0sImlzVGVtcG9yYXJ5IjpmYWxzZX1dfQ==&quot;,&quot;citationItems&quot;:[{&quot;id&quot;:&quot;dc897c8b-45b4-3983-859b-131152acae73&quot;,&quot;itemData&quot;:{&quot;type&quot;:&quot;article-journal&quot;,&quot;id&quot;:&quot;dc897c8b-45b4-3983-859b-131152acae73&quot;,&quot;title&quot;:&quot;Sensory phenomena related to tics, obsessive-compulsive symptoms, and global functioning in Tourette syndrome&quot;,&quot;groupId&quot;:&quot;07d62ac1-5aa8-39af-b49e-52d2088ac571&quot;,&quot;author&quot;:[{&quot;family&quot;:&quot;Kano&quot;,&quot;given&quot;:&quot;Y&quot;,&quot;parse-names&quot;:false,&quot;dropping-particle&quot;:&quot;&quot;,&quot;non-dropping-particle&quot;:&quot;&quot;},{&quot;family&quot;:&quot;Matsuda&quot;,&quot;given&quot;:&quot;N&quot;,&quot;parse-names&quot;:false,&quot;dropping-particle&quot;:&quot;&quot;,&quot;non-dropping-particle&quot;:&quot;&quot;},{&quot;family&quot;:&quot;Nonaka&quot;,&quot;given&quot;:&quot;M&quot;,&quot;parse-names&quot;:false,&quot;dropping-particle&quot;:&quot;&quot;,&quot;non-dropping-particle&quot;:&quot;&quot;},{&quot;family&quot;:&quot;Fujio&quot;,&quot;given&quot;:&quot;M&quot;,&quot;parse-names&quot;:false,&quot;dropping-particle&quot;:&quot;&quot;,&quot;non-dropping-particle&quot;:&quot;&quot;},{&quot;family&quot;:&quot;Kuwabara&quot;,&quot;given&quot;:&quot;H&quot;,&quot;parse-names&quot;:false,&quot;dropping-particle&quot;:&quot;&quot;,&quot;non-dropping-particle&quot;:&quot;&quot;},{&quot;family&quot;:&quot;Kono&quot;,&quot;given&quot;:&quot;T&quot;,&quot;parse-names&quot;:false,&quot;dropping-particle&quot;:&quot;&quot;,&quot;non-dropping-particle&quot;:&quot;&quot;}],&quot;container-title&quot;:&quot;Compr Psychiatry&quot;,&quot;DOI&quot;:&quot;10.1016/j.comppsych.2015.07.006&quot;,&quot;PMID&quot;:&quot;26343478&quot;,&quot;issued&quot;:{&quot;date-parts&quot;:[[2015]]},&quot;page&quot;:&quot;141-146&quot;,&quot;abstract&quot;:&quot;OBJECTIVES: Sensory phenomena, including premonitory urges, are experienced by patients with Tourette syndrome (TS) and obsessive-compulsive disorder (OCD). The goal of the present study was to investigate such phenomena related to tics, obsessive-compulsive symptoms (OCS), and global functioning in Japanese patients with TS. METHODS: Forty-one patients with TS were assessed using the University of São Paulo Sensory Phenomena Scale (USP-SPS), the Premonitory Urge for Tics Scale (PUTS), the Yale Global Tic Severity Scale (YGTSS), the Dimensional Yale-Brown Obsessive-Compulsive Scale (DY-BOCS), and the Global Assessment of Functioning (GAF) Scale. RESULTS: USP-SPS and PUTS total scores were significantly correlated with YGTSS total and vocal tics scores. Additionally, both sensory phenomena severity scores were significantly correlated with DY-BOCS total OCS scores. Of the six dimensional OCS scores, the USP-SPS scores were significantly correlated with measures of aggression and sexual/religious dimensions. Finally, the PUTS total scores were significantly and negatively correlated with GAF scores. CONCLUSIONS: By assessing premonitory urges and broader sensory phenomena, and by viewing OCS from a dimensional approach, this study provides significant insight into sensory phenomena related to tics, OCS, and global functioning in patients with TS.&quot;,&quot;volume&quot;:&quot;62&quot;,&quot;container-title-short&quot;:&quot;&quot;},&quot;isTemporary&quot;:false}]},{&quot;citationID&quot;:&quot;MENDELEY_CITATION_10bd3090-94ca-4954-86b5-8f2f0cd83411&quot;,&quot;properties&quot;:{&quot;noteIndex&quot;:0},&quot;isEdited&quot;:false,&quot;manualOverride&quot;:{&quot;isManuallyOverridden&quot;:false,&quot;citeprocText&quot;:&quot;(8)&quot;,&quot;manualOverrideText&quot;:&quot;&quot;},&quot;citationTag&quot;:&quot;MENDELEY_CITATION_v3_eyJjaXRhdGlvbklEIjoiTUVOREVMRVlfQ0lUQVRJT05fMTBiZDMwOTAtOTRjYS00OTU0LTg2YjUtOGYyZjBjZDgzNDExIiwicHJvcGVydGllcyI6eyJub3RlSW5kZXgiOjB9LCJpc0VkaXRlZCI6ZmFsc2UsIm1hbnVhbE92ZXJyaWRlIjp7ImlzTWFudWFsbHlPdmVycmlkZGVuIjpmYWxzZSwiY2l0ZXByb2NUZXh0IjoiKDgpIiwibWFudWFsT3ZlcnJpZGVUZXh0IjoiIn0sImNpdGF0aW9uSXRlbXMiOlt7ImlkIjoiYmNhMzA2ZjQtMmViZC0zNjQ1LTkwNWQtYzAwZmYyZjExMGI0IiwiaXRlbURhdGEiOnsidHlwZSI6ImFydGljbGUtam91cm5hbCIsImlkIjoiYmNhMzA2ZjQtMmViZC0zNjQ1LTkwNWQtYzAwZmYyZjExMGI0IiwidGl0bGUiOiJQc3ljaG9tZXRyaWMgUHJvcGVydGllcyBvZiB0aGUgQ2hpbmVzZSBWZXJzaW9uIG9mIHRoZSBQcmVtb25pdG9yeSBVcmdlIGZvciBUaWNzIFNjYWxlOiBBIFByZWxpbWluYXJ5IFJlcG9ydCIsImdyb3VwSWQiOiIwN2Q2MmFjMS01YWE4LTM5YWYtYjQ5ZS01MmQyMDg4YWM1NzEiLCJhdXRob3IiOlt7ImZhbWlseSI6IkxpIiwiZ2l2ZW4iOiJZIiwicGFyc2UtbmFtZXMiOmZhbHNlLCJkcm9wcGluZy1wYXJ0aWNsZSI6IiIsIm5vbi1kcm9wcGluZy1wYXJ0aWNsZSI6IiJ9LHsiZmFtaWx5IjoiV29vZHMiLCJnaXZlbiI6IkQgVyIsInBhcnNlLW5hbWVzIjpmYWxzZSwiZHJvcHBpbmctcGFydGljbGUiOiIiLCJub24tZHJvcHBpbmctcGFydGljbGUiOiIifSx7ImZhbWlseSI6Ikd1IiwiZ2l2ZW4iOiJZIiwicGFyc2UtbmFtZXMiOmZhbHNlLCJkcm9wcGluZy1wYXJ0aWNsZSI6IiIsIm5vbi1kcm9wcGluZy1wYXJ0aWNsZSI6IiJ9LHsiZmFtaWx5IjoiWXUiLCJnaXZlbiI6IkwiLCJwYXJzZS1uYW1lcyI6ZmFsc2UsImRyb3BwaW5nLXBhcnRpY2xlIjoiIiwibm9uLWRyb3BwaW5nLXBhcnRpY2xlIjoiIn0seyJmYW1pbHkiOiJZYW4iLCJnaXZlbiI6IkoiLCJwYXJzZS1uYW1lcyI6ZmFsc2UsImRyb3BwaW5nLXBhcnRpY2xlIjoiIiwibm9uLWRyb3BwaW5nLXBhcnRpY2xlIjoiIn0seyJmYW1pbHkiOiJXZW4iLCJnaXZlbiI6IkYiLCJwYXJzZS1uYW1lcyI6ZmFsc2UsImRyb3BwaW5nLXBhcnRpY2xlIjoiIiwibm9uLWRyb3BwaW5nLXBhcnRpY2xlIjoiIn0seyJmYW1pbHkiOiJXYW5nIiwiZ2l2ZW4iOiJGIiwicGFyc2UtbmFtZXMiOmZhbHNlLCJkcm9wcGluZy1wYXJ0aWNsZSI6IiIsIm5vbi1kcm9wcGluZy1wYXJ0aWNsZSI6IiJ9LHsiZmFtaWx5IjoiTGl1IiwiZ2l2ZW4iOiJKIiwicGFyc2UtbmFtZXMiOmZhbHNlLCJkcm9wcGluZy1wYXJ0aWNsZSI6IiIsIm5vbi1kcm9wcGluZy1wYXJ0aWNsZSI6IiJ9LHsiZmFtaWx5IjoiQ3VpIiwiZ2l2ZW4iOiJZIiwicGFyc2UtbmFtZXMiOmZhbHNlLCJkcm9wcGluZy1wYXJ0aWNsZSI6IiIsIm5vbi1kcm9wcGluZy1wYXJ0aWNsZSI6IiJ9XSwiY29udGFpbmVyLXRpdGxlIjoiRnJvbnQgUHN5Y2hvbCIsIkRPSSI6IjEwLjMzODkvZnBzeWcuMjAyMS41NzM4MDMiLCJQTUlEIjoiMzQ2NDYxODEiLCJpc3N1ZWQiOnsiZGF0ZS1wYXJ0cyI6W1syMDIxXV19LCJwYWdlIjoiNTczODAzIiwiYWJzdHJhY3QiOiJQcmVtb25pdG9yeSB1cmdlcyAoUFVzKSBhcmUgc2Vuc29yeSBwaGVub21lbmEgdGhhdCBpbW1lZGlhdGVseSBwcmVjZWRlIHRpY3MuIFRoZSBQcmVtb25pdG9yeSBVcmdlIGZvciBUaWNzIFNjYWxlIChQVVRTKSBpcyB3aWRlbHkgdXNlZCB0byBhc3Nlc3MgdGhlIHNldmVyaXR5IG9mIFBVcywgYnV0IHRoZSBwc3ljaG9tZXRyaWMgcHJvcGVydGllcyBvZiBQVVRTIGFuZCBjbGluaWNhbCBmZWF0dXJlcyBvZiBQVSBpbiBDaGluZXNlIHBhdGllbnRzIHdpdGggdGljIGRpc29yZGVycyBhcmUgc3RpbGwgdW5jbGVhci4gSW4gdGhpcyBzdHVkeSwgd2UgZXhhbWluZWQgdGhlIHBzeWNob21ldHJpYyBwcm9wZXJ0aWVzIG9mIHRoZSBDaGluZXNlIHZlcnNpb24gb2YgdGhlIFBVVFMgaW4gYSBsYXJnZSBzYW1wbGUgKGluY2x1ZGluZyAzNjcgQ2hpbmVzZSBwZWRpYXRyaWMgcGF0aWVudHMgd2l0aCB0aWMgZGlzb3JkZXJzKS4gV2UgZm91bmQgbm8gZGlmZmVyZW5jZSBpbiBQVSBpbiBkaWZmZXJlbnQgYWdlIGdyb3Vwcy4gVGhlIGV4cGxvcmF0b3J5IGZhY3RvciBhbmFseXNpcyAoRUZBKSBvZiBQVVRTIHNob3dlZCB0aGUgZW1lcmdlbmNlIG9mIGZvdXIgcHJpbWFyeSBmYWN0b3JzLiBUaGUgcmVzdWx0cyBvZiByZWxpYWJpbGl0eSBhbmQgdmFsaWRpdHkgYW5hbHlzZXMgaW5kaWNhdGVkIHRoYXQgdGhlIENoaW5lc2UgdmVyc2lvbiBzaG93ZWQgZ29vZCBwc3ljaG9tZXRyaWMgcHJvcGVydGllcy4gSXQgc2VlbWVkIHRoYXQgUFUgd2FzIGFzc29jaWF0ZWQgd2l0aCB0aGUgc2V2ZXJpdHkgb2Ygb2JzZXNzaW9uIHN5bXB0b21zIGluIHBhdGllbnRzIHdpdGggdGljIGRpc29yZGVycy4gTmV0d29yayBhbmFseXNpcyBzaG93ZWQgdGhhdCBJdGVtIDcgaXMgYSBjcml0aWNhbCBub2RlIGZvciB0aGUgUFUsIGluIGFkZGl0aW9uIHRvIEl0ZW1zIDEgYW5kIDQuIE92ZXJhbGwsIHRoZSBDaGluZXNlIHZlcnNpb24gb2YgUFVUUyBjYW4gYmUgdXNlZCBpbiBDaGluZXNlIGNoaWxkIGFuZCBhZG9sZXNjZW50IHBhdGllbnRzIHdpdGggdGljIGRpc29yZGVycywgcGFydGljdWxhcmx5IGZvciBwYXRpZW50cyB3aXRoIFRvdXJldHRlIHN5bmRyb21lLiIsInZvbHVtZSI6IjEyIiwiY29udGFpbmVyLXRpdGxlLXNob3J0IjoiIn0sImlzVGVtcG9yYXJ5IjpmYWxzZX1dfQ==&quot;,&quot;citationItems&quot;:[{&quot;id&quot;:&quot;bca306f4-2ebd-3645-905d-c00ff2f110b4&quot;,&quot;itemData&quot;:{&quot;type&quot;:&quot;article-journal&quot;,&quot;id&quot;:&quot;bca306f4-2ebd-3645-905d-c00ff2f110b4&quot;,&quot;title&quot;:&quot;Psychometric Properties of the Chinese Version of the Premonitory Urge for Tics Scale: A Preliminary Report&quot;,&quot;groupId&quot;:&quot;07d62ac1-5aa8-39af-b49e-52d2088ac571&quot;,&quot;author&quot;:[{&quot;family&quot;:&quot;Li&quot;,&quot;given&quot;:&quot;Y&quot;,&quot;parse-names&quot;:false,&quot;dropping-particle&quot;:&quot;&quot;,&quot;non-dropping-particle&quot;:&quot;&quot;},{&quot;family&quot;:&quot;Woods&quot;,&quot;given&quot;:&quot;D W&quot;,&quot;parse-names&quot;:false,&quot;dropping-particle&quot;:&quot;&quot;,&quot;non-dropping-particle&quot;:&quot;&quot;},{&quot;family&quot;:&quot;Gu&quot;,&quot;given&quot;:&quot;Y&quot;,&quot;parse-names&quot;:false,&quot;dropping-particle&quot;:&quot;&quot;,&quot;non-dropping-particle&quot;:&quot;&quot;},{&quot;family&quot;:&quot;Yu&quot;,&quot;given&quot;:&quot;L&quot;,&quot;parse-names&quot;:false,&quot;dropping-particle&quot;:&quot;&quot;,&quot;non-dropping-particle&quot;:&quot;&quot;},{&quot;family&quot;:&quot;Yan&quot;,&quot;given&quot;:&quot;J&quot;,&quot;parse-names&quot;:false,&quot;dropping-particle&quot;:&quot;&quot;,&quot;non-dropping-particle&quot;:&quot;&quot;},{&quot;family&quot;:&quot;Wen&quot;,&quot;given&quot;:&quot;F&quot;,&quot;parse-names&quot;:false,&quot;dropping-particle&quot;:&quot;&quot;,&quot;non-dropping-particle&quot;:&quot;&quot;},{&quot;family&quot;:&quot;Wang&quot;,&quot;given&quot;:&quot;F&quot;,&quot;parse-names&quot;:false,&quot;dropping-particle&quot;:&quot;&quot;,&quot;non-dropping-particle&quot;:&quot;&quot;},{&quot;family&quot;:&quot;Liu&quot;,&quot;given&quot;:&quot;J&quot;,&quot;parse-names&quot;:false,&quot;dropping-particle&quot;:&quot;&quot;,&quot;non-dropping-particle&quot;:&quot;&quot;},{&quot;family&quot;:&quot;Cui&quot;,&quot;given&quot;:&quot;Y&quot;,&quot;parse-names&quot;:false,&quot;dropping-particle&quot;:&quot;&quot;,&quot;non-dropping-particle&quot;:&quot;&quot;}],&quot;container-title&quot;:&quot;Front Psychol&quot;,&quot;DOI&quot;:&quot;10.3389/fpsyg.2021.573803&quot;,&quot;PMID&quot;:&quot;34646181&quot;,&quot;issued&quot;:{&quot;date-parts&quot;:[[2021]]},&quot;page&quot;:&quot;573803&quot;,&quot;abstract&quot;:&quot;Premonitory urges (PUs) are sensory phenomena that immediately precede tics. The Premonitory Urge for Tics Scale (PUTS) is widely used to assess the severity of PUs, but the psychometric properties of PUTS and clinical features of PU in Chinese patients with tic disorders are still unclear. In this study, we examined the psychometric properties of the Chinese version of the PUTS in a large sample (including 367 Chinese pediatric patients with tic disorders). We found no difference in PU in different age groups. The exploratory factor analysis (EFA) of PUTS showed the emergence of four primary factors. The results of reliability and validity analyses indicated that the Chinese version showed good psychometric properties. It seemed that PU was associated with the severity of obsession symptoms in patients with tic disorders. Network analysis showed that Item 7 is a critical node for the PU, in addition to Items 1 and 4. Overall, the Chinese version of PUTS can be used in Chinese child and adolescent patients with tic disorders, particularly for patients with Tourette syndrome.&quot;,&quot;volume&quot;:&quot;12&quot;,&quot;container-title-short&quot;:&quot;&quot;},&quot;isTemporary&quot;:false}]},{&quot;citationID&quot;:&quot;MENDELEY_CITATION_c64c6b61-bc1a-45be-aed5-69d8973e3929&quot;,&quot;properties&quot;:{&quot;noteIndex&quot;:0},&quot;isEdited&quot;:false,&quot;manualOverride&quot;:{&quot;isManuallyOverridden&quot;:false,&quot;citeprocText&quot;:&quot;(24)&quot;,&quot;manualOverrideText&quot;:&quot;&quot;},&quot;citationTag&quot;:&quot;MENDELEY_CITATION_v3_eyJjaXRhdGlvbklEIjoiTUVOREVMRVlfQ0lUQVRJT05fYzY0YzZiNjEtYmMxYS00NWJlLWFlZDUtNjlkODk3M2UzOTI5IiwicHJvcGVydGllcyI6eyJub3RlSW5kZXgiOjB9LCJpc0VkaXRlZCI6ZmFsc2UsIm1hbnVhbE92ZXJyaWRlIjp7ImlzTWFudWFsbHlPdmVycmlkZGVuIjpmYWxzZSwiY2l0ZXByb2NUZXh0IjoiKDI0KSIsIm1hbnVhbE92ZXJyaWRlVGV4dCI6IiJ9LCJjaXRhdGlvbkl0ZW1zIjpbeyJpZCI6ImQ1YzVlMjUxLWNmNjAtMzBkMS1hYTZjLWY1M2RlYzlhOTdmOCIsIml0ZW1EYXRhIjp7InR5cGUiOiJhcnRpY2xlLWpvdXJuYWwiLCJpZCI6ImQ1YzVlMjUxLWNmNjAtMzBkMS1hYTZjLWY1M2RlYzlhOTdmOCIsInRpdGxlIjoiUHJlbW9uaXRvcnkgdXJnZXMgYW5kIHJlcGV0aXRpdmUgYmVoYXZpb3VycyBpbiBhZHVsdCBwYXRpZW50cyB3aXRoIFRvdXJldHRlIHN5bmRyb21lIiwiZ3JvdXBJZCI6IjA3ZDYyYWMxLTVhYTgtMzlhZi1iNDllLTUyZDIwODhhYzU3MSIsImF1dGhvciI6W3siZmFtaWx5IjoiUmFqYWdvcGFsIiwiZ2l2ZW4iOiJTIiwicGFyc2UtbmFtZXMiOmZhbHNlLCJkcm9wcGluZy1wYXJ0aWNsZSI6IiIsIm5vbi1kcm9wcGluZy1wYXJ0aWNsZSI6IiJ9LHsiZmFtaWx5IjoiQ2F2YW5uYSIsImdpdmVuIjoiQSBFIiwicGFyc2UtbmFtZXMiOmZhbHNlLCJkcm9wcGluZy1wYXJ0aWNsZSI6IiIsIm5vbi1kcm9wcGluZy1wYXJ0aWNsZSI6IiJ9XSwiY29udGFpbmVyLXRpdGxlIjoiTmV1cm9sIFNjaSIsIkRPSSI6IjEwLjEwMDcvczEwMDcyLTAxNC0xNzA2LTgiLCJQTUlEIjoiMjQ2MDQ0MTIiLCJVUkwiOiJodHRwczovL2xpbmsuc3ByaW5nZXIuY29tL2FydGljbGUvMTAuMTAwNy9zMTAwNzItMDE0LTE3MDYtOCIsImlzc3VlZCI6eyJkYXRlLXBhcnRzIjpbWzIwMTRdXX0sInBhZ2UiOiI5NjktOTcxIiwiYWJzdHJhY3QiOiJUb3VyZXR0ZSBzeW5kcm9tZSAoVFMpIGlzIGEgbmV1cm9kZXZlbG9wbWVudGFsIGRpc29yZGVyIGNoYXJhY3RlcmlzZWQgYnkgbXVsdGlwbGUgbW90b3IgYW5kIHBob25pYyB0aWNzLCB3aGljaCBhcmUgYXNzb2NpYXRlZCB3aXRoIHNlbnNvcnkgc3ltcHRvbXMgKHByZW1vbml0b3J5IHVyZ2VzKS4gTGl0dGxlIGlzIGtub3duIGFib3V0IHRoZSBuYXR1cmUgb2YgdGhlIHN1YmplY3RpdmUgdXJnZXMgYW5kIHJlcGV0aXRpdmUgYmVoYXZpb3VycyB3aGljaCBhcmUgaW50cmluc2ljIHRvIFRTLiBUaGlzIHN0dWR5IGFzc2Vzc2VkIHRoZSByZWxhdGlvbnNoaXAgYmV0d2VlbiBzcGVjaWZpYyB1cmdlcyBhbmQgcmVwZXRpdGl2ZSBiZWhhdmlvdXJzIGluIDEwOCBjb25zZWN1dGl2ZSBhZHVsdCBwYXRpZW50cyByZWNydWl0ZWQgYXQgYSBzcGVjaWFsaXN0IFRTIENsaW5pYy4gQW5hbHlzaXMgb2Ygc2VsZi1yZXBvcnQgbWVhc3VyZXMgb2Ygc2Vuc29yeSBzeW1wdG9tcyAoUHJlbW9uaXRvcnkgVXJnZSBmb3IgVGljcyBTY2FsZSkgYW5kIHJlcGV0aXRpdmUgYmVoYXZpb3VycyAoTW90b3IgdGljLCBPYnNlc3Npb25zIGFuZCBjb21wdWxzaW9ucywgVm9jYWwgdGljIEV2YWx1YXRpb24gU3VydmV5KSBzaG93ZWQgdGhhdCBkaWZmZXJlbnQgdHlwZXMgb2YgdXJnZXMgYXJlIGFzc29jaWF0ZWQgd2l0aCBzaW1wbGUvY29tcGxleCB0aWNzIGFuZCBvYnNlc3NpdmUtY29tcHVsc2l2ZSBzeW1wdG9tcy4iLCJpc3N1ZSI6IjYiLCJ2b2x1bWUiOiIzNSIsImNvbnRhaW5lci10aXRsZS1zaG9ydCI6IiJ9LCJpc1RlbXBvcmFyeSI6ZmFsc2V9XX0=&quot;,&quot;citationItems&quot;:[{&quot;id&quot;:&quot;d5c5e251-cf60-30d1-aa6c-f53dec9a97f8&quot;,&quot;itemData&quot;:{&quot;type&quot;:&quot;article-journal&quot;,&quot;id&quot;:&quot;d5c5e251-cf60-30d1-aa6c-f53dec9a97f8&quot;,&quot;title&quot;:&quot;Premonitory urges and repetitive behaviours in adult patients with Tourette syndrome&quot;,&quot;groupId&quot;:&quot;07d62ac1-5aa8-39af-b49e-52d2088ac571&quot;,&quot;author&quot;:[{&quot;family&quot;:&quot;Rajagopal&quot;,&quot;given&quot;:&quot;S&quot;,&quot;parse-names&quot;:false,&quot;dropping-particle&quot;:&quot;&quot;,&quot;non-dropping-particle&quot;:&quot;&quot;},{&quot;family&quot;:&quot;Cavanna&quot;,&quot;given&quot;:&quot;A E&quot;,&quot;parse-names&quot;:false,&quot;dropping-particle&quot;:&quot;&quot;,&quot;non-dropping-particle&quot;:&quot;&quot;}],&quot;container-title&quot;:&quot;Neurol Sci&quot;,&quot;DOI&quot;:&quot;10.1007/s10072-014-1706-8&quot;,&quot;PMID&quot;:&quot;24604412&quot;,&quot;URL&quot;:&quot;https://link.springer.com/article/10.1007/s10072-014-1706-8&quot;,&quot;issued&quot;:{&quot;date-parts&quot;:[[2014]]},&quot;page&quot;:&quot;969-971&quot;,&quot;abstract&quot;:&quot;Tourette syndrome (TS) is a neurodevelopmental disorder characterised by multiple motor and phonic tics, which are associated with sensory symptoms (premonitory urges). Little is known about the nature of the subjective urges and repetitive behaviours which are intrinsic to TS. This study assessed the relationship between specific urges and repetitive behaviours in 108 consecutive adult patients recruited at a specialist TS Clinic. Analysis of self-report measures of sensory symptoms (Premonitory Urge for Tics Scale) and repetitive behaviours (Motor tic, Obsessions and compulsions, Vocal tic Evaluation Survey) showed that different types of urges are associated with simple/complex tics and obsessive-compulsive symptoms.&quot;,&quot;issue&quot;:&quot;6&quot;,&quot;volume&quot;:&quot;35&quot;,&quot;container-title-short&quot;:&quot;&quot;},&quot;isTemporary&quot;:false}]},{&quot;citationID&quot;:&quot;MENDELEY_CITATION_4e93ad3b-628b-461e-b70d-9e3f9f2cf00a&quot;,&quot;properties&quot;:{&quot;noteIndex&quot;:0},&quot;isEdited&quot;:false,&quot;manualOverride&quot;:{&quot;isManuallyOverridden&quot;:false,&quot;citeprocText&quot;:&quot;(52)&quot;,&quot;manualOverrideText&quot;:&quot;&quot;},&quot;citationTag&quot;:&quot;MENDELEY_CITATION_v3_eyJjaXRhdGlvbklEIjoiTUVOREVMRVlfQ0lUQVRJT05fNGU5M2FkM2ItNjI4Yi00NjFlLWI3MGQtOWUzZjlmMmNmMDBhIiwicHJvcGVydGllcyI6eyJub3RlSW5kZXgiOjB9LCJpc0VkaXRlZCI6ZmFsc2UsIm1hbnVhbE92ZXJyaWRlIjp7ImlzTWFudWFsbHlPdmVycmlkZGVuIjpmYWxzZSwiY2l0ZXByb2NUZXh0IjoiKDUyKSIsIm1hbnVhbE92ZXJyaWRlVGV4dCI6IiJ9LCJjaXRhdGlvbkl0ZW1zIjpbeyJpZCI6IjgwMWY2OWY4LWY1ZjQtMzdlMS1iODgyLTNiYzE4MDk0NjE4NiIsIml0ZW1EYXRhIjp7InR5cGUiOiJhcnRpY2xlLWpvdXJuYWwiLCJpZCI6IjgwMWY2OWY4LWY1ZjQtMzdlMS1iODgyLTNiYzE4MDk0NjE4NiIsInRpdGxlIjoiUHJlbW9uaXRvcnkgVXJnZSBhbmQgVGljIFNldmVyaXR5LCBDb21vcmJpZGl0aWVzLCBhbmQgUXVhbGl0eSBvZiBMaWZlIGluIENocm9uaWMgVGljIERpc29yZGVycyIsImdyb3VwSWQiOiIwN2Q2MmFjMS01YWE4LTM5YWYtYjQ5ZS01MmQyMDg4YWM1NzEiLCJhdXRob3IiOlt7ImZhbWlseSI6IkJyYW5kdCIsImdpdmVuIjoiViIsInBhcnNlLW5hbWVzIjpmYWxzZSwiZHJvcHBpbmctcGFydGljbGUiOiIiLCJub24tZHJvcHBpbmctcGFydGljbGUiOiIifSx7ImZhbWlseSI6IkVzc2luZyIsImdpdmVuIjoiSiIsInBhcnNlLW5hbWVzIjpmYWxzZSwiZHJvcHBpbmctcGFydGljbGUiOiIiLCJub24tZHJvcHBpbmctcGFydGljbGUiOiIifSx7ImZhbWlseSI6Ikpha3Vib3Zza2kiLCJnaXZlbiI6IkUiLCJwYXJzZS1uYW1lcyI6ZmFsc2UsImRyb3BwaW5nLXBhcnRpY2xlIjoiIiwibm9uLWRyb3BwaW5nLXBhcnRpY2xlIjoiIn0seyJmYW1pbHkiOiJNw7xsbGVyLVZhaGwiLCJnaXZlbiI6IksiLCJwYXJzZS1uYW1lcyI6ZmFsc2UsImRyb3BwaW5nLXBhcnRpY2xlIjoiIiwibm9uLWRyb3BwaW5nLXBhcnRpY2xlIjoiIn1dLCJjb250YWluZXItdGl0bGUiOiJNb3YgRGlzb3JkIENsaW4gUHJhY3QiLCJET0kiOiIxMC4xMDAyL21kYzMuMTM3NDIiLCJQTUlEIjoiMzczMzI2MzMiLCJpc3N1ZWQiOnsiZGF0ZS1wYXJ0cyI6W1syMDIzXV19LCJwYWdlIjoiOTIyLTkzMiIsImFic3RyYWN0IjoiQkFDS0dST1VORDogVGljcyBhcmUgaW50aW1hdGVseSBhc3NvY2lhdGVkIHdpdGggcHJlbW9uaXRvcnkgdXJnZXMgKFBVKSBidXQga25vd2xlZGdlIGFib3V0IHVyZ2VzIGlzIHN0aWxsIGxpbWl0ZWQsIHdpdGggc21hbGwgc2FtcGxlIHNpemVzIG9mdGVuIGxpbWl0aW5nIHRoZSBnZW5lcmFsaXphYmlsaXR5IG9mIGZpbmRpbmdzLiBPQkpFQ1RJVkVTOiBUaGlzIHN0dWR5IGFkZHJlc3NlZCB0aGUgZm9sbG93aW5nIG9wZW4gcXVlc3Rpb25zOiAoMSkgaXMgdGljIHNldmVyaXR5IGFzc29jaWF0ZWQgd2l0aCB1cmdlIHNldmVyaXR5LCAoMikgaG93IGNvbW1vbiBpcyByZWxpZWYsICgzKSB3aGljaCBjb21vcmJpZGl0aWVzIGFyZSBhc3NvY2lhdGVkIHdpdGggdXJnZXMsICg0KSBhcmUgdXJnZXMsIHRpY3MsIGFuZCBjb21vcmJpZGl0aWVzIGFzc29jaWF0ZWQgd2l0aCBsb3dlciBxdWFsaXR5IG9mIGxpZmUsIGFuZCAoNSkgY2FuIGNvbXBsZXggYW5kIHNpbXBsZSwgbW90b3IgYW5kIHZvY2FsIHRpY3MgYmUgZGlmZmVyZW50aWF0ZWQgYmFzZWQgb24gUFU/IE1FVEhPRFM6IE7igIk94oCJMjkxIHBhdGllbnRzIHdobyByZXBvcnRlZCBhIGNvbmZpcm1lZCBkaWFnbm9zaXMgb2YgY2hyb25pYyBwcmltYXJ5IHRpYyBkaXNvcmRlciAoYWdl4oCJPeKAiTE4LTY1LCAyNCUgZmVtYWxlKSBmaWxsZWQgb3V0IGFuIG9ubGluZSBzdXJ2ZXkgYXNzZXNzaW5nIGRlbW9ncmFwaGljIGRhdGEsIGNvbW9yYmlkIGNvbmRpdGlvbnMsIGxvY2F0aW9uLCBxdWFsaXR5IGFuZCBpbnRlbnNpdHkgb2YgUFUsIGFzIHdlbGwgYXMgcXVhbGl0eSBvZiBsaWZlLiBFdmVyeSB0aWMgd2FzIHJlY29yZGVkLCBhbmQgd2hldGhlciB0aGUgcGF0aWVudCBleHBlcmllbmNlZCBhIFBVLCB0aGUgZnJlcXVlbmN5LCBpbnRlbnNpdHksIGFuZCBxdWFsaXR5IG9mIHRoYXQgdXJnZS4gUkVTVUxUUzogUFUgYW5kIHRpYyBzZXZlcml0eSB3ZXJlIHNpZ25pZmljYW50bHkgYXNzb2NpYXRlZCwgYW5kIDg1JSBvZiB1cmdlLXJlbGF0ZWQgdGljcyB3ZXJlIGZvbGxvd2VkIGJ5IHJlbGllZi4gQSBkaWFnbm9zaXMgb2YgYXR0ZW50aW9uIGRlZmljaXQvaHlwZXJhY3Rpdml0eSBkaXNvcmRlciAoQURIRCkgb3IgZGVwcmVzc2lvbiwgZmVtYWxlIGdlbmRlciwgYW5kIG9sZGVyIGFnZSBpbmNyZWFzZWQgdGhlIGxpa2VsaWhvb2Qgb2YgZXhwZXJpZW5jaW5nIFBVLCB3aGlsZSBtb3JlIG9ic2Vzc2l2ZSBjb21wdWxzaXZlIChPQ0QpIHN5bXB0b21zIGFuZCB5b3VuZ2VyIGFnZSB3ZXJlIGFzc29jaWF0ZWQgd2l0aCBoaWdoZXIgdXJnZSBpbnRlbnNpdGllcy4gUFUsIGNvbXBsZXggdm9jYWwgdGljcywgQURIRCwgT0NELCBhbnhpZXR5LCBhbmQgZGVwcmVzc2lvbiB3ZXJlIHJlbGF0ZWQgdG8gbG93ZXIgcXVhbGl0eSBvZiBsaWZlLiBNb3RvciBhbmQgdm9jYWwsIGNvbXBsZXggYW5kIHNpbXBsZSB0aWNzIGRpZCBub3QgZGlmZmVyIHJlZ2FyZGluZyBQVSBpbnRlbnNpdHksIGZyZXF1ZW5jeSwgYW5kIHF1YWxpdHksIG9yIHJlbGllZi4gQ09OQ0xVU0lPTlM6IFRoZSByZXN1bHRzIHNoZWQgbGlnaHQgb24gdGhlIHJlbGF0aW9uc2hpcCBiZXR3ZWVuIFBVLCB0aWNzLCBjb21vcmJpZGl0aWVzLCBhZ2UsIGdlbmRlciwgYW5kIHF1YWxpdHkgb2YgbGlmZSBpbiB0aWMgZGlzb3JkZXJzLiIsImlzc3VlIjoiNiIsInZvbHVtZSI6IjEwIiwiY29udGFpbmVyLXRpdGxlLXNob3J0IjoiIn0sImlzVGVtcG9yYXJ5IjpmYWxzZX1dfQ==&quot;,&quot;citationItems&quot;:[{&quot;id&quot;:&quot;801f69f8-f5f4-37e1-b882-3bc180946186&quot;,&quot;itemData&quot;:{&quot;type&quot;:&quot;article-journal&quot;,&quot;id&quot;:&quot;801f69f8-f5f4-37e1-b882-3bc180946186&quot;,&quot;title&quot;:&quot;Premonitory Urge and Tic Severity, Comorbidities, and Quality of Life in Chronic Tic Disorders&quot;,&quot;groupId&quot;:&quot;07d62ac1-5aa8-39af-b49e-52d2088ac571&quot;,&quot;author&quot;:[{&quot;family&quot;:&quot;Brandt&quot;,&quot;given&quot;:&quot;V&quot;,&quot;parse-names&quot;:false,&quot;dropping-particle&quot;:&quot;&quot;,&quot;non-dropping-particle&quot;:&quot;&quot;},{&quot;family&quot;:&quot;Essing&quot;,&quot;given&quot;:&quot;J&quot;,&quot;parse-names&quot;:false,&quot;dropping-particle&quot;:&quot;&quot;,&quot;non-dropping-particle&quot;:&quot;&quot;},{&quot;family&quot;:&quot;Jakubovski&quot;,&quot;given&quot;:&quot;E&quot;,&quot;parse-names&quot;:false,&quot;dropping-particle&quot;:&quot;&quot;,&quot;non-dropping-particle&quot;:&quot;&quot;},{&quot;family&quot;:&quot;Müller-Vahl&quot;,&quot;given&quot;:&quot;K&quot;,&quot;parse-names&quot;:false,&quot;dropping-particle&quot;:&quot;&quot;,&quot;non-dropping-particle&quot;:&quot;&quot;}],&quot;container-title&quot;:&quot;Mov Disord Clin Pract&quot;,&quot;DOI&quot;:&quot;10.1002/mdc3.13742&quot;,&quot;PMID&quot;:&quot;37332633&quot;,&quot;issued&quot;:{&quot;date-parts&quot;:[[2023]]},&quot;page&quot;:&quot;922-932&quot;,&quot;abstract&quot;:&quot;BACKGROUND: Tics are intimately associated with premonitory urges (PU) but knowledge about urges is still limited, with small sample sizes often limiting the generalizability of findings. OBJECTIVES: This study addressed the following open questions: (1) is tic severity associated with urge severity, (2) how common is relief, (3) which comorbidities are associated with urges, (4) are urges, tics, and comorbidities associated with lower quality of life, and (5) can complex and simple, motor and vocal tics be differentiated based on PU? METHODS: N = 291 patients who reported a confirmed diagnosis of chronic primary tic disorder (age = 18-65, 24% female) filled out an online survey assessing demographic data, comorbid conditions, location, quality and intensity of PU, as well as quality of life. Every tic was recorded, and whether the patient experienced a PU, the frequency, intensity, and quality of that urge. RESULTS: PU and tic severity were significantly associated, and 85% of urge-related tics were followed by relief. A diagnosis of attention deficit/hyperactivity disorder (ADHD) or depression, female gender, and older age increased the likelihood of experiencing PU, while more obsessive compulsive (OCD) symptoms and younger age were associated with higher urge intensities. PU, complex vocal tics, ADHD, OCD, anxiety, and depression were related to lower quality of life. Motor and vocal, complex and simple tics did not differ regarding PU intensity, frequency, and quality, or relief. CONCLUSIONS: The results shed light on the relationship between PU, tics, comorbidities, age, gender, and quality of life in tic disorders.&quot;,&quot;issue&quot;:&quot;6&quot;,&quot;volume&quot;:&quot;10&quot;,&quot;container-title-short&quot;:&quot;&quot;},&quot;isTemporary&quot;:false}]},{&quot;citationID&quot;:&quot;MENDELEY_CITATION_b404162d-04f8-4119-9909-2cee45521903&quot;,&quot;properties&quot;:{&quot;noteIndex&quot;:0},&quot;isEdited&quot;:false,&quot;manualOverride&quot;:{&quot;isManuallyOverridden&quot;:false,&quot;citeprocText&quot;:&quot;(40)&quot;,&quot;manualOverrideText&quot;:&quot;&quot;},&quot;citationTag&quot;:&quot;MENDELEY_CITATION_v3_eyJjaXRhdGlvbklEIjoiTUVOREVMRVlfQ0lUQVRJT05fYjQwNDE2MmQtMDRmOC00MTE5LTk5MDktMmNlZTQ1NTIxOTAzIiwicHJvcGVydGllcyI6eyJub3RlSW5kZXgiOjB9LCJpc0VkaXRlZCI6ZmFsc2UsIm1hbnVhbE92ZXJyaWRlIjp7ImlzTWFudWFsbHlPdmVycmlkZGVuIjpmYWxzZSwiY2l0ZXByb2NUZXh0IjoiKDQwKSIsIm1hbnVhbE92ZXJyaWRlVGV4dCI6IiJ9LCJjaXRhdGlvbkl0ZW1zIjpbeyJpZCI6IjliMzhmZmQ3LTc1NjAtMzcwNS1hOWY0LTUyOWNiYWI2NTQ2ZiIsIml0ZW1EYXRhIjp7InR5cGUiOiJhcnRpY2xlLWpvdXJuYWwiLCJpZCI6IjliMzhmZmQ3LTc1NjAtMzcwNS1hOWY0LTUyOWNiYWI2NTQ2ZiIsInRpdGxlIjoiTm9uLWp1c3QtcmlnaHQgZXhwZXJpZW5jZXMgYXJlIG1vcmUgY2xvc2VseSByZWxhdGVkIHRvIE9DRCB0aGFuIHRpY3MgaW4gVG91cmV0dGUgcGF0aWVudHMiLCJncm91cElkIjoiMDdkNjJhYzEtNWFhOC0zOWFmLWI0OWUtNTJkMjA4OGFjNTcxIiwiYXV0aG9yIjpbeyJmYW1pbHkiOiJCcmFuZHQiLCJnaXZlbiI6IlYiLCJwYXJzZS1uYW1lcyI6ZmFsc2UsImRyb3BwaW5nLXBhcnRpY2xlIjoiIiwibm9uLWRyb3BwaW5nLXBhcnRpY2xlIjoiIn0seyJmYW1pbHkiOiJPdHRlIiwiZ2l2ZW4iOiJKIEgiLCJwYXJzZS1uYW1lcyI6ZmFsc2UsImRyb3BwaW5nLXBhcnRpY2xlIjoiIiwibm9uLWRyb3BwaW5nLXBhcnRpY2xlIjoiIn0seyJmYW1pbHkiOiJGcmVtZXIiLCJnaXZlbiI6IkMiLCJwYXJzZS1uYW1lcyI6ZmFsc2UsImRyb3BwaW5nLXBhcnRpY2xlIjoiIiwibm9uLWRyb3BwaW5nLXBhcnRpY2xlIjoiIn0seyJmYW1pbHkiOiJKYWt1Ym92c2tpIiwiZ2l2ZW4iOiJFIiwicGFyc2UtbmFtZXMiOmZhbHNlLCJkcm9wcGluZy1wYXJ0aWNsZSI6IiIsIm5vbi1kcm9wcGluZy1wYXJ0aWNsZSI6IiJ9LHsiZmFtaWx5IjoiTcO8bGxlci1WYWhsIiwiZ2l2ZW4iOiJLIiwicGFyc2UtbmFtZXMiOmZhbHNlLCJkcm9wcGluZy1wYXJ0aWNsZSI6IiIsIm5vbi1kcm9wcGluZy1wYXJ0aWNsZSI6IiJ9XSwiY29udGFpbmVyLXRpdGxlIjoiU2NpIFJlcCIsIkRPSSI6IjEwLjEwMzgvczQxNTk4LTAyMy0zNzY1OC0wIiwiUE1JRCI6IjM3OTQ5OTMzIiwiaXNzdWVkIjp7ImRhdGUtcGFydHMiOltbMjAyM11dfSwicGFnZSI6IjE5NjI3IiwiYWJzdHJhY3QiOiJDb21wbGV4IHRpY3MgYW5kIG9ic2Vzc2l2ZSBvciBjb21wdWxzaXZlIGJlaGF2aW91ciBjYW4gYmUgZGlmZmljdWx0IHRvIGRpZmZlcmVudGlhdGUgZGlhZ25vc3RpY2FsbHkuIFRoZSBtYWpvcml0eSBvZiBhZHVsdCBwYXRpZW50cyB3aXRoIFRvdXJldHRlIHN5bmRyb21lIHJlcG9ydCBleHBlcmllbmNpbmcgcHJlbW9uaXRvcnkgdXJnZXMgYmVmb3JlIHRpY3MuIFNvbWUgb2YgdGhlc2UgZXhwZXJpZW5jZXMgaGF2ZSBiZWVuIGxpbmtlZCB0byBub24tanVzdC1yaWdodCBleHBlcmllbmNlcyAoTkpSRSksIHdoaWNoIGFyZSBmcmVxdWVudGx5IHJlcG9ydGVkIGJ5IHBhdGllbnRzIHdpdGggb2JzZXNzaXZlLWNvbXB1bHNpdmUgZGlzb3JkZXIgb3IgYmVoYXZpb3VycyAoT0NEL09DQikuIFdlIGFpbWVkIHRvIGFzc2VzcyB3aGV0aGVyIE5KUkUgYXJlIG1vcmUgY2xvc2VseSByZWxhdGVkIHRvIHRpY3MgYW5kIHRpYy1hc3NvY2lhdGVkIHByZW1vbml0b3J5IHVyZ2VzIG9yIHdoZXRoZXIgdGhleSBhcmUgbW9yZSBjbG9zZWx5IGFzc29jaWF0ZWQgd2l0aCBPQ0QuIEEgdG90YWwgb2YgTuKAiT3igIkxMTEgcGF0aWVudHMgKG1lYW4gYWdl4oCJPeKAiTM0Ljc34oCJK+KAiS8tMTIuOTM7IE7igIk94oCJMzcgZmVtYWxlKSB3aXRoIGEgY29uZmlybWVkIGRpYWdub3NpcyBvZiBUb3VyZXR0ZSBzeW5kcm9tZSBjb21wbGV0ZWQgdGhlIHByZW1vbml0b3J5IHVyZ2VzIGZvciB0aWMgZGlzb3JkZXJzIHNjYWxlIChQVVRTKSwgdGhlIHJldmlzZWQgbm9uLWp1c3QtcmlnaHQgZXhwZXJpZW5jZXMgc2NhbGUgKE5KUkUtUVIpLCBhbmQgcXVlc3Rpb25uYWlyZXMgcmVnYXJkaW5nIHRoZWlyIHRpYyBzZXZlcml0eSwgYW5kIGNvbW9yYmlkIE9DRC9PQ0IuIEEgbXVsdGktdHJhaXQtbXVsdGktbWV0aG9kcyBtYXRyaXggd2FzIGNhbGN1bGF0ZWQgdG8gZXhhbWluZSBhc3NvY2lhdGlvbnMgYW1vbmdzdCBzY2FsZXMgbWVhc3VyaW5nIHRpYy1yZWxhdGVkIGFuZCBPQ0ItcmVsYXRlZCBwaGVub21lbmEuIFRoZSBQVVRTIGNvcnJlbGF0ZWQgb3ZlcmFsbCBoaWdoZXIgd2l0aCB0aWMgcXVlc3Rpb25uYWlyZXMgdGhhbiB3aXRoIE9DRC9PQ0IgcXVlc3Rpb25uYWlyZXMuIFRoZSBOSlJFIGNvcnJlbGF0ZWQgaGlnaGVyIHdpdGggT0NEIHN5bXB0b21zIHRoYW4gd2l0aCB0aWMgc2V2ZXJpdHkuIFRoZSByZXN1bHRzIGluZGljYXRlIHRoYXQgbm9uLWp1c3QtcmlnaHQgZXhwZXJpZW5jZXMgYXJlIG1vcmUgY2xvc2VseSBhc3NvY2lhdGVkIHdpdGggY29tb3JiaWQgT0NCIHRoYW4gd2l0aCB0aWNzIGluIHBhdGllbnRzIHdpdGggVG91cmV0dGUgc3luZHJvbWUuIiwiaXNzdWUiOiIxIiwidm9sdW1lIjoiMTMiLCJjb250YWluZXItdGl0bGUtc2hvcnQiOiIifSwiaXNUZW1wb3JhcnkiOmZhbHNlfV19&quot;,&quot;citationItems&quot;:[{&quot;id&quot;:&quot;9b38ffd7-7560-3705-a9f4-529cbab6546f&quot;,&quot;itemData&quot;:{&quot;type&quot;:&quot;article-journal&quot;,&quot;id&quot;:&quot;9b38ffd7-7560-3705-a9f4-529cbab6546f&quot;,&quot;title&quot;:&quot;Non-just-right experiences are more closely related to OCD than tics in Tourette patients&quot;,&quot;groupId&quot;:&quot;07d62ac1-5aa8-39af-b49e-52d2088ac571&quot;,&quot;author&quot;:[{&quot;family&quot;:&quot;Brandt&quot;,&quot;given&quot;:&quot;V&quot;,&quot;parse-names&quot;:false,&quot;dropping-particle&quot;:&quot;&quot;,&quot;non-dropping-particle&quot;:&quot;&quot;},{&quot;family&quot;:&quot;Otte&quot;,&quot;given&quot;:&quot;J H&quot;,&quot;parse-names&quot;:false,&quot;dropping-particle&quot;:&quot;&quot;,&quot;non-dropping-particle&quot;:&quot;&quot;},{&quot;family&quot;:&quot;Fremer&quot;,&quot;given&quot;:&quot;C&quot;,&quot;parse-names&quot;:false,&quot;dropping-particle&quot;:&quot;&quot;,&quot;non-dropping-particle&quot;:&quot;&quot;},{&quot;family&quot;:&quot;Jakubovski&quot;,&quot;given&quot;:&quot;E&quot;,&quot;parse-names&quot;:false,&quot;dropping-particle&quot;:&quot;&quot;,&quot;non-dropping-particle&quot;:&quot;&quot;},{&quot;family&quot;:&quot;Müller-Vahl&quot;,&quot;given&quot;:&quot;K&quot;,&quot;parse-names&quot;:false,&quot;dropping-particle&quot;:&quot;&quot;,&quot;non-dropping-particle&quot;:&quot;&quot;}],&quot;container-title&quot;:&quot;Sci Rep&quot;,&quot;DOI&quot;:&quot;10.1038/s41598-023-37658-0&quot;,&quot;PMID&quot;:&quot;37949933&quot;,&quot;issued&quot;:{&quot;date-parts&quot;:[[2023]]},&quot;page&quot;:&quot;19627&quot;,&quot;abstract&quot;:&quot;Complex tics and obsessive or compulsive behaviour can be difficult to differentiate diagnostically. The majority of adult patients with Tourette syndrome report experiencing premonitory urges before tics. Some of these experiences have been linked to non-just-right experiences (NJRE), which are frequently reported by patients with obsessive-compulsive disorder or behaviours (OCD/OCB). We aimed to assess whether NJRE are more closely related to tics and tic-associated premonitory urges or whether they are more closely associated with OCD. A total of N = 111 patients (mean age = 34.77 + /-12.93; N = 37 female) with a confirmed diagnosis of Tourette syndrome completed the premonitory urges for tic disorders scale (PUTS), the revised non-just-right experiences scale (NJRE-QR), and questionnaires regarding their tic severity, and comorbid OCD/OCB. A multi-trait-multi-methods matrix was calculated to examine associations amongst scales measuring tic-related and OCB-related phenomena. The PUTS correlated overall higher with tic questionnaires than with OCD/OCB questionnaires. The NJRE correlated higher with OCD symptoms than with tic severity. The results indicate that non-just-right experiences are more closely associated with comorbid OCB than with tics in patients with Tourette syndrome.&quot;,&quot;issue&quot;:&quot;1&quot;,&quot;volume&quot;:&quot;13&quot;,&quot;container-title-short&quot;:&quot;&quot;},&quot;isTemporary&quot;:false}]},{&quot;citationID&quot;:&quot;MENDELEY_CITATION_22ccf7df-37c3-45a4-8f4e-a534dc475cce&quot;,&quot;properties&quot;:{&quot;noteIndex&quot;:0},&quot;isEdited&quot;:false,&quot;manualOverride&quot;:{&quot;isManuallyOverridden&quot;:false,&quot;citeprocText&quot;:&quot;(31)&quot;,&quot;manualOverrideText&quot;:&quot;&quot;},&quot;citationTag&quot;:&quot;MENDELEY_CITATION_v3_eyJjaXRhdGlvbklEIjoiTUVOREVMRVlfQ0lUQVRJT05fMjJjY2Y3ZGYtMzdjMy00NWE0LThmNGUtYTUzNGRjNDc1Y2NlIiwicHJvcGVydGllcyI6eyJub3RlSW5kZXgiOjB9LCJpc0VkaXRlZCI6ZmFsc2UsIm1hbnVhbE92ZXJyaWRlIjp7ImlzTWFudWFsbHlPdmVycmlkZGVuIjpmYWxzZSwiY2l0ZXByb2NUZXh0IjoiKDMxKSIsIm1hbnVhbE92ZXJyaWRlVGV4dCI6IiJ9LCJjaXRhdGlvbkl0ZW1zIjpbeyJpZCI6ImIwMGNmYjcwLWQ4ZTItM2U4Yi1hZmQxLWRmZjAyYjRkMDEwMCIsIml0ZW1EYXRhIjp7InR5cGUiOiJhcnRpY2xlLWpvdXJuYWwiLCJpZCI6ImIwMGNmYjcwLWQ4ZTItM2U4Yi1hZmQxLWRmZjAyYjRkMDEwMCIsInRpdGxlIjoiQ2xpbmljYWwgQ29ycmVsYXRlcyBvZiBIZWFsdGgtUmVsYXRlZCBRdWFsaXR5IG9mIExpZmUgaW4gQWR1bHRzIFdpdGggQ2hyb25pYyBUaWMgRGlzb3JkZXIiLCJncm91cElkIjoiMDdkNjJhYzEtNWFhOC0zOWFmLWI0OWUtNTJkMjA4OGFjNTcxIiwiYXV0aG9yIjpbeyJmYW1pbHkiOiJJc2FhY3MiLCJnaXZlbiI6IkQgQSIsInBhcnNlLW5hbWVzIjpmYWxzZSwiZHJvcHBpbmctcGFydGljbGUiOiIiLCJub24tZHJvcHBpbmctcGFydGljbGUiOiIifSx7ImZhbWlseSI6IlJpb3JkYW4iLCJnaXZlbiI6IkggUiIsInBhcnNlLW5hbWVzIjpmYWxzZSwiZHJvcHBpbmctcGFydGljbGUiOiIiLCJub24tZHJvcHBpbmctcGFydGljbGUiOiIifSx7ImZhbWlseSI6IkNsYWFzc2VuIiwiZ2l2ZW4iOiJEIE8iLCJwYXJzZS1uYW1lcyI6ZmFsc2UsImRyb3BwaW5nLXBhcnRpY2xlIjoiIiwibm9uLWRyb3BwaW5nLXBhcnRpY2xlIjoiIn1dLCJjb250YWluZXItdGl0bGUiOiJGcm9udGllcnMgaW4gUHN5Y2hpYXRyeSIsIkRPSSI6Imh0dHBzOi8vZHguZG9pLm9yZy8xMC4zMzg5L2Zwc3l0LjIwMjEuNjE5ODU0IiwiVVJMIjoiaHR0cDovL3d3dy5mcm9udGllcnNpbi5vcmcvUHN5Y2hpYXRyeWh0dHA6Ly9vdmlkc3Aub3ZpZC5jb20vb3ZpZHdlYi5jZ2k/VD1KUyZQQUdFPXJlZmVyZW5jZSZEPWVtZWQyMiZORVdTPU4mQU49NjM0NTY3MTM2IiwiaXNzdWVkIjp7ImRhdGUtcGFydHMiOltbMjAyMV1dfSwicGFnZSI6IjYxOTg1NCIsImFic3RyYWN0IjoiVGljcyBhcmUgdGhlIGhhbGxtYXJrIGZlYXR1cmUgb2YgVG91cmV0dGUgc3luZHJvbWUgKFRTKSwgYnV0IHBzeWNoaWF0cmljIGFuZCBzZW5zb3J5IHN5bXB0b21zIGFyZSB3aWRlbHkgcHJldmFsZW50IGFuZCBpbmNyZWFzaW5nbHkgcmVjb2duaXplZCBhcyBjb3JlIG1hbmlmZXN0YXRpb25zIG9mIHRoZSBkaXNvcmRlci4gQWNjdW11bGF0aW5nIGV2aWRlbmNlIHN1Z2dlc3RzIHRoYXQgdGhlc2UgcHN5Y2hpYXRyaWMgYW5kIHNlbnNvcnkgc3ltcHRvbXMgZXhlcnQgZ3JlYXRlciBpbmZsdWVuY2Ugb24gcXVhbGl0eSBvZiBsaWZlIChRT0wpIHRoYW4gdGljcyB0aGVtc2VsdmVzLiBIb3dldmVyLCBtdWNoIHJlbWFpbnMgdW5jZXJ0YWluIGFib3V0IGRldGVybWluYW50cyBvZiBRT0wgaW4gVFMgZHVlIHRvIHRoZSBjb21wbGV4aXR5IG9mIHRoZSBjbGluaWNhbCBwcmVzZW50YXRpb24uIEhlcmUsIHdlIHNvdWdodCB0byBjbGFyaWZ5IHRoZSBhc3NvY2lhdGlvbiBiZXR3ZWVuIGhlYWx0aC1yZWxhdGVkIFFPTCAoSFJRT0wpIGFuZCBjb21tb24gcHN5Y2hpYXRyaWMgYW5kIHNlbnNvcnkgc3ltcHRvbXMgaW4gYWR1bHRzIHdpdGggVFMgYW5kIG90aGVyIGNocm9uaWMgdGljIGRpc29yZGVycy4gVG8gZG8gc28sIHdlIHByb3NwZWN0aXZlbHkgcmVjcnVpdGVkIDUyIHBhdGllbnRzIGZyb20gYSB0ZXJ0aWFyeSBjYXJlIGNsaW5pYyB0byBjb21wbGV0ZSBzZWxmLXJlcG9ydCBtZWFzdXJlcyBhc3Nlc3NpbmcgSFJRT0wgKEdpbGxlcyBkZSBsYSBUb3VyZXR0ZS1RdWFsaXR5IG9mIExpZmUgU2NhbGUsIEdUUy1RT0wpLCBkZXByZXNzaW9uIChQYXRpZW50IEhlYWx0aCBRdWVzdGlvbm5haXJlLTksIFBIUS05KSwgYW54aWV0eSAoR2VuZXJhbGl6ZWQgQW54aWV0eSBEaXNvcmRlciBTY2FsZS03LCBHQUQtNyksIG9ic2Vzc2l2ZS1jb21wdWxzaXZlIHN5bXB0b21zIChEaW1lbnNpb25hbCBPYnNlc3NpdmUtQ29tcHVsc2l2ZSBTY2FsZSwgRE9DUyksIGF0dGVudGlvbiBkZWZpY2l0IGh5cGVyYWN0aXZpdHkgZGlzb3JkZXIgc3ltcHRvbXMgKEFkdWx0IEFESEQgU2VsZi1SZXBvcnQgU2NyZWVuaW5nIFNjYWxlIGZvciBEU00tNSwgQVNSUy1WKSwgYW5kIHByZW1vbml0b3J5IHVyZ2UgKFByZW1vbml0b3J5IFVyZ2UgdG8gVGljIFNjYWxlLCBQVVRTKS4gQWxsIHBhcnRpY2lwYW50cyB3ZXJlIGFsc28gYWRtaW5pc3RlcmVkIHRoZSBZYWxlIEdsb2JhbCBUaWMgU2V2ZXJpdHkgU2NhbGUgKFlHVFNTKSB0byBxdWFudGlmeSB0aWMgc2V2ZXJpdHkuIFVzaW5nIGNvcnJlbGF0aW9uYWwgYW5hbHlzaXMgYW5kIG11bHRpdmFyaWFibGUgbGluZWFyIHJlZ3Jlc3Npb24gbW9kZWxpbmcsIHdlIGZvdW5kIHRoYXQgR1RTLVFPTCBzY29yZSB3YXMgc2lnbmlmaWNhbnRseSBhc3NvY2lhdGVkIHdpdGggc2NvcmVzIGZyb20gYWxsIG90aGVyIHJhdGluZyBzY2FsZXMsIHdpdGggdGhlIGV4Y2VwdGlvbiBvZiB0aGUgUFVUUy4gR1RTLVFPTCB3YXMgbW9zdCBzdHJvbmdseSBhc3NvY2lhdGVkIHdpdGggUEhRLTksIGZvbGxvd2VkIGJ5IEFTUlMtViwgR0FELTcsIERPQ1MsIGFuZCBZR1RTUyB0b3RhbCB0aWMgc2NvcmUuIFRoZSByZWdyZXNzaW9uIG1vZGVsIGluY2x1ZGluZyB0aGVzZSBmaXZlIGluZGVwZW5kZW50IHZhcmlhYmxlcywgYXMgd2VsbCBhcyBzZXgsIGV4cGxhaW5lZCA3OSUgb2YgR1RTLVFPTCBzY29yZSB2YXJpYW5jZSBbRig2LDQwKSA9IDI5LjYsIHAgPCAwLjAwMV0uIFNwZWNpZmljIHBzeWNoaWF0cmljIHN5bXB0b21zIGRpZmZlcmVudGlhbGx5IGltcGFjdGVkIHBoeXNpY2FsLCBwc3ljaG9sb2dpY2FsLCBhbmQgY29nbml0aXZlIEhSUU9MLiBTeXN0ZW1hdGljIGFzc2Vzc21lbnQgb2YgcHN5Y2hpYXRyaWMgY29tb3JiaWRpdGllcyBpcyBpbXBlcmF0aXZlIGZvciBjbGluaWNhbCBjYXJlIGFuZCBjbGluaWNhbCByZXNlYXJjaCBlZmZvcnRzIGRpcmVjdGVkIGF0IGltcHJvdmluZyBRT0wgaW4gYWR1bHRzIHdpdGggY2hyb25pYyB0aWMgZGlzb3JkZXJzLsKpIENvcHlyaWdodCDCqSAyMDIxIElzYWFjcywgUmlvcmRhbiBhbmQgQ2xhYXNzZW4uIiwidm9sdW1lIjoiMTIiLCJjb250YWluZXItdGl0bGUtc2hvcnQiOiJGcm9udCBQc3ljaGlhdHJ5In0sImlzVGVtcG9yYXJ5IjpmYWxzZX1dfQ==&quot;,&quot;citationItems&quot;:[{&quot;id&quot;:&quot;b00cfb70-d8e2-3e8b-afd1-dff02b4d0100&quot;,&quot;itemData&quot;:{&quot;type&quot;:&quot;article-journal&quot;,&quot;id&quot;:&quot;b00cfb70-d8e2-3e8b-afd1-dff02b4d0100&quot;,&quot;title&quot;:&quot;Clinical Correlates of Health-Related Quality of Life in Adults With Chronic Tic Disorder&quot;,&quot;groupId&quot;:&quot;07d62ac1-5aa8-39af-b49e-52d2088ac571&quot;,&quot;author&quot;:[{&quot;family&quot;:&quot;Isaacs&quot;,&quot;given&quot;:&quot;D A&quot;,&quot;parse-names&quot;:false,&quot;dropping-particle&quot;:&quot;&quot;,&quot;non-dropping-particle&quot;:&quot;&quot;},{&quot;family&quot;:&quot;Riordan&quot;,&quot;given&quot;:&quot;H R&quot;,&quot;parse-names&quot;:false,&quot;dropping-particle&quot;:&quot;&quot;,&quot;non-dropping-particle&quot;:&quot;&quot;},{&quot;family&quot;:&quot;Claassen&quot;,&quot;given&quot;:&quot;D O&quot;,&quot;parse-names&quot;:false,&quot;dropping-particle&quot;:&quot;&quot;,&quot;non-dropping-particle&quot;:&quot;&quot;}],&quot;container-title&quot;:&quot;Frontiers in Psychiatry&quot;,&quot;DOI&quot;:&quot;https://dx.doi.org/10.3389/fpsyt.2021.619854&quot;,&quot;URL&quot;:&quot;http://www.frontiersin.org/Psychiatryhttp://ovidsp.ovid.com/ovidweb.cgi?T=JS&amp;PAGE=reference&amp;D=emed22&amp;NEWS=N&amp;AN=634567136&quot;,&quot;issued&quot;:{&quot;date-parts&quot;:[[2021]]},&quot;page&quot;:&quot;619854&quot;,&quot;abstract&quot;:&quot;Tics are the hallmark feature of Tourette syndrome (TS), but psychiatric and sensory symptoms are widely prevalent and increasingly recognized as core manifestations of the disorder. Accumulating evidence suggests that these psychiatric and sensory symptoms exert greater influence on quality of life (QOL) than tics themselves. However, much remains uncertain about determinants of QOL in TS due to the complexity of the clinical presentation. Here, we sought to clarify the association between health-related QOL (HRQOL) and common psychiatric and sensory symptoms in adults with TS and other chronic tic disorders. To do so, we prospectively recruited 52 patients from a tertiary care clinic to complete self-report measures assessing HRQOL (Gilles de la Tourette-Quality of Life Scale, GTS-QOL), depression (Patient Health Questionnaire-9, PHQ-9), anxiety (Generalized Anxiety Disorder Scale-7, GAD-7), obsessive-compulsive symptoms (Dimensional Obsessive-Compulsive Scale, DOCS), attention deficit hyperactivity disorder symptoms (Adult ADHD Self-Report Screening Scale for DSM-5, ASRS-V), and premonitory urge (Premonitory Urge to Tic Scale, PUTS). All participants were also administered the Yale Global Tic Severity Scale (YGTSS) to quantify tic severity. Using correlational analysis and multivariable linear regression modeling, we found that GTS-QOL score was significantly associated with scores from all other rating scales, with the exception of the PUTS. GTS-QOL was most strongly associated with PHQ-9, followed by ASRS-V, GAD-7, DOCS, and YGTSS total tic score. The regression model including these five independent variables, as well as sex, explained 79% of GTS-QOL score variance [F(6,40) = 29.6, p &lt; 0.001]. Specific psychiatric symptoms differentially impacted physical, psychological, and cognitive HRQOL. Systematic assessment of psychiatric comorbidities is imperative for clinical care and clinical research efforts directed at improving QOL in adults with chronic tic disorders.© Copyright © 2021 Isaacs, Riordan and Claassen.&quot;,&quot;volume&quot;:&quot;12&quot;,&quot;container-title-short&quot;:&quot;Front Psychiatry&quot;},&quot;isTemporary&quot;:false}]},{&quot;citationID&quot;:&quot;MENDELEY_CITATION_0eab95a7-d1f0-4df0-9dcb-5f82afacad46&quot;,&quot;properties&quot;:{&quot;noteIndex&quot;:0},&quot;isEdited&quot;:false,&quot;manualOverride&quot;:{&quot;isManuallyOverridden&quot;:false,&quot;citeprocText&quot;:&quot;(35)&quot;,&quot;manualOverrideText&quot;:&quot;&quot;},&quot;citationTag&quot;:&quot;MENDELEY_CITATION_v3_eyJjaXRhdGlvbklEIjoiTUVOREVMRVlfQ0lUQVRJT05fMGVhYjk1YTctZDFmMC00ZGYwLTlkY2ItNWY4MmFmYWNhZDQ2IiwicHJvcGVydGllcyI6eyJub3RlSW5kZXgiOjB9LCJpc0VkaXRlZCI6ZmFsc2UsIm1hbnVhbE92ZXJyaWRlIjp7ImlzTWFudWFsbHlPdmVycmlkZGVuIjpmYWxzZSwiY2l0ZXByb2NUZXh0IjoiKDM1KSIsIm1hbnVhbE92ZXJyaWRlVGV4dCI6IiJ9LCJjaXRhdGlvbkl0ZW1zIjpbeyJpZCI6ImQyNzdlNjY2LTA3NzYtM2JhNS1hOTYyLThhMDdiN2JiYTAxOSIsIml0ZW1EYXRhIjp7InR5cGUiOiJhcnRpY2xlLWpvdXJuYWwiLCJpZCI6ImQyNzdlNjY2LTA3NzYtM2JhNS1hOTYyLThhMDdiN2JiYTAxOSIsInRpdGxlIjoiUHJlbW9uaXRvcnkgdXJnZSB0byB0aWMgaW4gVG91cmV0dGUncyBpcyBhc3NvY2lhdGVkIHdpdGggaW50ZXJvY2VwdGl2ZSBhd2FyZW5lc3MiLCJncm91cElkIjoiMDdkNjJhYzEtNWFhOC0zOWFmLWI0OWUtNTJkMjA4OGFjNTcxIiwiYXV0aG9yIjpbeyJmYW1pbHkiOiJHYW5vcyIsImdpdmVuIjoiQyIsInBhcnNlLW5hbWVzIjpmYWxzZSwiZHJvcHBpbmctcGFydGljbGUiOiIiLCJub24tZHJvcHBpbmctcGFydGljbGUiOiIifSx7ImZhbWlseSI6IkdhcnJpZG8iLCJnaXZlbiI6IkEiLCJwYXJzZS1uYW1lcyI6ZmFsc2UsImRyb3BwaW5nLXBhcnRpY2xlIjoiIiwibm9uLWRyb3BwaW5nLXBhcnRpY2xlIjoiIn0seyJmYW1pbHkiOiJOYXZhbHBvdHJvLUfDs21leiIsImdpdmVuIjoiSSIsInBhcnNlLW5hbWVzIjpmYWxzZSwiZHJvcHBpbmctcGFydGljbGUiOiIiLCJub24tZHJvcHBpbmctcGFydGljbGUiOiIifSx7ImZhbWlseSI6IlJpY2NpYXJkaSIsImdpdmVuIjoiTCIsInBhcnNlLW5hbWVzIjpmYWxzZSwiZHJvcHBpbmctcGFydGljbGUiOiIiLCJub24tZHJvcHBpbmctcGFydGljbGUiOiIifSx7ImZhbWlseSI6Ik1hcnRpbm8iLCJnaXZlbiI6IkQiLCJwYXJzZS1uYW1lcyI6ZmFsc2UsImRyb3BwaW5nLXBhcnRpY2xlIjoiIiwibm9uLWRyb3BwaW5nLXBhcnRpY2xlIjoiIn0seyJmYW1pbHkiOiJFZHdhcmRzIiwiZ2l2ZW4iOiJNIEoiLCJwYXJzZS1uYW1lcyI6ZmFsc2UsImRyb3BwaW5nLXBhcnRpY2xlIjoiIiwibm9uLWRyb3BwaW5nLXBhcnRpY2xlIjoiIn0seyJmYW1pbHkiOiJUc2FraXJpcyIsImdpdmVuIjoiTSIsInBhcnNlLW5hbWVzIjpmYWxzZSwiZHJvcHBpbmctcGFydGljbGUiOiIiLCJub24tZHJvcHBpbmctcGFydGljbGUiOiIifSx7ImZhbWlseSI6IkhhZ2dhcmQiLCJnaXZlbiI6IlAiLCJwYXJzZS1uYW1lcyI6ZmFsc2UsImRyb3BwaW5nLXBhcnRpY2xlIjoiIiwibm9uLWRyb3BwaW5nLXBhcnRpY2xlIjoiIn0seyJmYW1pbHkiOiJCaGF0aWEiLCJnaXZlbiI6IksgUCIsInBhcnNlLW5hbWVzIjpmYWxzZSwiZHJvcHBpbmctcGFydGljbGUiOiIiLCJub24tZHJvcHBpbmctcGFydGljbGUiOiIifV0sImNvbnRhaW5lci10aXRsZSI6Ik1vdiBEaXNvcmQiLCJET0kiOiIxMC4xMDAyL21kcy4yNjIyOCIsIlBNSUQiOiIyNTg3OTgxOSIsIlVSTCI6Imh0dHBzOi8vbW92ZW1lbnRkaXNvcmRlcnMtb25saW5lbGlicmFyeS13aWxleS1jb20ucHJveHkubGlicmFyeS52YW5kZXJiaWx0LmVkdS9kb2kvZnVsbC8xMC4xMDAyL21kcy4yNjIyOCIsImlzc3VlZCI6eyJkYXRlLXBhcnRzIjpbWzIwMTVdXX0sInBhZ2UiOiIxMTk4LTEyMDIiLCJhYnN0cmFjdCI6IkJBQ0tHUk9VTkQ6IEEgY29udHJpYnV0aW9uIG9mIGFiZXJyYW50IGludGVyb2NlcHRpdmUgYXdhcmVuZXNzIHRvIHRoZSBwZXJjZXB0aW9uIG9mIHByZW1vbml0b3J5IHVyZ2VzIGluIEdpbGxlcyBkZSBsYSBUb3VyZXR0ZSBzeW5kcm9tZSAoR1RTKSBoYXMgYmVlbiBoeXBvdGhlc2l6ZWQuIE1FVEhPRFM6IFdlIGFzc2Vzc2VkIGludGVyb2NlcHRpdmUgYXdhcmVuZXNzIGluIDE5IGFkdWx0cyB3aXRoIEdUUyBhbmQgMjUgYWdlLW1hdGNoZWQgaGVhbHRoeSBjb250cm9scyB1c2luZyB0aGUgaGVhcnRiZWF0IGNvdW50aW5nIHRhc2suIFdlIGFsc28gdXNlZCBtdWx0aXBsZSByZWdyZXNzaW9uIHRvIGV4cGxvcmUgd2hldGhlciB0aGUgc2V2ZXJpdHkgb2YgcHJlbW9uaXRvcnkgdXJnZXMgd2FzIHByZWRpY3RlZCBieSBpbnRlcm9jZXB0aXZlIGF3YXJlbmVzcyBvciBzZXZlcml0eSBvZiB0aWNzIGFuZCBvYnNlc3NpdmUtY29tcHVsc2l2ZSBzeW1wdG9tcy4gUkVTVUxUUzogV2Ugb2JzZXJ2ZWQgbG93ZXIgaW50ZXJvY2VwdGl2ZSBhd2FyZW5lc3MgaW4gR1RTIGNvbXBhcmVkIHdpdGggY29udHJvbHMuIEludGVyb2NlcHRpdmUgYXdhcmVuZXNzIHdhcyB0aGUgc3Ryb25nZXN0IHByZWRpY3RvciBvZiBwcmVtb25pdG9yeSB1cmdlcyBpbiBHVFMsIHdpdGggZ3JlYXRlciBpbnRlcm9jZXB0aXZlIGF3YXJlbmVzcyBiZWluZyBhc3NvY2lhdGVkIHdpdGggbW9yZSB1cmdlcy4gR3JlYXRlciB0aWMgc2V2ZXJpdHkgd2FzIGFsc28gYXNzb2NpYXRlZCB3aXRoIGhpZ2hlciByYXRlcyBvZiBwcmVtb25pdG9yeSB1cmdlcy4gQ09OQ0xVU0lPTjogVGhlIG9ic2VydmVkIHJlbGF0aW9uc2hpcCBiZXR3ZWVuIHNldmVyaXR5IG9mIHByZW1vbml0b3J5IHVyZ2VzIGFuZCBpbnRlcm9jZXB0aXZlIGF3YXJlbmVzcyBzdWdnZXN0cyB0aGF0IGludGVyb2NlcHRpb24gbWlnaHQgYmUgaW52b2x2ZWQgaW4gc2VsZi1yZXBvcnRlZCBwcmVtb25pdG9yeSB1cmdlcyBpbiBHVFMuIEhpZ2ggbGV2ZWxzIG9mIGludGVyb2NlcHRpdmUgYXdhcmVuZXNzIG1pZ2h0IHJlZmxlY3QgYSBzZWxmLWF0dGVudGl2ZSBjYXBhY2l0eSB0byBwZXJjZWl2ZSB1cmdlcy4iLCJpc3N1ZSI6IjkiLCJ2b2x1bWUiOiIzMCIsImNvbnRhaW5lci10aXRsZS1zaG9ydCI6IiJ9LCJpc1RlbXBvcmFyeSI6ZmFsc2V9XX0=&quot;,&quot;citationItems&quot;:[{&quot;id&quot;:&quot;d277e666-0776-3ba5-a962-8a07b7bba019&quot;,&quot;itemData&quot;:{&quot;type&quot;:&quot;article-journal&quot;,&quot;id&quot;:&quot;d277e666-0776-3ba5-a962-8a07b7bba019&quot;,&quot;title&quot;:&quot;Premonitory urge to tic in Tourette's is associated with interoceptive awareness&quot;,&quot;groupId&quot;:&quot;07d62ac1-5aa8-39af-b49e-52d2088ac571&quot;,&quot;author&quot;:[{&quot;family&quot;:&quot;Ganos&quot;,&quot;given&quot;:&quot;C&quot;,&quot;parse-names&quot;:false,&quot;dropping-particle&quot;:&quot;&quot;,&quot;non-dropping-particle&quot;:&quot;&quot;},{&quot;family&quot;:&quot;Garrido&quot;,&quot;given&quot;:&quot;A&quot;,&quot;parse-names&quot;:false,&quot;dropping-particle&quot;:&quot;&quot;,&quot;non-dropping-particle&quot;:&quot;&quot;},{&quot;family&quot;:&quot;Navalpotro-Gómez&quot;,&quot;given&quot;:&quot;I&quot;,&quot;parse-names&quot;:false,&quot;dropping-particle&quot;:&quot;&quot;,&quot;non-dropping-particle&quot;:&quot;&quot;},{&quot;family&quot;:&quot;Ricciardi&quot;,&quot;given&quot;:&quot;L&quot;,&quot;parse-names&quot;:false,&quot;dropping-particle&quot;:&quot;&quot;,&quot;non-dropping-particle&quot;:&quot;&quot;},{&quot;family&quot;:&quot;Martino&quot;,&quot;given&quot;:&quot;D&quot;,&quot;parse-names&quot;:false,&quot;dropping-particle&quot;:&quot;&quot;,&quot;non-dropping-particle&quot;:&quot;&quot;},{&quot;family&quot;:&quot;Edwards&quot;,&quot;given&quot;:&quot;M J&quot;,&quot;parse-names&quot;:false,&quot;dropping-particle&quot;:&quot;&quot;,&quot;non-dropping-particle&quot;:&quot;&quot;},{&quot;family&quot;:&quot;Tsakiris&quot;,&quot;given&quot;:&quot;M&quot;,&quot;parse-names&quot;:false,&quot;dropping-particle&quot;:&quot;&quot;,&quot;non-dropping-particle&quot;:&quot;&quot;},{&quot;family&quot;:&quot;Haggard&quot;,&quot;given&quot;:&quot;P&quot;,&quot;parse-names&quot;:false,&quot;dropping-particle&quot;:&quot;&quot;,&quot;non-dropping-particle&quot;:&quot;&quot;},{&quot;family&quot;:&quot;Bhatia&quot;,&quot;given&quot;:&quot;K P&quot;,&quot;parse-names&quot;:false,&quot;dropping-particle&quot;:&quot;&quot;,&quot;non-dropping-particle&quot;:&quot;&quot;}],&quot;container-title&quot;:&quot;Mov Disord&quot;,&quot;DOI&quot;:&quot;10.1002/mds.26228&quot;,&quot;PMID&quot;:&quot;25879819&quot;,&quot;URL&quot;:&quot;https://movementdisorders-onlinelibrary-wiley-com.proxy.library.vanderbilt.edu/doi/full/10.1002/mds.26228&quot;,&quot;issued&quot;:{&quot;date-parts&quot;:[[2015]]},&quot;page&quot;:&quot;1198-1202&quot;,&quot;abstract&quot;:&quot;BACKGROUND: A contribution of aberrant interoceptive awareness to the perception of premonitory urges in Gilles de la Tourette syndrome (GTS) has been hypothesized. METHODS: We assessed interoceptive awareness in 19 adults with GTS and 25 age-matched healthy controls using the heartbeat counting task. We also used multiple regression to explore whether the severity of premonitory urges was predicted by interoceptive awareness or severity of tics and obsessive-compulsive symptoms. RESULTS: We observed lower interoceptive awareness in GTS compared with controls. Interoceptive awareness was the strongest predictor of premonitory urges in GTS, with greater interoceptive awareness being associated with more urges. Greater tic severity was also associated with higher rates of premonitory urges. CONCLUSION: The observed relationship between severity of premonitory urges and interoceptive awareness suggests that interoception might be involved in self-reported premonitory urges in GTS. High levels of interoceptive awareness might reflect a self-attentive capacity to perceive urges.&quot;,&quot;issue&quot;:&quot;9&quot;,&quot;volume&quot;:&quot;30&quot;,&quot;container-title-short&quot;:&quot;&quot;},&quot;isTemporary&quot;:false}]},{&quot;citationID&quot;:&quot;MENDELEY_CITATION_d3a26284-5c96-4761-b457-e4d61094077b&quot;,&quot;properties&quot;:{&quot;noteIndex&quot;:0},&quot;isEdited&quot;:false,&quot;manualOverride&quot;:{&quot;isManuallyOverridden&quot;:false,&quot;citeprocText&quot;:&quot;(14)&quot;,&quot;manualOverrideText&quot;:&quot;&quot;},&quot;citationTag&quot;:&quot;MENDELEY_CITATION_v3_eyJjaXRhdGlvbklEIjoiTUVOREVMRVlfQ0lUQVRJT05fZDNhMjYyODQtNWM5Ni00NzYxLWI0NTctZTRkNjEwOTQwNzdiIiwicHJvcGVydGllcyI6eyJub3RlSW5kZXgiOjB9LCJpc0VkaXRlZCI6ZmFsc2UsIm1hbnVhbE92ZXJyaWRlIjp7ImlzTWFudWFsbHlPdmVycmlkZGVuIjpmYWxzZSwiY2l0ZXByb2NUZXh0IjoiKDE0KSIsIm1hbnVhbE92ZXJyaWRlVGV4dCI6IiJ9LCJjaXRhdGlvbkl0ZW1zIjpbeyJpZCI6IjUzNjI3MWUxLTIxYjAtM2U3MC1iNDdlLWQzMWNjNGZjY2ExNSIsIml0ZW1EYXRhIjp7InR5cGUiOiJhcnRpY2xlLWpvdXJuYWwiLCJpZCI6IjUzNjI3MWUxLTIxYjAtM2U3MC1iNDdlLWQzMWNjNGZjY2ExNSIsInRpdGxlIjoiUmVsYXRpb25zaGlwcyBiZXR3ZWVuIFByZW1vbml0b3J5IFVyZ2UgYW5kIEFueGlldHkgaW4gWW91dGggd2l0aCBDaHJvbmljIFRpYyBEaXNvcmRlcnMiLCJncm91cElkIjoiMDdkNjJhYzEtNWFhOC0zOWFmLWI0OWUtNTJkMjA4OGFjNTcxIiwiYXV0aG9yIjpbeyJmYW1pbHkiOiJSb3plbm1hbiIsImdpdmVuIjoiTSIsInBhcnNlLW5hbWVzIjpmYWxzZSwiZHJvcHBpbmctcGFydGljbGUiOiIiLCJub24tZHJvcHBpbmctcGFydGljbGUiOiIifSx7ImZhbWlseSI6IkpvaG5zb24iLCJnaXZlbiI6Ik8gRSIsInBhcnNlLW5hbWVzIjpmYWxzZSwiZHJvcHBpbmctcGFydGljbGUiOiIiLCJub24tZHJvcHBpbmctcGFydGljbGUiOiIifSx7ImZhbWlseSI6IkNoYW5nIiwiZ2l2ZW4iOiJTIFciLCJwYXJzZS1uYW1lcyI6ZmFsc2UsImRyb3BwaW5nLXBhcnRpY2xlIjoiIiwibm9uLWRyb3BwaW5nLXBhcnRpY2xlIjoiIn0seyJmYW1pbHkiOiJXb29kcyIsImdpdmVuIjoiRCBXIiwicGFyc2UtbmFtZXMiOmZhbHNlLCJkcm9wcGluZy1wYXJ0aWNsZSI6IiIsIm5vbi1kcm9wcGluZy1wYXJ0aWNsZSI6IiJ9LHsiZmFtaWx5IjoiV2Fsa3VwIiwiZ2l2ZW4iOiJKIFQiLCJwYXJzZS1uYW1lcyI6ZmFsc2UsImRyb3BwaW5nLXBhcnRpY2xlIjoiIiwibm9uLWRyb3BwaW5nLXBhcnRpY2xlIjoiIn0seyJmYW1pbHkiOiJXaWxoZWxtIiwiZ2l2ZW4iOiJTIiwicGFyc2UtbmFtZXMiOmZhbHNlLCJkcm9wcGluZy1wYXJ0aWNsZSI6IiIsIm5vbi1kcm9wcGluZy1wYXJ0aWNsZSI6IiJ9LHsiZmFtaWx5IjoiUGV0ZXJzb24iLCJnaXZlbiI6IkEiLCJwYXJzZS1uYW1lcyI6ZmFsc2UsImRyb3BwaW5nLXBhcnRpY2xlIjoiIiwibm9uLWRyb3BwaW5nLXBhcnRpY2xlIjoiIn0seyJmYW1pbHkiOiJTY2FoaWxsIiwiZ2l2ZW4iOiJMIiwicGFyc2UtbmFtZXMiOmZhbHNlLCJkcm9wcGluZy1wYXJ0aWNsZSI6IiIsIm5vbi1kcm9wcGluZy1wYXJ0aWNsZSI6IiJ9LHsiZmFtaWx5IjoiUGlhY2VudGluaSIsImdpdmVuIjoiSiIsInBhcnNlLW5hbWVzIjpmYWxzZSwiZHJvcHBpbmctcGFydGljbGUiOiIiLCJub24tZHJvcHBpbmctcGFydGljbGUiOiIifV0sImNvbnRhaW5lci10aXRsZSI6IkNoaWxkIEhlYWx0aCBDYXJlIiwiRE9JIjoiMTAuMTA4MC8wMjczOTYxNS4yMDE0Ljk4NjMyOCIsIlBNSUQiOiIyNzExMDA1MCIsImlzc3VlZCI6eyJkYXRlLXBhcnRzIjpbWzIwMTVdXX0sInBhZ2UiOiIyMzUtMjQ4IiwiYWJzdHJhY3QiOiJUb3VyZXR0ZSdzIERpc29yZGVyIGFuZCBvdGhlciBjaHJvbmljIHRpYyBkaXNvcmRlcnMgYXJlIGNvbW1vbiBuZXVyb2RldmVsb3BtZW50YWwgY29uZGl0aW9ucy4gT25lIGNoYXJhY3RlcmlzdGljIG9mIHRpYyBkaXNvcmRlcnMgaXMgdGhlIHByZW1vbml0b3J5IHVyZ2UsIGFuIGF2ZXJzaXZlIG9yIHVucGxlYXNhbnQgc2Vuc29yeSBwaGVub21lbm9uIHRoYXQgbWF5IHByZWNlZGUgdGljcy4gSW5pdGlhbCBleGFtaW5hdGlvbiBvZiBwcmVtb25pdG9yeSB1cmdlIGluIHBlZGlhdHJpYyB0aWMgZGlzb3JkZXJzIHN1Z2dlc3RzIHRoYXQgYXdhcmVuZXNzIGFuZCBleHBlcmllbmNlIG9mIHNlbnNhdGlvbnMgcHJlY2VkaW5nIHRpY3MgbWF5IGJlIHJlbGF0ZWQgdG8gYW54aWV0eSBhbmQgT0NELiBIb3dldmVyLCBpdCBtYXkgYmUgcG9zc2libGUgdGhhdCBzcGVjaWZpYyBhbnhpZXR5LXJlbGF0ZWQgc3ltcHRvbXMsIHN1Y2ggYXMgYW54aW91cyBwaHlzaW9sb2dpYyBhcm91c2FsLCBhcmUgcGFydGljdWxhcmx5IHJlbGV2YW50IHRvIHRoZSBleHBlcmllbmNlIG9mIHByZW1vbml0b3J5IHVyZ2UuIFRoZSBjdXJyZW50IHN0dWR5IGV4YW1pbmVzIHJlbGF0aW9uc2hpcHMgYmV0d2VlbiB0aWMtcmVsYXRlZCBwcmVtb25pdG9yeSB1cmdlIGFuZCBhbnhpZXR5LXJlbGF0ZWQgc3ltcHRvbSBjbHVzdGVycyBpbiB0cmVhdG1lbnQtc2Vla2luZyB5b3V0aHMgd2l0aCBhIHByaW1hcnkgZGlhZ25vc2VzIG9mIFRvdXJldHRlJ3Mgb3Igb3RoZXIgY2hyb25pYyB0aWMgZGlzb3JkZXIuIFRoZSBzYW1wbGUgY29uc2lzdGVkIG9mIDEyNCB5b3V0aCwgYWdlcyA5IHRvIDE3LCB3aG8gcGFydGljaXBhdGVkIGluIHRoZSBtdWx0aS1zaXRlIENvbXByZWhlbnNpdmUgQmVoYXZpb3JhbCBJbnRlcnZlbnRpb24gZm9yIFRpY3MgcmFuZG9taXplZCBjb250cm9sbGVkIHRyaWFsIChDQklUOyBQaWFjZW50aW5pIGV0IGFsLiwgMjAxMCkuIFNwZWNpZmljIGFueGlldHktcmVsYXRlZCBzdWJ0eXBlcywgaW5jbHVkaW5nIGdlbmVyYWxpemVkIHdvcnJ5LCBzZXBhcmF0aW9uLCBzb2NpYWwsIGFuZCBwYW5pYy9zb21hdGljIHN5bXB0b21zLCBhcyB3ZWxsIGFzIHNldmVyaXR5IG9mIG9ic2Vzc2lvbnMgYW5kIGNvbXB1bHNpb25zLCB3ZXJlIGFzc2Vzc2VkIGFzIHBvdGVudGlhbCBjb3JyZWxhdGVzIG9mIHByZW1vbml0b3J5IHVyZ2UuIEZpbmRpbmdzIGluZGljYXRlZCB0aGF0IGFnZSwgZ2xvYmFsIHRpYy1yZWxhdGVkIGltcGFpcm1lbnQsIGFuZCBzcGVjaWZpYyBwYW5pYy9zb21hdGljIHN5bXB0b21zIGFjY291bnRlZCBmb3IgYSBzdWJzdGFudGlhbCBwcm9wb3J0aW9uIG9mIHZhcmlhbmNlIGluIHlvdXRoIHJlcG9ydCBvZiBwcmVtb25pdG9yeSB1cmdlLiBUaGVzZSBmaW5kaW5ncyBwcm92aWRlIGluZm9ybWF0aW9uIGFib3V0IHRoZSBjaGFyYWN0ZXJpc3RpY3Mgb2YgcHJlbW9uaXRvcnkgdXJnZSBpbiBwZWRpYXRyaWMgdGljIGRpc29yZGVycywgYW5kIGhhdmUgaW1wbGljYXRpb25zIGZvciB0aGUgdHJlYXRtZW50IG9mIHBlZGlhdHJpYyB0aWMgc3luZHJvbWVzLiIsImlzc3VlIjoiMyIsInZvbHVtZSI6IjQ0IiwiY29udGFpbmVyLXRpdGxlLXNob3J0IjoiIn0sImlzVGVtcG9yYXJ5IjpmYWxzZX1dfQ==&quot;,&quot;citationItems&quot;:[{&quot;id&quot;:&quot;536271e1-21b0-3e70-b47e-d31cc4fcca15&quot;,&quot;itemData&quot;:{&quot;type&quot;:&quot;article-journal&quot;,&quot;id&quot;:&quot;536271e1-21b0-3e70-b47e-d31cc4fcca15&quot;,&quot;title&quot;:&quot;Relationships between Premonitory Urge and Anxiety in Youth with Chronic Tic Disorders&quot;,&quot;groupId&quot;:&quot;07d62ac1-5aa8-39af-b49e-52d2088ac571&quot;,&quot;author&quot;:[{&quot;family&quot;:&quot;Rozenman&quot;,&quot;given&quot;:&quot;M&quot;,&quot;parse-names&quot;:false,&quot;dropping-particle&quot;:&quot;&quot;,&quot;non-dropping-particle&quot;:&quot;&quot;},{&quot;family&quot;:&quot;Johnson&quot;,&quot;given&quot;:&quot;O E&quot;,&quot;parse-names&quot;:false,&quot;dropping-particle&quot;:&quot;&quot;,&quot;non-dropping-particle&quot;:&quot;&quot;},{&quot;family&quot;:&quot;Chang&quot;,&quot;given&quot;:&quot;S W&quot;,&quot;parse-names&quot;:false,&quot;dropping-particle&quot;:&quot;&quot;,&quot;non-dropping-particle&quot;:&quot;&quot;},{&quot;family&quot;:&quot;Woods&quot;,&quot;given&quot;:&quot;D W&quot;,&quot;parse-names&quot;:false,&quot;dropping-particle&quot;:&quot;&quot;,&quot;non-dropping-particle&quot;:&quot;&quot;},{&quot;family&quot;:&quot;Walkup&quot;,&quot;given&quot;:&quot;J T&quot;,&quot;parse-names&quot;:false,&quot;dropping-particle&quot;:&quot;&quot;,&quot;non-dropping-particle&quot;:&quot;&quot;},{&quot;family&quot;:&quot;Wilhelm&quot;,&quot;given&quot;:&quot;S&quot;,&quot;parse-names&quot;:false,&quot;dropping-particle&quot;:&quot;&quot;,&quot;non-dropping-particle&quot;:&quot;&quot;},{&quot;family&quot;:&quot;Peterson&quot;,&quot;given&quot;:&quot;A&quot;,&quot;parse-names&quot;:false,&quot;dropping-particle&quot;:&quot;&quot;,&quot;non-dropping-particle&quot;:&quot;&quot;},{&quot;family&quot;:&quot;Scahill&quot;,&quot;given&quot;:&quot;L&quot;,&quot;parse-names&quot;:false,&quot;dropping-particle&quot;:&quot;&quot;,&quot;non-dropping-particle&quot;:&quot;&quot;},{&quot;family&quot;:&quot;Piacentini&quot;,&quot;given&quot;:&quot;J&quot;,&quot;parse-names&quot;:false,&quot;dropping-particle&quot;:&quot;&quot;,&quot;non-dropping-particle&quot;:&quot;&quot;}],&quot;container-title&quot;:&quot;Child Health Care&quot;,&quot;DOI&quot;:&quot;10.1080/02739615.2014.986328&quot;,&quot;PMID&quot;:&quot;27110050&quot;,&quot;issued&quot;:{&quot;date-parts&quot;:[[2015]]},&quot;page&quot;:&quot;235-248&quot;,&quot;abstract&quot;:&quot;Tourette's Disorder and other chronic tic disorders are common neurodevelopmental conditions. One characteristic of tic disorders is the premonitory urge, an aversive or unpleasant sensory phenomenon that may precede tics. Initial examination of premonitory urge in pediatric tic disorders suggests that awareness and experience of sensations preceding tics may be related to anxiety and OCD. However, it may be possible that specific anxiety-related symptoms, such as anxious physiologic arousal, are particularly relevant to the experience of premonitory urge. The current study examines relationships between tic-related premonitory urge and anxiety-related symptom clusters in treatment-seeking youths with a primary diagnoses of Tourette's or other chronic tic disorder. The sample consisted of 124 youth, ages 9 to 17, who participated in the multi-site Comprehensive Behavioral Intervention for Tics randomized controlled trial (CBIT; Piacentini et al., 2010). Specific anxiety-related subtypes, including generalized worry, separation, social, and panic/somatic symptoms, as well as severity of obsessions and compulsions, were assessed as potential correlates of premonitory urge. Findings indicated that age, global tic-related impairment, and specific panic/somatic symptoms accounted for a substantial proportion of variance in youth report of premonitory urge. These findings provide information about the characteristics of premonitory urge in pediatric tic disorders, and have implications for the treatment of pediatric tic syndromes.&quot;,&quot;issue&quot;:&quot;3&quot;,&quot;volume&quot;:&quot;44&quot;,&quot;container-title-short&quot;:&quot;&quot;},&quot;isTemporary&quot;:false}]},{&quot;citationID&quot;:&quot;MENDELEY_CITATION_f7ae0bd2-b4c7-4cfd-986d-8638b4b6a558&quot;,&quot;properties&quot;:{&quot;noteIndex&quot;:0},&quot;isEdited&quot;:false,&quot;manualOverride&quot;:{&quot;isManuallyOverridden&quot;:false,&quot;citeprocText&quot;:&quot;(48)&quot;,&quot;manualOverrideText&quot;:&quot;&quot;},&quot;citationTag&quot;:&quot;MENDELEY_CITATION_v3_eyJjaXRhdGlvbklEIjoiTUVOREVMRVlfQ0lUQVRJT05fZjdhZTBiZDItYjRjNy00Y2ZkLTk4NmQtODYzOGI0YjZhNTU4IiwicHJvcGVydGllcyI6eyJub3RlSW5kZXgiOjB9LCJpc0VkaXRlZCI6ZmFsc2UsIm1hbnVhbE92ZXJyaWRlIjp7ImlzTWFudWFsbHlPdmVycmlkZGVuIjpmYWxzZSwiY2l0ZXByb2NUZXh0IjoiKDQ4KSIsIm1hbnVhbE92ZXJyaWRlVGV4dCI6IiJ9LCJjaXRhdGlvbkl0ZW1zIjpbeyJpZCI6IjI0OWQwNTdiLWEwYzUtMzI0Zi04MmY1LTY3Y2ZhM2YyZWQ3OCIsIml0ZW1EYXRhIjp7InR5cGUiOiJhcnRpY2xlLWpvdXJuYWwiLCJpZCI6IjI0OWQwNTdiLWEwYzUtMzI0Zi04MmY1LTY3Y2ZhM2YyZWQ3OCIsInRpdGxlIjoiTmV3IGluc2lnaHRzIGludG8gY2xpbmljYWwgY2hhcmFjdGVyaXN0aWNzIG9mIEdpbGxlcyBkZSBsYSBUb3VyZXR0ZSBzeW5kcm9tZTogRmluZGluZ3MgaW4gMTAzMiBwYXRpZW50cyBmcm9tIGEgc2luZ2xlIEdlcm1hbiBjZW50ZXIiLCJncm91cElkIjoiMDdkNjJhYzEtNWFhOC0zOWFmLWI0OWUtNTJkMjA4OGFjNTcxIiwiYXV0aG9yIjpbeyJmYW1pbHkiOiJTYW1icmFuaSIsImdpdmVuIjoiVCIsInBhcnNlLW5hbWVzIjpmYWxzZSwiZHJvcHBpbmctcGFydGljbGUiOiIiLCJub24tZHJvcHBpbmctcGFydGljbGUiOiIifSx7ImZhbWlseSI6Ikpha3Vib3Zza2kiLCJnaXZlbiI6IkUiLCJwYXJzZS1uYW1lcyI6ZmFsc2UsImRyb3BwaW5nLXBhcnRpY2xlIjoiIiwibm9uLWRyb3BwaW5nLXBhcnRpY2xlIjoiIn0seyJmYW1pbHkiOiJNdWxsZXItVmFobCIsImdpdmVuIjoiSyBSIiwicGFyc2UtbmFtZXMiOmZhbHNlLCJkcm9wcGluZy1wYXJ0aWNsZSI6IiIsIm5vbi1kcm9wcGluZy1wYXJ0aWNsZSI6IiJ9XSwiY29udGFpbmVyLXRpdGxlIjoiRnJvbnRpZXJzIGluIE5ldXJvc2NpZW5jZSIsIkRPSSI6Imh0dHBzOi8vZHguZG9pLm9yZy8xMC4zMzg5L2ZuaW5zLjIwMTYuMDA0MTUiLCJVUkwiOiJodHRwOi8vam91cm5hbC5mcm9udGllcnNpbi5vcmcvYXJ0aWNsZS8xMC4zMzg5L2ZuaW5zLjIwMTYuMDA0MTUvZnVsbGh0dHA6Ly9vdmlkc3Aub3ZpZC5jb20vb3ZpZHdlYi5jZ2k/VD1KUyZQQUdFPXJlZmVyZW5jZSZEPWVtZWQxNyZORVdTPU4mQU49NjEyNzkzNjUzIiwiaXNzdWVkIjp7ImRhdGUtcGFydHMiOltbMjAxNl1dfSwicGFnZSI6IjQxNSIsImFic3RyYWN0IjoiQmFja2dyb3VuZDogR2lsbGVzIGRlIGxhIFRvdXJldHRlIHN5bmRyb21lIChUUykgaXMgYSBjb21wbGV4IG5ldXJvcHN5Y2hpYXRyaWMgZGlzb3JkZXIgZGVmaW5lZCBieSB0aGUgcHJlc2VuY2Ugb2YgbW90b3IgYW5kIHBob25pYyB0aWNzLCBidXQgb2Z0ZW4gYXNzb2NpYXRlZCB3aXRoIHBzeWNoaWF0cmljIGNvbW9yYmlkaXRpZXMuIFRoZSBtYWluIG9iamVjdGl2ZSBvZiB0aGlzIHN0dWR5IHdhcyB0byBleHBsb3JlIHRoZSBjbGluaWNhbCBwcmVzZW50YXRpb24gYW5kIGNvbW9yYmlkaXRpZXMgb2YgVFMuIE1ldGhvZChzKTogV2UgYW5hbHl6ZWQgY2xpbmljYWwgZGF0YSBvYnRhaW5lZCBmcm9tIGEgbGFyZ2Ugc2FtcGxlIChuID0gMTAzMjsgNTI5IGNoaWxkcmVuIGFuZCA1MDMgYWR1bHRzKSBvZiBwYXRpZW50cyB3aXRoIHRpYyBkaXNvcmRlcnMgZnJvbSBvbmUgc2luZ2xlIEdlcm1hbiBUUyBjZW50ZXIgYXNzZXNzZWQgYnkgb25lIGludmVzdGlnYXRvci4gRGF0YSB3YXMgY29sbGVjdGVkIHdpdGggdGhlIGhlbHAgb2YgYW4gZXhwZXJ0LXJldmlld2VkIHNlbWktc3RydWN0dXJlZCBpbnRlcnZpZXcsIGRlc2lnbmVkIHRvIGFzc2VzcyB0aWMgc2V2ZXJpdHkgYW5kIGNlcnRhaW4gY29tb3JiaWRpdGllcy4gR3JvdXAgY29tcGFyaXNvbnMgd2VyZSBjYXJyaWVkIG91dCB2aWEgaW5kZXBlbmRlbnQgc2FtcGxlIHQtdGVzdHMgYW5kIGNoaS1zcXVhcmUgdGVzdHMuIFJlc3VsdChzKTogVGhlIG1haW4gZmluZGluZ3Mgb2YgdGhlIHN0dWR5IGFyZTogKDEpIHRpYyBzZXZlcml0eSBpcyBhc3NvY2lhdGVkIHdpdGggdGhlIHByZXNlbmNlIG9mIHByZW1vbml0b3J5IHVyZ2VzIChQVSksIGNvcHJvLSwgZWNoby0sIGFuZCBwYWxpcGhlbm9tZW5hIGFuZCB0aGUgbnVtYmVyIG9mIGNvbW9yYmlkaXRpZXMsIGJ1dCBub3QgYWdlIGF0IHRpYyBvbnNldDsgaXQgaXMgaGlnaGVyIGluIHBhdGllbnRzIHdpdGggY29tb3JiaWQgb2JzZXNzaXZlLWNvbXB1bHNpdmUgZGlzb3JkZXIgKE9DRCkgdGhhbiBpbiBwYXRpZW50cyB3aXRoIGNvbW9yYmlkIGF0dGVudGlvbiBkZWZpY2l0L2h5cGVyYWN0aXZpdHkgZGlzb3JkZXIgKEFESEQpLiAoMikgUFUgd2VyZSBmb3VuZCB0byBiZSBoaWdobHkgYXNzb2NpYXRlZCB3aXRoIFwibm90IGp1c3QgcmlnaHQgZXhwZXJpZW5jZXNcIiBhbmQgdG8gZW1lcmdlIG11Y2ggZWFybGllciB0aGFuIHByZXZpb3VzbHkgdGhvdWdodCBhbG9uZ3NpZGUgd2l0aCB0aGUgYWJpbGl0eSB0byBzdXBwcmVzcyB0aWNzIChQVSBpbiA+IDYwJSBhbmQgc3VwcHJlc3NpYmlsaXR5IGluID4gNzUlIGF0IGFnZSA4LTEwIHllYXJzKS4gKDMpIFNlbGYtaW5qdXJpb3VzIGJlaGF2aW9yIChTSUIpIGlzIGhpZ2hseSBhc3NvY2lhdGVkIHdpdGggY29tcGxleCBtb3RvciB0aWNzIGFuZCBjb3Byb3BoZW5vbWVuYSwgYnV0IG5vdCB3aXRoIE9DRC9vYnNlc3NpdmUtY29tcHVsc2l2ZSBiZWhhdmlvciAoT0NCKS4gV2hpbGUgY29tb3JiaWQgQURIRCBpcyBhc3NvY2lhdGVkIHdpdGggYSBsb3dlciBhYmlsaXR5IHRvIHN1cHByZXNzIHRpY3MsIGNvbW9yYmlkIGRlcHJlc3Npb24gaXMgYXNzb2NpYXRlZCB3aXRoIHNsZWVwaW5nIHByb2JsZW1zLiBEaXNjdXNzaW9uKHMpOiBPdXIgcmVzdWx0cyBkZW1vbnN0cmF0ZSB0aGF0IHRpYyBzZXZlcml0eSBpcyBub3QgaW5mbHVlbmNlZCBieSBhZ2UgYXQgb25zZXQuIEZyb20gb3VyIGRhdGEsIGl0IGlzIHN1Z2dlc3RlZCB0aGF0IFBVIHJlcHJlc2VudCBhIHNwZWNpZmljIHR5cGUgb2YgXCJub3QganVzdCByaWdodCBleHBlcmllbmNlXCIgdGhhdCBpcyBub3QgYSBwcmVyZXF1aXNpdGUgZm9yIHRpYyBzdXBwcmVzc2lvbi4gQ29tb3JiaWQgQURIRCByZWR1Y2VzIHBhdGllbnRzJyBhYmlsaXR5IG9mIHN1Y2Nlc3NmdWwgdGljIHN1cHByZXNzaW9uLiBPdXIgZGF0YSBzdWdnZXN0IHRoYXQgU0lCIGJlbG9uZ3MgdG8gdGhlIGNvcHJvcGhlbm9tZW5hIHNwZWN0cnVtIGFuZCBoZW5jZSBzaG91bGQgYmUgY29uY2VwdHVhbGl6ZWQgYXMgYSBjb21wbGV4IHRpYyByYXRoZXIgdGhhbiBhIGNvbXB1bHNpb24uIEZpbmFsbHksIHRoaXMgc3R1ZHkgc3Ryb25nbHkgc3VwcG9ydHMgdGhlIGh5cG90aGVzaXMgdGhhdCBUUytPQ0QgaXMgYSBtb3JlIHNldmVyZSBmb3JtIG9mIFRTIGFuZCB0aGF0IGNvbW9yYmlkIE9DRC9PQ0IsIGRlcHJlc3Npb24sIGFuZCBhbnhpZXR5IGJlbG9uZyB0byB0aGUgVFMgc3BlY3RydW0sIHdoaWxlIEFESEQgc2hvdWxkIGJlIGJldHRlciBjb25jZXB0dWFsaXplZCBhcyBhIHNlcGFyYXRlIHByb2JsZW0uIENvcHlyaWdodCDCqSAyMDE2IFNhbWJyYW5pLCBKYWt1Ym92c2tpIGFuZCBNdWxsZXItVmFobC4iLCJpc3N1ZSI6IlNFUCIsInZvbHVtZSI6IjEwIiwiY29udGFpbmVyLXRpdGxlLXNob3J0IjoiRnJvbnQgTmV1cm9zY2kifSwiaXNUZW1wb3JhcnkiOmZhbHNlfV19&quot;,&quot;citationItems&quot;:[{&quot;id&quot;:&quot;249d057b-a0c5-324f-82f5-67cfa3f2ed78&quot;,&quot;itemData&quot;:{&quot;type&quot;:&quot;article-journal&quot;,&quot;id&quot;:&quot;249d057b-a0c5-324f-82f5-67cfa3f2ed78&quot;,&quot;title&quot;:&quot;New insights into clinical characteristics of Gilles de la Tourette syndrome: Findings in 1032 patients from a single German center&quot;,&quot;groupId&quot;:&quot;07d62ac1-5aa8-39af-b49e-52d2088ac571&quot;,&quot;author&quot;:[{&quot;family&quot;:&quot;Sambrani&quot;,&quot;given&quot;:&quot;T&quot;,&quot;parse-names&quot;:false,&quot;dropping-particle&quot;:&quot;&quot;,&quot;non-dropping-particle&quot;:&quot;&quot;},{&quot;family&quot;:&quot;Jakubovski&quot;,&quot;given&quot;:&quot;E&quot;,&quot;parse-names&quot;:false,&quot;dropping-particle&quot;:&quot;&quot;,&quot;non-dropping-particle&quot;:&quot;&quot;},{&quot;family&quot;:&quot;Muller-Vahl&quot;,&quot;given&quot;:&quot;K R&quot;,&quot;parse-names&quot;:false,&quot;dropping-particle&quot;:&quot;&quot;,&quot;non-dropping-particle&quot;:&quot;&quot;}],&quot;container-title&quot;:&quot;Frontiers in Neuroscience&quot;,&quot;DOI&quot;:&quot;https://dx.doi.org/10.3389/fnins.2016.00415&quot;,&quot;URL&quot;:&quot;http://journal.frontiersin.org/article/10.3389/fnins.2016.00415/fullhttp://ovidsp.ovid.com/ovidweb.cgi?T=JS&amp;PAGE=reference&amp;D=emed17&amp;NEWS=N&amp;AN=612793653&quot;,&quot;issued&quot;:{&quot;date-parts&quot;:[[2016]]},&quot;page&quot;:&quot;415&quot;,&quot;abstract&quot;:&quot;Background: Gilles de la Tourette syndrome (TS) is a complex neuropsychiatric disorder defined by the presence of motor and phonic tics, but often associated with psychiatric comorbidities. The main objective of this study was to explore the clinical presentation and comorbidities of TS. Method(s): We analyzed clinical data obtained from a large sample (n = 1032; 529 children and 503 adults) of patients with tic disorders from one single German TS center assessed by one investigator. Data was collected with the help of an expert-reviewed semi-structured interview, designed to assess tic severity and certain comorbidities. Group comparisons were carried out via independent sample t-tests and chi-square tests. Result(s): The main findings of the study are: (1) tic severity is associated with the presence of premonitory urges (PU), copro-, echo-, and paliphenomena and the number of comorbidities, but not age at tic onset; it is higher in patients with comorbid obsessive-compulsive disorder (OCD) than in patients with comorbid attention deficit/hyperactivity disorder (ADHD). (2) PU were found to be highly associated with \&quot;not just right experiences\&quot; and to emerge much earlier than previously thought alongside with the ability to suppress tics (PU in &gt; 60% and suppressibility in &gt; 75% at age 8-10 years). (3) Self-injurious behavior (SIB) is highly associated with complex motor tics and coprophenomena, but not with OCD/obsessive-compulsive behavior (OCB). While comorbid ADHD is associated with a lower ability to suppress tics, comorbid depression is associated with sleeping problems. Discussion(s): Our results demonstrate that tic severity is not influenced by age at onset. From our data, it is suggested that PU represent a specific type of \&quot;not just right experience\&quot; that is not a prerequisite for tic suppression. Comorbid ADHD reduces patients' ability of successful tic suppression. Our data suggest that SIB belongs to the coprophenomena spectrum and hence should be conceptualized as a complex tic rather than a compulsion. Finally, this study strongly supports the hypothesis that TS+OCD is a more severe form of TS and that comorbid OCD/OCB, depression, and anxiety belong to the TS spectrum, while ADHD should be better conceptualized as a separate problem. Copyright © 2016 Sambrani, Jakubovski and Muller-Vahl.&quot;,&quot;issue&quot;:&quot;SEP&quot;,&quot;volume&quot;:&quot;10&quot;,&quot;container-title-short&quot;:&quot;Front Neurosci&quot;},&quot;isTemporary&quot;:false}]},{&quot;citationID&quot;:&quot;MENDELEY_CITATION_aab84075-e115-4625-bee7-511622743ef3&quot;,&quot;properties&quot;:{&quot;noteIndex&quot;:0},&quot;isEdited&quot;:false,&quot;manualOverride&quot;:{&quot;isManuallyOverridden&quot;:false,&quot;citeprocText&quot;:&quot;(22)&quot;,&quot;manualOverrideText&quot;:&quot;&quot;},&quot;citationTag&quot;:&quot;MENDELEY_CITATION_v3_eyJjaXRhdGlvbklEIjoiTUVOREVMRVlfQ0lUQVRJT05fYWFiODQwNzUtZTExNS00NjI1LWJlZTctNTExNjIyNzQzZWYzIiwicHJvcGVydGllcyI6eyJub3RlSW5kZXgiOjB9LCJpc0VkaXRlZCI6ZmFsc2UsIm1hbnVhbE92ZXJyaWRlIjp7ImlzTWFudWFsbHlPdmVycmlkZGVuIjpmYWxzZSwiY2l0ZXByb2NUZXh0IjoiKDIyKSIsIm1hbnVhbE92ZXJyaWRlVGV4dCI6IiJ9LCJjaXRhdGlvbkl0ZW1zIjpbeyJpZCI6IjliMzFkMGQzLTg1YjItMzM0Yi05ZmMxLWJkMDA5ZjhkYzUwMiIsIml0ZW1EYXRhIjp7InR5cGUiOiJhcnRpY2xlLWpvdXJuYWwiLCJpZCI6IjliMzFkMGQzLTg1YjItMzM0Yi05ZmMxLWJkMDA5ZjhkYzUwMiIsInRpdGxlIjoiU2Vuc29yeSBnYXRpbmcgc2NhbGVzIGFuZCBwcmVtb25pdG9yeSB1cmdlcyBpbiBUb3VyZXR0ZSBzeW5kcm9tZSIsImdyb3VwSWQiOiIwN2Q2MmFjMS01YWE4LTM5YWYtYjQ5ZS01MmQyMDg4YWM1NzEiLCJhdXRob3IiOlt7ImZhbWlseSI6IlN1dGhlcmxhbmQgT3dlbnMiLCJnaXZlbiI6IkEgTiIsInBhcnNlLW5hbWVzIjpmYWxzZSwiZHJvcHBpbmctcGFydGljbGUiOiIiLCJub24tZHJvcHBpbmctcGFydGljbGUiOiIifSx7ImZhbWlseSI6Ik1pZ3VlbCIsImdpdmVuIjoiRSBDIiwicGFyc2UtbmFtZXMiOmZhbHNlLCJkcm9wcGluZy1wYXJ0aWNsZSI6IiIsIm5vbi1kcm9wcGluZy1wYXJ0aWNsZSI6IiJ9LHsiZmFtaWx5IjoiU3dlcmRsb3ciLCJnaXZlbiI6Ik4gUiIsInBhcnNlLW5hbWVzIjpmYWxzZSwiZHJvcHBpbmctcGFydGljbGUiOiIiLCJub24tZHJvcHBpbmctcGFydGljbGUiOiIifV0sImNvbnRhaW5lci10aXRsZSI6IlNjaWVudGlmaWNXb3JsZEpvdXJuYWwiLCJET0kiOiIxMC4xMTAwL3Rzdy4yMDExLjU3IiwiUE1JRCI6IjIxNDQyMTUxIiwiaXNzdWVkIjp7ImRhdGUtcGFydHMiOltbMjAxMV1dfSwicGFnZSI6IjczNi03NDEiLCJhYnN0cmFjdCI6IlNlbnNvcnkgYW5kIHNlbnNvcmltb3RvciBnYXRpbmcgZGVmaWNpdHMgY2hhcmFjdGVyaXplIGJvdGggVG91cmV0dGUgc3luZHJvbWUgKFRTKSBhbmQgc2NoaXpvcGhyZW5pYS4gUHJlbW9uaXRvcnkgdXJnZXMgKFBVKSBpbiBUUyBjYW4gYmUgYXNzZXNzZWQgd2l0aCB0aGUgVW5pdmVyc2l0eSBvZiBTYW8gUGF1bG8gU2Vuc29yeSBQaGVub21lbmEgU2NhbGUgKFVTUC1TUFMpIGFuZCB0aGUgUHJlbW9uaXRvcnkgVXJnZSBmb3IgVGljcyBTY2FsZSAoUFVUUykuIEluIDQwIHN1YmplY3RzIChUUzogbiA9IDE4OyBoZWFsdGh5IGNvbXBhcmlzb24gc3ViamVjdHMgW0hDU106IG4gPSAyMiksIHdlIGV4YW1pbmVkIHRoZSByZWxhdGlvbnNoaXAgYmV0d2VlbiBQVSBzY29yZXMgYW5kIG1lYXN1cmVzIG9mIHNlbnNvcnkgZ2F0aW5nIHVzaW5nIHRoZSBVU1AtU1BTLCBQVVRTLCBTZW5zb3J5IEdhdGluZyBJbnZlbnRvcnkgKFNHSSksIGFuZCBTdHJ1Y3R1cmVkIEludGVydmlldyBmb3IgQXNzZXNzaW5nIFBlcmNlcHR1YWwgQW5vbWFsaWVzIChTSUFQQSksIGFzIHdlbGwgc3ltcHRvbSBzZXZlcml0eSBzY2FsZXMuIFNHSSwgYnV0IG5vdCBTSUFQQSwgc2NvcmVzIHdlcmUgZWxldmF0ZWQgaW4gVFMgc3ViamVjdHMgKHAgPCAwLjAwMDMpLiBJbiBUUyBzdWJqZWN0cywgVVNQLVNQUyBhbmQgUFVUUyBzY29yZXMgY29ycmVsYXRlZCBzaWduaWZpY2FudGx5IHdpdGggZWFjaCBvdGhlciwgYnV0IG5vdCB3aXRoIHRoZSBTR0kgb3IgU0lBUEE7IG5laXRoZXIgUFUgbm9yIHNlbnNvcnkgZ2F0aW5nIHNjYWxlcyBjb3JyZWxhdGVkIHNpZ25pZmljYW50bHkgd2l0aCBzeW1wdG9tIHNldmVyaXR5LiBUUyBzdWJqZWN0cyBlbmRvcnNlIGRpZmZpY3VsdGllcyBpbiBzZW5zb3J5IGdhdGluZyBhbmQgdGhlIFNHSSBtYXkgYmUgdmFsdWFibGUgZm9yIHN0dWR5aW5nIHRoZXNlIGNsaW5pY2FsIHBoZW5vbWVuYS4iLCJ2b2x1bWUiOiIxMSIsImNvbnRhaW5lci10aXRsZS1zaG9ydCI6IiJ9LCJpc1RlbXBvcmFyeSI6ZmFsc2V9XX0=&quot;,&quot;citationItems&quot;:[{&quot;id&quot;:&quot;9b31d0d3-85b2-334b-9fc1-bd009f8dc502&quot;,&quot;itemData&quot;:{&quot;type&quot;:&quot;article-journal&quot;,&quot;id&quot;:&quot;9b31d0d3-85b2-334b-9fc1-bd009f8dc502&quot;,&quot;title&quot;:&quot;Sensory gating scales and premonitory urges in Tourette syndrome&quot;,&quot;groupId&quot;:&quot;07d62ac1-5aa8-39af-b49e-52d2088ac571&quot;,&quot;author&quot;:[{&quot;family&quot;:&quot;Sutherland Owens&quot;,&quot;given&quot;:&quot;A N&quot;,&quot;parse-names&quot;:false,&quot;dropping-particle&quot;:&quot;&quot;,&quot;non-dropping-particle&quot;:&quot;&quot;},{&quot;family&quot;:&quot;Miguel&quot;,&quot;given&quot;:&quot;E C&quot;,&quot;parse-names&quot;:false,&quot;dropping-particle&quot;:&quot;&quot;,&quot;non-dropping-particle&quot;:&quot;&quot;},{&quot;family&quot;:&quot;Swerdlow&quot;,&quot;given&quot;:&quot;N R&quot;,&quot;parse-names&quot;:false,&quot;dropping-particle&quot;:&quot;&quot;,&quot;non-dropping-particle&quot;:&quot;&quot;}],&quot;container-title&quot;:&quot;ScientificWorldJournal&quot;,&quot;DOI&quot;:&quot;10.1100/tsw.2011.57&quot;,&quot;PMID&quot;:&quot;21442151&quot;,&quot;issued&quot;:{&quot;date-parts&quot;:[[2011]]},&quot;page&quot;:&quot;736-741&quot;,&quot;abstract&quot;:&quot;Sensory and sensorimotor gating deficits characterize both Tourette syndrome (TS) and schizophrenia. Premonitory urges (PU) in TS can be assessed with the University of Sao Paulo Sensory Phenomena Scale (USP-SPS) and the Premonitory Urge for Tics Scale (PUTS). In 40 subjects (TS: n = 18; healthy comparison subjects [HCS]: n = 22), we examined the relationship between PU scores and measures of sensory gating using the USP-SPS, PUTS, Sensory Gating Inventory (SGI), and Structured Interview for Assessing Perceptual Anomalies (SIAPA), as well symptom severity scales. SGI, but not SIAPA, scores were elevated in TS subjects (p &lt; 0.0003). In TS subjects, USP-SPS and PUTS scores correlated significantly with each other, but not with the SGI or SIAPA; neither PU nor sensory gating scales correlated significantly with symptom severity. TS subjects endorse difficulties in sensory gating and the SGI may be valuable for studying these clinical phenomena.&quot;,&quot;volume&quot;:&quot;11&quot;,&quot;container-title-short&quot;:&quot;&quot;},&quot;isTemporary&quot;:false}]},{&quot;citationID&quot;:&quot;MENDELEY_CITATION_7f709726-cefe-4e74-8c12-be369062c473&quot;,&quot;properties&quot;:{&quot;noteIndex&quot;:0},&quot;isEdited&quot;:false,&quot;manualOverride&quot;:{&quot;isManuallyOverridden&quot;:false,&quot;citeprocText&quot;:&quot;(11)&quot;,&quot;manualOverrideText&quot;:&quot;&quot;},&quot;citationTag&quot;:&quot;MENDELEY_CITATION_v3_eyJjaXRhdGlvbklEIjoiTUVOREVMRVlfQ0lUQVRJT05fN2Y3MDk3MjYtY2VmZS00ZTc0LThjMTItYmUzNjkwNjJjNDczIiwicHJvcGVydGllcyI6eyJub3RlSW5kZXgiOjB9LCJpc0VkaXRlZCI6ZmFsc2UsIm1hbnVhbE92ZXJyaWRlIjp7ImlzTWFudWFsbHlPdmVycmlkZGVuIjpmYWxzZSwiY2l0ZXByb2NUZXh0IjoiKDExKSIsIm1hbnVhbE92ZXJyaWRlVGV4dCI6IiJ9LCJjaXRhdGlvbkl0ZW1zIjpbeyJpZCI6ImFkZTRmY2VmLTdmOTYtMzkwZC04MDY3LTIwMWQzNGI1ODJhYiIsIml0ZW1EYXRhIjp7InR5cGUiOiJhcnRpY2xlLWpvdXJuYWwiLCJpZCI6ImFkZTRmY2VmLTdmOTYtMzkwZC04MDY3LTIwMWQzNGI1ODJhYiIsInRpdGxlIjoiQ29udmVyZ2VudCB2YWxpZGl0eSBvZiB0aGUgUFVUUyIsImdyb3VwSWQiOiIwN2Q2MmFjMS01YWE4LTM5YWYtYjQ5ZS01MmQyMDg4YWM1NzEiLCJhdXRob3IiOlt7ImZhbWlseSI6IkJyYW5kdCIsImdpdmVuIjoiVmFsZXJpZSBDYXRow6lyaW5lIiwicGFyc2UtbmFtZXMiOmZhbHNlLCJkcm9wcGluZy1wYXJ0aWNsZSI6IiIsIm5vbi1kcm9wcGluZy1wYXJ0aWNsZSI6IiJ9LHsiZmFtaWx5IjoiQmVjayIsImdpdmVuIjoiQ2hyaXN0aWFuIiwicGFyc2UtbmFtZXMiOmZhbHNlLCJkcm9wcGluZy1wYXJ0aWNsZSI6IiIsIm5vbi1kcm9wcGluZy1wYXJ0aWNsZSI6IiJ9LHsiZmFtaWx5IjoiU2FqaW4iLCJnaXZlbiI6IlZhbGVyaWEiLCJwYXJzZS1uYW1lcyI6ZmFsc2UsImRyb3BwaW5nLXBhcnRpY2xlIjoiIiwibm9uLWRyb3BwaW5nLXBhcnRpY2xlIjoiIn0seyJmYW1pbHkiOiJBbmRlcnMiLCJnaXZlbiI6IlNpbGtlIiwicGFyc2UtbmFtZXMiOmZhbHNlLCJkcm9wcGluZy1wYXJ0aWNsZSI6IiIsIm5vbi1kcm9wcGluZy1wYXJ0aWNsZSI6IiJ9LHsiZmFtaWx5IjoiTcO8bmNoYXUiLCJnaXZlbiI6IkFsZXhhbmRlciIsInBhcnNlLW5hbWVzIjpmYWxzZSwiZHJvcHBpbmctcGFydGljbGUiOiIiLCJub24tZHJvcHBpbmctcGFydGljbGUiOiIifV0sImNvbnRhaW5lci10aXRsZSI6IkZyb250aWVycyBpbiBQc3ljaGlhdHJ5IiwiRE9JIjoiMTAuMzM4OS9mcHN5dC4yMDE2LjAwMDUxIiwiSVNTTiI6IjE2NjQwNjQwIiwiaXNzdWVkIjp7ImRhdGUtcGFydHMiOltbMjAxNiw0LDddXX0sImFic3RyYWN0IjoiUHJlbW9uaXRvcnkgdXJnZXMgYXJlIGEgY2FyZGluYWwgZmVhdHVyZSBpbiBHaWxsZXMgZGUgbGEgVG91cmV0dGUgc3luZHJvbWUuIFNldmVyaXR5IG9mIHByZW1vbml0b3J5IHVyZ2VzIGNhbiBiZSBhc3Nlc3NlZCB3aXRoIHRoZSBcIlByZW1vbml0b3J5IFVyZ2UgZm9yIFRpYyBEaXNvcmRlcnMgU2NhbGVcIiAoUFVUUykuIEhvd2V2ZXIsIGNvbnZlcmdlbnQgdmFsaWRpdHkgb2YgdGhlIG1lYXN1cmUgaGFzIGJlZW4gZGlmZmljdWx0IHRvIGFzc2VzcyBkdWUgdG8gdGhlIGxhY2sgb2Ygb3RoZXIgdXJnZSBtZWFzdXJlcy4gV2UgaW52ZXN0aWdhdGVkIHRoZSByZWxhdGlvbnNoaXAgYmV0d2VlbiBhdmVyYWdlIHJlYWwtdGltZSB1cmdlIGludGVuc2l0eSBhc3Nlc3NlZCBieSBhbiBpbi1ob3VzZSBkZXZlbG9wZWQgcmVhbC10aW1lIHVyZ2UgbW9uaXRvciAoUlVNKSwgbWVhc3VyaW5nIHVyZ2UgaW50ZW5zaXR5IGNvbnRpbnVvdXNseSBmb3IgNSBtaW4gb24gYSB2aXN1YWwgYW5hbG9nIHNjYWxlLCBhbmQgZ2VuZXJhbCB1cmdlIGludGVuc2l0eSBhc3Nlc3NlZCBieSB0aGUgUFVUUyBpbiAyMiBhZHVsdCBUb3VyZXR0ZSBwYXRpZW50cyAobWVhbiBhZ2UgMjkuOCDCsSAxMC4zIFNELCAxOSBtYWxlcykuIEFkZGl0aW9uYWxseSwgdW5kZXJseWluZyBmYWN0b3JzIG9mIHByZW1vbml0b3J5IHVyZ2VzIGFzc2Vzc2VkIGJ5IHRoZSBQVVRTIHdlcmUgaW52ZXN0aWdhdGVkIGluIHRoZSBhZHVsdCBzYW1wbGUgdXNpbmcgZmFjdG9yIGFuYWx5c2lzIGFuZCB3ZXJlIHJlcGxpY2F0ZWQgaW4gNDAgY2hpbGRyZW4gYW5kIGFkb2xlc2NlbnRzIGRpYWdub3NlZCB3aXRoIFRvdXJldHRlIHN5bmRyb21lIChtZWFuIGFnZSAxMi4wNSDCsSAyLjgzIFNELCAzMSBtYWxlcykuIENyb25iYWNoJ3MgYSBmb3IgdGhlIFBVVFMgMTAgd2FzIGFjY2VwdGFibGUgKM6xID0gMC43OSkgaW4gdGhlIGFkdWx0IHNhbXBsZS4gQ29udmVyZ2VudCB2YWxpZGl0eSBiZXR3ZWVuIGF2ZXJhZ2UgcmVhbC10aW1lIHVyZ2UgaW50ZW5zaXR5IHNjb3JlcyAoYXMgYXNzZXNzZWQgd2l0aCB0aGUgUlVNKSBhbmQgdGhlIDEwLWl0ZW0gdmVyc2lvbiBvZiB0aGUgUFVUUyAociA9IDAuNjQpIGFuZCB0aGUgOS1pdGVtIHZlcnNpb24gb2YgdGhlIFBVVFMgKHIgPSAwLjY2KSB3YXMgZ29vZC4gQSBmYWN0b3IgYW5hbHlzaXMgaW5jbHVkaW5nIHRoZSAxMCBpdGVtcyBvZiB0aGUgUFVUUyBhbmQgYXZlcmFnZSByZWFsLXRpbWUgdXJnZSBpbnRlbnNpdHkgc2NvcmVzIHJldmVhbGVkIHRocmVlIGZhY3RvcnMuIE9uZSBmYWN0b3IgaW5jbHVkZWQgdGhlIGF2ZXJhZ2UgcmVhbC10aW1lIHVyZ2UgaW50ZW5zaXR5IHNjb3JlIGFuZCBhcHBlYXJlZCB0byBtZWFzdXJlIHVyZ2UgaW50ZW5zaXR5LCB3aGVyZWFzIHRoZSBvdGhlciB0d28gZmFjdG9ycyBjYW4gYmUgYXNzdW1lZCB0byByZWZsZWN0IHRoZSAoc2Vuc29yeSkgcXVhbGl0eSBvZiB1cmdlcyBhbmQgc3ViamVjdGl2ZSBjb250cm9sLCByZXNwZWN0aXZlbHkuIFRoZSBmYWN0b3Igc3RydWN0dXJlIG9mIHRoZSAxMCBQVVRTIGl0ZW1zIGFsb25lIHdhcyByZXBsaWNhdGVkIGluIGEgc2FtcGxlIG9mIGNoaWxkcmVuIGFuZCBhZG9sZXNjZW50cy4gVGhlIHJlc3VsdHMgaW5kaWNhdGUgdGhhdCBjb252ZXJnZW50IHZhbGlkaXR5IGJldHdlZW4gdGhlIFBVVFMgYW5kIHRoZSByZWFsLXRpbWUgdXJnZSBhc3Nlc3NtZW50IG1vbml0b3IgaXMgZ29vZC4gRnVydGhlcm1vcmUsIHRoZSByZXN1bHRzIHN1Z2dlc3QgdGhhdCB0aGUgUFVUUyBtaWdodCBhc3Nlc3MgbW9yZSB0aGFuIG9uZSBkaW1lbnNpb24gb2YgdXJnZXMsIGFuZCBpdCBtYXkgYmUgd29ydGh3aGlsZSBkZXZlbG9waW5nIGRpZmZlcmVudCBzdWJzY2FsZXMgb2YgdGhlIFBVVFMgYXNzZXNzaW5nIHByZW1vbml0b3J5IHVyZ2VzIGluIHRlcm1zIG9mIGludGVuc2l0eSBhbmQgcXVhbGl0eSwgYXMgd2VsbCBhcyBzdWJqZWN0aXZlbHkgZXhwZXJpZW5jZWQgY29udHJvbCBvdmVyIHRpY3MgYW5kIHByZW1vbml0b3J5IHVyZ2VzLiIsInB1Ymxpc2hlciI6IkZyb250aWVycyBSZXNlYXJjaCBGb3VuZGF0aW9uIiwiaXNzdWUiOiJBUFIiLCJ2b2x1bWUiOiI3IiwiY29udGFpbmVyLXRpdGxlLXNob3J0IjoiRnJvbnQgUHN5Y2hpYXRyeSJ9LCJpc1RlbXBvcmFyeSI6ZmFsc2V9XX0=&quot;,&quot;citationItems&quot;:[{&quot;id&quot;:&quot;ade4fcef-7f96-390d-8067-201d34b582ab&quot;,&quot;itemData&quot;:{&quot;type&quot;:&quot;article-journal&quot;,&quot;id&quot;:&quot;ade4fcef-7f96-390d-8067-201d34b582ab&quot;,&quot;title&quot;:&quot;Convergent validity of the PUTS&quot;,&quot;groupId&quot;:&quot;07d62ac1-5aa8-39af-b49e-52d2088ac571&quot;,&quot;author&quot;:[{&quot;family&quot;:&quot;Brandt&quot;,&quot;given&quot;:&quot;Valerie Cathérine&quot;,&quot;parse-names&quot;:false,&quot;dropping-particle&quot;:&quot;&quot;,&quot;non-dropping-particle&quot;:&quot;&quot;},{&quot;family&quot;:&quot;Beck&quot;,&quot;given&quot;:&quot;Christian&quot;,&quot;parse-names&quot;:false,&quot;dropping-particle&quot;:&quot;&quot;,&quot;non-dropping-particle&quot;:&quot;&quot;},{&quot;family&quot;:&quot;Sajin&quot;,&quot;given&quot;:&quot;Valeria&quot;,&quot;parse-names&quot;:false,&quot;dropping-particle&quot;:&quot;&quot;,&quot;non-dropping-particle&quot;:&quot;&quot;},{&quot;family&quot;:&quot;Anders&quot;,&quot;given&quot;:&quot;Silke&quot;,&quot;parse-names&quot;:false,&quot;dropping-particle&quot;:&quot;&quot;,&quot;non-dropping-particle&quot;:&quot;&quot;},{&quot;family&quot;:&quot;Münchau&quot;,&quot;given&quot;:&quot;Alexander&quot;,&quot;parse-names&quot;:false,&quot;dropping-particle&quot;:&quot;&quot;,&quot;non-dropping-particle&quot;:&quot;&quot;}],&quot;container-title&quot;:&quot;Frontiers in Psychiatry&quot;,&quot;DOI&quot;:&quot;10.3389/fpsyt.2016.00051&quot;,&quot;ISSN&quot;:&quot;16640640&quot;,&quot;issued&quot;:{&quot;date-parts&quot;:[[2016,4,7]]},&quot;abstract&quot;:&quot;Premonitory urges are a cardinal feature in Gilles de la Tourette syndrome. Severity of premonitory urges can be assessed with the \&quot;Premonitory Urge for Tic Disorders Scale\&quot; (PUTS). However, convergent validity of the measure has been difficult to assess due to the lack of other urge measures. We investigated the relationship between average real-time urge intensity assessed by an in-house developed real-time urge monitor (RUM), measuring urge intensity continuously for 5 min on a visual analog scale, and general urge intensity assessed by the PUTS in 22 adult Tourette patients (mean age 29.8 ± 10.3 SD, 19 males). Additionally, underlying factors of premonitory urges assessed by the PUTS were investigated in the adult sample using factor analysis and were replicated in 40 children and adolescents diagnosed with Tourette syndrome (mean age 12.05 ± 2.83 SD, 31 males). Cronbach's a for the PUTS 10 was acceptable (α = 0.79) in the adult sample. Convergent validity between average real-time urge intensity scores (as assessed with the RUM) and the 10-item version of the PUTS (r = 0.64) and the 9-item version of the PUTS (r = 0.66) was good. A factor analysis including the 10 items of the PUTS and average real-time urge intensity scores revealed three factors. One factor included the average real-time urge intensity score and appeared to measure urge intensity, whereas the other two factors can be assumed to reflect the (sensory) quality of urges and subjective control, respectively. The factor structure of the 10 PUTS items alone was replicated in a sample of children and adolescents. The results indicate that convergent validity between the PUTS and the real-time urge assessment monitor is good. Furthermore, the results suggest that the PUTS might assess more than one dimension of urges, and it may be worthwhile developing different subscales of the PUTS assessing premonitory urges in terms of intensity and quality, as well as subjectively experienced control over tics and premonitory urges.&quot;,&quot;publisher&quot;:&quot;Frontiers Research Foundation&quot;,&quot;issue&quot;:&quot;APR&quot;,&quot;volume&quot;:&quot;7&quot;,&quot;container-title-short&quot;:&quot;Front Psychiatry&quot;},&quot;isTemporary&quot;:false}]},{&quot;citationID&quot;:&quot;MENDELEY_CITATION_4db2c225-1205-4a12-8b02-58a0f5ed26eb&quot;,&quot;properties&quot;:{&quot;noteIndex&quot;:0},&quot;isEdited&quot;:false,&quot;manualOverride&quot;:{&quot;isManuallyOverridden&quot;:false,&quot;citeprocText&quot;:&quot;(18)&quot;,&quot;manualOverrideText&quot;:&quot;&quot;},&quot;citationTag&quot;:&quot;MENDELEY_CITATION_v3_eyJjaXRhdGlvbklEIjoiTUVOREVMRVlfQ0lUQVRJT05fNGRiMmMyMjUtMTIwNS00YTEyLThiMDItNThhMGY1ZWQyNmViIiwicHJvcGVydGllcyI6eyJub3RlSW5kZXgiOjB9LCJpc0VkaXRlZCI6ZmFsc2UsIm1hbnVhbE92ZXJyaWRlIjp7ImlzTWFudWFsbHlPdmVycmlkZGVuIjpmYWxzZSwiY2l0ZXByb2NUZXh0IjoiKDE4KSIsIm1hbnVhbE92ZXJyaWRlVGV4dCI6IiJ9LCJjaXRhdGlvbkl0ZW1zIjpbeyJpZCI6ImJkZjkyYTRmLWRmZjMtMzNiYS1hZjNmLWY2MmIxYjIxOTgxZiIsIml0ZW1EYXRhIjp7InR5cGUiOiJhcnRpY2xlLWpvdXJuYWwiLCJpZCI6ImJkZjkyYTRmLWRmZjMtMzNiYS1hZjNmLWY2MmIxYjIxOTgxZiIsInRpdGxlIjoiRGV2ZWxvcG1lbnQgb2YgdGhlIEtvcmVhbiBGb3JtIG9mIHRoZSBQcmVtb25pdG9yeSBVcmdlIGZvciBUaWNzIFNjYWxlOiBBIFJlbGlhYmlsaXR5IGFuZCBWYWxpZGl0eSBTdHVkeSIsImdyb3VwSWQiOiIwN2Q2MmFjMS01YWE4LTM5YWYtYjQ5ZS01MmQyMDg4YWM1NzEiLCJhdXRob3IiOlt7ImZhbWlseSI6IktpbSIsImdpdmVuIjoiTSIsInBhcnNlLW5hbWVzIjpmYWxzZSwiZHJvcHBpbmctcGFydGljbGUiOiIiLCJub24tZHJvcHBpbmctcGFydGljbGUiOiIifSx7ImZhbWlseSI6IkNodW5nIiwiZ2l2ZW4iOiJTIEsiLCJwYXJzZS1uYW1lcyI6ZmFsc2UsImRyb3BwaW5nLXBhcnRpY2xlIjoiIiwibm9uLWRyb3BwaW5nLXBhcnRpY2xlIjoiIn0seyJmYW1pbHkiOiJZYW5nIiwiZ2l2ZW4iOiJKIEMiLCJwYXJzZS1uYW1lcyI6ZmFsc2UsImRyb3BwaW5nLXBhcnRpY2xlIjoiIiwibm9uLWRyb3BwaW5nLXBhcnRpY2xlIjoiIn0seyJmYW1pbHkiOiJQYXJrIiwiZ2l2ZW4iOiJKIEkiLCJwYXJzZS1uYW1lcyI6ZmFsc2UsImRyb3BwaW5nLXBhcnRpY2xlIjoiIiwibm9uLWRyb3BwaW5nLXBhcnRpY2xlIjoiIn0seyJmYW1pbHkiOiJOYW0iLCJnaXZlbiI6IlMgSCIsInBhcnNlLW5hbWVzIjpmYWxzZSwiZHJvcHBpbmctcGFydGljbGUiOiIiLCJub24tZHJvcHBpbmctcGFydGljbGUiOiIifSx7ImZhbWlseSI6IlBhcmsiLCJnaXZlbiI6IlQgVyIsInBhcnNlLW5hbWVzIjpmYWxzZSwiZHJvcHBpbmctcGFydGljbGUiOiIiLCJub24tZHJvcHBpbmctcGFydGljbGUiOiIifV0sImNvbnRhaW5lci10aXRsZSI6IlNvYSBDaG9uZ3NvbnlvbiBDaG9uZ3NpbiBVaWhhayIsIkRPSSI6IjEwLjU3NjUvamthY2FwLjIwMDAxMyIsIlBNSUQiOiIzMjY2NTc1OCIsIlVSTCI6Imh0dHBzOi8vd3d3Lm5jYmkubmxtLm5paC5nb3YvcG1jL2FydGljbGVzL1BNQzczNTA1NDUvcGRmL0pLQUNBUC0zMS0xNDYucGRmIiwiaXNzdWVkIjp7ImRhdGUtcGFydHMiOltbMjAyMF1dfSwicGFnZSI6IjE0Ni0xNTMiLCJhYnN0cmFjdCI6Ik9CSkVDVElWRVM6IFRoaXMgc3R1ZHkgYWltZWQgdG8gZXZhbHVhdGUgdGhlIHJlbGlhYmlsaXR5IGFuZCB2YWxpZGl0eSBvZiB0aGUgS29yZWFuIEZvcm0gb2YgdGhlIFByZW1vbml0b3J5IFVyZ2UgZm9yIFRpY3MgU2NhbGUgKEstUFVUUykuIE1FVEhPRFM6IFRoaXJ0eS1laWdodCBwYXRpZW50cyB3aXRoIFRvdXJldHRlJ3MgZGlzb3JkZXIgd2hvIHZpc2l0ZWQgSmVvbmJ1ayBOYXRpb25hbCBVbml2ZXJzaXR5IEhvc3BpdGFsIHdlcmUgYXNzZXNzZWQgd2l0aCB0aGUgSy1QVVRTLiBUb2dldGhlciB3aXRoIHRoZSBQVVRTLCB0aGUgWWFsZSBHbG9iYWwgVGljIFNldmVyaXR5IFNjYWxlIChZR1RTUyksIHRoZSBDaGlsZHJlbidzIFlhbGUtQnJvd24gT2JzZXNzaXZlIENvbXB1bHNpdmUgU2NhbGUgKENZLUJPQ1MpLCB0aGUgYXR0ZW50aW9uLWRlZmljaXQvaHlwZXJhY3Rpdml0eSBkaXNvcmRlciAoQURIRCkgcmF0aW5nIHNjYWxlIChBUlMpLCBhbmQgdGhlIEFkdWx0IEFESEQgU2VsZi1SZXBvcnQgU2NhbGUgKEFTUlMpIHdlcmUgaW1wbGVtZW50ZWQgdG8gZXZhbHVhdGUgY29uY3VycmVudCBhbmQgZGlzY3JpbWluYW50IHZhbGlkaXR5LiBSRVNVTFRTOiBUaGUgaW50ZXJuYWwgY29uc2lzdGVuY3kgb2YgaXRlbXMgb24gdGhlIFBVVFMgd2FzIGhpZ2gsIHdpdGggYSBDcm9uYmFjaCdzIM6xIG9mIDAuNzkuIFRoZSB0ZXN0LXJldGVzdCByZWxpYWJpbGl0eSBvZiB0aGUgUFVUUywgd2hpY2ggd2FzIGFkbWluaXN0ZXJlZCBhdCAyIHdlZWtzIHRvIDIgbW9udGhzIGludGVydmFscywgc2hvd2VkIGhpZ2ggcmVsaWFiaWxpdHkgd2l0aCBhIFBlYXJzb24gY29ycmVsYXRpb24gY29lZmZpY2llbnQgb2YgMC42MC4gVGhlcmUgd2FzIGEgc2lnbmlmaWNhbnQgcG9zaXRpdmUgY29ycmVsYXRpb24gYmV0d2VlbiB0aGUgb3ZlcmFsbCBQVVRTIHNjb3JlIGFuZCB0aGUgWUdUU1Mgc2NvcmUsIHNob3dpbmcgY29uY3VycmVudCB2YWxpZGl0eS4gVGhlcmUgd2FzIG5vIGNvcnJlbGF0aW9uIGJldHdlZW4gdGhlIFBVVFMsIENZLUJPQ1MsIGFuZCBBU1JTIHNjb3JlcywgZGVtb25zdHJhdGluZyB0aGUgZGlzY3JpbWluYW50IHZhbGlkaXR5IG9mIHRoZSBQVVRTLiBGYWN0b3IgYW5hbHlzaXMgZm9yIGNvbnN0cnVjdCB2YWxpZGl0eSByZXZlYWxlZCB0aHJlZSBmYWN0b3JzOiBcInByZXN1bWVkIGZ1bmN0aW9uYWwgcmVsYXRpb25zaGlwIGJldHdlZW4gdGhlIHRpYyBhbmQgdGhlIHVyZ2UgdG8gdGljLFwiIFwidGhlIHF1YWxpdHkgb2YgdGhlIHByZW1vbml0b3J5IHVyZ2UsXCIgYW5kIFwianVzdCByaWdodCBwaGVub21lbmEuXCIgQ09OQ0xVU0lPTjogVGhlIHJlc3VsdHMgb2YgdGhpcyBzdHVkeSBpbmRpY2F0ZSB0aGF0IHRoZSBLLVBVVFMgaXMgYSByZWxpYWJsZSBhbmQgdmFsaWQgc2NhbGUgZm9yIHJhdGluZyBwcmVtb25pdG9yeSB1cmdlIG9mIHRpY3MuIiwiaXNzdWUiOiIzIiwidm9sdW1lIjoiMzEiLCJjb250YWluZXItdGl0bGUtc2hvcnQiOiIifSwiaXNUZW1wb3JhcnkiOmZhbHNlfV19&quot;,&quot;citationItems&quot;:[{&quot;id&quot;:&quot;bdf92a4f-dff3-33ba-af3f-f62b1b21981f&quot;,&quot;itemData&quot;:{&quot;type&quot;:&quot;article-journal&quot;,&quot;id&quot;:&quot;bdf92a4f-dff3-33ba-af3f-f62b1b21981f&quot;,&quot;title&quot;:&quot;Development of the Korean Form of the Premonitory Urge for Tics Scale: A Reliability and Validity Study&quot;,&quot;groupId&quot;:&quot;07d62ac1-5aa8-39af-b49e-52d2088ac571&quot;,&quot;author&quot;:[{&quot;family&quot;:&quot;Kim&quot;,&quot;given&quot;:&quot;M&quot;,&quot;parse-names&quot;:false,&quot;dropping-particle&quot;:&quot;&quot;,&quot;non-dropping-particle&quot;:&quot;&quot;},{&quot;family&quot;:&quot;Chung&quot;,&quot;given&quot;:&quot;S K&quot;,&quot;parse-names&quot;:false,&quot;dropping-particle&quot;:&quot;&quot;,&quot;non-dropping-particle&quot;:&quot;&quot;},{&quot;family&quot;:&quot;Yang&quot;,&quot;given&quot;:&quot;J C&quot;,&quot;parse-names&quot;:false,&quot;dropping-particle&quot;:&quot;&quot;,&quot;non-dropping-particle&quot;:&quot;&quot;},{&quot;family&quot;:&quot;Park&quot;,&quot;given&quot;:&quot;J I&quot;,&quot;parse-names&quot;:false,&quot;dropping-particle&quot;:&quot;&quot;,&quot;non-dropping-particle&quot;:&quot;&quot;},{&quot;family&quot;:&quot;Nam&quot;,&quot;given&quot;:&quot;S H&quot;,&quot;parse-names&quot;:false,&quot;dropping-particle&quot;:&quot;&quot;,&quot;non-dropping-particle&quot;:&quot;&quot;},{&quot;family&quot;:&quot;Park&quot;,&quot;given&quot;:&quot;T W&quot;,&quot;parse-names&quot;:false,&quot;dropping-particle&quot;:&quot;&quot;,&quot;non-dropping-particle&quot;:&quot;&quot;}],&quot;container-title&quot;:&quot;Soa Chongsonyon Chongsin Uihak&quot;,&quot;DOI&quot;:&quot;10.5765/jkacap.200013&quot;,&quot;PMID&quot;:&quot;32665758&quot;,&quot;URL&quot;:&quot;https://www.ncbi.nlm.nih.gov/pmc/articles/PMC7350545/pdf/JKACAP-31-146.pdf&quot;,&quot;issued&quot;:{&quot;date-parts&quot;:[[2020]]},&quot;page&quot;:&quot;146-153&quot;,&quot;abstract&quot;:&quot;OBJECTIVES: This study aimed to evaluate the reliability and validity of the Korean Form of the Premonitory Urge for Tics Scale (K-PUTS). METHODS: Thirty-eight patients with Tourette's disorder who visited Jeonbuk National University Hospital were assessed with the K-PUTS. Together with the PUTS, the Yale Global Tic Severity Scale (YGTSS), the Children's Yale-Brown Obsessive Compulsive Scale (CY-BOCS), the attention-deficit/hyperactivity disorder (ADHD) rating scale (ARS), and the Adult ADHD Self-Report Scale (ASRS) were implemented to evaluate concurrent and discriminant validity. RESULTS: The internal consistency of items on the PUTS was high, with a Cronbach's α of 0.79. The test-retest reliability of the PUTS, which was administered at 2 weeks to 2 months intervals, showed high reliability with a Pearson correlation coefficient of 0.60. There was a significant positive correlation between the overall PUTS score and the YGTSS score, showing concurrent validity. There was no correlation between the PUTS, CY-BOCS, and ASRS scores, demonstrating the discriminant validity of the PUTS. Factor analysis for construct validity revealed three factors: \&quot;presumed functional relationship between the tic and the urge to tic,\&quot; \&quot;the quality of the premonitory urge,\&quot; and \&quot;just right phenomena.\&quot; CONCLUSION: The results of this study indicate that the K-PUTS is a reliable and valid scale for rating premonitory urge of tics.&quot;,&quot;issue&quot;:&quot;3&quot;,&quot;volume&quot;:&quot;31&quot;,&quot;container-title-short&quot;:&quot;&quot;},&quot;isTemporary&quot;:false}]},{&quot;citationID&quot;:&quot;MENDELEY_CITATION_1b35f88d-848d-4fe6-850e-33349d5f3735&quot;,&quot;properties&quot;:{&quot;noteIndex&quot;:0},&quot;isEdited&quot;:false,&quot;manualOverride&quot;:{&quot;isManuallyOverridden&quot;:false,&quot;citeprocText&quot;:&quot;(15)&quot;,&quot;manualOverrideText&quot;:&quot;&quot;},&quot;citationTag&quot;:&quot;MENDELEY_CITATION_v3_eyJjaXRhdGlvbklEIjoiTUVOREVMRVlfQ0lUQVRJT05fMWIzNWY4OGQtODQ4ZC00ZmU2LTg1MGUtMzMzNDlkNWYzNzM1IiwicHJvcGVydGllcyI6eyJub3RlSW5kZXgiOjB9LCJpc0VkaXRlZCI6ZmFsc2UsIm1hbnVhbE92ZXJyaWRlIjp7ImlzTWFudWFsbHlPdmVycmlkZGVuIjpmYWxzZSwiY2l0ZXByb2NUZXh0IjoiKDE1KSIsIm1hbnVhbE92ZXJyaWRlVGV4dCI6IiJ9LCJjaXRhdGlvbkl0ZW1zIjpbeyJpZCI6IjM2OWMxMGM3LTAxNzYtMzQyMS04MmJlLTg4YzAwMGQzMWIyYSIsIml0ZW1EYXRhIjp7InR5cGUiOiJhcnRpY2xlLWpvdXJuYWwiLCJpZCI6IjM2OWMxMGM3LTAxNzYtMzQyMS04MmJlLTg4YzAwMGQzMWIyYSIsInRpdGxlIjoiVGhlIHByZW1vbml0b3J5IHVyZ2UgdG8gdGljOiBtZWFzdXJlbWVudCwgY2hhcmFjdGVyaXN0aWNzLCBhbmQgY29ycmVsYXRlcyBpbiBvbGRlciBhZG9sZXNjZW50cyBhbmQgYWR1bHRzIiwiZ3JvdXBJZCI6IjA3ZDYyYWMxLTVhYTgtMzlhZi1iNDllLTUyZDIwODhhYzU3MSIsImF1dGhvciI6W3siZmFtaWx5IjoiUmVlc2UiLCJnaXZlbiI6IkggRSIsInBhcnNlLW5hbWVzIjpmYWxzZSwiZHJvcHBpbmctcGFydGljbGUiOiIiLCJub24tZHJvcHBpbmctcGFydGljbGUiOiIifSx7ImZhbWlseSI6IlNjYWhpbGwiLCJnaXZlbiI6IkwiLCJwYXJzZS1uYW1lcyI6ZmFsc2UsImRyb3BwaW5nLXBhcnRpY2xlIjoiIiwibm9uLWRyb3BwaW5nLXBhcnRpY2xlIjoiIn0seyJmYW1pbHkiOiJQZXRlcnNvbiIsImdpdmVuIjoiQSBMIiwicGFyc2UtbmFtZXMiOmZhbHNlLCJkcm9wcGluZy1wYXJ0aWNsZSI6IiIsIm5vbi1kcm9wcGluZy1wYXJ0aWNsZSI6IiJ9LHsiZmFtaWx5IjoiQ3Jvd2UiLCJnaXZlbiI6IksiLCJwYXJzZS1uYW1lcyI6ZmFsc2UsImRyb3BwaW5nLXBhcnRpY2xlIjoiIiwibm9uLWRyb3BwaW5nLXBhcnRpY2xlIjoiIn0seyJmYW1pbHkiOiJXb29kcyIsImdpdmVuIjoiRCBXIiwicGFyc2UtbmFtZXMiOmZhbHNlLCJkcm9wcGluZy1wYXJ0aWNsZSI6IiIsIm5vbi1kcm9wcGluZy1wYXJ0aWNsZSI6IiJ9LHsiZmFtaWx5IjoiUGlhY2VudGluaSIsImdpdmVuIjoiSiIsInBhcnNlLW5hbWVzIjpmYWxzZSwiZHJvcHBpbmctcGFydGljbGUiOiIiLCJub24tZHJvcHBpbmctcGFydGljbGUiOiIifSx7ImZhbWlseSI6IldhbGt1cCIsImdpdmVuIjoiSiBUIiwicGFyc2UtbmFtZXMiOmZhbHNlLCJkcm9wcGluZy1wYXJ0aWNsZSI6IiIsIm5vbi1kcm9wcGluZy1wYXJ0aWNsZSI6IiJ9LHsiZmFtaWx5IjoiV2lsaGVsbSIsImdpdmVuIjoiUyIsInBhcnNlLW5hbWVzIjpmYWxzZSwiZHJvcHBpbmctcGFydGljbGUiOiIiLCJub24tZHJvcHBpbmctcGFydGljbGUiOiIifV0sImNvbnRhaW5lci10aXRsZSI6IkJlaGF2IFRoZXIiLCJET0kiOiIxMC4xMDE2L2ouYmV0aC4yMDEzLjA5LjAwMiIsIlBNSUQiOiIyNDQ5MTE5MyIsImlzc3VlZCI6eyJkYXRlLXBhcnRzIjpbWzIwMTRdXX0sInBhZ2UiOiIxNzctMTg2IiwiYWJzdHJhY3QiOiJJbiBhZGRpdGlvbiB0byBtb3RvciBhbmQvb3Igdm9jYWwgdGljcywgbWFueSBpbmRpdmlkdWFscyB3aXRoIFRvdXJldHRlIHN5bmRyb21lIChUUykgb3IgY2hyb25pYyB0aWMgZGlzb3JkZXIgKENURCkgcmVwb3J0IGZyZXF1ZW50LCB1bmNvbWZvcnRhYmxlIHNlbnNvcnkgcGhlbm9tZW5hIHRoYXQgaW1tZWRpYXRlbHkgcHJlY2VkZSB0aGUgdGljcy4gVG8gZGF0ZSwgZXhhbWluYXRpb24gb2YgdGhlc2UgcHJlbW9uaXRvcnkgc2Vuc2F0aW9ucyBvciB1cmdlcyBoYXMgYmVlbiBsaW1pdGVkIGJ5IGluY29uc2lzdGVudCBhc3Nlc3NtZW50IHRvb2xzLiBJbiB0aGlzIHBhcGVyLCB3ZSBleGFtaW5lIHRoZSBwc3ljaG9tZXRyaWMgcHJvcGVydGllcyBvZiBhIG5pbmUtaXRlbSBzZWxmLXJlcG9ydCBtZWFzdXJlLCB0aGUgUHJlbW9uaXRvcnkgVXJnZSB0byBUaWMgU2NhbGUgKFBVVFMpIGFuZCBleGFtaW5lIHRoZSBjaGFyYWN0ZXJpc3RpY3MgYW5kIGNvcnJlbGF0ZXMgb2YgdGhlIHByZW1vbml0b3J5IHVyZ2UgdG8gdGljIGluIGEgY2xpbmljYWwgc2FtcGxlIG9mIDEyMiBvbGRlciBhZG9sZXNjZW50cyBhbmQgYWR1bHRzIHdpdGggVFMgb3IgQ1RELiBUaGUgUFVUUyBkZW1vbnN0cmF0ZWQgYWRlcXVhdGUgaW50ZXJuYWwgY29uc2lzdGVuY3ksIHRlbXBvcmFsIHN0YWJpbGl0eSwgYW5kIGNvbmN1cnJlbnQgdmFsaWRpdHkuIFByZW1vbml0b3J5IHVyZ2VzIHdlcmUgZW5kb3JzZWQgYnkgdGhlIG1ham9yaXR5IG9mIGluZGl2aWR1YWxzLiBNb3N0IGluZGl2aWR1YWxzIHJlcG9ydGVkIHNvbWUgcmVsaWVmIGZyb20gdGhlIHVyZ2VzIGFmdGVyIGNvbXBsZXRpbmcgYSB0aWMgYW5kIGJlaW5nIGFibGUgdG8gc3RvcCB0aGVpciB0aWNzIGV2ZW4gaWYgb25seSB0ZW1wb3JhcmlseS4gRGVncmVlIG9mIHByZW1vbml0b3J5IHVyZ2VzIHdhcyBub3Qgc2lnbmlmaWNhbnRseSBjb3JyZWxhdGVkIHdpdGggYWdlLCBhbmQgd2UgZGlkIG5vdCBvYnNlcnZlIGFueSBnZW5kZXIgZGlmZmVyZW5jZXMuIERlZ3JlZSBvZiBwcmVtb25pdG9yeSB1cmdlcyB3YXMgc2lnbmlmaWNhbnRseSBjb3JyZWxhdGVkIHdpdGggZXN0aW1hdGVkIElRIGFuZCB0aWMgc2V2ZXJpdHksIGJ1dCBub3Qgc2V2ZXJpdHkgb2YgY29tb3JiaWQgb2JzZXNzaXZlLWNvbXB1bHNpdmUgZGlzb3JkZXIgb3IgYXR0ZW50aW9uLWRlZmljaXQgaHlwZXJhY3Rpdml0eSBkaXNvcmRlci4gQWxzbywgaXQgd2FzIG5vdCByZWxhdGVkIHRvIGNvbmNvbWl0YW50IG1lZGljYXRpb24gc3RhdHVzLiBUaGVzZSBmaW5kaW5ncyByZXByZXNlbnQgYW5vdGhlciBzdGVwIGZvcndhcmQgaW4gb3VyIHVuZGVyc3RhbmRpbmcgb2YgdGhlIHByZW1vbml0b3J5IHNlbnNhdGlvbnMgYXNzb2NpYXRlZCB3aXRoIFRTIGFuZCBDVEQuIiwiaXNzdWUiOiIyIiwidm9sdW1lIjoiNDUiLCJjb250YWluZXItdGl0bGUtc2hvcnQiOiIifSwiaXNUZW1wb3JhcnkiOmZhbHNlfV19&quot;,&quot;citationItems&quot;:[{&quot;id&quot;:&quot;369c10c7-0176-3421-82be-88c000d31b2a&quot;,&quot;itemData&quot;:{&quot;type&quot;:&quot;article-journal&quot;,&quot;id&quot;:&quot;369c10c7-0176-3421-82be-88c000d31b2a&quot;,&quot;title&quot;:&quot;The premonitory urge to tic: measurement, characteristics, and correlates in older adolescents and adults&quot;,&quot;groupId&quot;:&quot;07d62ac1-5aa8-39af-b49e-52d2088ac571&quot;,&quot;author&quot;:[{&quot;family&quot;:&quot;Reese&quot;,&quot;given&quot;:&quot;H E&quot;,&quot;parse-names&quot;:false,&quot;dropping-particle&quot;:&quot;&quot;,&quot;non-dropping-particle&quot;:&quot;&quot;},{&quot;family&quot;:&quot;Scahill&quot;,&quot;given&quot;:&quot;L&quot;,&quot;parse-names&quot;:false,&quot;dropping-particle&quot;:&quot;&quot;,&quot;non-dropping-particle&quot;:&quot;&quot;},{&quot;family&quot;:&quot;Peterson&quot;,&quot;given&quot;:&quot;A L&quot;,&quot;parse-names&quot;:false,&quot;dropping-particle&quot;:&quot;&quot;,&quot;non-dropping-particle&quot;:&quot;&quot;},{&quot;family&quot;:&quot;Crowe&quot;,&quot;given&quot;:&quot;K&quot;,&quot;parse-names&quot;:false,&quot;dropping-particle&quot;:&quot;&quot;,&quot;non-dropping-particle&quot;:&quot;&quot;},{&quot;family&quot;:&quot;Woods&quot;,&quot;given&quot;:&quot;D W&quot;,&quot;parse-names&quot;:false,&quot;dropping-particle&quot;:&quot;&quot;,&quot;non-dropping-particle&quot;:&quot;&quot;},{&quot;family&quot;:&quot;Piacentini&quot;,&quot;given&quot;:&quot;J&quot;,&quot;parse-names&quot;:false,&quot;dropping-particle&quot;:&quot;&quot;,&quot;non-dropping-particle&quot;:&quot;&quot;},{&quot;family&quot;:&quot;Walkup&quot;,&quot;given&quot;:&quot;J T&quot;,&quot;parse-names&quot;:false,&quot;dropping-particle&quot;:&quot;&quot;,&quot;non-dropping-particle&quot;:&quot;&quot;},{&quot;family&quot;:&quot;Wilhelm&quot;,&quot;given&quot;:&quot;S&quot;,&quot;parse-names&quot;:false,&quot;dropping-particle&quot;:&quot;&quot;,&quot;non-dropping-particle&quot;:&quot;&quot;}],&quot;container-title&quot;:&quot;Behav Ther&quot;,&quot;DOI&quot;:&quot;10.1016/j.beth.2013.09.002&quot;,&quot;PMID&quot;:&quot;24491193&quot;,&quot;issued&quot;:{&quot;date-parts&quot;:[[2014]]},&quot;page&quot;:&quot;177-186&quot;,&quot;abstract&quot;:&quot;In addition to motor and/or vocal tics, many individuals with Tourette syndrome (TS) or chronic tic disorder (CTD) report frequent, uncomfortable sensory phenomena that immediately precede the tics. To date, examination of these premonitory sensations or urges has been limited by inconsistent assessment tools. In this paper, we examine the psychometric properties of a nine-item self-report measure, the Premonitory Urge to Tic Scale (PUTS) and examine the characteristics and correlates of the premonitory urge to tic in a clinical sample of 122 older adolescents and adults with TS or CTD. The PUTS demonstrated adequate internal consistency, temporal stability, and concurrent validity. Premonitory urges were endorsed by the majority of individuals. Most individuals reported some relief from the urges after completing a tic and being able to stop their tics even if only temporarily. Degree of premonitory urges was not significantly correlated with age, and we did not observe any gender differences. Degree of premonitory urges was significantly correlated with estimated IQ and tic severity, but not severity of comorbid obsessive-compulsive disorder or attention-deficit hyperactivity disorder. Also, it was not related to concomitant medication status. These findings represent another step forward in our understanding of the premonitory sensations associated with TS and CTD.&quot;,&quot;issue&quot;:&quot;2&quot;,&quot;volume&quot;:&quot;45&quot;,&quot;container-title-short&quot;:&quot;&quot;},&quot;isTemporary&quot;:false}]},{&quot;citationID&quot;:&quot;MENDELEY_CITATION_b2aee287-95b8-4629-ad9d-3de4d2a74591&quot;,&quot;properties&quot;:{&quot;noteIndex&quot;:0},&quot;isEdited&quot;:false,&quot;manualOverride&quot;:{&quot;isManuallyOverridden&quot;:false,&quot;citeprocText&quot;:&quot;(2)&quot;,&quot;manualOverrideText&quot;:&quot;&quot;},&quot;citationTag&quot;:&quot;MENDELEY_CITATION_v3_eyJjaXRhdGlvbklEIjoiTUVOREVMRVlfQ0lUQVRJT05fYjJhZWUyODctOTViOC00NjI5LWFkOWQtM2RlNGQyYTc0NTkxIiwicHJvcGVydGllcyI6eyJub3RlSW5kZXgiOjB9LCJpc0VkaXRlZCI6ZmFsc2UsIm1hbnVhbE92ZXJyaWRlIjp7ImlzTWFudWFsbHlPdmVycmlkZGVuIjpmYWxzZSwiY2l0ZXByb2NUZXh0IjoiKDIpIiwibWFudWFsT3ZlcnJpZGVUZXh0IjoiIn0sImNpdGF0aW9uSXRlbXMiOlt7ImlkIjoiNjcyM2VkNzQtMGQ1Ny0zYTZhLWIwMzEtODVkN2Y4N2Q5NTVmIiwiaXRlbURhdGEiOnsidHlwZSI6ImFydGljbGUtam91cm5hbCIsImlkIjoiNjcyM2VkNzQtMGQ1Ny0zYTZhLWIwMzEtODVkN2Y4N2Q5NTVmIiwidGl0bGUiOiJQcmVtb25pdG9yeSBVcmdlIGZvciBUaWNzIFNjYWxlIChQVVRTKTogaW5pdGlhbCBwc3ljaG9tZXRyaWMgcmVzdWx0cyBhbmQgZXhhbWluYXRpb24gb2YgdGhlIHByZW1vbml0b3J5IHVyZ2UgcGhlbm9tZW5vbiBpbiB5b3V0aHMgd2l0aCBUaWMgZGlzb3JkZXJzIiwiZ3JvdXBJZCI6IjA3ZDYyYWMxLTVhYTgtMzlhZi1iNDllLTUyZDIwODhhYzU3MSIsImF1dGhvciI6W3siZmFtaWx5IjoiV29vZHMiLCJnaXZlbiI6IkQgVyIsInBhcnNlLW5hbWVzIjpmYWxzZSwiZHJvcHBpbmctcGFydGljbGUiOiIiLCJub24tZHJvcHBpbmctcGFydGljbGUiOiIifSx7ImZhbWlseSI6IlBpYWNlbnRpbmkiLCJnaXZlbiI6IkoiLCJwYXJzZS1uYW1lcyI6ZmFsc2UsImRyb3BwaW5nLXBhcnRpY2xlIjoiIiwibm9uLWRyb3BwaW5nLXBhcnRpY2xlIjoiIn0seyJmYW1pbHkiOiJIaW1sZSIsImdpdmVuIjoiTSBCIiwicGFyc2UtbmFtZXMiOmZhbHNlLCJkcm9wcGluZy1wYXJ0aWNsZSI6IiIsIm5vbi1kcm9wcGluZy1wYXJ0aWNsZSI6IiJ9LHsiZmFtaWx5IjoiQ2hhbmciLCJnaXZlbiI6IlMiLCJwYXJzZS1uYW1lcyI6ZmFsc2UsImRyb3BwaW5nLXBhcnRpY2xlIjoiIiwibm9uLWRyb3BwaW5nLXBhcnRpY2xlIjoiIn1dLCJjb250YWluZXItdGl0bGUiOiJKIERldiBCZWhhdiBQZWRpYXRyIiwiRE9JIjoiMTAuMTA5Ny8wMDAwNDcwMy0yMDA1MTIwMDAtMDAwMDEiLCJQTUlEIjoiMTYzNDQ2NTQiLCJpc3N1ZWQiOnsiZGF0ZS1wYXJ0cyI6W1syMDA1XV19LCJwYWdlIjoiMzk3LTQwMyIsImFic3RyYWN0IjoiQWx0aG91Z2ggbW90b3IgdGljcyBhbmQvb3Igdm9jYWwgdGljcyBhcmUgdGhlIGRlZmluaW5nIGZlYXR1cmVzIG9mIGNocm9uaWMgdGljIGRpc29yZGVyIChDVEQpIGFuZCBUb3VyZXR0ZSBzeW5kcm9tZSAoVFMpLCBvbGRlciB5b3V0aHMgYW5kIGFkdWx0cyBvZnRlbiByZXBvcnQgdGhlaXIgdGljcyB0byBiZSBwcmVjZWRlZCBieSBhbiB1bnBsZWFzYW50IHNlbnNhdGlvbiBvciBcInByZW1vbml0b3J5IHVyZ2UuXCIgV2hpbGUgcHJlbW9uaXRvcnkgdXJnZSBwaGVub21lbmEgbWF5IHBsYXkgYW4gaW1wb3J0YW50IHJvbGUgaW4gYmVoYXZpb3JhbCBpbnRlcnZlbnRpb25zIGZvciBDVEQvVFMsIHN0YW5kYXJkaXplZCBhc3Nlc3NtZW50cyBmb3IgcHJlbW9uaXRvcnkgdXJnZXMgZG8gbm90IGV4aXN0LiBUaGUgY3VycmVudCBzdHVkeSBvZiA0MiB5b3V0aHMgd2l0aCBUUyBvciBDVEQgcHJlc2VudHMgaW5pdGlhbCBwc3ljaG9tZXRyaWMgZGF0YSBmb3IgYSBuZXcsIGJyaWVmIHNlbGYtcmVwb3J0IHNjYWxlIGRlc2lnbmVkIHRvIG1lYXN1cmUgdGljLXJlbGF0ZWQgcHJlbW9uaXRvcnkgdXJnZXMuIFJlc3VsdHMgc2hvd2VkIHRoYXQgdGhlIFByZW1vbml0b3J5IFVyZ2UgZm9yIFRpY3MgU2NhbGUgKFBVVFMpIHdhcyBpbnRlcm5hbGx5IGNvbnNpc3RlbnQgKGFscGhhID0gLjgxKSBhbmQgdGVtcG9yYWxseSBzdGFibGUgYXQgMSAociA9IDAuNzksIHAgPCAuMDEpIGFuZCAyIChyID0gMC44NiwgcCA8IC4wMSkgd2Vla3MuIFBVVFMgc2NvcmVzIHdlcmUgYWxzbyBjb3JyZWxhdGVkIHdpdGggb3ZlcmFsbCB0aWMgc2V2ZXJpdHkgYXMgbWVhc3VyZWQgYnkgdGhlIFlhbGUgR2xvYmFsIFRpYyBTZXZlcml0eSBTY2FsZSAoWUdUU1M7IHIgPSAwLjMxLCBwIDwgLjA1KSBhbmQgdGhlIFlHVFNTIG51bWJlciAociA9IDAuMzUsIHAgPCAuMDUpLCBjb21wbGV4aXR5IChyID0gMC40OSwgcCA8IC4wMSksIGFuZCBpbnRlcmZlcmVuY2UgKHIgPSAwLjM2LCBwIDwgLjA1KSBzdWJzY2FsZXMuIEZpbmFsbHksIGFuIGV4YW1pbmF0aW9uIG9mIHRoZSBwc3ljaGlhdHJpYyBjb3JyZWxhdGVzIG9mIHRoZSBwcmVtb25pdG9yeSB1cmdlIHBoZW5vbWVub24geWllbGRlZCBzaWduaWZpY2FudCBjb3JyZWxhdGlvbnMgYmV0d2VlbiB0aGUgUFVUUyBhbmQgdGhlIENoaWxkIEJlaGF2aW9yIENoZWNrbGlzdCAoQ0JDTCkgYW54aWV0eS9kZXByZXNzaW9uIChyID0gMC4zMywgcCA8IC4wNSksIGFuZCB3aXRoZHJhd2FsIChyID0gMC4zOCwgcCA8IC4wNSkgc3Vic2NhbGVzIGFzIHdlbGwgYXMgdGhlIENoaWxkcmVuJ3MgWWFsZS1Ccm93biBPYnNlc3NpdmUgQ29tcHVsc2l2ZSBTY2FsZSAoQ1lCT0NTOyByID0gMC4zMSwgcCA8IC4wNSkuIEhvd2V2ZXIsIGEgY3Jvc3Mtc2VjdGlvbmFsIGV4YW1pbmF0aW9uIG9mIHRoZSBkYXRhIHNob3dlZCB0aGF0IHRoZSBwc3ljaG9tZXRyaWMgcHJvcGVydGllcyBvZiB0aGUgUFVUUyB3ZXJlIG5vdCBhY2NlcHRhYmxlIGZvciB5b3V0aHMgMTAgeWVhcnMgb2YgYWdlIGFuZCB5b3VuZ2VyLiBMaWtld2lzZSwgc2lnbmlmaWNhbnQgY29ycmVsYXRpb25zIGZvdW5kIGJldHdlZW4gdGhlIFlHVFNTIHN1YnNjYWxlcywgQ0JDTCBzdWJzY2FsZXMsIENZQk9DUywgYW5kIHRoZSBQVVRTIGRpZCBub3QgZW1lcmdlIGluIHRoaXMgeW91bmdlciBhZ2UgZ3JvdXAuIFRoZSBjbGluaWNhbCBhbmQgdGhlb3JldGljYWwgaW1wbGljYXRpb25zIG9mIHRoZXNlIGZpbmRpbmdzIGFyZSBkaXNjdXNzZWQuIiwiaXNzdWUiOiI2Iiwidm9sdW1lIjoiMjYiLCJjb250YWluZXItdGl0bGUtc2hvcnQiOiIifSwiaXNUZW1wb3JhcnkiOmZhbHNlfV19&quot;,&quot;citationItems&quot;:[{&quot;id&quot;:&quot;6723ed74-0d57-3a6a-b031-85d7f87d955f&quot;,&quot;itemData&quot;:{&quot;type&quot;:&quot;article-journal&quot;,&quot;id&quot;:&quot;6723ed74-0d57-3a6a-b031-85d7f87d955f&quot;,&quot;title&quot;:&quot;Premonitory Urge for Tics Scale (PUTS): initial psychometric results and examination of the premonitory urge phenomenon in youths with Tic disorders&quot;,&quot;groupId&quot;:&quot;07d62ac1-5aa8-39af-b49e-52d2088ac571&quot;,&quot;author&quot;:[{&quot;family&quot;:&quot;Woods&quot;,&quot;given&quot;:&quot;D W&quot;,&quot;parse-names&quot;:false,&quot;dropping-particle&quot;:&quot;&quot;,&quot;non-dropping-particle&quot;:&quot;&quot;},{&quot;family&quot;:&quot;Piacentini&quot;,&quot;given&quot;:&quot;J&quot;,&quot;parse-names&quot;:false,&quot;dropping-particle&quot;:&quot;&quot;,&quot;non-dropping-particle&quot;:&quot;&quot;},{&quot;family&quot;:&quot;Himle&quot;,&quot;given&quot;:&quot;M B&quot;,&quot;parse-names&quot;:false,&quot;dropping-particle&quot;:&quot;&quot;,&quot;non-dropping-particle&quot;:&quot;&quot;},{&quot;family&quot;:&quot;Chang&quot;,&quot;given&quot;:&quot;S&quot;,&quot;parse-names&quot;:false,&quot;dropping-particle&quot;:&quot;&quot;,&quot;non-dropping-particle&quot;:&quot;&quot;}],&quot;container-title&quot;:&quot;J Dev Behav Pediatr&quot;,&quot;DOI&quot;:&quot;10.1097/00004703-200512000-00001&quot;,&quot;PMID&quot;:&quot;16344654&quot;,&quot;issued&quot;:{&quot;date-parts&quot;:[[2005]]},&quot;page&quot;:&quot;397-403&quot;,&quot;abstract&quot;:&quot;Although motor tics and/or vocal tics are the defining features of chronic tic disorder (CTD) and Tourette syndrome (TS), older youths and adults often report their tics to be preceded by an unpleasant sensation or \&quot;premonitory urge.\&quot; While premonitory urge phenomena may play an important role in behavioral interventions for CTD/TS, standardized assessments for premonitory urges do not exist. The current study of 42 youths with TS or CTD presents initial psychometric data for a new, brief self-report scale designed to measure tic-related premonitory urges. Results showed that the Premonitory Urge for Tics Scale (PUTS) was internally consistent (alpha = .81) and temporally stable at 1 (r = 0.79, p &lt; .01) and 2 (r = 0.86, p &lt; .01) weeks. PUTS scores were also correlated with overall tic severity as measured by the Yale Global Tic Severity Scale (YGTSS; r = 0.31, p &lt; .05) and the YGTSS number (r = 0.35, p &lt; .05), complexity (r = 0.49, p &lt; .01), and interference (r = 0.36, p &lt; .05) subscales. Finally, an examination of the psychiatric correlates of the premonitory urge phenomenon yielded significant correlations between the PUTS and the Child Behavior Checklist (CBCL) anxiety/depression (r = 0.33, p &lt; .05), and withdrawal (r = 0.38, p &lt; .05) subscales as well as the Children's Yale-Brown Obsessive Compulsive Scale (CYBOCS; r = 0.31, p &lt; .05). However, a cross-sectional examination of the data showed that the psychometric properties of the PUTS were not acceptable for youths 10 years of age and younger. Likewise, significant correlations found between the YGTSS subscales, CBCL subscales, CYBOCS, and the PUTS did not emerge in this younger age group. The clinical and theoretical implications of these findings are discussed.&quot;,&quot;issue&quot;:&quot;6&quot;,&quot;volume&quot;:&quot;26&quot;,&quot;container-title-short&quot;:&quot;&quot;},&quot;isTemporary&quot;:false}]},{&quot;citationID&quot;:&quot;MENDELEY_CITATION_07caf704-86a5-46f2-a22e-3431050b9257&quot;,&quot;properties&quot;:{&quot;noteIndex&quot;:0},&quot;isEdited&quot;:false,&quot;manualOverride&quot;:{&quot;isManuallyOverridden&quot;:false,&quot;citeprocText&quot;:&quot;(3)&quot;,&quot;manualOverrideText&quot;:&quot;&quot;},&quot;citationTag&quot;:&quot;MENDELEY_CITATION_v3_eyJjaXRhdGlvbklEIjoiTUVOREVMRVlfQ0lUQVRJT05fMDdjYWY3MDQtODZhNS00NmYyLWEyMmUtMzQzMTA1MGI5MjU3IiwicHJvcGVydGllcyI6eyJub3RlSW5kZXgiOjB9LCJpc0VkaXRlZCI6ZmFsc2UsIm1hbnVhbE92ZXJyaWRlIjp7ImlzTWFudWFsbHlPdmVycmlkZGVuIjpmYWxzZSwiY2l0ZXByb2NUZXh0IjoiKDMpIiwibWFudWFsT3ZlcnJpZGVUZXh0IjoiIn0sImNpdGF0aW9uSXRlbXMiOlt7ImlkIjoiODE4ODlmYmUtY2I0Zi0zMTQ2LWJlNWMtY2ViYWRjZjFiZmFhIiwiaXRlbURhdGEiOnsidHlwZSI6ImFydGljbGUtam91cm5hbCIsImlkIjoiODE4ODlmYmUtY2I0Zi0zMTQ2LWJlNWMtY2ViYWRjZjFiZmFhIiwidGl0bGUiOiJUaWMgZGlzb3JkZXJzIGFuZCB0aGUgcHJlbW9uaXRvcnkgdXJnZSIsImdyb3VwSWQiOiIwN2Q2MmFjMS01YWE4LTM5YWYtYjQ5ZS01MmQyMDg4YWM1NzEiLCJhdXRob3IiOlt7ImZhbWlseSI6IlN0ZWluYmVyZyIsImdpdmVuIjoiVCIsInBhcnNlLW5hbWVzIjpmYWxzZSwiZHJvcHBpbmctcGFydGljbGUiOiIiLCJub24tZHJvcHBpbmctcGFydGljbGUiOiIifSx7ImZhbWlseSI6IlNobXVlbCBCYXJ1Y2giLCJnaXZlbiI6IlMiLCJwYXJzZS1uYW1lcyI6ZmFsc2UsImRyb3BwaW5nLXBhcnRpY2xlIjoiIiwibm9uLWRyb3BwaW5nLXBhcnRpY2xlIjoiIn0seyJmYW1pbHkiOiJIYXJ1c2giLCJnaXZlbiI6IkEiLCJwYXJzZS1uYW1lcyI6ZmFsc2UsImRyb3BwaW5nLXBhcnRpY2xlIjoiIiwibm9uLWRyb3BwaW5nLXBhcnRpY2xlIjoiIn0seyJmYW1pbHkiOiJEYXIiLCJnaXZlbiI6IlIiLCJwYXJzZS1uYW1lcyI6ZmFsc2UsImRyb3BwaW5nLXBhcnRpY2xlIjoiIiwibm9uLWRyb3BwaW5nLXBhcnRpY2xlIjoiIn0seyJmYW1pbHkiOiJXb29kcyIsImdpdmVuIjoiRCIsInBhcnNlLW5hbWVzIjpmYWxzZSwiZHJvcHBpbmctcGFydGljbGUiOiIiLCJub24tZHJvcHBpbmctcGFydGljbGUiOiIifSx7ImZhbWlseSI6IlBpYWNlbnRpbmkiLCJnaXZlbiI6IkoiLCJwYXJzZS1uYW1lcyI6ZmFsc2UsImRyb3BwaW5nLXBhcnRpY2xlIjoiIiwibm9uLWRyb3BwaW5nLXBhcnRpY2xlIjoiIn0seyJmYW1pbHkiOiJBcHRlciIsImdpdmVuIjoiQSIsInBhcnNlLW5hbWVzIjpmYWxzZSwiZHJvcHBpbmctcGFydGljbGUiOiIiLCJub24tZHJvcHBpbmctcGFydGljbGUiOiIifV0sImNvbnRhaW5lci10aXRsZSI6IkogTmV1cmFsIFRyYW5zbSAoVmllbm5hKSIsIkRPSSI6IjEwLjEwMDcvczAwNzAyLTAwOS0wMzUzLTMiLCJQTUlEIjoiMjAwMzMyMzYiLCJVUkwiOiJodHRwczovL2xpbmsuc3ByaW5nZXIuY29tL2NvbnRlbnQvcGRmLzEwLjEwMDcvczAwNzAyLTAwOS0wMzUzLTMucGRmIiwiaXNzdWVkIjp7ImRhdGUtcGFydHMiOltbMjAxMF1dfSwicGFnZSI6IjI3Ny0yODQiLCJhYnN0cmFjdCI6IlRoZSBhaW1zIG9mIHRoaXMgc3R1ZHkgd2VyZSB0byBleGFtaW5lIGEgbm9uLUVuZ2xpc2ggKEhlYnJldykgdmVyc2lvbiBvZiBhIHNjYWxlIHRoYXQgbWVhc3VyZXMgdGhlIHByZW1vbml0b3J5IHVyZ2UgaW4gY2hpbGRyZW4gc3VmZmVyaW5nIGZyb20gdGljIGRpc29yZGVyLCBhcyB3ZWxsIGFzIGV4YW1pbmUgdGhlIGNvcnJlbGF0aW9ucyBvZiB0aGUgdXJnZSB3aXRoIGRlbW9ncmFwaGljIGFuZCBjbGluaWNhbCBhc3BlY3RzIG9mIFRvdXJldHRlIFN5bmRyb21lLiBGb3J0eSBjaGlsZHJlbiBhbmQgYWRvbGVzY2VudHMsIHN1ZmZlcmluZyBmcm9tIHRpY3MgcGFydGljaXBhdGVkIGluIHRoaXMgc3R1ZHkuIFRoZXkgd2VyZSBhc3Nlc3NlZCB3aXRoIHRoZSBQcmVtb25pdG9yeSBVcmdlIGZvciBUaWNzIFNjYWxlIChQVVRTKTsgdGhlIFlhbGUgR2xvYmFsIFRpYyBTZXZlcml0eSBTY2FsZSAoWUdUU1MpOyB0aGUgQ2hpbGRob29kIFZlcnNpb24gb2YgdGhlIFlhbGUgQnJvd24gT2JzZXNzaXZlIENvbXB1bHNpdmUgU2NhbGUgKENZQk9DUyk7IHRoZSBBREhEIFJhdGluZyBTY2FsZSBJViAoQ29ubmVycykgU2NhbGU7IHRoZSBTY3JlZW4gZm9yIENoaWxkIEFueGlldHkgUmVsYXRlZCBFbW90aW9uYWwgRGlzb3JkZXJzIChTQ0FSRUQpOyBhbmQgdGhlIENoaWxkIERlcHJlc3Npb24gSW52ZW50b3J5IChDREkpLiBUaGUgbWVhbiBQVVRTIHNjb3JlIHdhcyAyMC4xNSAoU0QgPSA1Ljg5KS4gRm9yIHRoZSBlbnRpcmUgc2FtcGxlIHRoZSBQVVRTIHdhcyBmb3VuZCB0byBiZSBpbnRlcm5hbGx5IGNvbnNpc3RlbnQgYXQgYSA9IDAuNzkuIFlvdXRocyBvbGRlciB0aGFuIDEwIHllYXJzIGhhZCBoaWdoZXIgY29uc2lzdGVuY3kgKGEgPSAwLjgzKSB0aGFuIHlvdXRocyB5b3VuZ2VyIHRoYW4gMTAgKGEgPSAwLjY5KS4gUHJlbW9uaXRvcnkgdXJnZSB3YXMgbm90IGNvcnJlbGF0ZWQgd2l0aCB0aWMgc2V2ZXJpdHkgaW4gdGhlIGVudGlyZSBzYW1wbGUuIEluIHlvdXRocyBvbGRlciB0aGFuIDEwLCBhcyBvcHBvc2VkIHRvIHlvdXRocyB5b3VuZ2VyIHRoYW4gMTAsIHByZW1vbml0b3J5IHVyZ2UgZGlkIGNvcnJlbGF0ZSB3aXRoIG9ic2Vzc2lvbnMsIGNvbXB1bHNpb25zIGFuZCBkZXByZXNzaW9uLCBidXQgbm90IHdpdGggYW54aWV0eSBvciB3aXRoIEFESEQuIFRoZSBwcmVtb25pdG9yeSB1cmdlIGNhbiBiZSBtZWFzdXJlZCByZWxpYWJseSBhbmQgdGhlIFBVVFMgaXMgYSB1c2VmdWwgaW5zdHJ1bWVudCBmb3IgbWVhc3VyaW5nIHRoaXMgaW1wb3J0YW50IHBoZW5vbWVuYS4gUHJlbW9uaXRvcnkgdXJnZXMgc2VlbXMgdG8gYmUgcmVsYXRlZCB0byBvYnNlc3Npb25zLCBjb21wdWxzaW9ucywgYW5kIGRlcHJlc3Npb24gaW4gb2xkZXIgY2hpbGRyZW4gYW5kIHRoaXMgbWF5IGhhdmUgaW1wbGljYXRpb25zIGZvciB0aGUgZGV2ZWxvcG1lbnRhbCBwc3ljaG9wYXRob2xneSBvZiB0aGVzZSBzeW1wdG9tcy4iLCJpc3N1ZSI6IjIiLCJ2b2x1bWUiOiIxMTciLCJjb250YWluZXItdGl0bGUtc2hvcnQiOiIifSwiaXNUZW1wb3JhcnkiOmZhbHNlfV19&quot;,&quot;citationItems&quot;:[{&quot;id&quot;:&quot;81889fbe-cb4f-3146-be5c-cebadcf1bfaa&quot;,&quot;itemData&quot;:{&quot;type&quot;:&quot;article-journal&quot;,&quot;id&quot;:&quot;81889fbe-cb4f-3146-be5c-cebadcf1bfaa&quot;,&quot;title&quot;:&quot;Tic disorders and the premonitory urge&quot;,&quot;groupId&quot;:&quot;07d62ac1-5aa8-39af-b49e-52d2088ac571&quot;,&quot;author&quot;:[{&quot;family&quot;:&quot;Steinberg&quot;,&quot;given&quot;:&quot;T&quot;,&quot;parse-names&quot;:false,&quot;dropping-particle&quot;:&quot;&quot;,&quot;non-dropping-particle&quot;:&quot;&quot;},{&quot;family&quot;:&quot;Shmuel Baruch&quot;,&quot;given&quot;:&quot;S&quot;,&quot;parse-names&quot;:false,&quot;dropping-particle&quot;:&quot;&quot;,&quot;non-dropping-particle&quot;:&quot;&quot;},{&quot;family&quot;:&quot;Harush&quot;,&quot;given&quot;:&quot;A&quot;,&quot;parse-names&quot;:false,&quot;dropping-particle&quot;:&quot;&quot;,&quot;non-dropping-particle&quot;:&quot;&quot;},{&quot;family&quot;:&quot;Dar&quot;,&quot;given&quot;:&quot;R&quot;,&quot;parse-names&quot;:false,&quot;dropping-particle&quot;:&quot;&quot;,&quot;non-dropping-particle&quot;:&quot;&quot;},{&quot;family&quot;:&quot;Woods&quot;,&quot;given&quot;:&quot;D&quot;,&quot;parse-names&quot;:false,&quot;dropping-particle&quot;:&quot;&quot;,&quot;non-dropping-particle&quot;:&quot;&quot;},{&quot;family&quot;:&quot;Piacentini&quot;,&quot;given&quot;:&quot;J&quot;,&quot;parse-names&quot;:false,&quot;dropping-particle&quot;:&quot;&quot;,&quot;non-dropping-particle&quot;:&quot;&quot;},{&quot;family&quot;:&quot;Apter&quot;,&quot;given&quot;:&quot;A&quot;,&quot;parse-names&quot;:false,&quot;dropping-particle&quot;:&quot;&quot;,&quot;non-dropping-particle&quot;:&quot;&quot;}],&quot;container-title&quot;:&quot;J Neural Transm (Vienna)&quot;,&quot;DOI&quot;:&quot;10.1007/s00702-009-0353-3&quot;,&quot;PMID&quot;:&quot;20033236&quot;,&quot;URL&quot;:&quot;https://link.springer.com/content/pdf/10.1007/s00702-009-0353-3.pdf&quot;,&quot;issued&quot;:{&quot;date-parts&quot;:[[2010]]},&quot;page&quot;:&quot;277-284&quot;,&quot;abstract&quot;:&quot;The aims of this study were to examine a non-English (Hebrew) version of a scale that measures the premonitory urge in children suffering from tic disorder, as well as examine the correlations of the urge with demographic and clinical aspects of Tourette Syndrome. Forty children and adolescents, suffering from tics participated in this study. They were assessed with the Premonitory Urge for Tics Scale (PUTS); the Yale Global Tic Severity Scale (YGTSS); the Childhood Version of the Yale Brown Obsessive Compulsive Scale (CYBOCS); the ADHD Rating Scale IV (Conners) Scale; the Screen for Child Anxiety Related Emotional Disorders (SCARED); and the Child Depression Inventory (CDI). The mean PUTS score was 20.15 (SD = 5.89). For the entire sample the PUTS was found to be internally consistent at a = 0.79. Youths older than 10 years had higher consistency (a = 0.83) than youths younger than 10 (a = 0.69). Premonitory urge was not correlated with tic severity in the entire sample. In youths older than 10, as opposed to youths younger than 10, premonitory urge did correlate with obsessions, compulsions and depression, but not with anxiety or with ADHD. The premonitory urge can be measured reliably and the PUTS is a useful instrument for measuring this important phenomena. Premonitory urges seems to be related to obsessions, compulsions, and depression in older children and this may have implications for the developmental psychopatholgy of these symptoms.&quot;,&quot;issue&quot;:&quot;2&quot;,&quot;volume&quot;:&quot;117&quot;,&quot;container-title-short&quot;:&quot;&quot;},&quot;isTemporary&quot;:false}]},{&quot;citationID&quot;:&quot;MENDELEY_CITATION_51c11313-6ec0-4211-8179-7be049c055af&quot;,&quot;properties&quot;:{&quot;noteIndex&quot;:0},&quot;isEdited&quot;:false,&quot;manualOverride&quot;:{&quot;isManuallyOverridden&quot;:false,&quot;citeprocText&quot;:&quot;(7)&quot;,&quot;manualOverrideText&quot;:&quot;&quot;},&quot;citationTag&quot;:&quot;MENDELEY_CITATION_v3_eyJjaXRhdGlvbklEIjoiTUVOREVMRVlfQ0lUQVRJT05fNTFjMTEzMTMtNmVjMC00MjExLTgxNzktN2JlMDQ5YzA1NWFmIiwicHJvcGVydGllcyI6eyJub3RlSW5kZXgiOjB9LCJpc0VkaXRlZCI6ZmFsc2UsIm1hbnVhbE92ZXJyaWRlIjp7ImlzTWFudWFsbHlPdmVycmlkZGVuIjpmYWxzZSwiY2l0ZXByb2NUZXh0IjoiKDcpIiwibWFudWFsT3ZlcnJpZGVUZXh0IjoiIn0sImNpdGF0aW9uSXRlbXMiOlt7ImlkIjoiMjMxMzg1NzUtZDFlNC0zZWFmLWJiM2UtNGRlMTJiNWNmMTBhIiwiaXRlbURhdGEiOnsidHlwZSI6ImFydGljbGUtam91cm5hbCIsImlkIjoiMjMxMzg1NzUtZDFlNC0zZWFmLWJiM2UtNGRlMTJiNWNmMTBhIiwidGl0bGUiOiJUaGUgUHJlbW9uaXRvcnkgVXJnZSBmb3IgVGljcyBTY2FsZSBpbiBhIGxhcmdlIHNhbXBsZSBvZiBjaGlsZHJlbiBhbmQgYWRvbGVzY2VudHM6IHBzeWNob21ldHJpYyBwcm9wZXJ0aWVzIGluIGEgZGV2ZWxvcG1lbnRhbCBjb250ZXh0LiBBbiBFTVRJQ1Mgc3R1ZHkiLCJncm91cElkIjoiMDdkNjJhYzEtNWFhOC0zOWFmLWI0OWUtNTJkMjA4OGFjNTcxIiwiYXV0aG9yIjpbeyJmYW1pbHkiOiJPcGVubmVlciIsImdpdmVuIjoiVCBKIEMiLCJwYXJzZS1uYW1lcyI6ZmFsc2UsImRyb3BwaW5nLXBhcnRpY2xlIjoiIiwibm9uLWRyb3BwaW5nLXBhcnRpY2xlIjoiIn0seyJmYW1pbHkiOiJUw6Fybm9rIiwiZ2l2ZW4iOiJaIiwicGFyc2UtbmFtZXMiOmZhbHNlLCJkcm9wcGluZy1wYXJ0aWNsZSI6IiIsIm5vbi1kcm9wcGluZy1wYXJ0aWNsZSI6IiJ9LHsiZmFtaWx5IjoiQm9nbmFyIiwiZ2l2ZW4iOiJFIiwicGFyc2UtbmFtZXMiOmZhbHNlLCJkcm9wcGluZy1wYXJ0aWNsZSI6IiIsIm5vbi1kcm9wcGluZy1wYXJ0aWNsZSI6IiJ9LHsiZmFtaWx5IjoiQmVuYXJveWEtTWlsc2h0ZWluIiwiZ2l2ZW4iOiJOIiwicGFyc2UtbmFtZXMiOmZhbHNlLCJkcm9wcGluZy1wYXJ0aWNsZSI6IiIsIm5vbi1kcm9wcGluZy1wYXJ0aWNsZSI6IiJ9LHsiZmFtaWx5IjoiR2FyY2lhLURlbGdhciIsImdpdmVuIjoiQiIsInBhcnNlLW5hbWVzIjpmYWxzZSwiZHJvcHBpbmctcGFydGljbGUiOiIiLCJub24tZHJvcHBpbmctcGFydGljbGUiOiIifSx7ImZhbWlseSI6Ik1vcmVyIiwiZ2l2ZW4iOiJBIiwicGFyc2UtbmFtZXMiOmZhbHNlLCJkcm9wcGluZy1wYXJ0aWNsZSI6IiIsIm5vbi1kcm9wcGluZy1wYXJ0aWNsZSI6IiJ9LHsiZmFtaWx5IjoiU3RlaW5iZXJnIiwiZ2l2ZW4iOiJUIiwicGFyc2UtbmFtZXMiOmZhbHNlLCJkcm9wcGluZy1wYXJ0aWNsZSI6IiIsIm5vbi1kcm9wcGluZy1wYXJ0aWNsZSI6IiJ9LHsiZmFtaWx5IjoiSG9la3N0cmEiLCJnaXZlbiI6IlAgSiIsInBhcnNlLW5hbWVzIjpmYWxzZSwiZHJvcHBpbmctcGFydGljbGUiOiIiLCJub24tZHJvcHBpbmctcGFydGljbGUiOiIifSx7ImZhbWlseSI6IkRpZXRyaWNoIiwiZ2l2ZW4iOiJBIiwicGFyc2UtbmFtZXMiOmZhbHNlLCJkcm9wcGluZy1wYXJ0aWNsZSI6IiIsIm5vbi1kcm9wcGluZy1wYXJ0aWNsZSI6IiJ9XSwiY29udGFpbmVyLXRpdGxlIjoiRXVyIENoaWxkIEFkb2xlc2MgUHN5Y2hpYXRyeSIsIkRPSSI6IjEwLjEwMDcvczAwNzg3LTAxOS0wMTQ1MC0xIiwiUE1JRCI6IjMxODAyMjcxIiwiVVJMIjoiaHR0cHM6Ly9saW5rLnNwcmluZ2VyLmNvbS9jb250ZW50L3BkZi8xMC4xMDA3L3MwMDc4Ny0wMTktMDE0NTAtMS5wZGYiLCJpc3N1ZWQiOnsiZGF0ZS1wYXJ0cyI6W1syMDIwXV19LCJwYWdlIjoiMTQxMS0xNDI0IiwiYWJzdHJhY3QiOiJQcmVtb25pdG9yeSB1cmdlcyBhcmUgdW5jb21mb3J0YWJsZSBwaHlzaWNhbCBzZW5zYXRpb25zIHByZWNlZGluZyB0aWNzIHRoYXQgb2NjdXIgaW4gbW9zdCBpbmRpdmlkdWFscyB3aXRoIGEgY2hyb25pYyB0aWMgZGlzb3JkZXIuIFRoZSBQcmVtb25pdG9yeSBVcmdlIGZvciBUaWNzIFNjYWxlIChQVVRTKSBpcyB0aGUgbW9zdCBmcmVxdWVudGx5IHVzZWQgc2VsZi1yZXBvcnQgbWVhc3VyZSB0byBhc3Nlc3MgdGhlIHNldmVyaXR5IG9mIHByZW1vbml0b3J5IHVyZ2VzLiBXZSBhaW1lZCB0byBldmFsdWF0ZSB0aGUgcHN5Y2hvbWV0cmljIHByb3BlcnRpZXMgb2YgdGhlIFBVVFMgaW4gdGhlIGxhcmdlc3Qgc2FtcGxlIHNpemUgdG8gZGF0ZSAobuKAiT3igIk2NTYpLCBpbiBjaGlsZHJlbiBhZ2VkIDMtMTbCoHllYXJzLCBmcm9tIHRoZSBiYXNlbGluZSBtZWFzdXJlbWVudCBvZiB0aGUgbG9uZ2l0dWRpbmFsIEV1cm9wZWFuIE11bHRpY2VudGVyIFRpY3MgaW4gQ2hpbGRyZW4gU3R1ZHkgKEVNVElDUykuIE91ciBwc3ljaG9tZXRyaWMgZXZhbHVhdGlvbiB3YXMgZG9uZSBpbiB0aHJlZSBhZ2UtZ3JvdXBzOiBjaGlsZHJlbiBhZ2VkIDMtN8KgeWVhcnMgKG7igIk94oCJMTAzKSwgY2hpbGRyZW4gYmV0d2VlbiA4IGFuZCAxMMKgeWVhcnMgKG7igIk94oCJMjUzKSwgYW5kIGNoaWxkcmVuIGFnZWQgMTEtMTbCoHllYXJzIChu4oCJPeKAiTMwMCkuIFRoZSBQVVRTIGV4aGliaXRlZCBnb29kIGludGVybmFsIHJlbGlhYmlsaXR5IGluIGNoaWxkcmVuIGFuZCBhZG9sZXNjZW50cywgYWxzbyB1bmRlciB0aGUgYWdlIG9mIDEwLCB3aGljaCBpcyB5b3VuZ2VyIHRoYW4gcHJldmlvdXNseSB0aG91Z2h0LiBXZSBvYnNlcnZlZCBzaWduaWZpY2FudCBidXQgc21hbGwgY29ycmVsYXRpb25zIGJldHdlZW4gdGhlIHNldmVyaXR5IG9mIHVyZ2VzIGFuZCBzZXZlcml0eSBvZiB0aWNzIGFuZCBvYnNlc3NpdmUtY29tcHVsc2l2ZSBzeW1wdG9tcywgYW5kIGJldHdlZW4gc2V2ZXJpdHkgb2YgdXJnZXMgYW5kIHJhdGluZ3Mgb2YgYXR0ZW50aW9uLWRlZmljaXQvaHlwZXJhY3Rpdml0eSBkaXNvcmRlciBhbmQgaW50ZXJuYWxpemluZyBhbmQgZXh0ZXJuYWxpemluZyBiZWhhdmlvcnMsIGhvd2V2ZXIsIG9ubHkgaW4gY2hpbGRyZW4gb2YgOC0xMMKgeWVhcnMuIENvbnNpc3RlbnQgd2l0aCBwcmV2aW91cyByZXN1bHRzLCB0aGUgMTB0aCBpdGVtIG9mIHRoZSBQVVRTIGNvcnJlbGF0ZWQgbGVzcyB3aXRoIHRoZSByZXN0IG9mIHRoZSBzY2FsZSBjb21wYXJlZCB0byB0aGUgb3RoZXIgaXRlbXMgYW5kLCB0aGVyZWZvcmUsIHNob3VsZCBub3QgYmUgdXNlZCBhcyBwYXJ0IG9mIHRoZSBxdWVzdGlvbm5haXJlLiBXZSBmb3VuZCBhIHR3by1mYWN0b3Igc3RydWN0dXJlIG9mIHRoZSBQVVRTIGluIGNoaWxkcmVuIG9mIDExwqB5ZWFycyBhbmQgb2xkZXIsIGRpc3Rpbmd1aXNoaW5nIGJldHdlZW4gc2Vuc29yeSBwaGVub21lbmEgcmVsYXRlZCB0byB0aWNzLCBhbmQgbWVudGFsIHBoZW5vbWVuYSBhcyBvZnRlbiBmb3VuZCBpbiBvYnNlc3NpdmUtY29tcHVsc2l2ZSBkaXNvcmRlci4gVGhlIGFnZS1yZWxhdGVkIGRpZmZlcmVuY2VzIG9ic2VydmVkIGluIHRoaXMgc3R1ZHkgbWF5IGluZGljYXRlIHRoZSBuZWVkIGZvciB0aGUgZGV2ZWxvcG1lbnQgb2YgYW4gYWdlLXNwZWNpZmljIHF1ZXN0aW9ubmFpcmUgdG8gYXNzZXNzIHByZW1vbml0b3J5IHVyZ2VzLiIsImlzc3VlIjoiMTAiLCJ2b2x1bWUiOiIyOSIsImNvbnRhaW5lci10aXRsZS1zaG9ydCI6IiJ9LCJpc1RlbXBvcmFyeSI6ZmFsc2V9XX0=&quot;,&quot;citationItems&quot;:[{&quot;id&quot;:&quot;23138575-d1e4-3eaf-bb3e-4de12b5cf10a&quot;,&quot;itemData&quot;:{&quot;type&quot;:&quot;article-journal&quot;,&quot;id&quot;:&quot;23138575-d1e4-3eaf-bb3e-4de12b5cf10a&quot;,&quot;title&quot;:&quot;The Premonitory Urge for Tics Scale in a large sample of children and adolescents: psychometric properties in a developmental context. An EMTICS study&quot;,&quot;groupId&quot;:&quot;07d62ac1-5aa8-39af-b49e-52d2088ac571&quot;,&quot;author&quot;:[{&quot;family&quot;:&quot;Openneer&quot;,&quot;given&quot;:&quot;T J C&quot;,&quot;parse-names&quot;:false,&quot;dropping-particle&quot;:&quot;&quot;,&quot;non-dropping-particle&quot;:&quot;&quot;},{&quot;family&quot;:&quot;Tárnok&quot;,&quot;given&quot;:&quot;Z&quot;,&quot;parse-names&quot;:false,&quot;dropping-particle&quot;:&quot;&quot;,&quot;non-dropping-particle&quot;:&quot;&quot;},{&quot;family&quot;:&quot;Bognar&quot;,&quot;given&quot;:&quot;E&quot;,&quot;parse-names&quot;:false,&quot;dropping-particle&quot;:&quot;&quot;,&quot;non-dropping-particle&quot;:&quot;&quot;},{&quot;family&quot;:&quot;Benaroya-Milshtein&quot;,&quot;given&quot;:&quot;N&quot;,&quot;parse-names&quot;:false,&quot;dropping-particle&quot;:&quot;&quot;,&quot;non-dropping-particle&quot;:&quot;&quot;},{&quot;family&quot;:&quot;Garcia-Delgar&quot;,&quot;given&quot;:&quot;B&quot;,&quot;parse-names&quot;:false,&quot;dropping-particle&quot;:&quot;&quot;,&quot;non-dropping-particle&quot;:&quot;&quot;},{&quot;family&quot;:&quot;Morer&quot;,&quot;given&quot;:&quot;A&quot;,&quot;parse-names&quot;:false,&quot;dropping-particle&quot;:&quot;&quot;,&quot;non-dropping-particle&quot;:&quot;&quot;},{&quot;family&quot;:&quot;Steinberg&quot;,&quot;given&quot;:&quot;T&quot;,&quot;parse-names&quot;:false,&quot;dropping-particle&quot;:&quot;&quot;,&quot;non-dropping-particle&quot;:&quot;&quot;},{&quot;family&quot;:&quot;Hoekstra&quot;,&quot;given&quot;:&quot;P J&quot;,&quot;parse-names&quot;:false,&quot;dropping-particle&quot;:&quot;&quot;,&quot;non-dropping-particle&quot;:&quot;&quot;},{&quot;family&quot;:&quot;Dietrich&quot;,&quot;given&quot;:&quot;A&quot;,&quot;parse-names&quot;:false,&quot;dropping-particle&quot;:&quot;&quot;,&quot;non-dropping-particle&quot;:&quot;&quot;}],&quot;container-title&quot;:&quot;Eur Child Adolesc Psychiatry&quot;,&quot;DOI&quot;:&quot;10.1007/s00787-019-01450-1&quot;,&quot;PMID&quot;:&quot;31802271&quot;,&quot;URL&quot;:&quot;https://link.springer.com/content/pdf/10.1007/s00787-019-01450-1.pdf&quot;,&quot;issued&quot;:{&quot;date-parts&quot;:[[2020]]},&quot;page&quot;:&quot;1411-1424&quot;,&quot;abstract&quot;:&quot;Premonitory urges are uncomfortable physical sensations preceding tics that occur in most individuals with a chronic tic disorder. The Premonitory Urge for Tics Scale (PUTS) is the most frequently used self-report measure to assess the severity of premonitory urges. We aimed to evaluate the psychometric properties of the PUTS in the largest sample size to date (n = 656), in children aged 3-16 years, from the baseline measurement of the longitudinal European Multicenter Tics in Children Study (EMTICS). Our psychometric evaluation was done in three age-groups: children aged 3-7 years (n = 103), children between 8 and 10 years (n = 253), and children aged 11-16 years (n = 300). The PUTS exhibited good internal reliability in children and adolescents, also under the age of 10, which is younger than previously thought. We observed significant but small correlations between the severity of urges and severity of tics and obsessive-compulsive symptoms, and between severity of urges and ratings of attention-deficit/hyperactivity disorder and internalizing and externalizing behaviors, however, only in children of 8-10 years. Consistent with previous results, the 10th item of the PUTS correlated less with the rest of the scale compared to the other items and, therefore, should not be used as part of the questionnaire. We found a two-factor structure of the PUTS in children of 11 years and older, distinguishing between sensory phenomena related to tics, and mental phenomena as often found in obsessive-compulsive disorder. The age-related differences observed in this study may indicate the need for the development of an age-specific questionnaire to assess premonitory urges.&quot;,&quot;issue&quot;:&quot;10&quot;,&quot;volume&quot;:&quot;29&quot;,&quot;container-title-short&quot;:&quot;&quot;},&quot;isTemporary&quot;:false}]},{&quot;citationID&quot;:&quot;MENDELEY_CITATION_fa592509-68f2-438b-93ee-0d4dc358ff2f&quot;,&quot;properties&quot;:{&quot;noteIndex&quot;:0},&quot;isEdited&quot;:false,&quot;manualOverride&quot;:{&quot;isManuallyOverridden&quot;:false,&quot;citeprocText&quot;:&quot;(12)&quot;,&quot;manualOverrideText&quot;:&quot;&quot;},&quot;citationTag&quot;:&quot;MENDELEY_CITATION_v3_eyJjaXRhdGlvbklEIjoiTUVOREVMRVlfQ0lUQVRJT05fZmE1OTI1MDktNjhmMi00MzhiLTkzZWUtMGQ0ZGMzNThmZjJmIiwicHJvcGVydGllcyI6eyJub3RlSW5kZXgiOjB9LCJpc0VkaXRlZCI6ZmFsc2UsIm1hbnVhbE92ZXJyaWRlIjp7ImlzTWFudWFsbHlPdmVycmlkZGVuIjpmYWxzZSwiY2l0ZXByb2NUZXh0IjoiKDEyKSIsIm1hbnVhbE92ZXJyaWRlVGV4dCI6IiJ9LCJjaXRhdGlvbkl0ZW1zIjpbeyJpZCI6IjQ2Zjk3YzM4LTdjNWQtMzAzMS1iMjE1LThiMDY3MmVhNWNlNCIsIml0ZW1EYXRhIjp7InR5cGUiOiJhcnRpY2xlLWpvdXJuYWwiLCJpZCI6IjQ2Zjk3YzM4LTdjNWQtMzAzMS1iMjE1LThiMDY3MmVhNWNlNCIsInRpdGxlIjoiU2V4IGFuZCBwc3ljaGlhdHJpYyBjb21vcmJpZGl0eSBjb3JyZWxhdGVzIG9mIHRoZSBwcmVtb25pdG9yeSB1cmdlIGZvciB0aWMgc2NhbGUgaW4geW91dGggd2l0aCBwZXJzaXN0ZW50IHRpYyBkaXNvcmRlcnMiLCJncm91cElkIjoiMDdkNjJhYzEtNWFhOC0zOWFmLWI0OWUtNTJkMjA4OGFjNTcxIiwiYXV0aG9yIjpbeyJmYW1pbHkiOiJFZHdhcmRzIiwiZ2l2ZW4iOiJLIFIiLCJwYXJzZS1uYW1lcyI6ZmFsc2UsImRyb3BwaW5nLXBhcnRpY2xlIjoiIiwibm9uLWRyb3BwaW5nLXBhcnRpY2xlIjoiIn0seyJmYW1pbHkiOiJSYWluZXMiLCJnaXZlbiI6IkogTSIsInBhcnNlLW5hbWVzIjpmYWxzZSwiZHJvcHBpbmctcGFydGljbGUiOiIiLCJub24tZHJvcHBpbmctcGFydGljbGUiOiIifSx7ImZhbWlseSI6Ildpbm5pY2siLCJnaXZlbiI6IkogQiIsInBhcnNlLW5hbWVzIjpmYWxzZSwiZHJvcHBpbmctcGFydGljbGUiOiIiLCJub24tZHJvcHBpbmctcGFydGljbGUiOiIifSx7ImZhbWlseSI6IlNoZXJtYW4iLCJnaXZlbiI6Ik0gRiIsInBhcnNlLW5hbWVzIjpmYWxzZSwiZHJvcHBpbmctcGFydGljbGUiOiIiLCJub24tZHJvcHBpbmctcGFydGljbGUiOiIifSx7ImZhbWlseSI6IkhpZ2dpbnNvbiIsImdpdmVuIjoiQyBJIiwicGFyc2UtbmFtZXMiOmZhbHNlLCJkcm9wcGluZy1wYXJ0aWNsZSI6IiIsIm5vbi1kcm9wcGluZy1wYXJ0aWNsZSI6IiJ9LHsiZmFtaWx5IjoiTmF2aW4iLCJnaXZlbiI6IksiLCJwYXJzZS1uYW1lcyI6ZmFsc2UsImRyb3BwaW5nLXBhcnRpY2xlIjoiIiwibm9uLWRyb3BwaW5nLXBhcnRpY2xlIjoiIn0seyJmYW1pbHkiOiJDb250ZWgiLCJnaXZlbiI6IkYiLCJwYXJzZS1uYW1lcyI6ZmFsc2UsImRyb3BwaW5nLXBhcnRpY2xlIjoiIiwibm9uLWRyb3BwaW5nLXBhcnRpY2xlIjoiIn0seyJmYW1pbHkiOiJSaWNrZXR0cyIsImdpdmVuIjoiRSBKIiwicGFyc2UtbmFtZXMiOmZhbHNlLCJkcm9wcGluZy1wYXJ0aWNsZSI6IiIsIm5vbi1kcm9wcGluZy1wYXJ0aWNsZSI6IiJ9LHsiZmFtaWx5IjoiU3BlY2h0IiwiZ2l2ZW4iOiJNIFciLCJwYXJzZS1uYW1lcyI6ZmFsc2UsImRyb3BwaW5nLXBhcnRpY2xlIjoiIiwibm9uLWRyb3BwaW5nLXBhcnRpY2xlIjoiIn1dLCJjb250YWluZXItdGl0bGUiOiJKIE5ldXJhbCBUcmFuc20gKFZpZW5uYSkiLCJET0kiOiIxMC4xMDA3L3MwMDcwMi0wMjAtMDIxNTEtOSIsIlBNSUQiOiIzMjIxMjAxNiIsIlVSTCI6Imh0dHBzOi8vbGluay5zcHJpbmdlci5jb20vYXJ0aWNsZS8xMC4xMDA3L3MwMDcwMi0wMjAtMDIxNTEtOSIsImlzc3VlZCI6eyJkYXRlLXBhcnRzIjpbWzIwMjBdXX0sInBhZ2UiOiI5NzctOTg1IiwiYWJzdHJhY3QiOiJUaGUgcHJlbW9uaXRvcnkgdXJnZSBmb3IgdGljcyBzY2FsZSAoUFVUUykgaXMgYSBjb21tb24gc2VsZi1yZXBvcnQgbWVhc3VyZSBvZiBwcmVtb25pdG9yeSBzZW5zYXRpb25zIHByZWNlZGluZyB0aWNzLiBUaGUgcHJlc2VudCBzdHVkeSBhaW1lZCB0byBleGFtaW5lIHRoZSBpbnRlcm5hbCBjb25zaXN0ZW5jeSBhbmQgY29uY3VycmVudCB2YWxpZGl0eSBvZiB0aGUgUFVUUyBieSBzZXggYW5kIHBzeWNoaWF0cmljIGNvbW9yYmlkaXR5IHN0YXR1czsgYW5kIGV4cGxvcmVkIGludGVyYWN0aW9ucyBiZXR3ZWVuIHNleCBhbmQgcHN5Y2hpYXRyaWMgY29tb3JiaWRpdHkgaW4gcHJlZGljdGluZyBwcmVtb25pdG9yeSB1cmdlIGFuZCB0aWMgc3ltcHRvbSBzZXZlcml0eS4gU2V2ZW50eS1mb3VyIHlvdXRoIGFuZCB5b3VuZyBhZHVsdHMgd2l0aCBwZXJzaXN0ZW50IHRpYyBkaXNvcmRlcnMgY29tcGxldGVkIHRoZSBQVVRTLCB3aGlsZSB0aGVpciBwYXJlbnRzIGNvbXBsZXRlZCB0aGUgcGFyZW50IHRpYyBxdWVzdGlvbm5haXJlIChQVFEpIGFuZCBhIGRlbW9ncmFwaGljIG1lYXN1cmUuIEluZGVwZW5kZW50IHNhbXBsZXMgdC10ZXN0cyByZXZlYWxlZCBubyBzaWduaWZpY2FudCBzZXggZGlmZmVyZW5jZXMgaW4gUFVUUyBpdGVtcyBvciB0b3RhbCBzY29yZS4gVGhlIFBVVFMgdG90YWwgc2NvcmUgYWxzbyBkaWQgbm90IHNpZ25pZmljYW50bHkgZGlmZmVyIGJldHdlZW4gcGFydGljaXBhbnRzIHdpdGggYW5kIHdpdGhvdXQgYXR0ZW50aW9uLWRlZmljaXQgaHlwZXJhY3Rpdml0eSBkaXNvcmRlciAoQURIRCkgYW5kL29yIG9ic2Vzc2l2ZS1jb21wdWxzaXZlIGRpc29yZGVyIChPQ0QpIGNvbW9yYmlkaXR5LiBJbnRlcm5hbCBjb25zaXN0ZW5jeSBkaWQgbm90IHNpZ25pZmljYW50bHkgZGlmZmVyIGJldHdlZW4gZmVtYWxlcyAozrHigIk94oCJMC44NSkgYW5kIG1hbGVzICjOseKAiT3igIkwLjc1KSwgYW5kIHRob3NlIHdpdGggY29tb3JiaWQgQURIRCBhbmQvb3IgT0NEICjOseKAiT3igIkwLjgzKSByZWxhdGl2ZSB0byB0aG9zZSB3aXRob3V0ICjOseKAiT3igIkwLjY5KS4gV2l0aCByZXNwZWN0IHRvIGNvbmN1cnJlbnQgdmFsaWRpdHksIHRoZSBQVVRTIHRvdGFsIHdhcyBzaWduaWZpY2FudGx5IGNvcnJlbGF0ZWQgd2l0aCBQVFEgdGljIGZyZXF1ZW5jeSwgaW50ZW5zaXR5LCBudW1iZXIsIGFuZCBzZXZlcml0eSBmb3IgbWFsZXMgYnV0IG5vdCBmb3IgZmVtYWxlcy4gQW1vbmcgdGhvc2Ugd2l0aCBBREhEIGFuZC9vciBPQ0QsIHRoZSBQVVRTIHRvdGFsIHNjb3JlIHdhcyBjb3JyZWxhdGVkIHNpZ25pZmljYW50bHkgYW5kIHN0cm9uZ2x5IHdpdGggdGljIG51bWJlciBhbmQgbW9kZXJhdGVseSB3aXRoIHRpYyBpbnRlbnNpdHkuIEludGVyYWN0aW9ucyBiZXR3ZWVuIHNleCBhbmQgcHN5Y2hpYXRyaWMgY29tb3JiaWRpdHkgcGVyZm9ybWVkIHVzaW5nIDLigInDl+KAiTIgYW5hbHlzaXMgb2YgdmFyaWFuY2UgZGlkIG5vdCBzaWduaWZpY2FudGx5IHByZWRpY3QgdGhlIFBVVFMgdG90YWwgb3IgUFRRIHN1YnNjYWxlIHNjb3Jlcy4gRmluZGluZ3Mgc3VnZ2VzdCBzZXggYW5kIGNvbW9yYmlkaXR5IHN0YXR1cyBtYXkgaW5mbHVlbmNlIHByZW1vbml0b3J5IHVyZ2UgZXhwcmVzc2lvbi4gUmVzdWx0cyBoYXZlIGltcGxpY2F0aW9ucyBmb3IgdW5kZXJzdGFuZGluZyBhbmQgbWVhc3VyZW1lbnQgb2YgdGhlIHByZW1vbml0b3J5IHVyZ2UuIiwiaXNzdWUiOiI2Iiwidm9sdW1lIjoiMTI3IiwiY29udGFpbmVyLXRpdGxlLXNob3J0IjoiIn0sImlzVGVtcG9yYXJ5IjpmYWxzZX1dfQ==&quot;,&quot;citationItems&quot;:[{&quot;id&quot;:&quot;46f97c38-7c5d-3031-b215-8b0672ea5ce4&quot;,&quot;itemData&quot;:{&quot;type&quot;:&quot;article-journal&quot;,&quot;id&quot;:&quot;46f97c38-7c5d-3031-b215-8b0672ea5ce4&quot;,&quot;title&quot;:&quot;Sex and psychiatric comorbidity correlates of the premonitory urge for tic scale in youth with persistent tic disorders&quot;,&quot;groupId&quot;:&quot;07d62ac1-5aa8-39af-b49e-52d2088ac571&quot;,&quot;author&quot;:[{&quot;family&quot;:&quot;Edwards&quot;,&quot;given&quot;:&quot;K R&quot;,&quot;parse-names&quot;:false,&quot;dropping-particle&quot;:&quot;&quot;,&quot;non-dropping-particle&quot;:&quot;&quot;},{&quot;family&quot;:&quot;Raines&quot;,&quot;given&quot;:&quot;J M&quot;,&quot;parse-names&quot;:false,&quot;dropping-particle&quot;:&quot;&quot;,&quot;non-dropping-particle&quot;:&quot;&quot;},{&quot;family&quot;:&quot;Winnick&quot;,&quot;given&quot;:&quot;J B&quot;,&quot;parse-names&quot;:false,&quot;dropping-particle&quot;:&quot;&quot;,&quot;non-dropping-particle&quot;:&quot;&quot;},{&quot;family&quot;:&quot;Sherman&quot;,&quot;given&quot;:&quot;M F&quot;,&quot;parse-names&quot;:false,&quot;dropping-particle&quot;:&quot;&quot;,&quot;non-dropping-particle&quot;:&quot;&quot;},{&quot;family&quot;:&quot;Higginson&quot;,&quot;given&quot;:&quot;C I&quot;,&quot;parse-names&quot;:false,&quot;dropping-particle&quot;:&quot;&quot;,&quot;non-dropping-particle&quot;:&quot;&quot;},{&quot;family&quot;:&quot;Navin&quot;,&quot;given&quot;:&quot;K&quot;,&quot;parse-names&quot;:false,&quot;dropping-particle&quot;:&quot;&quot;,&quot;non-dropping-particle&quot;:&quot;&quot;},{&quot;family&quot;:&quot;Conteh&quot;,&quot;given&quot;:&quot;F&quot;,&quot;parse-names&quot;:false,&quot;dropping-particle&quot;:&quot;&quot;,&quot;non-dropping-particle&quot;:&quot;&quot;},{&quot;family&quot;:&quot;Ricketts&quot;,&quot;given&quot;:&quot;E J&quot;,&quot;parse-names&quot;:false,&quot;dropping-particle&quot;:&quot;&quot;,&quot;non-dropping-particle&quot;:&quot;&quot;},{&quot;family&quot;:&quot;Specht&quot;,&quot;given&quot;:&quot;M W&quot;,&quot;parse-names&quot;:false,&quot;dropping-particle&quot;:&quot;&quot;,&quot;non-dropping-particle&quot;:&quot;&quot;}],&quot;container-title&quot;:&quot;J Neural Transm (Vienna)&quot;,&quot;DOI&quot;:&quot;10.1007/s00702-020-02151-9&quot;,&quot;PMID&quot;:&quot;32212016&quot;,&quot;URL&quot;:&quot;https://link.springer.com/article/10.1007/s00702-020-02151-9&quot;,&quot;issued&quot;:{&quot;date-parts&quot;:[[2020]]},&quot;page&quot;:&quot;977-985&quot;,&quot;abstract&quot;:&quot;The premonitory urge for tics scale (PUTS) is a common self-report measure of premonitory sensations preceding tics. The present study aimed to examine the internal consistency and concurrent validity of the PUTS by sex and psychiatric comorbidity status; and explored interactions between sex and psychiatric comorbidity in predicting premonitory urge and tic symptom severity. Seventy-four youth and young adults with persistent tic disorders completed the PUTS, while their parents completed the parent tic questionnaire (PTQ) and a demographic measure. Independent samples t-tests revealed no significant sex differences in PUTS items or total score. The PUTS total score also did not significantly differ between participants with and without attention-deficit hyperactivity disorder (ADHD) and/or obsessive-compulsive disorder (OCD) comorbidity. Internal consistency did not significantly differ between females (α = 0.85) and males (α = 0.75), and those with comorbid ADHD and/or OCD (α = 0.83) relative to those without (α = 0.69). With respect to concurrent validity, the PUTS total was significantly correlated with PTQ tic frequency, intensity, number, and severity for males but not for females. Among those with ADHD and/or OCD, the PUTS total score was correlated significantly and strongly with tic number and moderately with tic intensity. Interactions between sex and psychiatric comorbidity performed using 2 × 2 analysis of variance did not significantly predict the PUTS total or PTQ subscale scores. Findings suggest sex and comorbidity status may influence premonitory urge expression. Results have implications for understanding and measurement of the premonitory urge.&quot;,&quot;issue&quot;:&quot;6&quot;,&quot;volume&quot;:&quot;127&quot;,&quot;container-title-short&quot;:&quot;&quot;},&quot;isTemporary&quot;:false}]},{&quot;citationID&quot;:&quot;MENDELEY_CITATION_190a0535-8e10-400b-9c7b-3429a9ffd667&quot;,&quot;properties&quot;:{&quot;noteIndex&quot;:0},&quot;isEdited&quot;:false,&quot;manualOverride&quot;:{&quot;isManuallyOverridden&quot;:false,&quot;citeprocText&quot;:&quot;(11)&quot;,&quot;manualOverrideText&quot;:&quot;&quot;},&quot;citationTag&quot;:&quot;MENDELEY_CITATION_v3_eyJjaXRhdGlvbklEIjoiTUVOREVMRVlfQ0lUQVRJT05fMTkwYTA1MzUtOGUxMC00MDBiLTljN2ItMzQyOWE5ZmZkNjY3IiwicHJvcGVydGllcyI6eyJub3RlSW5kZXgiOjB9LCJpc0VkaXRlZCI6ZmFsc2UsIm1hbnVhbE92ZXJyaWRlIjp7ImlzTWFudWFsbHlPdmVycmlkZGVuIjpmYWxzZSwiY2l0ZXByb2NUZXh0IjoiKDExKSIsIm1hbnVhbE92ZXJyaWRlVGV4dCI6IiJ9LCJjaXRhdGlvbkl0ZW1zIjpbeyJpZCI6ImFkZTRmY2VmLTdmOTYtMzkwZC04MDY3LTIwMWQzNGI1ODJhYiIsIml0ZW1EYXRhIjp7InR5cGUiOiJhcnRpY2xlLWpvdXJuYWwiLCJpZCI6ImFkZTRmY2VmLTdmOTYtMzkwZC04MDY3LTIwMWQzNGI1ODJhYiIsInRpdGxlIjoiQ29udmVyZ2VudCB2YWxpZGl0eSBvZiB0aGUgUFVUUyIsImdyb3VwSWQiOiIwN2Q2MmFjMS01YWE4LTM5YWYtYjQ5ZS01MmQyMDg4YWM1NzEiLCJhdXRob3IiOlt7ImZhbWlseSI6IkJyYW5kdCIsImdpdmVuIjoiVmFsZXJpZSBDYXRow6lyaW5lIiwicGFyc2UtbmFtZXMiOmZhbHNlLCJkcm9wcGluZy1wYXJ0aWNsZSI6IiIsIm5vbi1kcm9wcGluZy1wYXJ0aWNsZSI6IiJ9LHsiZmFtaWx5IjoiQmVjayIsImdpdmVuIjoiQ2hyaXN0aWFuIiwicGFyc2UtbmFtZXMiOmZhbHNlLCJkcm9wcGluZy1wYXJ0aWNsZSI6IiIsIm5vbi1kcm9wcGluZy1wYXJ0aWNsZSI6IiJ9LHsiZmFtaWx5IjoiU2FqaW4iLCJnaXZlbiI6IlZhbGVyaWEiLCJwYXJzZS1uYW1lcyI6ZmFsc2UsImRyb3BwaW5nLXBhcnRpY2xlIjoiIiwibm9uLWRyb3BwaW5nLXBhcnRpY2xlIjoiIn0seyJmYW1pbHkiOiJBbmRlcnMiLCJnaXZlbiI6IlNpbGtlIiwicGFyc2UtbmFtZXMiOmZhbHNlLCJkcm9wcGluZy1wYXJ0aWNsZSI6IiIsIm5vbi1kcm9wcGluZy1wYXJ0aWNsZSI6IiJ9LHsiZmFtaWx5IjoiTcO8bmNoYXUiLCJnaXZlbiI6IkFsZXhhbmRlciIsInBhcnNlLW5hbWVzIjpmYWxzZSwiZHJvcHBpbmctcGFydGljbGUiOiIiLCJub24tZHJvcHBpbmctcGFydGljbGUiOiIifV0sImNvbnRhaW5lci10aXRsZSI6IkZyb250aWVycyBpbiBQc3ljaGlhdHJ5IiwiRE9JIjoiMTAuMzM4OS9mcHN5dC4yMDE2LjAwMDUxIiwiSVNTTiI6IjE2NjQwNjQwIiwiaXNzdWVkIjp7ImRhdGUtcGFydHMiOltbMjAxNiw0LDddXX0sImFic3RyYWN0IjoiUHJlbW9uaXRvcnkgdXJnZXMgYXJlIGEgY2FyZGluYWwgZmVhdHVyZSBpbiBHaWxsZXMgZGUgbGEgVG91cmV0dGUgc3luZHJvbWUuIFNldmVyaXR5IG9mIHByZW1vbml0b3J5IHVyZ2VzIGNhbiBiZSBhc3Nlc3NlZCB3aXRoIHRoZSBcIlByZW1vbml0b3J5IFVyZ2UgZm9yIFRpYyBEaXNvcmRlcnMgU2NhbGVcIiAoUFVUUykuIEhvd2V2ZXIsIGNvbnZlcmdlbnQgdmFsaWRpdHkgb2YgdGhlIG1lYXN1cmUgaGFzIGJlZW4gZGlmZmljdWx0IHRvIGFzc2VzcyBkdWUgdG8gdGhlIGxhY2sgb2Ygb3RoZXIgdXJnZSBtZWFzdXJlcy4gV2UgaW52ZXN0aWdhdGVkIHRoZSByZWxhdGlvbnNoaXAgYmV0d2VlbiBhdmVyYWdlIHJlYWwtdGltZSB1cmdlIGludGVuc2l0eSBhc3Nlc3NlZCBieSBhbiBpbi1ob3VzZSBkZXZlbG9wZWQgcmVhbC10aW1lIHVyZ2UgbW9uaXRvciAoUlVNKSwgbWVhc3VyaW5nIHVyZ2UgaW50ZW5zaXR5IGNvbnRpbnVvdXNseSBmb3IgNSBtaW4gb24gYSB2aXN1YWwgYW5hbG9nIHNjYWxlLCBhbmQgZ2VuZXJhbCB1cmdlIGludGVuc2l0eSBhc3Nlc3NlZCBieSB0aGUgUFVUUyBpbiAyMiBhZHVsdCBUb3VyZXR0ZSBwYXRpZW50cyAobWVhbiBhZ2UgMjkuOCDCsSAxMC4zIFNELCAxOSBtYWxlcykuIEFkZGl0aW9uYWxseSwgdW5kZXJseWluZyBmYWN0b3JzIG9mIHByZW1vbml0b3J5IHVyZ2VzIGFzc2Vzc2VkIGJ5IHRoZSBQVVRTIHdlcmUgaW52ZXN0aWdhdGVkIGluIHRoZSBhZHVsdCBzYW1wbGUgdXNpbmcgZmFjdG9yIGFuYWx5c2lzIGFuZCB3ZXJlIHJlcGxpY2F0ZWQgaW4gNDAgY2hpbGRyZW4gYW5kIGFkb2xlc2NlbnRzIGRpYWdub3NlZCB3aXRoIFRvdXJldHRlIHN5bmRyb21lIChtZWFuIGFnZSAxMi4wNSDCsSAyLjgzIFNELCAzMSBtYWxlcykuIENyb25iYWNoJ3MgYSBmb3IgdGhlIFBVVFMgMTAgd2FzIGFjY2VwdGFibGUgKM6xID0gMC43OSkgaW4gdGhlIGFkdWx0IHNhbXBsZS4gQ29udmVyZ2VudCB2YWxpZGl0eSBiZXR3ZWVuIGF2ZXJhZ2UgcmVhbC10aW1lIHVyZ2UgaW50ZW5zaXR5IHNjb3JlcyAoYXMgYXNzZXNzZWQgd2l0aCB0aGUgUlVNKSBhbmQgdGhlIDEwLWl0ZW0gdmVyc2lvbiBvZiB0aGUgUFVUUyAociA9IDAuNjQpIGFuZCB0aGUgOS1pdGVtIHZlcnNpb24gb2YgdGhlIFBVVFMgKHIgPSAwLjY2KSB3YXMgZ29vZC4gQSBmYWN0b3IgYW5hbHlzaXMgaW5jbHVkaW5nIHRoZSAxMCBpdGVtcyBvZiB0aGUgUFVUUyBhbmQgYXZlcmFnZSByZWFsLXRpbWUgdXJnZSBpbnRlbnNpdHkgc2NvcmVzIHJldmVhbGVkIHRocmVlIGZhY3RvcnMuIE9uZSBmYWN0b3IgaW5jbHVkZWQgdGhlIGF2ZXJhZ2UgcmVhbC10aW1lIHVyZ2UgaW50ZW5zaXR5IHNjb3JlIGFuZCBhcHBlYXJlZCB0byBtZWFzdXJlIHVyZ2UgaW50ZW5zaXR5LCB3aGVyZWFzIHRoZSBvdGhlciB0d28gZmFjdG9ycyBjYW4gYmUgYXNzdW1lZCB0byByZWZsZWN0IHRoZSAoc2Vuc29yeSkgcXVhbGl0eSBvZiB1cmdlcyBhbmQgc3ViamVjdGl2ZSBjb250cm9sLCByZXNwZWN0aXZlbHkuIFRoZSBmYWN0b3Igc3RydWN0dXJlIG9mIHRoZSAxMCBQVVRTIGl0ZW1zIGFsb25lIHdhcyByZXBsaWNhdGVkIGluIGEgc2FtcGxlIG9mIGNoaWxkcmVuIGFuZCBhZG9sZXNjZW50cy4gVGhlIHJlc3VsdHMgaW5kaWNhdGUgdGhhdCBjb252ZXJnZW50IHZhbGlkaXR5IGJldHdlZW4gdGhlIFBVVFMgYW5kIHRoZSByZWFsLXRpbWUgdXJnZSBhc3Nlc3NtZW50IG1vbml0b3IgaXMgZ29vZC4gRnVydGhlcm1vcmUsIHRoZSByZXN1bHRzIHN1Z2dlc3QgdGhhdCB0aGUgUFVUUyBtaWdodCBhc3Nlc3MgbW9yZSB0aGFuIG9uZSBkaW1lbnNpb24gb2YgdXJnZXMsIGFuZCBpdCBtYXkgYmUgd29ydGh3aGlsZSBkZXZlbG9waW5nIGRpZmZlcmVudCBzdWJzY2FsZXMgb2YgdGhlIFBVVFMgYXNzZXNzaW5nIHByZW1vbml0b3J5IHVyZ2VzIGluIHRlcm1zIG9mIGludGVuc2l0eSBhbmQgcXVhbGl0eSwgYXMgd2VsbCBhcyBzdWJqZWN0aXZlbHkgZXhwZXJpZW5jZWQgY29udHJvbCBvdmVyIHRpY3MgYW5kIHByZW1vbml0b3J5IHVyZ2VzLiIsInB1Ymxpc2hlciI6IkZyb250aWVycyBSZXNlYXJjaCBGb3VuZGF0aW9uIiwiaXNzdWUiOiJBUFIiLCJ2b2x1bWUiOiI3IiwiY29udGFpbmVyLXRpdGxlLXNob3J0IjoiRnJvbnQgUHN5Y2hpYXRyeSJ9LCJpc1RlbXBvcmFyeSI6ZmFsc2V9XX0=&quot;,&quot;citationItems&quot;:[{&quot;id&quot;:&quot;ade4fcef-7f96-390d-8067-201d34b582ab&quot;,&quot;itemData&quot;:{&quot;type&quot;:&quot;article-journal&quot;,&quot;id&quot;:&quot;ade4fcef-7f96-390d-8067-201d34b582ab&quot;,&quot;title&quot;:&quot;Convergent validity of the PUTS&quot;,&quot;groupId&quot;:&quot;07d62ac1-5aa8-39af-b49e-52d2088ac571&quot;,&quot;author&quot;:[{&quot;family&quot;:&quot;Brandt&quot;,&quot;given&quot;:&quot;Valerie Cathérine&quot;,&quot;parse-names&quot;:false,&quot;dropping-particle&quot;:&quot;&quot;,&quot;non-dropping-particle&quot;:&quot;&quot;},{&quot;family&quot;:&quot;Beck&quot;,&quot;given&quot;:&quot;Christian&quot;,&quot;parse-names&quot;:false,&quot;dropping-particle&quot;:&quot;&quot;,&quot;non-dropping-particle&quot;:&quot;&quot;},{&quot;family&quot;:&quot;Sajin&quot;,&quot;given&quot;:&quot;Valeria&quot;,&quot;parse-names&quot;:false,&quot;dropping-particle&quot;:&quot;&quot;,&quot;non-dropping-particle&quot;:&quot;&quot;},{&quot;family&quot;:&quot;Anders&quot;,&quot;given&quot;:&quot;Silke&quot;,&quot;parse-names&quot;:false,&quot;dropping-particle&quot;:&quot;&quot;,&quot;non-dropping-particle&quot;:&quot;&quot;},{&quot;family&quot;:&quot;Münchau&quot;,&quot;given&quot;:&quot;Alexander&quot;,&quot;parse-names&quot;:false,&quot;dropping-particle&quot;:&quot;&quot;,&quot;non-dropping-particle&quot;:&quot;&quot;}],&quot;container-title&quot;:&quot;Frontiers in Psychiatry&quot;,&quot;DOI&quot;:&quot;10.3389/fpsyt.2016.00051&quot;,&quot;ISSN&quot;:&quot;16640640&quot;,&quot;issued&quot;:{&quot;date-parts&quot;:[[2016,4,7]]},&quot;abstract&quot;:&quot;Premonitory urges are a cardinal feature in Gilles de la Tourette syndrome. Severity of premonitory urges can be assessed with the \&quot;Premonitory Urge for Tic Disorders Scale\&quot; (PUTS). However, convergent validity of the measure has been difficult to assess due to the lack of other urge measures. We investigated the relationship between average real-time urge intensity assessed by an in-house developed real-time urge monitor (RUM), measuring urge intensity continuously for 5 min on a visual analog scale, and general urge intensity assessed by the PUTS in 22 adult Tourette patients (mean age 29.8 ± 10.3 SD, 19 males). Additionally, underlying factors of premonitory urges assessed by the PUTS were investigated in the adult sample using factor analysis and were replicated in 40 children and adolescents diagnosed with Tourette syndrome (mean age 12.05 ± 2.83 SD, 31 males). Cronbach's a for the PUTS 10 was acceptable (α = 0.79) in the adult sample. Convergent validity between average real-time urge intensity scores (as assessed with the RUM) and the 10-item version of the PUTS (r = 0.64) and the 9-item version of the PUTS (r = 0.66) was good. A factor analysis including the 10 items of the PUTS and average real-time urge intensity scores revealed three factors. One factor included the average real-time urge intensity score and appeared to measure urge intensity, whereas the other two factors can be assumed to reflect the (sensory) quality of urges and subjective control, respectively. The factor structure of the 10 PUTS items alone was replicated in a sample of children and adolescents. The results indicate that convergent validity between the PUTS and the real-time urge assessment monitor is good. Furthermore, the results suggest that the PUTS might assess more than one dimension of urges, and it may be worthwhile developing different subscales of the PUTS assessing premonitory urges in terms of intensity and quality, as well as subjectively experienced control over tics and premonitory urges.&quot;,&quot;publisher&quot;:&quot;Frontiers Research Foundation&quot;,&quot;issue&quot;:&quot;APR&quot;,&quot;volume&quot;:&quot;7&quot;,&quot;container-title-short&quot;:&quot;Front Psychiatry&quot;},&quot;isTemporary&quot;:false}]},{&quot;citationID&quot;:&quot;MENDELEY_CITATION_9084fa36-35b2-418a-a614-f6ce85cd339e&quot;,&quot;properties&quot;:{&quot;noteIndex&quot;:0},&quot;isEdited&quot;:false,&quot;manualOverride&quot;:{&quot;isManuallyOverridden&quot;:false,&quot;citeprocText&quot;:&quot;(18)&quot;,&quot;manualOverrideText&quot;:&quot;&quot;},&quot;citationTag&quot;:&quot;MENDELEY_CITATION_v3_eyJjaXRhdGlvbklEIjoiTUVOREVMRVlfQ0lUQVRJT05fOTA4NGZhMzYtMzViMi00MThhLWE2MTQtZjZjZTg1Y2QzMzllIiwicHJvcGVydGllcyI6eyJub3RlSW5kZXgiOjB9LCJpc0VkaXRlZCI6ZmFsc2UsIm1hbnVhbE92ZXJyaWRlIjp7ImlzTWFudWFsbHlPdmVycmlkZGVuIjpmYWxzZSwiY2l0ZXByb2NUZXh0IjoiKDE4KSIsIm1hbnVhbE92ZXJyaWRlVGV4dCI6IiJ9LCJjaXRhdGlvbkl0ZW1zIjpbeyJpZCI6ImJkZjkyYTRmLWRmZjMtMzNiYS1hZjNmLWY2MmIxYjIxOTgxZiIsIml0ZW1EYXRhIjp7InR5cGUiOiJhcnRpY2xlLWpvdXJuYWwiLCJpZCI6ImJkZjkyYTRmLWRmZjMtMzNiYS1hZjNmLWY2MmIxYjIxOTgxZiIsInRpdGxlIjoiRGV2ZWxvcG1lbnQgb2YgdGhlIEtvcmVhbiBGb3JtIG9mIHRoZSBQcmVtb25pdG9yeSBVcmdlIGZvciBUaWNzIFNjYWxlOiBBIFJlbGlhYmlsaXR5IGFuZCBWYWxpZGl0eSBTdHVkeSIsImdyb3VwSWQiOiIwN2Q2MmFjMS01YWE4LTM5YWYtYjQ5ZS01MmQyMDg4YWM1NzEiLCJhdXRob3IiOlt7ImZhbWlseSI6IktpbSIsImdpdmVuIjoiTSIsInBhcnNlLW5hbWVzIjpmYWxzZSwiZHJvcHBpbmctcGFydGljbGUiOiIiLCJub24tZHJvcHBpbmctcGFydGljbGUiOiIifSx7ImZhbWlseSI6IkNodW5nIiwiZ2l2ZW4iOiJTIEsiLCJwYXJzZS1uYW1lcyI6ZmFsc2UsImRyb3BwaW5nLXBhcnRpY2xlIjoiIiwibm9uLWRyb3BwaW5nLXBhcnRpY2xlIjoiIn0seyJmYW1pbHkiOiJZYW5nIiwiZ2l2ZW4iOiJKIEMiLCJwYXJzZS1uYW1lcyI6ZmFsc2UsImRyb3BwaW5nLXBhcnRpY2xlIjoiIiwibm9uLWRyb3BwaW5nLXBhcnRpY2xlIjoiIn0seyJmYW1pbHkiOiJQYXJrIiwiZ2l2ZW4iOiJKIEkiLCJwYXJzZS1uYW1lcyI6ZmFsc2UsImRyb3BwaW5nLXBhcnRpY2xlIjoiIiwibm9uLWRyb3BwaW5nLXBhcnRpY2xlIjoiIn0seyJmYW1pbHkiOiJOYW0iLCJnaXZlbiI6IlMgSCIsInBhcnNlLW5hbWVzIjpmYWxzZSwiZHJvcHBpbmctcGFydGljbGUiOiIiLCJub24tZHJvcHBpbmctcGFydGljbGUiOiIifSx7ImZhbWlseSI6IlBhcmsiLCJnaXZlbiI6IlQgVyIsInBhcnNlLW5hbWVzIjpmYWxzZSwiZHJvcHBpbmctcGFydGljbGUiOiIiLCJub24tZHJvcHBpbmctcGFydGljbGUiOiIifV0sImNvbnRhaW5lci10aXRsZSI6IlNvYSBDaG9uZ3NvbnlvbiBDaG9uZ3NpbiBVaWhhayIsIkRPSSI6IjEwLjU3NjUvamthY2FwLjIwMDAxMyIsIlBNSUQiOiIzMjY2NTc1OCIsIlVSTCI6Imh0dHBzOi8vd3d3Lm5jYmkubmxtLm5paC5nb3YvcG1jL2FydGljbGVzL1BNQzczNTA1NDUvcGRmL0pLQUNBUC0zMS0xNDYucGRmIiwiaXNzdWVkIjp7ImRhdGUtcGFydHMiOltbMjAyMF1dfSwicGFnZSI6IjE0Ni0xNTMiLCJhYnN0cmFjdCI6Ik9CSkVDVElWRVM6IFRoaXMgc3R1ZHkgYWltZWQgdG8gZXZhbHVhdGUgdGhlIHJlbGlhYmlsaXR5IGFuZCB2YWxpZGl0eSBvZiB0aGUgS29yZWFuIEZvcm0gb2YgdGhlIFByZW1vbml0b3J5IFVyZ2UgZm9yIFRpY3MgU2NhbGUgKEstUFVUUykuIE1FVEhPRFM6IFRoaXJ0eS1laWdodCBwYXRpZW50cyB3aXRoIFRvdXJldHRlJ3MgZGlzb3JkZXIgd2hvIHZpc2l0ZWQgSmVvbmJ1ayBOYXRpb25hbCBVbml2ZXJzaXR5IEhvc3BpdGFsIHdlcmUgYXNzZXNzZWQgd2l0aCB0aGUgSy1QVVRTLiBUb2dldGhlciB3aXRoIHRoZSBQVVRTLCB0aGUgWWFsZSBHbG9iYWwgVGljIFNldmVyaXR5IFNjYWxlIChZR1RTUyksIHRoZSBDaGlsZHJlbidzIFlhbGUtQnJvd24gT2JzZXNzaXZlIENvbXB1bHNpdmUgU2NhbGUgKENZLUJPQ1MpLCB0aGUgYXR0ZW50aW9uLWRlZmljaXQvaHlwZXJhY3Rpdml0eSBkaXNvcmRlciAoQURIRCkgcmF0aW5nIHNjYWxlIChBUlMpLCBhbmQgdGhlIEFkdWx0IEFESEQgU2VsZi1SZXBvcnQgU2NhbGUgKEFTUlMpIHdlcmUgaW1wbGVtZW50ZWQgdG8gZXZhbHVhdGUgY29uY3VycmVudCBhbmQgZGlzY3JpbWluYW50IHZhbGlkaXR5LiBSRVNVTFRTOiBUaGUgaW50ZXJuYWwgY29uc2lzdGVuY3kgb2YgaXRlbXMgb24gdGhlIFBVVFMgd2FzIGhpZ2gsIHdpdGggYSBDcm9uYmFjaCdzIM6xIG9mIDAuNzkuIFRoZSB0ZXN0LXJldGVzdCByZWxpYWJpbGl0eSBvZiB0aGUgUFVUUywgd2hpY2ggd2FzIGFkbWluaXN0ZXJlZCBhdCAyIHdlZWtzIHRvIDIgbW9udGhzIGludGVydmFscywgc2hvd2VkIGhpZ2ggcmVsaWFiaWxpdHkgd2l0aCBhIFBlYXJzb24gY29ycmVsYXRpb24gY29lZmZpY2llbnQgb2YgMC42MC4gVGhlcmUgd2FzIGEgc2lnbmlmaWNhbnQgcG9zaXRpdmUgY29ycmVsYXRpb24gYmV0d2VlbiB0aGUgb3ZlcmFsbCBQVVRTIHNjb3JlIGFuZCB0aGUgWUdUU1Mgc2NvcmUsIHNob3dpbmcgY29uY3VycmVudCB2YWxpZGl0eS4gVGhlcmUgd2FzIG5vIGNvcnJlbGF0aW9uIGJldHdlZW4gdGhlIFBVVFMsIENZLUJPQ1MsIGFuZCBBU1JTIHNjb3JlcywgZGVtb25zdHJhdGluZyB0aGUgZGlzY3JpbWluYW50IHZhbGlkaXR5IG9mIHRoZSBQVVRTLiBGYWN0b3IgYW5hbHlzaXMgZm9yIGNvbnN0cnVjdCB2YWxpZGl0eSByZXZlYWxlZCB0aHJlZSBmYWN0b3JzOiBcInByZXN1bWVkIGZ1bmN0aW9uYWwgcmVsYXRpb25zaGlwIGJldHdlZW4gdGhlIHRpYyBhbmQgdGhlIHVyZ2UgdG8gdGljLFwiIFwidGhlIHF1YWxpdHkgb2YgdGhlIHByZW1vbml0b3J5IHVyZ2UsXCIgYW5kIFwianVzdCByaWdodCBwaGVub21lbmEuXCIgQ09OQ0xVU0lPTjogVGhlIHJlc3VsdHMgb2YgdGhpcyBzdHVkeSBpbmRpY2F0ZSB0aGF0IHRoZSBLLVBVVFMgaXMgYSByZWxpYWJsZSBhbmQgdmFsaWQgc2NhbGUgZm9yIHJhdGluZyBwcmVtb25pdG9yeSB1cmdlIG9mIHRpY3MuIiwiaXNzdWUiOiIzIiwidm9sdW1lIjoiMzEiLCJjb250YWluZXItdGl0bGUtc2hvcnQiOiIifSwiaXNUZW1wb3JhcnkiOmZhbHNlfV19&quot;,&quot;citationItems&quot;:[{&quot;id&quot;:&quot;bdf92a4f-dff3-33ba-af3f-f62b1b21981f&quot;,&quot;itemData&quot;:{&quot;type&quot;:&quot;article-journal&quot;,&quot;id&quot;:&quot;bdf92a4f-dff3-33ba-af3f-f62b1b21981f&quot;,&quot;title&quot;:&quot;Development of the Korean Form of the Premonitory Urge for Tics Scale: A Reliability and Validity Study&quot;,&quot;groupId&quot;:&quot;07d62ac1-5aa8-39af-b49e-52d2088ac571&quot;,&quot;author&quot;:[{&quot;family&quot;:&quot;Kim&quot;,&quot;given&quot;:&quot;M&quot;,&quot;parse-names&quot;:false,&quot;dropping-particle&quot;:&quot;&quot;,&quot;non-dropping-particle&quot;:&quot;&quot;},{&quot;family&quot;:&quot;Chung&quot;,&quot;given&quot;:&quot;S K&quot;,&quot;parse-names&quot;:false,&quot;dropping-particle&quot;:&quot;&quot;,&quot;non-dropping-particle&quot;:&quot;&quot;},{&quot;family&quot;:&quot;Yang&quot;,&quot;given&quot;:&quot;J C&quot;,&quot;parse-names&quot;:false,&quot;dropping-particle&quot;:&quot;&quot;,&quot;non-dropping-particle&quot;:&quot;&quot;},{&quot;family&quot;:&quot;Park&quot;,&quot;given&quot;:&quot;J I&quot;,&quot;parse-names&quot;:false,&quot;dropping-particle&quot;:&quot;&quot;,&quot;non-dropping-particle&quot;:&quot;&quot;},{&quot;family&quot;:&quot;Nam&quot;,&quot;given&quot;:&quot;S H&quot;,&quot;parse-names&quot;:false,&quot;dropping-particle&quot;:&quot;&quot;,&quot;non-dropping-particle&quot;:&quot;&quot;},{&quot;family&quot;:&quot;Park&quot;,&quot;given&quot;:&quot;T W&quot;,&quot;parse-names&quot;:false,&quot;dropping-particle&quot;:&quot;&quot;,&quot;non-dropping-particle&quot;:&quot;&quot;}],&quot;container-title&quot;:&quot;Soa Chongsonyon Chongsin Uihak&quot;,&quot;DOI&quot;:&quot;10.5765/jkacap.200013&quot;,&quot;PMID&quot;:&quot;32665758&quot;,&quot;URL&quot;:&quot;https://www.ncbi.nlm.nih.gov/pmc/articles/PMC7350545/pdf/JKACAP-31-146.pdf&quot;,&quot;issued&quot;:{&quot;date-parts&quot;:[[2020]]},&quot;page&quot;:&quot;146-153&quot;,&quot;abstract&quot;:&quot;OBJECTIVES: This study aimed to evaluate the reliability and validity of the Korean Form of the Premonitory Urge for Tics Scale (K-PUTS). METHODS: Thirty-eight patients with Tourette's disorder who visited Jeonbuk National University Hospital were assessed with the K-PUTS. Together with the PUTS, the Yale Global Tic Severity Scale (YGTSS), the Children's Yale-Brown Obsessive Compulsive Scale (CY-BOCS), the attention-deficit/hyperactivity disorder (ADHD) rating scale (ARS), and the Adult ADHD Self-Report Scale (ASRS) were implemented to evaluate concurrent and discriminant validity. RESULTS: The internal consistency of items on the PUTS was high, with a Cronbach's α of 0.79. The test-retest reliability of the PUTS, which was administered at 2 weeks to 2 months intervals, showed high reliability with a Pearson correlation coefficient of 0.60. There was a significant positive correlation between the overall PUTS score and the YGTSS score, showing concurrent validity. There was no correlation between the PUTS, CY-BOCS, and ASRS scores, demonstrating the discriminant validity of the PUTS. Factor analysis for construct validity revealed three factors: \&quot;presumed functional relationship between the tic and the urge to tic,\&quot; \&quot;the quality of the premonitory urge,\&quot; and \&quot;just right phenomena.\&quot; CONCLUSION: The results of this study indicate that the K-PUTS is a reliable and valid scale for rating premonitory urge of tics.&quot;,&quot;issue&quot;:&quot;3&quot;,&quot;volume&quot;:&quot;31&quot;,&quot;container-title-short&quot;:&quot;&quot;},&quot;isTemporary&quot;:false}]},{&quot;citationID&quot;:&quot;MENDELEY_CITATION_70f3f14c-0c88-46bf-b174-1c6ce287b928&quot;,&quot;properties&quot;:{&quot;noteIndex&quot;:0},&quot;isEdited&quot;:false,&quot;manualOverride&quot;:{&quot;isManuallyOverridden&quot;:false,&quot;citeprocText&quot;:&quot;(23)&quot;,&quot;manualOverrideText&quot;:&quot;&quot;},&quot;citationTag&quot;:&quot;MENDELEY_CITATION_v3_eyJjaXRhdGlvbklEIjoiTUVOREVMRVlfQ0lUQVRJT05fNzBmM2YxNGMtMGM4OC00NmJmLWIxNzQtMWM2Y2UyODdiOTI4IiwicHJvcGVydGllcyI6eyJub3RlSW5kZXgiOjB9LCJpc0VkaXRlZCI6ZmFsc2UsIm1hbnVhbE92ZXJyaWRlIjp7ImlzTWFudWFsbHlPdmVycmlkZGVuIjpmYWxzZSwiY2l0ZXByb2NUZXh0IjoiKDIzKSIsIm1hbnVhbE92ZXJyaWRlVGV4dCI6IiJ9LCJjaXRhdGlvbkl0ZW1zIjpbeyJpZCI6IjMzMmE2MmZjLTBiYzAtMzJmNi1hODFjLTUyN2RiMTcyZDZjNCIsIml0ZW1EYXRhIjp7InR5cGUiOiJhcnRpY2xlLWpvdXJuYWwiLCJpZCI6IjMzMmE2MmZjLTBiYzAtMzJmNi1hODFjLTUyN2RiMTcyZDZjNCIsInRpdGxlIjoiQXJpcGlwcmF6b2xlIGltcHJvdmVzIGFzc29jaWF0ZWQgY29tb3JiaWQgY29uZGl0aW9ucyBpbiBhZGRpdGlvbiB0byB0aWNzIGluIGFkdWx0IHBhdGllbnRzIHdpdGggR2lsbGVzIGRlIGxhIFRvdXJldHRlIFN5bmRyb21lIiwiZ3JvdXBJZCI6IjA3ZDYyYWMxLTVhYTgtMzlhZi1iNDllLTUyZDIwODhhYzU3MSIsImF1dGhvciI6W3siZmFtaWx5IjoiR2VyYXNjaCIsImdpdmVuIjoiUyIsInBhcnNlLW5hbWVzIjpmYWxzZSwiZHJvcHBpbmctcGFydGljbGUiOiIiLCJub24tZHJvcHBpbmctcGFydGljbGUiOiIifSx7ImZhbWlseSI6IkthbmFhbiIsImdpdmVuIjoiQSBTIiwicGFyc2UtbmFtZXMiOmZhbHNlLCJkcm9wcGluZy1wYXJ0aWNsZSI6IiIsIm5vbi1kcm9wcGluZy1wYXJ0aWNsZSI6IiJ9LHsiZmFtaWx5IjoiSmFrdWJvdnNraSIsImdpdmVuIjoiRSIsInBhcnNlLW5hbWVzIjpmYWxzZSwiZHJvcHBpbmctcGFydGljbGUiOiIiLCJub24tZHJvcHBpbmctcGFydGljbGUiOiIifSx7ImZhbWlseSI6Ik11bGxlci1WYWhsIiwiZ2l2ZW4iOiJLIFIiLCJwYXJzZS1uYW1lcyI6ZmFsc2UsImRyb3BwaW5nLXBhcnRpY2xlIjoiIiwibm9uLWRyb3BwaW5nLXBhcnRpY2xlIjoiIn1dLCJjb250YWluZXItdGl0bGUiOiJGcm9udGllcnMgaW4gTmV1cm9zY2llbmNlIiwiRE9JIjoiaHR0cHM6Ly9keC5kb2kub3JnLzEwLjMzODkvZm5pbnMuMjAxNi4wMDQxNiIsIlVSTCI6Imh0dHA6Ly9qb3VybmFsLmZyb250aWVyc2luLm9yZy9hcnRpY2xlLzEwLjMzODkvZm5pbnMuMjAxNi4wMDQxNi9mdWxsaHR0cDovL292aWRzcC5vdmlkLmNvbS9vdmlkd2ViLmNnaT9UPUpTJlBBR0U9cmVmZXJlbmNlJkQ9ZW1lZDE3Jk5FV1M9TiZBTj02MTI3OTM2NDgiLCJpc3N1ZWQiOnsiZGF0ZS1wYXJ0cyI6W1syMDE2XV19LCJwYWdlIjoiNDE2IiwiYWJzdHJhY3QiOiJHaWxsZXMgZGUgbGEgVG91cmV0dGUgU3luZHJvbWUgKEdUUykgaXMgY2hhcmFjdGVyaXplZCBieSBtb3RvciBhbmQgdm9jYWwgdGljcywgYXMgd2VsbCBhcyBhc3NvY2lhdGVkIGNvbW9yYmlkIGNvbmRpdGlvbnMgaW5jbHVkaW5nIG9ic2Vzc2l2ZS1jb21wdWxzaXZlIGRpc29yZGVyIChPQ0QpLCBhdHRlbnRpb24gZGVmaWNpdC9oeXBlcmFjdGl2aXR5IGRpc29yZGVyIChBREhEKSwgZGVwcmVzc2lvbiwgYW5kIGFueGlldHkgd2hpY2ggYXJlIHByZXNlbnQgaW4gYSBzdWJzdGFudGlhbCBudW1iZXIgb2YgcGF0aWVudHMuIEFsdGhvdWdoIHJhbmRvbWl6ZWQgY29udHJvbGxlZCB0cmlhbHMgaW5jbHVkaW5nIGEgbGFyZ2UgbnVtYmVyIG9mIHBhdGllbnRzIGFyZSBzdGlsbCBtaXNzaW5nLCBhcmlwaXByYXpvbGUgaXMgY3VycmVudGx5IGNvbnNpZGVyZWQgYXMgYSBmaXJzdCBjaG9pY2UgZHJ1ZyBmb3IgdGhlIHRyZWF0bWVudCBvZiB0aWNzLiBUaGUgYWltIG9mIHRoaXMgc3R1ZHkgd2FzIHRvIGZ1cnRoZXIgaW52ZXN0aWdhdGUgZWZmaWNhY3kgYW5kIHNhZmV0eSBvZiBhcmlwaXByYXpvbGUgaW4gYSBncm91cCBvZiBkcnVnLWZyZWUsIGFkdWx0IHBhdGllbnRzLiBTcGVjaWZpY2FsbHksIHdlIGludmVzdGlnYXRlZCB0aGUgaW5mbHVlbmNlIG9mIGFyaXBpcHJhem9sZSBvbiB0aWMgc2V2ZXJpdHksIGNvbW9yYmlkaXRpZXMsIHByZW1vbml0b3J5IHVyZ2UgKFBVKSwgYW5kIHF1YWxpdHkgb2YgbGlmZSAoUW9MKS4gTW9yZW92ZXIsIHdlIHdlcmUgaW50ZXJlc3RlZCBpbiB0aGUgZmFjdG9ycyB0aGF0IGluZmx1ZW5jZSBhIHBhdGllbnQncyBkZWNpc2lvbiBpbiBlbGVjdGluZyBmb3Itb3IgYWdhaW5zdC0gcGhhcm1hY29sb2dpY2FsIHRyZWF0bWVudC4gSW4gdGhpcyBwcm9zcGVjdGl2ZSB1bmNvbnRyb2xsZWQgb3Blbi1sYWJlbCBzdHVkeSwgd2UgaW5jbHVkZWQgNDQgcGF0aWVudHMgYW5kIHVzZWQgYSBudW1iZXIgb2YgcmF0aW5nIHNjYWxlcyB0byBhc3Nlc3MgdGljIHNldmVyaXR5LCBQVSwgY29tb3JiaWRpdGllcywgYW5kIFFvTCBhdCBiYXNlbGluZSBhbmQgZHVyaW5nIHRyZWF0bWVudCB3aXRoIGFyaXBpcHJhem9sZS4gRWlnaHRlZW4gb3V0IG9mIGZvcnR5Zm91ciBwYXRpZW50cyBkZWNpZGVkIGZvciB1bmRlcmdvaW5nIHRyZWF0bWVudCBmb3IgdGhlaXIgdGljcyB3aXRoIGFyaXBpcHJhem9sZSBhbmQgY29tcGxldGVkIGZvbGxvdy11cCBhc3Nlc3NtZW50cyBhZnRlciA0LTYgd2Vla3MuIE91ciBtYWpvciBmaW5kaW5ncyB3ZXJlICgxKSBhcmlwaXByYXpvbGUgcmVzdWx0ZWQgaW4gc2lnbmlmaWNhbnQgcmVkdWN0aW9uIG9mIHRpY3MsIGJ1dCBkaWQgbm90IGFmZmVjdCBQVTsgKDIpIGFyaXBpcHJhem9sZSBzaWduaWZpY2FudGx5IGltcHJvdmVkIE9DRCBhbmQgc2hvd2VkIGEgdHJlbmQgdG93YXJkIGltcHJvdmVtZW50IG9mIG90aGVyIGNvbW9yYmlkaXRpZXMgaW5jbHVkaW5nIGRlcHJlc3Npb24sIGFueGlldHksIGFuZCBBREhEOyAoMykgbmVpdGhlciBzZXZlcml0eSBvZiB0aWNzLCBub3IgUFUgb3IgUW9MIGluZmx1ZW5jZWQgcGF0aWVudHMnIGRlY2lzaW9ucyBmb3Igb3IgYWdhaW5zdCB0cmVhdG1lbnQgb2YgdGljcyB3aXRoIGFyaXBpcHJhem9sZTsgaW5zdGVhZCBwYXRpZW50cyB3aXRoIGNvbW9yYmlkIE9DRCB0ZW5kZWQgdG8gZGVjaWRlIGluIGZhdm9yIG9mLCB3aGlsZSBwYXRpZW50cyB3aXRoIGNvbW9yYmlkIEFESEQgdGVuZGVkIHRvIGRlY2lkZSBhZ2FpbnN0IHRpYyB0cmVhdG1lbnQ7ICg0KSBtb3N0IGZyZXF1ZW50bHkgcmVwb3J0ZWQgYWR2ZXJzZSBlZmZlY3RzIHdlcmUgc2xlZXBpbmcgcHJvYmxlbXM7ICg1KSBwYXRpZW50cycgUW9MIHdhcyBtb3N0bHkgaW1wYWlyZWQgYnkgY29tb3JiaWQgZGVwcmVzc2lvbi4gT3VyIHJlc3VsdHMgc3VnZ2VzdCB0aGF0IGFyaXBpcHJhem9sZSBtYXkgaW1wcm92ZSBhc3NvY2lhdGVkIGNvbW9yYmlkIGNvbmRpdGlvbnMgaW4gYWRkaXRpb24gdG8gdGljcyBpbiBwYXRpZW50cyB3aXRoIEdUUy4gSXQgY2FuIGJlIGh5cG90aGVzaXplZCB0aGF0IHRoZXNlIGJlbmVmaWNpYWwgZWZmZWN0cyBhcmUgcmVsYXRlZCB0byBhcmlwaXByYXpvbGUncyBhZGFwdGl2ZSBwaGFybWFjb2xvZ2ljYWwgcHJvZmlsZSwgd2hpY2ggZXhoaWJpdHMgYW4gaW5mbHVlbmNlIG9uIHRoZSBkb3BhbWluZXJnaWMgYXMgd2VsbCBhcyBhIG51bWJlciBvZiBvdGhlciBuZXVyb3RyYW5zbWl0dGVyIHN5c3RlbXMuIEZvciB0aGUgZmlyc3QgdGltZSwgb3VyIGRhdGEgcHJvdmlkZSBldmlkZW5jZSB0aGF0IHBhdGllbnRzJyBkZWNpc2lvbiBtYWtpbmcgcHJvY2VzcyBmb3Igb3IgYWdhaW5zdCBtZWRpY2FsIHRyZWF0bWVudCBpcyBpbmZsdWVuY2VkIGJ5IG90aGVyIGZhY3RvcnMgdGhhbiB0aWMgc2V2ZXJpdHkgYW5kIFFvTC5Db3B5cmlnaHQgwqkgMjAxNiBHZXJhc2NoLCBLYW5hYW4sIEpha3Vib3Zza2kgYW5kIE11bGxlci1WYWhsLiIsImlzc3VlIjoiU0VQIiwidm9sdW1lIjoiMTAiLCJjb250YWluZXItdGl0bGUtc2hvcnQiOiJGcm9udCBOZXVyb3NjaSJ9LCJpc1RlbXBvcmFyeSI6ZmFsc2V9XX0=&quot;,&quot;citationItems&quot;:[{&quot;id&quot;:&quot;332a62fc-0bc0-32f6-a81c-527db172d6c4&quot;,&quot;itemData&quot;:{&quot;type&quot;:&quot;article-journal&quot;,&quot;id&quot;:&quot;332a62fc-0bc0-32f6-a81c-527db172d6c4&quot;,&quot;title&quot;:&quot;Aripiprazole improves associated comorbid conditions in addition to tics in adult patients with Gilles de la Tourette Syndrome&quot;,&quot;groupId&quot;:&quot;07d62ac1-5aa8-39af-b49e-52d2088ac571&quot;,&quot;author&quot;:[{&quot;family&quot;:&quot;Gerasch&quot;,&quot;given&quot;:&quot;S&quot;,&quot;parse-names&quot;:false,&quot;dropping-particle&quot;:&quot;&quot;,&quot;non-dropping-particle&quot;:&quot;&quot;},{&quot;family&quot;:&quot;Kanaan&quot;,&quot;given&quot;:&quot;A S&quot;,&quot;parse-names&quot;:false,&quot;dropping-particle&quot;:&quot;&quot;,&quot;non-dropping-particle&quot;:&quot;&quot;},{&quot;family&quot;:&quot;Jakubovski&quot;,&quot;given&quot;:&quot;E&quot;,&quot;parse-names&quot;:false,&quot;dropping-particle&quot;:&quot;&quot;,&quot;non-dropping-particle&quot;:&quot;&quot;},{&quot;family&quot;:&quot;Muller-Vahl&quot;,&quot;given&quot;:&quot;K R&quot;,&quot;parse-names&quot;:false,&quot;dropping-particle&quot;:&quot;&quot;,&quot;non-dropping-particle&quot;:&quot;&quot;}],&quot;container-title&quot;:&quot;Frontiers in Neuroscience&quot;,&quot;DOI&quot;:&quot;https://dx.doi.org/10.3389/fnins.2016.00416&quot;,&quot;URL&quot;:&quot;http://journal.frontiersin.org/article/10.3389/fnins.2016.00416/fullhttp://ovidsp.ovid.com/ovidweb.cgi?T=JS&amp;PAGE=reference&amp;D=emed17&amp;NEWS=N&amp;AN=612793648&quot;,&quot;issued&quot;:{&quot;date-parts&quot;:[[2016]]},&quot;page&quot;:&quot;416&quot;,&quot;abstract&quot;:&quot;Gilles de la Tourette Syndrome (GTS) is characterized by motor and vocal tics, as well as associated comorbid conditions including obsessive-compulsive disorder (OCD), attention deficit/hyperactivity disorder (ADHD), depression, and anxiety which are present in a substantial number of patients. Although randomized controlled trials including a large number of patients are still missing, aripiprazole is currently considered as a first choice drug for the treatment of tics. The aim of this study was to further investigate efficacy and safety of aripiprazole in a group of drug-free, adult patients. Specifically, we investigated the influence of aripiprazole on tic severity, comorbidities, premonitory urge (PU), and quality of life (QoL). Moreover, we were interested in the factors that influence a patient's decision in electing for-or against- pharmacological treatment. In this prospective uncontrolled open-label study, we included 44 patients and used a number of rating scales to assess tic severity, PU, comorbidities, and QoL at baseline and during treatment with aripiprazole. Eighteen out of fortyfour patients decided for undergoing treatment for their tics with aripiprazole and completed follow-up assessments after 4-6 weeks. Our major findings were (1) aripiprazole resulted in significant reduction of tics, but did not affect PU; (2) aripiprazole significantly improved OCD and showed a trend toward improvement of other comorbidities including depression, anxiety, and ADHD; (3) neither severity of tics, nor PU or QoL influenced patients' decisions for or against treatment of tics with aripiprazole; instead patients with comorbid OCD tended to decide in favor of, while patients with comorbid ADHD tended to decide against tic treatment; (4) most frequently reported adverse effects were sleeping problems; (5) patients' QoL was mostly impaired by comorbid depression. Our results suggest that aripiprazole may improve associated comorbid conditions in addition to tics in patients with GTS. It can be hypothesized that these beneficial effects are related to aripiprazole's adaptive pharmacological profile, which exhibits an influence on the dopaminergic as well as a number of other neurotransmitter systems. For the first time, our data provide evidence that patients' decision making process for or against medical treatment is influenced by other factors than tic severity and QoL.Copyright © 2016 Gerasch, Kanaan, Jakubovski and Muller-Vahl.&quot;,&quot;issue&quot;:&quot;SEP&quot;,&quot;volume&quot;:&quot;10&quot;,&quot;container-title-short&quot;:&quot;Front Neurosci&quot;},&quot;isTemporary&quot;:false}]},{&quot;citationID&quot;:&quot;MENDELEY_CITATION_c62fd0e4-cdcd-4801-b398-8bcb18c848ca&quot;,&quot;properties&quot;:{&quot;noteIndex&quot;:0},&quot;isEdited&quot;:false,&quot;manualOverride&quot;:{&quot;isManuallyOverridden&quot;:false,&quot;citeprocText&quot;:&quot;(53)&quot;,&quot;manualOverrideText&quot;:&quot;&quot;},&quot;citationTag&quot;:&quot;MENDELEY_CITATION_v3_eyJjaXRhdGlvbklEIjoiTUVOREVMRVlfQ0lUQVRJT05fYzYyZmQwZTQtY2RjZC00ODAxLWIzOTgtOGJjYjE4Yzg0OGNhIiwicHJvcGVydGllcyI6eyJub3RlSW5kZXgiOjB9LCJpc0VkaXRlZCI6ZmFsc2UsIm1hbnVhbE92ZXJyaWRlIjp7ImlzTWFudWFsbHlPdmVycmlkZGVuIjpmYWxzZSwiY2l0ZXByb2NUZXh0IjoiKDUzKSIsIm1hbnVhbE92ZXJyaWRlVGV4dCI6IiJ9LCJjaXRhdGlvbkl0ZW1zIjpbeyJpZCI6ImMwODUyMGM3LWMzZGItMzA3YS1hNjkwLWE5ZDU2OGRhZDVmMyIsIml0ZW1EYXRhIjp7InR5cGUiOiJhcnRpY2xlLWpvdXJuYWwiLCJpZCI6ImMwODUyMGM3LWMzZGItMzA3YS1hNjkwLWE5ZDU2OGRhZDVmMyIsInRpdGxlIjoiVXJnZS10aWMgYXNzb2NpYXRpb25zIGluIGNoaWxkcmVuIGFuZCBhZG9sZXNjZW50cyB3aXRoIFRvdXJldHRlIHN5bmRyb21lIiwiZ3JvdXBJZCI6IjA3ZDYyYWMxLTVhYTgtMzlhZi1iNDllLTUyZDIwODhhYzU3MSIsImF1dGhvciI6W3siZmFtaWx5IjoiTGFuZ2VsYWdlIiwiZ2l2ZW4iOiJKZW5uaWZlciIsInBhcnNlLW5hbWVzIjpmYWxzZSwiZHJvcHBpbmctcGFydGljbGUiOiIiLCJub24tZHJvcHBpbmctcGFydGljbGUiOiIifSx7ImZhbWlseSI6IlZlcnJlbCIsImdpdmVuIjoiSnVsaXVzIiwicGFyc2UtbmFtZXMiOmZhbHNlLCJkcm9wcGluZy1wYXJ0aWNsZSI6IiIsIm5vbi1kcm9wcGluZy1wYXJ0aWNsZSI6IiJ9LHsiZmFtaWx5IjoiRnJpZWRyaWNoIiwiZ2l2ZW4iOiJKdWxpYSIsInBhcnNlLW5hbWVzIjpmYWxzZSwiZHJvcHBpbmctcGFydGljbGUiOiIiLCJub24tZHJvcHBpbmctcGFydGljbGUiOiIifSx7ImZhbWlseSI6IlNpZWttYW5uIiwiZ2l2ZW4iOiJBbGluYSIsInBhcnNlLW5hbWVzIjpmYWxzZSwiZHJvcHBpbmctcGFydGljbGUiOiIiLCJub24tZHJvcHBpbmctcGFydGljbGUiOiIifSx7ImZhbWlseSI6IlNjaGFwcGVydCIsImdpdmVuIjoiUm9uamEiLCJwYXJzZS1uYW1lcyI6ZmFsc2UsImRyb3BwaW5nLXBhcnRpY2xlIjoiIiwibm9uLWRyb3BwaW5nLXBhcnRpY2xlIjoiIn0seyJmYW1pbHkiOiJCbHVzY2hrZSIsImdpdmVuIjoiQW5uZXQiLCJwYXJzZS1uYW1lcyI6ZmFsc2UsImRyb3BwaW5nLXBhcnRpY2xlIjoiIiwibm9uLWRyb3BwaW5nLXBhcnRpY2xlIjoiIn0seyJmYW1pbHkiOiJSb2Vzc25lciIsImdpdmVuIjoiVmVpdCIsInBhcnNlLW5hbWVzIjpmYWxzZSwiZHJvcHBpbmctcGFydGljbGUiOiIiLCJub24tZHJvcHBpbmctcGFydGljbGUiOiIifSx7ImZhbWlseSI6IlBhdWx1cyIsImdpdmVuIjoiVGhlcmVzYSIsInBhcnNlLW5hbWVzIjpmYWxzZSwiZHJvcHBpbmctcGFydGljbGUiOiIiLCJub24tZHJvcHBpbmctcGFydGljbGUiOiIifSx7ImZhbWlseSI6IkLDpHVtZXIiLCJnaXZlbiI6IlRvYmlhcyIsInBhcnNlLW5hbWVzIjpmYWxzZSwiZHJvcHBpbmctcGFydGljbGUiOiIiLCJub24tZHJvcHBpbmctcGFydGljbGUiOiIifSx7ImZhbWlseSI6IkZyaW5ncyIsImdpdmVuIjoiQ2hyaXN0aWFuIiwicGFyc2UtbmFtZXMiOmZhbHNlLCJkcm9wcGluZy1wYXJ0aWNsZSI6IiIsIm5vbi1kcm9wcGluZy1wYXJ0aWNsZSI6IiJ9LHsiZmFtaWx5IjoiQmVzdGUiLCJnaXZlbiI6IkNocmlzdGlhbiIsInBhcnNlLW5hbWVzIjpmYWxzZSwiZHJvcHBpbmctcGFydGljbGUiOiIiLCJub24tZHJvcHBpbmctcGFydGljbGUiOiIifSx7ImZhbWlseSI6Ik3DvG5jaGF1IiwiZ2l2ZW4iOiJBbGV4YW5kZXIiLCJwYXJzZS1uYW1lcyI6ZmFsc2UsImRyb3BwaW5nLXBhcnRpY2xlIjoiIiwibm9uLWRyb3BwaW5nLXBhcnRpY2xlIjoiIn1dLCJjb250YWluZXItdGl0bGUiOiJTY2llbnRpZmljIFJlcG9ydHMiLCJET0kiOiIxMC4xMDM4L3M0MTU5OC0wMjItMTk2ODUtNSIsIklTU04iOiIyMDQ1MjMyMiIsIlBNSUQiOiIzNjE2MzQ4MiIsImlzc3VlZCI6eyJkYXRlLXBhcnRzIjpbWzIwMjIsMTIsMV1dfSwiYWJzdHJhY3QiOiJQcmVtb25pdG9yeSB1cmdlcyBwcmVjZWRpbmcgdGljcyBhcmUgYSBjYXJkaW5hbCBmZWF0dXJlIG9mIEdpbGxlcyBkZSBsYSBUb3VyZXR0ZSBzeW5kcm9tZSAoR1RTKSwgYSBkZXZlbG9wbWVudGFsIGRpc29yZGVyIHVzdWFsbHkgc3RhcnRpbmcgZHVyaW5nIG1pZGRsZSBjaGlsZGhvb2QuIEhvd2V2ZXIsIHRoZSB0ZW1wb3JhbCByZWxhdGlvbiBiZXR3ZWVuIHVyZ2VzIGFuZCB0aWNzIGhhcyBvbmx5IGJlZW4gaW52ZXN0aWdhdGVkIGluIGFkdWx0cy4gSW4gMjUgY2hpbGRyZW4gYW5kIGFkb2xlc2NlbnRzIHdpdGggR1RTICg44oCTMTjCoHllYXJzKSwgd2UgYXNzZXNzIHVyZ2UtdGljIGFzc29jaWF0aW9ucywgaW5jbHVkaW5nIGludGVyLWluZGl2aWR1YWwgZGlmZmVyZW5jZXMsIGNvcnJlbGF0aW9uIHRvIGNsaW5pY2FsIG1lYXN1cmVzLCBhbmQgaW4gY29tcGFyaXNvbiB0byBhIHByZXZpb3VzbHkgcmVwb3J0ZWQgc2FtcGxlIG9mIGFkdWx0IEdUUyBwYXRpZW50cy4gR3JvdXAtbGV2ZWwgYW5hbHlzZXMgY29uZmlybWVkIHBvc2l0aXZlIGFzc29jaWF0aW9ucyBiZXR3ZWVuIHVyZ2VzIGFuZCB0aWNzLiBIb3dldmVyLCBhdCB0aGUgaW5kaXZpZHVhbCBsZXZlbCwgbGVzcyB0aGFuIGhhbGYgb2YgcGFydGljaXBhbnRzIHNob3dlZCBwb3NpdGl2ZSBhc3NvY2lhdGlvbnMsIGEgc2ltaWxhciBwcm9wb3J0aW9uIGRpZCBub3QsIGFuZCBpbiB0d28gcGFydGljaXBhbnRzLCB0aGUgYXNzb2NpYXRpb24gd2FzIHJldmVyc2VkLiBUaWMgZXhwcmVzc2lvbiBhbmQgc3ViamVjdGl2ZSB1cmdlIGxldmVscyBjb3JyZWxhdGVkIHdpdGggY29ycmVzcG9uZGluZyBjbGluaWNhbCBzY29yZXMgYW5kIHBhcnRpY2lwYW50cyB3aXRoIG1vcmUgc2V2ZXJlIHRpY3MgZHVyaW5nIHRoZSB1cmdlIG1vbml0b3IgZXhoaWJpdGVkIHN0cm9uZ2VyIHVyZ2UtdGljIGFzc29jaWF0aW9ucy4gQXNzb2NpYXRpb25zIGJldHdlZW4gcmVwb3J0ZWQgdXJnZSBsZXZlbHMgYW5kIGluc3RhbnRhbmVvdXMgdGljIGludGVuc2l0eSB0ZW5kZWQgdG8gYmUgbGVzcyBwcm9ub3VuY2VkIGluIGNoaWxkcmVuIGFuZCBhZG9sZXNjZW50cyB0aGFuIGluIGFkdWx0IEdUUyBwYXRpZW50cy4gVGhlIG9ic2VydmVkIGhldGVyb2dlbmVpdHkgb2YgdXJnZS10aWMgYXNzb2NpYXRpb25zIGNhc3QgZG91YnQgb24gdGhlIG5vdGlvbiB0aGF0IHRpY3MgYXJlIGRpcmVjdGx5IGNhdXNlZCBieSB1cmdlcy4gTW9yZSBzZXZlcmUgdGljcyBtYXkgZmFjaWxpdGF0ZSBhbnRpY2lwYXRpb24gb2YgdGljcyBhbmQgdGhlcmVieSBsZWFkIHRvIG1vcmUgcHJvbm91bmNlZCB1cmdlLXRpYyBhc3NvY2lhdGlvbnMsIGNvbnNpc3RlbnQgd2l0aCBhIGh5cG90aGVzaXMgb2YgdXJnZXMgYXMgYSBieXByb2R1Y3Qgb2YgdGljcy4iLCJwdWJsaXNoZXIiOiJOYXR1cmUgUmVzZWFyY2giLCJpc3N1ZSI6IjEiLCJ2b2x1bWUiOiIxMiIsImNvbnRhaW5lci10aXRsZS1zaG9ydCI6IlNjaSBSZXAifSwiaXNUZW1wb3JhcnkiOmZhbHNlfV19&quot;,&quot;citationItems&quot;:[{&quot;id&quot;:&quot;c08520c7-c3db-307a-a690-a9d568dad5f3&quot;,&quot;itemData&quot;:{&quot;type&quot;:&quot;article-journal&quot;,&quot;id&quot;:&quot;c08520c7-c3db-307a-a690-a9d568dad5f3&quot;,&quot;title&quot;:&quot;Urge-tic associations in children and adolescents with Tourette syndrome&quot;,&quot;groupId&quot;:&quot;07d62ac1-5aa8-39af-b49e-52d2088ac571&quot;,&quot;author&quot;:[{&quot;family&quot;:&quot;Langelage&quot;,&quot;given&quot;:&quot;Jennifer&quot;,&quot;parse-names&quot;:false,&quot;dropping-particle&quot;:&quot;&quot;,&quot;non-dropping-particle&quot;:&quot;&quot;},{&quot;family&quot;:&quot;Verrel&quot;,&quot;given&quot;:&quot;Julius&quot;,&quot;parse-names&quot;:false,&quot;dropping-particle&quot;:&quot;&quot;,&quot;non-dropping-particle&quot;:&quot;&quot;},{&quot;family&quot;:&quot;Friedrich&quot;,&quot;given&quot;:&quot;Julia&quot;,&quot;parse-names&quot;:false,&quot;dropping-particle&quot;:&quot;&quot;,&quot;non-dropping-particle&quot;:&quot;&quot;},{&quot;family&quot;:&quot;Siekmann&quot;,&quot;given&quot;:&quot;Alina&quot;,&quot;parse-names&quot;:false,&quot;dropping-particle&quot;:&quot;&quot;,&quot;non-dropping-particle&quot;:&quot;&quot;},{&quot;family&quot;:&quot;Schappert&quot;,&quot;given&quot;:&quot;Ronja&quot;,&quot;parse-names&quot;:false,&quot;dropping-particle&quot;:&quot;&quot;,&quot;non-dropping-particle&quot;:&quot;&quot;},{&quot;family&quot;:&quot;Bluschke&quot;,&quot;given&quot;:&quot;Annet&quot;,&quot;parse-names&quot;:false,&quot;dropping-particle&quot;:&quot;&quot;,&quot;non-dropping-particle&quot;:&quot;&quot;},{&quot;family&quot;:&quot;Roessner&quot;,&quot;given&quot;:&quot;Veit&quot;,&quot;parse-names&quot;:false,&quot;dropping-particle&quot;:&quot;&quot;,&quot;non-dropping-particle&quot;:&quot;&quot;},{&quot;family&quot;:&quot;Paulus&quot;,&quot;given&quot;:&quot;Theresa&quot;,&quot;parse-names&quot;:false,&quot;dropping-particle&quot;:&quot;&quot;,&quot;non-dropping-particle&quot;:&quot;&quot;},{&quot;family&quot;:&quot;Bäumer&quot;,&quot;given&quot;:&quot;Tobias&quot;,&quot;parse-names&quot;:false,&quot;dropping-particle&quot;:&quot;&quot;,&quot;non-dropping-particle&quot;:&quot;&quot;},{&quot;family&quot;:&quot;Frings&quot;,&quot;given&quot;:&quot;Christian&quot;,&quot;parse-names&quot;:false,&quot;dropping-particle&quot;:&quot;&quot;,&quot;non-dropping-particle&quot;:&quot;&quot;},{&quot;family&quot;:&quot;Beste&quot;,&quot;given&quot;:&quot;Christian&quot;,&quot;parse-names&quot;:false,&quot;dropping-particle&quot;:&quot;&quot;,&quot;non-dropping-particle&quot;:&quot;&quot;},{&quot;family&quot;:&quot;Münchau&quot;,&quot;given&quot;:&quot;Alexander&quot;,&quot;parse-names&quot;:false,&quot;dropping-particle&quot;:&quot;&quot;,&quot;non-dropping-particle&quot;:&quot;&quot;}],&quot;container-title&quot;:&quot;Scientific Reports&quot;,&quot;DOI&quot;:&quot;10.1038/s41598-022-19685-5&quot;,&quot;ISSN&quot;:&quot;20452322&quot;,&quot;PMID&quot;:&quot;36163482&quot;,&quot;issued&quot;:{&quot;date-parts&quot;:[[2022,12,1]]},&quot;abstract&quot;:&quot;Premonitory urges preceding tics are a cardinal feature of Gilles de la Tourette syndrome (GTS), a developmental disorder usually starting during middle childhood. However, the temporal relation between urges and tics has only been investigated in adults. In 25 children and adolescents with GTS (8–18 years), we assess urge-tic associations, including inter-individual differences, correlation to clinical measures, and in comparison to a previously reported sample of adult GTS patients. Group-level analyses confirmed positive associations between urges and tics. However, at the individual level, less than half of participants showed positive associations, a similar proportion did not, and in two participants, the association was reversed. Tic expression and subjective urge levels correlated with corresponding clinical scores and participants with more severe tics during the urge monitor exhibited stronger urge-tic associations. Associations between reported urge levels and instantaneous tic intensity tended to be less pronounced in children and adolescents than in adult GTS patients. The observed heterogeneity of urge-tic associations cast doubt on the notion that tics are directly caused by urges. More severe tics may facilitate anticipation of tics and thereby lead to more pronounced urge-tic associations, consistent with a hypothesis of urges as a byproduct of tics.&quot;,&quot;publisher&quot;:&quot;Nature Research&quot;,&quot;issue&quot;:&quot;1&quot;,&quot;volume&quot;:&quot;12&quot;,&quot;container-title-short&quot;:&quot;Sci Rep&quot;},&quot;isTemporary&quot;:false}]},{&quot;citationID&quot;:&quot;MENDELEY_CITATION_f0411ebc-b576-4c2e-96f3-2ab149d7b700&quot;,&quot;properties&quot;:{&quot;noteIndex&quot;:0},&quot;isEdited&quot;:false,&quot;manualOverride&quot;:{&quot;isManuallyOverridden&quot;:false,&quot;citeprocText&quot;:&quot;(51)&quot;,&quot;manualOverrideText&quot;:&quot;&quot;},&quot;citationTag&quot;:&quot;MENDELEY_CITATION_v3_eyJjaXRhdGlvbklEIjoiTUVOREVMRVlfQ0lUQVRJT05fZjA0MTFlYmMtYjU3Ni00YzJlLTk2ZjMtMmFiMTQ5ZDdiNzAwIiwicHJvcGVydGllcyI6eyJub3RlSW5kZXgiOjB9LCJpc0VkaXRlZCI6ZmFsc2UsIm1hbnVhbE92ZXJyaWRlIjp7ImlzTWFudWFsbHlPdmVycmlkZGVuIjpmYWxzZSwiY2l0ZXByb2NUZXh0IjoiKDUxKSIsIm1hbnVhbE92ZXJyaWRlVGV4dCI6IiJ9LCJjaXRhdGlvbkl0ZW1zIjpbeyJpZCI6IjNmZjIxZTE0LWQ0NDEtM2FlMy1iOTc4LWVhYjBkN2I2YjNjYyIsIml0ZW1EYXRhIjp7InR5cGUiOiJhcnRpY2xlLWpvdXJuYWwiLCJpZCI6IjNmZjIxZTE0LWQ0NDEtM2FlMy1iOTc4LWVhYjBkN2I2YjNjYyIsInRpdGxlIjoiU2Vuc29yeSBwaGVub21lbmE6IGNsaW5pY2FsIGNvcnJlbGF0ZXMgYW5kIGltcGFjdCBvbiBxdWFsaXR5IG9mIGxpZmUgaW4gYWR1bHQgcGF0aWVudHMgd2l0aCBUb3VyZXR0ZSBzeW5kcm9tZSIsImdyb3VwSWQiOiIwN2Q2MmFjMS01YWE4LTM5YWYtYjQ5ZS01MmQyMDg4YWM1NzEiLCJhdXRob3IiOlt7ImZhbWlseSI6IkNyb3NzbGV5IiwiZ2l2ZW4iOiJFIiwicGFyc2UtbmFtZXMiOmZhbHNlLCJkcm9wcGluZy1wYXJ0aWNsZSI6IiIsIm5vbi1kcm9wcGluZy1wYXJ0aWNsZSI6IiJ9LHsiZmFtaWx5IjoiQ2F2YW5uYSIsImdpdmVuIjoiQSBFIiwicGFyc2UtbmFtZXMiOmZhbHNlLCJkcm9wcGluZy1wYXJ0aWNsZSI6IiIsIm5vbi1kcm9wcGluZy1wYXJ0aWNsZSI6IiJ9XSwiY29udGFpbmVyLXRpdGxlIjoiUHN5Y2hpYXRyeSBSZXMiLCJET0kiOiIxMC4xMDE2L2oucHN5Y2hyZXMuMjAxMy4wNC4wMTkiLCJQTUlEIjoiMjM2ODQwNTEiLCJpc3N1ZWQiOnsiZGF0ZS1wYXJ0cyI6W1syMDEzXV19LCJwYWdlIjoiNzA1LTcxMCIsImFic3RyYWN0IjoiVG91cmV0dGUgc3luZHJvbWUgKFRTKSBpcyBhIG5ldXJvZGV2ZWxvcG1lbnRhbCBjb25kaXRpb24gY2hhcmFjdGVyaXNlZCBieSBtdWx0aXBsZSB0aWNzLCB3aXRoIGZyZXF1ZW50IGJlaGF2aW91cmFsIGNvLW1vcmJpZGl0eS4gU2Vuc29yeSBwaGVub21lbmEgKFNQKSBhcmUgdW5wbGVhc2FudCBzZW5zYXRpb25zIHdoaWNoIHByb3ZpZGUgaW52b2x1bnRhcnkgdXJnZXMgdG8gdGljIGluIHBhdGllbnRzIHdpdGggVFMuIFdoaWxlIFNQIGhhdmUgYSBjZW50cmFsIHJvbGUgaW4gdGljIGV4cHJlc3Npb24sIGxpdHRsZSBpcyBrbm93biBhYm91dCB0aGVpciBjbGluaWNhbCBjb3JyZWxhdGVzIG9yIGFzc29jaWF0aW9uIHdpdGggaGVhbHRoLXJlbGF0ZWQgcXVhbGl0eSBvZiBsaWZlIChIUi1RT0wpIGluIFRTLiBXZSBjb25kdWN0ZWQgYSBjcm9zcy1zZWN0aW9uYWwgc3R1ZHkgb24gNzIgYWR1bHQgb3V0cGF0aWVudHMgd2l0aCBUUywgcmVjcnVpdGVkIGF0IGEgc3BlY2lhbGlzdCBjbGluaWMuIEFsbCBwYXJ0aWNpcGFudHMgY29tcGxldGVkIGEgY29tcHJlaGVuc2l2ZSBiYXR0ZXJ5IG9mIHBzeWNob21ldHJpYyBtZWFzdXJlcywgaW5jbHVkaW5nIHRoZSBQcmVtb25pdG9yeSBVcmdlcyBmb3IgVGljcyBTY2FsZSAoUFVUUykgdG8gYXNzZXNzIFNQIGFuZCBhIGRpc2Vhc2Utc3BlY2lmaWMgcXVhbGl0eSBvZiBsaWZlIHNjYWxlIChHVFMtUU9MKSB0byBhc3Nlc3MgSFItUU9MLiBTUCB3ZXJlIHZlcnkgY29tbW9uICg5Ny4yJSBvZiBwYXRpZW50cyksIHdpdGggYSBtZWRpYW4gUFVUUyB0b3RhbCBzY29yZSBvZiAyOC80MC4gQml2YXJpYXRlIGFuYWx5c2VzIHNob3dlZCB0aGF0IFBVVFMgc2NvcmVzIHdlcmUgbW9zdCBzaWduaWZpY2FudGx5IGNvcnJlbGF0ZWQgd2l0aCBzZWxmLXJlcG9ydCBtZWFzdXJlcyBvZiB2b2NhbCB0aWMgc2V2ZXJpdHkgYW5kIGNvbXB1bHNpdml0eS4gUFVUUyBzY29yZXMgd2VyZSBhbHNvIHNpZ25pZmljYW50bHkgY29ycmVsYXRlZCB3aXRoIEdUUy1RT0wgc2NvcmVzLCBtb3N0IG5vdGFibHkgd2l0aCB0aGUgcHN5Y2hvbG9naWNhbCBzdWJzY2FsZS4gU1AgYXJlIGZyZXF1ZW50bHkgcmVwb3J0ZWQgYnkgYWR1bHRzIHdpdGggVFMsIGFyZSBhc3NvY2lhdGVkIHdpdGggcGVyY2VpdmVkIHRpYyBzZXZlcml0eSBhbmQgY29tcHVsc2l2aXR5LCBhbmQgY2FuIHNpZ25pZmljYW50bHkgYWZmZWN0IHBzeWNob2xvZ2ljYWwgd2VsbC1iZWluZy4gU3RhbmRhcmRpc2VkIG1lYXN1cmVtZW50IG9mIFNQIHNob3VsZCBiZSBpbmNvcnBvcmF0ZWQgaW50byByb3V0aW5lIGFzc2Vzc21lbnQgb2YgcGF0aWVudHMgd2l0aCBUUyB0byBvcHRpbWlzZSB0aGVpciBjbGluaWNhbCBtYW5hZ2VtZW50LiIsImlzc3VlIjoiMyIsInZvbHVtZSI6IjIwOSIsImNvbnRhaW5lci10aXRsZS1zaG9ydCI6IiJ9LCJpc1RlbXBvcmFyeSI6ZmFsc2V9XX0=&quot;,&quot;citationItems&quot;:[{&quot;id&quot;:&quot;3ff21e14-d441-3ae3-b978-eab0d7b6b3cc&quot;,&quot;itemData&quot;:{&quot;type&quot;:&quot;article-journal&quot;,&quot;id&quot;:&quot;3ff21e14-d441-3ae3-b978-eab0d7b6b3cc&quot;,&quot;title&quot;:&quot;Sensory phenomena: clinical correlates and impact on quality of life in adult patients with Tourette syndrome&quot;,&quot;groupId&quot;:&quot;07d62ac1-5aa8-39af-b49e-52d2088ac571&quot;,&quot;author&quot;:[{&quot;family&quot;:&quot;Crossley&quot;,&quot;given&quot;:&quot;E&quot;,&quot;parse-names&quot;:false,&quot;dropping-particle&quot;:&quot;&quot;,&quot;non-dropping-particle&quot;:&quot;&quot;},{&quot;family&quot;:&quot;Cavanna&quot;,&quot;given&quot;:&quot;A E&quot;,&quot;parse-names&quot;:false,&quot;dropping-particle&quot;:&quot;&quot;,&quot;non-dropping-particle&quot;:&quot;&quot;}],&quot;container-title&quot;:&quot;Psychiatry Res&quot;,&quot;DOI&quot;:&quot;10.1016/j.psychres.2013.04.019&quot;,&quot;PMID&quot;:&quot;23684051&quot;,&quot;issued&quot;:{&quot;date-parts&quot;:[[2013]]},&quot;page&quot;:&quot;705-710&quot;,&quot;abstract&quot;:&quot;Tourette syndrome (TS) is a neurodevelopmental condition characterised by multiple tics, with frequent behavioural co-morbidity. Sensory phenomena (SP) are unpleasant sensations which provide involuntary urges to tic in patients with TS. While SP have a central role in tic expression, little is known about their clinical correlates or association with health-related quality of life (HR-QOL) in TS. We conducted a cross-sectional study on 72 adult outpatients with TS, recruited at a specialist clinic. All participants completed a comprehensive battery of psychometric measures, including the Premonitory Urges for Tics Scale (PUTS) to assess SP and a disease-specific quality of life scale (GTS-QOL) to assess HR-QOL. SP were very common (97.2% of patients), with a median PUTS total score of 28/40. Bivariate analyses showed that PUTS scores were most significantly correlated with self-report measures of vocal tic severity and compulsivity. PUTS scores were also significantly correlated with GTS-QOL scores, most notably with the psychological subscale. SP are frequently reported by adults with TS, are associated with perceived tic severity and compulsivity, and can significantly affect psychological well-being. Standardised measurement of SP should be incorporated into routine assessment of patients with TS to optimise their clinical management.&quot;,&quot;issue&quot;:&quot;3&quot;,&quot;volume&quot;:&quot;209&quot;,&quot;container-title-short&quot;:&quot;&quot;},&quot;isTemporary&quot;:false}]},{&quot;citationID&quot;:&quot;MENDELEY_CITATION_5e786dab-a812-41e5-b69c-e73bcc44a93c&quot;,&quot;properties&quot;:{&quot;noteIndex&quot;:0},&quot;isEdited&quot;:false,&quot;manualOverride&quot;:{&quot;isManuallyOverridden&quot;:false,&quot;citeprocText&quot;:&quot;(26)&quot;,&quot;manualOverrideText&quot;:&quot;&quot;},&quot;citationTag&quot;:&quot;MENDELEY_CITATION_v3_eyJjaXRhdGlvbklEIjoiTUVOREVMRVlfQ0lUQVRJT05fNWU3ODZkYWItYTgxMi00MWU1LWI2OWMtZTczYmNjNDRhOTNjIiwicHJvcGVydGllcyI6eyJub3RlSW5kZXgiOjB9LCJpc0VkaXRlZCI6ZmFsc2UsIm1hbnVhbE92ZXJyaWRlIjp7ImlzTWFudWFsbHlPdmVycmlkZGVuIjpmYWxzZSwiY2l0ZXByb2NUZXh0IjoiKDI2KSIsIm1hbnVhbE92ZXJyaWRlVGV4dCI6IiJ9LCJjaXRhdGlvbkl0ZW1zIjpbeyJpZCI6ImJiM2Q3NWY1LTU0MTctMzhmZC04NDIxLTZlYmEzZjE5MzVmYSIsIml0ZW1EYXRhIjp7InR5cGUiOiJhcnRpY2xlLWpvdXJuYWwiLCJpZCI6ImJiM2Q3NWY1LTU0MTctMzhmZC04NDIxLTZlYmEzZjE5MzVmYSIsInRpdGxlIjoiUHJlbW9uaXRvcnkgVXJnZXMgaW4gQWR1bHRzIFdpdGggQ29tcGxpY2F0ZWQgYW5kIFVuY29tcGxpY2F0ZWQgVG91cmV0dGUgU3luZHJvbWUiLCJncm91cElkIjoiMDdkNjJhYzEtNWFhOC0zOWFmLWI0OWUtNTJkMjA4OGFjNTcxIiwiYXV0aG9yIjpbeyJmYW1pbHkiOiJFZGR5IiwiZ2l2ZW4iOiJDIE0iLCJwYXJzZS1uYW1lcyI6ZmFsc2UsImRyb3BwaW5nLXBhcnRpY2xlIjoiIiwibm9uLWRyb3BwaW5nLXBhcnRpY2xlIjoiIn0seyJmYW1pbHkiOiJDYXZhbm5hIiwiZ2l2ZW4iOiJBIEUiLCJwYXJzZS1uYW1lcyI6ZmFsc2UsImRyb3BwaW5nLXBhcnRpY2xlIjoiIiwibm9uLWRyb3BwaW5nLXBhcnRpY2xlIjoiIn1dLCJjb250YWluZXItdGl0bGUiOiJCZWhhdmlvciBtb2RpZmljYXRpb24iLCJET0kiOiJodHRwczovL2R4LmRvaS5vcmcvMTAuMTE3Ny8wMTQ1NDQ1NTEzNTA0NDMyIiwiVVJMIjoiaHR0cDovL292aWRzcC5vdmlkLmNvbS9vdmlkd2ViLmNnaT9UPUpTJlBBR0U9cmVmZXJlbmNlJkQ9ZW1lZDE1Jk5FV1M9TiZBTj02MTE0MjU3MjIiLCJpc3N1ZWQiOnsiZGF0ZS1wYXJ0cyI6W1syMDE0XV19LCJwYWdlIjoiMjY0LTI3NSIsImFic3RyYWN0IjoiTW9zdCBwYXRpZW50cyB3aXRoIFRvdXJldHRlIHN5bmRyb21lIChUUykgcmVwb3J0IGV4cGVyaWVuY2luZyBzdWJqZWN0aXZlIGJvZGlseSBzZW5zYXRpb25zIHRlcm1lZCBwcmVtb25pdG9yeSB1cmdlcywgYmVmb3JlIHRoZXkgaGF2ZSBhIHRpYy4gVGhpcyBzdHVkeSBpbnZlc3RpZ2F0ZWQgcmVsYXRpb25zaGlwcyBiZXR3ZWVuIHByZW1vbml0b3J5IHVyZ2VzIGFuZCB0aWMgc2V2ZXJpdHksIGRlcHJlc3Npb24sIGFueGlldHksIG9ic2Vzc2lvbnMsIGNvbXB1bHNpb25zLCBhbmQgYXR0ZW50aW9uIHByb2JsZW1zLiBXZSBhbHNvIGV4cGxvcmVkIHBvc3NpYmxlIGRpZmZlcmVuY2VzIGJldHdlZW4gcGF0aWVudHMgd2l0aCBhbmQgd2l0aG91dCBjb21vcmJpZCBjb25kaXRpb25zLiBGaW5hbGx5LCB3ZSBleHBsb3JlZCB3aGV0aGVyIHByZW1vbml0b3J5IHVyZ2VzIGltcGFjdGVkIG9uIHBlcmNlaXZlZCBxdWFsaXR5IG9mIGxpZmUgKFFvTCkuIE9uZSBodW5kcmVkIGFkdWx0IG91dHBhdGllbnRzICg3MCBtYWxlczsgbWVhbiBhZ2UgMzIgeWVhcnMpIHdlcmUgcmVjcnVpdGVkIGZyb20gYSBzcGVjaWFsaXN0IFRTIGNsaW5pYy4gRmlmdHkgcGVyY2VudCBleGhpYml0ZWQgY29tb3JiaWQgZGlhZ25vc2VzLCB0aGUgbW9zdCBjb21tb24gb2Ygd2hpY2ggd2VyZSBvYnNlc3NpdmUtY29tcHVsc2l2ZSBkaXNvcmRlciAoMjMlKSwgYXR0ZW50aW9uLWRlZmljaXQgaHlwZXJhY3Rpdml0eSBkaXNvcmRlciAoMTUlKSwgYW54aWV0eSAoNiUpLCBhbmQgZGVwcmVzc2lvbiAoNSUpLiBGb3IgdGhlIGVudGlyZSBzYW1wbGUsIHByZW1vbml0b3J5IHVyZ2VzIHdlcmUgc2lnbmlmaWNhbnRseSByZWxhdGVkIHRvIGNsaW5pY2FsIHN5bXB0b21zLCBlc3BlY2lhbGx5IG9ic2Vzc2l2ZS1jb21wdWxzaXZlIHN5bXB0b21zIGFuZCBhbnhpZXR5LCBhbmQgd2VyZSBzaWduaWZpY2FudGx5IG5lZ2F0aXZlbHkgcmVsYXRlZCB0byBRb0wgc2NvcmVzLiBQcmVtb25pdG9yeSB1cmdlcyBoYWQgYSBzdHJvbmcgbmVnYXRpdmUgY29ycmVsYXRpb24gd2l0aCBRb0wgaW4gcGF0aWVudHMgd2l0aCBcInB1cmVcIiBUUyAobm8gY29tb3JiaWRpdGllcyksIHdoaWxlIHRoaXMgcmVsYXRpb25zaGlwIHdhcyB3ZWFrZXIgZm9yIHBhdGllbnRzIHdpdGggY29tb3JiaWQgY29uZGl0aW9ucywgd2hvIHJlcG9ydGVkIHN0cm9uZ2VyIG9yIG1vcmUgZnJlcXVlbnQgcHJlbW9uaXRvcnkgdXJnZXMgaW4gYXNzb2NpYXRpb24gd2l0aCBncmVhdGVyIGFueGlldHkuIFRoZXNlIGZpbmRpbmdzIG1heSBpbXBseSB0aGF0IHNsaWdodGx5IGRpZmZlcmVudCBwc3ljaG9sb2dpY2FsIGZhY3RvcnMgZHJpdmUgc2VsZi1yZXBvcnRlZCBwcmVtb25pdG9yeSB1cmdlIHJhdGluZ3MgaW4gcGF0aWVudHMgd2l0aCBhbmQgd2l0aG91dCBjb21vcmJpZGl0aWVzIGFuZCB0aGF0IHRoZSBwZXJjZWl2ZWQgaW5mbHVlbmNlIG9mIGRpc3RyZXNzaW5nIHByZW1vbml0b3J5IHVyZ2VzIG9uIHdlbGxiZWluZyBpcyBsZXNzIGltcG9ydGFudCBpbiB0aGUgY29udGV4dCBvZiBjb21vcmJpZCBzeW1wdG9tYXRvbG9neS4gQXMgcHJlbW9uaXRvcnkgdXJnZXMgYXJlIHJlbGF0ZWQgdG8gUW9MLCB0aGV5IHNob3VsZCBiZSB0YWtlbiBpbnRvIGFjY291bnQgZHVyaW5nIGV2YWx1YXRpb24gb2YgdHJlYXRtZW50IGVmZmljYWN5LCBlc3BlY2lhbGx5IGluIGNhc2VzIHdpdGggXCJwdXJlXCIgVFMuIENvcHlyaWdodCDCqSBUaGUgQXV0aG9yKHMpIDIwMTMuIiwiaXNzdWUiOiIyIiwidm9sdW1lIjoiMzgiLCJjb250YWluZXItdGl0bGUtc2hvcnQiOiJCZWhhdiBNb2RpZiJ9LCJpc1RlbXBvcmFyeSI6ZmFsc2V9XX0=&quot;,&quot;citationItems&quot;:[{&quot;id&quot;:&quot;bb3d75f5-5417-38fd-8421-6eba3f1935fa&quot;,&quot;itemData&quot;:{&quot;type&quot;:&quot;article-journal&quot;,&quot;id&quot;:&quot;bb3d75f5-5417-38fd-8421-6eba3f1935fa&quot;,&quot;title&quot;:&quot;Premonitory Urges in Adults With Complicated and Uncomplicated Tourette Syndrome&quot;,&quot;groupId&quot;:&quot;07d62ac1-5aa8-39af-b49e-52d2088ac571&quot;,&quot;author&quot;:[{&quot;family&quot;:&quot;Eddy&quot;,&quot;given&quot;:&quot;C M&quot;,&quot;parse-names&quot;:false,&quot;dropping-particle&quot;:&quot;&quot;,&quot;non-dropping-particle&quot;:&quot;&quot;},{&quot;family&quot;:&quot;Cavanna&quot;,&quot;given&quot;:&quot;A E&quot;,&quot;parse-names&quot;:false,&quot;dropping-particle&quot;:&quot;&quot;,&quot;non-dropping-particle&quot;:&quot;&quot;}],&quot;container-title&quot;:&quot;Behavior modification&quot;,&quot;DOI&quot;:&quot;https://dx.doi.org/10.1177/0145445513504432&quot;,&quot;URL&quot;:&quot;http://ovidsp.ovid.com/ovidweb.cgi?T=JS&amp;PAGE=reference&amp;D=emed15&amp;NEWS=N&amp;AN=611425722&quot;,&quot;issued&quot;:{&quot;date-parts&quot;:[[2014]]},&quot;page&quot;:&quot;264-275&quot;,&quot;abstract&quot;:&quot;Most patients with Tourette syndrome (TS) report experiencing subjective bodily sensations termed premonitory urges, before they have a tic. This study investigated relationships between premonitory urges and tic severity, depression, anxiety, obsessions, compulsions, and attention problems. We also explored possible differences between patients with and without comorbid conditions. Finally, we explored whether premonitory urges impacted on perceived quality of life (QoL). One hundred adult outpatients (70 males; mean age 32 years) were recruited from a specialist TS clinic. Fifty percent exhibited comorbid diagnoses, the most common of which were obsessive-compulsive disorder (23%), attention-deficit hyperactivity disorder (15%), anxiety (6%), and depression (5%). For the entire sample, premonitory urges were significantly related to clinical symptoms, especially obsessive-compulsive symptoms and anxiety, and were significantly negatively related to QoL scores. Premonitory urges had a strong negative correlation with QoL in patients with \&quot;pure\&quot; TS (no comorbidities), while this relationship was weaker for patients with comorbid conditions, who reported stronger or more frequent premonitory urges in association with greater anxiety. These findings may imply that slightly different psychological factors drive self-reported premonitory urge ratings in patients with and without comorbidities and that the perceived influence of distressing premonitory urges on wellbeing is less important in the context of comorbid symptomatology. As premonitory urges are related to QoL, they should be taken into account during evaluation of treatment efficacy, especially in cases with \&quot;pure\&quot; TS. Copyright © The Author(s) 2013.&quot;,&quot;issue&quot;:&quot;2&quot;,&quot;volume&quot;:&quot;38&quot;,&quot;container-title-short&quot;:&quot;Behav Modif&quot;},&quot;isTemporary&quot;:false}]},{&quot;citationID&quot;:&quot;MENDELEY_CITATION_9c12abee-6bc0-4402-a00e-7de91b33bfcd&quot;,&quot;properties&quot;:{&quot;noteIndex&quot;:0},&quot;isEdited&quot;:false,&quot;manualOverride&quot;:{&quot;isManuallyOverridden&quot;:false,&quot;citeprocText&quot;:&quot;(31)&quot;,&quot;manualOverrideText&quot;:&quot;&quot;},&quot;citationTag&quot;:&quot;MENDELEY_CITATION_v3_eyJjaXRhdGlvbklEIjoiTUVOREVMRVlfQ0lUQVRJT05fOWMxMmFiZWUtNmJjMC00NDAyLWEwMGUtN2RlOTFiMzNiZmNkIiwicHJvcGVydGllcyI6eyJub3RlSW5kZXgiOjB9LCJpc0VkaXRlZCI6ZmFsc2UsIm1hbnVhbE92ZXJyaWRlIjp7ImlzTWFudWFsbHlPdmVycmlkZGVuIjpmYWxzZSwiY2l0ZXByb2NUZXh0IjoiKDMxKSIsIm1hbnVhbE92ZXJyaWRlVGV4dCI6IiJ9LCJjaXRhdGlvbkl0ZW1zIjpbeyJpZCI6ImIwMGNmYjcwLWQ4ZTItM2U4Yi1hZmQxLWRmZjAyYjRkMDEwMCIsIml0ZW1EYXRhIjp7InR5cGUiOiJhcnRpY2xlLWpvdXJuYWwiLCJpZCI6ImIwMGNmYjcwLWQ4ZTItM2U4Yi1hZmQxLWRmZjAyYjRkMDEwMCIsInRpdGxlIjoiQ2xpbmljYWwgQ29ycmVsYXRlcyBvZiBIZWFsdGgtUmVsYXRlZCBRdWFsaXR5IG9mIExpZmUgaW4gQWR1bHRzIFdpdGggQ2hyb25pYyBUaWMgRGlzb3JkZXIiLCJncm91cElkIjoiMDdkNjJhYzEtNWFhOC0zOWFmLWI0OWUtNTJkMjA4OGFjNTcxIiwiYXV0aG9yIjpbeyJmYW1pbHkiOiJJc2FhY3MiLCJnaXZlbiI6IkQgQSIsInBhcnNlLW5hbWVzIjpmYWxzZSwiZHJvcHBpbmctcGFydGljbGUiOiIiLCJub24tZHJvcHBpbmctcGFydGljbGUiOiIifSx7ImZhbWlseSI6IlJpb3JkYW4iLCJnaXZlbiI6IkggUiIsInBhcnNlLW5hbWVzIjpmYWxzZSwiZHJvcHBpbmctcGFydGljbGUiOiIiLCJub24tZHJvcHBpbmctcGFydGljbGUiOiIifSx7ImZhbWlseSI6IkNsYWFzc2VuIiwiZ2l2ZW4iOiJEIE8iLCJwYXJzZS1uYW1lcyI6ZmFsc2UsImRyb3BwaW5nLXBhcnRpY2xlIjoiIiwibm9uLWRyb3BwaW5nLXBhcnRpY2xlIjoiIn1dLCJjb250YWluZXItdGl0bGUiOiJGcm9udGllcnMgaW4gUHN5Y2hpYXRyeSIsIkRPSSI6Imh0dHBzOi8vZHguZG9pLm9yZy8xMC4zMzg5L2Zwc3l0LjIwMjEuNjE5ODU0IiwiVVJMIjoiaHR0cDovL3d3dy5mcm9udGllcnNpbi5vcmcvUHN5Y2hpYXRyeWh0dHA6Ly9vdmlkc3Aub3ZpZC5jb20vb3ZpZHdlYi5jZ2k/VD1KUyZQQUdFPXJlZmVyZW5jZSZEPWVtZWQyMiZORVdTPU4mQU49NjM0NTY3MTM2IiwiaXNzdWVkIjp7ImRhdGUtcGFydHMiOltbMjAyMV1dfSwicGFnZSI6IjYxOTg1NCIsImFic3RyYWN0IjoiVGljcyBhcmUgdGhlIGhhbGxtYXJrIGZlYXR1cmUgb2YgVG91cmV0dGUgc3luZHJvbWUgKFRTKSwgYnV0IHBzeWNoaWF0cmljIGFuZCBzZW5zb3J5IHN5bXB0b21zIGFyZSB3aWRlbHkgcHJldmFsZW50IGFuZCBpbmNyZWFzaW5nbHkgcmVjb2duaXplZCBhcyBjb3JlIG1hbmlmZXN0YXRpb25zIG9mIHRoZSBkaXNvcmRlci4gQWNjdW11bGF0aW5nIGV2aWRlbmNlIHN1Z2dlc3RzIHRoYXQgdGhlc2UgcHN5Y2hpYXRyaWMgYW5kIHNlbnNvcnkgc3ltcHRvbXMgZXhlcnQgZ3JlYXRlciBpbmZsdWVuY2Ugb24gcXVhbGl0eSBvZiBsaWZlIChRT0wpIHRoYW4gdGljcyB0aGVtc2VsdmVzLiBIb3dldmVyLCBtdWNoIHJlbWFpbnMgdW5jZXJ0YWluIGFib3V0IGRldGVybWluYW50cyBvZiBRT0wgaW4gVFMgZHVlIHRvIHRoZSBjb21wbGV4aXR5IG9mIHRoZSBjbGluaWNhbCBwcmVzZW50YXRpb24uIEhlcmUsIHdlIHNvdWdodCB0byBjbGFyaWZ5IHRoZSBhc3NvY2lhdGlvbiBiZXR3ZWVuIGhlYWx0aC1yZWxhdGVkIFFPTCAoSFJRT0wpIGFuZCBjb21tb24gcHN5Y2hpYXRyaWMgYW5kIHNlbnNvcnkgc3ltcHRvbXMgaW4gYWR1bHRzIHdpdGggVFMgYW5kIG90aGVyIGNocm9uaWMgdGljIGRpc29yZGVycy4gVG8gZG8gc28sIHdlIHByb3NwZWN0aXZlbHkgcmVjcnVpdGVkIDUyIHBhdGllbnRzIGZyb20gYSB0ZXJ0aWFyeSBjYXJlIGNsaW5pYyB0byBjb21wbGV0ZSBzZWxmLXJlcG9ydCBtZWFzdXJlcyBhc3Nlc3NpbmcgSFJRT0wgKEdpbGxlcyBkZSBsYSBUb3VyZXR0ZS1RdWFsaXR5IG9mIExpZmUgU2NhbGUsIEdUUy1RT0wpLCBkZXByZXNzaW9uIChQYXRpZW50IEhlYWx0aCBRdWVzdGlvbm5haXJlLTksIFBIUS05KSwgYW54aWV0eSAoR2VuZXJhbGl6ZWQgQW54aWV0eSBEaXNvcmRlciBTY2FsZS03LCBHQUQtNyksIG9ic2Vzc2l2ZS1jb21wdWxzaXZlIHN5bXB0b21zIChEaW1lbnNpb25hbCBPYnNlc3NpdmUtQ29tcHVsc2l2ZSBTY2FsZSwgRE9DUyksIGF0dGVudGlvbiBkZWZpY2l0IGh5cGVyYWN0aXZpdHkgZGlzb3JkZXIgc3ltcHRvbXMgKEFkdWx0IEFESEQgU2VsZi1SZXBvcnQgU2NyZWVuaW5nIFNjYWxlIGZvciBEU00tNSwgQVNSUy1WKSwgYW5kIHByZW1vbml0b3J5IHVyZ2UgKFByZW1vbml0b3J5IFVyZ2UgdG8gVGljIFNjYWxlLCBQVVRTKS4gQWxsIHBhcnRpY2lwYW50cyB3ZXJlIGFsc28gYWRtaW5pc3RlcmVkIHRoZSBZYWxlIEdsb2JhbCBUaWMgU2V2ZXJpdHkgU2NhbGUgKFlHVFNTKSB0byBxdWFudGlmeSB0aWMgc2V2ZXJpdHkuIFVzaW5nIGNvcnJlbGF0aW9uYWwgYW5hbHlzaXMgYW5kIG11bHRpdmFyaWFibGUgbGluZWFyIHJlZ3Jlc3Npb24gbW9kZWxpbmcsIHdlIGZvdW5kIHRoYXQgR1RTLVFPTCBzY29yZSB3YXMgc2lnbmlmaWNhbnRseSBhc3NvY2lhdGVkIHdpdGggc2NvcmVzIGZyb20gYWxsIG90aGVyIHJhdGluZyBzY2FsZXMsIHdpdGggdGhlIGV4Y2VwdGlvbiBvZiB0aGUgUFVUUy4gR1RTLVFPTCB3YXMgbW9zdCBzdHJvbmdseSBhc3NvY2lhdGVkIHdpdGggUEhRLTksIGZvbGxvd2VkIGJ5IEFTUlMtViwgR0FELTcsIERPQ1MsIGFuZCBZR1RTUyB0b3RhbCB0aWMgc2NvcmUuIFRoZSByZWdyZXNzaW9uIG1vZGVsIGluY2x1ZGluZyB0aGVzZSBmaXZlIGluZGVwZW5kZW50IHZhcmlhYmxlcywgYXMgd2VsbCBhcyBzZXgsIGV4cGxhaW5lZCA3OSUgb2YgR1RTLVFPTCBzY29yZSB2YXJpYW5jZSBbRig2LDQwKSA9IDI5LjYsIHAgPCAwLjAwMV0uIFNwZWNpZmljIHBzeWNoaWF0cmljIHN5bXB0b21zIGRpZmZlcmVudGlhbGx5IGltcGFjdGVkIHBoeXNpY2FsLCBwc3ljaG9sb2dpY2FsLCBhbmQgY29nbml0aXZlIEhSUU9MLiBTeXN0ZW1hdGljIGFzc2Vzc21lbnQgb2YgcHN5Y2hpYXRyaWMgY29tb3JiaWRpdGllcyBpcyBpbXBlcmF0aXZlIGZvciBjbGluaWNhbCBjYXJlIGFuZCBjbGluaWNhbCByZXNlYXJjaCBlZmZvcnRzIGRpcmVjdGVkIGF0IGltcHJvdmluZyBRT0wgaW4gYWR1bHRzIHdpdGggY2hyb25pYyB0aWMgZGlzb3JkZXJzLsKpIENvcHlyaWdodCDCqSAyMDIxIElzYWFjcywgUmlvcmRhbiBhbmQgQ2xhYXNzZW4uIiwidm9sdW1lIjoiMTIiLCJjb250YWluZXItdGl0bGUtc2hvcnQiOiJGcm9udCBQc3ljaGlhdHJ5In0sImlzVGVtcG9yYXJ5IjpmYWxzZX1dfQ==&quot;,&quot;citationItems&quot;:[{&quot;id&quot;:&quot;b00cfb70-d8e2-3e8b-afd1-dff02b4d0100&quot;,&quot;itemData&quot;:{&quot;type&quot;:&quot;article-journal&quot;,&quot;id&quot;:&quot;b00cfb70-d8e2-3e8b-afd1-dff02b4d0100&quot;,&quot;title&quot;:&quot;Clinical Correlates of Health-Related Quality of Life in Adults With Chronic Tic Disorder&quot;,&quot;groupId&quot;:&quot;07d62ac1-5aa8-39af-b49e-52d2088ac571&quot;,&quot;author&quot;:[{&quot;family&quot;:&quot;Isaacs&quot;,&quot;given&quot;:&quot;D A&quot;,&quot;parse-names&quot;:false,&quot;dropping-particle&quot;:&quot;&quot;,&quot;non-dropping-particle&quot;:&quot;&quot;},{&quot;family&quot;:&quot;Riordan&quot;,&quot;given&quot;:&quot;H R&quot;,&quot;parse-names&quot;:false,&quot;dropping-particle&quot;:&quot;&quot;,&quot;non-dropping-particle&quot;:&quot;&quot;},{&quot;family&quot;:&quot;Claassen&quot;,&quot;given&quot;:&quot;D O&quot;,&quot;parse-names&quot;:false,&quot;dropping-particle&quot;:&quot;&quot;,&quot;non-dropping-particle&quot;:&quot;&quot;}],&quot;container-title&quot;:&quot;Frontiers in Psychiatry&quot;,&quot;DOI&quot;:&quot;https://dx.doi.org/10.3389/fpsyt.2021.619854&quot;,&quot;URL&quot;:&quot;http://www.frontiersin.org/Psychiatryhttp://ovidsp.ovid.com/ovidweb.cgi?T=JS&amp;PAGE=reference&amp;D=emed22&amp;NEWS=N&amp;AN=634567136&quot;,&quot;issued&quot;:{&quot;date-parts&quot;:[[2021]]},&quot;page&quot;:&quot;619854&quot;,&quot;abstract&quot;:&quot;Tics are the hallmark feature of Tourette syndrome (TS), but psychiatric and sensory symptoms are widely prevalent and increasingly recognized as core manifestations of the disorder. Accumulating evidence suggests that these psychiatric and sensory symptoms exert greater influence on quality of life (QOL) than tics themselves. However, much remains uncertain about determinants of QOL in TS due to the complexity of the clinical presentation. Here, we sought to clarify the association between health-related QOL (HRQOL) and common psychiatric and sensory symptoms in adults with TS and other chronic tic disorders. To do so, we prospectively recruited 52 patients from a tertiary care clinic to complete self-report measures assessing HRQOL (Gilles de la Tourette-Quality of Life Scale, GTS-QOL), depression (Patient Health Questionnaire-9, PHQ-9), anxiety (Generalized Anxiety Disorder Scale-7, GAD-7), obsessive-compulsive symptoms (Dimensional Obsessive-Compulsive Scale, DOCS), attention deficit hyperactivity disorder symptoms (Adult ADHD Self-Report Screening Scale for DSM-5, ASRS-V), and premonitory urge (Premonitory Urge to Tic Scale, PUTS). All participants were also administered the Yale Global Tic Severity Scale (YGTSS) to quantify tic severity. Using correlational analysis and multivariable linear regression modeling, we found that GTS-QOL score was significantly associated with scores from all other rating scales, with the exception of the PUTS. GTS-QOL was most strongly associated with PHQ-9, followed by ASRS-V, GAD-7, DOCS, and YGTSS total tic score. The regression model including these five independent variables, as well as sex, explained 79% of GTS-QOL score variance [F(6,40) = 29.6, p &lt; 0.001]. Specific psychiatric symptoms differentially impacted physical, psychological, and cognitive HRQOL. Systematic assessment of psychiatric comorbidities is imperative for clinical care and clinical research efforts directed at improving QOL in adults with chronic tic disorders.© Copyright © 2021 Isaacs, Riordan and Claassen.&quot;,&quot;volume&quot;:&quot;12&quot;,&quot;container-title-short&quot;:&quot;Front Psychiatry&quot;},&quot;isTemporary&quot;:false}]},{&quot;citationID&quot;:&quot;MENDELEY_CITATION_972a45ea-2c7f-43f5-975d-12427bfa28b4&quot;,&quot;properties&quot;:{&quot;noteIndex&quot;:0},&quot;isEdited&quot;:false,&quot;manualOverride&quot;:{&quot;isManuallyOverridden&quot;:false,&quot;citeprocText&quot;:&quot;(32)&quot;,&quot;manualOverrideText&quot;:&quot;&quot;},&quot;citationTag&quot;:&quot;MENDELEY_CITATION_v3_eyJjaXRhdGlvbklEIjoiTUVOREVMRVlfQ0lUQVRJT05fOTcyYTQ1ZWEtMmM3Zi00M2Y1LTk3NWQtMTI0MjdiZmEyOGI0IiwicHJvcGVydGllcyI6eyJub3RlSW5kZXgiOjB9LCJpc0VkaXRlZCI6ZmFsc2UsIm1hbnVhbE92ZXJyaWRlIjp7ImlzTWFudWFsbHlPdmVycmlkZGVuIjpmYWxzZSwiY2l0ZXByb2NUZXh0IjoiKDMyKSIsIm1hbnVhbE92ZXJyaWRlVGV4dCI6IiJ9LCJjaXRhdGlvbkl0ZW1zIjpbeyJpZCI6IjYxMWRmMGE3LTJlN2QtM2JiYy05ZjRhLWNlYzA2MTBlMDQ2NSIsIml0ZW1EYXRhIjp7InR5cGUiOiJhcnRpY2xlLWpvdXJuYWwiLCJpZCI6IjYxMWRmMGE3LTJlN2QtM2JiYy05ZjRhLWNlYzA2MTBlMDQ2NSIsInRpdGxlIjoiQWx0ZXJlZCBJbnRlcm9jZXB0aXZlIFNlbnNpYmlsaXR5IGluIEFkdWx0cyBXaXRoIENocm9uaWMgVGljIERpc29yZGVyIiwiZ3JvdXBJZCI6IjA3ZDYyYWMxLTVhYTgtMzlhZi1iNDllLTUyZDIwODhhYzU3MSIsImF1dGhvciI6W3siZmFtaWx5IjoiTmFyYXBhcmVkZHkiLCJnaXZlbiI6IkEiLCJwYXJzZS1uYW1lcyI6ZmFsc2UsImRyb3BwaW5nLXBhcnRpY2xlIjoiIiwibm9uLWRyb3BwaW5nLXBhcnRpY2xlIjoiIn0seyJmYW1pbHkiOiJFY2tsYW5kIiwiZ2l2ZW4iOiJNIFIiLCJwYXJzZS1uYW1lcyI6ZmFsc2UsImRyb3BwaW5nLXBhcnRpY2xlIjoiIiwibm9uLWRyb3BwaW5nLXBhcnRpY2xlIjoiIn0seyJmYW1pbHkiOiJSaW9yZGFuIiwiZ2l2ZW4iOiJIIFIiLCJwYXJzZS1uYW1lcyI6ZmFsc2UsImRyb3BwaW5nLXBhcnRpY2xlIjoiIiwibm9uLWRyb3BwaW5nLXBhcnRpY2xlIjoiIn0seyJmYW1pbHkiOiJDYXNjaW8iLCJnaXZlbiI6IkMgSiIsInBhcnNlLW5hbWVzIjpmYWxzZSwiZHJvcHBpbmctcGFydGljbGUiOiIiLCJub24tZHJvcHBpbmctcGFydGljbGUiOiIifSx7ImZhbWlseSI6IklzYWFjcyIsImdpdmVuIjoiRCBBIiwicGFyc2UtbmFtZXMiOmZhbHNlLCJkcm9wcGluZy1wYXJ0aWNsZSI6IiIsIm5vbi1kcm9wcGluZy1wYXJ0aWNsZSI6IiJ9XSwiY29udGFpbmVyLXRpdGxlIjoiRnJvbnRpZXJzIGluIFBzeWNoaWF0cnkiLCJET0kiOiIxMC4zMzg5L2Zwc3l0LjIwMjIuOTE0ODk3IiwiVVJMIjoiaHR0cHM6Ly93d3cuc2NvcHVzLmNvbS9pbndhcmQvcmVjb3JkLnVyaT9laWQ9Mi1zMi4wLTg1MTMzNjY0NzU5JmRvaT0xMC4zMzg5JTJmZnBzeXQuMjAyMi45MTQ4OTcmcGFydG5lcklEPTQwJm1kNT1jZThmNDc3MjFjMGE2MDNiNWMzMTg0ZmIyNzdjNDBiNCIsImlzc3VlZCI6eyJkYXRlLXBhcnRzIjpbWzIwMjJdXX0sInBhZ2UiOiItIiwidm9sdW1lIjoiMTMiLCJjb250YWluZXItdGl0bGUtc2hvcnQiOiJGcm9udCBQc3ljaGlhdHJ5In0sImlzVGVtcG9yYXJ5IjpmYWxzZX1dfQ==&quot;,&quot;citationItems&quot;:[{&quot;id&quot;:&quot;611df0a7-2e7d-3bbc-9f4a-cec0610e0465&quot;,&quot;itemData&quot;:{&quot;type&quot;:&quot;article-journal&quot;,&quot;id&quot;:&quot;611df0a7-2e7d-3bbc-9f4a-cec0610e0465&quot;,&quot;title&quot;:&quot;Altered Interoceptive Sensibility in Adults With Chronic Tic Disorder&quot;,&quot;groupId&quot;:&quot;07d62ac1-5aa8-39af-b49e-52d2088ac571&quot;,&quot;author&quot;:[{&quot;family&quot;:&quot;Narapareddy&quot;,&quot;given&quot;:&quot;A&quot;,&quot;parse-names&quot;:false,&quot;dropping-particle&quot;:&quot;&quot;,&quot;non-dropping-particle&quot;:&quot;&quot;},{&quot;family&quot;:&quot;Eckland&quot;,&quot;given&quot;:&quot;M R&quot;,&quot;parse-names&quot;:false,&quot;dropping-particle&quot;:&quot;&quot;,&quot;non-dropping-particle&quot;:&quot;&quot;},{&quot;family&quot;:&quot;Riordan&quot;,&quot;given&quot;:&quot;H R&quot;,&quot;parse-names&quot;:false,&quot;dropping-particle&quot;:&quot;&quot;,&quot;non-dropping-particle&quot;:&quot;&quot;},{&quot;family&quot;:&quot;Cascio&quot;,&quot;given&quot;:&quot;C J&quot;,&quot;parse-names&quot;:false,&quot;dropping-particle&quot;:&quot;&quot;,&quot;non-dropping-particle&quot;:&quot;&quot;},{&quot;family&quot;:&quot;Isaacs&quot;,&quot;given&quot;:&quot;D A&quot;,&quot;parse-names&quot;:false,&quot;dropping-particle&quot;:&quot;&quot;,&quot;non-dropping-particle&quot;:&quot;&quot;}],&quot;container-title&quot;:&quot;Frontiers in Psychiatry&quot;,&quot;DOI&quot;:&quot;10.3389/fpsyt.2022.914897&quot;,&quot;URL&quot;:&quot;https://www.scopus.com/inward/record.uri?eid=2-s2.0-85133664759&amp;doi=10.3389%2ffpsyt.2022.914897&amp;partnerID=40&amp;md5=ce8f47721c0a603b5c3184fb277c40b4&quot;,&quot;issued&quot;:{&quot;date-parts&quot;:[[2022]]},&quot;page&quot;:&quot;-&quot;,&quot;volume&quot;:&quot;13&quot;,&quot;container-title-short&quot;:&quot;Front Psychiatry&quot;},&quot;isTemporary&quot;:false}]},{&quot;citationID&quot;:&quot;MENDELEY_CITATION_929018de-f47a-43d3-ae07-5044df8e2f30&quot;,&quot;properties&quot;:{&quot;noteIndex&quot;:0},&quot;isEdited&quot;:false,&quot;manualOverride&quot;:{&quot;isManuallyOverridden&quot;:false,&quot;citeprocText&quot;:&quot;(3)&quot;,&quot;manualOverrideText&quot;:&quot;&quot;},&quot;citationTag&quot;:&quot;MENDELEY_CITATION_v3_eyJjaXRhdGlvbklEIjoiTUVOREVMRVlfQ0lUQVRJT05fOTI5MDE4ZGUtZjQ3YS00M2QzLWFlMDctNTA0NGRmOGUyZjMwIiwicHJvcGVydGllcyI6eyJub3RlSW5kZXgiOjB9LCJpc0VkaXRlZCI6ZmFsc2UsIm1hbnVhbE92ZXJyaWRlIjp7ImlzTWFudWFsbHlPdmVycmlkZGVuIjpmYWxzZSwiY2l0ZXByb2NUZXh0IjoiKDMpIiwibWFudWFsT3ZlcnJpZGVUZXh0IjoiIn0sImNpdGF0aW9uSXRlbXMiOlt7ImlkIjoiODE4ODlmYmUtY2I0Zi0zMTQ2LWJlNWMtY2ViYWRjZjFiZmFhIiwiaXRlbURhdGEiOnsidHlwZSI6ImFydGljbGUtam91cm5hbCIsImlkIjoiODE4ODlmYmUtY2I0Zi0zMTQ2LWJlNWMtY2ViYWRjZjFiZmFhIiwidGl0bGUiOiJUaWMgZGlzb3JkZXJzIGFuZCB0aGUgcHJlbW9uaXRvcnkgdXJnZSIsImdyb3VwSWQiOiIwN2Q2MmFjMS01YWE4LTM5YWYtYjQ5ZS01MmQyMDg4YWM1NzEiLCJhdXRob3IiOlt7ImZhbWlseSI6IlN0ZWluYmVyZyIsImdpdmVuIjoiVCIsInBhcnNlLW5hbWVzIjpmYWxzZSwiZHJvcHBpbmctcGFydGljbGUiOiIiLCJub24tZHJvcHBpbmctcGFydGljbGUiOiIifSx7ImZhbWlseSI6IlNobXVlbCBCYXJ1Y2giLCJnaXZlbiI6IlMiLCJwYXJzZS1uYW1lcyI6ZmFsc2UsImRyb3BwaW5nLXBhcnRpY2xlIjoiIiwibm9uLWRyb3BwaW5nLXBhcnRpY2xlIjoiIn0seyJmYW1pbHkiOiJIYXJ1c2giLCJnaXZlbiI6IkEiLCJwYXJzZS1uYW1lcyI6ZmFsc2UsImRyb3BwaW5nLXBhcnRpY2xlIjoiIiwibm9uLWRyb3BwaW5nLXBhcnRpY2xlIjoiIn0seyJmYW1pbHkiOiJEYXIiLCJnaXZlbiI6IlIiLCJwYXJzZS1uYW1lcyI6ZmFsc2UsImRyb3BwaW5nLXBhcnRpY2xlIjoiIiwibm9uLWRyb3BwaW5nLXBhcnRpY2xlIjoiIn0seyJmYW1pbHkiOiJXb29kcyIsImdpdmVuIjoiRCIsInBhcnNlLW5hbWVzIjpmYWxzZSwiZHJvcHBpbmctcGFydGljbGUiOiIiLCJub24tZHJvcHBpbmctcGFydGljbGUiOiIifSx7ImZhbWlseSI6IlBpYWNlbnRpbmkiLCJnaXZlbiI6IkoiLCJwYXJzZS1uYW1lcyI6ZmFsc2UsImRyb3BwaW5nLXBhcnRpY2xlIjoiIiwibm9uLWRyb3BwaW5nLXBhcnRpY2xlIjoiIn0seyJmYW1pbHkiOiJBcHRlciIsImdpdmVuIjoiQSIsInBhcnNlLW5hbWVzIjpmYWxzZSwiZHJvcHBpbmctcGFydGljbGUiOiIiLCJub24tZHJvcHBpbmctcGFydGljbGUiOiIifV0sImNvbnRhaW5lci10aXRsZSI6IkogTmV1cmFsIFRyYW5zbSAoVmllbm5hKSIsIkRPSSI6IjEwLjEwMDcvczAwNzAyLTAwOS0wMzUzLTMiLCJQTUlEIjoiMjAwMzMyMzYiLCJVUkwiOiJodHRwczovL2xpbmsuc3ByaW5nZXIuY29tL2NvbnRlbnQvcGRmLzEwLjEwMDcvczAwNzAyLTAwOS0wMzUzLTMucGRmIiwiaXNzdWVkIjp7ImRhdGUtcGFydHMiOltbMjAxMF1dfSwicGFnZSI6IjI3Ny0yODQiLCJhYnN0cmFjdCI6IlRoZSBhaW1zIG9mIHRoaXMgc3R1ZHkgd2VyZSB0byBleGFtaW5lIGEgbm9uLUVuZ2xpc2ggKEhlYnJldykgdmVyc2lvbiBvZiBhIHNjYWxlIHRoYXQgbWVhc3VyZXMgdGhlIHByZW1vbml0b3J5IHVyZ2UgaW4gY2hpbGRyZW4gc3VmZmVyaW5nIGZyb20gdGljIGRpc29yZGVyLCBhcyB3ZWxsIGFzIGV4YW1pbmUgdGhlIGNvcnJlbGF0aW9ucyBvZiB0aGUgdXJnZSB3aXRoIGRlbW9ncmFwaGljIGFuZCBjbGluaWNhbCBhc3BlY3RzIG9mIFRvdXJldHRlIFN5bmRyb21lLiBGb3J0eSBjaGlsZHJlbiBhbmQgYWRvbGVzY2VudHMsIHN1ZmZlcmluZyBmcm9tIHRpY3MgcGFydGljaXBhdGVkIGluIHRoaXMgc3R1ZHkuIFRoZXkgd2VyZSBhc3Nlc3NlZCB3aXRoIHRoZSBQcmVtb25pdG9yeSBVcmdlIGZvciBUaWNzIFNjYWxlIChQVVRTKTsgdGhlIFlhbGUgR2xvYmFsIFRpYyBTZXZlcml0eSBTY2FsZSAoWUdUU1MpOyB0aGUgQ2hpbGRob29kIFZlcnNpb24gb2YgdGhlIFlhbGUgQnJvd24gT2JzZXNzaXZlIENvbXB1bHNpdmUgU2NhbGUgKENZQk9DUyk7IHRoZSBBREhEIFJhdGluZyBTY2FsZSBJViAoQ29ubmVycykgU2NhbGU7IHRoZSBTY3JlZW4gZm9yIENoaWxkIEFueGlldHkgUmVsYXRlZCBFbW90aW9uYWwgRGlzb3JkZXJzIChTQ0FSRUQpOyBhbmQgdGhlIENoaWxkIERlcHJlc3Npb24gSW52ZW50b3J5IChDREkpLiBUaGUgbWVhbiBQVVRTIHNjb3JlIHdhcyAyMC4xNSAoU0QgPSA1Ljg5KS4gRm9yIHRoZSBlbnRpcmUgc2FtcGxlIHRoZSBQVVRTIHdhcyBmb3VuZCB0byBiZSBpbnRlcm5hbGx5IGNvbnNpc3RlbnQgYXQgYSA9IDAuNzkuIFlvdXRocyBvbGRlciB0aGFuIDEwIHllYXJzIGhhZCBoaWdoZXIgY29uc2lzdGVuY3kgKGEgPSAwLjgzKSB0aGFuIHlvdXRocyB5b3VuZ2VyIHRoYW4gMTAgKGEgPSAwLjY5KS4gUHJlbW9uaXRvcnkgdXJnZSB3YXMgbm90IGNvcnJlbGF0ZWQgd2l0aCB0aWMgc2V2ZXJpdHkgaW4gdGhlIGVudGlyZSBzYW1wbGUuIEluIHlvdXRocyBvbGRlciB0aGFuIDEwLCBhcyBvcHBvc2VkIHRvIHlvdXRocyB5b3VuZ2VyIHRoYW4gMTAsIHByZW1vbml0b3J5IHVyZ2UgZGlkIGNvcnJlbGF0ZSB3aXRoIG9ic2Vzc2lvbnMsIGNvbXB1bHNpb25zIGFuZCBkZXByZXNzaW9uLCBidXQgbm90IHdpdGggYW54aWV0eSBvciB3aXRoIEFESEQuIFRoZSBwcmVtb25pdG9yeSB1cmdlIGNhbiBiZSBtZWFzdXJlZCByZWxpYWJseSBhbmQgdGhlIFBVVFMgaXMgYSB1c2VmdWwgaW5zdHJ1bWVudCBmb3IgbWVhc3VyaW5nIHRoaXMgaW1wb3J0YW50IHBoZW5vbWVuYS4gUHJlbW9uaXRvcnkgdXJnZXMgc2VlbXMgdG8gYmUgcmVsYXRlZCB0byBvYnNlc3Npb25zLCBjb21wdWxzaW9ucywgYW5kIGRlcHJlc3Npb24gaW4gb2xkZXIgY2hpbGRyZW4gYW5kIHRoaXMgbWF5IGhhdmUgaW1wbGljYXRpb25zIGZvciB0aGUgZGV2ZWxvcG1lbnRhbCBwc3ljaG9wYXRob2xneSBvZiB0aGVzZSBzeW1wdG9tcy4iLCJpc3N1ZSI6IjIiLCJ2b2x1bWUiOiIxMTciLCJjb250YWluZXItdGl0bGUtc2hvcnQiOiIifSwiaXNUZW1wb3JhcnkiOmZhbHNlfV19&quot;,&quot;citationItems&quot;:[{&quot;id&quot;:&quot;81889fbe-cb4f-3146-be5c-cebadcf1bfaa&quot;,&quot;itemData&quot;:{&quot;type&quot;:&quot;article-journal&quot;,&quot;id&quot;:&quot;81889fbe-cb4f-3146-be5c-cebadcf1bfaa&quot;,&quot;title&quot;:&quot;Tic disorders and the premonitory urge&quot;,&quot;groupId&quot;:&quot;07d62ac1-5aa8-39af-b49e-52d2088ac571&quot;,&quot;author&quot;:[{&quot;family&quot;:&quot;Steinberg&quot;,&quot;given&quot;:&quot;T&quot;,&quot;parse-names&quot;:false,&quot;dropping-particle&quot;:&quot;&quot;,&quot;non-dropping-particle&quot;:&quot;&quot;},{&quot;family&quot;:&quot;Shmuel Baruch&quot;,&quot;given&quot;:&quot;S&quot;,&quot;parse-names&quot;:false,&quot;dropping-particle&quot;:&quot;&quot;,&quot;non-dropping-particle&quot;:&quot;&quot;},{&quot;family&quot;:&quot;Harush&quot;,&quot;given&quot;:&quot;A&quot;,&quot;parse-names&quot;:false,&quot;dropping-particle&quot;:&quot;&quot;,&quot;non-dropping-particle&quot;:&quot;&quot;},{&quot;family&quot;:&quot;Dar&quot;,&quot;given&quot;:&quot;R&quot;,&quot;parse-names&quot;:false,&quot;dropping-particle&quot;:&quot;&quot;,&quot;non-dropping-particle&quot;:&quot;&quot;},{&quot;family&quot;:&quot;Woods&quot;,&quot;given&quot;:&quot;D&quot;,&quot;parse-names&quot;:false,&quot;dropping-particle&quot;:&quot;&quot;,&quot;non-dropping-particle&quot;:&quot;&quot;},{&quot;family&quot;:&quot;Piacentini&quot;,&quot;given&quot;:&quot;J&quot;,&quot;parse-names&quot;:false,&quot;dropping-particle&quot;:&quot;&quot;,&quot;non-dropping-particle&quot;:&quot;&quot;},{&quot;family&quot;:&quot;Apter&quot;,&quot;given&quot;:&quot;A&quot;,&quot;parse-names&quot;:false,&quot;dropping-particle&quot;:&quot;&quot;,&quot;non-dropping-particle&quot;:&quot;&quot;}],&quot;container-title&quot;:&quot;J Neural Transm (Vienna)&quot;,&quot;DOI&quot;:&quot;10.1007/s00702-009-0353-3&quot;,&quot;PMID&quot;:&quot;20033236&quot;,&quot;URL&quot;:&quot;https://link.springer.com/content/pdf/10.1007/s00702-009-0353-3.pdf&quot;,&quot;issued&quot;:{&quot;date-parts&quot;:[[2010]]},&quot;page&quot;:&quot;277-284&quot;,&quot;abstract&quot;:&quot;The aims of this study were to examine a non-English (Hebrew) version of a scale that measures the premonitory urge in children suffering from tic disorder, as well as examine the correlations of the urge with demographic and clinical aspects of Tourette Syndrome. Forty children and adolescents, suffering from tics participated in this study. They were assessed with the Premonitory Urge for Tics Scale (PUTS); the Yale Global Tic Severity Scale (YGTSS); the Childhood Version of the Yale Brown Obsessive Compulsive Scale (CYBOCS); the ADHD Rating Scale IV (Conners) Scale; the Screen for Child Anxiety Related Emotional Disorders (SCARED); and the Child Depression Inventory (CDI). The mean PUTS score was 20.15 (SD = 5.89). For the entire sample the PUTS was found to be internally consistent at a = 0.79. Youths older than 10 years had higher consistency (a = 0.83) than youths younger than 10 (a = 0.69). Premonitory urge was not correlated with tic severity in the entire sample. In youths older than 10, as opposed to youths younger than 10, premonitory urge did correlate with obsessions, compulsions and depression, but not with anxiety or with ADHD. The premonitory urge can be measured reliably and the PUTS is a useful instrument for measuring this important phenomena. Premonitory urges seems to be related to obsessions, compulsions, and depression in older children and this may have implications for the developmental psychopatholgy of these symptoms.&quot;,&quot;issue&quot;:&quot;2&quot;,&quot;volume&quot;:&quot;117&quot;,&quot;container-title-short&quot;:&quot;&quot;},&quot;isTemporary&quot;:false}]},{&quot;citationID&quot;:&quot;MENDELEY_CITATION_85a08afc-ba73-4ea3-ae9b-c8d84e42ae1d&quot;,&quot;properties&quot;:{&quot;noteIndex&quot;:0},&quot;isEdited&quot;:false,&quot;manualOverride&quot;:{&quot;isManuallyOverridden&quot;:false,&quot;citeprocText&quot;:&quot;(15)&quot;,&quot;manualOverrideText&quot;:&quot;&quot;},&quot;citationTag&quot;:&quot;MENDELEY_CITATION_v3_eyJjaXRhdGlvbklEIjoiTUVOREVMRVlfQ0lUQVRJT05fODVhMDhhZmMtYmE3My00ZWEzLWFlOWItYzhkODRlNDJhZTFkIiwicHJvcGVydGllcyI6eyJub3RlSW5kZXgiOjB9LCJpc0VkaXRlZCI6ZmFsc2UsIm1hbnVhbE92ZXJyaWRlIjp7ImlzTWFudWFsbHlPdmVycmlkZGVuIjpmYWxzZSwiY2l0ZXByb2NUZXh0IjoiKDE1KSIsIm1hbnVhbE92ZXJyaWRlVGV4dCI6IiJ9LCJjaXRhdGlvbkl0ZW1zIjpbeyJpZCI6IjM2OWMxMGM3LTAxNzYtMzQyMS04MmJlLTg4YzAwMGQzMWIyYSIsIml0ZW1EYXRhIjp7InR5cGUiOiJhcnRpY2xlLWpvdXJuYWwiLCJpZCI6IjM2OWMxMGM3LTAxNzYtMzQyMS04MmJlLTg4YzAwMGQzMWIyYSIsInRpdGxlIjoiVGhlIHByZW1vbml0b3J5IHVyZ2UgdG8gdGljOiBtZWFzdXJlbWVudCwgY2hhcmFjdGVyaXN0aWNzLCBhbmQgY29ycmVsYXRlcyBpbiBvbGRlciBhZG9sZXNjZW50cyBhbmQgYWR1bHRzIiwiZ3JvdXBJZCI6IjA3ZDYyYWMxLTVhYTgtMzlhZi1iNDllLTUyZDIwODhhYzU3MSIsImF1dGhvciI6W3siZmFtaWx5IjoiUmVlc2UiLCJnaXZlbiI6IkggRSIsInBhcnNlLW5hbWVzIjpmYWxzZSwiZHJvcHBpbmctcGFydGljbGUiOiIiLCJub24tZHJvcHBpbmctcGFydGljbGUiOiIifSx7ImZhbWlseSI6IlNjYWhpbGwiLCJnaXZlbiI6IkwiLCJwYXJzZS1uYW1lcyI6ZmFsc2UsImRyb3BwaW5nLXBhcnRpY2xlIjoiIiwibm9uLWRyb3BwaW5nLXBhcnRpY2xlIjoiIn0seyJmYW1pbHkiOiJQZXRlcnNvbiIsImdpdmVuIjoiQSBMIiwicGFyc2UtbmFtZXMiOmZhbHNlLCJkcm9wcGluZy1wYXJ0aWNsZSI6IiIsIm5vbi1kcm9wcGluZy1wYXJ0aWNsZSI6IiJ9LHsiZmFtaWx5IjoiQ3Jvd2UiLCJnaXZlbiI6IksiLCJwYXJzZS1uYW1lcyI6ZmFsc2UsImRyb3BwaW5nLXBhcnRpY2xlIjoiIiwibm9uLWRyb3BwaW5nLXBhcnRpY2xlIjoiIn0seyJmYW1pbHkiOiJXb29kcyIsImdpdmVuIjoiRCBXIiwicGFyc2UtbmFtZXMiOmZhbHNlLCJkcm9wcGluZy1wYXJ0aWNsZSI6IiIsIm5vbi1kcm9wcGluZy1wYXJ0aWNsZSI6IiJ9LHsiZmFtaWx5IjoiUGlhY2VudGluaSIsImdpdmVuIjoiSiIsInBhcnNlLW5hbWVzIjpmYWxzZSwiZHJvcHBpbmctcGFydGljbGUiOiIiLCJub24tZHJvcHBpbmctcGFydGljbGUiOiIifSx7ImZhbWlseSI6IldhbGt1cCIsImdpdmVuIjoiSiBUIiwicGFyc2UtbmFtZXMiOmZhbHNlLCJkcm9wcGluZy1wYXJ0aWNsZSI6IiIsIm5vbi1kcm9wcGluZy1wYXJ0aWNsZSI6IiJ9LHsiZmFtaWx5IjoiV2lsaGVsbSIsImdpdmVuIjoiUyIsInBhcnNlLW5hbWVzIjpmYWxzZSwiZHJvcHBpbmctcGFydGljbGUiOiIiLCJub24tZHJvcHBpbmctcGFydGljbGUiOiIifV0sImNvbnRhaW5lci10aXRsZSI6IkJlaGF2IFRoZXIiLCJET0kiOiIxMC4xMDE2L2ouYmV0aC4yMDEzLjA5LjAwMiIsIlBNSUQiOiIyNDQ5MTE5MyIsImlzc3VlZCI6eyJkYXRlLXBhcnRzIjpbWzIwMTRdXX0sInBhZ2UiOiIxNzctMTg2IiwiYWJzdHJhY3QiOiJJbiBhZGRpdGlvbiB0byBtb3RvciBhbmQvb3Igdm9jYWwgdGljcywgbWFueSBpbmRpdmlkdWFscyB3aXRoIFRvdXJldHRlIHN5bmRyb21lIChUUykgb3IgY2hyb25pYyB0aWMgZGlzb3JkZXIgKENURCkgcmVwb3J0IGZyZXF1ZW50LCB1bmNvbWZvcnRhYmxlIHNlbnNvcnkgcGhlbm9tZW5hIHRoYXQgaW1tZWRpYXRlbHkgcHJlY2VkZSB0aGUgdGljcy4gVG8gZGF0ZSwgZXhhbWluYXRpb24gb2YgdGhlc2UgcHJlbW9uaXRvcnkgc2Vuc2F0aW9ucyBvciB1cmdlcyBoYXMgYmVlbiBsaW1pdGVkIGJ5IGluY29uc2lzdGVudCBhc3Nlc3NtZW50IHRvb2xzLiBJbiB0aGlzIHBhcGVyLCB3ZSBleGFtaW5lIHRoZSBwc3ljaG9tZXRyaWMgcHJvcGVydGllcyBvZiBhIG5pbmUtaXRlbSBzZWxmLXJlcG9ydCBtZWFzdXJlLCB0aGUgUHJlbW9uaXRvcnkgVXJnZSB0byBUaWMgU2NhbGUgKFBVVFMpIGFuZCBleGFtaW5lIHRoZSBjaGFyYWN0ZXJpc3RpY3MgYW5kIGNvcnJlbGF0ZXMgb2YgdGhlIHByZW1vbml0b3J5IHVyZ2UgdG8gdGljIGluIGEgY2xpbmljYWwgc2FtcGxlIG9mIDEyMiBvbGRlciBhZG9sZXNjZW50cyBhbmQgYWR1bHRzIHdpdGggVFMgb3IgQ1RELiBUaGUgUFVUUyBkZW1vbnN0cmF0ZWQgYWRlcXVhdGUgaW50ZXJuYWwgY29uc2lzdGVuY3ksIHRlbXBvcmFsIHN0YWJpbGl0eSwgYW5kIGNvbmN1cnJlbnQgdmFsaWRpdHkuIFByZW1vbml0b3J5IHVyZ2VzIHdlcmUgZW5kb3JzZWQgYnkgdGhlIG1ham9yaXR5IG9mIGluZGl2aWR1YWxzLiBNb3N0IGluZGl2aWR1YWxzIHJlcG9ydGVkIHNvbWUgcmVsaWVmIGZyb20gdGhlIHVyZ2VzIGFmdGVyIGNvbXBsZXRpbmcgYSB0aWMgYW5kIGJlaW5nIGFibGUgdG8gc3RvcCB0aGVpciB0aWNzIGV2ZW4gaWYgb25seSB0ZW1wb3JhcmlseS4gRGVncmVlIG9mIHByZW1vbml0b3J5IHVyZ2VzIHdhcyBub3Qgc2lnbmlmaWNhbnRseSBjb3JyZWxhdGVkIHdpdGggYWdlLCBhbmQgd2UgZGlkIG5vdCBvYnNlcnZlIGFueSBnZW5kZXIgZGlmZmVyZW5jZXMuIERlZ3JlZSBvZiBwcmVtb25pdG9yeSB1cmdlcyB3YXMgc2lnbmlmaWNhbnRseSBjb3JyZWxhdGVkIHdpdGggZXN0aW1hdGVkIElRIGFuZCB0aWMgc2V2ZXJpdHksIGJ1dCBub3Qgc2V2ZXJpdHkgb2YgY29tb3JiaWQgb2JzZXNzaXZlLWNvbXB1bHNpdmUgZGlzb3JkZXIgb3IgYXR0ZW50aW9uLWRlZmljaXQgaHlwZXJhY3Rpdml0eSBkaXNvcmRlci4gQWxzbywgaXQgd2FzIG5vdCByZWxhdGVkIHRvIGNvbmNvbWl0YW50IG1lZGljYXRpb24gc3RhdHVzLiBUaGVzZSBmaW5kaW5ncyByZXByZXNlbnQgYW5vdGhlciBzdGVwIGZvcndhcmQgaW4gb3VyIHVuZGVyc3RhbmRpbmcgb2YgdGhlIHByZW1vbml0b3J5IHNlbnNhdGlvbnMgYXNzb2NpYXRlZCB3aXRoIFRTIGFuZCBDVEQuIiwiaXNzdWUiOiIyIiwidm9sdW1lIjoiNDUiLCJjb250YWluZXItdGl0bGUtc2hvcnQiOiIifSwiaXNUZW1wb3JhcnkiOmZhbHNlfV19&quot;,&quot;citationItems&quot;:[{&quot;id&quot;:&quot;369c10c7-0176-3421-82be-88c000d31b2a&quot;,&quot;itemData&quot;:{&quot;type&quot;:&quot;article-journal&quot;,&quot;id&quot;:&quot;369c10c7-0176-3421-82be-88c000d31b2a&quot;,&quot;title&quot;:&quot;The premonitory urge to tic: measurement, characteristics, and correlates in older adolescents and adults&quot;,&quot;groupId&quot;:&quot;07d62ac1-5aa8-39af-b49e-52d2088ac571&quot;,&quot;author&quot;:[{&quot;family&quot;:&quot;Reese&quot;,&quot;given&quot;:&quot;H E&quot;,&quot;parse-names&quot;:false,&quot;dropping-particle&quot;:&quot;&quot;,&quot;non-dropping-particle&quot;:&quot;&quot;},{&quot;family&quot;:&quot;Scahill&quot;,&quot;given&quot;:&quot;L&quot;,&quot;parse-names&quot;:false,&quot;dropping-particle&quot;:&quot;&quot;,&quot;non-dropping-particle&quot;:&quot;&quot;},{&quot;family&quot;:&quot;Peterson&quot;,&quot;given&quot;:&quot;A L&quot;,&quot;parse-names&quot;:false,&quot;dropping-particle&quot;:&quot;&quot;,&quot;non-dropping-particle&quot;:&quot;&quot;},{&quot;family&quot;:&quot;Crowe&quot;,&quot;given&quot;:&quot;K&quot;,&quot;parse-names&quot;:false,&quot;dropping-particle&quot;:&quot;&quot;,&quot;non-dropping-particle&quot;:&quot;&quot;},{&quot;family&quot;:&quot;Woods&quot;,&quot;given&quot;:&quot;D W&quot;,&quot;parse-names&quot;:false,&quot;dropping-particle&quot;:&quot;&quot;,&quot;non-dropping-particle&quot;:&quot;&quot;},{&quot;family&quot;:&quot;Piacentini&quot;,&quot;given&quot;:&quot;J&quot;,&quot;parse-names&quot;:false,&quot;dropping-particle&quot;:&quot;&quot;,&quot;non-dropping-particle&quot;:&quot;&quot;},{&quot;family&quot;:&quot;Walkup&quot;,&quot;given&quot;:&quot;J T&quot;,&quot;parse-names&quot;:false,&quot;dropping-particle&quot;:&quot;&quot;,&quot;non-dropping-particle&quot;:&quot;&quot;},{&quot;family&quot;:&quot;Wilhelm&quot;,&quot;given&quot;:&quot;S&quot;,&quot;parse-names&quot;:false,&quot;dropping-particle&quot;:&quot;&quot;,&quot;non-dropping-particle&quot;:&quot;&quot;}],&quot;container-title&quot;:&quot;Behav Ther&quot;,&quot;DOI&quot;:&quot;10.1016/j.beth.2013.09.002&quot;,&quot;PMID&quot;:&quot;24491193&quot;,&quot;issued&quot;:{&quot;date-parts&quot;:[[2014]]},&quot;page&quot;:&quot;177-186&quot;,&quot;abstract&quot;:&quot;In addition to motor and/or vocal tics, many individuals with Tourette syndrome (TS) or chronic tic disorder (CTD) report frequent, uncomfortable sensory phenomena that immediately precede the tics. To date, examination of these premonitory sensations or urges has been limited by inconsistent assessment tools. In this paper, we examine the psychometric properties of a nine-item self-report measure, the Premonitory Urge to Tic Scale (PUTS) and examine the characteristics and correlates of the premonitory urge to tic in a clinical sample of 122 older adolescents and adults with TS or CTD. The PUTS demonstrated adequate internal consistency, temporal stability, and concurrent validity. Premonitory urges were endorsed by the majority of individuals. Most individuals reported some relief from the urges after completing a tic and being able to stop their tics even if only temporarily. Degree of premonitory urges was not significantly correlated with age, and we did not observe any gender differences. Degree of premonitory urges was significantly correlated with estimated IQ and tic severity, but not severity of comorbid obsessive-compulsive disorder or attention-deficit hyperactivity disorder. Also, it was not related to concomitant medication status. These findings represent another step forward in our understanding of the premonitory sensations associated with TS and CTD.&quot;,&quot;issue&quot;:&quot;2&quot;,&quot;volume&quot;:&quot;45&quot;,&quot;container-title-short&quot;:&quot;&quot;},&quot;isTemporary&quot;:false}]},{&quot;citationID&quot;:&quot;MENDELEY_CITATION_cbe00675-51fc-4dd1-9b37-3485cc2c1940&quot;,&quot;properties&quot;:{&quot;noteIndex&quot;:0},&quot;isEdited&quot;:false,&quot;manualOverride&quot;:{&quot;isManuallyOverridden&quot;:false,&quot;citeprocText&quot;:&quot;(4)&quot;,&quot;manualOverrideText&quot;:&quot;&quot;},&quot;citationTag&quot;:&quot;MENDELEY_CITATION_v3_eyJjaXRhdGlvbklEIjoiTUVOREVMRVlfQ0lUQVRJT05fY2JlMDA2NzUtNTFmYy00ZGQxLTliMzctMzQ4NWNjMmMxOTQwIiwicHJvcGVydGllcyI6eyJub3RlSW5kZXgiOjB9LCJpc0VkaXRlZCI6ZmFsc2UsIm1hbnVhbE92ZXJyaWRlIjp7ImlzTWFudWFsbHlPdmVycmlkZGVuIjpmYWxzZSwiY2l0ZXByb2NUZXh0IjoiKDQpIiwibWFudWFsT3ZlcnJpZGVUZXh0IjoiIn0sImNpdGF0aW9uSXRlbXMiOlt7ImlkIjoiYjVhNWI5YWYtNTk2OC0zZmZkLTlmOTAtMzZhNTI0NGE1MDU4IiwiaXRlbURhdGEiOnsidHlwZSI6ImFydGljbGUtam91cm5hbCIsImlkIjoiYjVhNWI5YWYtNTk2OC0zZmZkLTlmOTAtMzZhNTI0NGE1MDU4IiwidGl0bGUiOiJQcmVtb25pdG9yeSBVcmdlcyBpbiBQYXRpZW50cyB3aXRoIEdpbGxlcyBkZSBsYSBUb3VyZXR0ZSBTeW5kcm9tZTogQW4gSXRhbGlhbiBUcmFuc2xhdGlvbiBhbmQgYSA3LVllYXIgRm9sbG93LXVwIiwiZ3JvdXBJZCI6IjA3ZDYyYWMxLTVhYTgtMzlhZi1iNDllLTUyZDIwODhhYzU3MSIsImF1dGhvciI6W3siZmFtaWx5IjoiR3VsaXNhbm8iLCJnaXZlbiI6Ik0iLCJwYXJzZS1uYW1lcyI6ZmFsc2UsImRyb3BwaW5nLXBhcnRpY2xlIjoiIiwibm9uLWRyb3BwaW5nLXBhcnRpY2xlIjoiIn0seyJmYW1pbHkiOiJDYWzDrCIsImdpdmVuIjoiUCIsInBhcnNlLW5hbWVzIjpmYWxzZSwiZHJvcHBpbmctcGFydGljbGUiOiIiLCJub24tZHJvcHBpbmctcGFydGljbGUiOiIifSx7ImZhbWlseSI6IlBhbGVybW8iLCJnaXZlbiI6IkYiLCJwYXJzZS1uYW1lcyI6ZmFsc2UsImRyb3BwaW5nLXBhcnRpY2xlIjoiIiwibm9uLWRyb3BwaW5nLXBhcnRpY2xlIjoiIn0seyJmYW1pbHkiOiJSb2JlcnRzb24iLCJnaXZlbiI6Ik0iLCJwYXJzZS1uYW1lcyI6ZmFsc2UsImRyb3BwaW5nLXBhcnRpY2xlIjoiIiwibm9uLWRyb3BwaW5nLXBhcnRpY2xlIjoiIn0seyJmYW1pbHkiOiJSaXp6byIsImdpdmVuIjoiUiIsInBhcnNlLW5hbWVzIjpmYWxzZSwiZHJvcHBpbmctcGFydGljbGUiOiIiLCJub24tZHJvcHBpbmctcGFydGljbGUiOiIifV0sImNvbnRhaW5lci10aXRsZSI6IkogQ2hpbGQgQWRvbGVzYyBQc3ljaG9waGFybWFjb2wiLCJET0kiOiIxMC4xMDg5L2NhcC4yMDE0LjAxNTQiLCJQTUlEIjoiMjYyODgzNDUiLCJVUkwiOiJodHRwczovL3d3dy5saWViZXJ0cHViLmNvbS9kb2kvMTAuMTA4OS9jYXAuMjAxNC4wMTU0IiwiaXNzdWVkIjp7ImRhdGUtcGFydHMiOltbMjAxNV1dfSwicGFnZSI6IjgxMC04MTYiLCJhYnN0cmFjdCI6Ik9CSkVDVElWRTogUHJlbW9uaXRvcnkgc2Vuc2F0aW9ucyBvciB1cmdlcyAoUFVzKSBhcmUgZGVzY3JpYmVkIGFzIGNoYXJhY3RlcmlzdGljIHNlbnNvcnkgcGhlbm9tZW5hIHByZWNlZGluZyB0aWNzLCB3aGljaCBhcmUgb2Z0ZW4gZGVzY3JpYmVkIGFzIHVucGxlYXNhbnQuIFRoZXkgb2NjdXIgaW4gOTAlIG9mIHBhdGllbnRzIGFmZmVjdGVkIGJ5IEdpbGxlcyBkZSBsYSBUb3VyZXR0ZSBTeW5kcm9tZSAoR1RTKS4gVGhleSBtYXkgYmUgbG9jYWxpemVkIChhcm91bmQgdGhlIGFyZWEgb2YgdGljKSBvciBnZW5lcmFsaXplZCAoY292ZXJpbmcgYSB3aWRlIGFyZWEgb2YgdGhlIGJvZHkpLiBUaGUgUFVzIGNhbiBiZSBtZWFzdXJlZCBieSB0aGUgUHJlbW9uaXRvcnkgVXJnZSBmb3IgVGljcyBTY2FsZSAoUFVUUykuIEluIHRoaXMgc3R1ZHkgd2UgdHJhbnNsYXRlZCB0aGUgUFVUUyBzY2FsZSBpbnRvIEl0YWxpYW4gYW5kIHRoZW4gYXNzZXNzZWQgY2hpbGRyZW4gYW5kIGFkb2xlc2NlbnRzL3lvdW5nIHBlb3BsZSAoQ1lQKSB3aXRoIEdUUyB1c2luZyB0aGUgc2NhbGUuIE1FVEhPRFM6IEdUUyBwYXRpZW50cyB3ZXJlIGFzc2Vzc2VkIGF0IHRoZSBpbml0aWFsIGludGVydmlldyBhbmQgYWZ0ZXIgNyB5ZWFycyB0byBldmFsdWF0ZSB0aGUgUFVzLCBhbmQgdGhlIGNvcnJlbGF0aW9ucyBvZiB0aGUgUFVUUyBzY29yZXMgd2l0aCB0aWMgc2V2ZXJpdHksIHNldmVyaXR5IG9mIGNvbW9yYmlkIGRpc29yZGVycyAob2JzZXNzaXZlLWNvbXB1bHNpdmUgZGlzb3JkZXIgW09DRF0sIGF0dGVudGlvbi1kZWZpY2l0L2h5cGVyYWN0aXZpdHkgZGlzb3JkZXIgW0FESERdKSwgYW5kIGEgdmFyaWV0eSBvZiBjb2V4aXN0aW5nIHBzeWNob3BhdGhvbG9naWVzLiBSRVNVTFRTOiBBIHRvdGFsIG9mIDk1IHBhdGllbnRzIHdlcmUgc3R1ZGllZC4gV2Ugc3VjY2Vzc2Z1bGx5IHRyYW5zbGF0ZWQgdGhlIFBVVFMgaW50byBJdGFsaWFuLCBhbmQgb3VyIHJlc3VsdHMgaW5kaWNhdGVkIHRoYXQgb3VyIHRyYW5zbGF0ZWQgdmVyc2lvbiBoYWQgZ29vZCBwc3ljaG9tZXRyaWMgcHJvcGVydGllcy4gUmVzdWx0cyBkZW1vbnN0cmF0ZWQgdGhhdCB0aGUgQ1lQIGhhZCBQVXMgYXQgYm90aCBpbnRlcnZpZXdzLCBidXQgdGhhdCBvbGRlciBDWVAgd2VyZSBtb3JlIGNvbnNpc3RlbnQgaW4gcmVwb3J0aW5nIFBVcyB0aGFuIHlvdW5nZXIgQ1lQIChpLmUuLCBQVVRTIHNjb3JlcyBpbmNyZWFzZWQgd2l0aCBhZ2UpLiBXZSBmb3VuZCBubyBjb3JyZWxhdGlvbnMgYmV0d2VlbiBQVVRTIHNjb3JlIGFuZCB0aWMgc2V2ZXJpdHkgYXQgZWl0aGVyIGludGVydmlldy4gV2UgZm91bmQgYSBzdGF0aXN0aWNhbCBzaWduaWZpY2FudCBjb3JyZWxhdGlvbiBiZXR3ZWVuIFBVVFMgc2NvcmUgYW5kIG9ic2Vzc2l2ZS1jb21wdWxzaXZlIHN5bXB0b21zIChPQ1MpIGF0IGJvdGggaW50ZXJ2aWV3czsgTW9yZW92ZXIgYm90aCB0aGUgUFVUUyBhbmQgQ2hpbGRyZW4ncyBZYWxlLUJyb3duIE9ic2Vzc2l2ZSBDb21wdWxzaXZlIFNjYWxlIChDWS1CT0NTKSBzY29yZXMgaW5jcmVhc2VkIHNpZ25pZmljYW50bHksIHdoZXJlYXMgdGhlIFlhbGUgR2xvYmFsIFRpYyBTZXZlcml0eSBSYXRpbmcgU2NhbGUgKFlHVFNTKSBzY29yZSBkZWNyZWFzZWQgc2lnbmlmaWNhbnRseS4gV2UgZm91bmQgbm8gcmVsYXRpb25zaGlwcyBiZXR3ZWVuIFBVVFMgc2NvcmVzIGFuZCBhbnhpZXR5LCBkZXByZXNzaW9uLCBBREhELCBhbmQgZXh0ZXJuYWxpemluZy9pbnRlcm5hbGl6aW5nIGJlaGF2aW9yYWwgc2NvcmVzLiBDT05DTFVTSU9OUzogT3VyIHJlc3VsdHMgc3VnZ2VzdCB0aGUgdGhlIEl0YWxpYW4gdHJhbnNsYXRpb24gb2YgdGhlIFBVVFMgaGFzIGdvb2QgcHN5Y2hvbWV0cmljIHByb3BlcnRpZXMuIEFsdGhvdWdoIGJvdGggeW91bmdlciAoPDEwIHllYXJzIG9mIGFnZSkgYW5kIG9sZGVyIENZUCAo4omkIDEwIHllYXJzIG9mIGFnZSkgcmVwb3J0ZWQgUFVzLCB0aGUgc2NvcmVzIGF0IHRoZSBpbml0aWFsIGludGVydmlldyB3ZXJlIHN0YXRpc3RpY2FsbHkgc2lnbmlmaWNhbnRseSBsb3dlciB0aGFuIGF0IGZvbGxvdy11cC4gTW9yZW92ZXIsIGluIENZUCA+MTAgeWVhcnMgb2YgYWdlLCB0aGUgUFVzIGNvcnJlbGF0ZWQgd2l0aCBvYnNlc3Npb25zIGFuZCBjb21wdWxzaW9ucyAoQ1ktQk9DUyBzY29yZXMpLiIsImlzc3VlIjoiMTAiLCJ2b2x1bWUiOiIyNSIsImNvbnRhaW5lci10aXRsZS1zaG9ydCI6IiJ9LCJpc1RlbXBvcmFyeSI6ZmFsc2V9XX0=&quot;,&quot;citationItems&quot;:[{&quot;id&quot;:&quot;b5a5b9af-5968-3ffd-9f90-36a5244a5058&quot;,&quot;itemData&quot;:{&quot;type&quot;:&quot;article-journal&quot;,&quot;id&quot;:&quot;b5a5b9af-5968-3ffd-9f90-36a5244a5058&quot;,&quot;title&quot;:&quot;Premonitory Urges in Patients with Gilles de la Tourette Syndrome: An Italian Translation and a 7-Year Follow-up&quot;,&quot;groupId&quot;:&quot;07d62ac1-5aa8-39af-b49e-52d2088ac571&quot;,&quot;author&quot;:[{&quot;family&quot;:&quot;Gulisano&quot;,&quot;given&quot;:&quot;M&quot;,&quot;parse-names&quot;:false,&quot;dropping-particle&quot;:&quot;&quot;,&quot;non-dropping-particle&quot;:&quot;&quot;},{&quot;family&quot;:&quot;Calì&quot;,&quot;given&quot;:&quot;P&quot;,&quot;parse-names&quot;:false,&quot;dropping-particle&quot;:&quot;&quot;,&quot;non-dropping-particle&quot;:&quot;&quot;},{&quot;family&quot;:&quot;Palermo&quot;,&quot;given&quot;:&quot;F&quot;,&quot;parse-names&quot;:false,&quot;dropping-particle&quot;:&quot;&quot;,&quot;non-dropping-particle&quot;:&quot;&quot;},{&quot;family&quot;:&quot;Robertson&quot;,&quot;given&quot;:&quot;M&quot;,&quot;parse-names&quot;:false,&quot;dropping-particle&quot;:&quot;&quot;,&quot;non-dropping-particle&quot;:&quot;&quot;},{&quot;family&quot;:&quot;Rizzo&quot;,&quot;given&quot;:&quot;R&quot;,&quot;parse-names&quot;:false,&quot;dropping-particle&quot;:&quot;&quot;,&quot;non-dropping-particle&quot;:&quot;&quot;}],&quot;container-title&quot;:&quot;J Child Adolesc Psychopharmacol&quot;,&quot;DOI&quot;:&quot;10.1089/cap.2014.0154&quot;,&quot;PMID&quot;:&quot;26288345&quot;,&quot;URL&quot;:&quot;https://www.liebertpub.com/doi/10.1089/cap.2014.0154&quot;,&quot;issued&quot;:{&quot;date-parts&quot;:[[2015]]},&quot;page&quot;:&quot;810-816&quot;,&quot;abstract&quot;:&quot;OBJECTIVE: Premonitory sensations or urges (PUs) are described as characteristic sensory phenomena preceding tics, which are often described as unpleasant. They occur in 90% of patients affected by Gilles de la Tourette Syndrome (GTS). They may be localized (around the area of tic) or generalized (covering a wide area of the body). The PUs can be measured by the Premonitory Urge for Tics Scale (PUTS). In this study we translated the PUTS scale into Italian and then assessed children and adolescents/young people (CYP) with GTS using the scale. METHODS: GTS patients were assessed at the initial interview and after 7 years to evaluate the PUs, and the correlations of the PUTS scores with tic severity, severity of comorbid disorders (obsessive-compulsive disorder [OCD], attention-deficit/hyperactivity disorder [ADHD]), and a variety of coexisting psychopathologies. RESULTS: A total of 95 patients were studied. We successfully translated the PUTS into Italian, and our results indicated that our translated version had good psychometric properties. Results demonstrated that the CYP had PUs at both interviews, but that older CYP were more consistent in reporting PUs than younger CYP (i.e., PUTS scores increased with age). We found no correlations between PUTS score and tic severity at either interview. We found a statistical significant correlation between PUTS score and obsessive-compulsive symptoms (OCS) at both interviews; Moreover both the PUTS and Children's Yale-Brown Obsessive Compulsive Scale (CY-BOCS) scores increased significantly, whereas the Yale Global Tic Severity Rating Scale (YGTSS) score decreased significantly. We found no relationships between PUTS scores and anxiety, depression, ADHD, and externalizing/internalizing behavioral scores. CONCLUSIONS: Our results suggest the the Italian translation of the PUTS has good psychometric properties. Although both younger (&lt;10 years of age) and older CYP (≤ 10 years of age) reported PUs, the scores at the initial interview were statistically significantly lower than at follow-up. Moreover, in CYP &gt;10 years of age, the PUs correlated with obsessions and compulsions (CY-BOCS scores).&quot;,&quot;issue&quot;:&quot;10&quot;,&quot;volume&quot;:&quot;25&quot;,&quot;container-title-short&quot;:&quot;&quot;},&quot;isTemporary&quot;:false}]},{&quot;citationID&quot;:&quot;MENDELEY_CITATION_e3c64f6d-83a6-4e89-8fd8-043766717893&quot;,&quot;properties&quot;:{&quot;noteIndex&quot;:0},&quot;isEdited&quot;:false,&quot;manualOverride&quot;:{&quot;isManuallyOverridden&quot;:false,&quot;citeprocText&quot;:&quot;(7)&quot;,&quot;manualOverrideText&quot;:&quot;&quot;},&quot;citationTag&quot;:&quot;MENDELEY_CITATION_v3_eyJjaXRhdGlvbklEIjoiTUVOREVMRVlfQ0lUQVRJT05fZTNjNjRmNmQtODNhNi00ZTg5LThmZDgtMDQzNzY2NzE3ODkzIiwicHJvcGVydGllcyI6eyJub3RlSW5kZXgiOjB9LCJpc0VkaXRlZCI6ZmFsc2UsIm1hbnVhbE92ZXJyaWRlIjp7ImlzTWFudWFsbHlPdmVycmlkZGVuIjpmYWxzZSwiY2l0ZXByb2NUZXh0IjoiKDcpIiwibWFudWFsT3ZlcnJpZGVUZXh0IjoiIn0sImNpdGF0aW9uSXRlbXMiOlt7ImlkIjoiMjMxMzg1NzUtZDFlNC0zZWFmLWJiM2UtNGRlMTJiNWNmMTBhIiwiaXRlbURhdGEiOnsidHlwZSI6ImFydGljbGUtam91cm5hbCIsImlkIjoiMjMxMzg1NzUtZDFlNC0zZWFmLWJiM2UtNGRlMTJiNWNmMTBhIiwidGl0bGUiOiJUaGUgUHJlbW9uaXRvcnkgVXJnZSBmb3IgVGljcyBTY2FsZSBpbiBhIGxhcmdlIHNhbXBsZSBvZiBjaGlsZHJlbiBhbmQgYWRvbGVzY2VudHM6IHBzeWNob21ldHJpYyBwcm9wZXJ0aWVzIGluIGEgZGV2ZWxvcG1lbnRhbCBjb250ZXh0LiBBbiBFTVRJQ1Mgc3R1ZHkiLCJncm91cElkIjoiMDdkNjJhYzEtNWFhOC0zOWFmLWI0OWUtNTJkMjA4OGFjNTcxIiwiYXV0aG9yIjpbeyJmYW1pbHkiOiJPcGVubmVlciIsImdpdmVuIjoiVCBKIEMiLCJwYXJzZS1uYW1lcyI6ZmFsc2UsImRyb3BwaW5nLXBhcnRpY2xlIjoiIiwibm9uLWRyb3BwaW5nLXBhcnRpY2xlIjoiIn0seyJmYW1pbHkiOiJUw6Fybm9rIiwiZ2l2ZW4iOiJaIiwicGFyc2UtbmFtZXMiOmZhbHNlLCJkcm9wcGluZy1wYXJ0aWNsZSI6IiIsIm5vbi1kcm9wcGluZy1wYXJ0aWNsZSI6IiJ9LHsiZmFtaWx5IjoiQm9nbmFyIiwiZ2l2ZW4iOiJFIiwicGFyc2UtbmFtZXMiOmZhbHNlLCJkcm9wcGluZy1wYXJ0aWNsZSI6IiIsIm5vbi1kcm9wcGluZy1wYXJ0aWNsZSI6IiJ9LHsiZmFtaWx5IjoiQmVuYXJveWEtTWlsc2h0ZWluIiwiZ2l2ZW4iOiJOIiwicGFyc2UtbmFtZXMiOmZhbHNlLCJkcm9wcGluZy1wYXJ0aWNsZSI6IiIsIm5vbi1kcm9wcGluZy1wYXJ0aWNsZSI6IiJ9LHsiZmFtaWx5IjoiR2FyY2lhLURlbGdhciIsImdpdmVuIjoiQiIsInBhcnNlLW5hbWVzIjpmYWxzZSwiZHJvcHBpbmctcGFydGljbGUiOiIiLCJub24tZHJvcHBpbmctcGFydGljbGUiOiIifSx7ImZhbWlseSI6Ik1vcmVyIiwiZ2l2ZW4iOiJBIiwicGFyc2UtbmFtZXMiOmZhbHNlLCJkcm9wcGluZy1wYXJ0aWNsZSI6IiIsIm5vbi1kcm9wcGluZy1wYXJ0aWNsZSI6IiJ9LHsiZmFtaWx5IjoiU3RlaW5iZXJnIiwiZ2l2ZW4iOiJUIiwicGFyc2UtbmFtZXMiOmZhbHNlLCJkcm9wcGluZy1wYXJ0aWNsZSI6IiIsIm5vbi1kcm9wcGluZy1wYXJ0aWNsZSI6IiJ9LHsiZmFtaWx5IjoiSG9la3N0cmEiLCJnaXZlbiI6IlAgSiIsInBhcnNlLW5hbWVzIjpmYWxzZSwiZHJvcHBpbmctcGFydGljbGUiOiIiLCJub24tZHJvcHBpbmctcGFydGljbGUiOiIifSx7ImZhbWlseSI6IkRpZXRyaWNoIiwiZ2l2ZW4iOiJBIiwicGFyc2UtbmFtZXMiOmZhbHNlLCJkcm9wcGluZy1wYXJ0aWNsZSI6IiIsIm5vbi1kcm9wcGluZy1wYXJ0aWNsZSI6IiJ9XSwiY29udGFpbmVyLXRpdGxlIjoiRXVyIENoaWxkIEFkb2xlc2MgUHN5Y2hpYXRyeSIsIkRPSSI6IjEwLjEwMDcvczAwNzg3LTAxOS0wMTQ1MC0xIiwiUE1JRCI6IjMxODAyMjcxIiwiVVJMIjoiaHR0cHM6Ly9saW5rLnNwcmluZ2VyLmNvbS9jb250ZW50L3BkZi8xMC4xMDA3L3MwMDc4Ny0wMTktMDE0NTAtMS5wZGYiLCJpc3N1ZWQiOnsiZGF0ZS1wYXJ0cyI6W1syMDIwXV19LCJwYWdlIjoiMTQxMS0xNDI0IiwiYWJzdHJhY3QiOiJQcmVtb25pdG9yeSB1cmdlcyBhcmUgdW5jb21mb3J0YWJsZSBwaHlzaWNhbCBzZW5zYXRpb25zIHByZWNlZGluZyB0aWNzIHRoYXQgb2NjdXIgaW4gbW9zdCBpbmRpdmlkdWFscyB3aXRoIGEgY2hyb25pYyB0aWMgZGlzb3JkZXIuIFRoZSBQcmVtb25pdG9yeSBVcmdlIGZvciBUaWNzIFNjYWxlIChQVVRTKSBpcyB0aGUgbW9zdCBmcmVxdWVudGx5IHVzZWQgc2VsZi1yZXBvcnQgbWVhc3VyZSB0byBhc3Nlc3MgdGhlIHNldmVyaXR5IG9mIHByZW1vbml0b3J5IHVyZ2VzLiBXZSBhaW1lZCB0byBldmFsdWF0ZSB0aGUgcHN5Y2hvbWV0cmljIHByb3BlcnRpZXMgb2YgdGhlIFBVVFMgaW4gdGhlIGxhcmdlc3Qgc2FtcGxlIHNpemUgdG8gZGF0ZSAobuKAiT3igIk2NTYpLCBpbiBjaGlsZHJlbiBhZ2VkIDMtMTbCoHllYXJzLCBmcm9tIHRoZSBiYXNlbGluZSBtZWFzdXJlbWVudCBvZiB0aGUgbG9uZ2l0dWRpbmFsIEV1cm9wZWFuIE11bHRpY2VudGVyIFRpY3MgaW4gQ2hpbGRyZW4gU3R1ZHkgKEVNVElDUykuIE91ciBwc3ljaG9tZXRyaWMgZXZhbHVhdGlvbiB3YXMgZG9uZSBpbiB0aHJlZSBhZ2UtZ3JvdXBzOiBjaGlsZHJlbiBhZ2VkIDMtN8KgeWVhcnMgKG7igIk94oCJMTAzKSwgY2hpbGRyZW4gYmV0d2VlbiA4IGFuZCAxMMKgeWVhcnMgKG7igIk94oCJMjUzKSwgYW5kIGNoaWxkcmVuIGFnZWQgMTEtMTbCoHllYXJzIChu4oCJPeKAiTMwMCkuIFRoZSBQVVRTIGV4aGliaXRlZCBnb29kIGludGVybmFsIHJlbGlhYmlsaXR5IGluIGNoaWxkcmVuIGFuZCBhZG9sZXNjZW50cywgYWxzbyB1bmRlciB0aGUgYWdlIG9mIDEwLCB3aGljaCBpcyB5b3VuZ2VyIHRoYW4gcHJldmlvdXNseSB0aG91Z2h0LiBXZSBvYnNlcnZlZCBzaWduaWZpY2FudCBidXQgc21hbGwgY29ycmVsYXRpb25zIGJldHdlZW4gdGhlIHNldmVyaXR5IG9mIHVyZ2VzIGFuZCBzZXZlcml0eSBvZiB0aWNzIGFuZCBvYnNlc3NpdmUtY29tcHVsc2l2ZSBzeW1wdG9tcywgYW5kIGJldHdlZW4gc2V2ZXJpdHkgb2YgdXJnZXMgYW5kIHJhdGluZ3Mgb2YgYXR0ZW50aW9uLWRlZmljaXQvaHlwZXJhY3Rpdml0eSBkaXNvcmRlciBhbmQgaW50ZXJuYWxpemluZyBhbmQgZXh0ZXJuYWxpemluZyBiZWhhdmlvcnMsIGhvd2V2ZXIsIG9ubHkgaW4gY2hpbGRyZW4gb2YgOC0xMMKgeWVhcnMuIENvbnNpc3RlbnQgd2l0aCBwcmV2aW91cyByZXN1bHRzLCB0aGUgMTB0aCBpdGVtIG9mIHRoZSBQVVRTIGNvcnJlbGF0ZWQgbGVzcyB3aXRoIHRoZSByZXN0IG9mIHRoZSBzY2FsZSBjb21wYXJlZCB0byB0aGUgb3RoZXIgaXRlbXMgYW5kLCB0aGVyZWZvcmUsIHNob3VsZCBub3QgYmUgdXNlZCBhcyBwYXJ0IG9mIHRoZSBxdWVzdGlvbm5haXJlLiBXZSBmb3VuZCBhIHR3by1mYWN0b3Igc3RydWN0dXJlIG9mIHRoZSBQVVRTIGluIGNoaWxkcmVuIG9mIDExwqB5ZWFycyBhbmQgb2xkZXIsIGRpc3Rpbmd1aXNoaW5nIGJldHdlZW4gc2Vuc29yeSBwaGVub21lbmEgcmVsYXRlZCB0byB0aWNzLCBhbmQgbWVudGFsIHBoZW5vbWVuYSBhcyBvZnRlbiBmb3VuZCBpbiBvYnNlc3NpdmUtY29tcHVsc2l2ZSBkaXNvcmRlci4gVGhlIGFnZS1yZWxhdGVkIGRpZmZlcmVuY2VzIG9ic2VydmVkIGluIHRoaXMgc3R1ZHkgbWF5IGluZGljYXRlIHRoZSBuZWVkIGZvciB0aGUgZGV2ZWxvcG1lbnQgb2YgYW4gYWdlLXNwZWNpZmljIHF1ZXN0aW9ubmFpcmUgdG8gYXNzZXNzIHByZW1vbml0b3J5IHVyZ2VzLiIsImlzc3VlIjoiMTAiLCJ2b2x1bWUiOiIyOSIsImNvbnRhaW5lci10aXRsZS1zaG9ydCI6IiJ9LCJpc1RlbXBvcmFyeSI6ZmFsc2V9XX0=&quot;,&quot;citationItems&quot;:[{&quot;id&quot;:&quot;23138575-d1e4-3eaf-bb3e-4de12b5cf10a&quot;,&quot;itemData&quot;:{&quot;type&quot;:&quot;article-journal&quot;,&quot;id&quot;:&quot;23138575-d1e4-3eaf-bb3e-4de12b5cf10a&quot;,&quot;title&quot;:&quot;The Premonitory Urge for Tics Scale in a large sample of children and adolescents: psychometric properties in a developmental context. An EMTICS study&quot;,&quot;groupId&quot;:&quot;07d62ac1-5aa8-39af-b49e-52d2088ac571&quot;,&quot;author&quot;:[{&quot;family&quot;:&quot;Openneer&quot;,&quot;given&quot;:&quot;T J C&quot;,&quot;parse-names&quot;:false,&quot;dropping-particle&quot;:&quot;&quot;,&quot;non-dropping-particle&quot;:&quot;&quot;},{&quot;family&quot;:&quot;Tárnok&quot;,&quot;given&quot;:&quot;Z&quot;,&quot;parse-names&quot;:false,&quot;dropping-particle&quot;:&quot;&quot;,&quot;non-dropping-particle&quot;:&quot;&quot;},{&quot;family&quot;:&quot;Bognar&quot;,&quot;given&quot;:&quot;E&quot;,&quot;parse-names&quot;:false,&quot;dropping-particle&quot;:&quot;&quot;,&quot;non-dropping-particle&quot;:&quot;&quot;},{&quot;family&quot;:&quot;Benaroya-Milshtein&quot;,&quot;given&quot;:&quot;N&quot;,&quot;parse-names&quot;:false,&quot;dropping-particle&quot;:&quot;&quot;,&quot;non-dropping-particle&quot;:&quot;&quot;},{&quot;family&quot;:&quot;Garcia-Delgar&quot;,&quot;given&quot;:&quot;B&quot;,&quot;parse-names&quot;:false,&quot;dropping-particle&quot;:&quot;&quot;,&quot;non-dropping-particle&quot;:&quot;&quot;},{&quot;family&quot;:&quot;Morer&quot;,&quot;given&quot;:&quot;A&quot;,&quot;parse-names&quot;:false,&quot;dropping-particle&quot;:&quot;&quot;,&quot;non-dropping-particle&quot;:&quot;&quot;},{&quot;family&quot;:&quot;Steinberg&quot;,&quot;given&quot;:&quot;T&quot;,&quot;parse-names&quot;:false,&quot;dropping-particle&quot;:&quot;&quot;,&quot;non-dropping-particle&quot;:&quot;&quot;},{&quot;family&quot;:&quot;Hoekstra&quot;,&quot;given&quot;:&quot;P J&quot;,&quot;parse-names&quot;:false,&quot;dropping-particle&quot;:&quot;&quot;,&quot;non-dropping-particle&quot;:&quot;&quot;},{&quot;family&quot;:&quot;Dietrich&quot;,&quot;given&quot;:&quot;A&quot;,&quot;parse-names&quot;:false,&quot;dropping-particle&quot;:&quot;&quot;,&quot;non-dropping-particle&quot;:&quot;&quot;}],&quot;container-title&quot;:&quot;Eur Child Adolesc Psychiatry&quot;,&quot;DOI&quot;:&quot;10.1007/s00787-019-01450-1&quot;,&quot;PMID&quot;:&quot;31802271&quot;,&quot;URL&quot;:&quot;https://link.springer.com/content/pdf/10.1007/s00787-019-01450-1.pdf&quot;,&quot;issued&quot;:{&quot;date-parts&quot;:[[2020]]},&quot;page&quot;:&quot;1411-1424&quot;,&quot;abstract&quot;:&quot;Premonitory urges are uncomfortable physical sensations preceding tics that occur in most individuals with a chronic tic disorder. The Premonitory Urge for Tics Scale (PUTS) is the most frequently used self-report measure to assess the severity of premonitory urges. We aimed to evaluate the psychometric properties of the PUTS in the largest sample size to date (n = 656), in children aged 3-16 years, from the baseline measurement of the longitudinal European Multicenter Tics in Children Study (EMTICS). Our psychometric evaluation was done in three age-groups: children aged 3-7 years (n = 103), children between 8 and 10 years (n = 253), and children aged 11-16 years (n = 300). The PUTS exhibited good internal reliability in children and adolescents, also under the age of 10, which is younger than previously thought. We observed significant but small correlations between the severity of urges and severity of tics and obsessive-compulsive symptoms, and between severity of urges and ratings of attention-deficit/hyperactivity disorder and internalizing and externalizing behaviors, however, only in children of 8-10 years. Consistent with previous results, the 10th item of the PUTS correlated less with the rest of the scale compared to the other items and, therefore, should not be used as part of the questionnaire. We found a two-factor structure of the PUTS in children of 11 years and older, distinguishing between sensory phenomena related to tics, and mental phenomena as often found in obsessive-compulsive disorder. The age-related differences observed in this study may indicate the need for the development of an age-specific questionnaire to assess premonitory urges.&quot;,&quot;issue&quot;:&quot;10&quot;,&quot;volume&quot;:&quot;29&quot;,&quot;container-title-short&quot;:&quot;&quot;},&quot;isTemporary&quot;:false}]},{&quot;citationID&quot;:&quot;MENDELEY_CITATION_be3d06b4-270b-476a-98ef-2884c1334ab0&quot;,&quot;properties&quot;:{&quot;noteIndex&quot;:0},&quot;isEdited&quot;:false,&quot;manualOverride&quot;:{&quot;isManuallyOverridden&quot;:false,&quot;citeprocText&quot;:&quot;(14)&quot;,&quot;manualOverrideText&quot;:&quot;&quot;},&quot;citationTag&quot;:&quot;MENDELEY_CITATION_v3_eyJjaXRhdGlvbklEIjoiTUVOREVMRVlfQ0lUQVRJT05fYmUzZDA2YjQtMjcwYi00NzZhLTk4ZWYtMjg4NGMxMzM0YWIwIiwicHJvcGVydGllcyI6eyJub3RlSW5kZXgiOjB9LCJpc0VkaXRlZCI6ZmFsc2UsIm1hbnVhbE92ZXJyaWRlIjp7ImlzTWFudWFsbHlPdmVycmlkZGVuIjpmYWxzZSwiY2l0ZXByb2NUZXh0IjoiKDE0KSIsIm1hbnVhbE92ZXJyaWRlVGV4dCI6IiJ9LCJjaXRhdGlvbkl0ZW1zIjpbeyJpZCI6IjUzNjI3MWUxLTIxYjAtM2U3MC1iNDdlLWQzMWNjNGZjY2ExNSIsIml0ZW1EYXRhIjp7InR5cGUiOiJhcnRpY2xlLWpvdXJuYWwiLCJpZCI6IjUzNjI3MWUxLTIxYjAtM2U3MC1iNDdlLWQzMWNjNGZjY2ExNSIsInRpdGxlIjoiUmVsYXRpb25zaGlwcyBiZXR3ZWVuIFByZW1vbml0b3J5IFVyZ2UgYW5kIEFueGlldHkgaW4gWW91dGggd2l0aCBDaHJvbmljIFRpYyBEaXNvcmRlcnMiLCJncm91cElkIjoiMDdkNjJhYzEtNWFhOC0zOWFmLWI0OWUtNTJkMjA4OGFjNTcxIiwiYXV0aG9yIjpbeyJmYW1pbHkiOiJSb3plbm1hbiIsImdpdmVuIjoiTSIsInBhcnNlLW5hbWVzIjpmYWxzZSwiZHJvcHBpbmctcGFydGljbGUiOiIiLCJub24tZHJvcHBpbmctcGFydGljbGUiOiIifSx7ImZhbWlseSI6IkpvaG5zb24iLCJnaXZlbiI6Ik8gRSIsInBhcnNlLW5hbWVzIjpmYWxzZSwiZHJvcHBpbmctcGFydGljbGUiOiIiLCJub24tZHJvcHBpbmctcGFydGljbGUiOiIifSx7ImZhbWlseSI6IkNoYW5nIiwiZ2l2ZW4iOiJTIFciLCJwYXJzZS1uYW1lcyI6ZmFsc2UsImRyb3BwaW5nLXBhcnRpY2xlIjoiIiwibm9uLWRyb3BwaW5nLXBhcnRpY2xlIjoiIn0seyJmYW1pbHkiOiJXb29kcyIsImdpdmVuIjoiRCBXIiwicGFyc2UtbmFtZXMiOmZhbHNlLCJkcm9wcGluZy1wYXJ0aWNsZSI6IiIsIm5vbi1kcm9wcGluZy1wYXJ0aWNsZSI6IiJ9LHsiZmFtaWx5IjoiV2Fsa3VwIiwiZ2l2ZW4iOiJKIFQiLCJwYXJzZS1uYW1lcyI6ZmFsc2UsImRyb3BwaW5nLXBhcnRpY2xlIjoiIiwibm9uLWRyb3BwaW5nLXBhcnRpY2xlIjoiIn0seyJmYW1pbHkiOiJXaWxoZWxtIiwiZ2l2ZW4iOiJTIiwicGFyc2UtbmFtZXMiOmZhbHNlLCJkcm9wcGluZy1wYXJ0aWNsZSI6IiIsIm5vbi1kcm9wcGluZy1wYXJ0aWNsZSI6IiJ9LHsiZmFtaWx5IjoiUGV0ZXJzb24iLCJnaXZlbiI6IkEiLCJwYXJzZS1uYW1lcyI6ZmFsc2UsImRyb3BwaW5nLXBhcnRpY2xlIjoiIiwibm9uLWRyb3BwaW5nLXBhcnRpY2xlIjoiIn0seyJmYW1pbHkiOiJTY2FoaWxsIiwiZ2l2ZW4iOiJMIiwicGFyc2UtbmFtZXMiOmZhbHNlLCJkcm9wcGluZy1wYXJ0aWNsZSI6IiIsIm5vbi1kcm9wcGluZy1wYXJ0aWNsZSI6IiJ9LHsiZmFtaWx5IjoiUGlhY2VudGluaSIsImdpdmVuIjoiSiIsInBhcnNlLW5hbWVzIjpmYWxzZSwiZHJvcHBpbmctcGFydGljbGUiOiIiLCJub24tZHJvcHBpbmctcGFydGljbGUiOiIifV0sImNvbnRhaW5lci10aXRsZSI6IkNoaWxkIEhlYWx0aCBDYXJlIiwiRE9JIjoiMTAuMTA4MC8wMjczOTYxNS4yMDE0Ljk4NjMyOCIsIlBNSUQiOiIyNzExMDA1MCIsImlzc3VlZCI6eyJkYXRlLXBhcnRzIjpbWzIwMTVdXX0sInBhZ2UiOiIyMzUtMjQ4IiwiYWJzdHJhY3QiOiJUb3VyZXR0ZSdzIERpc29yZGVyIGFuZCBvdGhlciBjaHJvbmljIHRpYyBkaXNvcmRlcnMgYXJlIGNvbW1vbiBuZXVyb2RldmVsb3BtZW50YWwgY29uZGl0aW9ucy4gT25lIGNoYXJhY3RlcmlzdGljIG9mIHRpYyBkaXNvcmRlcnMgaXMgdGhlIHByZW1vbml0b3J5IHVyZ2UsIGFuIGF2ZXJzaXZlIG9yIHVucGxlYXNhbnQgc2Vuc29yeSBwaGVub21lbm9uIHRoYXQgbWF5IHByZWNlZGUgdGljcy4gSW5pdGlhbCBleGFtaW5hdGlvbiBvZiBwcmVtb25pdG9yeSB1cmdlIGluIHBlZGlhdHJpYyB0aWMgZGlzb3JkZXJzIHN1Z2dlc3RzIHRoYXQgYXdhcmVuZXNzIGFuZCBleHBlcmllbmNlIG9mIHNlbnNhdGlvbnMgcHJlY2VkaW5nIHRpY3MgbWF5IGJlIHJlbGF0ZWQgdG8gYW54aWV0eSBhbmQgT0NELiBIb3dldmVyLCBpdCBtYXkgYmUgcG9zc2libGUgdGhhdCBzcGVjaWZpYyBhbnhpZXR5LXJlbGF0ZWQgc3ltcHRvbXMsIHN1Y2ggYXMgYW54aW91cyBwaHlzaW9sb2dpYyBhcm91c2FsLCBhcmUgcGFydGljdWxhcmx5IHJlbGV2YW50IHRvIHRoZSBleHBlcmllbmNlIG9mIHByZW1vbml0b3J5IHVyZ2UuIFRoZSBjdXJyZW50IHN0dWR5IGV4YW1pbmVzIHJlbGF0aW9uc2hpcHMgYmV0d2VlbiB0aWMtcmVsYXRlZCBwcmVtb25pdG9yeSB1cmdlIGFuZCBhbnhpZXR5LXJlbGF0ZWQgc3ltcHRvbSBjbHVzdGVycyBpbiB0cmVhdG1lbnQtc2Vla2luZyB5b3V0aHMgd2l0aCBhIHByaW1hcnkgZGlhZ25vc2VzIG9mIFRvdXJldHRlJ3Mgb3Igb3RoZXIgY2hyb25pYyB0aWMgZGlzb3JkZXIuIFRoZSBzYW1wbGUgY29uc2lzdGVkIG9mIDEyNCB5b3V0aCwgYWdlcyA5IHRvIDE3LCB3aG8gcGFydGljaXBhdGVkIGluIHRoZSBtdWx0aS1zaXRlIENvbXByZWhlbnNpdmUgQmVoYXZpb3JhbCBJbnRlcnZlbnRpb24gZm9yIFRpY3MgcmFuZG9taXplZCBjb250cm9sbGVkIHRyaWFsIChDQklUOyBQaWFjZW50aW5pIGV0IGFsLiwgMjAxMCkuIFNwZWNpZmljIGFueGlldHktcmVsYXRlZCBzdWJ0eXBlcywgaW5jbHVkaW5nIGdlbmVyYWxpemVkIHdvcnJ5LCBzZXBhcmF0aW9uLCBzb2NpYWwsIGFuZCBwYW5pYy9zb21hdGljIHN5bXB0b21zLCBhcyB3ZWxsIGFzIHNldmVyaXR5IG9mIG9ic2Vzc2lvbnMgYW5kIGNvbXB1bHNpb25zLCB3ZXJlIGFzc2Vzc2VkIGFzIHBvdGVudGlhbCBjb3JyZWxhdGVzIG9mIHByZW1vbml0b3J5IHVyZ2UuIEZpbmRpbmdzIGluZGljYXRlZCB0aGF0IGFnZSwgZ2xvYmFsIHRpYy1yZWxhdGVkIGltcGFpcm1lbnQsIGFuZCBzcGVjaWZpYyBwYW5pYy9zb21hdGljIHN5bXB0b21zIGFjY291bnRlZCBmb3IgYSBzdWJzdGFudGlhbCBwcm9wb3J0aW9uIG9mIHZhcmlhbmNlIGluIHlvdXRoIHJlcG9ydCBvZiBwcmVtb25pdG9yeSB1cmdlLiBUaGVzZSBmaW5kaW5ncyBwcm92aWRlIGluZm9ybWF0aW9uIGFib3V0IHRoZSBjaGFyYWN0ZXJpc3RpY3Mgb2YgcHJlbW9uaXRvcnkgdXJnZSBpbiBwZWRpYXRyaWMgdGljIGRpc29yZGVycywgYW5kIGhhdmUgaW1wbGljYXRpb25zIGZvciB0aGUgdHJlYXRtZW50IG9mIHBlZGlhdHJpYyB0aWMgc3luZHJvbWVzLiIsImlzc3VlIjoiMyIsInZvbHVtZSI6IjQ0IiwiY29udGFpbmVyLXRpdGxlLXNob3J0IjoiIn0sImlzVGVtcG9yYXJ5IjpmYWxzZX1dfQ==&quot;,&quot;citationItems&quot;:[{&quot;id&quot;:&quot;536271e1-21b0-3e70-b47e-d31cc4fcca15&quot;,&quot;itemData&quot;:{&quot;type&quot;:&quot;article-journal&quot;,&quot;id&quot;:&quot;536271e1-21b0-3e70-b47e-d31cc4fcca15&quot;,&quot;title&quot;:&quot;Relationships between Premonitory Urge and Anxiety in Youth with Chronic Tic Disorders&quot;,&quot;groupId&quot;:&quot;07d62ac1-5aa8-39af-b49e-52d2088ac571&quot;,&quot;author&quot;:[{&quot;family&quot;:&quot;Rozenman&quot;,&quot;given&quot;:&quot;M&quot;,&quot;parse-names&quot;:false,&quot;dropping-particle&quot;:&quot;&quot;,&quot;non-dropping-particle&quot;:&quot;&quot;},{&quot;family&quot;:&quot;Johnson&quot;,&quot;given&quot;:&quot;O E&quot;,&quot;parse-names&quot;:false,&quot;dropping-particle&quot;:&quot;&quot;,&quot;non-dropping-particle&quot;:&quot;&quot;},{&quot;family&quot;:&quot;Chang&quot;,&quot;given&quot;:&quot;S W&quot;,&quot;parse-names&quot;:false,&quot;dropping-particle&quot;:&quot;&quot;,&quot;non-dropping-particle&quot;:&quot;&quot;},{&quot;family&quot;:&quot;Woods&quot;,&quot;given&quot;:&quot;D W&quot;,&quot;parse-names&quot;:false,&quot;dropping-particle&quot;:&quot;&quot;,&quot;non-dropping-particle&quot;:&quot;&quot;},{&quot;family&quot;:&quot;Walkup&quot;,&quot;given&quot;:&quot;J T&quot;,&quot;parse-names&quot;:false,&quot;dropping-particle&quot;:&quot;&quot;,&quot;non-dropping-particle&quot;:&quot;&quot;},{&quot;family&quot;:&quot;Wilhelm&quot;,&quot;given&quot;:&quot;S&quot;,&quot;parse-names&quot;:false,&quot;dropping-particle&quot;:&quot;&quot;,&quot;non-dropping-particle&quot;:&quot;&quot;},{&quot;family&quot;:&quot;Peterson&quot;,&quot;given&quot;:&quot;A&quot;,&quot;parse-names&quot;:false,&quot;dropping-particle&quot;:&quot;&quot;,&quot;non-dropping-particle&quot;:&quot;&quot;},{&quot;family&quot;:&quot;Scahill&quot;,&quot;given&quot;:&quot;L&quot;,&quot;parse-names&quot;:false,&quot;dropping-particle&quot;:&quot;&quot;,&quot;non-dropping-particle&quot;:&quot;&quot;},{&quot;family&quot;:&quot;Piacentini&quot;,&quot;given&quot;:&quot;J&quot;,&quot;parse-names&quot;:false,&quot;dropping-particle&quot;:&quot;&quot;,&quot;non-dropping-particle&quot;:&quot;&quot;}],&quot;container-title&quot;:&quot;Child Health Care&quot;,&quot;DOI&quot;:&quot;10.1080/02739615.2014.986328&quot;,&quot;PMID&quot;:&quot;27110050&quot;,&quot;issued&quot;:{&quot;date-parts&quot;:[[2015]]},&quot;page&quot;:&quot;235-248&quot;,&quot;abstract&quot;:&quot;Tourette's Disorder and other chronic tic disorders are common neurodevelopmental conditions. One characteristic of tic disorders is the premonitory urge, an aversive or unpleasant sensory phenomenon that may precede tics. Initial examination of premonitory urge in pediatric tic disorders suggests that awareness and experience of sensations preceding tics may be related to anxiety and OCD. However, it may be possible that specific anxiety-related symptoms, such as anxious physiologic arousal, are particularly relevant to the experience of premonitory urge. The current study examines relationships between tic-related premonitory urge and anxiety-related symptom clusters in treatment-seeking youths with a primary diagnoses of Tourette's or other chronic tic disorder. The sample consisted of 124 youth, ages 9 to 17, who participated in the multi-site Comprehensive Behavioral Intervention for Tics randomized controlled trial (CBIT; Piacentini et al., 2010). Specific anxiety-related subtypes, including generalized worry, separation, social, and panic/somatic symptoms, as well as severity of obsessions and compulsions, were assessed as potential correlates of premonitory urge. Findings indicated that age, global tic-related impairment, and specific panic/somatic symptoms accounted for a substantial proportion of variance in youth report of premonitory urge. These findings provide information about the characteristics of premonitory urge in pediatric tic disorders, and have implications for the treatment of pediatric tic syndromes.&quot;,&quot;issue&quot;:&quot;3&quot;,&quot;volume&quot;:&quot;44&quot;,&quot;container-title-short&quot;:&quot;&quot;},&quot;isTemporary&quot;:false}]},{&quot;citationID&quot;:&quot;MENDELEY_CITATION_554653ba-3f5a-4a53-aae6-cfba5c845f89&quot;,&quot;properties&quot;:{&quot;noteIndex&quot;:0},&quot;isEdited&quot;:false,&quot;manualOverride&quot;:{&quot;isManuallyOverridden&quot;:false,&quot;citeprocText&quot;:&quot;(43)&quot;,&quot;manualOverrideText&quot;:&quot;&quot;},&quot;citationTag&quot;:&quot;MENDELEY_CITATION_v3_eyJjaXRhdGlvbklEIjoiTUVOREVMRVlfQ0lUQVRJT05fNTU0NjUzYmEtM2Y1YS00YTUzLWFhZTYtY2ZiYTVjODQ1Zjg5IiwicHJvcGVydGllcyI6eyJub3RlSW5kZXgiOjB9LCJpc0VkaXRlZCI6ZmFsc2UsIm1hbnVhbE92ZXJyaWRlIjp7ImlzTWFudWFsbHlPdmVycmlkZGVuIjpmYWxzZSwiY2l0ZXByb2NUZXh0IjoiKDQzKSIsIm1hbnVhbE92ZXJyaWRlVGV4dCI6IiJ9LCJjaXRhdGlvbkl0ZW1zIjpbeyJpZCI6ImIxOGVhNzQxLWVlZjYtMzg5ZC05MDIwLTExMzNhOTlhMzgyNCIsIml0ZW1EYXRhIjp7InR5cGUiOiJhcnRpY2xlLWpvdXJuYWwiLCJpZCI6ImIxOGVhNzQxLWVlZjYtMzg5ZC05MDIwLTExMzNhOTlhMzgyNCIsInRpdGxlIjoiVGhlIHByZW1vbml0b3J5IHVyZ2UgcmV2aXNpdGVkOiBBbiBpbmRpdmlkdWFsaXplZCBwcmVtb25pdG9yeSB1cmdlIGZvciB0aWNzIHNjYWxlIiwiZ3JvdXBJZCI6IjA3ZDYyYWMxLTVhYTgtMzlhZi1iNDllLTUyZDIwODhhYzU3MSIsImF1dGhvciI6W3siZmFtaWx5IjoiTWNHdWlyZSIsImdpdmVuIjoiSiBGIiwicGFyc2UtbmFtZXMiOmZhbHNlLCJkcm9wcGluZy1wYXJ0aWNsZSI6IiIsIm5vbi1kcm9wcGluZy1wYXJ0aWNsZSI6IiJ9LHsiZmFtaWx5IjoiTWNCcmlkZSIsImdpdmVuIjoiTiIsInBhcnNlLW5hbWVzIjpmYWxzZSwiZHJvcHBpbmctcGFydGljbGUiOiIiLCJub24tZHJvcHBpbmctcGFydGljbGUiOiIifSx7ImZhbWlseSI6IlBpYWNlbnRpbmkiLCJnaXZlbiI6IkoiLCJwYXJzZS1uYW1lcyI6ZmFsc2UsImRyb3BwaW5nLXBhcnRpY2xlIjoiIiwibm9uLWRyb3BwaW5nLXBhcnRpY2xlIjoiIn0seyJmYW1pbHkiOiJKb2huY28iLCJnaXZlbiI6IkMiLCJwYXJzZS1uYW1lcyI6ZmFsc2UsImRyb3BwaW5nLXBhcnRpY2xlIjoiIiwibm9uLWRyb3BwaW5nLXBhcnRpY2xlIjoiIn0seyJmYW1pbHkiOiJMZXdpbiIsImdpdmVuIjoiQSBCIiwicGFyc2UtbmFtZXMiOmZhbHNlLCJkcm9wcGluZy1wYXJ0aWNsZSI6IiIsIm5vbi1kcm9wcGluZy1wYXJ0aWNsZSI6IiJ9LHsiZmFtaWx5IjoiTXVycGh5IiwiZ2l2ZW4iOiJUIEsiLCJwYXJzZS1uYW1lcyI6ZmFsc2UsImRyb3BwaW5nLXBhcnRpY2xlIjoiIiwibm9uLWRyb3BwaW5nLXBhcnRpY2xlIjoiIn0seyJmYW1pbHkiOiJTdG9yY2giLCJnaXZlbiI6IkUgQSIsInBhcnNlLW5hbWVzIjpmYWxzZSwiZHJvcHBpbmctcGFydGljbGUiOiIiLCJub24tZHJvcHBpbmctcGFydGljbGUiOiIifV0sImNvbnRhaW5lci10aXRsZSI6IkogUHN5Y2hpYXRyIFJlcyIsIkRPSSI6IjEwLjEwMTYvai5qcHN5Y2hpcmVzLjIwMTYuMDkuMDA3IiwiUE1JRCI6IjI3NjQzNDc2IiwiaXNzdWVkIjp7ImRhdGUtcGFydHMiOltbMjAxNl1dfSwicGFnZSI6IjE3Ni0xODMiLCJhYnN0cmFjdCI6IkJBQ0tHUk9VTkQ6IFByZW1vbml0b3J5IHVyZ2UgcmF0aW5ncyBoYXZlIGFkdmFuY2VkIG91ciB1bmRlcnN0YW5kaW5nIG9mIHVyZ2UgcGhlbm9tZW5vbG9neSBhbW9uZyBpbmRpdmlkdWFscyB3aXRoIHRpYyBkaXNvcmRlcnMgKFREKS4gSG93ZXZlciwgdGhlc2UgcmF0aW5ncyBoYXZlIGJlZW4gbGltaXRlZCBieSB0aGVpciByZWxpYW5jZSBvbiBhIHNpbmdsZSBnbG9iYWwgZGltZW5zaW9uIG9mIHVyZ2Ugc2V2ZXJpdHkuIFRoaXMgc3R1ZHkgZXhhbWluZWQgdGhlIHBzeWNob21ldHJpYyBwcm9wZXJ0aWVzIG9mIGEgbm92ZWwgc2NhbGUgY2FsbGVkIHRoZSBJbmRpdmlkdWFsaXplZCBQcmVtb25pdG9yeSBVcmdlIGZvciBUaWNzIFNjYWxlIChJLVBVVFMpIHRoYXQgYXNzZXNzZXMgdXJnZSBzZXZlcml0eSBhY3Jvc3MgbXVsdGlwbGUgZGltZW5zaW9ucyAobnVtYmVyLCBmcmVxdWVuY3ksIGFuZCBpbnRlbnNpdHkpLiBNRVRIT0Q6IFNldmVudHktZml2ZSB5b3V0aCB3aXRoIGEgVEQgYW5kIHRoZWlyIHBhcmVudHMgcGFydGljaXBhdGVkLiBDbGluaWNpYW5zIGFzc2Vzc2VkIHlvdXRoJ3MgdGljIHNldmVyaXR5LCBkZXByZXNzaW9uIHNldmVyaXR5LCByYWdlcywgYW5kIHByZW1vbml0b3J5IHVyZ2VzLiBQYXJlbnRzIGNvbXBsZXRlZCByYXRpbmdzIG9mIHlvdXRoJ3MgYW54aWV0eSwgYWZmZWN0IGxhYmlsaXR5LCBhbmQgZ2VuZXJhbCBwc3ljaG9wYXRob2xvZ3kuIFlvdXRoIGNvbXBsZXRlZCBzZWxmLXJlcG9ydCByYXRpbmdzIG9mIGFueGlldHksIHVyZ2Ugc2V2ZXJpdHksIGFuZCBkaXN0cmVzcyB0b2xlcmFuY2UuIFJFU1VMVFM6IFRoZSBJLVBVVFMgaWRlbnRpZmllZCB0aGF0IHlvdXRoIGV4cGVyaWVuY2VkIGFuIGF2ZXJhZ2Ugb2YgdGhyZWUgZGlzdGluY3QgdXJnZXMsIGJ1dCBoYWQgYW4gYXZlcmFnZSBvZiBzZXZlbiB0aWNzIG92ZXIgdGhlIHBhc3Qgd2Vlay4gVXJnZXMgd2VyZSBwcmltYXJpbHkgbG9jYWxpemVkIGluIHRoZSBoZWFkL2ZhY2UsIG5lY2svdGhyb2F0LCBhbmQgYXJtIHJlZ2lvbnMuIEFsbCBJLVBVVFMgZGltZW5zaW9ucyBleGhpYml0ZWQgZXhjZWxsZW50IGludGVyLXJhdGVyIHJlbGlhYmlsaXR5LiBUaGUgSS1QVVRTIGRpbWVuc2lvbnMgZXhoaWJpdGVkIGdvb2QgY29udmVyZ2VudCB2YWxpZGl0eSB3aXRoIGdsb2JhbCB1cmdlIHJhdGluZ3MgYW5kIHRpYyBzZXZlcml0eSwgYW5kIGFwcHJvcHJpYXRlIGRpdmVyZ2VudCB2YWxpZGl0eSBmcm9tIG90aGVyIGNsaW5pY2FsIGNvbnN0cnVjdHMuIFlvdXRoIHdobyBleGhpYml0ZWQgZGlzY3JlcGFudCByZXBvcnRzIGJldHdlZW4gY2xpbmljaWFuLWFkbWluaXN0ZXJlZCBhbmQgc2VsZi1yZXBvcnQgdXJnZSByYXRpbmdzIGhhZCBsZXNzIGFueGlldHkgYW5kIHRpYyBzZXZlcml0eSwgYW5kIGdyZWF0ZXIgaW5hdHRlbnRpb24gYW5kIGV4dGVybmFsaXppbmcgcHJvYmxlbXMgY29tcGFyZWQgdG8geW91dGggd2hvIGV4aGliaXRlZCBnb29kIGFncmVlbWVudC4gQ09OQ0xVU0lPTlM6IFRoZSBJLVBVVFMgaXMgYSByZWxpYWJsZSBhbmQgdmFsaWQgYXNzZXNzbWVudCBvZiB1cmdlIHBoZW5vbWVuYSwgd2hpY2ggcHJvdmlkZXMgYWRkaXRpb25hbCBhbmQgY29tcGxlbWVudGFyeSBpbmZvcm1hdGlvbiB0byBleGlzdGluZyB1cmdlIHNjYWxlcy4gSXQgaGlnaGxpZ2h0cyB0aGUgZXhpc3RlbmNlIG9mIG11bHRpcGxlIGRpbWVuc2lvbnMgb2YgdXJnZSBzZXZlcml0eSwgYW5kIHByZXNlbnRzIHBhcnRpY3VsYXIgdXRpbGl0eSB3aGVuIGFzc2Vzc2luZyB1cmdlcyBpbiB5b3V0aCB3aXRoIFREIHdobyBoYXZlIGluYXR0ZW50aW9uIGFuZCBleHRlcm5hbGl6aW5nIHByb2JsZW1zLiIsInZvbHVtZSI6IjgzIiwiY29udGFpbmVyLXRpdGxlLXNob3J0IjoiIn0sImlzVGVtcG9yYXJ5IjpmYWxzZX1dfQ==&quot;,&quot;citationItems&quot;:[{&quot;id&quot;:&quot;b18ea741-eef6-389d-9020-1133a99a3824&quot;,&quot;itemData&quot;:{&quot;type&quot;:&quot;article-journal&quot;,&quot;id&quot;:&quot;b18ea741-eef6-389d-9020-1133a99a3824&quot;,&quot;title&quot;:&quot;The premonitory urge revisited: An individualized premonitory urge for tics scale&quot;,&quot;groupId&quot;:&quot;07d62ac1-5aa8-39af-b49e-52d2088ac571&quot;,&quot;author&quot;:[{&quot;family&quot;:&quot;McGuire&quot;,&quot;given&quot;:&quot;J F&quot;,&quot;parse-names&quot;:false,&quot;dropping-particle&quot;:&quot;&quot;,&quot;non-dropping-particle&quot;:&quot;&quot;},{&quot;family&quot;:&quot;McBride&quot;,&quot;given&quot;:&quot;N&quot;,&quot;parse-names&quot;:false,&quot;dropping-particle&quot;:&quot;&quot;,&quot;non-dropping-particle&quot;:&quot;&quot;},{&quot;family&quot;:&quot;Piacentini&quot;,&quot;given&quot;:&quot;J&quot;,&quot;parse-names&quot;:false,&quot;dropping-particle&quot;:&quot;&quot;,&quot;non-dropping-particle&quot;:&quot;&quot;},{&quot;family&quot;:&quot;Johnco&quot;,&quot;given&quot;:&quot;C&quot;,&quot;parse-names&quot;:false,&quot;dropping-particle&quot;:&quot;&quot;,&quot;non-dropping-particle&quot;:&quot;&quot;},{&quot;family&quot;:&quot;Lewin&quot;,&quot;given&quot;:&quot;A B&quot;,&quot;parse-names&quot;:false,&quot;dropping-particle&quot;:&quot;&quot;,&quot;non-dropping-particle&quot;:&quot;&quot;},{&quot;family&quot;:&quot;Murphy&quot;,&quot;given&quot;:&quot;T K&quot;,&quot;parse-names&quot;:false,&quot;dropping-particle&quot;:&quot;&quot;,&quot;non-dropping-particle&quot;:&quot;&quot;},{&quot;family&quot;:&quot;Storch&quot;,&quot;given&quot;:&quot;E A&quot;,&quot;parse-names&quot;:false,&quot;dropping-particle&quot;:&quot;&quot;,&quot;non-dropping-particle&quot;:&quot;&quot;}],&quot;container-title&quot;:&quot;J Psychiatr Res&quot;,&quot;DOI&quot;:&quot;10.1016/j.jpsychires.2016.09.007&quot;,&quot;PMID&quot;:&quot;27643476&quot;,&quot;issued&quot;:{&quot;date-parts&quot;:[[2016]]},&quot;page&quot;:&quot;176-183&quot;,&quot;abstract&quot;:&quot;BACKGROUND: Premonitory urge ratings have advanced our understanding of urge phenomenology among individuals with tic disorders (TD). However, these ratings have been limited by their reliance on a single global dimension of urge severity. This study examined the psychometric properties of a novel scale called the Individualized Premonitory Urge for Tics Scale (I-PUTS) that assesses urge severity across multiple dimensions (number, frequency, and intensity). METHOD: Seventy-five youth with a TD and their parents participated. Clinicians assessed youth's tic severity, depression severity, rages, and premonitory urges. Parents completed ratings of youth's anxiety, affect lability, and general psychopathology. Youth completed self-report ratings of anxiety, urge severity, and distress tolerance. RESULTS: The I-PUTS identified that youth experienced an average of three distinct urges, but had an average of seven tics over the past week. Urges were primarily localized in the head/face, neck/throat, and arm regions. All I-PUTS dimensions exhibited excellent inter-rater reliability. The I-PUTS dimensions exhibited good convergent validity with global urge ratings and tic severity, and appropriate divergent validity from other clinical constructs. Youth who exhibited discrepant reports between clinician-administered and self-report urge ratings had less anxiety and tic severity, and greater inattention and externalizing problems compared to youth who exhibited good agreement. CONCLUSIONS: The I-PUTS is a reliable and valid assessment of urge phenomena, which provides additional and complementary information to existing urge scales. It highlights the existence of multiple dimensions of urge severity, and presents particular utility when assessing urges in youth with TD who have inattention and externalizing problems.&quot;,&quot;volume&quot;:&quot;83&quot;,&quot;container-title-short&quot;:&quot;&quot;},&quot;isTemporary&quot;:false}]},{&quot;citationID&quot;:&quot;MENDELEY_CITATION_a08a18fd-be35-43ab-ae5f-984f23cdc37f&quot;,&quot;properties&quot;:{&quot;noteIndex&quot;:0},&quot;isEdited&quot;:false,&quot;manualOverride&quot;:{&quot;isManuallyOverridden&quot;:false,&quot;citeprocText&quot;:&quot;(26)&quot;,&quot;manualOverrideText&quot;:&quot;&quot;},&quot;citationTag&quot;:&quot;MENDELEY_CITATION_v3_eyJjaXRhdGlvbklEIjoiTUVOREVMRVlfQ0lUQVRJT05fYTA4YTE4ZmQtYmUzNS00M2FiLWFlNWYtOTg0ZjIzY2RjMzdmIiwicHJvcGVydGllcyI6eyJub3RlSW5kZXgiOjB9LCJpc0VkaXRlZCI6ZmFsc2UsIm1hbnVhbE92ZXJyaWRlIjp7ImlzTWFudWFsbHlPdmVycmlkZGVuIjpmYWxzZSwiY2l0ZXByb2NUZXh0IjoiKDI2KSIsIm1hbnVhbE92ZXJyaWRlVGV4dCI6IiJ9LCJjaXRhdGlvbkl0ZW1zIjpbeyJpZCI6ImJiM2Q3NWY1LTU0MTctMzhmZC04NDIxLTZlYmEzZjE5MzVmYSIsIml0ZW1EYXRhIjp7InR5cGUiOiJhcnRpY2xlLWpvdXJuYWwiLCJpZCI6ImJiM2Q3NWY1LTU0MTctMzhmZC04NDIxLTZlYmEzZjE5MzVmYSIsInRpdGxlIjoiUHJlbW9uaXRvcnkgVXJnZXMgaW4gQWR1bHRzIFdpdGggQ29tcGxpY2F0ZWQgYW5kIFVuY29tcGxpY2F0ZWQgVG91cmV0dGUgU3luZHJvbWUiLCJncm91cElkIjoiMDdkNjJhYzEtNWFhOC0zOWFmLWI0OWUtNTJkMjA4OGFjNTcxIiwiYXV0aG9yIjpbeyJmYW1pbHkiOiJFZGR5IiwiZ2l2ZW4iOiJDIE0iLCJwYXJzZS1uYW1lcyI6ZmFsc2UsImRyb3BwaW5nLXBhcnRpY2xlIjoiIiwibm9uLWRyb3BwaW5nLXBhcnRpY2xlIjoiIn0seyJmYW1pbHkiOiJDYXZhbm5hIiwiZ2l2ZW4iOiJBIEUiLCJwYXJzZS1uYW1lcyI6ZmFsc2UsImRyb3BwaW5nLXBhcnRpY2xlIjoiIiwibm9uLWRyb3BwaW5nLXBhcnRpY2xlIjoiIn1dLCJjb250YWluZXItdGl0bGUiOiJCZWhhdmlvciBtb2RpZmljYXRpb24iLCJET0kiOiJodHRwczovL2R4LmRvaS5vcmcvMTAuMTE3Ny8wMTQ1NDQ1NTEzNTA0NDMyIiwiVVJMIjoiaHR0cDovL292aWRzcC5vdmlkLmNvbS9vdmlkd2ViLmNnaT9UPUpTJlBBR0U9cmVmZXJlbmNlJkQ9ZW1lZDE1Jk5FV1M9TiZBTj02MTE0MjU3MjIiLCJpc3N1ZWQiOnsiZGF0ZS1wYXJ0cyI6W1syMDE0XV19LCJwYWdlIjoiMjY0LTI3NSIsImFic3RyYWN0IjoiTW9zdCBwYXRpZW50cyB3aXRoIFRvdXJldHRlIHN5bmRyb21lIChUUykgcmVwb3J0IGV4cGVyaWVuY2luZyBzdWJqZWN0aXZlIGJvZGlseSBzZW5zYXRpb25zIHRlcm1lZCBwcmVtb25pdG9yeSB1cmdlcywgYmVmb3JlIHRoZXkgaGF2ZSBhIHRpYy4gVGhpcyBzdHVkeSBpbnZlc3RpZ2F0ZWQgcmVsYXRpb25zaGlwcyBiZXR3ZWVuIHByZW1vbml0b3J5IHVyZ2VzIGFuZCB0aWMgc2V2ZXJpdHksIGRlcHJlc3Npb24sIGFueGlldHksIG9ic2Vzc2lvbnMsIGNvbXB1bHNpb25zLCBhbmQgYXR0ZW50aW9uIHByb2JsZW1zLiBXZSBhbHNvIGV4cGxvcmVkIHBvc3NpYmxlIGRpZmZlcmVuY2VzIGJldHdlZW4gcGF0aWVudHMgd2l0aCBhbmQgd2l0aG91dCBjb21vcmJpZCBjb25kaXRpb25zLiBGaW5hbGx5LCB3ZSBleHBsb3JlZCB3aGV0aGVyIHByZW1vbml0b3J5IHVyZ2VzIGltcGFjdGVkIG9uIHBlcmNlaXZlZCBxdWFsaXR5IG9mIGxpZmUgKFFvTCkuIE9uZSBodW5kcmVkIGFkdWx0IG91dHBhdGllbnRzICg3MCBtYWxlczsgbWVhbiBhZ2UgMzIgeWVhcnMpIHdlcmUgcmVjcnVpdGVkIGZyb20gYSBzcGVjaWFsaXN0IFRTIGNsaW5pYy4gRmlmdHkgcGVyY2VudCBleGhpYml0ZWQgY29tb3JiaWQgZGlhZ25vc2VzLCB0aGUgbW9zdCBjb21tb24gb2Ygd2hpY2ggd2VyZSBvYnNlc3NpdmUtY29tcHVsc2l2ZSBkaXNvcmRlciAoMjMlKSwgYXR0ZW50aW9uLWRlZmljaXQgaHlwZXJhY3Rpdml0eSBkaXNvcmRlciAoMTUlKSwgYW54aWV0eSAoNiUpLCBhbmQgZGVwcmVzc2lvbiAoNSUpLiBGb3IgdGhlIGVudGlyZSBzYW1wbGUsIHByZW1vbml0b3J5IHVyZ2VzIHdlcmUgc2lnbmlmaWNhbnRseSByZWxhdGVkIHRvIGNsaW5pY2FsIHN5bXB0b21zLCBlc3BlY2lhbGx5IG9ic2Vzc2l2ZS1jb21wdWxzaXZlIHN5bXB0b21zIGFuZCBhbnhpZXR5LCBhbmQgd2VyZSBzaWduaWZpY2FudGx5IG5lZ2F0aXZlbHkgcmVsYXRlZCB0byBRb0wgc2NvcmVzLiBQcmVtb25pdG9yeSB1cmdlcyBoYWQgYSBzdHJvbmcgbmVnYXRpdmUgY29ycmVsYXRpb24gd2l0aCBRb0wgaW4gcGF0aWVudHMgd2l0aCBcInB1cmVcIiBUUyAobm8gY29tb3JiaWRpdGllcyksIHdoaWxlIHRoaXMgcmVsYXRpb25zaGlwIHdhcyB3ZWFrZXIgZm9yIHBhdGllbnRzIHdpdGggY29tb3JiaWQgY29uZGl0aW9ucywgd2hvIHJlcG9ydGVkIHN0cm9uZ2VyIG9yIG1vcmUgZnJlcXVlbnQgcHJlbW9uaXRvcnkgdXJnZXMgaW4gYXNzb2NpYXRpb24gd2l0aCBncmVhdGVyIGFueGlldHkuIFRoZXNlIGZpbmRpbmdzIG1heSBpbXBseSB0aGF0IHNsaWdodGx5IGRpZmZlcmVudCBwc3ljaG9sb2dpY2FsIGZhY3RvcnMgZHJpdmUgc2VsZi1yZXBvcnRlZCBwcmVtb25pdG9yeSB1cmdlIHJhdGluZ3MgaW4gcGF0aWVudHMgd2l0aCBhbmQgd2l0aG91dCBjb21vcmJpZGl0aWVzIGFuZCB0aGF0IHRoZSBwZXJjZWl2ZWQgaW5mbHVlbmNlIG9mIGRpc3RyZXNzaW5nIHByZW1vbml0b3J5IHVyZ2VzIG9uIHdlbGxiZWluZyBpcyBsZXNzIGltcG9ydGFudCBpbiB0aGUgY29udGV4dCBvZiBjb21vcmJpZCBzeW1wdG9tYXRvbG9neS4gQXMgcHJlbW9uaXRvcnkgdXJnZXMgYXJlIHJlbGF0ZWQgdG8gUW9MLCB0aGV5IHNob3VsZCBiZSB0YWtlbiBpbnRvIGFjY291bnQgZHVyaW5nIGV2YWx1YXRpb24gb2YgdHJlYXRtZW50IGVmZmljYWN5LCBlc3BlY2lhbGx5IGluIGNhc2VzIHdpdGggXCJwdXJlXCIgVFMuIENvcHlyaWdodCDCqSBUaGUgQXV0aG9yKHMpIDIwMTMuIiwiaXNzdWUiOiIyIiwidm9sdW1lIjoiMzgiLCJjb250YWluZXItdGl0bGUtc2hvcnQiOiJCZWhhdiBNb2RpZiJ9LCJpc1RlbXBvcmFyeSI6ZmFsc2V9XX0=&quot;,&quot;citationItems&quot;:[{&quot;id&quot;:&quot;bb3d75f5-5417-38fd-8421-6eba3f1935fa&quot;,&quot;itemData&quot;:{&quot;type&quot;:&quot;article-journal&quot;,&quot;id&quot;:&quot;bb3d75f5-5417-38fd-8421-6eba3f1935fa&quot;,&quot;title&quot;:&quot;Premonitory Urges in Adults With Complicated and Uncomplicated Tourette Syndrome&quot;,&quot;groupId&quot;:&quot;07d62ac1-5aa8-39af-b49e-52d2088ac571&quot;,&quot;author&quot;:[{&quot;family&quot;:&quot;Eddy&quot;,&quot;given&quot;:&quot;C M&quot;,&quot;parse-names&quot;:false,&quot;dropping-particle&quot;:&quot;&quot;,&quot;non-dropping-particle&quot;:&quot;&quot;},{&quot;family&quot;:&quot;Cavanna&quot;,&quot;given&quot;:&quot;A E&quot;,&quot;parse-names&quot;:false,&quot;dropping-particle&quot;:&quot;&quot;,&quot;non-dropping-particle&quot;:&quot;&quot;}],&quot;container-title&quot;:&quot;Behavior modification&quot;,&quot;DOI&quot;:&quot;https://dx.doi.org/10.1177/0145445513504432&quot;,&quot;URL&quot;:&quot;http://ovidsp.ovid.com/ovidweb.cgi?T=JS&amp;PAGE=reference&amp;D=emed15&amp;NEWS=N&amp;AN=611425722&quot;,&quot;issued&quot;:{&quot;date-parts&quot;:[[2014]]},&quot;page&quot;:&quot;264-275&quot;,&quot;abstract&quot;:&quot;Most patients with Tourette syndrome (TS) report experiencing subjective bodily sensations termed premonitory urges, before they have a tic. This study investigated relationships between premonitory urges and tic severity, depression, anxiety, obsessions, compulsions, and attention problems. We also explored possible differences between patients with and without comorbid conditions. Finally, we explored whether premonitory urges impacted on perceived quality of life (QoL). One hundred adult outpatients (70 males; mean age 32 years) were recruited from a specialist TS clinic. Fifty percent exhibited comorbid diagnoses, the most common of which were obsessive-compulsive disorder (23%), attention-deficit hyperactivity disorder (15%), anxiety (6%), and depression (5%). For the entire sample, premonitory urges were significantly related to clinical symptoms, especially obsessive-compulsive symptoms and anxiety, and were significantly negatively related to QoL scores. Premonitory urges had a strong negative correlation with QoL in patients with \&quot;pure\&quot; TS (no comorbidities), while this relationship was weaker for patients with comorbid conditions, who reported stronger or more frequent premonitory urges in association with greater anxiety. These findings may imply that slightly different psychological factors drive self-reported premonitory urge ratings in patients with and without comorbidities and that the perceived influence of distressing premonitory urges on wellbeing is less important in the context of comorbid symptomatology. As premonitory urges are related to QoL, they should be taken into account during evaluation of treatment efficacy, especially in cases with \&quot;pure\&quot; TS. Copyright © The Author(s) 2013.&quot;,&quot;issue&quot;:&quot;2&quot;,&quot;volume&quot;:&quot;38&quot;,&quot;container-title-short&quot;:&quot;Behav Modif&quot;},&quot;isTemporary&quot;:false}]},{&quot;citationID&quot;:&quot;MENDELEY_CITATION_a2ffc784-0a6b-4d4f-971a-e5727b23c373&quot;,&quot;properties&quot;:{&quot;noteIndex&quot;:0},&quot;isEdited&quot;:false,&quot;manualOverride&quot;:{&quot;isManuallyOverridden&quot;:false,&quot;citeprocText&quot;:&quot;(32)&quot;,&quot;manualOverrideText&quot;:&quot;&quot;},&quot;citationTag&quot;:&quot;MENDELEY_CITATION_v3_eyJjaXRhdGlvbklEIjoiTUVOREVMRVlfQ0lUQVRJT05fYTJmZmM3ODQtMGE2Yi00ZDRmLTk3MWEtZTU3MjdiMjNjMzczIiwicHJvcGVydGllcyI6eyJub3RlSW5kZXgiOjB9LCJpc0VkaXRlZCI6ZmFsc2UsIm1hbnVhbE92ZXJyaWRlIjp7ImlzTWFudWFsbHlPdmVycmlkZGVuIjpmYWxzZSwiY2l0ZXByb2NUZXh0IjoiKDMyKSIsIm1hbnVhbE92ZXJyaWRlVGV4dCI6IiJ9LCJjaXRhdGlvbkl0ZW1zIjpbeyJpZCI6IjYxMWRmMGE3LTJlN2QtM2JiYy05ZjRhLWNlYzA2MTBlMDQ2NSIsIml0ZW1EYXRhIjp7InR5cGUiOiJhcnRpY2xlLWpvdXJuYWwiLCJpZCI6IjYxMWRmMGE3LTJlN2QtM2JiYy05ZjRhLWNlYzA2MTBlMDQ2NSIsInRpdGxlIjoiQWx0ZXJlZCBJbnRlcm9jZXB0aXZlIFNlbnNpYmlsaXR5IGluIEFkdWx0cyBXaXRoIENocm9uaWMgVGljIERpc29yZGVyIiwiZ3JvdXBJZCI6IjA3ZDYyYWMxLTVhYTgtMzlhZi1iNDllLTUyZDIwODhhYzU3MSIsImF1dGhvciI6W3siZmFtaWx5IjoiTmFyYXBhcmVkZHkiLCJnaXZlbiI6IkEiLCJwYXJzZS1uYW1lcyI6ZmFsc2UsImRyb3BwaW5nLXBhcnRpY2xlIjoiIiwibm9uLWRyb3BwaW5nLXBhcnRpY2xlIjoiIn0seyJmYW1pbHkiOiJFY2tsYW5kIiwiZ2l2ZW4iOiJNIFIiLCJwYXJzZS1uYW1lcyI6ZmFsc2UsImRyb3BwaW5nLXBhcnRpY2xlIjoiIiwibm9uLWRyb3BwaW5nLXBhcnRpY2xlIjoiIn0seyJmYW1pbHkiOiJSaW9yZGFuIiwiZ2l2ZW4iOiJIIFIiLCJwYXJzZS1uYW1lcyI6ZmFsc2UsImRyb3BwaW5nLXBhcnRpY2xlIjoiIiwibm9uLWRyb3BwaW5nLXBhcnRpY2xlIjoiIn0seyJmYW1pbHkiOiJDYXNjaW8iLCJnaXZlbiI6IkMgSiIsInBhcnNlLW5hbWVzIjpmYWxzZSwiZHJvcHBpbmctcGFydGljbGUiOiIiLCJub24tZHJvcHBpbmctcGFydGljbGUiOiIifSx7ImZhbWlseSI6IklzYWFjcyIsImdpdmVuIjoiRCBBIiwicGFyc2UtbmFtZXMiOmZhbHNlLCJkcm9wcGluZy1wYXJ0aWNsZSI6IiIsIm5vbi1kcm9wcGluZy1wYXJ0aWNsZSI6IiJ9XSwiY29udGFpbmVyLXRpdGxlIjoiRnJvbnRpZXJzIGluIFBzeWNoaWF0cnkiLCJET0kiOiIxMC4zMzg5L2Zwc3l0LjIwMjIuOTE0ODk3IiwiVVJMIjoiaHR0cHM6Ly93d3cuc2NvcHVzLmNvbS9pbndhcmQvcmVjb3JkLnVyaT9laWQ9Mi1zMi4wLTg1MTMzNjY0NzU5JmRvaT0xMC4zMzg5JTJmZnBzeXQuMjAyMi45MTQ4OTcmcGFydG5lcklEPTQwJm1kNT1jZThmNDc3MjFjMGE2MDNiNWMzMTg0ZmIyNzdjNDBiNCIsImlzc3VlZCI6eyJkYXRlLXBhcnRzIjpbWzIwMjJdXX0sInBhZ2UiOiItIiwidm9sdW1lIjoiMTMiLCJjb250YWluZXItdGl0bGUtc2hvcnQiOiJGcm9udCBQc3ljaGlhdHJ5In0sImlzVGVtcG9yYXJ5IjpmYWxzZX1dfQ==&quot;,&quot;citationItems&quot;:[{&quot;id&quot;:&quot;611df0a7-2e7d-3bbc-9f4a-cec0610e0465&quot;,&quot;itemData&quot;:{&quot;type&quot;:&quot;article-journal&quot;,&quot;id&quot;:&quot;611df0a7-2e7d-3bbc-9f4a-cec0610e0465&quot;,&quot;title&quot;:&quot;Altered Interoceptive Sensibility in Adults With Chronic Tic Disorder&quot;,&quot;groupId&quot;:&quot;07d62ac1-5aa8-39af-b49e-52d2088ac571&quot;,&quot;author&quot;:[{&quot;family&quot;:&quot;Narapareddy&quot;,&quot;given&quot;:&quot;A&quot;,&quot;parse-names&quot;:false,&quot;dropping-particle&quot;:&quot;&quot;,&quot;non-dropping-particle&quot;:&quot;&quot;},{&quot;family&quot;:&quot;Eckland&quot;,&quot;given&quot;:&quot;M R&quot;,&quot;parse-names&quot;:false,&quot;dropping-particle&quot;:&quot;&quot;,&quot;non-dropping-particle&quot;:&quot;&quot;},{&quot;family&quot;:&quot;Riordan&quot;,&quot;given&quot;:&quot;H R&quot;,&quot;parse-names&quot;:false,&quot;dropping-particle&quot;:&quot;&quot;,&quot;non-dropping-particle&quot;:&quot;&quot;},{&quot;family&quot;:&quot;Cascio&quot;,&quot;given&quot;:&quot;C J&quot;,&quot;parse-names&quot;:false,&quot;dropping-particle&quot;:&quot;&quot;,&quot;non-dropping-particle&quot;:&quot;&quot;},{&quot;family&quot;:&quot;Isaacs&quot;,&quot;given&quot;:&quot;D A&quot;,&quot;parse-names&quot;:false,&quot;dropping-particle&quot;:&quot;&quot;,&quot;non-dropping-particle&quot;:&quot;&quot;}],&quot;container-title&quot;:&quot;Frontiers in Psychiatry&quot;,&quot;DOI&quot;:&quot;10.3389/fpsyt.2022.914897&quot;,&quot;URL&quot;:&quot;https://www.scopus.com/inward/record.uri?eid=2-s2.0-85133664759&amp;doi=10.3389%2ffpsyt.2022.914897&amp;partnerID=40&amp;md5=ce8f47721c0a603b5c3184fb277c40b4&quot;,&quot;issued&quot;:{&quot;date-parts&quot;:[[2022]]},&quot;page&quot;:&quot;-&quot;,&quot;volume&quot;:&quot;13&quot;,&quot;container-title-short&quot;:&quot;Front Psychiatry&quot;},&quot;isTemporary&quot;:false}]},{&quot;citationID&quot;:&quot;MENDELEY_CITATION_902249f1-b2bd-43f8-a3a7-b4726803eedb&quot;,&quot;properties&quot;:{&quot;noteIndex&quot;:0},&quot;isEdited&quot;:false,&quot;manualOverride&quot;:{&quot;isManuallyOverridden&quot;:false,&quot;citeprocText&quot;:&quot;(51)&quot;,&quot;manualOverrideText&quot;:&quot;&quot;},&quot;citationTag&quot;:&quot;MENDELEY_CITATION_v3_eyJjaXRhdGlvbklEIjoiTUVOREVMRVlfQ0lUQVRJT05fOTAyMjQ5ZjEtYjJiZC00M2Y4LWEzYTctYjQ3MjY4MDNlZWRiIiwicHJvcGVydGllcyI6eyJub3RlSW5kZXgiOjB9LCJpc0VkaXRlZCI6ZmFsc2UsIm1hbnVhbE92ZXJyaWRlIjp7ImlzTWFudWFsbHlPdmVycmlkZGVuIjpmYWxzZSwiY2l0ZXByb2NUZXh0IjoiKDUxKSIsIm1hbnVhbE92ZXJyaWRlVGV4dCI6IiJ9LCJjaXRhdGlvbkl0ZW1zIjpbeyJpZCI6IjNmZjIxZTE0LWQ0NDEtM2FlMy1iOTc4LWVhYjBkN2I2YjNjYyIsIml0ZW1EYXRhIjp7InR5cGUiOiJhcnRpY2xlLWpvdXJuYWwiLCJpZCI6IjNmZjIxZTE0LWQ0NDEtM2FlMy1iOTc4LWVhYjBkN2I2YjNjYyIsInRpdGxlIjoiU2Vuc29yeSBwaGVub21lbmE6IGNsaW5pY2FsIGNvcnJlbGF0ZXMgYW5kIGltcGFjdCBvbiBxdWFsaXR5IG9mIGxpZmUgaW4gYWR1bHQgcGF0aWVudHMgd2l0aCBUb3VyZXR0ZSBzeW5kcm9tZSIsImdyb3VwSWQiOiIwN2Q2MmFjMS01YWE4LTM5YWYtYjQ5ZS01MmQyMDg4YWM1NzEiLCJhdXRob3IiOlt7ImZhbWlseSI6IkNyb3NzbGV5IiwiZ2l2ZW4iOiJFIiwicGFyc2UtbmFtZXMiOmZhbHNlLCJkcm9wcGluZy1wYXJ0aWNsZSI6IiIsIm5vbi1kcm9wcGluZy1wYXJ0aWNsZSI6IiJ9LHsiZmFtaWx5IjoiQ2F2YW5uYSIsImdpdmVuIjoiQSBFIiwicGFyc2UtbmFtZXMiOmZhbHNlLCJkcm9wcGluZy1wYXJ0aWNsZSI6IiIsIm5vbi1kcm9wcGluZy1wYXJ0aWNsZSI6IiJ9XSwiY29udGFpbmVyLXRpdGxlIjoiUHN5Y2hpYXRyeSBSZXMiLCJET0kiOiIxMC4xMDE2L2oucHN5Y2hyZXMuMjAxMy4wNC4wMTkiLCJQTUlEIjoiMjM2ODQwNTEiLCJpc3N1ZWQiOnsiZGF0ZS1wYXJ0cyI6W1syMDEzXV19LCJwYWdlIjoiNzA1LTcxMCIsImFic3RyYWN0IjoiVG91cmV0dGUgc3luZHJvbWUgKFRTKSBpcyBhIG5ldXJvZGV2ZWxvcG1lbnRhbCBjb25kaXRpb24gY2hhcmFjdGVyaXNlZCBieSBtdWx0aXBsZSB0aWNzLCB3aXRoIGZyZXF1ZW50IGJlaGF2aW91cmFsIGNvLW1vcmJpZGl0eS4gU2Vuc29yeSBwaGVub21lbmEgKFNQKSBhcmUgdW5wbGVhc2FudCBzZW5zYXRpb25zIHdoaWNoIHByb3ZpZGUgaW52b2x1bnRhcnkgdXJnZXMgdG8gdGljIGluIHBhdGllbnRzIHdpdGggVFMuIFdoaWxlIFNQIGhhdmUgYSBjZW50cmFsIHJvbGUgaW4gdGljIGV4cHJlc3Npb24sIGxpdHRsZSBpcyBrbm93biBhYm91dCB0aGVpciBjbGluaWNhbCBjb3JyZWxhdGVzIG9yIGFzc29jaWF0aW9uIHdpdGggaGVhbHRoLXJlbGF0ZWQgcXVhbGl0eSBvZiBsaWZlIChIUi1RT0wpIGluIFRTLiBXZSBjb25kdWN0ZWQgYSBjcm9zcy1zZWN0aW9uYWwgc3R1ZHkgb24gNzIgYWR1bHQgb3V0cGF0aWVudHMgd2l0aCBUUywgcmVjcnVpdGVkIGF0IGEgc3BlY2lhbGlzdCBjbGluaWMuIEFsbCBwYXJ0aWNpcGFudHMgY29tcGxldGVkIGEgY29tcHJlaGVuc2l2ZSBiYXR0ZXJ5IG9mIHBzeWNob21ldHJpYyBtZWFzdXJlcywgaW5jbHVkaW5nIHRoZSBQcmVtb25pdG9yeSBVcmdlcyBmb3IgVGljcyBTY2FsZSAoUFVUUykgdG8gYXNzZXNzIFNQIGFuZCBhIGRpc2Vhc2Utc3BlY2lmaWMgcXVhbGl0eSBvZiBsaWZlIHNjYWxlIChHVFMtUU9MKSB0byBhc3Nlc3MgSFItUU9MLiBTUCB3ZXJlIHZlcnkgY29tbW9uICg5Ny4yJSBvZiBwYXRpZW50cyksIHdpdGggYSBtZWRpYW4gUFVUUyB0b3RhbCBzY29yZSBvZiAyOC80MC4gQml2YXJpYXRlIGFuYWx5c2VzIHNob3dlZCB0aGF0IFBVVFMgc2NvcmVzIHdlcmUgbW9zdCBzaWduaWZpY2FudGx5IGNvcnJlbGF0ZWQgd2l0aCBzZWxmLXJlcG9ydCBtZWFzdXJlcyBvZiB2b2NhbCB0aWMgc2V2ZXJpdHkgYW5kIGNvbXB1bHNpdml0eS4gUFVUUyBzY29yZXMgd2VyZSBhbHNvIHNpZ25pZmljYW50bHkgY29ycmVsYXRlZCB3aXRoIEdUUy1RT0wgc2NvcmVzLCBtb3N0IG5vdGFibHkgd2l0aCB0aGUgcHN5Y2hvbG9naWNhbCBzdWJzY2FsZS4gU1AgYXJlIGZyZXF1ZW50bHkgcmVwb3J0ZWQgYnkgYWR1bHRzIHdpdGggVFMsIGFyZSBhc3NvY2lhdGVkIHdpdGggcGVyY2VpdmVkIHRpYyBzZXZlcml0eSBhbmQgY29tcHVsc2l2aXR5LCBhbmQgY2FuIHNpZ25pZmljYW50bHkgYWZmZWN0IHBzeWNob2xvZ2ljYWwgd2VsbC1iZWluZy4gU3RhbmRhcmRpc2VkIG1lYXN1cmVtZW50IG9mIFNQIHNob3VsZCBiZSBpbmNvcnBvcmF0ZWQgaW50byByb3V0aW5lIGFzc2Vzc21lbnQgb2YgcGF0aWVudHMgd2l0aCBUUyB0byBvcHRpbWlzZSB0aGVpciBjbGluaWNhbCBtYW5hZ2VtZW50LiIsImlzc3VlIjoiMyIsInZvbHVtZSI6IjIwOSIsImNvbnRhaW5lci10aXRsZS1zaG9ydCI6IiJ9LCJpc1RlbXBvcmFyeSI6ZmFsc2V9XX0=&quot;,&quot;citationItems&quot;:[{&quot;id&quot;:&quot;3ff21e14-d441-3ae3-b978-eab0d7b6b3cc&quot;,&quot;itemData&quot;:{&quot;type&quot;:&quot;article-journal&quot;,&quot;id&quot;:&quot;3ff21e14-d441-3ae3-b978-eab0d7b6b3cc&quot;,&quot;title&quot;:&quot;Sensory phenomena: clinical correlates and impact on quality of life in adult patients with Tourette syndrome&quot;,&quot;groupId&quot;:&quot;07d62ac1-5aa8-39af-b49e-52d2088ac571&quot;,&quot;author&quot;:[{&quot;family&quot;:&quot;Crossley&quot;,&quot;given&quot;:&quot;E&quot;,&quot;parse-names&quot;:false,&quot;dropping-particle&quot;:&quot;&quot;,&quot;non-dropping-particle&quot;:&quot;&quot;},{&quot;family&quot;:&quot;Cavanna&quot;,&quot;given&quot;:&quot;A E&quot;,&quot;parse-names&quot;:false,&quot;dropping-particle&quot;:&quot;&quot;,&quot;non-dropping-particle&quot;:&quot;&quot;}],&quot;container-title&quot;:&quot;Psychiatry Res&quot;,&quot;DOI&quot;:&quot;10.1016/j.psychres.2013.04.019&quot;,&quot;PMID&quot;:&quot;23684051&quot;,&quot;issued&quot;:{&quot;date-parts&quot;:[[2013]]},&quot;page&quot;:&quot;705-710&quot;,&quot;abstract&quot;:&quot;Tourette syndrome (TS) is a neurodevelopmental condition characterised by multiple tics, with frequent behavioural co-morbidity. Sensory phenomena (SP) are unpleasant sensations which provide involuntary urges to tic in patients with TS. While SP have a central role in tic expression, little is known about their clinical correlates or association with health-related quality of life (HR-QOL) in TS. We conducted a cross-sectional study on 72 adult outpatients with TS, recruited at a specialist clinic. All participants completed a comprehensive battery of psychometric measures, including the Premonitory Urges for Tics Scale (PUTS) to assess SP and a disease-specific quality of life scale (GTS-QOL) to assess HR-QOL. SP were very common (97.2% of patients), with a median PUTS total score of 28/40. Bivariate analyses showed that PUTS scores were most significantly correlated with self-report measures of vocal tic severity and compulsivity. PUTS scores were also significantly correlated with GTS-QOL scores, most notably with the psychological subscale. SP are frequently reported by adults with TS, are associated with perceived tic severity and compulsivity, and can significantly affect psychological well-being. Standardised measurement of SP should be incorporated into routine assessment of patients with TS to optimise their clinical management.&quot;,&quot;issue&quot;:&quot;3&quot;,&quot;volume&quot;:&quot;209&quot;,&quot;container-title-short&quot;:&quot;&quot;},&quot;isTemporary&quot;:false}]},{&quot;citationID&quot;:&quot;MENDELEY_CITATION_75ff7644-b783-4b1d-b304-14660c8cedcc&quot;,&quot;properties&quot;:{&quot;noteIndex&quot;:0},&quot;isEdited&quot;:false,&quot;manualOverride&quot;:{&quot;isManuallyOverridden&quot;:false,&quot;citeprocText&quot;:&quot;(52)&quot;,&quot;manualOverrideText&quot;:&quot;&quot;},&quot;citationTag&quot;:&quot;MENDELEY_CITATION_v3_eyJjaXRhdGlvbklEIjoiTUVOREVMRVlfQ0lUQVRJT05fNzVmZjc2NDQtYjc4My00YjFkLWIzMDQtMTQ2NjBjOGNlZGNjIiwicHJvcGVydGllcyI6eyJub3RlSW5kZXgiOjB9LCJpc0VkaXRlZCI6ZmFsc2UsIm1hbnVhbE92ZXJyaWRlIjp7ImlzTWFudWFsbHlPdmVycmlkZGVuIjpmYWxzZSwiY2l0ZXByb2NUZXh0IjoiKDUyKSIsIm1hbnVhbE92ZXJyaWRlVGV4dCI6IiJ9LCJjaXRhdGlvbkl0ZW1zIjpbeyJpZCI6IjgwMWY2OWY4LWY1ZjQtMzdlMS1iODgyLTNiYzE4MDk0NjE4NiIsIml0ZW1EYXRhIjp7InR5cGUiOiJhcnRpY2xlLWpvdXJuYWwiLCJpZCI6IjgwMWY2OWY4LWY1ZjQtMzdlMS1iODgyLTNiYzE4MDk0NjE4NiIsInRpdGxlIjoiUHJlbW9uaXRvcnkgVXJnZSBhbmQgVGljIFNldmVyaXR5LCBDb21vcmJpZGl0aWVzLCBhbmQgUXVhbGl0eSBvZiBMaWZlIGluIENocm9uaWMgVGljIERpc29yZGVycyIsImdyb3VwSWQiOiIwN2Q2MmFjMS01YWE4LTM5YWYtYjQ5ZS01MmQyMDg4YWM1NzEiLCJhdXRob3IiOlt7ImZhbWlseSI6IkJyYW5kdCIsImdpdmVuIjoiViIsInBhcnNlLW5hbWVzIjpmYWxzZSwiZHJvcHBpbmctcGFydGljbGUiOiIiLCJub24tZHJvcHBpbmctcGFydGljbGUiOiIifSx7ImZhbWlseSI6IkVzc2luZyIsImdpdmVuIjoiSiIsInBhcnNlLW5hbWVzIjpmYWxzZSwiZHJvcHBpbmctcGFydGljbGUiOiIiLCJub24tZHJvcHBpbmctcGFydGljbGUiOiIifSx7ImZhbWlseSI6Ikpha3Vib3Zza2kiLCJnaXZlbiI6IkUiLCJwYXJzZS1uYW1lcyI6ZmFsc2UsImRyb3BwaW5nLXBhcnRpY2xlIjoiIiwibm9uLWRyb3BwaW5nLXBhcnRpY2xlIjoiIn0seyJmYW1pbHkiOiJNw7xsbGVyLVZhaGwiLCJnaXZlbiI6IksiLCJwYXJzZS1uYW1lcyI6ZmFsc2UsImRyb3BwaW5nLXBhcnRpY2xlIjoiIiwibm9uLWRyb3BwaW5nLXBhcnRpY2xlIjoiIn1dLCJjb250YWluZXItdGl0bGUiOiJNb3YgRGlzb3JkIENsaW4gUHJhY3QiLCJET0kiOiIxMC4xMDAyL21kYzMuMTM3NDIiLCJQTUlEIjoiMzczMzI2MzMiLCJpc3N1ZWQiOnsiZGF0ZS1wYXJ0cyI6W1syMDIzXV19LCJwYWdlIjoiOTIyLTkzMiIsImFic3RyYWN0IjoiQkFDS0dST1VORDogVGljcyBhcmUgaW50aW1hdGVseSBhc3NvY2lhdGVkIHdpdGggcHJlbW9uaXRvcnkgdXJnZXMgKFBVKSBidXQga25vd2xlZGdlIGFib3V0IHVyZ2VzIGlzIHN0aWxsIGxpbWl0ZWQsIHdpdGggc21hbGwgc2FtcGxlIHNpemVzIG9mdGVuIGxpbWl0aW5nIHRoZSBnZW5lcmFsaXphYmlsaXR5IG9mIGZpbmRpbmdzLiBPQkpFQ1RJVkVTOiBUaGlzIHN0dWR5IGFkZHJlc3NlZCB0aGUgZm9sbG93aW5nIG9wZW4gcXVlc3Rpb25zOiAoMSkgaXMgdGljIHNldmVyaXR5IGFzc29jaWF0ZWQgd2l0aCB1cmdlIHNldmVyaXR5LCAoMikgaG93IGNvbW1vbiBpcyByZWxpZWYsICgzKSB3aGljaCBjb21vcmJpZGl0aWVzIGFyZSBhc3NvY2lhdGVkIHdpdGggdXJnZXMsICg0KSBhcmUgdXJnZXMsIHRpY3MsIGFuZCBjb21vcmJpZGl0aWVzIGFzc29jaWF0ZWQgd2l0aCBsb3dlciBxdWFsaXR5IG9mIGxpZmUsIGFuZCAoNSkgY2FuIGNvbXBsZXggYW5kIHNpbXBsZSwgbW90b3IgYW5kIHZvY2FsIHRpY3MgYmUgZGlmZmVyZW50aWF0ZWQgYmFzZWQgb24gUFU/IE1FVEhPRFM6IE7igIk94oCJMjkxIHBhdGllbnRzIHdobyByZXBvcnRlZCBhIGNvbmZpcm1lZCBkaWFnbm9zaXMgb2YgY2hyb25pYyBwcmltYXJ5IHRpYyBkaXNvcmRlciAoYWdl4oCJPeKAiTE4LTY1LCAyNCUgZmVtYWxlKSBmaWxsZWQgb3V0IGFuIG9ubGluZSBzdXJ2ZXkgYXNzZXNzaW5nIGRlbW9ncmFwaGljIGRhdGEsIGNvbW9yYmlkIGNvbmRpdGlvbnMsIGxvY2F0aW9uLCBxdWFsaXR5IGFuZCBpbnRlbnNpdHkgb2YgUFUsIGFzIHdlbGwgYXMgcXVhbGl0eSBvZiBsaWZlLiBFdmVyeSB0aWMgd2FzIHJlY29yZGVkLCBhbmQgd2hldGhlciB0aGUgcGF0aWVudCBleHBlcmllbmNlZCBhIFBVLCB0aGUgZnJlcXVlbmN5LCBpbnRlbnNpdHksIGFuZCBxdWFsaXR5IG9mIHRoYXQgdXJnZS4gUkVTVUxUUzogUFUgYW5kIHRpYyBzZXZlcml0eSB3ZXJlIHNpZ25pZmljYW50bHkgYXNzb2NpYXRlZCwgYW5kIDg1JSBvZiB1cmdlLXJlbGF0ZWQgdGljcyB3ZXJlIGZvbGxvd2VkIGJ5IHJlbGllZi4gQSBkaWFnbm9zaXMgb2YgYXR0ZW50aW9uIGRlZmljaXQvaHlwZXJhY3Rpdml0eSBkaXNvcmRlciAoQURIRCkgb3IgZGVwcmVzc2lvbiwgZmVtYWxlIGdlbmRlciwgYW5kIG9sZGVyIGFnZSBpbmNyZWFzZWQgdGhlIGxpa2VsaWhvb2Qgb2YgZXhwZXJpZW5jaW5nIFBVLCB3aGlsZSBtb3JlIG9ic2Vzc2l2ZSBjb21wdWxzaXZlIChPQ0QpIHN5bXB0b21zIGFuZCB5b3VuZ2VyIGFnZSB3ZXJlIGFzc29jaWF0ZWQgd2l0aCBoaWdoZXIgdXJnZSBpbnRlbnNpdGllcy4gUFUsIGNvbXBsZXggdm9jYWwgdGljcywgQURIRCwgT0NELCBhbnhpZXR5LCBhbmQgZGVwcmVzc2lvbiB3ZXJlIHJlbGF0ZWQgdG8gbG93ZXIgcXVhbGl0eSBvZiBsaWZlLiBNb3RvciBhbmQgdm9jYWwsIGNvbXBsZXggYW5kIHNpbXBsZSB0aWNzIGRpZCBub3QgZGlmZmVyIHJlZ2FyZGluZyBQVSBpbnRlbnNpdHksIGZyZXF1ZW5jeSwgYW5kIHF1YWxpdHksIG9yIHJlbGllZi4gQ09OQ0xVU0lPTlM6IFRoZSByZXN1bHRzIHNoZWQgbGlnaHQgb24gdGhlIHJlbGF0aW9uc2hpcCBiZXR3ZWVuIFBVLCB0aWNzLCBjb21vcmJpZGl0aWVzLCBhZ2UsIGdlbmRlciwgYW5kIHF1YWxpdHkgb2YgbGlmZSBpbiB0aWMgZGlzb3JkZXJzLiIsImlzc3VlIjoiNiIsInZvbHVtZSI6IjEwIiwiY29udGFpbmVyLXRpdGxlLXNob3J0IjoiIn0sImlzVGVtcG9yYXJ5IjpmYWxzZX1dfQ==&quot;,&quot;citationItems&quot;:[{&quot;id&quot;:&quot;801f69f8-f5f4-37e1-b882-3bc180946186&quot;,&quot;itemData&quot;:{&quot;type&quot;:&quot;article-journal&quot;,&quot;id&quot;:&quot;801f69f8-f5f4-37e1-b882-3bc180946186&quot;,&quot;title&quot;:&quot;Premonitory Urge and Tic Severity, Comorbidities, and Quality of Life in Chronic Tic Disorders&quot;,&quot;groupId&quot;:&quot;07d62ac1-5aa8-39af-b49e-52d2088ac571&quot;,&quot;author&quot;:[{&quot;family&quot;:&quot;Brandt&quot;,&quot;given&quot;:&quot;V&quot;,&quot;parse-names&quot;:false,&quot;dropping-particle&quot;:&quot;&quot;,&quot;non-dropping-particle&quot;:&quot;&quot;},{&quot;family&quot;:&quot;Essing&quot;,&quot;given&quot;:&quot;J&quot;,&quot;parse-names&quot;:false,&quot;dropping-particle&quot;:&quot;&quot;,&quot;non-dropping-particle&quot;:&quot;&quot;},{&quot;family&quot;:&quot;Jakubovski&quot;,&quot;given&quot;:&quot;E&quot;,&quot;parse-names&quot;:false,&quot;dropping-particle&quot;:&quot;&quot;,&quot;non-dropping-particle&quot;:&quot;&quot;},{&quot;family&quot;:&quot;Müller-Vahl&quot;,&quot;given&quot;:&quot;K&quot;,&quot;parse-names&quot;:false,&quot;dropping-particle&quot;:&quot;&quot;,&quot;non-dropping-particle&quot;:&quot;&quot;}],&quot;container-title&quot;:&quot;Mov Disord Clin Pract&quot;,&quot;DOI&quot;:&quot;10.1002/mdc3.13742&quot;,&quot;PMID&quot;:&quot;37332633&quot;,&quot;issued&quot;:{&quot;date-parts&quot;:[[2023]]},&quot;page&quot;:&quot;922-932&quot;,&quot;abstract&quot;:&quot;BACKGROUND: Tics are intimately associated with premonitory urges (PU) but knowledge about urges is still limited, with small sample sizes often limiting the generalizability of findings. OBJECTIVES: This study addressed the following open questions: (1) is tic severity associated with urge severity, (2) how common is relief, (3) which comorbidities are associated with urges, (4) are urges, tics, and comorbidities associated with lower quality of life, and (5) can complex and simple, motor and vocal tics be differentiated based on PU? METHODS: N = 291 patients who reported a confirmed diagnosis of chronic primary tic disorder (age = 18-65, 24% female) filled out an online survey assessing demographic data, comorbid conditions, location, quality and intensity of PU, as well as quality of life. Every tic was recorded, and whether the patient experienced a PU, the frequency, intensity, and quality of that urge. RESULTS: PU and tic severity were significantly associated, and 85% of urge-related tics were followed by relief. A diagnosis of attention deficit/hyperactivity disorder (ADHD) or depression, female gender, and older age increased the likelihood of experiencing PU, while more obsessive compulsive (OCD) symptoms and younger age were associated with higher urge intensities. PU, complex vocal tics, ADHD, OCD, anxiety, and depression were related to lower quality of life. Motor and vocal, complex and simple tics did not differ regarding PU intensity, frequency, and quality, or relief. CONCLUSIONS: The results shed light on the relationship between PU, tics, comorbidities, age, gender, and quality of life in tic disorders.&quot;,&quot;issue&quot;:&quot;6&quot;,&quot;volume&quot;:&quot;10&quot;,&quot;container-title-short&quot;:&quot;&quot;},&quot;isTemporary&quot;:false}]},{&quot;citationID&quot;:&quot;MENDELEY_CITATION_e3f7d817-e758-4076-a18a-b96dd7dd7602&quot;,&quot;properties&quot;:{&quot;noteIndex&quot;:0},&quot;isEdited&quot;:false,&quot;manualOverride&quot;:{&quot;isManuallyOverridden&quot;:false,&quot;citeprocText&quot;:&quot;(4)&quot;,&quot;manualOverrideText&quot;:&quot;&quot;},&quot;citationTag&quot;:&quot;MENDELEY_CITATION_v3_eyJjaXRhdGlvbklEIjoiTUVOREVMRVlfQ0lUQVRJT05fZTNmN2Q4MTctZTc1OC00MDc2LWExOGEtYjk2ZGQ3ZGQ3NjAyIiwicHJvcGVydGllcyI6eyJub3RlSW5kZXgiOjB9LCJpc0VkaXRlZCI6ZmFsc2UsIm1hbnVhbE92ZXJyaWRlIjp7ImlzTWFudWFsbHlPdmVycmlkZGVuIjpmYWxzZSwiY2l0ZXByb2NUZXh0IjoiKDQpIiwibWFudWFsT3ZlcnJpZGVUZXh0IjoiIn0sImNpdGF0aW9uSXRlbXMiOlt7ImlkIjoiYjVhNWI5YWYtNTk2OC0zZmZkLTlmOTAtMzZhNTI0NGE1MDU4IiwiaXRlbURhdGEiOnsidHlwZSI6ImFydGljbGUtam91cm5hbCIsImlkIjoiYjVhNWI5YWYtNTk2OC0zZmZkLTlmOTAtMzZhNTI0NGE1MDU4IiwidGl0bGUiOiJQcmVtb25pdG9yeSBVcmdlcyBpbiBQYXRpZW50cyB3aXRoIEdpbGxlcyBkZSBsYSBUb3VyZXR0ZSBTeW5kcm9tZTogQW4gSXRhbGlhbiBUcmFuc2xhdGlvbiBhbmQgYSA3LVllYXIgRm9sbG93LXVwIiwiZ3JvdXBJZCI6IjA3ZDYyYWMxLTVhYTgtMzlhZi1iNDllLTUyZDIwODhhYzU3MSIsImF1dGhvciI6W3siZmFtaWx5IjoiR3VsaXNhbm8iLCJnaXZlbiI6Ik0iLCJwYXJzZS1uYW1lcyI6ZmFsc2UsImRyb3BwaW5nLXBhcnRpY2xlIjoiIiwibm9uLWRyb3BwaW5nLXBhcnRpY2xlIjoiIn0seyJmYW1pbHkiOiJDYWzDrCIsImdpdmVuIjoiUCIsInBhcnNlLW5hbWVzIjpmYWxzZSwiZHJvcHBpbmctcGFydGljbGUiOiIiLCJub24tZHJvcHBpbmctcGFydGljbGUiOiIifSx7ImZhbWlseSI6IlBhbGVybW8iLCJnaXZlbiI6IkYiLCJwYXJzZS1uYW1lcyI6ZmFsc2UsImRyb3BwaW5nLXBhcnRpY2xlIjoiIiwibm9uLWRyb3BwaW5nLXBhcnRpY2xlIjoiIn0seyJmYW1pbHkiOiJSb2JlcnRzb24iLCJnaXZlbiI6Ik0iLCJwYXJzZS1uYW1lcyI6ZmFsc2UsImRyb3BwaW5nLXBhcnRpY2xlIjoiIiwibm9uLWRyb3BwaW5nLXBhcnRpY2xlIjoiIn0seyJmYW1pbHkiOiJSaXp6byIsImdpdmVuIjoiUiIsInBhcnNlLW5hbWVzIjpmYWxzZSwiZHJvcHBpbmctcGFydGljbGUiOiIiLCJub24tZHJvcHBpbmctcGFydGljbGUiOiIifV0sImNvbnRhaW5lci10aXRsZSI6IkogQ2hpbGQgQWRvbGVzYyBQc3ljaG9waGFybWFjb2wiLCJET0kiOiIxMC4xMDg5L2NhcC4yMDE0LjAxNTQiLCJQTUlEIjoiMjYyODgzNDUiLCJVUkwiOiJodHRwczovL3d3dy5saWViZXJ0cHViLmNvbS9kb2kvMTAuMTA4OS9jYXAuMjAxNC4wMTU0IiwiaXNzdWVkIjp7ImRhdGUtcGFydHMiOltbMjAxNV1dfSwicGFnZSI6IjgxMC04MTYiLCJhYnN0cmFjdCI6Ik9CSkVDVElWRTogUHJlbW9uaXRvcnkgc2Vuc2F0aW9ucyBvciB1cmdlcyAoUFVzKSBhcmUgZGVzY3JpYmVkIGFzIGNoYXJhY3RlcmlzdGljIHNlbnNvcnkgcGhlbm9tZW5hIHByZWNlZGluZyB0aWNzLCB3aGljaCBhcmUgb2Z0ZW4gZGVzY3JpYmVkIGFzIHVucGxlYXNhbnQuIFRoZXkgb2NjdXIgaW4gOTAlIG9mIHBhdGllbnRzIGFmZmVjdGVkIGJ5IEdpbGxlcyBkZSBsYSBUb3VyZXR0ZSBTeW5kcm9tZSAoR1RTKS4gVGhleSBtYXkgYmUgbG9jYWxpemVkIChhcm91bmQgdGhlIGFyZWEgb2YgdGljKSBvciBnZW5lcmFsaXplZCAoY292ZXJpbmcgYSB3aWRlIGFyZWEgb2YgdGhlIGJvZHkpLiBUaGUgUFVzIGNhbiBiZSBtZWFzdXJlZCBieSB0aGUgUHJlbW9uaXRvcnkgVXJnZSBmb3IgVGljcyBTY2FsZSAoUFVUUykuIEluIHRoaXMgc3R1ZHkgd2UgdHJhbnNsYXRlZCB0aGUgUFVUUyBzY2FsZSBpbnRvIEl0YWxpYW4gYW5kIHRoZW4gYXNzZXNzZWQgY2hpbGRyZW4gYW5kIGFkb2xlc2NlbnRzL3lvdW5nIHBlb3BsZSAoQ1lQKSB3aXRoIEdUUyB1c2luZyB0aGUgc2NhbGUuIE1FVEhPRFM6IEdUUyBwYXRpZW50cyB3ZXJlIGFzc2Vzc2VkIGF0IHRoZSBpbml0aWFsIGludGVydmlldyBhbmQgYWZ0ZXIgNyB5ZWFycyB0byBldmFsdWF0ZSB0aGUgUFVzLCBhbmQgdGhlIGNvcnJlbGF0aW9ucyBvZiB0aGUgUFVUUyBzY29yZXMgd2l0aCB0aWMgc2V2ZXJpdHksIHNldmVyaXR5IG9mIGNvbW9yYmlkIGRpc29yZGVycyAob2JzZXNzaXZlLWNvbXB1bHNpdmUgZGlzb3JkZXIgW09DRF0sIGF0dGVudGlvbi1kZWZpY2l0L2h5cGVyYWN0aXZpdHkgZGlzb3JkZXIgW0FESERdKSwgYW5kIGEgdmFyaWV0eSBvZiBjb2V4aXN0aW5nIHBzeWNob3BhdGhvbG9naWVzLiBSRVNVTFRTOiBBIHRvdGFsIG9mIDk1IHBhdGllbnRzIHdlcmUgc3R1ZGllZC4gV2Ugc3VjY2Vzc2Z1bGx5IHRyYW5zbGF0ZWQgdGhlIFBVVFMgaW50byBJdGFsaWFuLCBhbmQgb3VyIHJlc3VsdHMgaW5kaWNhdGVkIHRoYXQgb3VyIHRyYW5zbGF0ZWQgdmVyc2lvbiBoYWQgZ29vZCBwc3ljaG9tZXRyaWMgcHJvcGVydGllcy4gUmVzdWx0cyBkZW1vbnN0cmF0ZWQgdGhhdCB0aGUgQ1lQIGhhZCBQVXMgYXQgYm90aCBpbnRlcnZpZXdzLCBidXQgdGhhdCBvbGRlciBDWVAgd2VyZSBtb3JlIGNvbnNpc3RlbnQgaW4gcmVwb3J0aW5nIFBVcyB0aGFuIHlvdW5nZXIgQ1lQIChpLmUuLCBQVVRTIHNjb3JlcyBpbmNyZWFzZWQgd2l0aCBhZ2UpLiBXZSBmb3VuZCBubyBjb3JyZWxhdGlvbnMgYmV0d2VlbiBQVVRTIHNjb3JlIGFuZCB0aWMgc2V2ZXJpdHkgYXQgZWl0aGVyIGludGVydmlldy4gV2UgZm91bmQgYSBzdGF0aXN0aWNhbCBzaWduaWZpY2FudCBjb3JyZWxhdGlvbiBiZXR3ZWVuIFBVVFMgc2NvcmUgYW5kIG9ic2Vzc2l2ZS1jb21wdWxzaXZlIHN5bXB0b21zIChPQ1MpIGF0IGJvdGggaW50ZXJ2aWV3czsgTW9yZW92ZXIgYm90aCB0aGUgUFVUUyBhbmQgQ2hpbGRyZW4ncyBZYWxlLUJyb3duIE9ic2Vzc2l2ZSBDb21wdWxzaXZlIFNjYWxlIChDWS1CT0NTKSBzY29yZXMgaW5jcmVhc2VkIHNpZ25pZmljYW50bHksIHdoZXJlYXMgdGhlIFlhbGUgR2xvYmFsIFRpYyBTZXZlcml0eSBSYXRpbmcgU2NhbGUgKFlHVFNTKSBzY29yZSBkZWNyZWFzZWQgc2lnbmlmaWNhbnRseS4gV2UgZm91bmQgbm8gcmVsYXRpb25zaGlwcyBiZXR3ZWVuIFBVVFMgc2NvcmVzIGFuZCBhbnhpZXR5LCBkZXByZXNzaW9uLCBBREhELCBhbmQgZXh0ZXJuYWxpemluZy9pbnRlcm5hbGl6aW5nIGJlaGF2aW9yYWwgc2NvcmVzLiBDT05DTFVTSU9OUzogT3VyIHJlc3VsdHMgc3VnZ2VzdCB0aGUgdGhlIEl0YWxpYW4gdHJhbnNsYXRpb24gb2YgdGhlIFBVVFMgaGFzIGdvb2QgcHN5Y2hvbWV0cmljIHByb3BlcnRpZXMuIEFsdGhvdWdoIGJvdGggeW91bmdlciAoPDEwIHllYXJzIG9mIGFnZSkgYW5kIG9sZGVyIENZUCAo4omkIDEwIHllYXJzIG9mIGFnZSkgcmVwb3J0ZWQgUFVzLCB0aGUgc2NvcmVzIGF0IHRoZSBpbml0aWFsIGludGVydmlldyB3ZXJlIHN0YXRpc3RpY2FsbHkgc2lnbmlmaWNhbnRseSBsb3dlciB0aGFuIGF0IGZvbGxvdy11cC4gTW9yZW92ZXIsIGluIENZUCA+MTAgeWVhcnMgb2YgYWdlLCB0aGUgUFVzIGNvcnJlbGF0ZWQgd2l0aCBvYnNlc3Npb25zIGFuZCBjb21wdWxzaW9ucyAoQ1ktQk9DUyBzY29yZXMpLiIsImlzc3VlIjoiMTAiLCJ2b2x1bWUiOiIyNSIsImNvbnRhaW5lci10aXRsZS1zaG9ydCI6IiJ9LCJpc1RlbXBvcmFyeSI6ZmFsc2V9XX0=&quot;,&quot;citationItems&quot;:[{&quot;id&quot;:&quot;b5a5b9af-5968-3ffd-9f90-36a5244a5058&quot;,&quot;itemData&quot;:{&quot;type&quot;:&quot;article-journal&quot;,&quot;id&quot;:&quot;b5a5b9af-5968-3ffd-9f90-36a5244a5058&quot;,&quot;title&quot;:&quot;Premonitory Urges in Patients with Gilles de la Tourette Syndrome: An Italian Translation and a 7-Year Follow-up&quot;,&quot;groupId&quot;:&quot;07d62ac1-5aa8-39af-b49e-52d2088ac571&quot;,&quot;author&quot;:[{&quot;family&quot;:&quot;Gulisano&quot;,&quot;given&quot;:&quot;M&quot;,&quot;parse-names&quot;:false,&quot;dropping-particle&quot;:&quot;&quot;,&quot;non-dropping-particle&quot;:&quot;&quot;},{&quot;family&quot;:&quot;Calì&quot;,&quot;given&quot;:&quot;P&quot;,&quot;parse-names&quot;:false,&quot;dropping-particle&quot;:&quot;&quot;,&quot;non-dropping-particle&quot;:&quot;&quot;},{&quot;family&quot;:&quot;Palermo&quot;,&quot;given&quot;:&quot;F&quot;,&quot;parse-names&quot;:false,&quot;dropping-particle&quot;:&quot;&quot;,&quot;non-dropping-particle&quot;:&quot;&quot;},{&quot;family&quot;:&quot;Robertson&quot;,&quot;given&quot;:&quot;M&quot;,&quot;parse-names&quot;:false,&quot;dropping-particle&quot;:&quot;&quot;,&quot;non-dropping-particle&quot;:&quot;&quot;},{&quot;family&quot;:&quot;Rizzo&quot;,&quot;given&quot;:&quot;R&quot;,&quot;parse-names&quot;:false,&quot;dropping-particle&quot;:&quot;&quot;,&quot;non-dropping-particle&quot;:&quot;&quot;}],&quot;container-title&quot;:&quot;J Child Adolesc Psychopharmacol&quot;,&quot;DOI&quot;:&quot;10.1089/cap.2014.0154&quot;,&quot;PMID&quot;:&quot;26288345&quot;,&quot;URL&quot;:&quot;https://www.liebertpub.com/doi/10.1089/cap.2014.0154&quot;,&quot;issued&quot;:{&quot;date-parts&quot;:[[2015]]},&quot;page&quot;:&quot;810-816&quot;,&quot;abstract&quot;:&quot;OBJECTIVE: Premonitory sensations or urges (PUs) are described as characteristic sensory phenomena preceding tics, which are often described as unpleasant. They occur in 90% of patients affected by Gilles de la Tourette Syndrome (GTS). They may be localized (around the area of tic) or generalized (covering a wide area of the body). The PUs can be measured by the Premonitory Urge for Tics Scale (PUTS). In this study we translated the PUTS scale into Italian and then assessed children and adolescents/young people (CYP) with GTS using the scale. METHODS: GTS patients were assessed at the initial interview and after 7 years to evaluate the PUs, and the correlations of the PUTS scores with tic severity, severity of comorbid disorders (obsessive-compulsive disorder [OCD], attention-deficit/hyperactivity disorder [ADHD]), and a variety of coexisting psychopathologies. RESULTS: A total of 95 patients were studied. We successfully translated the PUTS into Italian, and our results indicated that our translated version had good psychometric properties. Results demonstrated that the CYP had PUs at both interviews, but that older CYP were more consistent in reporting PUs than younger CYP (i.e., PUTS scores increased with age). We found no correlations between PUTS score and tic severity at either interview. We found a statistical significant correlation between PUTS score and obsessive-compulsive symptoms (OCS) at both interviews; Moreover both the PUTS and Children's Yale-Brown Obsessive Compulsive Scale (CY-BOCS) scores increased significantly, whereas the Yale Global Tic Severity Rating Scale (YGTSS) score decreased significantly. We found no relationships between PUTS scores and anxiety, depression, ADHD, and externalizing/internalizing behavioral scores. CONCLUSIONS: Our results suggest the the Italian translation of the PUTS has good psychometric properties. Although both younger (&lt;10 years of age) and older CYP (≤ 10 years of age) reported PUs, the scores at the initial interview were statistically significantly lower than at follow-up. Moreover, in CYP &gt;10 years of age, the PUs correlated with obsessions and compulsions (CY-BOCS scores).&quot;,&quot;issue&quot;:&quot;10&quot;,&quot;volume&quot;:&quot;25&quot;,&quot;container-title-short&quot;:&quot;&quot;},&quot;isTemporary&quot;:false}]},{&quot;citationID&quot;:&quot;MENDELEY_CITATION_d8a6366b-38e3-47c0-b149-80f758f59684&quot;,&quot;properties&quot;:{&quot;noteIndex&quot;:0},&quot;isEdited&quot;:false,&quot;manualOverride&quot;:{&quot;isManuallyOverridden&quot;:false,&quot;citeprocText&quot;:&quot;(25)&quot;,&quot;manualOverrideText&quot;:&quot;&quot;},&quot;citationTag&quot;:&quot;MENDELEY_CITATION_v3_eyJjaXRhdGlvbklEIjoiTUVOREVMRVlfQ0lUQVRJT05fZDhhNjM2NmItMzhlMy00N2MwLWIxNDktODBmNzU4ZjU5Njg0IiwicHJvcGVydGllcyI6eyJub3RlSW5kZXgiOjB9LCJpc0VkaXRlZCI6ZmFsc2UsIm1hbnVhbE92ZXJyaWRlIjp7ImlzTWFudWFsbHlPdmVycmlkZGVuIjpmYWxzZSwiY2l0ZXByb2NUZXh0IjoiKDI1KSIsIm1hbnVhbE92ZXJyaWRlVGV4dCI6IiJ9LCJjaXRhdGlvbkl0ZW1zIjpbeyJpZCI6IjlmYjk1MTU2LTIxODMtMzQ4Yy1hMTExLTlhOGY5OTY1YmZmYyIsIml0ZW1EYXRhIjp7InR5cGUiOiJhcnRpY2xlLWpvdXJuYWwiLCJpZCI6IjlmYjk1MTU2LTIxODMtMzQ4Yy1hMTExLTlhOGY5OTY1YmZmYyIsInRpdGxlIjoiVGljLXJlbGF0ZWQgY29nbml0aW9uLCBzZW5zb3J5IHBoZW5vbWVuYSwgYW5kIGFueGlldHkgaW4gY2hpbGRyZW4gYW5kIGFkb2xlc2NlbnRzIHdpdGggVG91cmV0dGUgc3luZHJvbWUiLCJncm91cElkIjoiMDdkNjJhYzEtNWFhOC0zOWFmLWI0OWUtNTJkMjA4OGFjNTcxIiwiYXV0aG9yIjpbeyJmYW1pbHkiOiJTdGVpbmJlcmciLCJnaXZlbiI6IlQiLCJwYXJzZS1uYW1lcyI6ZmFsc2UsImRyb3BwaW5nLXBhcnRpY2xlIjoiIiwibm9uLWRyb3BwaW5nLXBhcnRpY2xlIjoiIn0seyJmYW1pbHkiOiJIYXJ1c2giLCJnaXZlbiI6IkEiLCJwYXJzZS1uYW1lcyI6ZmFsc2UsImRyb3BwaW5nLXBhcnRpY2xlIjoiIiwibm9uLWRyb3BwaW5nLXBhcnRpY2xlIjoiIn0seyJmYW1pbHkiOiJCYXJuZWEiLCJnaXZlbiI6Ik0iLCJwYXJzZS1uYW1lcyI6ZmFsc2UsImRyb3BwaW5nLXBhcnRpY2xlIjoiIiwibm9uLWRyb3BwaW5nLXBhcnRpY2xlIjoiIn0seyJmYW1pbHkiOiJEYXIiLCJnaXZlbiI6IlIiLCJwYXJzZS1uYW1lcyI6ZmFsc2UsImRyb3BwaW5nLXBhcnRpY2xlIjoiIiwibm9uLWRyb3BwaW5nLXBhcnRpY2xlIjoiIn0seyJmYW1pbHkiOiJQaWFjZW50aW5pIiwiZ2l2ZW4iOiJKIiwicGFyc2UtbmFtZXMiOmZhbHNlLCJkcm9wcGluZy1wYXJ0aWNsZSI6IiIsIm5vbi1kcm9wcGluZy1wYXJ0aWNsZSI6IiJ9LHsiZmFtaWx5IjoiV29vZHMiLCJnaXZlbiI6IkQiLCJwYXJzZS1uYW1lcyI6ZmFsc2UsImRyb3BwaW5nLXBhcnRpY2xlIjoiIiwibm9uLWRyb3BwaW5nLXBhcnRpY2xlIjoiIn0seyJmYW1pbHkiOiJTaG11ZWwtQmFydWNoIiwiZ2l2ZW4iOiJTIiwicGFyc2UtbmFtZXMiOmZhbHNlLCJkcm9wcGluZy1wYXJ0aWNsZSI6IiIsIm5vbi1kcm9wcGluZy1wYXJ0aWNsZSI6IiJ9LHsiZmFtaWx5IjoiQXB0ZXIiLCJnaXZlbiI6IkEiLCJwYXJzZS1uYW1lcyI6ZmFsc2UsImRyb3BwaW5nLXBhcnRpY2xlIjoiIiwibm9uLWRyb3BwaW5nLXBhcnRpY2xlIjoiIn1dLCJjb250YWluZXItdGl0bGUiOiJDb21wciBQc3ljaGlhdHJ5IiwiRE9JIjoiMTAuMTAxNi9qLmNvbXBwc3ljaC4yMDEyLjEyLjAxMiIsIlBNSUQiOiIyMzMzMjU1NSIsIlVSTCI6Imh0dHBzOi8vbWVkaWEucHJvcXVlc3QuY29tL21lZGlhL3BxL2NsYXNzaWMvZG9jLzI5OTU4Mzg1ODEvZm10L3BpL3JlcC9OT05FP2NpdCUzQWF1dGg9U3RlaW5iZXJnJTJDK1RhbWFyJTNCSGFydXNoJTJDK0FkdmElM0JCYXJuZWElMkMrTWVpcmF2JTNCRGFyJTJDK1J1ZXZlbiUzQlBpYWNlbnRpbmklMkMrSm9obiUzQldvb2RzJTJDK0RvdWclM0JTaG11ZWwtQmFydWNoJTJDK1NoYXJvbmElM0JBcHRlciUyQytBbGFuJmNpdCUzQXRpdGxlPVRpYy1yZSIsImlzc3VlZCI6eyJkYXRlLXBhcnRzIjpbWzIwMTNdXX0sInBhZ2UiOiI0NjItNDY2IiwiYWJzdHJhY3QiOiJCQUNLR1JPVU5EOiBUb3VyZXR0ZSBzeW5kcm9tZSBpcyBhIHByb3RveXBpY2FsIGV4YW1wbGUgb2YgZGV2ZWxvcG1lbnRhbCBwc3ljaG9wYXRob2xvZ3ksIHdpdGggdGhlIHZhcnlpbmcgZXhwcmVzc2lvbnMgb2YgdGhlIGRpc29yZGVyIGFuZCBpdHMgY29uc2VxdWVuY2VzIGFwcGVhcmluZyBvdmVyIHRpbWUuIFNlbnNvcnkgdXJnZXMgdHlwaWNhbGx5IGFwcGVhciBhZnRlciBhZ2UgMTAgYW5kIGFyZSBvZnRlbiBmb2xsb3dlZCBieSBhbnhpZXR5IGFuZCBkZXByZXNzaW9uLiBPQkpFQ1RJVkU6IFRvIHN0dWR5IHRoZSBhc3NvY2lhdGlvbnMgYW1vbmcgdGljLXJlbGF0ZWQgY29nbml0aW9ucywgcHJlbW9uaXRvcnkgdXJnZXMsIGFuZCB0aWMgc2V2ZXJpdHkgaW4gY2hpbGRyZW4gd2l0aCBUb3VyZXR0ZSBzeW5kcm9tZSBhdCBkaWZmZXJlbnQgc3RhZ2VzIG9mIHRoZSBpbGxuZXNzLiBTVUJKRUNUUzogRmlmdHktc2V2ZW4gY29uc2VjdXRpdmUgcGF0aWVudHMgcmVmZXJyZWQgdG8gYSB0aWMgZGlzb3JkZXJzIGNsaW5pYy4gSU5TVFJVTUVOVFM6IEEgYmF0dGVyeSBvZiBpbnN0cnVtZW50cyB3YXMgY29tcGxldGVkOiBZYWxlIEdsb2JhbCBUaWMgU2V2ZXJpdHkgU2NhbGUsIFByZW1vbml0b3J5IFVyZ2UgZm9yIFRpY3MgU2NhbGUsIFNjcmVlbiBmb3IgQ2hpbGQgQW54aWV0eSBSZWxhdGVkIEVtb3Rpb25hbCBEaXNvcmRlcnMsIGFuZCBDaGlsZCBEZXByZXNzaW9uIEludmVudG9yeS4gVG8gZXhhbWluZSBjb2duaXRpb25zLCBhIG5ldyBtZWFzdXJlIHdhcyBkZXZlbG9wZWQ6IHRoZSBCZWxpZWZzIEFib3V0IFRpY3MgU2NhbGUuIFJFU1VMVFM6IFN0cm9uZyBjb3JyZWxhdGlvbnMgd2VyZSBmb3VuZCBiZXR3ZWVuIHRpYy1yZWxhdGVkIGJlbGllZnMgYW5kIGJvdGggcHJlbW9uaXRvcnkgdXJnZXMgYW5kIHRpYy1yZWxhdGVkIGltcGFpcm1lbnRzIChhcyBtZWFzdXJlZCBieSB0aGUgWWFsZSBHbG9iYWwgU2NhbGUpLiBUaWMtcmVsYXRlZCBiZWxpZWZzIHdlcmUgYWxzbyBzdHJvbmdseSBjb3JyZWxhdGVkIHdpdGggZGVwcmVzc2lvbiBpbiBjaGlsZHJlbiBvbGRlciB0aGFuIDEzIHllYXJzIGJ1dCBub3QgaW4geW91bmdlciBjaGlsZHJlbi4gQ09OQ0xVU0lPTlM6IFRoZSBzaWduaWZpY2FudCBjb3JyZWxhdGlvbnMgYmV0d2VlbiB0aWMtcmVsYXRlZCBjb2duaXRpb25zLCBwcmVtb25pdG9yeSB1cmdlcywgYW5kIHRpYy1yZWxhdGVkIGltcGFpcm1lbnRzIGluIGNoaWxkcmVuIGVtcGhhc2l6ZSB0aGUgaW1wb3J0YW50IHJvbGUgb2YgcHN5Y2hvbG9naWNhbCBhbmQgc2Vuc29yeSBmYWN0b3JzIGluIHRoZSB1bmRlcnN0YW5kaW5nIG9mIFRvdXJldHRlIHN5bmRyb21lIGFuZCBpbiBpdHMgdHJlYXRtZW50LiIsImlzc3VlIjoiNSIsInZvbHVtZSI6IjU0IiwiY29udGFpbmVyLXRpdGxlLXNob3J0IjoiIn0sImlzVGVtcG9yYXJ5IjpmYWxzZX1dfQ==&quot;,&quot;citationItems&quot;:[{&quot;id&quot;:&quot;9fb95156-2183-348c-a111-9a8f9965bffc&quot;,&quot;itemData&quot;:{&quot;type&quot;:&quot;article-journal&quot;,&quot;id&quot;:&quot;9fb95156-2183-348c-a111-9a8f9965bffc&quot;,&quot;title&quot;:&quot;Tic-related cognition, sensory phenomena, and anxiety in children and adolescents with Tourette syndrome&quot;,&quot;groupId&quot;:&quot;07d62ac1-5aa8-39af-b49e-52d2088ac571&quot;,&quot;author&quot;:[{&quot;family&quot;:&quot;Steinberg&quot;,&quot;given&quot;:&quot;T&quot;,&quot;parse-names&quot;:false,&quot;dropping-particle&quot;:&quot;&quot;,&quot;non-dropping-particle&quot;:&quot;&quot;},{&quot;family&quot;:&quot;Harush&quot;,&quot;given&quot;:&quot;A&quot;,&quot;parse-names&quot;:false,&quot;dropping-particle&quot;:&quot;&quot;,&quot;non-dropping-particle&quot;:&quot;&quot;},{&quot;family&quot;:&quot;Barnea&quot;,&quot;given&quot;:&quot;M&quot;,&quot;parse-names&quot;:false,&quot;dropping-particle&quot;:&quot;&quot;,&quot;non-dropping-particle&quot;:&quot;&quot;},{&quot;family&quot;:&quot;Dar&quot;,&quot;given&quot;:&quot;R&quot;,&quot;parse-names&quot;:false,&quot;dropping-particle&quot;:&quot;&quot;,&quot;non-dropping-particle&quot;:&quot;&quot;},{&quot;family&quot;:&quot;Piacentini&quot;,&quot;given&quot;:&quot;J&quot;,&quot;parse-names&quot;:false,&quot;dropping-particle&quot;:&quot;&quot;,&quot;non-dropping-particle&quot;:&quot;&quot;},{&quot;family&quot;:&quot;Woods&quot;,&quot;given&quot;:&quot;D&quot;,&quot;parse-names&quot;:false,&quot;dropping-particle&quot;:&quot;&quot;,&quot;non-dropping-particle&quot;:&quot;&quot;},{&quot;family&quot;:&quot;Shmuel-Baruch&quot;,&quot;given&quot;:&quot;S&quot;,&quot;parse-names&quot;:false,&quot;dropping-particle&quot;:&quot;&quot;,&quot;non-dropping-particle&quot;:&quot;&quot;},{&quot;family&quot;:&quot;Apter&quot;,&quot;given&quot;:&quot;A&quot;,&quot;parse-names&quot;:false,&quot;dropping-particle&quot;:&quot;&quot;,&quot;non-dropping-particle&quot;:&quot;&quot;}],&quot;container-title&quot;:&quot;Compr Psychiatry&quot;,&quot;DOI&quot;:&quot;10.1016/j.comppsych.2012.12.012&quot;,&quot;PMID&quot;:&quot;23332555&quot;,&quot;URL&quot;:&quot;https://media.proquest.com/media/pq/classic/doc/2995838581/fmt/pi/rep/NONE?cit%3Aauth=Steinberg%2C+Tamar%3BHarush%2C+Adva%3BBarnea%2C+Meirav%3BDar%2C+Rueven%3BPiacentini%2C+John%3BWoods%2C+Doug%3BShmuel-Baruch%2C+Sharona%3BApter%2C+Alan&amp;cit%3Atitle=Tic-re&quot;,&quot;issued&quot;:{&quot;date-parts&quot;:[[2013]]},&quot;page&quot;:&quot;462-466&quot;,&quot;abstract&quot;:&quot;BACKGROUND: Tourette syndrome is a protoypical example of developmental psychopathology, with the varying expressions of the disorder and its consequences appearing over time. Sensory urges typically appear after age 10 and are often followed by anxiety and depression. OBJECTIVE: To study the associations among tic-related cognitions, premonitory urges, and tic severity in children with Tourette syndrome at different stages of the illness. SUBJECTS: Fifty-seven consecutive patients referred to a tic disorders clinic. INSTRUMENTS: A battery of instruments was completed: Yale Global Tic Severity Scale, Premonitory Urge for Tics Scale, Screen for Child Anxiety Related Emotional Disorders, and Child Depression Inventory. To examine cognitions, a new measure was developed: the Beliefs About Tics Scale. RESULTS: Strong correlations were found between tic-related beliefs and both premonitory urges and tic-related impairments (as measured by the Yale Global Scale). Tic-related beliefs were also strongly correlated with depression in children older than 13 years but not in younger children. CONCLUSIONS: The significant correlations between tic-related cognitions, premonitory urges, and tic-related impairments in children emphasize the important role of psychological and sensory factors in the understanding of Tourette syndrome and in its treatment.&quot;,&quot;issue&quot;:&quot;5&quot;,&quot;volume&quot;:&quot;54&quot;,&quot;container-title-short&quot;:&quot;&quot;},&quot;isTemporary&quot;:false}]},{&quot;citationID&quot;:&quot;MENDELEY_CITATION_addb58a3-9050-414f-88d9-3e9d4f705c21&quot;,&quot;properties&quot;:{&quot;noteIndex&quot;:0},&quot;isEdited&quot;:false,&quot;manualOverride&quot;:{&quot;isManuallyOverridden&quot;:false,&quot;citeprocText&quot;:&quot;(31)&quot;,&quot;manualOverrideText&quot;:&quot;&quot;},&quot;citationTag&quot;:&quot;MENDELEY_CITATION_v3_eyJjaXRhdGlvbklEIjoiTUVOREVMRVlfQ0lUQVRJT05fYWRkYjU4YTMtOTA1MC00MTRmLTg4ZDktM2U5ZDRmNzA1YzIxIiwicHJvcGVydGllcyI6eyJub3RlSW5kZXgiOjB9LCJpc0VkaXRlZCI6ZmFsc2UsIm1hbnVhbE92ZXJyaWRlIjp7ImlzTWFudWFsbHlPdmVycmlkZGVuIjpmYWxzZSwiY2l0ZXByb2NUZXh0IjoiKDMxKSIsIm1hbnVhbE92ZXJyaWRlVGV4dCI6IiJ9LCJjaXRhdGlvbkl0ZW1zIjpbeyJpZCI6ImIwMGNmYjcwLWQ4ZTItM2U4Yi1hZmQxLWRmZjAyYjRkMDEwMCIsIml0ZW1EYXRhIjp7InR5cGUiOiJhcnRpY2xlLWpvdXJuYWwiLCJpZCI6ImIwMGNmYjcwLWQ4ZTItM2U4Yi1hZmQxLWRmZjAyYjRkMDEwMCIsInRpdGxlIjoiQ2xpbmljYWwgQ29ycmVsYXRlcyBvZiBIZWFsdGgtUmVsYXRlZCBRdWFsaXR5IG9mIExpZmUgaW4gQWR1bHRzIFdpdGggQ2hyb25pYyBUaWMgRGlzb3JkZXIiLCJncm91cElkIjoiMDdkNjJhYzEtNWFhOC0zOWFmLWI0OWUtNTJkMjA4OGFjNTcxIiwiYXV0aG9yIjpbeyJmYW1pbHkiOiJJc2FhY3MiLCJnaXZlbiI6IkQgQSIsInBhcnNlLW5hbWVzIjpmYWxzZSwiZHJvcHBpbmctcGFydGljbGUiOiIiLCJub24tZHJvcHBpbmctcGFydGljbGUiOiIifSx7ImZhbWlseSI6IlJpb3JkYW4iLCJnaXZlbiI6IkggUiIsInBhcnNlLW5hbWVzIjpmYWxzZSwiZHJvcHBpbmctcGFydGljbGUiOiIiLCJub24tZHJvcHBpbmctcGFydGljbGUiOiIifSx7ImZhbWlseSI6IkNsYWFzc2VuIiwiZ2l2ZW4iOiJEIE8iLCJwYXJzZS1uYW1lcyI6ZmFsc2UsImRyb3BwaW5nLXBhcnRpY2xlIjoiIiwibm9uLWRyb3BwaW5nLXBhcnRpY2xlIjoiIn1dLCJjb250YWluZXItdGl0bGUiOiJGcm9udGllcnMgaW4gUHN5Y2hpYXRyeSIsIkRPSSI6Imh0dHBzOi8vZHguZG9pLm9yZy8xMC4zMzg5L2Zwc3l0LjIwMjEuNjE5ODU0IiwiVVJMIjoiaHR0cDovL3d3dy5mcm9udGllcnNpbi5vcmcvUHN5Y2hpYXRyeWh0dHA6Ly9vdmlkc3Aub3ZpZC5jb20vb3ZpZHdlYi5jZ2k/VD1KUyZQQUdFPXJlZmVyZW5jZSZEPWVtZWQyMiZORVdTPU4mQU49NjM0NTY3MTM2IiwiaXNzdWVkIjp7ImRhdGUtcGFydHMiOltbMjAyMV1dfSwicGFnZSI6IjYxOTg1NCIsImFic3RyYWN0IjoiVGljcyBhcmUgdGhlIGhhbGxtYXJrIGZlYXR1cmUgb2YgVG91cmV0dGUgc3luZHJvbWUgKFRTKSwgYnV0IHBzeWNoaWF0cmljIGFuZCBzZW5zb3J5IHN5bXB0b21zIGFyZSB3aWRlbHkgcHJldmFsZW50IGFuZCBpbmNyZWFzaW5nbHkgcmVjb2duaXplZCBhcyBjb3JlIG1hbmlmZXN0YXRpb25zIG9mIHRoZSBkaXNvcmRlci4gQWNjdW11bGF0aW5nIGV2aWRlbmNlIHN1Z2dlc3RzIHRoYXQgdGhlc2UgcHN5Y2hpYXRyaWMgYW5kIHNlbnNvcnkgc3ltcHRvbXMgZXhlcnQgZ3JlYXRlciBpbmZsdWVuY2Ugb24gcXVhbGl0eSBvZiBsaWZlIChRT0wpIHRoYW4gdGljcyB0aGVtc2VsdmVzLiBIb3dldmVyLCBtdWNoIHJlbWFpbnMgdW5jZXJ0YWluIGFib3V0IGRldGVybWluYW50cyBvZiBRT0wgaW4gVFMgZHVlIHRvIHRoZSBjb21wbGV4aXR5IG9mIHRoZSBjbGluaWNhbCBwcmVzZW50YXRpb24uIEhlcmUsIHdlIHNvdWdodCB0byBjbGFyaWZ5IHRoZSBhc3NvY2lhdGlvbiBiZXR3ZWVuIGhlYWx0aC1yZWxhdGVkIFFPTCAoSFJRT0wpIGFuZCBjb21tb24gcHN5Y2hpYXRyaWMgYW5kIHNlbnNvcnkgc3ltcHRvbXMgaW4gYWR1bHRzIHdpdGggVFMgYW5kIG90aGVyIGNocm9uaWMgdGljIGRpc29yZGVycy4gVG8gZG8gc28sIHdlIHByb3NwZWN0aXZlbHkgcmVjcnVpdGVkIDUyIHBhdGllbnRzIGZyb20gYSB0ZXJ0aWFyeSBjYXJlIGNsaW5pYyB0byBjb21wbGV0ZSBzZWxmLXJlcG9ydCBtZWFzdXJlcyBhc3Nlc3NpbmcgSFJRT0wgKEdpbGxlcyBkZSBsYSBUb3VyZXR0ZS1RdWFsaXR5IG9mIExpZmUgU2NhbGUsIEdUUy1RT0wpLCBkZXByZXNzaW9uIChQYXRpZW50IEhlYWx0aCBRdWVzdGlvbm5haXJlLTksIFBIUS05KSwgYW54aWV0eSAoR2VuZXJhbGl6ZWQgQW54aWV0eSBEaXNvcmRlciBTY2FsZS03LCBHQUQtNyksIG9ic2Vzc2l2ZS1jb21wdWxzaXZlIHN5bXB0b21zIChEaW1lbnNpb25hbCBPYnNlc3NpdmUtQ29tcHVsc2l2ZSBTY2FsZSwgRE9DUyksIGF0dGVudGlvbiBkZWZpY2l0IGh5cGVyYWN0aXZpdHkgZGlzb3JkZXIgc3ltcHRvbXMgKEFkdWx0IEFESEQgU2VsZi1SZXBvcnQgU2NyZWVuaW5nIFNjYWxlIGZvciBEU00tNSwgQVNSUy1WKSwgYW5kIHByZW1vbml0b3J5IHVyZ2UgKFByZW1vbml0b3J5IFVyZ2UgdG8gVGljIFNjYWxlLCBQVVRTKS4gQWxsIHBhcnRpY2lwYW50cyB3ZXJlIGFsc28gYWRtaW5pc3RlcmVkIHRoZSBZYWxlIEdsb2JhbCBUaWMgU2V2ZXJpdHkgU2NhbGUgKFlHVFNTKSB0byBxdWFudGlmeSB0aWMgc2V2ZXJpdHkuIFVzaW5nIGNvcnJlbGF0aW9uYWwgYW5hbHlzaXMgYW5kIG11bHRpdmFyaWFibGUgbGluZWFyIHJlZ3Jlc3Npb24gbW9kZWxpbmcsIHdlIGZvdW5kIHRoYXQgR1RTLVFPTCBzY29yZSB3YXMgc2lnbmlmaWNhbnRseSBhc3NvY2lhdGVkIHdpdGggc2NvcmVzIGZyb20gYWxsIG90aGVyIHJhdGluZyBzY2FsZXMsIHdpdGggdGhlIGV4Y2VwdGlvbiBvZiB0aGUgUFVUUy4gR1RTLVFPTCB3YXMgbW9zdCBzdHJvbmdseSBhc3NvY2lhdGVkIHdpdGggUEhRLTksIGZvbGxvd2VkIGJ5IEFTUlMtViwgR0FELTcsIERPQ1MsIGFuZCBZR1RTUyB0b3RhbCB0aWMgc2NvcmUuIFRoZSByZWdyZXNzaW9uIG1vZGVsIGluY2x1ZGluZyB0aGVzZSBmaXZlIGluZGVwZW5kZW50IHZhcmlhYmxlcywgYXMgd2VsbCBhcyBzZXgsIGV4cGxhaW5lZCA3OSUgb2YgR1RTLVFPTCBzY29yZSB2YXJpYW5jZSBbRig2LDQwKSA9IDI5LjYsIHAgPCAwLjAwMV0uIFNwZWNpZmljIHBzeWNoaWF0cmljIHN5bXB0b21zIGRpZmZlcmVudGlhbGx5IGltcGFjdGVkIHBoeXNpY2FsLCBwc3ljaG9sb2dpY2FsLCBhbmQgY29nbml0aXZlIEhSUU9MLiBTeXN0ZW1hdGljIGFzc2Vzc21lbnQgb2YgcHN5Y2hpYXRyaWMgY29tb3JiaWRpdGllcyBpcyBpbXBlcmF0aXZlIGZvciBjbGluaWNhbCBjYXJlIGFuZCBjbGluaWNhbCByZXNlYXJjaCBlZmZvcnRzIGRpcmVjdGVkIGF0IGltcHJvdmluZyBRT0wgaW4gYWR1bHRzIHdpdGggY2hyb25pYyB0aWMgZGlzb3JkZXJzLsKpIENvcHlyaWdodCDCqSAyMDIxIElzYWFjcywgUmlvcmRhbiBhbmQgQ2xhYXNzZW4uIiwidm9sdW1lIjoiMTIiLCJjb250YWluZXItdGl0bGUtc2hvcnQiOiJGcm9udCBQc3ljaGlhdHJ5In0sImlzVGVtcG9yYXJ5IjpmYWxzZX1dfQ==&quot;,&quot;citationItems&quot;:[{&quot;id&quot;:&quot;b00cfb70-d8e2-3e8b-afd1-dff02b4d0100&quot;,&quot;itemData&quot;:{&quot;type&quot;:&quot;article-journal&quot;,&quot;id&quot;:&quot;b00cfb70-d8e2-3e8b-afd1-dff02b4d0100&quot;,&quot;title&quot;:&quot;Clinical Correlates of Health-Related Quality of Life in Adults With Chronic Tic Disorder&quot;,&quot;groupId&quot;:&quot;07d62ac1-5aa8-39af-b49e-52d2088ac571&quot;,&quot;author&quot;:[{&quot;family&quot;:&quot;Isaacs&quot;,&quot;given&quot;:&quot;D A&quot;,&quot;parse-names&quot;:false,&quot;dropping-particle&quot;:&quot;&quot;,&quot;non-dropping-particle&quot;:&quot;&quot;},{&quot;family&quot;:&quot;Riordan&quot;,&quot;given&quot;:&quot;H R&quot;,&quot;parse-names&quot;:false,&quot;dropping-particle&quot;:&quot;&quot;,&quot;non-dropping-particle&quot;:&quot;&quot;},{&quot;family&quot;:&quot;Claassen&quot;,&quot;given&quot;:&quot;D O&quot;,&quot;parse-names&quot;:false,&quot;dropping-particle&quot;:&quot;&quot;,&quot;non-dropping-particle&quot;:&quot;&quot;}],&quot;container-title&quot;:&quot;Frontiers in Psychiatry&quot;,&quot;DOI&quot;:&quot;https://dx.doi.org/10.3389/fpsyt.2021.619854&quot;,&quot;URL&quot;:&quot;http://www.frontiersin.org/Psychiatryhttp://ovidsp.ovid.com/ovidweb.cgi?T=JS&amp;PAGE=reference&amp;D=emed22&amp;NEWS=N&amp;AN=634567136&quot;,&quot;issued&quot;:{&quot;date-parts&quot;:[[2021]]},&quot;page&quot;:&quot;619854&quot;,&quot;abstract&quot;:&quot;Tics are the hallmark feature of Tourette syndrome (TS), but psychiatric and sensory symptoms are widely prevalent and increasingly recognized as core manifestations of the disorder. Accumulating evidence suggests that these psychiatric and sensory symptoms exert greater influence on quality of life (QOL) than tics themselves. However, much remains uncertain about determinants of QOL in TS due to the complexity of the clinical presentation. Here, we sought to clarify the association between health-related QOL (HRQOL) and common psychiatric and sensory symptoms in adults with TS and other chronic tic disorders. To do so, we prospectively recruited 52 patients from a tertiary care clinic to complete self-report measures assessing HRQOL (Gilles de la Tourette-Quality of Life Scale, GTS-QOL), depression (Patient Health Questionnaire-9, PHQ-9), anxiety (Generalized Anxiety Disorder Scale-7, GAD-7), obsessive-compulsive symptoms (Dimensional Obsessive-Compulsive Scale, DOCS), attention deficit hyperactivity disorder symptoms (Adult ADHD Self-Report Screening Scale for DSM-5, ASRS-V), and premonitory urge (Premonitory Urge to Tic Scale, PUTS). All participants were also administered the Yale Global Tic Severity Scale (YGTSS) to quantify tic severity. Using correlational analysis and multivariable linear regression modeling, we found that GTS-QOL score was significantly associated with scores from all other rating scales, with the exception of the PUTS. GTS-QOL was most strongly associated with PHQ-9, followed by ASRS-V, GAD-7, DOCS, and YGTSS total tic score. The regression model including these five independent variables, as well as sex, explained 79% of GTS-QOL score variance [F(6,40) = 29.6, p &lt; 0.001]. Specific psychiatric symptoms differentially impacted physical, psychological, and cognitive HRQOL. Systematic assessment of psychiatric comorbidities is imperative for clinical care and clinical research efforts directed at improving QOL in adults with chronic tic disorders.© Copyright © 2021 Isaacs, Riordan and Claassen.&quot;,&quot;volume&quot;:&quot;12&quot;,&quot;container-title-short&quot;:&quot;Front Psychiatry&quot;},&quot;isTemporary&quot;:false}]},{&quot;citationID&quot;:&quot;MENDELEY_CITATION_0e9fcb8b-4e08-4dde-9467-d21473dc84a0&quot;,&quot;properties&quot;:{&quot;noteIndex&quot;:0},&quot;isEdited&quot;:false,&quot;manualOverride&quot;:{&quot;isManuallyOverridden&quot;:false,&quot;citeprocText&quot;:&quot;(3)&quot;,&quot;manualOverrideText&quot;:&quot;&quot;},&quot;citationTag&quot;:&quot;MENDELEY_CITATION_v3_eyJjaXRhdGlvbklEIjoiTUVOREVMRVlfQ0lUQVRJT05fMGU5ZmNiOGItNGUwOC00ZGRlLTk0NjctZDIxNDczZGM4NGEwIiwicHJvcGVydGllcyI6eyJub3RlSW5kZXgiOjB9LCJpc0VkaXRlZCI6ZmFsc2UsIm1hbnVhbE92ZXJyaWRlIjp7ImlzTWFudWFsbHlPdmVycmlkZGVuIjpmYWxzZSwiY2l0ZXByb2NUZXh0IjoiKDMpIiwibWFudWFsT3ZlcnJpZGVUZXh0IjoiIn0sImNpdGF0aW9uSXRlbXMiOlt7ImlkIjoiODE4ODlmYmUtY2I0Zi0zMTQ2LWJlNWMtY2ViYWRjZjFiZmFhIiwiaXRlbURhdGEiOnsidHlwZSI6ImFydGljbGUtam91cm5hbCIsImlkIjoiODE4ODlmYmUtY2I0Zi0zMTQ2LWJlNWMtY2ViYWRjZjFiZmFhIiwidGl0bGUiOiJUaWMgZGlzb3JkZXJzIGFuZCB0aGUgcHJlbW9uaXRvcnkgdXJnZSIsImdyb3VwSWQiOiIwN2Q2MmFjMS01YWE4LTM5YWYtYjQ5ZS01MmQyMDg4YWM1NzEiLCJhdXRob3IiOlt7ImZhbWlseSI6IlN0ZWluYmVyZyIsImdpdmVuIjoiVCIsInBhcnNlLW5hbWVzIjpmYWxzZSwiZHJvcHBpbmctcGFydGljbGUiOiIiLCJub24tZHJvcHBpbmctcGFydGljbGUiOiIifSx7ImZhbWlseSI6IlNobXVlbCBCYXJ1Y2giLCJnaXZlbiI6IlMiLCJwYXJzZS1uYW1lcyI6ZmFsc2UsImRyb3BwaW5nLXBhcnRpY2xlIjoiIiwibm9uLWRyb3BwaW5nLXBhcnRpY2xlIjoiIn0seyJmYW1pbHkiOiJIYXJ1c2giLCJnaXZlbiI6IkEiLCJwYXJzZS1uYW1lcyI6ZmFsc2UsImRyb3BwaW5nLXBhcnRpY2xlIjoiIiwibm9uLWRyb3BwaW5nLXBhcnRpY2xlIjoiIn0seyJmYW1pbHkiOiJEYXIiLCJnaXZlbiI6IlIiLCJwYXJzZS1uYW1lcyI6ZmFsc2UsImRyb3BwaW5nLXBhcnRpY2xlIjoiIiwibm9uLWRyb3BwaW5nLXBhcnRpY2xlIjoiIn0seyJmYW1pbHkiOiJXb29kcyIsImdpdmVuIjoiRCIsInBhcnNlLW5hbWVzIjpmYWxzZSwiZHJvcHBpbmctcGFydGljbGUiOiIiLCJub24tZHJvcHBpbmctcGFydGljbGUiOiIifSx7ImZhbWlseSI6IlBpYWNlbnRpbmkiLCJnaXZlbiI6IkoiLCJwYXJzZS1uYW1lcyI6ZmFsc2UsImRyb3BwaW5nLXBhcnRpY2xlIjoiIiwibm9uLWRyb3BwaW5nLXBhcnRpY2xlIjoiIn0seyJmYW1pbHkiOiJBcHRlciIsImdpdmVuIjoiQSIsInBhcnNlLW5hbWVzIjpmYWxzZSwiZHJvcHBpbmctcGFydGljbGUiOiIiLCJub24tZHJvcHBpbmctcGFydGljbGUiOiIifV0sImNvbnRhaW5lci10aXRsZSI6IkogTmV1cmFsIFRyYW5zbSAoVmllbm5hKSIsIkRPSSI6IjEwLjEwMDcvczAwNzAyLTAwOS0wMzUzLTMiLCJQTUlEIjoiMjAwMzMyMzYiLCJVUkwiOiJodHRwczovL2xpbmsuc3ByaW5nZXIuY29tL2NvbnRlbnQvcGRmLzEwLjEwMDcvczAwNzAyLTAwOS0wMzUzLTMucGRmIiwiaXNzdWVkIjp7ImRhdGUtcGFydHMiOltbMjAxMF1dfSwicGFnZSI6IjI3Ny0yODQiLCJhYnN0cmFjdCI6IlRoZSBhaW1zIG9mIHRoaXMgc3R1ZHkgd2VyZSB0byBleGFtaW5lIGEgbm9uLUVuZ2xpc2ggKEhlYnJldykgdmVyc2lvbiBvZiBhIHNjYWxlIHRoYXQgbWVhc3VyZXMgdGhlIHByZW1vbml0b3J5IHVyZ2UgaW4gY2hpbGRyZW4gc3VmZmVyaW5nIGZyb20gdGljIGRpc29yZGVyLCBhcyB3ZWxsIGFzIGV4YW1pbmUgdGhlIGNvcnJlbGF0aW9ucyBvZiB0aGUgdXJnZSB3aXRoIGRlbW9ncmFwaGljIGFuZCBjbGluaWNhbCBhc3BlY3RzIG9mIFRvdXJldHRlIFN5bmRyb21lLiBGb3J0eSBjaGlsZHJlbiBhbmQgYWRvbGVzY2VudHMsIHN1ZmZlcmluZyBmcm9tIHRpY3MgcGFydGljaXBhdGVkIGluIHRoaXMgc3R1ZHkuIFRoZXkgd2VyZSBhc3Nlc3NlZCB3aXRoIHRoZSBQcmVtb25pdG9yeSBVcmdlIGZvciBUaWNzIFNjYWxlIChQVVRTKTsgdGhlIFlhbGUgR2xvYmFsIFRpYyBTZXZlcml0eSBTY2FsZSAoWUdUU1MpOyB0aGUgQ2hpbGRob29kIFZlcnNpb24gb2YgdGhlIFlhbGUgQnJvd24gT2JzZXNzaXZlIENvbXB1bHNpdmUgU2NhbGUgKENZQk9DUyk7IHRoZSBBREhEIFJhdGluZyBTY2FsZSBJViAoQ29ubmVycykgU2NhbGU7IHRoZSBTY3JlZW4gZm9yIENoaWxkIEFueGlldHkgUmVsYXRlZCBFbW90aW9uYWwgRGlzb3JkZXJzIChTQ0FSRUQpOyBhbmQgdGhlIENoaWxkIERlcHJlc3Npb24gSW52ZW50b3J5IChDREkpLiBUaGUgbWVhbiBQVVRTIHNjb3JlIHdhcyAyMC4xNSAoU0QgPSA1Ljg5KS4gRm9yIHRoZSBlbnRpcmUgc2FtcGxlIHRoZSBQVVRTIHdhcyBmb3VuZCB0byBiZSBpbnRlcm5hbGx5IGNvbnNpc3RlbnQgYXQgYSA9IDAuNzkuIFlvdXRocyBvbGRlciB0aGFuIDEwIHllYXJzIGhhZCBoaWdoZXIgY29uc2lzdGVuY3kgKGEgPSAwLjgzKSB0aGFuIHlvdXRocyB5b3VuZ2VyIHRoYW4gMTAgKGEgPSAwLjY5KS4gUHJlbW9uaXRvcnkgdXJnZSB3YXMgbm90IGNvcnJlbGF0ZWQgd2l0aCB0aWMgc2V2ZXJpdHkgaW4gdGhlIGVudGlyZSBzYW1wbGUuIEluIHlvdXRocyBvbGRlciB0aGFuIDEwLCBhcyBvcHBvc2VkIHRvIHlvdXRocyB5b3VuZ2VyIHRoYW4gMTAsIHByZW1vbml0b3J5IHVyZ2UgZGlkIGNvcnJlbGF0ZSB3aXRoIG9ic2Vzc2lvbnMsIGNvbXB1bHNpb25zIGFuZCBkZXByZXNzaW9uLCBidXQgbm90IHdpdGggYW54aWV0eSBvciB3aXRoIEFESEQuIFRoZSBwcmVtb25pdG9yeSB1cmdlIGNhbiBiZSBtZWFzdXJlZCByZWxpYWJseSBhbmQgdGhlIFBVVFMgaXMgYSB1c2VmdWwgaW5zdHJ1bWVudCBmb3IgbWVhc3VyaW5nIHRoaXMgaW1wb3J0YW50IHBoZW5vbWVuYS4gUHJlbW9uaXRvcnkgdXJnZXMgc2VlbXMgdG8gYmUgcmVsYXRlZCB0byBvYnNlc3Npb25zLCBjb21wdWxzaW9ucywgYW5kIGRlcHJlc3Npb24gaW4gb2xkZXIgY2hpbGRyZW4gYW5kIHRoaXMgbWF5IGhhdmUgaW1wbGljYXRpb25zIGZvciB0aGUgZGV2ZWxvcG1lbnRhbCBwc3ljaG9wYXRob2xneSBvZiB0aGVzZSBzeW1wdG9tcy4iLCJpc3N1ZSI6IjIiLCJ2b2x1bWUiOiIxMTciLCJjb250YWluZXItdGl0bGUtc2hvcnQiOiIifSwiaXNUZW1wb3JhcnkiOmZhbHNlfV19&quot;,&quot;citationItems&quot;:[{&quot;id&quot;:&quot;81889fbe-cb4f-3146-be5c-cebadcf1bfaa&quot;,&quot;itemData&quot;:{&quot;type&quot;:&quot;article-journal&quot;,&quot;id&quot;:&quot;81889fbe-cb4f-3146-be5c-cebadcf1bfaa&quot;,&quot;title&quot;:&quot;Tic disorders and the premonitory urge&quot;,&quot;groupId&quot;:&quot;07d62ac1-5aa8-39af-b49e-52d2088ac571&quot;,&quot;author&quot;:[{&quot;family&quot;:&quot;Steinberg&quot;,&quot;given&quot;:&quot;T&quot;,&quot;parse-names&quot;:false,&quot;dropping-particle&quot;:&quot;&quot;,&quot;non-dropping-particle&quot;:&quot;&quot;},{&quot;family&quot;:&quot;Shmuel Baruch&quot;,&quot;given&quot;:&quot;S&quot;,&quot;parse-names&quot;:false,&quot;dropping-particle&quot;:&quot;&quot;,&quot;non-dropping-particle&quot;:&quot;&quot;},{&quot;family&quot;:&quot;Harush&quot;,&quot;given&quot;:&quot;A&quot;,&quot;parse-names&quot;:false,&quot;dropping-particle&quot;:&quot;&quot;,&quot;non-dropping-particle&quot;:&quot;&quot;},{&quot;family&quot;:&quot;Dar&quot;,&quot;given&quot;:&quot;R&quot;,&quot;parse-names&quot;:false,&quot;dropping-particle&quot;:&quot;&quot;,&quot;non-dropping-particle&quot;:&quot;&quot;},{&quot;family&quot;:&quot;Woods&quot;,&quot;given&quot;:&quot;D&quot;,&quot;parse-names&quot;:false,&quot;dropping-particle&quot;:&quot;&quot;,&quot;non-dropping-particle&quot;:&quot;&quot;},{&quot;family&quot;:&quot;Piacentini&quot;,&quot;given&quot;:&quot;J&quot;,&quot;parse-names&quot;:false,&quot;dropping-particle&quot;:&quot;&quot;,&quot;non-dropping-particle&quot;:&quot;&quot;},{&quot;family&quot;:&quot;Apter&quot;,&quot;given&quot;:&quot;A&quot;,&quot;parse-names&quot;:false,&quot;dropping-particle&quot;:&quot;&quot;,&quot;non-dropping-particle&quot;:&quot;&quot;}],&quot;container-title&quot;:&quot;J Neural Transm (Vienna)&quot;,&quot;DOI&quot;:&quot;10.1007/s00702-009-0353-3&quot;,&quot;PMID&quot;:&quot;20033236&quot;,&quot;URL&quot;:&quot;https://link.springer.com/content/pdf/10.1007/s00702-009-0353-3.pdf&quot;,&quot;issued&quot;:{&quot;date-parts&quot;:[[2010]]},&quot;page&quot;:&quot;277-284&quot;,&quot;abstract&quot;:&quot;The aims of this study were to examine a non-English (Hebrew) version of a scale that measures the premonitory urge in children suffering from tic disorder, as well as examine the correlations of the urge with demographic and clinical aspects of Tourette Syndrome. Forty children and adolescents, suffering from tics participated in this study. They were assessed with the Premonitory Urge for Tics Scale (PUTS); the Yale Global Tic Severity Scale (YGTSS); the Childhood Version of the Yale Brown Obsessive Compulsive Scale (CYBOCS); the ADHD Rating Scale IV (Conners) Scale; the Screen for Child Anxiety Related Emotional Disorders (SCARED); and the Child Depression Inventory (CDI). The mean PUTS score was 20.15 (SD = 5.89). For the entire sample the PUTS was found to be internally consistent at a = 0.79. Youths older than 10 years had higher consistency (a = 0.83) than youths younger than 10 (a = 0.69). Premonitory urge was not correlated with tic severity in the entire sample. In youths older than 10, as opposed to youths younger than 10, premonitory urge did correlate with obsessions, compulsions and depression, but not with anxiety or with ADHD. The premonitory urge can be measured reliably and the PUTS is a useful instrument for measuring this important phenomena. Premonitory urges seems to be related to obsessions, compulsions, and depression in older children and this may have implications for the developmental psychopatholgy of these symptoms.&quot;,&quot;issue&quot;:&quot;2&quot;,&quot;volume&quot;:&quot;117&quot;,&quot;container-title-short&quot;:&quot;&quot;},&quot;isTemporary&quot;:false}]},{&quot;citationID&quot;:&quot;MENDELEY_CITATION_b33a3bb1-5261-4026-84f4-92c09c250841&quot;,&quot;properties&quot;:{&quot;noteIndex&quot;:0},&quot;isEdited&quot;:false,&quot;manualOverride&quot;:{&quot;isManuallyOverridden&quot;:false,&quot;citeprocText&quot;:&quot;(2)&quot;,&quot;manualOverrideText&quot;:&quot;&quot;},&quot;citationTag&quot;:&quot;MENDELEY_CITATION_v3_eyJjaXRhdGlvbklEIjoiTUVOREVMRVlfQ0lUQVRJT05fYjMzYTNiYjEtNTI2MS00MDI2LTg0ZjQtOTJjMDljMjUwODQxIiwicHJvcGVydGllcyI6eyJub3RlSW5kZXgiOjB9LCJpc0VkaXRlZCI6ZmFsc2UsIm1hbnVhbE92ZXJyaWRlIjp7ImlzTWFudWFsbHlPdmVycmlkZGVuIjpmYWxzZSwiY2l0ZXByb2NUZXh0IjoiKDIpIiwibWFudWFsT3ZlcnJpZGVUZXh0IjoiIn0sImNpdGF0aW9uSXRlbXMiOlt7ImlkIjoiNjcyM2VkNzQtMGQ1Ny0zYTZhLWIwMzEtODVkN2Y4N2Q5NTVmIiwiaXRlbURhdGEiOnsidHlwZSI6ImFydGljbGUtam91cm5hbCIsImlkIjoiNjcyM2VkNzQtMGQ1Ny0zYTZhLWIwMzEtODVkN2Y4N2Q5NTVmIiwidGl0bGUiOiJQcmVtb25pdG9yeSBVcmdlIGZvciBUaWNzIFNjYWxlIChQVVRTKTogaW5pdGlhbCBwc3ljaG9tZXRyaWMgcmVzdWx0cyBhbmQgZXhhbWluYXRpb24gb2YgdGhlIHByZW1vbml0b3J5IHVyZ2UgcGhlbm9tZW5vbiBpbiB5b3V0aHMgd2l0aCBUaWMgZGlzb3JkZXJzIiwiZ3JvdXBJZCI6IjA3ZDYyYWMxLTVhYTgtMzlhZi1iNDllLTUyZDIwODhhYzU3MSIsImF1dGhvciI6W3siZmFtaWx5IjoiV29vZHMiLCJnaXZlbiI6IkQgVyIsInBhcnNlLW5hbWVzIjpmYWxzZSwiZHJvcHBpbmctcGFydGljbGUiOiIiLCJub24tZHJvcHBpbmctcGFydGljbGUiOiIifSx7ImZhbWlseSI6IlBpYWNlbnRpbmkiLCJnaXZlbiI6IkoiLCJwYXJzZS1uYW1lcyI6ZmFsc2UsImRyb3BwaW5nLXBhcnRpY2xlIjoiIiwibm9uLWRyb3BwaW5nLXBhcnRpY2xlIjoiIn0seyJmYW1pbHkiOiJIaW1sZSIsImdpdmVuIjoiTSBCIiwicGFyc2UtbmFtZXMiOmZhbHNlLCJkcm9wcGluZy1wYXJ0aWNsZSI6IiIsIm5vbi1kcm9wcGluZy1wYXJ0aWNsZSI6IiJ9LHsiZmFtaWx5IjoiQ2hhbmciLCJnaXZlbiI6IlMiLCJwYXJzZS1uYW1lcyI6ZmFsc2UsImRyb3BwaW5nLXBhcnRpY2xlIjoiIiwibm9uLWRyb3BwaW5nLXBhcnRpY2xlIjoiIn1dLCJjb250YWluZXItdGl0bGUiOiJKIERldiBCZWhhdiBQZWRpYXRyIiwiRE9JIjoiMTAuMTA5Ny8wMDAwNDcwMy0yMDA1MTIwMDAtMDAwMDEiLCJQTUlEIjoiMTYzNDQ2NTQiLCJpc3N1ZWQiOnsiZGF0ZS1wYXJ0cyI6W1syMDA1XV19LCJwYWdlIjoiMzk3LTQwMyIsImFic3RyYWN0IjoiQWx0aG91Z2ggbW90b3IgdGljcyBhbmQvb3Igdm9jYWwgdGljcyBhcmUgdGhlIGRlZmluaW5nIGZlYXR1cmVzIG9mIGNocm9uaWMgdGljIGRpc29yZGVyIChDVEQpIGFuZCBUb3VyZXR0ZSBzeW5kcm9tZSAoVFMpLCBvbGRlciB5b3V0aHMgYW5kIGFkdWx0cyBvZnRlbiByZXBvcnQgdGhlaXIgdGljcyB0byBiZSBwcmVjZWRlZCBieSBhbiB1bnBsZWFzYW50IHNlbnNhdGlvbiBvciBcInByZW1vbml0b3J5IHVyZ2UuXCIgV2hpbGUgcHJlbW9uaXRvcnkgdXJnZSBwaGVub21lbmEgbWF5IHBsYXkgYW4gaW1wb3J0YW50IHJvbGUgaW4gYmVoYXZpb3JhbCBpbnRlcnZlbnRpb25zIGZvciBDVEQvVFMsIHN0YW5kYXJkaXplZCBhc3Nlc3NtZW50cyBmb3IgcHJlbW9uaXRvcnkgdXJnZXMgZG8gbm90IGV4aXN0LiBUaGUgY3VycmVudCBzdHVkeSBvZiA0MiB5b3V0aHMgd2l0aCBUUyBvciBDVEQgcHJlc2VudHMgaW5pdGlhbCBwc3ljaG9tZXRyaWMgZGF0YSBmb3IgYSBuZXcsIGJyaWVmIHNlbGYtcmVwb3J0IHNjYWxlIGRlc2lnbmVkIHRvIG1lYXN1cmUgdGljLXJlbGF0ZWQgcHJlbW9uaXRvcnkgdXJnZXMuIFJlc3VsdHMgc2hvd2VkIHRoYXQgdGhlIFByZW1vbml0b3J5IFVyZ2UgZm9yIFRpY3MgU2NhbGUgKFBVVFMpIHdhcyBpbnRlcm5hbGx5IGNvbnNpc3RlbnQgKGFscGhhID0gLjgxKSBhbmQgdGVtcG9yYWxseSBzdGFibGUgYXQgMSAociA9IDAuNzksIHAgPCAuMDEpIGFuZCAyIChyID0gMC44NiwgcCA8IC4wMSkgd2Vla3MuIFBVVFMgc2NvcmVzIHdlcmUgYWxzbyBjb3JyZWxhdGVkIHdpdGggb3ZlcmFsbCB0aWMgc2V2ZXJpdHkgYXMgbWVhc3VyZWQgYnkgdGhlIFlhbGUgR2xvYmFsIFRpYyBTZXZlcml0eSBTY2FsZSAoWUdUU1M7IHIgPSAwLjMxLCBwIDwgLjA1KSBhbmQgdGhlIFlHVFNTIG51bWJlciAociA9IDAuMzUsIHAgPCAuMDUpLCBjb21wbGV4aXR5IChyID0gMC40OSwgcCA8IC4wMSksIGFuZCBpbnRlcmZlcmVuY2UgKHIgPSAwLjM2LCBwIDwgLjA1KSBzdWJzY2FsZXMuIEZpbmFsbHksIGFuIGV4YW1pbmF0aW9uIG9mIHRoZSBwc3ljaGlhdHJpYyBjb3JyZWxhdGVzIG9mIHRoZSBwcmVtb25pdG9yeSB1cmdlIHBoZW5vbWVub24geWllbGRlZCBzaWduaWZpY2FudCBjb3JyZWxhdGlvbnMgYmV0d2VlbiB0aGUgUFVUUyBhbmQgdGhlIENoaWxkIEJlaGF2aW9yIENoZWNrbGlzdCAoQ0JDTCkgYW54aWV0eS9kZXByZXNzaW9uIChyID0gMC4zMywgcCA8IC4wNSksIGFuZCB3aXRoZHJhd2FsIChyID0gMC4zOCwgcCA8IC4wNSkgc3Vic2NhbGVzIGFzIHdlbGwgYXMgdGhlIENoaWxkcmVuJ3MgWWFsZS1Ccm93biBPYnNlc3NpdmUgQ29tcHVsc2l2ZSBTY2FsZSAoQ1lCT0NTOyByID0gMC4zMSwgcCA8IC4wNSkuIEhvd2V2ZXIsIGEgY3Jvc3Mtc2VjdGlvbmFsIGV4YW1pbmF0aW9uIG9mIHRoZSBkYXRhIHNob3dlZCB0aGF0IHRoZSBwc3ljaG9tZXRyaWMgcHJvcGVydGllcyBvZiB0aGUgUFVUUyB3ZXJlIG5vdCBhY2NlcHRhYmxlIGZvciB5b3V0aHMgMTAgeWVhcnMgb2YgYWdlIGFuZCB5b3VuZ2VyLiBMaWtld2lzZSwgc2lnbmlmaWNhbnQgY29ycmVsYXRpb25zIGZvdW5kIGJldHdlZW4gdGhlIFlHVFNTIHN1YnNjYWxlcywgQ0JDTCBzdWJzY2FsZXMsIENZQk9DUywgYW5kIHRoZSBQVVRTIGRpZCBub3QgZW1lcmdlIGluIHRoaXMgeW91bmdlciBhZ2UgZ3JvdXAuIFRoZSBjbGluaWNhbCBhbmQgdGhlb3JldGljYWwgaW1wbGljYXRpb25zIG9mIHRoZXNlIGZpbmRpbmdzIGFyZSBkaXNjdXNzZWQuIiwiaXNzdWUiOiI2Iiwidm9sdW1lIjoiMjYiLCJjb250YWluZXItdGl0bGUtc2hvcnQiOiIifSwiaXNUZW1wb3JhcnkiOmZhbHNlfV19&quot;,&quot;citationItems&quot;:[{&quot;id&quot;:&quot;6723ed74-0d57-3a6a-b031-85d7f87d955f&quot;,&quot;itemData&quot;:{&quot;type&quot;:&quot;article-journal&quot;,&quot;id&quot;:&quot;6723ed74-0d57-3a6a-b031-85d7f87d955f&quot;,&quot;title&quot;:&quot;Premonitory Urge for Tics Scale (PUTS): initial psychometric results and examination of the premonitory urge phenomenon in youths with Tic disorders&quot;,&quot;groupId&quot;:&quot;07d62ac1-5aa8-39af-b49e-52d2088ac571&quot;,&quot;author&quot;:[{&quot;family&quot;:&quot;Woods&quot;,&quot;given&quot;:&quot;D W&quot;,&quot;parse-names&quot;:false,&quot;dropping-particle&quot;:&quot;&quot;,&quot;non-dropping-particle&quot;:&quot;&quot;},{&quot;family&quot;:&quot;Piacentini&quot;,&quot;given&quot;:&quot;J&quot;,&quot;parse-names&quot;:false,&quot;dropping-particle&quot;:&quot;&quot;,&quot;non-dropping-particle&quot;:&quot;&quot;},{&quot;family&quot;:&quot;Himle&quot;,&quot;given&quot;:&quot;M B&quot;,&quot;parse-names&quot;:false,&quot;dropping-particle&quot;:&quot;&quot;,&quot;non-dropping-particle&quot;:&quot;&quot;},{&quot;family&quot;:&quot;Chang&quot;,&quot;given&quot;:&quot;S&quot;,&quot;parse-names&quot;:false,&quot;dropping-particle&quot;:&quot;&quot;,&quot;non-dropping-particle&quot;:&quot;&quot;}],&quot;container-title&quot;:&quot;J Dev Behav Pediatr&quot;,&quot;DOI&quot;:&quot;10.1097/00004703-200512000-00001&quot;,&quot;PMID&quot;:&quot;16344654&quot;,&quot;issued&quot;:{&quot;date-parts&quot;:[[2005]]},&quot;page&quot;:&quot;397-403&quot;,&quot;abstract&quot;:&quot;Although motor tics and/or vocal tics are the defining features of chronic tic disorder (CTD) and Tourette syndrome (TS), older youths and adults often report their tics to be preceded by an unpleasant sensation or \&quot;premonitory urge.\&quot; While premonitory urge phenomena may play an important role in behavioral interventions for CTD/TS, standardized assessments for premonitory urges do not exist. The current study of 42 youths with TS or CTD presents initial psychometric data for a new, brief self-report scale designed to measure tic-related premonitory urges. Results showed that the Premonitory Urge for Tics Scale (PUTS) was internally consistent (alpha = .81) and temporally stable at 1 (r = 0.79, p &lt; .01) and 2 (r = 0.86, p &lt; .01) weeks. PUTS scores were also correlated with overall tic severity as measured by the Yale Global Tic Severity Scale (YGTSS; r = 0.31, p &lt; .05) and the YGTSS number (r = 0.35, p &lt; .05), complexity (r = 0.49, p &lt; .01), and interference (r = 0.36, p &lt; .05) subscales. Finally, an examination of the psychiatric correlates of the premonitory urge phenomenon yielded significant correlations between the PUTS and the Child Behavior Checklist (CBCL) anxiety/depression (r = 0.33, p &lt; .05), and withdrawal (r = 0.38, p &lt; .05) subscales as well as the Children's Yale-Brown Obsessive Compulsive Scale (CYBOCS; r = 0.31, p &lt; .05). However, a cross-sectional examination of the data showed that the psychometric properties of the PUTS were not acceptable for youths 10 years of age and younger. Likewise, significant correlations found between the YGTSS subscales, CBCL subscales, CYBOCS, and the PUTS did not emerge in this younger age group. The clinical and theoretical implications of these findings are discussed.&quot;,&quot;issue&quot;:&quot;6&quot;,&quot;volume&quot;:&quot;26&quot;,&quot;container-title-short&quot;:&quot;&quot;},&quot;isTemporary&quot;:false}]},{&quot;citationID&quot;:&quot;MENDELEY_CITATION_770831ff-163f-4f24-acd7-e7718fe69167&quot;,&quot;properties&quot;:{&quot;noteIndex&quot;:0},&quot;isEdited&quot;:false,&quot;manualOverride&quot;:{&quot;isManuallyOverridden&quot;:false,&quot;citeprocText&quot;:&quot;(2)&quot;,&quot;manualOverrideText&quot;:&quot;&quot;},&quot;citationTag&quot;:&quot;MENDELEY_CITATION_v3_eyJjaXRhdGlvbklEIjoiTUVOREVMRVlfQ0lUQVRJT05fNzcwODMxZmYtMTYzZi00ZjI0LWFjZDctZTc3MThmZTY5MTY3IiwicHJvcGVydGllcyI6eyJub3RlSW5kZXgiOjB9LCJpc0VkaXRlZCI6ZmFsc2UsIm1hbnVhbE92ZXJyaWRlIjp7ImlzTWFudWFsbHlPdmVycmlkZGVuIjpmYWxzZSwiY2l0ZXByb2NUZXh0IjoiKDIpIiwibWFudWFsT3ZlcnJpZGVUZXh0IjoiIn0sImNpdGF0aW9uSXRlbXMiOlt7ImlkIjoiNjcyM2VkNzQtMGQ1Ny0zYTZhLWIwMzEtODVkN2Y4N2Q5NTVmIiwiaXRlbURhdGEiOnsidHlwZSI6ImFydGljbGUtam91cm5hbCIsImlkIjoiNjcyM2VkNzQtMGQ1Ny0zYTZhLWIwMzEtODVkN2Y4N2Q5NTVmIiwidGl0bGUiOiJQcmVtb25pdG9yeSBVcmdlIGZvciBUaWNzIFNjYWxlIChQVVRTKTogaW5pdGlhbCBwc3ljaG9tZXRyaWMgcmVzdWx0cyBhbmQgZXhhbWluYXRpb24gb2YgdGhlIHByZW1vbml0b3J5IHVyZ2UgcGhlbm9tZW5vbiBpbiB5b3V0aHMgd2l0aCBUaWMgZGlzb3JkZXJzIiwiZ3JvdXBJZCI6IjA3ZDYyYWMxLTVhYTgtMzlhZi1iNDllLTUyZDIwODhhYzU3MSIsImF1dGhvciI6W3siZmFtaWx5IjoiV29vZHMiLCJnaXZlbiI6IkQgVyIsInBhcnNlLW5hbWVzIjpmYWxzZSwiZHJvcHBpbmctcGFydGljbGUiOiIiLCJub24tZHJvcHBpbmctcGFydGljbGUiOiIifSx7ImZhbWlseSI6IlBpYWNlbnRpbmkiLCJnaXZlbiI6IkoiLCJwYXJzZS1uYW1lcyI6ZmFsc2UsImRyb3BwaW5nLXBhcnRpY2xlIjoiIiwibm9uLWRyb3BwaW5nLXBhcnRpY2xlIjoiIn0seyJmYW1pbHkiOiJIaW1sZSIsImdpdmVuIjoiTSBCIiwicGFyc2UtbmFtZXMiOmZhbHNlLCJkcm9wcGluZy1wYXJ0aWNsZSI6IiIsIm5vbi1kcm9wcGluZy1wYXJ0aWNsZSI6IiJ9LHsiZmFtaWx5IjoiQ2hhbmciLCJnaXZlbiI6IlMiLCJwYXJzZS1uYW1lcyI6ZmFsc2UsImRyb3BwaW5nLXBhcnRpY2xlIjoiIiwibm9uLWRyb3BwaW5nLXBhcnRpY2xlIjoiIn1dLCJjb250YWluZXItdGl0bGUiOiJKIERldiBCZWhhdiBQZWRpYXRyIiwiRE9JIjoiMTAuMTA5Ny8wMDAwNDcwMy0yMDA1MTIwMDAtMDAwMDEiLCJQTUlEIjoiMTYzNDQ2NTQiLCJpc3N1ZWQiOnsiZGF0ZS1wYXJ0cyI6W1syMDA1XV19LCJwYWdlIjoiMzk3LTQwMyIsImFic3RyYWN0IjoiQWx0aG91Z2ggbW90b3IgdGljcyBhbmQvb3Igdm9jYWwgdGljcyBhcmUgdGhlIGRlZmluaW5nIGZlYXR1cmVzIG9mIGNocm9uaWMgdGljIGRpc29yZGVyIChDVEQpIGFuZCBUb3VyZXR0ZSBzeW5kcm9tZSAoVFMpLCBvbGRlciB5b3V0aHMgYW5kIGFkdWx0cyBvZnRlbiByZXBvcnQgdGhlaXIgdGljcyB0byBiZSBwcmVjZWRlZCBieSBhbiB1bnBsZWFzYW50IHNlbnNhdGlvbiBvciBcInByZW1vbml0b3J5IHVyZ2UuXCIgV2hpbGUgcHJlbW9uaXRvcnkgdXJnZSBwaGVub21lbmEgbWF5IHBsYXkgYW4gaW1wb3J0YW50IHJvbGUgaW4gYmVoYXZpb3JhbCBpbnRlcnZlbnRpb25zIGZvciBDVEQvVFMsIHN0YW5kYXJkaXplZCBhc3Nlc3NtZW50cyBmb3IgcHJlbW9uaXRvcnkgdXJnZXMgZG8gbm90IGV4aXN0LiBUaGUgY3VycmVudCBzdHVkeSBvZiA0MiB5b3V0aHMgd2l0aCBUUyBvciBDVEQgcHJlc2VudHMgaW5pdGlhbCBwc3ljaG9tZXRyaWMgZGF0YSBmb3IgYSBuZXcsIGJyaWVmIHNlbGYtcmVwb3J0IHNjYWxlIGRlc2lnbmVkIHRvIG1lYXN1cmUgdGljLXJlbGF0ZWQgcHJlbW9uaXRvcnkgdXJnZXMuIFJlc3VsdHMgc2hvd2VkIHRoYXQgdGhlIFByZW1vbml0b3J5IFVyZ2UgZm9yIFRpY3MgU2NhbGUgKFBVVFMpIHdhcyBpbnRlcm5hbGx5IGNvbnNpc3RlbnQgKGFscGhhID0gLjgxKSBhbmQgdGVtcG9yYWxseSBzdGFibGUgYXQgMSAociA9IDAuNzksIHAgPCAuMDEpIGFuZCAyIChyID0gMC44NiwgcCA8IC4wMSkgd2Vla3MuIFBVVFMgc2NvcmVzIHdlcmUgYWxzbyBjb3JyZWxhdGVkIHdpdGggb3ZlcmFsbCB0aWMgc2V2ZXJpdHkgYXMgbWVhc3VyZWQgYnkgdGhlIFlhbGUgR2xvYmFsIFRpYyBTZXZlcml0eSBTY2FsZSAoWUdUU1M7IHIgPSAwLjMxLCBwIDwgLjA1KSBhbmQgdGhlIFlHVFNTIG51bWJlciAociA9IDAuMzUsIHAgPCAuMDUpLCBjb21wbGV4aXR5IChyID0gMC40OSwgcCA8IC4wMSksIGFuZCBpbnRlcmZlcmVuY2UgKHIgPSAwLjM2LCBwIDwgLjA1KSBzdWJzY2FsZXMuIEZpbmFsbHksIGFuIGV4YW1pbmF0aW9uIG9mIHRoZSBwc3ljaGlhdHJpYyBjb3JyZWxhdGVzIG9mIHRoZSBwcmVtb25pdG9yeSB1cmdlIHBoZW5vbWVub24geWllbGRlZCBzaWduaWZpY2FudCBjb3JyZWxhdGlvbnMgYmV0d2VlbiB0aGUgUFVUUyBhbmQgdGhlIENoaWxkIEJlaGF2aW9yIENoZWNrbGlzdCAoQ0JDTCkgYW54aWV0eS9kZXByZXNzaW9uIChyID0gMC4zMywgcCA8IC4wNSksIGFuZCB3aXRoZHJhd2FsIChyID0gMC4zOCwgcCA8IC4wNSkgc3Vic2NhbGVzIGFzIHdlbGwgYXMgdGhlIENoaWxkcmVuJ3MgWWFsZS1Ccm93biBPYnNlc3NpdmUgQ29tcHVsc2l2ZSBTY2FsZSAoQ1lCT0NTOyByID0gMC4zMSwgcCA8IC4wNSkuIEhvd2V2ZXIsIGEgY3Jvc3Mtc2VjdGlvbmFsIGV4YW1pbmF0aW9uIG9mIHRoZSBkYXRhIHNob3dlZCB0aGF0IHRoZSBwc3ljaG9tZXRyaWMgcHJvcGVydGllcyBvZiB0aGUgUFVUUyB3ZXJlIG5vdCBhY2NlcHRhYmxlIGZvciB5b3V0aHMgMTAgeWVhcnMgb2YgYWdlIGFuZCB5b3VuZ2VyLiBMaWtld2lzZSwgc2lnbmlmaWNhbnQgY29ycmVsYXRpb25zIGZvdW5kIGJldHdlZW4gdGhlIFlHVFNTIHN1YnNjYWxlcywgQ0JDTCBzdWJzY2FsZXMsIENZQk9DUywgYW5kIHRoZSBQVVRTIGRpZCBub3QgZW1lcmdlIGluIHRoaXMgeW91bmdlciBhZ2UgZ3JvdXAuIFRoZSBjbGluaWNhbCBhbmQgdGhlb3JldGljYWwgaW1wbGljYXRpb25zIG9mIHRoZXNlIGZpbmRpbmdzIGFyZSBkaXNjdXNzZWQuIiwiaXNzdWUiOiI2Iiwidm9sdW1lIjoiMjYiLCJjb250YWluZXItdGl0bGUtc2hvcnQiOiIifSwiaXNUZW1wb3JhcnkiOmZhbHNlfV19&quot;,&quot;citationItems&quot;:[{&quot;id&quot;:&quot;6723ed74-0d57-3a6a-b031-85d7f87d955f&quot;,&quot;itemData&quot;:{&quot;type&quot;:&quot;article-journal&quot;,&quot;id&quot;:&quot;6723ed74-0d57-3a6a-b031-85d7f87d955f&quot;,&quot;title&quot;:&quot;Premonitory Urge for Tics Scale (PUTS): initial psychometric results and examination of the premonitory urge phenomenon in youths with Tic disorders&quot;,&quot;groupId&quot;:&quot;07d62ac1-5aa8-39af-b49e-52d2088ac571&quot;,&quot;author&quot;:[{&quot;family&quot;:&quot;Woods&quot;,&quot;given&quot;:&quot;D W&quot;,&quot;parse-names&quot;:false,&quot;dropping-particle&quot;:&quot;&quot;,&quot;non-dropping-particle&quot;:&quot;&quot;},{&quot;family&quot;:&quot;Piacentini&quot;,&quot;given&quot;:&quot;J&quot;,&quot;parse-names&quot;:false,&quot;dropping-particle&quot;:&quot;&quot;,&quot;non-dropping-particle&quot;:&quot;&quot;},{&quot;family&quot;:&quot;Himle&quot;,&quot;given&quot;:&quot;M B&quot;,&quot;parse-names&quot;:false,&quot;dropping-particle&quot;:&quot;&quot;,&quot;non-dropping-particle&quot;:&quot;&quot;},{&quot;family&quot;:&quot;Chang&quot;,&quot;given&quot;:&quot;S&quot;,&quot;parse-names&quot;:false,&quot;dropping-particle&quot;:&quot;&quot;,&quot;non-dropping-particle&quot;:&quot;&quot;}],&quot;container-title&quot;:&quot;J Dev Behav Pediatr&quot;,&quot;DOI&quot;:&quot;10.1097/00004703-200512000-00001&quot;,&quot;PMID&quot;:&quot;16344654&quot;,&quot;issued&quot;:{&quot;date-parts&quot;:[[2005]]},&quot;page&quot;:&quot;397-403&quot;,&quot;abstract&quot;:&quot;Although motor tics and/or vocal tics are the defining features of chronic tic disorder (CTD) and Tourette syndrome (TS), older youths and adults often report their tics to be preceded by an unpleasant sensation or \&quot;premonitory urge.\&quot; While premonitory urge phenomena may play an important role in behavioral interventions for CTD/TS, standardized assessments for premonitory urges do not exist. The current study of 42 youths with TS or CTD presents initial psychometric data for a new, brief self-report scale designed to measure tic-related premonitory urges. Results showed that the Premonitory Urge for Tics Scale (PUTS) was internally consistent (alpha = .81) and temporally stable at 1 (r = 0.79, p &lt; .01) and 2 (r = 0.86, p &lt; .01) weeks. PUTS scores were also correlated with overall tic severity as measured by the Yale Global Tic Severity Scale (YGTSS; r = 0.31, p &lt; .05) and the YGTSS number (r = 0.35, p &lt; .05), complexity (r = 0.49, p &lt; .01), and interference (r = 0.36, p &lt; .05) subscales. Finally, an examination of the psychiatric correlates of the premonitory urge phenomenon yielded significant correlations between the PUTS and the Child Behavior Checklist (CBCL) anxiety/depression (r = 0.33, p &lt; .05), and withdrawal (r = 0.38, p &lt; .05) subscales as well as the Children's Yale-Brown Obsessive Compulsive Scale (CYBOCS; r = 0.31, p &lt; .05). However, a cross-sectional examination of the data showed that the psychometric properties of the PUTS were not acceptable for youths 10 years of age and younger. Likewise, significant correlations found between the YGTSS subscales, CBCL subscales, CYBOCS, and the PUTS did not emerge in this younger age group. The clinical and theoretical implications of these findings are discussed.&quot;,&quot;issue&quot;:&quot;6&quot;,&quot;volume&quot;:&quot;26&quot;,&quot;container-title-short&quot;:&quot;&quot;},&quot;isTemporary&quot;:false}]},{&quot;citationID&quot;:&quot;MENDELEY_CITATION_23958599-450b-469f-8f57-e521bb1b0bad&quot;,&quot;properties&quot;:{&quot;noteIndex&quot;:0},&quot;isEdited&quot;:false,&quot;manualOverride&quot;:{&quot;isManuallyOverridden&quot;:false,&quot;citeprocText&quot;:&quot;(4)&quot;,&quot;manualOverrideText&quot;:&quot;&quot;},&quot;citationTag&quot;:&quot;MENDELEY_CITATION_v3_eyJjaXRhdGlvbklEIjoiTUVOREVMRVlfQ0lUQVRJT05fMjM5NTg1OTktNDUwYi00NjlmLThmNTctZTUyMWJiMWIwYmFkIiwicHJvcGVydGllcyI6eyJub3RlSW5kZXgiOjB9LCJpc0VkaXRlZCI6ZmFsc2UsIm1hbnVhbE92ZXJyaWRlIjp7ImlzTWFudWFsbHlPdmVycmlkZGVuIjpmYWxzZSwiY2l0ZXByb2NUZXh0IjoiKDQpIiwibWFudWFsT3ZlcnJpZGVUZXh0IjoiIn0sImNpdGF0aW9uSXRlbXMiOlt7ImlkIjoiYjVhNWI5YWYtNTk2OC0zZmZkLTlmOTAtMzZhNTI0NGE1MDU4IiwiaXRlbURhdGEiOnsidHlwZSI6ImFydGljbGUtam91cm5hbCIsImlkIjoiYjVhNWI5YWYtNTk2OC0zZmZkLTlmOTAtMzZhNTI0NGE1MDU4IiwidGl0bGUiOiJQcmVtb25pdG9yeSBVcmdlcyBpbiBQYXRpZW50cyB3aXRoIEdpbGxlcyBkZSBsYSBUb3VyZXR0ZSBTeW5kcm9tZTogQW4gSXRhbGlhbiBUcmFuc2xhdGlvbiBhbmQgYSA3LVllYXIgRm9sbG93LXVwIiwiZ3JvdXBJZCI6IjA3ZDYyYWMxLTVhYTgtMzlhZi1iNDllLTUyZDIwODhhYzU3MSIsImF1dGhvciI6W3siZmFtaWx5IjoiR3VsaXNhbm8iLCJnaXZlbiI6Ik0iLCJwYXJzZS1uYW1lcyI6ZmFsc2UsImRyb3BwaW5nLXBhcnRpY2xlIjoiIiwibm9uLWRyb3BwaW5nLXBhcnRpY2xlIjoiIn0seyJmYW1pbHkiOiJDYWzDrCIsImdpdmVuIjoiUCIsInBhcnNlLW5hbWVzIjpmYWxzZSwiZHJvcHBpbmctcGFydGljbGUiOiIiLCJub24tZHJvcHBpbmctcGFydGljbGUiOiIifSx7ImZhbWlseSI6IlBhbGVybW8iLCJnaXZlbiI6IkYiLCJwYXJzZS1uYW1lcyI6ZmFsc2UsImRyb3BwaW5nLXBhcnRpY2xlIjoiIiwibm9uLWRyb3BwaW5nLXBhcnRpY2xlIjoiIn0seyJmYW1pbHkiOiJSb2JlcnRzb24iLCJnaXZlbiI6Ik0iLCJwYXJzZS1uYW1lcyI6ZmFsc2UsImRyb3BwaW5nLXBhcnRpY2xlIjoiIiwibm9uLWRyb3BwaW5nLXBhcnRpY2xlIjoiIn0seyJmYW1pbHkiOiJSaXp6byIsImdpdmVuIjoiUiIsInBhcnNlLW5hbWVzIjpmYWxzZSwiZHJvcHBpbmctcGFydGljbGUiOiIiLCJub24tZHJvcHBpbmctcGFydGljbGUiOiIifV0sImNvbnRhaW5lci10aXRsZSI6IkogQ2hpbGQgQWRvbGVzYyBQc3ljaG9waGFybWFjb2wiLCJET0kiOiIxMC4xMDg5L2NhcC4yMDE0LjAxNTQiLCJQTUlEIjoiMjYyODgzNDUiLCJVUkwiOiJodHRwczovL3d3dy5saWViZXJ0cHViLmNvbS9kb2kvMTAuMTA4OS9jYXAuMjAxNC4wMTU0IiwiaXNzdWVkIjp7ImRhdGUtcGFydHMiOltbMjAxNV1dfSwicGFnZSI6IjgxMC04MTYiLCJhYnN0cmFjdCI6Ik9CSkVDVElWRTogUHJlbW9uaXRvcnkgc2Vuc2F0aW9ucyBvciB1cmdlcyAoUFVzKSBhcmUgZGVzY3JpYmVkIGFzIGNoYXJhY3RlcmlzdGljIHNlbnNvcnkgcGhlbm9tZW5hIHByZWNlZGluZyB0aWNzLCB3aGljaCBhcmUgb2Z0ZW4gZGVzY3JpYmVkIGFzIHVucGxlYXNhbnQuIFRoZXkgb2NjdXIgaW4gOTAlIG9mIHBhdGllbnRzIGFmZmVjdGVkIGJ5IEdpbGxlcyBkZSBsYSBUb3VyZXR0ZSBTeW5kcm9tZSAoR1RTKS4gVGhleSBtYXkgYmUgbG9jYWxpemVkIChhcm91bmQgdGhlIGFyZWEgb2YgdGljKSBvciBnZW5lcmFsaXplZCAoY292ZXJpbmcgYSB3aWRlIGFyZWEgb2YgdGhlIGJvZHkpLiBUaGUgUFVzIGNhbiBiZSBtZWFzdXJlZCBieSB0aGUgUHJlbW9uaXRvcnkgVXJnZSBmb3IgVGljcyBTY2FsZSAoUFVUUykuIEluIHRoaXMgc3R1ZHkgd2UgdHJhbnNsYXRlZCB0aGUgUFVUUyBzY2FsZSBpbnRvIEl0YWxpYW4gYW5kIHRoZW4gYXNzZXNzZWQgY2hpbGRyZW4gYW5kIGFkb2xlc2NlbnRzL3lvdW5nIHBlb3BsZSAoQ1lQKSB3aXRoIEdUUyB1c2luZyB0aGUgc2NhbGUuIE1FVEhPRFM6IEdUUyBwYXRpZW50cyB3ZXJlIGFzc2Vzc2VkIGF0IHRoZSBpbml0aWFsIGludGVydmlldyBhbmQgYWZ0ZXIgNyB5ZWFycyB0byBldmFsdWF0ZSB0aGUgUFVzLCBhbmQgdGhlIGNvcnJlbGF0aW9ucyBvZiB0aGUgUFVUUyBzY29yZXMgd2l0aCB0aWMgc2V2ZXJpdHksIHNldmVyaXR5IG9mIGNvbW9yYmlkIGRpc29yZGVycyAob2JzZXNzaXZlLWNvbXB1bHNpdmUgZGlzb3JkZXIgW09DRF0sIGF0dGVudGlvbi1kZWZpY2l0L2h5cGVyYWN0aXZpdHkgZGlzb3JkZXIgW0FESERdKSwgYW5kIGEgdmFyaWV0eSBvZiBjb2V4aXN0aW5nIHBzeWNob3BhdGhvbG9naWVzLiBSRVNVTFRTOiBBIHRvdGFsIG9mIDk1IHBhdGllbnRzIHdlcmUgc3R1ZGllZC4gV2Ugc3VjY2Vzc2Z1bGx5IHRyYW5zbGF0ZWQgdGhlIFBVVFMgaW50byBJdGFsaWFuLCBhbmQgb3VyIHJlc3VsdHMgaW5kaWNhdGVkIHRoYXQgb3VyIHRyYW5zbGF0ZWQgdmVyc2lvbiBoYWQgZ29vZCBwc3ljaG9tZXRyaWMgcHJvcGVydGllcy4gUmVzdWx0cyBkZW1vbnN0cmF0ZWQgdGhhdCB0aGUgQ1lQIGhhZCBQVXMgYXQgYm90aCBpbnRlcnZpZXdzLCBidXQgdGhhdCBvbGRlciBDWVAgd2VyZSBtb3JlIGNvbnNpc3RlbnQgaW4gcmVwb3J0aW5nIFBVcyB0aGFuIHlvdW5nZXIgQ1lQIChpLmUuLCBQVVRTIHNjb3JlcyBpbmNyZWFzZWQgd2l0aCBhZ2UpLiBXZSBmb3VuZCBubyBjb3JyZWxhdGlvbnMgYmV0d2VlbiBQVVRTIHNjb3JlIGFuZCB0aWMgc2V2ZXJpdHkgYXQgZWl0aGVyIGludGVydmlldy4gV2UgZm91bmQgYSBzdGF0aXN0aWNhbCBzaWduaWZpY2FudCBjb3JyZWxhdGlvbiBiZXR3ZWVuIFBVVFMgc2NvcmUgYW5kIG9ic2Vzc2l2ZS1jb21wdWxzaXZlIHN5bXB0b21zIChPQ1MpIGF0IGJvdGggaW50ZXJ2aWV3czsgTW9yZW92ZXIgYm90aCB0aGUgUFVUUyBhbmQgQ2hpbGRyZW4ncyBZYWxlLUJyb3duIE9ic2Vzc2l2ZSBDb21wdWxzaXZlIFNjYWxlIChDWS1CT0NTKSBzY29yZXMgaW5jcmVhc2VkIHNpZ25pZmljYW50bHksIHdoZXJlYXMgdGhlIFlhbGUgR2xvYmFsIFRpYyBTZXZlcml0eSBSYXRpbmcgU2NhbGUgKFlHVFNTKSBzY29yZSBkZWNyZWFzZWQgc2lnbmlmaWNhbnRseS4gV2UgZm91bmQgbm8gcmVsYXRpb25zaGlwcyBiZXR3ZWVuIFBVVFMgc2NvcmVzIGFuZCBhbnhpZXR5LCBkZXByZXNzaW9uLCBBREhELCBhbmQgZXh0ZXJuYWxpemluZy9pbnRlcm5hbGl6aW5nIGJlaGF2aW9yYWwgc2NvcmVzLiBDT05DTFVTSU9OUzogT3VyIHJlc3VsdHMgc3VnZ2VzdCB0aGUgdGhlIEl0YWxpYW4gdHJhbnNsYXRpb24gb2YgdGhlIFBVVFMgaGFzIGdvb2QgcHN5Y2hvbWV0cmljIHByb3BlcnRpZXMuIEFsdGhvdWdoIGJvdGggeW91bmdlciAoPDEwIHllYXJzIG9mIGFnZSkgYW5kIG9sZGVyIENZUCAo4omkIDEwIHllYXJzIG9mIGFnZSkgcmVwb3J0ZWQgUFVzLCB0aGUgc2NvcmVzIGF0IHRoZSBpbml0aWFsIGludGVydmlldyB3ZXJlIHN0YXRpc3RpY2FsbHkgc2lnbmlmaWNhbnRseSBsb3dlciB0aGFuIGF0IGZvbGxvdy11cC4gTW9yZW92ZXIsIGluIENZUCA+MTAgeWVhcnMgb2YgYWdlLCB0aGUgUFVzIGNvcnJlbGF0ZWQgd2l0aCBvYnNlc3Npb25zIGFuZCBjb21wdWxzaW9ucyAoQ1ktQk9DUyBzY29yZXMpLiIsImlzc3VlIjoiMTAiLCJ2b2x1bWUiOiIyNSIsImNvbnRhaW5lci10aXRsZS1zaG9ydCI6IiJ9LCJpc1RlbXBvcmFyeSI6ZmFsc2V9XX0=&quot;,&quot;citationItems&quot;:[{&quot;id&quot;:&quot;b5a5b9af-5968-3ffd-9f90-36a5244a5058&quot;,&quot;itemData&quot;:{&quot;type&quot;:&quot;article-journal&quot;,&quot;id&quot;:&quot;b5a5b9af-5968-3ffd-9f90-36a5244a5058&quot;,&quot;title&quot;:&quot;Premonitory Urges in Patients with Gilles de la Tourette Syndrome: An Italian Translation and a 7-Year Follow-up&quot;,&quot;groupId&quot;:&quot;07d62ac1-5aa8-39af-b49e-52d2088ac571&quot;,&quot;author&quot;:[{&quot;family&quot;:&quot;Gulisano&quot;,&quot;given&quot;:&quot;M&quot;,&quot;parse-names&quot;:false,&quot;dropping-particle&quot;:&quot;&quot;,&quot;non-dropping-particle&quot;:&quot;&quot;},{&quot;family&quot;:&quot;Calì&quot;,&quot;given&quot;:&quot;P&quot;,&quot;parse-names&quot;:false,&quot;dropping-particle&quot;:&quot;&quot;,&quot;non-dropping-particle&quot;:&quot;&quot;},{&quot;family&quot;:&quot;Palermo&quot;,&quot;given&quot;:&quot;F&quot;,&quot;parse-names&quot;:false,&quot;dropping-particle&quot;:&quot;&quot;,&quot;non-dropping-particle&quot;:&quot;&quot;},{&quot;family&quot;:&quot;Robertson&quot;,&quot;given&quot;:&quot;M&quot;,&quot;parse-names&quot;:false,&quot;dropping-particle&quot;:&quot;&quot;,&quot;non-dropping-particle&quot;:&quot;&quot;},{&quot;family&quot;:&quot;Rizzo&quot;,&quot;given&quot;:&quot;R&quot;,&quot;parse-names&quot;:false,&quot;dropping-particle&quot;:&quot;&quot;,&quot;non-dropping-particle&quot;:&quot;&quot;}],&quot;container-title&quot;:&quot;J Child Adolesc Psychopharmacol&quot;,&quot;DOI&quot;:&quot;10.1089/cap.2014.0154&quot;,&quot;PMID&quot;:&quot;26288345&quot;,&quot;URL&quot;:&quot;https://www.liebertpub.com/doi/10.1089/cap.2014.0154&quot;,&quot;issued&quot;:{&quot;date-parts&quot;:[[2015]]},&quot;page&quot;:&quot;810-816&quot;,&quot;abstract&quot;:&quot;OBJECTIVE: Premonitory sensations or urges (PUs) are described as characteristic sensory phenomena preceding tics, which are often described as unpleasant. They occur in 90% of patients affected by Gilles de la Tourette Syndrome (GTS). They may be localized (around the area of tic) or generalized (covering a wide area of the body). The PUs can be measured by the Premonitory Urge for Tics Scale (PUTS). In this study we translated the PUTS scale into Italian and then assessed children and adolescents/young people (CYP) with GTS using the scale. METHODS: GTS patients were assessed at the initial interview and after 7 years to evaluate the PUs, and the correlations of the PUTS scores with tic severity, severity of comorbid disorders (obsessive-compulsive disorder [OCD], attention-deficit/hyperactivity disorder [ADHD]), and a variety of coexisting psychopathologies. RESULTS: A total of 95 patients were studied. We successfully translated the PUTS into Italian, and our results indicated that our translated version had good psychometric properties. Results demonstrated that the CYP had PUs at both interviews, but that older CYP were more consistent in reporting PUs than younger CYP (i.e., PUTS scores increased with age). We found no correlations between PUTS score and tic severity at either interview. We found a statistical significant correlation between PUTS score and obsessive-compulsive symptoms (OCS) at both interviews; Moreover both the PUTS and Children's Yale-Brown Obsessive Compulsive Scale (CY-BOCS) scores increased significantly, whereas the Yale Global Tic Severity Rating Scale (YGTSS) score decreased significantly. We found no relationships between PUTS scores and anxiety, depression, ADHD, and externalizing/internalizing behavioral scores. CONCLUSIONS: Our results suggest the the Italian translation of the PUTS has good psychometric properties. Although both younger (&lt;10 years of age) and older CYP (≤ 10 years of age) reported PUs, the scores at the initial interview were statistically significantly lower than at follow-up. Moreover, in CYP &gt;10 years of age, the PUs correlated with obsessions and compulsions (CY-BOCS scores).&quot;,&quot;issue&quot;:&quot;10&quot;,&quot;volume&quot;:&quot;25&quot;,&quot;container-title-short&quot;:&quot;&quot;},&quot;isTemporary&quot;:false}]},{&quot;citationID&quot;:&quot;MENDELEY_CITATION_a1efefcd-b7f1-4cc2-bf72-5cbaa0f7bc99&quot;,&quot;properties&quot;:{&quot;noteIndex&quot;:0},&quot;isEdited&quot;:false,&quot;manualOverride&quot;:{&quot;isManuallyOverridden&quot;:false,&quot;citeprocText&quot;:&quot;(54)&quot;,&quot;manualOverrideText&quot;:&quot;&quot;},&quot;citationTag&quot;:&quot;MENDELEY_CITATION_v3_eyJjaXRhdGlvbklEIjoiTUVOREVMRVlfQ0lUQVRJT05fYTFlZmVmY2QtYjdmMS00Y2MyLWJmNzItNWNiYWEwZjdiYzk5IiwicHJvcGVydGllcyI6eyJub3RlSW5kZXgiOjB9LCJpc0VkaXRlZCI6ZmFsc2UsIm1hbnVhbE92ZXJyaWRlIjp7ImlzTWFudWFsbHlPdmVycmlkZGVuIjpmYWxzZSwiY2l0ZXByb2NUZXh0IjoiKDU0KSIsIm1hbnVhbE92ZXJyaWRlVGV4dCI6IiJ9LCJjaXRhdGlvbkl0ZW1zIjpbeyJpZCI6ImRhOWZhMjY4LWM1NmItM2E4OC04NDY1LWRmNDgwNGRhMDcxZiIsIml0ZW1EYXRhIjp7InR5cGUiOiJhcnRpY2xlLWpvdXJuYWwiLCJpZCI6ImRhOWZhMjY4LWM1NmItM2E4OC04NDY1LWRmNDgwNGRhMDcxZiIsInRpdGxlIjoiQWxleGl0aHltaWEgYW5kIHRpYyBkaXNvcmRlcnM6IGEgc3R1ZHkgb24gYSBzYW1wbGUgb2YgY2hpbGRyZW4gYW5kIHRoZWlyIG1vdGhlcnMiLCJncm91cElkIjoiMDdkNjJhYzEtNWFhOC0zOWFmLWI0OWUtNTJkMjA4OGFjNTcxIiwiYXV0aG9yIjpbeyJmYW1pbHkiOiJTaWx2ZXN0cmkiLCJnaXZlbiI6IlAgUiIsInBhcnNlLW5hbWVzIjpmYWxzZSwiZHJvcHBpbmctcGFydGljbGUiOiIiLCJub24tZHJvcHBpbmctcGFydGljbGUiOiIifSx7ImZhbWlseSI6IkNoaWFyb3R0aSIsImdpdmVuIjoiRiIsInBhcnNlLW5hbWVzIjpmYWxzZSwiZHJvcHBpbmctcGFydGljbGUiOiIiLCJub24tZHJvcHBpbmctcGFydGljbGUiOiIifSx7ImZhbWlseSI6IkdpdXN0aW5pIiwiZ2l2ZW4iOiJTIiwicGFyc2UtbmFtZXMiOmZhbHNlLCJkcm9wcGluZy1wYXJ0aWNsZSI6IiIsIm5vbi1kcm9wcGluZy1wYXJ0aWNsZSI6IiJ9LHsiZmFtaWx5IjoiQ2FyZG9uYSIsImdpdmVuIjoiRiIsInBhcnNlLW5hbWVzIjpmYWxzZSwiZHJvcHBpbmctcGFydGljbGUiOiIiLCJub24tZHJvcHBpbmctcGFydGljbGUiOiIifV0sImNvbnRhaW5lci10aXRsZSI6IkV1cm9wZWFuIENoaWxkIGFuZCBBZG9sZXNjZW50IFBzeWNoaWF0cnkiLCJET0kiOiJodHRwczovL2R4LmRvaS5vcmcvMTAuMTAwNy9zMDA3ODctMDE4LTEyMDkteCIsIlVSTCI6Imh0dHA6Ly93d3cuc3ByaW5nZXJsaW5rLmNvbS9jb250ZW50LzEwMTgtODgyN2h0dHA6Ly9vdmlkc3Aub3ZpZC5jb20vb3ZpZHdlYi5jZ2k/VD1KUyZQQUdFPXJlZmVyZW5jZSZEPWVtZWQyMCZORVdTPU4mQU49NjIzMzEyNDM1IiwiaXNzdWVkIjp7ImRhdGUtcGFydHMiOltbMjAxOV1dfSwicGFnZSI6IjQ2MS00NzAiLCJhYnN0cmFjdCI6IlRpYyBkaXNvcmRlcnMgYXJlIG5ldXJvZGV2ZWxvcG1lbnRhbCBkaXNvcmRlcnMgY2hhcmFjdGVyaXNlZCBieSB0aGUgcHJlc2VuY2Ugb2YgbW90b3Igb3IgcGhvbmljIHRpY3MsIG9yIGJvdGguIFBhdGllbnRzIHdpdGggdGljIGRpc29yZGVycyBjb21tb25seSByZXBvcnQgcHJlbW9uaXRvcnkgdXJnZXMgb2YgdGljcy4gQWxleGl0aHltaWEgaXMgYSBwc3ljaG9sb2dpY2FsIHRyYWl0IGNoYXJhY3RlcmlzZWQgYnkgYSBkaWZmaWN1bHR5IGluIGlkZW50aWZ5aW5nIGFuZCBleHByZXNzaW5nIG9uZSdzIG93biBmZWVsaW5ncyBhbmQgYnkgYW4gZXh0ZXJuYWxseSBvcmllbnRlZCB0aGlua2luZy4gV2UgYWltZWQgdG8gZXhwbG9yZSBhbGV4aXRoeW1pYSBpbiBjaGlsZHJlbiB3aXRoIHRpYyBkaXNvcmRlcnMgYW5kIGluIHRoZWlyIG1vdGhlcnMuIEdsb2JhbCBhbGV4aXRoeW1pYSBzY29yZXMgb2YgYm90aCBjaGlsZHJlbiB3aXRoIHRpYyBkaXNvcmRlcnMgYW5kIG9mIHRoZWlyIG1vdGhlcnMgZGlkIG5vdCBkaWZmZXIgZnJvbSB0aG9zZSBvZiB0aGUgcGFydGljaXBhbnRzIGZyb20gdGhlIGNvbnRyb2wgZ3JvdXAuIEluIHRoZSB0aWMgZGlzb3JkZXIgZ3JvdXAsIGhvd2V2ZXIsIGJvdGggY2hpbGRyZW4gYW5kIHRoZWlyIG1vdGhlcnMgc2hvd2VkIGEgY29nbml0aXZlIHN0eWxlIGNoYXJhY3RlcmlzZWQgYnkgb3BlcmF0aW9uYWwgdGhpbmtpbmcgYW5kIGEgbGFjayBvZiBpbWFnaW5hdGl2ZSBhYmlsaXRpZXMuIFRoZSBtb3RoZXJzIG9mIGNoaWxkcmVuIHdpdGggdGljIGRpc29yZGVyIHJlcG9ydGVkIHNpZ25pZmljYW50bHkgaGlnaGVyIHBhcmVudGFsIHN0cmVzcy4gQWxleGl0aHltaWEgd2FzIG5vdCBwcmVkaWN0aXZlIG9mIHRpYyBzZXZlcml0eSBidXQgd2FzIHByZWRpY3RpdmUgb2YgdGhlIHNldmVyaXR5IG9mIHRoZSBwcmVtb25pdG9yeSB1cmdlcy4gVGhlIGltcGxpY2F0aW9ucyBvZiB0aGVzZSBmaW5kaW5ncyBhcmUgZGlzY3Vzc2VkLkNvcHlyaWdodCDCqSAyMDE4LCBTcHJpbmdlci1WZXJsYWcgR21iSCBHZXJtYW55LCBwYXJ0IG9mIFNwcmluZ2VyIE5hdHVyZS4iLCJpc3N1ZSI6IjQiLCJ2b2x1bWUiOiIyOCIsImNvbnRhaW5lci10aXRsZS1zaG9ydCI6IkV1ciBDaGlsZCBBZG9sZXNjIFBzeWNoaWF0cnkifSwiaXNUZW1wb3JhcnkiOmZhbHNlfV19&quot;,&quot;citationItems&quot;:[{&quot;id&quot;:&quot;da9fa268-c56b-3a88-8465-df4804da071f&quot;,&quot;itemData&quot;:{&quot;type&quot;:&quot;article-journal&quot;,&quot;id&quot;:&quot;da9fa268-c56b-3a88-8465-df4804da071f&quot;,&quot;title&quot;:&quot;Alexithymia and tic disorders: a study on a sample of children and their mothers&quot;,&quot;groupId&quot;:&quot;07d62ac1-5aa8-39af-b49e-52d2088ac571&quot;,&quot;author&quot;:[{&quot;family&quot;:&quot;Silvestri&quot;,&quot;given&quot;:&quot;P R&quot;,&quot;parse-names&quot;:false,&quot;dropping-particle&quot;:&quot;&quot;,&quot;non-dropping-particle&quot;:&quot;&quot;},{&quot;family&quot;:&quot;Chiarotti&quot;,&quot;given&quot;:&quot;F&quot;,&quot;parse-names&quot;:false,&quot;dropping-particle&quot;:&quot;&quot;,&quot;non-dropping-particle&quot;:&quot;&quot;},{&quot;family&quot;:&quot;Giustini&quot;,&quot;given&quot;:&quot;S&quot;,&quot;parse-names&quot;:false,&quot;dropping-particle&quot;:&quot;&quot;,&quot;non-dropping-particle&quot;:&quot;&quot;},{&quot;family&quot;:&quot;Cardona&quot;,&quot;given&quot;:&quot;F&quot;,&quot;parse-names&quot;:false,&quot;dropping-particle&quot;:&quot;&quot;,&quot;non-dropping-particle&quot;:&quot;&quot;}],&quot;container-title&quot;:&quot;European Child and Adolescent Psychiatry&quot;,&quot;DOI&quot;:&quot;https://dx.doi.org/10.1007/s00787-018-1209-x&quot;,&quot;URL&quot;:&quot;http://www.springerlink.com/content/1018-8827http://ovidsp.ovid.com/ovidweb.cgi?T=JS&amp;PAGE=reference&amp;D=emed20&amp;NEWS=N&amp;AN=623312435&quot;,&quot;issued&quot;:{&quot;date-parts&quot;:[[2019]]},&quot;page&quot;:&quot;461-470&quot;,&quot;abstract&quot;:&quot;Tic disorders are neurodevelopmental disorders characterised by the presence of motor or phonic tics, or both. Patients with tic disorders commonly report premonitory urges of tics. Alexithymia is a psychological trait characterised by a difficulty in identifying and expressing one's own feelings and by an externally oriented thinking. We aimed to explore alexithymia in children with tic disorders and in their mothers. Global alexithymia scores of both children with tic disorders and of their mothers did not differ from those of the participants from the control group. In the tic disorder group, however, both children and their mothers showed a cognitive style characterised by operational thinking and a lack of imaginative abilities. The mothers of children with tic disorder reported significantly higher parental stress. Alexithymia was not predictive of tic severity but was predictive of the severity of the premonitory urges. The implications of these findings are discussed.Copyright © 2018, Springer-Verlag GmbH Germany, part of Springer Nature.&quot;,&quot;issue&quot;:&quot;4&quot;,&quot;volume&quot;:&quot;28&quot;,&quot;container-title-short&quot;:&quot;Eur Child Adolesc Psychiatry&quot;},&quot;isTemporary&quot;:false}]},{&quot;citationID&quot;:&quot;MENDELEY_CITATION_ba845ee5-7255-488f-9501-8f134c8ab7cc&quot;,&quot;properties&quot;:{&quot;noteIndex&quot;:0},&quot;isEdited&quot;:false,&quot;manualOverride&quot;:{&quot;isManuallyOverridden&quot;:false,&quot;citeprocText&quot;:&quot;(27)&quot;,&quot;manualOverrideText&quot;:&quot;&quot;},&quot;citationTag&quot;:&quot;MENDELEY_CITATION_v3_eyJjaXRhdGlvbklEIjoiTUVOREVMRVlfQ0lUQVRJT05fYmE4NDVlZTUtNzI1NS00ODhmLTk1MDEtOGYxMzRjOGFiN2NjIiwicHJvcGVydGllcyI6eyJub3RlSW5kZXgiOjB9LCJpc0VkaXRlZCI6ZmFsc2UsIm1hbnVhbE92ZXJyaWRlIjp7ImlzTWFudWFsbHlPdmVycmlkZGVuIjpmYWxzZSwiY2l0ZXByb2NUZXh0IjoiKDI3KSIsIm1hbnVhbE92ZXJyaWRlVGV4dCI6IiJ9LCJjaXRhdGlvbkl0ZW1zIjpbeyJpZCI6IjEzNTI2YjJhLWYxZDQtMzE5MS1hYjExLTE4MDAyZThhZTUxYSIsIml0ZW1EYXRhIjp7InR5cGUiOiJhcnRpY2xlLWpvdXJuYWwiLCJpZCI6IjEzNTI2YjJhLWYxZDQtMzE5MS1hYjExLTE4MDAyZThhZTUxYSIsInRpdGxlIjoiVXJnZSBJbnRvbGVyYW5jZSBhbmQgSW1wYWlybWVudCBBbW9uZyBZb3V0aCB3aXRoIFRvdXJldHRlJ3MgYW5kIENocm9uaWMgVGljIERpc29yZGVycyIsImdyb3VwSWQiOiIwN2Q2MmFjMS01YWE4LTM5YWYtYjQ5ZS01MmQyMDg4YWM1NzEiLCJhdXRob3IiOlt7ImZhbWlseSI6IlJhbXNleSIsImdpdmVuIjoiSyBBIiwicGFyc2UtbmFtZXMiOmZhbHNlLCJkcm9wcGluZy1wYXJ0aWNsZSI6IiIsIm5vbi1kcm9wcGluZy1wYXJ0aWNsZSI6IiJ9LHsiZmFtaWx5IjoiRXNzb2UiLCJnaXZlbiI6IkogSyIsInBhcnNlLW5hbWVzIjpmYWxzZSwiZHJvcHBpbmctcGFydGljbGUiOiIiLCJub24tZHJvcHBpbmctcGFydGljbGUiOiIifSx7ImZhbWlseSI6IlN0b3JjaCIsImdpdmVuIjoiRSBBIiwicGFyc2UtbmFtZXMiOmZhbHNlLCJkcm9wcGluZy1wYXJ0aWNsZSI6IiIsIm5vbi1kcm9wcGluZy1wYXJ0aWNsZSI6IiJ9LHsiZmFtaWx5IjoiTGV3aW4iLCJnaXZlbiI6IkEgQiIsInBhcnNlLW5hbWVzIjpmYWxzZSwiZHJvcHBpbmctcGFydGljbGUiOiIiLCJub24tZHJvcHBpbmctcGFydGljbGUiOiIifSx7ImZhbWlseSI6Ik11cnBoeSIsImdpdmVuIjoiVCBLIiwicGFyc2UtbmFtZXMiOmZhbHNlLCJkcm9wcGluZy1wYXJ0aWNsZSI6IiIsIm5vbi1kcm9wcGluZy1wYXJ0aWNsZSI6IiJ9LHsiZmFtaWx5IjoiTWNHdWlyZSIsImdpdmVuIjoiSiBGIiwicGFyc2UtbmFtZXMiOmZhbHNlLCJkcm9wcGluZy1wYXJ0aWNsZSI6IiIsIm5vbi1kcm9wcGluZy1wYXJ0aWNsZSI6IiJ9XSwiY29udGFpbmVyLXRpdGxlIjoiQ2hpbGQgUHN5Y2hpYXRyeSBIdW0gRGV2IiwiRE9JIjoiMTAuMTAwNy9zMTA1NzgtMDIwLTAxMDg1LTMiLCJQTUlEIjoiMzMwOTU0MDYiLCJVUkwiOiJodHRwczovL2xpbmsuc3ByaW5nZXIuY29tL2FydGljbGUvMTAuMTAwNy9zMTA1NzgtMDIwLTAxMDg1LTMiLCJpc3N1ZWQiOnsiZGF0ZS1wYXJ0cyI6W1syMDIxXV19LCJwYWdlIjoiNzYxLTc3MSIsImFic3RyYWN0IjoiSW5kaXZpZHVhbHMgd2l0aCBUb3VyZXR0ZSdzIERpc29yZGVyIGFuZCBQZXJzaXN0ZW50IFRpYyBEaXNvcmRlcnMgKFREKSBvZnRlbiBleHBlcmllbmNlIHByZW1vbml0b3J5IHVyZ2VzLWF2ZXJzaXZlIHNlbnNhdGlvbnMgdGhhdCBwcmVjZWRlIHRpY3MgYW5kIGFyZSByZWxpZXZlZCBieSB0aWMgZXhwcmVzc2lvbi4gR2l2ZW4gaXRzIHJvbGUgaW4gdGhlIG5ldXJvYmVoYXZpb3JhbCBtb2RlbCBvZiBURCwgdW5kZXJzdGFuZGluZyBmYWN0b3JzIHRoYXQgaW5mbHVlbmNlIHByZW1vbml0b3J5IHVyZ2VzIGFuZCBhc3NvY2lhdGVkIHJlbGllZiBjYW4gYWR2YW5jZSB1bmRlcnN0YW5kaW5nIG9mIHVyZ2UgcGhlbm9tZW5vbG9neSBhbmQgb3B0aW1pemUgdHJlYXRtZW50cyBmb3IgaW5kaXZpZHVhbHMgd2l0aCBURC4gVGhpcyBzdHVkeSBleGFtaW5lZCB3aGV0aGVyIHRoZSBub3ZlbCBjb25zdHJ1Y3Qgb2YgdXJnZSBpbnRvbGVyYW5jZS1kaWZmaWN1bHR5IHRvbGVyYXRpbmcgcHJlbW9uaXRvcnkgdXJnZXMtcHJlZGljdGVkIHRpYyBzZXZlcml0eSBhbmQgdGljLXJlbGF0ZWQgZGlzYWJpbGl0eS4gUGFydGljaXBhbnRzIGluY2x1ZGVkIDc1IHlvdXRoIHdpdGggVEQgYW5kIHRoZWlyIGNhcmVnaXZlcnMuIEFzc2Vzc21lbnRzIGNoYXJhY3Rlcml6ZWQgdGljIHNldmVyaXR5LCBwcmVtb25pdG9yeSB1cmdlLCBkaXN0cmVzcyB0b2xlcmFuY2UsIGludGVybmFsaXppbmcgc3ltcHRvbXMsIGFuZCB0aWMtcmVsYXRlZCBkaXNhYmlsaXR5LiBTdHJ1Y3R1cmFsIGVxdWF0aW9uIG1vZGVsaW5nIHJldmVhbGVkIHRoYXQgaGlnaGVyIGxldmVscyBvZiB1cmdlIGludG9sZXJhbmNlIHByZWRpY3RlZCBncmVhdGVyIGxldmVscyBvZiB0aWMtcmVsYXRlZCBkaXNhYmlsaXR5LiBGdXJ0aGVybW9yZSwgdGhlIHJlbGF0aW9uc2hpcCBiZXR3ZWVuIHVyZ2UgaW50b2xlcmFuY2UgYW5kIHRpYy1yZWxhdGVkIGRpc2FiaWxpdHkgd2FzIG1vcmUgcm9idXN0IGZvciB5b3V0aCB3aXRoIGNsaW5pY2FsbHktZWxldmF0ZWQgbGV2ZWxzIG9mIGludGVybmFsaXppbmcgc3ltcHRvbXMuIFdoaWxlIGZ1cnRoZXIgaW52ZXN0aWdhdGlvbiBpcyBuZWVkZWQsIHVyZ2UgaW50b2xlcmFuY2UgcmVwcmVzZW50cyBhIHByb21pc2luZyB0cmVhdG1lbnQgdGFyZ2V0IHRvIGltcHJvdmUgdGljLXJlbGF0ZWQgZGlzYWJpbGl0eSBpbiB5b3V0aCB3aXRoIFRELiIsImlzc3VlIjoiNSIsInZvbHVtZSI6IjUyIiwiY29udGFpbmVyLXRpdGxlLXNob3J0IjoiIn0sImlzVGVtcG9yYXJ5IjpmYWxzZX1dfQ==&quot;,&quot;citationItems&quot;:[{&quot;id&quot;:&quot;13526b2a-f1d4-3191-ab11-18002e8ae51a&quot;,&quot;itemData&quot;:{&quot;type&quot;:&quot;article-journal&quot;,&quot;id&quot;:&quot;13526b2a-f1d4-3191-ab11-18002e8ae51a&quot;,&quot;title&quot;:&quot;Urge Intolerance and Impairment Among Youth with Tourette's and Chronic Tic Disorders&quot;,&quot;groupId&quot;:&quot;07d62ac1-5aa8-39af-b49e-52d2088ac571&quot;,&quot;author&quot;:[{&quot;family&quot;:&quot;Ramsey&quot;,&quot;given&quot;:&quot;K A&quot;,&quot;parse-names&quot;:false,&quot;dropping-particle&quot;:&quot;&quot;,&quot;non-dropping-particle&quot;:&quot;&quot;},{&quot;family&quot;:&quot;Essoe&quot;,&quot;given&quot;:&quot;J K&quot;,&quot;parse-names&quot;:false,&quot;dropping-particle&quot;:&quot;&quot;,&quot;non-dropping-particle&quot;:&quot;&quot;},{&quot;family&quot;:&quot;Storch&quot;,&quot;given&quot;:&quot;E A&quot;,&quot;parse-names&quot;:false,&quot;dropping-particle&quot;:&quot;&quot;,&quot;non-dropping-particle&quot;:&quot;&quot;},{&quot;family&quot;:&quot;Lewin&quot;,&quot;given&quot;:&quot;A B&quot;,&quot;parse-names&quot;:false,&quot;dropping-particle&quot;:&quot;&quot;,&quot;non-dropping-particle&quot;:&quot;&quot;},{&quot;family&quot;:&quot;Murphy&quot;,&quot;given&quot;:&quot;T K&quot;,&quot;parse-names&quot;:false,&quot;dropping-particle&quot;:&quot;&quot;,&quot;non-dropping-particle&quot;:&quot;&quot;},{&quot;family&quot;:&quot;McGuire&quot;,&quot;given&quot;:&quot;J F&quot;,&quot;parse-names&quot;:false,&quot;dropping-particle&quot;:&quot;&quot;,&quot;non-dropping-particle&quot;:&quot;&quot;}],&quot;container-title&quot;:&quot;Child Psychiatry Hum Dev&quot;,&quot;DOI&quot;:&quot;10.1007/s10578-020-01085-3&quot;,&quot;PMID&quot;:&quot;33095406&quot;,&quot;URL&quot;:&quot;https://link.springer.com/article/10.1007/s10578-020-01085-3&quot;,&quot;issued&quot;:{&quot;date-parts&quot;:[[2021]]},&quot;page&quot;:&quot;761-771&quot;,&quot;abstract&quot;:&quot;Individuals with Tourette's Disorder and Persistent Tic Disorders (TD) often experience premonitory urges-aversive sensations that precede tics and are relieved by tic expression. Given its role in the neurobehavioral model of TD, understanding factors that influence premonitory urges and associated relief can advance understanding of urge phenomenology and optimize treatments for individuals with TD. This study examined whether the novel construct of urge intolerance-difficulty tolerating premonitory urges-predicted tic severity and tic-related disability. Participants included 75 youth with TD and their caregivers. Assessments characterized tic severity, premonitory urge, distress tolerance, internalizing symptoms, and tic-related disability. Structural equation modeling revealed that higher levels of urge intolerance predicted greater levels of tic-related disability. Furthermore, the relationship between urge intolerance and tic-related disability was more robust for youth with clinically-elevated levels of internalizing symptoms. While further investigation is needed, urge intolerance represents a promising treatment target to improve tic-related disability in youth with TD.&quot;,&quot;issue&quot;:&quot;5&quot;,&quot;volume&quot;:&quot;52&quot;,&quot;container-title-short&quot;:&quot;&quot;},&quot;isTemporary&quot;:false}]},{&quot;citationID&quot;:&quot;MENDELEY_CITATION_bdf7eadc-6fe5-4ea9-9cc2-312526b89750&quot;,&quot;properties&quot;:{&quot;noteIndex&quot;:0},&quot;isEdited&quot;:false,&quot;manualOverride&quot;:{&quot;isManuallyOverridden&quot;:false,&quot;citeprocText&quot;:&quot;(38)&quot;,&quot;manualOverrideText&quot;:&quot;&quot;},&quot;citationTag&quot;:&quot;MENDELEY_CITATION_v3_eyJjaXRhdGlvbklEIjoiTUVOREVMRVlfQ0lUQVRJT05fYmRmN2VhZGMtNmZlNS00ZWE5LTljYzItMzEyNTI2Yjg5NzUwIiwicHJvcGVydGllcyI6eyJub3RlSW5kZXgiOjB9LCJpc0VkaXRlZCI6ZmFsc2UsIm1hbnVhbE92ZXJyaWRlIjp7ImlzTWFudWFsbHlPdmVycmlkZGVuIjpmYWxzZSwiY2l0ZXByb2NUZXh0IjoiKDM4KSIsIm1hbnVhbE92ZXJyaWRlVGV4dCI6IiJ9LCJjaXRhdGlvbkl0ZW1zIjpbeyJpZCI6IjczYzgwM2RkLWIzMDAtM2Q5Zi1hNzk4LWExNWVhZjc0NjBjNSIsIml0ZW1EYXRhIjp7InR5cGUiOiJhcnRpY2xlLWpvdXJuYWwiLCJpZCI6IjczYzgwM2RkLWIzMDAtM2Q5Zi1hNzk4LWExNWVhZjc0NjBjNSIsInRpdGxlIjoiVXJnZSBpbnRvbGVyYW5jZSBwcmVkaWN0cyB0aWMgc2V2ZXJpdHkgYW5kIGltcGFpcm1lbnQgYW1vbmcgYWR1bHRzIHdpdGggVG91cmV0dGUgc3luZHJvbWUgYW5kIGNocm9uaWMgdGljIGRpc29yZGVycyIsImdyb3VwSWQiOiIwN2Q2MmFjMS01YWE4LTM5YWYtYjQ5ZS01MmQyMDg4YWM1NzEiLCJhdXRob3IiOlt7ImZhbWlseSI6IlJhbXNleSIsImdpdmVuIjoiSyBBIiwicGFyc2UtbmFtZXMiOmZhbHNlLCJkcm9wcGluZy1wYXJ0aWNsZSI6IiIsIm5vbi1kcm9wcGluZy1wYXJ0aWNsZSI6IiJ9LHsiZmFtaWx5IjoiTmFkYWkiLCJnaXZlbiI6IkEgUyIsInBhcnNlLW5hbWVzIjpmYWxzZSwiZHJvcHBpbmctcGFydGljbGUiOiIiLCJub24tZHJvcHBpbmctcGFydGljbGUiOiJEZSJ9LHsiZmFtaWx5IjoiRXNwaWwiLCJnaXZlbiI6IkYgTSIsInBhcnNlLW5hbWVzIjpmYWxzZSwiZHJvcHBpbmctcGFydGljbGUiOiIiLCJub24tZHJvcHBpbmctcGFydGljbGUiOiIifSx7ImZhbWlseSI6IlJpY2tldHRzIiwiZ2l2ZW4iOiJFIiwicGFyc2UtbmFtZXMiOmZhbHNlLCJkcm9wcGluZy1wYXJ0aWNsZSI6IiIsIm5vbi1kcm9wcGluZy1wYXJ0aWNsZSI6IiJ9LHsiZmFtaWx5IjoiU3RpZWRlIiwiZ2l2ZW4iOiJKIFQiLCJwYXJzZS1uYW1lcyI6ZmFsc2UsImRyb3BwaW5nLXBhcnRpY2xlIjoiIiwibm9uLWRyb3BwaW5nLXBhcnRpY2xlIjoiIn0seyJmYW1pbHkiOiJTY2hpbGQiLCJnaXZlbiI6IkoiLCJwYXJzZS1uYW1lcyI6ZmFsc2UsImRyb3BwaW5nLXBhcnRpY2xlIjoiIiwibm9uLWRyb3BwaW5nLXBhcnRpY2xlIjoiIn0seyJmYW1pbHkiOiJTcGVjaHQiLCJnaXZlbiI6Ik0gVyIsInBhcnNlLW5hbWVzIjpmYWxzZSwiZHJvcHBpbmctcGFydGljbGUiOiIiLCJub24tZHJvcHBpbmctcGFydGljbGUiOiIifSx7ImZhbWlseSI6Ildvb2RzIiwiZ2l2ZW4iOiJEIFciLCJwYXJzZS1uYW1lcyI6ZmFsc2UsImRyb3BwaW5nLXBhcnRpY2xlIjoiIiwibm9uLWRyb3BwaW5nLXBhcnRpY2xlIjoiIn0seyJmYW1pbHkiOiJCZW5uZXQiLCJnaXZlbiI6IlMiLCJwYXJzZS1uYW1lcyI6ZmFsc2UsImRyb3BwaW5nLXBhcnRpY2xlIjoiIiwibm9uLWRyb3BwaW5nLXBhcnRpY2xlIjoiIn0seyJmYW1pbHkiOiJXYWxrdXAiLCJnaXZlbiI6IkogVCIsInBhcnNlLW5hbWVzIjpmYWxzZSwiZHJvcHBpbmctcGFydGljbGUiOiIiLCJub24tZHJvcHBpbmctcGFydGljbGUiOiIifSx7ImZhbWlseSI6IkNoYW5nIiwiZ2l2ZW4iOiJTIiwicGFyc2UtbmFtZXMiOmZhbHNlLCJkcm9wcGluZy1wYXJ0aWNsZSI6IiIsIm5vbi1kcm9wcGluZy1wYXJ0aWNsZSI6IiJ9LHsiZmFtaWx5IjoiUGlhY2VudGluaSIsImdpdmVuIjoiSiIsInBhcnNlLW5hbWVzIjpmYWxzZSwiZHJvcHBpbmctcGFydGljbGUiOiIiLCJub24tZHJvcHBpbmctcGFydGljbGUiOiIifSx7ImZhbWlseSI6Ik1jR3VpcmUiLCJnaXZlbiI6IkogRiIsInBhcnNlLW5hbWVzIjpmYWxzZSwiZHJvcHBpbmctcGFydGljbGUiOiIiLCJub24tZHJvcHBpbmctcGFydGljbGUiOiIifV0sImNvbnRhaW5lci10aXRsZSI6IkZyb250aWVycyBpbiBQc3ljaGlhdHJ5IiwiRE9JIjoiaHR0cHM6Ly9keC5kb2kub3JnLzEwLjMzODkvZnBzeXQuMjAyMi45Mjk0MTMiLCJVUkwiOiJodHRwOi8vd3d3LmZyb250aWVyc2luLm9yZy9Qc3ljaGlhdHJ5aHR0cDovL292aWRzcC5vdmlkLmNvbS9vdmlkd2ViLmNnaT9UPUpTJlBBR0U9cmVmZXJlbmNlJkQ9ZW1leGImTkVXUz1OJkFOPTIwMTg3NDk4MDMiLCJpc3N1ZWQiOnsiZGF0ZS1wYXJ0cyI6W1syMDIyXV19LCJwYWdlIjoiOTI5NDEzIiwiYWJzdHJhY3QiOiJCYWNrZ3JvdW5kOiBJbmRpdmlkdWFscyB3aXRoIFRvdXJldHRlIFN5bmRyb21lIGFuZCBQZXJzaXN0ZW50IFRpYyBEaXNvcmRlcnMgKGNvbGxlY3RpdmVseSBUUykgb2Z0ZW4gZXhwZXJpZW5jZSBwcmVtb25pdG9yeSB1cmdlcy1hdmVyc2l2ZSBwaHlzaWNhbCBzZW5zYXRpb25zIHRoYXQgcHJlY2VkZSB0aWNzIGFuZCBhcmUgdGVtcG9yYXJpbHkgcmVsaWV2ZWQgYnkgdGljIGV4cHJlc3Npb24uIFRoZSByZWxhdGlvbnNoaXAgYmV0d2VlbiB0aWNzIGFuZCBwcmVtb25pdG9yeSB1cmdlcyBwbGF5cyBhIGtleSByb2xlIGluIHRoZSBuZXVyb2JlaGF2aW9yYWwgdHJlYXRtZW50IG1vZGVsIG9mIFRTLCB3aGljaCB1bmRlcmxpZXMgZmlyc3QtbGluZSB0cmVhdG1lbnRzIHN1Y2ggYXMgdGhlIENvbXByZWhlbnNpdmUgQmVoYXZpb3JhbCBJbnRlcnZlbnRpb24gZm9yIFRpY3MgKENCSVQpLiBEZXNwaXRlIHRoZSBlZmZpY2FjeSBvZiBDQklUIGFuZCByZWxhdGVkIGJlaGF2aW9yYWwgdGhlcmFwaWVzLCBsZXNzIHRoYW4gNDAlIG9mIGFkdWx0cyB3aXRoIFRTIHJlc3BvbmQgdG8gdGhlc2UgdHJlYXRtZW50cy4gRnVydGhlciBleGFtaW5hdGlvbiBvZiB0aGUgcmVsYXRpb25zaGlwIGJldHdlZW4gcHJlbW9uaXRvcnkgdXJnZXMsIHRpYyBzZXZlcml0eSwgYW5kIHRpYyBpbXBhaXJtZW50IGNhbiBwcm92aWRlIG5ldyBpbnNpZ2h0cyBpbnRvIHRoZXJhcGV1dGljIHRhcmdldHMgdG8gb3B0aW1pemUgYmVoYXZpb3JhbCB0cmVhdG1lbnQgb3V0Y29tZXMuIFRoaXMgc3R1ZHkgZXhhbWluZWQgd2hldGhlciB1cmdlIGludG9sZXJhbmNlLWRpZmZpY3VsdHkgdG9sZXJhdGluZyBwcmVtb25pdG9yeSB1cmdlcy1wcmVkaWN0ZWQgdGljIHNldmVyaXR5IGFuZCB0aWMtcmVsYXRlZCBpbXBhaXJtZW50IGFtb25nIGFkdWx0cyB3aXRoIFRTLiBNZXRob2Qocyk6IFBhcnRpY2lwYW50cyB3ZXJlIDgwIGFkdWx0cyB3aXRoIFRTLiBBc3Nlc3NtZW50cyBjaGFyYWN0ZXJpemVkIHByZW1vbml0b3J5IHVyZ2UsIGRpc3RyZXNzIHRvbGVyYW5jZSwgdGljIHNldmVyaXR5LCBhbmQgdGljIGltcGFpcm1lbnQuIFdlIHVzZWQgc3RydWN0dXJhbCBlcXVhdGlvbiBtb2RlbGluZyAoU0VNKSB0byBleGFtaW5lIHRoZSBjb25zdHJ1Y3Qgb2YgdXJnZSBpbnRvbGVyYW5jZS1jb21wcmlzZWQgb2YgcHJlbW9uaXRvcnkgdXJnZSByYXRpbmdzIGFuZCBkaXN0cmVzcyB0b2xlcmFuY2UgcmF0aW5ncy4gV2UgZmlyc3QgZXZhbHVhdGVkIGEgbWVhc3VyZW1lbnQgbW9kZWwgb2YgdXJnZSBpbnRvbGVyYW5jZSB0aHJvdWdoIGJpZmFjdG9yIG1vZGVsaW5nLCBpbmNsdWRpbmcgdGVzdHMgb2YgdGhlIGluY3JlbWVudGFsIHZhbHVlIG9mIHN1YmZhY3RvcnMgdGhhdCByZWZsZWN0IHByZW1vbml0b3J5IHVyZ2Ugc2V2ZXJpdHkgYW5kIGRpc3RyZXNzIHRvbGVyYW5jZSB3aXRoaW4gdGhlIG1vZGVsLiBXZSB0aGVuIGV2YWx1YXRlZCBhIHN0cnVjdHVyYWwgbW9kZWwgd2hlcmUgd2UgcHJlZGljdGVkIGNsaW5pY2lhbi1yYXRlZCB0aWMgc2V2ZXJpdHkgYW5kIHRpYyBpbXBhaXJtZW50IGJ5IHRoZSBsYXRlbnQgdmFyaWFibGUgb2YgdXJnZSBpbnRvbGVyYW5jZSBlc3RhYmxpc2hlZCBpbiBvdXIgbWVhc3VyZW1lbnQgbW9kZWwuIFJlc3VsdChzKTogQW5hbHlzZXMgc3VwcG9ydGVkIGEgYmlmYWN0b3IgbWVhc3VyZW1lbnQgbW9kZWwgb2YgdXJnZSBpbnRvbGVyYW5jZSBhbW9uZyBhZHVsdHMgd2l0aCBUUy4gQ29uc2lzdGVudCB3aXRoIHRoZW9yZXRpY2FsIG1vZGVscywgaGlnaGVyIGxldmVscyBvZiB1cmdlIGludG9sZXJhbmNlIHByZWRpY3RlZCBncmVhdGVyIGxldmVscyBvZiBjbGluaWNpYW4tcmF0ZWQgdGljIHNldmVyaXR5IGFuZCB0aWMgaW1wYWlybWVudC4gQ29uY2x1c2lvbihzKTogVGhpcyBpbnZlc3RpZ2F0aW9uIHN1cHBvcnRzIHRoZSBjb25zdHJ1Y3Qgb2YgdXJnZSBpbnRvbGVyYW5jZSBhbW9uZyBhZHVsdHMgd2l0aCBUUyBhbmQgZGlzdGluZ3Vpc2hlcyBpdCBmcm9tIHN1YmNvbXBvbmVudHMgb2YgdXJnZSBzZXZlcml0eSBhbmQgZGlzdHJlc3MgdG9sZXJhbmNlLiBHaXZlbiBpdHMgcHJlZGljdGl2ZSByZWxhdGlvbnNoaXAgd2l0aCB0aWMgc2V2ZXJpdHkgYW5kIHRpYyBpbXBhaXJtZW50LCB1cmdlIGludG9sZXJhbmNlIHJlcHJlc2VudHMgYSBwcm9taXNpbmcgdHJlYXRtZW50IHRhcmdldCB0byBpbXByb3ZlIHRoZXJhcGV1dGljIG91dGNvbWVzIGluIGFkdWx0cyB3aXRoIFRTLkNvcHlyaWdodCDCqSAyMDIyIFJhbXNleSwgRGUgTmFkYWksIEVzcGlsLCBSaWNrZXR0cywgU3RpZWRlLCBTY2hpbGQsIFNwZWNodCwgV29vZHMsIEJlbm5ldCwgV2Fsa3VwLCBDaGFuZywgUGlhY2VudGluaSBhbmQgTWNHdWlyZS4iLCJ2b2x1bWUiOiIxMyIsImNvbnRhaW5lci10aXRsZS1zaG9ydCI6IkZyb250IFBzeWNoaWF0cnkifSwiaXNUZW1wb3JhcnkiOmZhbHNlfV19&quot;,&quot;citationItems&quot;:[{&quot;id&quot;:&quot;73c803dd-b300-3d9f-a798-a15eaf7460c5&quot;,&quot;itemData&quot;:{&quot;type&quot;:&quot;article-journal&quot;,&quot;id&quot;:&quot;73c803dd-b300-3d9f-a798-a15eaf7460c5&quot;,&quot;title&quot;:&quot;Urge intolerance predicts tic severity and impairment among adults with Tourette syndrome and chronic tic disorders&quot;,&quot;groupId&quot;:&quot;07d62ac1-5aa8-39af-b49e-52d2088ac571&quot;,&quot;author&quot;:[{&quot;family&quot;:&quot;Ramsey&quot;,&quot;given&quot;:&quot;K A&quot;,&quot;parse-names&quot;:false,&quot;dropping-particle&quot;:&quot;&quot;,&quot;non-dropping-particle&quot;:&quot;&quot;},{&quot;family&quot;:&quot;Nadai&quot;,&quot;given&quot;:&quot;A S&quot;,&quot;parse-names&quot;:false,&quot;dropping-particle&quot;:&quot;&quot;,&quot;non-dropping-particle&quot;:&quot;De&quot;},{&quot;family&quot;:&quot;Espil&quot;,&quot;given&quot;:&quot;F M&quot;,&quot;parse-names&quot;:false,&quot;dropping-particle&quot;:&quot;&quot;,&quot;non-dropping-particle&quot;:&quot;&quot;},{&quot;family&quot;:&quot;Ricketts&quot;,&quot;given&quot;:&quot;E&quot;,&quot;parse-names&quot;:false,&quot;dropping-particle&quot;:&quot;&quot;,&quot;non-dropping-particle&quot;:&quot;&quot;},{&quot;family&quot;:&quot;Stiede&quot;,&quot;given&quot;:&quot;J T&quot;,&quot;parse-names&quot;:false,&quot;dropping-particle&quot;:&quot;&quot;,&quot;non-dropping-particle&quot;:&quot;&quot;},{&quot;family&quot;:&quot;Schild&quot;,&quot;given&quot;:&quot;J&quot;,&quot;parse-names&quot;:false,&quot;dropping-particle&quot;:&quot;&quot;,&quot;non-dropping-particle&quot;:&quot;&quot;},{&quot;family&quot;:&quot;Specht&quot;,&quot;given&quot;:&quot;M W&quot;,&quot;parse-names&quot;:false,&quot;dropping-particle&quot;:&quot;&quot;,&quot;non-dropping-particle&quot;:&quot;&quot;},{&quot;family&quot;:&quot;Woods&quot;,&quot;given&quot;:&quot;D W&quot;,&quot;parse-names&quot;:false,&quot;dropping-particle&quot;:&quot;&quot;,&quot;non-dropping-particle&quot;:&quot;&quot;},{&quot;family&quot;:&quot;Bennet&quot;,&quot;given&quot;:&quot;S&quot;,&quot;parse-names&quot;:false,&quot;dropping-particle&quot;:&quot;&quot;,&quot;non-dropping-particle&quot;:&quot;&quot;},{&quot;family&quot;:&quot;Walkup&quot;,&quot;given&quot;:&quot;J T&quot;,&quot;parse-names&quot;:false,&quot;dropping-particle&quot;:&quot;&quot;,&quot;non-dropping-particle&quot;:&quot;&quot;},{&quot;family&quot;:&quot;Chang&quot;,&quot;given&quot;:&quot;S&quot;,&quot;parse-names&quot;:false,&quot;dropping-particle&quot;:&quot;&quot;,&quot;non-dropping-particle&quot;:&quot;&quot;},{&quot;family&quot;:&quot;Piacentini&quot;,&quot;given&quot;:&quot;J&quot;,&quot;parse-names&quot;:false,&quot;dropping-particle&quot;:&quot;&quot;,&quot;non-dropping-particle&quot;:&quot;&quot;},{&quot;family&quot;:&quot;McGuire&quot;,&quot;given&quot;:&quot;J F&quot;,&quot;parse-names&quot;:false,&quot;dropping-particle&quot;:&quot;&quot;,&quot;non-dropping-particle&quot;:&quot;&quot;}],&quot;container-title&quot;:&quot;Frontiers in Psychiatry&quot;,&quot;DOI&quot;:&quot;https://dx.doi.org/10.3389/fpsyt.2022.929413&quot;,&quot;URL&quot;:&quot;http://www.frontiersin.org/Psychiatryhttp://ovidsp.ovid.com/ovidweb.cgi?T=JS&amp;PAGE=reference&amp;D=emexb&amp;NEWS=N&amp;AN=2018749803&quot;,&quot;issued&quot;:{&quot;date-parts&quot;:[[2022]]},&quot;page&quot;:&quot;929413&quot;,&quot;abstract&quot;:&quot;Background: Individuals with Tourette Syndrome and Persistent Tic Disorders (collectively TS) often experience premonitory urges-aversive physical sensations that precede tics and are temporarily relieved by tic expression. The relationship between tics and premonitory urges plays a key role in the neurobehavioral treatment model of TS, which underlies first-line treatments such as the Comprehensive Behavioral Intervention for Tics (CBIT). Despite the efficacy of CBIT and related behavioral therapies, less than 40% of adults with TS respond to these treatments. Further examination of the relationship between premonitory urges, tic severity, and tic impairment can provide new insights into therapeutic targets to optimize behavioral treatment outcomes. This study examined whether urge intolerance-difficulty tolerating premonitory urges-predicted tic severity and tic-related impairment among adults with TS. Method(s): Participants were 80 adults with TS. Assessments characterized premonitory urge, distress tolerance, tic severity, and tic impairment. We used structural equation modeling (SEM) to examine the construct of urge intolerance-comprised of premonitory urge ratings and distress tolerance ratings. We first evaluated a measurement model of urge intolerance through bifactor modeling, including tests of the incremental value of subfactors that reflect premonitory urge severity and distress tolerance within the model. We then evaluated a structural model where we predicted clinician-rated tic severity and tic impairment by the latent variable of urge intolerance established in our measurement model. Result(s): Analyses supported a bifactor measurement model of urge intolerance among adults with TS. Consistent with theoretical models, higher levels of urge intolerance predicted greater levels of clinician-rated tic severity and tic impairment. Conclusion(s): This investigation supports the construct of urge intolerance among adults with TS and distinguishes it from subcomponents of urge severity and distress tolerance. Given its predictive relationship with tic severity and tic impairment, urge intolerance represents a promising treatment target to improve therapeutic outcomes in adults with TS.Copyright © 2022 Ramsey, De Nadai, Espil, Ricketts, Stiede, Schild, Specht, Woods, Bennet, Walkup, Chang, Piacentini and McGuire.&quot;,&quot;volume&quot;:&quot;13&quot;,&quot;container-title-short&quot;:&quot;Front Psychiatry&quot;},&quot;isTemporary&quot;:false}]},{&quot;citationID&quot;:&quot;MENDELEY_CITATION_f5cc655c-88fa-41a3-9fc3-0f62b4a75f0b&quot;,&quot;properties&quot;:{&quot;noteIndex&quot;:0},&quot;isEdited&quot;:false,&quot;manualOverride&quot;:{&quot;isManuallyOverridden&quot;:false,&quot;citeprocText&quot;:&quot;(43)&quot;,&quot;manualOverrideText&quot;:&quot;&quot;},&quot;citationTag&quot;:&quot;MENDELEY_CITATION_v3_eyJjaXRhdGlvbklEIjoiTUVOREVMRVlfQ0lUQVRJT05fZjVjYzY1NWMtODhmYS00MWEzLTlmYzMtMGY2MmI0YTc1ZjBiIiwicHJvcGVydGllcyI6eyJub3RlSW5kZXgiOjB9LCJpc0VkaXRlZCI6ZmFsc2UsIm1hbnVhbE92ZXJyaWRlIjp7ImlzTWFudWFsbHlPdmVycmlkZGVuIjpmYWxzZSwiY2l0ZXByb2NUZXh0IjoiKDQzKSIsIm1hbnVhbE92ZXJyaWRlVGV4dCI6IiJ9LCJjaXRhdGlvbkl0ZW1zIjpbeyJpZCI6ImIxOGVhNzQxLWVlZjYtMzg5ZC05MDIwLTExMzNhOTlhMzgyNCIsIml0ZW1EYXRhIjp7InR5cGUiOiJhcnRpY2xlLWpvdXJuYWwiLCJpZCI6ImIxOGVhNzQxLWVlZjYtMzg5ZC05MDIwLTExMzNhOTlhMzgyNCIsInRpdGxlIjoiVGhlIHByZW1vbml0b3J5IHVyZ2UgcmV2aXNpdGVkOiBBbiBpbmRpdmlkdWFsaXplZCBwcmVtb25pdG9yeSB1cmdlIGZvciB0aWNzIHNjYWxlIiwiZ3JvdXBJZCI6IjA3ZDYyYWMxLTVhYTgtMzlhZi1iNDllLTUyZDIwODhhYzU3MSIsImF1dGhvciI6W3siZmFtaWx5IjoiTWNHdWlyZSIsImdpdmVuIjoiSiBGIiwicGFyc2UtbmFtZXMiOmZhbHNlLCJkcm9wcGluZy1wYXJ0aWNsZSI6IiIsIm5vbi1kcm9wcGluZy1wYXJ0aWNsZSI6IiJ9LHsiZmFtaWx5IjoiTWNCcmlkZSIsImdpdmVuIjoiTiIsInBhcnNlLW5hbWVzIjpmYWxzZSwiZHJvcHBpbmctcGFydGljbGUiOiIiLCJub24tZHJvcHBpbmctcGFydGljbGUiOiIifSx7ImZhbWlseSI6IlBpYWNlbnRpbmkiLCJnaXZlbiI6IkoiLCJwYXJzZS1uYW1lcyI6ZmFsc2UsImRyb3BwaW5nLXBhcnRpY2xlIjoiIiwibm9uLWRyb3BwaW5nLXBhcnRpY2xlIjoiIn0seyJmYW1pbHkiOiJKb2huY28iLCJnaXZlbiI6IkMiLCJwYXJzZS1uYW1lcyI6ZmFsc2UsImRyb3BwaW5nLXBhcnRpY2xlIjoiIiwibm9uLWRyb3BwaW5nLXBhcnRpY2xlIjoiIn0seyJmYW1pbHkiOiJMZXdpbiIsImdpdmVuIjoiQSBCIiwicGFyc2UtbmFtZXMiOmZhbHNlLCJkcm9wcGluZy1wYXJ0aWNsZSI6IiIsIm5vbi1kcm9wcGluZy1wYXJ0aWNsZSI6IiJ9LHsiZmFtaWx5IjoiTXVycGh5IiwiZ2l2ZW4iOiJUIEsiLCJwYXJzZS1uYW1lcyI6ZmFsc2UsImRyb3BwaW5nLXBhcnRpY2xlIjoiIiwibm9uLWRyb3BwaW5nLXBhcnRpY2xlIjoiIn0seyJmYW1pbHkiOiJTdG9yY2giLCJnaXZlbiI6IkUgQSIsInBhcnNlLW5hbWVzIjpmYWxzZSwiZHJvcHBpbmctcGFydGljbGUiOiIiLCJub24tZHJvcHBpbmctcGFydGljbGUiOiIifV0sImNvbnRhaW5lci10aXRsZSI6IkogUHN5Y2hpYXRyIFJlcyIsIkRPSSI6IjEwLjEwMTYvai5qcHN5Y2hpcmVzLjIwMTYuMDkuMDA3IiwiUE1JRCI6IjI3NjQzNDc2IiwiaXNzdWVkIjp7ImRhdGUtcGFydHMiOltbMjAxNl1dfSwicGFnZSI6IjE3Ni0xODMiLCJhYnN0cmFjdCI6IkJBQ0tHUk9VTkQ6IFByZW1vbml0b3J5IHVyZ2UgcmF0aW5ncyBoYXZlIGFkdmFuY2VkIG91ciB1bmRlcnN0YW5kaW5nIG9mIHVyZ2UgcGhlbm9tZW5vbG9neSBhbW9uZyBpbmRpdmlkdWFscyB3aXRoIHRpYyBkaXNvcmRlcnMgKFREKS4gSG93ZXZlciwgdGhlc2UgcmF0aW5ncyBoYXZlIGJlZW4gbGltaXRlZCBieSB0aGVpciByZWxpYW5jZSBvbiBhIHNpbmdsZSBnbG9iYWwgZGltZW5zaW9uIG9mIHVyZ2Ugc2V2ZXJpdHkuIFRoaXMgc3R1ZHkgZXhhbWluZWQgdGhlIHBzeWNob21ldHJpYyBwcm9wZXJ0aWVzIG9mIGEgbm92ZWwgc2NhbGUgY2FsbGVkIHRoZSBJbmRpdmlkdWFsaXplZCBQcmVtb25pdG9yeSBVcmdlIGZvciBUaWNzIFNjYWxlIChJLVBVVFMpIHRoYXQgYXNzZXNzZXMgdXJnZSBzZXZlcml0eSBhY3Jvc3MgbXVsdGlwbGUgZGltZW5zaW9ucyAobnVtYmVyLCBmcmVxdWVuY3ksIGFuZCBpbnRlbnNpdHkpLiBNRVRIT0Q6IFNldmVudHktZml2ZSB5b3V0aCB3aXRoIGEgVEQgYW5kIHRoZWlyIHBhcmVudHMgcGFydGljaXBhdGVkLiBDbGluaWNpYW5zIGFzc2Vzc2VkIHlvdXRoJ3MgdGljIHNldmVyaXR5LCBkZXByZXNzaW9uIHNldmVyaXR5LCByYWdlcywgYW5kIHByZW1vbml0b3J5IHVyZ2VzLiBQYXJlbnRzIGNvbXBsZXRlZCByYXRpbmdzIG9mIHlvdXRoJ3MgYW54aWV0eSwgYWZmZWN0IGxhYmlsaXR5LCBhbmQgZ2VuZXJhbCBwc3ljaG9wYXRob2xvZ3kuIFlvdXRoIGNvbXBsZXRlZCBzZWxmLXJlcG9ydCByYXRpbmdzIG9mIGFueGlldHksIHVyZ2Ugc2V2ZXJpdHksIGFuZCBkaXN0cmVzcyB0b2xlcmFuY2UuIFJFU1VMVFM6IFRoZSBJLVBVVFMgaWRlbnRpZmllZCB0aGF0IHlvdXRoIGV4cGVyaWVuY2VkIGFuIGF2ZXJhZ2Ugb2YgdGhyZWUgZGlzdGluY3QgdXJnZXMsIGJ1dCBoYWQgYW4gYXZlcmFnZSBvZiBzZXZlbiB0aWNzIG92ZXIgdGhlIHBhc3Qgd2Vlay4gVXJnZXMgd2VyZSBwcmltYXJpbHkgbG9jYWxpemVkIGluIHRoZSBoZWFkL2ZhY2UsIG5lY2svdGhyb2F0LCBhbmQgYXJtIHJlZ2lvbnMuIEFsbCBJLVBVVFMgZGltZW5zaW9ucyBleGhpYml0ZWQgZXhjZWxsZW50IGludGVyLXJhdGVyIHJlbGlhYmlsaXR5LiBUaGUgSS1QVVRTIGRpbWVuc2lvbnMgZXhoaWJpdGVkIGdvb2QgY29udmVyZ2VudCB2YWxpZGl0eSB3aXRoIGdsb2JhbCB1cmdlIHJhdGluZ3MgYW5kIHRpYyBzZXZlcml0eSwgYW5kIGFwcHJvcHJpYXRlIGRpdmVyZ2VudCB2YWxpZGl0eSBmcm9tIG90aGVyIGNsaW5pY2FsIGNvbnN0cnVjdHMuIFlvdXRoIHdobyBleGhpYml0ZWQgZGlzY3JlcGFudCByZXBvcnRzIGJldHdlZW4gY2xpbmljaWFuLWFkbWluaXN0ZXJlZCBhbmQgc2VsZi1yZXBvcnQgdXJnZSByYXRpbmdzIGhhZCBsZXNzIGFueGlldHkgYW5kIHRpYyBzZXZlcml0eSwgYW5kIGdyZWF0ZXIgaW5hdHRlbnRpb24gYW5kIGV4dGVybmFsaXppbmcgcHJvYmxlbXMgY29tcGFyZWQgdG8geW91dGggd2hvIGV4aGliaXRlZCBnb29kIGFncmVlbWVudC4gQ09OQ0xVU0lPTlM6IFRoZSBJLVBVVFMgaXMgYSByZWxpYWJsZSBhbmQgdmFsaWQgYXNzZXNzbWVudCBvZiB1cmdlIHBoZW5vbWVuYSwgd2hpY2ggcHJvdmlkZXMgYWRkaXRpb25hbCBhbmQgY29tcGxlbWVudGFyeSBpbmZvcm1hdGlvbiB0byBleGlzdGluZyB1cmdlIHNjYWxlcy4gSXQgaGlnaGxpZ2h0cyB0aGUgZXhpc3RlbmNlIG9mIG11bHRpcGxlIGRpbWVuc2lvbnMgb2YgdXJnZSBzZXZlcml0eSwgYW5kIHByZXNlbnRzIHBhcnRpY3VsYXIgdXRpbGl0eSB3aGVuIGFzc2Vzc2luZyB1cmdlcyBpbiB5b3V0aCB3aXRoIFREIHdobyBoYXZlIGluYXR0ZW50aW9uIGFuZCBleHRlcm5hbGl6aW5nIHByb2JsZW1zLiIsInZvbHVtZSI6IjgzIiwiY29udGFpbmVyLXRpdGxlLXNob3J0IjoiIn0sImlzVGVtcG9yYXJ5IjpmYWxzZX1dfQ==&quot;,&quot;citationItems&quot;:[{&quot;id&quot;:&quot;b18ea741-eef6-389d-9020-1133a99a3824&quot;,&quot;itemData&quot;:{&quot;type&quot;:&quot;article-journal&quot;,&quot;id&quot;:&quot;b18ea741-eef6-389d-9020-1133a99a3824&quot;,&quot;title&quot;:&quot;The premonitory urge revisited: An individualized premonitory urge for tics scale&quot;,&quot;groupId&quot;:&quot;07d62ac1-5aa8-39af-b49e-52d2088ac571&quot;,&quot;author&quot;:[{&quot;family&quot;:&quot;McGuire&quot;,&quot;given&quot;:&quot;J F&quot;,&quot;parse-names&quot;:false,&quot;dropping-particle&quot;:&quot;&quot;,&quot;non-dropping-particle&quot;:&quot;&quot;},{&quot;family&quot;:&quot;McBride&quot;,&quot;given&quot;:&quot;N&quot;,&quot;parse-names&quot;:false,&quot;dropping-particle&quot;:&quot;&quot;,&quot;non-dropping-particle&quot;:&quot;&quot;},{&quot;family&quot;:&quot;Piacentini&quot;,&quot;given&quot;:&quot;J&quot;,&quot;parse-names&quot;:false,&quot;dropping-particle&quot;:&quot;&quot;,&quot;non-dropping-particle&quot;:&quot;&quot;},{&quot;family&quot;:&quot;Johnco&quot;,&quot;given&quot;:&quot;C&quot;,&quot;parse-names&quot;:false,&quot;dropping-particle&quot;:&quot;&quot;,&quot;non-dropping-particle&quot;:&quot;&quot;},{&quot;family&quot;:&quot;Lewin&quot;,&quot;given&quot;:&quot;A B&quot;,&quot;parse-names&quot;:false,&quot;dropping-particle&quot;:&quot;&quot;,&quot;non-dropping-particle&quot;:&quot;&quot;},{&quot;family&quot;:&quot;Murphy&quot;,&quot;given&quot;:&quot;T K&quot;,&quot;parse-names&quot;:false,&quot;dropping-particle&quot;:&quot;&quot;,&quot;non-dropping-particle&quot;:&quot;&quot;},{&quot;family&quot;:&quot;Storch&quot;,&quot;given&quot;:&quot;E A&quot;,&quot;parse-names&quot;:false,&quot;dropping-particle&quot;:&quot;&quot;,&quot;non-dropping-particle&quot;:&quot;&quot;}],&quot;container-title&quot;:&quot;J Psychiatr Res&quot;,&quot;DOI&quot;:&quot;10.1016/j.jpsychires.2016.09.007&quot;,&quot;PMID&quot;:&quot;27643476&quot;,&quot;issued&quot;:{&quot;date-parts&quot;:[[2016]]},&quot;page&quot;:&quot;176-183&quot;,&quot;abstract&quot;:&quot;BACKGROUND: Premonitory urge ratings have advanced our understanding of urge phenomenology among individuals with tic disorders (TD). However, these ratings have been limited by their reliance on a single global dimension of urge severity. This study examined the psychometric properties of a novel scale called the Individualized Premonitory Urge for Tics Scale (I-PUTS) that assesses urge severity across multiple dimensions (number, frequency, and intensity). METHOD: Seventy-five youth with a TD and their parents participated. Clinicians assessed youth's tic severity, depression severity, rages, and premonitory urges. Parents completed ratings of youth's anxiety, affect lability, and general psychopathology. Youth completed self-report ratings of anxiety, urge severity, and distress tolerance. RESULTS: The I-PUTS identified that youth experienced an average of three distinct urges, but had an average of seven tics over the past week. Urges were primarily localized in the head/face, neck/throat, and arm regions. All I-PUTS dimensions exhibited excellent inter-rater reliability. The I-PUTS dimensions exhibited good convergent validity with global urge ratings and tic severity, and appropriate divergent validity from other clinical constructs. Youth who exhibited discrepant reports between clinician-administered and self-report urge ratings had less anxiety and tic severity, and greater inattention and externalizing problems compared to youth who exhibited good agreement. CONCLUSIONS: The I-PUTS is a reliable and valid assessment of urge phenomena, which provides additional and complementary information to existing urge scales. It highlights the existence of multiple dimensions of urge severity, and presents particular utility when assessing urges in youth with TD who have inattention and externalizing problems.&quot;,&quot;volume&quot;:&quot;83&quot;,&quot;container-title-short&quot;:&quot;&quot;},&quot;isTemporary&quot;:false}]},{&quot;citationID&quot;:&quot;MENDELEY_CITATION_919ef572-3569-4352-a22d-eeb8d5951374&quot;,&quot;properties&quot;:{&quot;noteIndex&quot;:0},&quot;isEdited&quot;:false,&quot;manualOverride&quot;:{&quot;isManuallyOverridden&quot;:false,&quot;citeprocText&quot;:&quot;(55)&quot;,&quot;manualOverrideText&quot;:&quot;&quot;},&quot;citationTag&quot;:&quot;MENDELEY_CITATION_v3_eyJjaXRhdGlvbklEIjoiTUVOREVMRVlfQ0lUQVRJT05fOTE5ZWY1NzItMzU2OS00MzUyLWEyMmQtZWViOGQ1OTUxMzc0IiwicHJvcGVydGllcyI6eyJub3RlSW5kZXgiOjB9LCJpc0VkaXRlZCI6ZmFsc2UsIm1hbnVhbE92ZXJyaWRlIjp7ImlzTWFudWFsbHlPdmVycmlkZGVuIjpmYWxzZSwiY2l0ZXByb2NUZXh0IjoiKDU1KSIsIm1hbnVhbE92ZXJyaWRlVGV4dCI6IiJ9LCJjaXRhdGlvbkl0ZW1zIjpbeyJpZCI6Ijc2NWI3MTE2LTdmNWItMzQ1Zi1hZGU4LTAyYTY3NjFjOGMxZCIsIml0ZW1EYXRhIjp7InR5cGUiOiJhcnRpY2xlLWpvdXJuYWwiLCJpZCI6Ijc2NWI3MTE2LTdmNWItMzQ1Zi1hZGU4LTAyYTY3NjFjOGMxZCIsInRpdGxlIjoiQW4gb2JzZXJ2YXRpb25hbCBzdHVkeSBvZiBlbW90aW9uIHJlZ3VsYXRpb24gaW4gY2hpbGRyZW4gd2l0aCBUb3VyZXR0ZSBzeW5kcm9tZSIsImdyb3VwSWQiOiIwN2Q2MmFjMS01YWE4LTM5YWYtYjQ5ZS01MmQyMDg4YWM1NzEiLCJhdXRob3IiOlt7ImZhbWlseSI6IkhhZ3N0csO4bSIsImdpdmVuIjoiSiIsInBhcnNlLW5hbWVzIjpmYWxzZSwiZHJvcHBpbmctcGFydGljbGUiOiIiLCJub24tZHJvcHBpbmctcGFydGljbGUiOiIifSx7ImZhbWlseSI6IlNwYW5nIiwiZ2l2ZW4iOiJLIFMiLCJwYXJzZS1uYW1lcyI6ZmFsc2UsImRyb3BwaW5nLXBhcnRpY2xlIjoiIiwibm9uLWRyb3BwaW5nLXBhcnRpY2xlIjoiIn0seyJmYW1pbHkiOiJWYW5na2lsZGUiLCJnaXZlbiI6IlMiLCJwYXJzZS1uYW1lcyI6ZmFsc2UsImRyb3BwaW5nLXBhcnRpY2xlIjoiIiwibm9uLWRyb3BwaW5nLXBhcnRpY2xlIjoiIn0seyJmYW1pbHkiOiJNYWlnYWFyZCIsImdpdmVuIjoiSyIsInBhcnNlLW5hbWVzIjpmYWxzZSwiZHJvcHBpbmctcGFydGljbGUiOiIiLCJub24tZHJvcHBpbmctcGFydGljbGUiOiIifSx7ImZhbWlseSI6IlNrb3YiLCJnaXZlbiI6IkwiLCJwYXJzZS1uYW1lcyI6ZmFsc2UsImRyb3BwaW5nLXBhcnRpY2xlIjoiIiwibm9uLWRyb3BwaW5nLXBhcnRpY2xlIjoiIn0seyJmYW1pbHkiOiJQYWdzYmVyZyIsImdpdmVuIjoiQSBLIiwicGFyc2UtbmFtZXMiOmZhbHNlLCJkcm9wcGluZy1wYXJ0aWNsZSI6IiIsIm5vbi1kcm9wcGluZy1wYXJ0aWNsZSI6IiJ9LHsiZmFtaWx5IjoiSmVwc2VuIiwiZ2l2ZW4iOiJKIFIgTSIsInBhcnNlLW5hbWVzIjpmYWxzZSwiZHJvcHBpbmctcGFydGljbGUiOiIiLCJub24tZHJvcHBpbmctcGFydGljbGUiOiIifSx7ImZhbWlseSI6IlBsZXNzZW4iLCJnaXZlbiI6IksgSiIsInBhcnNlLW5hbWVzIjpmYWxzZSwiZHJvcHBpbmctcGFydGljbGUiOiIiLCJub24tZHJvcHBpbmctcGFydGljbGUiOiIifV0sImNvbnRhaW5lci10aXRsZSI6IkogQ2hpbGQgUHN5Y2hvbCBQc3ljaGlhdHJ5IiwiRE9JIjoiMTAuMTExMS9qY3BwLjEzMzc1IiwiUE1JRCI6IjMzMzY4MjQ0IiwiVVJMIjoiaHR0cHM6Ly9hY2FtaC1vbmxpbmVsaWJyYXJ5LXdpbGV5LWNvbS5wcm94eS5saWJyYXJ5LnZhbmRlcmJpbHQuZWR1L2RvaS9mdWxsLzEwLjExMTEvamNwcC4xMzM3NSIsImlzc3VlZCI6eyJkYXRlLXBhcnRzIjpbWzIwMjFdXX0sInBhZ2UiOiI3OTAtNzk3IiwiYWJzdHJhY3QiOiJCQUNLR1JPVU5EOiBFeHBsb3NpdmUgb3V0YnVyc3RzIG9jY3VyIGluIDI1JS03MCUgb2YgY2hpbGRyZW4gd2l0aCBUb3VyZXR0ZSBzeW5kcm9tZSAoVFMpIGFuZCBtYXkgY2F1c2UgbW9yZSBkaXN0cmVzcyB0aGFuIHRoZSB0aWNzIHRoZW1zZWx2ZXMuIFByZXZpb3VzIHN0dWRpZXMgaGF2ZSBpbmRpY2F0ZWQgdGhhdCBhIGNvbW9yYmlkIGRpYWdub3NpcyBvZiBhdHRlbnRpb24tZGVmaWNpdC9oeXBlcmFjdGl2aXR5IGRpc29yZGVyIChBREhEKSBpcyBhc3NvY2lhdGVkIHdpdGggZW1vdGlvbmFsIGR5c3JlZ3VsYXRpb24gaW4gVFM7IGhvd2V2ZXIsIHRoaXMgcmVsYXRpb25zaGlwIGhhcyBhbG1vc3QgZXhjbHVzaXZlbHkgYmVlbiBzdHVkaWVkIHVzaW5nIHBhcmVudC1yZXBvcnRlZCBxdWVzdGlvbm5haXJlcy4gTUVUSE9EUzogV2UgZXhhbWluZWQgZW1vdGlvbiByZWd1bGF0aW9uIChFUikgd2l0aCBhbiBvYnNlcnZhdGlvbmFsIG1lYXN1cmUgaW4gMTUwIG1lZGljYXRpb24tbmHDr3ZlIGNoaWxkcmVuIGFnZWQgNy0xMiBhbGxvY2F0ZWQgdG8gZm91ciBncm91cHM6IEZvcnR5LW5pbmUgY2hpbGRyZW4gd2l0aCBUUywgMjMgY2hpbGRyZW4gd2l0aCBBREhELCAxNiBjaGlsZHJlbiB3aXRoIFRTwqArwqBBREhELCBhbmQgNjIgdHlwaWNhbGx5IGRldmVsb3BpbmcgY29udHJvbHMuIFdlIGFzc2Vzc2VkIHBhcnRpY2lwYW50cycgRVIgYWJpbGl0eSwgYXMgd2VsbCBhcyBwYXJlbnQtY2hpbGQgaW50ZXJhY3Rpb25zIGluIHRoZSBjb250ZXh0IG9mIGEgY29tcGxleCBwdXp6bGUgdGFzaywgYW5kIGNvZGVkIHRoZSBvYnNlcnZlZCBiZWhhdmlvciB3aXRoIHRoZSBUYW5ncmFtIEVtb3Rpb24gQ29kaW5nIE1hbnVhbCAoVEVDLU0pLiBXZSBleGFtaW5lZCBncm91cCBkaWZmZXJlbmNlcyBpbiBFUiwgYXMgd2VsbCBhcyBhc3NvY2lhdGlvbnMgYmV0d2VlbiBFUiBhbmQgc2V2ZXJpdHkgb2Ygc3ltcHRvbXMgcGVydGFpbmluZyB0byBUUyBhbmQgQURIRC4gUkVTVUxUUzogQ2hpbGRyZW4gd2l0aCBUUyBkaWQgbm90IGRpZmZlciBmcm9tIGNvbnRyb2xzIGluIHRoZWlyIEVSIGFiaWxpdHkuIEhvd2V2ZXIsIGNoaWxkcmVuIHdpdGggQURIRCBhbmQgVFPCoCvCoEFESEQgaGFkIG1vcmUgcHJvYmxlbXMgd2l0aCBFUiB0aGFuIHRob3NlIHdpdGggVFMgb25seSBhbmQgY29udHJvbHMuIEZpbmFsbHksIHBhcmVudHMgb2YgY2hpbGRyZW4gd2l0aCBBREhEIGRpc3BsYXllZCBtb3JlIHRlbnNpb24gZHVyaW5nIHRoZSBleHBlcmltZW50YWwgdGFzay4gRVIgYWJpbGl0eSB3YXMgbm90IGFzc29jaWF0ZWQgd2l0aCB0aWMgc2V2ZXJpdHkgbm9yIHByZW1vbml0b3J5IHVyZ2VzOyBob3dldmVyLCBiZXR0ZXIgRVIgYWJpbGl0eSB3YXMgYXNzb2NpYXRlZCB3aXRoIGxlc3Mgc2V2ZXJlIHN5bXB0b21zIG9mIEFESEQuIENPTkNMVVNJT05TOiBUaGlzIHN0dWR5IGlzIHRoZSBmaXJzdCB0byBldmFsdWF0ZSBFUiB3aXRoIGFuIG9ic2VydmF0aW9uYWwsIGNsaW5pY2lhbi1yYXRlZCBtZWFzdXJlIGluIGEgY29udHJvbGxlZCBzb2NpYWwgc2V0dGluZyBpbiBjaGlsZHJlbiB3aXRoIFRTLiBPdXIgZmluZGluZ3Mgc3VwcG9ydCBlYXJsaWVyIHF1ZXN0aW9ubmFpcmUtYmFzZWQgc3R1ZGllcyBieSBzaG93aW5nIGltcGFpcmVkIEVSIGluIGNoaWxkcmVuIHdpdGggVFPCoCvCoEFESEQsIGJ1dCBub3QgaW4gY2hpbGRyZW4gd2l0aCBUUyB3aXRob3V0IGNvbW9yYmlkaXR5LiBUaGVzZSBmaW5kaW5ncyBpbmZvcm0gb3VyIHVuZGVyc3RhbmRpbmcgb2YgdGhlIHBoZW5vbWVub2xvZ3kgb2YgZW1vdGlvbmFsIGR5c3JlZ3VsYXRpb24gaW4gVFMgYW5kIHRoZSByb2xlIG9mIGNvbW9yYmlkIGRpc29yZGVycy4iLCJpc3N1ZSI6IjYiLCJ2b2x1bWUiOiI2MiIsImNvbnRhaW5lci10aXRsZS1zaG9ydCI6IiJ9LCJpc1RlbXBvcmFyeSI6ZmFsc2V9XX0=&quot;,&quot;citationItems&quot;:[{&quot;id&quot;:&quot;765b7116-7f5b-345f-ade8-02a6761c8c1d&quot;,&quot;itemData&quot;:{&quot;type&quot;:&quot;article-journal&quot;,&quot;id&quot;:&quot;765b7116-7f5b-345f-ade8-02a6761c8c1d&quot;,&quot;title&quot;:&quot;An observational study of emotion regulation in children with Tourette syndrome&quot;,&quot;groupId&quot;:&quot;07d62ac1-5aa8-39af-b49e-52d2088ac571&quot;,&quot;author&quot;:[{&quot;family&quot;:&quot;Hagstrøm&quot;,&quot;given&quot;:&quot;J&quot;,&quot;parse-names&quot;:false,&quot;dropping-particle&quot;:&quot;&quot;,&quot;non-dropping-particle&quot;:&quot;&quot;},{&quot;family&quot;:&quot;Spang&quot;,&quot;given&quot;:&quot;K S&quot;,&quot;parse-names&quot;:false,&quot;dropping-particle&quot;:&quot;&quot;,&quot;non-dropping-particle&quot;:&quot;&quot;},{&quot;family&quot;:&quot;Vangkilde&quot;,&quot;given&quot;:&quot;S&quot;,&quot;parse-names&quot;:false,&quot;dropping-particle&quot;:&quot;&quot;,&quot;non-dropping-particle&quot;:&quot;&quot;},{&quot;family&quot;:&quot;Maigaard&quot;,&quot;given&quot;:&quot;K&quot;,&quot;parse-names&quot;:false,&quot;dropping-particle&quot;:&quot;&quot;,&quot;non-dropping-particle&quot;:&quot;&quot;},{&quot;family&quot;:&quot;Skov&quot;,&quot;given&quot;:&quot;L&quot;,&quot;parse-names&quot;:false,&quot;dropping-particle&quot;:&quot;&quot;,&quot;non-dropping-particle&quot;:&quot;&quot;},{&quot;family&quot;:&quot;Pagsberg&quot;,&quot;given&quot;:&quot;A K&quot;,&quot;parse-names&quot;:false,&quot;dropping-particle&quot;:&quot;&quot;,&quot;non-dropping-particle&quot;:&quot;&quot;},{&quot;family&quot;:&quot;Jepsen&quot;,&quot;given&quot;:&quot;J R M&quot;,&quot;parse-names&quot;:false,&quot;dropping-particle&quot;:&quot;&quot;,&quot;non-dropping-particle&quot;:&quot;&quot;},{&quot;family&quot;:&quot;Plessen&quot;,&quot;given&quot;:&quot;K J&quot;,&quot;parse-names&quot;:false,&quot;dropping-particle&quot;:&quot;&quot;,&quot;non-dropping-particle&quot;:&quot;&quot;}],&quot;container-title&quot;:&quot;J Child Psychol Psychiatry&quot;,&quot;DOI&quot;:&quot;10.1111/jcpp.13375&quot;,&quot;PMID&quot;:&quot;33368244&quot;,&quot;URL&quot;:&quot;https://acamh-onlinelibrary-wiley-com.proxy.library.vanderbilt.edu/doi/full/10.1111/jcpp.13375&quot;,&quot;issued&quot;:{&quot;date-parts&quot;:[[2021]]},&quot;page&quot;:&quot;790-797&quot;,&quot;abstract&quot;:&quot;BACKGROUND: Explosive outbursts occur in 25%-70% of children with Tourette syndrome (TS) and may cause more distress than the tics themselves. Previous studies have indicated that a comorbid diagnosis of attention-deficit/hyperactivity disorder (ADHD) is associated with emotional dysregulation in TS; however, this relationship has almost exclusively been studied using parent-reported questionnaires. METHODS: We examined emotion regulation (ER) with an observational measure in 150 medication-naïve children aged 7-12 allocated to four groups: Forty-nine children with TS, 23 children with ADHD, 16 children with TS + ADHD, and 62 typically developing controls. We assessed participants' ER ability, as well as parent-child interactions in the context of a complex puzzle task, and coded the observed behavior with the Tangram Emotion Coding Manual (TEC-M). We examined group differences in ER, as well as associations between ER and severity of symptoms pertaining to TS and ADHD. RESULTS: Children with TS did not differ from controls in their ER ability. However, children with ADHD and TS + ADHD had more problems with ER than those with TS only and controls. Finally, parents of children with ADHD displayed more tension during the experimental task. ER ability was not associated with tic severity nor premonitory urges; however, better ER ability was associated with less severe symptoms of ADHD. CONCLUSIONS: This study is the first to evaluate ER with an observational, clinician-rated measure in a controlled social setting in children with TS. Our findings support earlier questionnaire-based studies by showing impaired ER in children with TS + ADHD, but not in children with TS without comorbidity. These findings inform our understanding of the phenomenology of emotional dysregulation in TS and the role of comorbid disorders.&quot;,&quot;issue&quot;:&quot;6&quot;,&quot;volume&quot;:&quot;62&quot;,&quot;container-title-short&quot;:&quot;&quot;},&quot;isTemporary&quot;:false}]},{&quot;citationID&quot;:&quot;MENDELEY_CITATION_253b4024-4aaa-4ce1-92f7-f5ae99df616a&quot;,&quot;properties&quot;:{&quot;noteIndex&quot;:0},&quot;isEdited&quot;:false,&quot;manualOverride&quot;:{&quot;isManuallyOverridden&quot;:false,&quot;citeprocText&quot;:&quot;(7)&quot;,&quot;manualOverrideText&quot;:&quot;&quot;},&quot;citationTag&quot;:&quot;MENDELEY_CITATION_v3_eyJjaXRhdGlvbklEIjoiTUVOREVMRVlfQ0lUQVRJT05fMjUzYjQwMjQtNGFhYS00Y2UxLTkyZjctZjVhZTk5ZGY2MTZhIiwicHJvcGVydGllcyI6eyJub3RlSW5kZXgiOjB9LCJpc0VkaXRlZCI6ZmFsc2UsIm1hbnVhbE92ZXJyaWRlIjp7ImlzTWFudWFsbHlPdmVycmlkZGVuIjpmYWxzZSwiY2l0ZXByb2NUZXh0IjoiKDcpIiwibWFudWFsT3ZlcnJpZGVUZXh0IjoiIn0sImNpdGF0aW9uSXRlbXMiOlt7ImlkIjoiMjMxMzg1NzUtZDFlNC0zZWFmLWJiM2UtNGRlMTJiNWNmMTBhIiwiaXRlbURhdGEiOnsidHlwZSI6ImFydGljbGUtam91cm5hbCIsImlkIjoiMjMxMzg1NzUtZDFlNC0zZWFmLWJiM2UtNGRlMTJiNWNmMTBhIiwidGl0bGUiOiJUaGUgUHJlbW9uaXRvcnkgVXJnZSBmb3IgVGljcyBTY2FsZSBpbiBhIGxhcmdlIHNhbXBsZSBvZiBjaGlsZHJlbiBhbmQgYWRvbGVzY2VudHM6IHBzeWNob21ldHJpYyBwcm9wZXJ0aWVzIGluIGEgZGV2ZWxvcG1lbnRhbCBjb250ZXh0LiBBbiBFTVRJQ1Mgc3R1ZHkiLCJncm91cElkIjoiMDdkNjJhYzEtNWFhOC0zOWFmLWI0OWUtNTJkMjA4OGFjNTcxIiwiYXV0aG9yIjpbeyJmYW1pbHkiOiJPcGVubmVlciIsImdpdmVuIjoiVCBKIEMiLCJwYXJzZS1uYW1lcyI6ZmFsc2UsImRyb3BwaW5nLXBhcnRpY2xlIjoiIiwibm9uLWRyb3BwaW5nLXBhcnRpY2xlIjoiIn0seyJmYW1pbHkiOiJUw6Fybm9rIiwiZ2l2ZW4iOiJaIiwicGFyc2UtbmFtZXMiOmZhbHNlLCJkcm9wcGluZy1wYXJ0aWNsZSI6IiIsIm5vbi1kcm9wcGluZy1wYXJ0aWNsZSI6IiJ9LHsiZmFtaWx5IjoiQm9nbmFyIiwiZ2l2ZW4iOiJFIiwicGFyc2UtbmFtZXMiOmZhbHNlLCJkcm9wcGluZy1wYXJ0aWNsZSI6IiIsIm5vbi1kcm9wcGluZy1wYXJ0aWNsZSI6IiJ9LHsiZmFtaWx5IjoiQmVuYXJveWEtTWlsc2h0ZWluIiwiZ2l2ZW4iOiJOIiwicGFyc2UtbmFtZXMiOmZhbHNlLCJkcm9wcGluZy1wYXJ0aWNsZSI6IiIsIm5vbi1kcm9wcGluZy1wYXJ0aWNsZSI6IiJ9LHsiZmFtaWx5IjoiR2FyY2lhLURlbGdhciIsImdpdmVuIjoiQiIsInBhcnNlLW5hbWVzIjpmYWxzZSwiZHJvcHBpbmctcGFydGljbGUiOiIiLCJub24tZHJvcHBpbmctcGFydGljbGUiOiIifSx7ImZhbWlseSI6Ik1vcmVyIiwiZ2l2ZW4iOiJBIiwicGFyc2UtbmFtZXMiOmZhbHNlLCJkcm9wcGluZy1wYXJ0aWNsZSI6IiIsIm5vbi1kcm9wcGluZy1wYXJ0aWNsZSI6IiJ9LHsiZmFtaWx5IjoiU3RlaW5iZXJnIiwiZ2l2ZW4iOiJUIiwicGFyc2UtbmFtZXMiOmZhbHNlLCJkcm9wcGluZy1wYXJ0aWNsZSI6IiIsIm5vbi1kcm9wcGluZy1wYXJ0aWNsZSI6IiJ9LHsiZmFtaWx5IjoiSG9la3N0cmEiLCJnaXZlbiI6IlAgSiIsInBhcnNlLW5hbWVzIjpmYWxzZSwiZHJvcHBpbmctcGFydGljbGUiOiIiLCJub24tZHJvcHBpbmctcGFydGljbGUiOiIifSx7ImZhbWlseSI6IkRpZXRyaWNoIiwiZ2l2ZW4iOiJBIiwicGFyc2UtbmFtZXMiOmZhbHNlLCJkcm9wcGluZy1wYXJ0aWNsZSI6IiIsIm5vbi1kcm9wcGluZy1wYXJ0aWNsZSI6IiJ9XSwiY29udGFpbmVyLXRpdGxlIjoiRXVyIENoaWxkIEFkb2xlc2MgUHN5Y2hpYXRyeSIsIkRPSSI6IjEwLjEwMDcvczAwNzg3LTAxOS0wMTQ1MC0xIiwiUE1JRCI6IjMxODAyMjcxIiwiVVJMIjoiaHR0cHM6Ly9saW5rLnNwcmluZ2VyLmNvbS9jb250ZW50L3BkZi8xMC4xMDA3L3MwMDc4Ny0wMTktMDE0NTAtMS5wZGYiLCJpc3N1ZWQiOnsiZGF0ZS1wYXJ0cyI6W1syMDIwXV19LCJwYWdlIjoiMTQxMS0xNDI0IiwiYWJzdHJhY3QiOiJQcmVtb25pdG9yeSB1cmdlcyBhcmUgdW5jb21mb3J0YWJsZSBwaHlzaWNhbCBzZW5zYXRpb25zIHByZWNlZGluZyB0aWNzIHRoYXQgb2NjdXIgaW4gbW9zdCBpbmRpdmlkdWFscyB3aXRoIGEgY2hyb25pYyB0aWMgZGlzb3JkZXIuIFRoZSBQcmVtb25pdG9yeSBVcmdlIGZvciBUaWNzIFNjYWxlIChQVVRTKSBpcyB0aGUgbW9zdCBmcmVxdWVudGx5IHVzZWQgc2VsZi1yZXBvcnQgbWVhc3VyZSB0byBhc3Nlc3MgdGhlIHNldmVyaXR5IG9mIHByZW1vbml0b3J5IHVyZ2VzLiBXZSBhaW1lZCB0byBldmFsdWF0ZSB0aGUgcHN5Y2hvbWV0cmljIHByb3BlcnRpZXMgb2YgdGhlIFBVVFMgaW4gdGhlIGxhcmdlc3Qgc2FtcGxlIHNpemUgdG8gZGF0ZSAobuKAiT3igIk2NTYpLCBpbiBjaGlsZHJlbiBhZ2VkIDMtMTbCoHllYXJzLCBmcm9tIHRoZSBiYXNlbGluZSBtZWFzdXJlbWVudCBvZiB0aGUgbG9uZ2l0dWRpbmFsIEV1cm9wZWFuIE11bHRpY2VudGVyIFRpY3MgaW4gQ2hpbGRyZW4gU3R1ZHkgKEVNVElDUykuIE91ciBwc3ljaG9tZXRyaWMgZXZhbHVhdGlvbiB3YXMgZG9uZSBpbiB0aHJlZSBhZ2UtZ3JvdXBzOiBjaGlsZHJlbiBhZ2VkIDMtN8KgeWVhcnMgKG7igIk94oCJMTAzKSwgY2hpbGRyZW4gYmV0d2VlbiA4IGFuZCAxMMKgeWVhcnMgKG7igIk94oCJMjUzKSwgYW5kIGNoaWxkcmVuIGFnZWQgMTEtMTbCoHllYXJzIChu4oCJPeKAiTMwMCkuIFRoZSBQVVRTIGV4aGliaXRlZCBnb29kIGludGVybmFsIHJlbGlhYmlsaXR5IGluIGNoaWxkcmVuIGFuZCBhZG9sZXNjZW50cywgYWxzbyB1bmRlciB0aGUgYWdlIG9mIDEwLCB3aGljaCBpcyB5b3VuZ2VyIHRoYW4gcHJldmlvdXNseSB0aG91Z2h0LiBXZSBvYnNlcnZlZCBzaWduaWZpY2FudCBidXQgc21hbGwgY29ycmVsYXRpb25zIGJldHdlZW4gdGhlIHNldmVyaXR5IG9mIHVyZ2VzIGFuZCBzZXZlcml0eSBvZiB0aWNzIGFuZCBvYnNlc3NpdmUtY29tcHVsc2l2ZSBzeW1wdG9tcywgYW5kIGJldHdlZW4gc2V2ZXJpdHkgb2YgdXJnZXMgYW5kIHJhdGluZ3Mgb2YgYXR0ZW50aW9uLWRlZmljaXQvaHlwZXJhY3Rpdml0eSBkaXNvcmRlciBhbmQgaW50ZXJuYWxpemluZyBhbmQgZXh0ZXJuYWxpemluZyBiZWhhdmlvcnMsIGhvd2V2ZXIsIG9ubHkgaW4gY2hpbGRyZW4gb2YgOC0xMMKgeWVhcnMuIENvbnNpc3RlbnQgd2l0aCBwcmV2aW91cyByZXN1bHRzLCB0aGUgMTB0aCBpdGVtIG9mIHRoZSBQVVRTIGNvcnJlbGF0ZWQgbGVzcyB3aXRoIHRoZSByZXN0IG9mIHRoZSBzY2FsZSBjb21wYXJlZCB0byB0aGUgb3RoZXIgaXRlbXMgYW5kLCB0aGVyZWZvcmUsIHNob3VsZCBub3QgYmUgdXNlZCBhcyBwYXJ0IG9mIHRoZSBxdWVzdGlvbm5haXJlLiBXZSBmb3VuZCBhIHR3by1mYWN0b3Igc3RydWN0dXJlIG9mIHRoZSBQVVRTIGluIGNoaWxkcmVuIG9mIDExwqB5ZWFycyBhbmQgb2xkZXIsIGRpc3Rpbmd1aXNoaW5nIGJldHdlZW4gc2Vuc29yeSBwaGVub21lbmEgcmVsYXRlZCB0byB0aWNzLCBhbmQgbWVudGFsIHBoZW5vbWVuYSBhcyBvZnRlbiBmb3VuZCBpbiBvYnNlc3NpdmUtY29tcHVsc2l2ZSBkaXNvcmRlci4gVGhlIGFnZS1yZWxhdGVkIGRpZmZlcmVuY2VzIG9ic2VydmVkIGluIHRoaXMgc3R1ZHkgbWF5IGluZGljYXRlIHRoZSBuZWVkIGZvciB0aGUgZGV2ZWxvcG1lbnQgb2YgYW4gYWdlLXNwZWNpZmljIHF1ZXN0aW9ubmFpcmUgdG8gYXNzZXNzIHByZW1vbml0b3J5IHVyZ2VzLiIsImlzc3VlIjoiMTAiLCJ2b2x1bWUiOiIyOSIsImNvbnRhaW5lci10aXRsZS1zaG9ydCI6IiJ9LCJpc1RlbXBvcmFyeSI6ZmFsc2V9XX0=&quot;,&quot;citationItems&quot;:[{&quot;id&quot;:&quot;23138575-d1e4-3eaf-bb3e-4de12b5cf10a&quot;,&quot;itemData&quot;:{&quot;type&quot;:&quot;article-journal&quot;,&quot;id&quot;:&quot;23138575-d1e4-3eaf-bb3e-4de12b5cf10a&quot;,&quot;title&quot;:&quot;The Premonitory Urge for Tics Scale in a large sample of children and adolescents: psychometric properties in a developmental context. An EMTICS study&quot;,&quot;groupId&quot;:&quot;07d62ac1-5aa8-39af-b49e-52d2088ac571&quot;,&quot;author&quot;:[{&quot;family&quot;:&quot;Openneer&quot;,&quot;given&quot;:&quot;T J C&quot;,&quot;parse-names&quot;:false,&quot;dropping-particle&quot;:&quot;&quot;,&quot;non-dropping-particle&quot;:&quot;&quot;},{&quot;family&quot;:&quot;Tárnok&quot;,&quot;given&quot;:&quot;Z&quot;,&quot;parse-names&quot;:false,&quot;dropping-particle&quot;:&quot;&quot;,&quot;non-dropping-particle&quot;:&quot;&quot;},{&quot;family&quot;:&quot;Bognar&quot;,&quot;given&quot;:&quot;E&quot;,&quot;parse-names&quot;:false,&quot;dropping-particle&quot;:&quot;&quot;,&quot;non-dropping-particle&quot;:&quot;&quot;},{&quot;family&quot;:&quot;Benaroya-Milshtein&quot;,&quot;given&quot;:&quot;N&quot;,&quot;parse-names&quot;:false,&quot;dropping-particle&quot;:&quot;&quot;,&quot;non-dropping-particle&quot;:&quot;&quot;},{&quot;family&quot;:&quot;Garcia-Delgar&quot;,&quot;given&quot;:&quot;B&quot;,&quot;parse-names&quot;:false,&quot;dropping-particle&quot;:&quot;&quot;,&quot;non-dropping-particle&quot;:&quot;&quot;},{&quot;family&quot;:&quot;Morer&quot;,&quot;given&quot;:&quot;A&quot;,&quot;parse-names&quot;:false,&quot;dropping-particle&quot;:&quot;&quot;,&quot;non-dropping-particle&quot;:&quot;&quot;},{&quot;family&quot;:&quot;Steinberg&quot;,&quot;given&quot;:&quot;T&quot;,&quot;parse-names&quot;:false,&quot;dropping-particle&quot;:&quot;&quot;,&quot;non-dropping-particle&quot;:&quot;&quot;},{&quot;family&quot;:&quot;Hoekstra&quot;,&quot;given&quot;:&quot;P J&quot;,&quot;parse-names&quot;:false,&quot;dropping-particle&quot;:&quot;&quot;,&quot;non-dropping-particle&quot;:&quot;&quot;},{&quot;family&quot;:&quot;Dietrich&quot;,&quot;given&quot;:&quot;A&quot;,&quot;parse-names&quot;:false,&quot;dropping-particle&quot;:&quot;&quot;,&quot;non-dropping-particle&quot;:&quot;&quot;}],&quot;container-title&quot;:&quot;Eur Child Adolesc Psychiatry&quot;,&quot;DOI&quot;:&quot;10.1007/s00787-019-01450-1&quot;,&quot;PMID&quot;:&quot;31802271&quot;,&quot;URL&quot;:&quot;https://link.springer.com/content/pdf/10.1007/s00787-019-01450-1.pdf&quot;,&quot;issued&quot;:{&quot;date-parts&quot;:[[2020]]},&quot;page&quot;:&quot;1411-1424&quot;,&quot;abstract&quot;:&quot;Premonitory urges are uncomfortable physical sensations preceding tics that occur in most individuals with a chronic tic disorder. The Premonitory Urge for Tics Scale (PUTS) is the most frequently used self-report measure to assess the severity of premonitory urges. We aimed to evaluate the psychometric properties of the PUTS in the largest sample size to date (n = 656), in children aged 3-16 years, from the baseline measurement of the longitudinal European Multicenter Tics in Children Study (EMTICS). Our psychometric evaluation was done in three age-groups: children aged 3-7 years (n = 103), children between 8 and 10 years (n = 253), and children aged 11-16 years (n = 300). The PUTS exhibited good internal reliability in children and adolescents, also under the age of 10, which is younger than previously thought. We observed significant but small correlations between the severity of urges and severity of tics and obsessive-compulsive symptoms, and between severity of urges and ratings of attention-deficit/hyperactivity disorder and internalizing and externalizing behaviors, however, only in children of 8-10 years. Consistent with previous results, the 10th item of the PUTS correlated less with the rest of the scale compared to the other items and, therefore, should not be used as part of the questionnaire. We found a two-factor structure of the PUTS in children of 11 years and older, distinguishing between sensory phenomena related to tics, and mental phenomena as often found in obsessive-compulsive disorder. The age-related differences observed in this study may indicate the need for the development of an age-specific questionnaire to assess premonitory urges.&quot;,&quot;issue&quot;:&quot;10&quot;,&quot;volume&quot;:&quot;29&quot;,&quot;container-title-short&quot;:&quot;&quot;},&quot;isTemporary&quot;:false}]},{&quot;citationID&quot;:&quot;MENDELEY_CITATION_c57b43a8-6d99-48ed-abd3-5ee517fc5a22&quot;,&quot;properties&quot;:{&quot;noteIndex&quot;:0},&quot;isEdited&quot;:false,&quot;manualOverride&quot;:{&quot;isManuallyOverridden&quot;:false,&quot;citeprocText&quot;:&quot;(27)&quot;,&quot;manualOverrideText&quot;:&quot;&quot;},&quot;citationTag&quot;:&quot;MENDELEY_CITATION_v3_eyJjaXRhdGlvbklEIjoiTUVOREVMRVlfQ0lUQVRJT05fYzU3YjQzYTgtNmQ5OS00OGVkLWFiZDMtNWVlNTE3ZmM1YTIyIiwicHJvcGVydGllcyI6eyJub3RlSW5kZXgiOjB9LCJpc0VkaXRlZCI6ZmFsc2UsIm1hbnVhbE92ZXJyaWRlIjp7ImlzTWFudWFsbHlPdmVycmlkZGVuIjpmYWxzZSwiY2l0ZXByb2NUZXh0IjoiKDI3KSIsIm1hbnVhbE92ZXJyaWRlVGV4dCI6IiJ9LCJjaXRhdGlvbkl0ZW1zIjpbeyJpZCI6IjEzNTI2YjJhLWYxZDQtMzE5MS1hYjExLTE4MDAyZThhZTUxYSIsIml0ZW1EYXRhIjp7InR5cGUiOiJhcnRpY2xlLWpvdXJuYWwiLCJpZCI6IjEzNTI2YjJhLWYxZDQtMzE5MS1hYjExLTE4MDAyZThhZTUxYSIsInRpdGxlIjoiVXJnZSBJbnRvbGVyYW5jZSBhbmQgSW1wYWlybWVudCBBbW9uZyBZb3V0aCB3aXRoIFRvdXJldHRlJ3MgYW5kIENocm9uaWMgVGljIERpc29yZGVycyIsImdyb3VwSWQiOiIwN2Q2MmFjMS01YWE4LTM5YWYtYjQ5ZS01MmQyMDg4YWM1NzEiLCJhdXRob3IiOlt7ImZhbWlseSI6IlJhbXNleSIsImdpdmVuIjoiSyBBIiwicGFyc2UtbmFtZXMiOmZhbHNlLCJkcm9wcGluZy1wYXJ0aWNsZSI6IiIsIm5vbi1kcm9wcGluZy1wYXJ0aWNsZSI6IiJ9LHsiZmFtaWx5IjoiRXNzb2UiLCJnaXZlbiI6IkogSyIsInBhcnNlLW5hbWVzIjpmYWxzZSwiZHJvcHBpbmctcGFydGljbGUiOiIiLCJub24tZHJvcHBpbmctcGFydGljbGUiOiIifSx7ImZhbWlseSI6IlN0b3JjaCIsImdpdmVuIjoiRSBBIiwicGFyc2UtbmFtZXMiOmZhbHNlLCJkcm9wcGluZy1wYXJ0aWNsZSI6IiIsIm5vbi1kcm9wcGluZy1wYXJ0aWNsZSI6IiJ9LHsiZmFtaWx5IjoiTGV3aW4iLCJnaXZlbiI6IkEgQiIsInBhcnNlLW5hbWVzIjpmYWxzZSwiZHJvcHBpbmctcGFydGljbGUiOiIiLCJub24tZHJvcHBpbmctcGFydGljbGUiOiIifSx7ImZhbWlseSI6Ik11cnBoeSIsImdpdmVuIjoiVCBLIiwicGFyc2UtbmFtZXMiOmZhbHNlLCJkcm9wcGluZy1wYXJ0aWNsZSI6IiIsIm5vbi1kcm9wcGluZy1wYXJ0aWNsZSI6IiJ9LHsiZmFtaWx5IjoiTWNHdWlyZSIsImdpdmVuIjoiSiBGIiwicGFyc2UtbmFtZXMiOmZhbHNlLCJkcm9wcGluZy1wYXJ0aWNsZSI6IiIsIm5vbi1kcm9wcGluZy1wYXJ0aWNsZSI6IiJ9XSwiY29udGFpbmVyLXRpdGxlIjoiQ2hpbGQgUHN5Y2hpYXRyeSBIdW0gRGV2IiwiRE9JIjoiMTAuMTAwNy9zMTA1NzgtMDIwLTAxMDg1LTMiLCJQTUlEIjoiMzMwOTU0MDYiLCJVUkwiOiJodHRwczovL2xpbmsuc3ByaW5nZXIuY29tL2FydGljbGUvMTAuMTAwNy9zMTA1NzgtMDIwLTAxMDg1LTMiLCJpc3N1ZWQiOnsiZGF0ZS1wYXJ0cyI6W1syMDIxXV19LCJwYWdlIjoiNzYxLTc3MSIsImFic3RyYWN0IjoiSW5kaXZpZHVhbHMgd2l0aCBUb3VyZXR0ZSdzIERpc29yZGVyIGFuZCBQZXJzaXN0ZW50IFRpYyBEaXNvcmRlcnMgKFREKSBvZnRlbiBleHBlcmllbmNlIHByZW1vbml0b3J5IHVyZ2VzLWF2ZXJzaXZlIHNlbnNhdGlvbnMgdGhhdCBwcmVjZWRlIHRpY3MgYW5kIGFyZSByZWxpZXZlZCBieSB0aWMgZXhwcmVzc2lvbi4gR2l2ZW4gaXRzIHJvbGUgaW4gdGhlIG5ldXJvYmVoYXZpb3JhbCBtb2RlbCBvZiBURCwgdW5kZXJzdGFuZGluZyBmYWN0b3JzIHRoYXQgaW5mbHVlbmNlIHByZW1vbml0b3J5IHVyZ2VzIGFuZCBhc3NvY2lhdGVkIHJlbGllZiBjYW4gYWR2YW5jZSB1bmRlcnN0YW5kaW5nIG9mIHVyZ2UgcGhlbm9tZW5vbG9neSBhbmQgb3B0aW1pemUgdHJlYXRtZW50cyBmb3IgaW5kaXZpZHVhbHMgd2l0aCBURC4gVGhpcyBzdHVkeSBleGFtaW5lZCB3aGV0aGVyIHRoZSBub3ZlbCBjb25zdHJ1Y3Qgb2YgdXJnZSBpbnRvbGVyYW5jZS1kaWZmaWN1bHR5IHRvbGVyYXRpbmcgcHJlbW9uaXRvcnkgdXJnZXMtcHJlZGljdGVkIHRpYyBzZXZlcml0eSBhbmQgdGljLXJlbGF0ZWQgZGlzYWJpbGl0eS4gUGFydGljaXBhbnRzIGluY2x1ZGVkIDc1IHlvdXRoIHdpdGggVEQgYW5kIHRoZWlyIGNhcmVnaXZlcnMuIEFzc2Vzc21lbnRzIGNoYXJhY3Rlcml6ZWQgdGljIHNldmVyaXR5LCBwcmVtb25pdG9yeSB1cmdlLCBkaXN0cmVzcyB0b2xlcmFuY2UsIGludGVybmFsaXppbmcgc3ltcHRvbXMsIGFuZCB0aWMtcmVsYXRlZCBkaXNhYmlsaXR5LiBTdHJ1Y3R1cmFsIGVxdWF0aW9uIG1vZGVsaW5nIHJldmVhbGVkIHRoYXQgaGlnaGVyIGxldmVscyBvZiB1cmdlIGludG9sZXJhbmNlIHByZWRpY3RlZCBncmVhdGVyIGxldmVscyBvZiB0aWMtcmVsYXRlZCBkaXNhYmlsaXR5LiBGdXJ0aGVybW9yZSwgdGhlIHJlbGF0aW9uc2hpcCBiZXR3ZWVuIHVyZ2UgaW50b2xlcmFuY2UgYW5kIHRpYy1yZWxhdGVkIGRpc2FiaWxpdHkgd2FzIG1vcmUgcm9idXN0IGZvciB5b3V0aCB3aXRoIGNsaW5pY2FsbHktZWxldmF0ZWQgbGV2ZWxzIG9mIGludGVybmFsaXppbmcgc3ltcHRvbXMuIFdoaWxlIGZ1cnRoZXIgaW52ZXN0aWdhdGlvbiBpcyBuZWVkZWQsIHVyZ2UgaW50b2xlcmFuY2UgcmVwcmVzZW50cyBhIHByb21pc2luZyB0cmVhdG1lbnQgdGFyZ2V0IHRvIGltcHJvdmUgdGljLXJlbGF0ZWQgZGlzYWJpbGl0eSBpbiB5b3V0aCB3aXRoIFRELiIsImlzc3VlIjoiNSIsInZvbHVtZSI6IjUyIiwiY29udGFpbmVyLXRpdGxlLXNob3J0IjoiIn0sImlzVGVtcG9yYXJ5IjpmYWxzZX1dfQ==&quot;,&quot;citationItems&quot;:[{&quot;id&quot;:&quot;13526b2a-f1d4-3191-ab11-18002e8ae51a&quot;,&quot;itemData&quot;:{&quot;type&quot;:&quot;article-journal&quot;,&quot;id&quot;:&quot;13526b2a-f1d4-3191-ab11-18002e8ae51a&quot;,&quot;title&quot;:&quot;Urge Intolerance and Impairment Among Youth with Tourette's and Chronic Tic Disorders&quot;,&quot;groupId&quot;:&quot;07d62ac1-5aa8-39af-b49e-52d2088ac571&quot;,&quot;author&quot;:[{&quot;family&quot;:&quot;Ramsey&quot;,&quot;given&quot;:&quot;K A&quot;,&quot;parse-names&quot;:false,&quot;dropping-particle&quot;:&quot;&quot;,&quot;non-dropping-particle&quot;:&quot;&quot;},{&quot;family&quot;:&quot;Essoe&quot;,&quot;given&quot;:&quot;J K&quot;,&quot;parse-names&quot;:false,&quot;dropping-particle&quot;:&quot;&quot;,&quot;non-dropping-particle&quot;:&quot;&quot;},{&quot;family&quot;:&quot;Storch&quot;,&quot;given&quot;:&quot;E A&quot;,&quot;parse-names&quot;:false,&quot;dropping-particle&quot;:&quot;&quot;,&quot;non-dropping-particle&quot;:&quot;&quot;},{&quot;family&quot;:&quot;Lewin&quot;,&quot;given&quot;:&quot;A B&quot;,&quot;parse-names&quot;:false,&quot;dropping-particle&quot;:&quot;&quot;,&quot;non-dropping-particle&quot;:&quot;&quot;},{&quot;family&quot;:&quot;Murphy&quot;,&quot;given&quot;:&quot;T K&quot;,&quot;parse-names&quot;:false,&quot;dropping-particle&quot;:&quot;&quot;,&quot;non-dropping-particle&quot;:&quot;&quot;},{&quot;family&quot;:&quot;McGuire&quot;,&quot;given&quot;:&quot;J F&quot;,&quot;parse-names&quot;:false,&quot;dropping-particle&quot;:&quot;&quot;,&quot;non-dropping-particle&quot;:&quot;&quot;}],&quot;container-title&quot;:&quot;Child Psychiatry Hum Dev&quot;,&quot;DOI&quot;:&quot;10.1007/s10578-020-01085-3&quot;,&quot;PMID&quot;:&quot;33095406&quot;,&quot;URL&quot;:&quot;https://link.springer.com/article/10.1007/s10578-020-01085-3&quot;,&quot;issued&quot;:{&quot;date-parts&quot;:[[2021]]},&quot;page&quot;:&quot;761-771&quot;,&quot;abstract&quot;:&quot;Individuals with Tourette's Disorder and Persistent Tic Disorders (TD) often experience premonitory urges-aversive sensations that precede tics and are relieved by tic expression. Given its role in the neurobehavioral model of TD, understanding factors that influence premonitory urges and associated relief can advance understanding of urge phenomenology and optimize treatments for individuals with TD. This study examined whether the novel construct of urge intolerance-difficulty tolerating premonitory urges-predicted tic severity and tic-related disability. Participants included 75 youth with TD and their caregivers. Assessments characterized tic severity, premonitory urge, distress tolerance, internalizing symptoms, and tic-related disability. Structural equation modeling revealed that higher levels of urge intolerance predicted greater levels of tic-related disability. Furthermore, the relationship between urge intolerance and tic-related disability was more robust for youth with clinically-elevated levels of internalizing symptoms. While further investigation is needed, urge intolerance represents a promising treatment target to improve tic-related disability in youth with TD.&quot;,&quot;issue&quot;:&quot;5&quot;,&quot;volume&quot;:&quot;52&quot;,&quot;container-title-short&quot;:&quot;&quot;},&quot;isTemporary&quot;:false}]},{&quot;citationID&quot;:&quot;MENDELEY_CITATION_8e7c3452-f54c-41e0-82d5-d076389a44d6&quot;,&quot;properties&quot;:{&quot;noteIndex&quot;:0},&quot;isEdited&quot;:false,&quot;manualOverride&quot;:{&quot;isManuallyOverridden&quot;:false,&quot;citeprocText&quot;:&quot;(51)&quot;,&quot;manualOverrideText&quot;:&quot;&quot;},&quot;citationTag&quot;:&quot;MENDELEY_CITATION_v3_eyJjaXRhdGlvbklEIjoiTUVOREVMRVlfQ0lUQVRJT05fOGU3YzM0NTItZjU0Yy00MWUwLTgyZDUtZDA3NjM4OWE0NGQ2IiwicHJvcGVydGllcyI6eyJub3RlSW5kZXgiOjB9LCJpc0VkaXRlZCI6ZmFsc2UsIm1hbnVhbE92ZXJyaWRlIjp7ImlzTWFudWFsbHlPdmVycmlkZGVuIjpmYWxzZSwiY2l0ZXByb2NUZXh0IjoiKDUxKSIsIm1hbnVhbE92ZXJyaWRlVGV4dCI6IiJ9LCJjaXRhdGlvbkl0ZW1zIjpbeyJpZCI6IjNmZjIxZTE0LWQ0NDEtM2FlMy1iOTc4LWVhYjBkN2I2YjNjYyIsIml0ZW1EYXRhIjp7InR5cGUiOiJhcnRpY2xlLWpvdXJuYWwiLCJpZCI6IjNmZjIxZTE0LWQ0NDEtM2FlMy1iOTc4LWVhYjBkN2I2YjNjYyIsInRpdGxlIjoiU2Vuc29yeSBwaGVub21lbmE6IGNsaW5pY2FsIGNvcnJlbGF0ZXMgYW5kIGltcGFjdCBvbiBxdWFsaXR5IG9mIGxpZmUgaW4gYWR1bHQgcGF0aWVudHMgd2l0aCBUb3VyZXR0ZSBzeW5kcm9tZSIsImdyb3VwSWQiOiIwN2Q2MmFjMS01YWE4LTM5YWYtYjQ5ZS01MmQyMDg4YWM1NzEiLCJhdXRob3IiOlt7ImZhbWlseSI6IkNyb3NzbGV5IiwiZ2l2ZW4iOiJFIiwicGFyc2UtbmFtZXMiOmZhbHNlLCJkcm9wcGluZy1wYXJ0aWNsZSI6IiIsIm5vbi1kcm9wcGluZy1wYXJ0aWNsZSI6IiJ9LHsiZmFtaWx5IjoiQ2F2YW5uYSIsImdpdmVuIjoiQSBFIiwicGFyc2UtbmFtZXMiOmZhbHNlLCJkcm9wcGluZy1wYXJ0aWNsZSI6IiIsIm5vbi1kcm9wcGluZy1wYXJ0aWNsZSI6IiJ9XSwiY29udGFpbmVyLXRpdGxlIjoiUHN5Y2hpYXRyeSBSZXMiLCJET0kiOiIxMC4xMDE2L2oucHN5Y2hyZXMuMjAxMy4wNC4wMTkiLCJQTUlEIjoiMjM2ODQwNTEiLCJpc3N1ZWQiOnsiZGF0ZS1wYXJ0cyI6W1syMDEzXV19LCJwYWdlIjoiNzA1LTcxMCIsImFic3RyYWN0IjoiVG91cmV0dGUgc3luZHJvbWUgKFRTKSBpcyBhIG5ldXJvZGV2ZWxvcG1lbnRhbCBjb25kaXRpb24gY2hhcmFjdGVyaXNlZCBieSBtdWx0aXBsZSB0aWNzLCB3aXRoIGZyZXF1ZW50IGJlaGF2aW91cmFsIGNvLW1vcmJpZGl0eS4gU2Vuc29yeSBwaGVub21lbmEgKFNQKSBhcmUgdW5wbGVhc2FudCBzZW5zYXRpb25zIHdoaWNoIHByb3ZpZGUgaW52b2x1bnRhcnkgdXJnZXMgdG8gdGljIGluIHBhdGllbnRzIHdpdGggVFMuIFdoaWxlIFNQIGhhdmUgYSBjZW50cmFsIHJvbGUgaW4gdGljIGV4cHJlc3Npb24sIGxpdHRsZSBpcyBrbm93biBhYm91dCB0aGVpciBjbGluaWNhbCBjb3JyZWxhdGVzIG9yIGFzc29jaWF0aW9uIHdpdGggaGVhbHRoLXJlbGF0ZWQgcXVhbGl0eSBvZiBsaWZlIChIUi1RT0wpIGluIFRTLiBXZSBjb25kdWN0ZWQgYSBjcm9zcy1zZWN0aW9uYWwgc3R1ZHkgb24gNzIgYWR1bHQgb3V0cGF0aWVudHMgd2l0aCBUUywgcmVjcnVpdGVkIGF0IGEgc3BlY2lhbGlzdCBjbGluaWMuIEFsbCBwYXJ0aWNpcGFudHMgY29tcGxldGVkIGEgY29tcHJlaGVuc2l2ZSBiYXR0ZXJ5IG9mIHBzeWNob21ldHJpYyBtZWFzdXJlcywgaW5jbHVkaW5nIHRoZSBQcmVtb25pdG9yeSBVcmdlcyBmb3IgVGljcyBTY2FsZSAoUFVUUykgdG8gYXNzZXNzIFNQIGFuZCBhIGRpc2Vhc2Utc3BlY2lmaWMgcXVhbGl0eSBvZiBsaWZlIHNjYWxlIChHVFMtUU9MKSB0byBhc3Nlc3MgSFItUU9MLiBTUCB3ZXJlIHZlcnkgY29tbW9uICg5Ny4yJSBvZiBwYXRpZW50cyksIHdpdGggYSBtZWRpYW4gUFVUUyB0b3RhbCBzY29yZSBvZiAyOC80MC4gQml2YXJpYXRlIGFuYWx5c2VzIHNob3dlZCB0aGF0IFBVVFMgc2NvcmVzIHdlcmUgbW9zdCBzaWduaWZpY2FudGx5IGNvcnJlbGF0ZWQgd2l0aCBzZWxmLXJlcG9ydCBtZWFzdXJlcyBvZiB2b2NhbCB0aWMgc2V2ZXJpdHkgYW5kIGNvbXB1bHNpdml0eS4gUFVUUyBzY29yZXMgd2VyZSBhbHNvIHNpZ25pZmljYW50bHkgY29ycmVsYXRlZCB3aXRoIEdUUy1RT0wgc2NvcmVzLCBtb3N0IG5vdGFibHkgd2l0aCB0aGUgcHN5Y2hvbG9naWNhbCBzdWJzY2FsZS4gU1AgYXJlIGZyZXF1ZW50bHkgcmVwb3J0ZWQgYnkgYWR1bHRzIHdpdGggVFMsIGFyZSBhc3NvY2lhdGVkIHdpdGggcGVyY2VpdmVkIHRpYyBzZXZlcml0eSBhbmQgY29tcHVsc2l2aXR5LCBhbmQgY2FuIHNpZ25pZmljYW50bHkgYWZmZWN0IHBzeWNob2xvZ2ljYWwgd2VsbC1iZWluZy4gU3RhbmRhcmRpc2VkIG1lYXN1cmVtZW50IG9mIFNQIHNob3VsZCBiZSBpbmNvcnBvcmF0ZWQgaW50byByb3V0aW5lIGFzc2Vzc21lbnQgb2YgcGF0aWVudHMgd2l0aCBUUyB0byBvcHRpbWlzZSB0aGVpciBjbGluaWNhbCBtYW5hZ2VtZW50LiIsImlzc3VlIjoiMyIsInZvbHVtZSI6IjIwOSIsImNvbnRhaW5lci10aXRsZS1zaG9ydCI6IiJ9LCJpc1RlbXBvcmFyeSI6ZmFsc2V9XX0=&quot;,&quot;citationItems&quot;:[{&quot;id&quot;:&quot;3ff21e14-d441-3ae3-b978-eab0d7b6b3cc&quot;,&quot;itemData&quot;:{&quot;type&quot;:&quot;article-journal&quot;,&quot;id&quot;:&quot;3ff21e14-d441-3ae3-b978-eab0d7b6b3cc&quot;,&quot;title&quot;:&quot;Sensory phenomena: clinical correlates and impact on quality of life in adult patients with Tourette syndrome&quot;,&quot;groupId&quot;:&quot;07d62ac1-5aa8-39af-b49e-52d2088ac571&quot;,&quot;author&quot;:[{&quot;family&quot;:&quot;Crossley&quot;,&quot;given&quot;:&quot;E&quot;,&quot;parse-names&quot;:false,&quot;dropping-particle&quot;:&quot;&quot;,&quot;non-dropping-particle&quot;:&quot;&quot;},{&quot;family&quot;:&quot;Cavanna&quot;,&quot;given&quot;:&quot;A E&quot;,&quot;parse-names&quot;:false,&quot;dropping-particle&quot;:&quot;&quot;,&quot;non-dropping-particle&quot;:&quot;&quot;}],&quot;container-title&quot;:&quot;Psychiatry Res&quot;,&quot;DOI&quot;:&quot;10.1016/j.psychres.2013.04.019&quot;,&quot;PMID&quot;:&quot;23684051&quot;,&quot;issued&quot;:{&quot;date-parts&quot;:[[2013]]},&quot;page&quot;:&quot;705-710&quot;,&quot;abstract&quot;:&quot;Tourette syndrome (TS) is a neurodevelopmental condition characterised by multiple tics, with frequent behavioural co-morbidity. Sensory phenomena (SP) are unpleasant sensations which provide involuntary urges to tic in patients with TS. While SP have a central role in tic expression, little is known about their clinical correlates or association with health-related quality of life (HR-QOL) in TS. We conducted a cross-sectional study on 72 adult outpatients with TS, recruited at a specialist clinic. All participants completed a comprehensive battery of psychometric measures, including the Premonitory Urges for Tics Scale (PUTS) to assess SP and a disease-specific quality of life scale (GTS-QOL) to assess HR-QOL. SP were very common (97.2% of patients), with a median PUTS total score of 28/40. Bivariate analyses showed that PUTS scores were most significantly correlated with self-report measures of vocal tic severity and compulsivity. PUTS scores were also significantly correlated with GTS-QOL scores, most notably with the psychological subscale. SP are frequently reported by adults with TS, are associated with perceived tic severity and compulsivity, and can significantly affect psychological well-being. Standardised measurement of SP should be incorporated into routine assessment of patients with TS to optimise their clinical management.&quot;,&quot;issue&quot;:&quot;3&quot;,&quot;volume&quot;:&quot;209&quot;,&quot;container-title-short&quot;:&quot;&quot;},&quot;isTemporary&quot;:false}]},{&quot;citationID&quot;:&quot;MENDELEY_CITATION_b71dd452-fc87-411f-b3c6-4ed9b15136ad&quot;,&quot;properties&quot;:{&quot;noteIndex&quot;:0},&quot;isEdited&quot;:false,&quot;manualOverride&quot;:{&quot;isManuallyOverridden&quot;:false,&quot;citeprocText&quot;:&quot;(26)&quot;,&quot;manualOverrideText&quot;:&quot;&quot;},&quot;citationTag&quot;:&quot;MENDELEY_CITATION_v3_eyJjaXRhdGlvbklEIjoiTUVOREVMRVlfQ0lUQVRJT05fYjcxZGQ0NTItZmM4Ny00MTFmLWIzYzYtNGVkOWIxNTEzNmFkIiwicHJvcGVydGllcyI6eyJub3RlSW5kZXgiOjB9LCJpc0VkaXRlZCI6ZmFsc2UsIm1hbnVhbE92ZXJyaWRlIjp7ImlzTWFudWFsbHlPdmVycmlkZGVuIjpmYWxzZSwiY2l0ZXByb2NUZXh0IjoiKDI2KSIsIm1hbnVhbE92ZXJyaWRlVGV4dCI6IiJ9LCJjaXRhdGlvbkl0ZW1zIjpbeyJpZCI6ImJiM2Q3NWY1LTU0MTctMzhmZC04NDIxLTZlYmEzZjE5MzVmYSIsIml0ZW1EYXRhIjp7InR5cGUiOiJhcnRpY2xlLWpvdXJuYWwiLCJpZCI6ImJiM2Q3NWY1LTU0MTctMzhmZC04NDIxLTZlYmEzZjE5MzVmYSIsInRpdGxlIjoiUHJlbW9uaXRvcnkgVXJnZXMgaW4gQWR1bHRzIFdpdGggQ29tcGxpY2F0ZWQgYW5kIFVuY29tcGxpY2F0ZWQgVG91cmV0dGUgU3luZHJvbWUiLCJncm91cElkIjoiMDdkNjJhYzEtNWFhOC0zOWFmLWI0OWUtNTJkMjA4OGFjNTcxIiwiYXV0aG9yIjpbeyJmYW1pbHkiOiJFZGR5IiwiZ2l2ZW4iOiJDIE0iLCJwYXJzZS1uYW1lcyI6ZmFsc2UsImRyb3BwaW5nLXBhcnRpY2xlIjoiIiwibm9uLWRyb3BwaW5nLXBhcnRpY2xlIjoiIn0seyJmYW1pbHkiOiJDYXZhbm5hIiwiZ2l2ZW4iOiJBIEUiLCJwYXJzZS1uYW1lcyI6ZmFsc2UsImRyb3BwaW5nLXBhcnRpY2xlIjoiIiwibm9uLWRyb3BwaW5nLXBhcnRpY2xlIjoiIn1dLCJjb250YWluZXItdGl0bGUiOiJCZWhhdmlvciBtb2RpZmljYXRpb24iLCJET0kiOiJodHRwczovL2R4LmRvaS5vcmcvMTAuMTE3Ny8wMTQ1NDQ1NTEzNTA0NDMyIiwiVVJMIjoiaHR0cDovL292aWRzcC5vdmlkLmNvbS9vdmlkd2ViLmNnaT9UPUpTJlBBR0U9cmVmZXJlbmNlJkQ9ZW1lZDE1Jk5FV1M9TiZBTj02MTE0MjU3MjIiLCJpc3N1ZWQiOnsiZGF0ZS1wYXJ0cyI6W1syMDE0XV19LCJwYWdlIjoiMjY0LTI3NSIsImFic3RyYWN0IjoiTW9zdCBwYXRpZW50cyB3aXRoIFRvdXJldHRlIHN5bmRyb21lIChUUykgcmVwb3J0IGV4cGVyaWVuY2luZyBzdWJqZWN0aXZlIGJvZGlseSBzZW5zYXRpb25zIHRlcm1lZCBwcmVtb25pdG9yeSB1cmdlcywgYmVmb3JlIHRoZXkgaGF2ZSBhIHRpYy4gVGhpcyBzdHVkeSBpbnZlc3RpZ2F0ZWQgcmVsYXRpb25zaGlwcyBiZXR3ZWVuIHByZW1vbml0b3J5IHVyZ2VzIGFuZCB0aWMgc2V2ZXJpdHksIGRlcHJlc3Npb24sIGFueGlldHksIG9ic2Vzc2lvbnMsIGNvbXB1bHNpb25zLCBhbmQgYXR0ZW50aW9uIHByb2JsZW1zLiBXZSBhbHNvIGV4cGxvcmVkIHBvc3NpYmxlIGRpZmZlcmVuY2VzIGJldHdlZW4gcGF0aWVudHMgd2l0aCBhbmQgd2l0aG91dCBjb21vcmJpZCBjb25kaXRpb25zLiBGaW5hbGx5LCB3ZSBleHBsb3JlZCB3aGV0aGVyIHByZW1vbml0b3J5IHVyZ2VzIGltcGFjdGVkIG9uIHBlcmNlaXZlZCBxdWFsaXR5IG9mIGxpZmUgKFFvTCkuIE9uZSBodW5kcmVkIGFkdWx0IG91dHBhdGllbnRzICg3MCBtYWxlczsgbWVhbiBhZ2UgMzIgeWVhcnMpIHdlcmUgcmVjcnVpdGVkIGZyb20gYSBzcGVjaWFsaXN0IFRTIGNsaW5pYy4gRmlmdHkgcGVyY2VudCBleGhpYml0ZWQgY29tb3JiaWQgZGlhZ25vc2VzLCB0aGUgbW9zdCBjb21tb24gb2Ygd2hpY2ggd2VyZSBvYnNlc3NpdmUtY29tcHVsc2l2ZSBkaXNvcmRlciAoMjMlKSwgYXR0ZW50aW9uLWRlZmljaXQgaHlwZXJhY3Rpdml0eSBkaXNvcmRlciAoMTUlKSwgYW54aWV0eSAoNiUpLCBhbmQgZGVwcmVzc2lvbiAoNSUpLiBGb3IgdGhlIGVudGlyZSBzYW1wbGUsIHByZW1vbml0b3J5IHVyZ2VzIHdlcmUgc2lnbmlmaWNhbnRseSByZWxhdGVkIHRvIGNsaW5pY2FsIHN5bXB0b21zLCBlc3BlY2lhbGx5IG9ic2Vzc2l2ZS1jb21wdWxzaXZlIHN5bXB0b21zIGFuZCBhbnhpZXR5LCBhbmQgd2VyZSBzaWduaWZpY2FudGx5IG5lZ2F0aXZlbHkgcmVsYXRlZCB0byBRb0wgc2NvcmVzLiBQcmVtb25pdG9yeSB1cmdlcyBoYWQgYSBzdHJvbmcgbmVnYXRpdmUgY29ycmVsYXRpb24gd2l0aCBRb0wgaW4gcGF0aWVudHMgd2l0aCBcInB1cmVcIiBUUyAobm8gY29tb3JiaWRpdGllcyksIHdoaWxlIHRoaXMgcmVsYXRpb25zaGlwIHdhcyB3ZWFrZXIgZm9yIHBhdGllbnRzIHdpdGggY29tb3JiaWQgY29uZGl0aW9ucywgd2hvIHJlcG9ydGVkIHN0cm9uZ2VyIG9yIG1vcmUgZnJlcXVlbnQgcHJlbW9uaXRvcnkgdXJnZXMgaW4gYXNzb2NpYXRpb24gd2l0aCBncmVhdGVyIGFueGlldHkuIFRoZXNlIGZpbmRpbmdzIG1heSBpbXBseSB0aGF0IHNsaWdodGx5IGRpZmZlcmVudCBwc3ljaG9sb2dpY2FsIGZhY3RvcnMgZHJpdmUgc2VsZi1yZXBvcnRlZCBwcmVtb25pdG9yeSB1cmdlIHJhdGluZ3MgaW4gcGF0aWVudHMgd2l0aCBhbmQgd2l0aG91dCBjb21vcmJpZGl0aWVzIGFuZCB0aGF0IHRoZSBwZXJjZWl2ZWQgaW5mbHVlbmNlIG9mIGRpc3RyZXNzaW5nIHByZW1vbml0b3J5IHVyZ2VzIG9uIHdlbGxiZWluZyBpcyBsZXNzIGltcG9ydGFudCBpbiB0aGUgY29udGV4dCBvZiBjb21vcmJpZCBzeW1wdG9tYXRvbG9neS4gQXMgcHJlbW9uaXRvcnkgdXJnZXMgYXJlIHJlbGF0ZWQgdG8gUW9MLCB0aGV5IHNob3VsZCBiZSB0YWtlbiBpbnRvIGFjY291bnQgZHVyaW5nIGV2YWx1YXRpb24gb2YgdHJlYXRtZW50IGVmZmljYWN5LCBlc3BlY2lhbGx5IGluIGNhc2VzIHdpdGggXCJwdXJlXCIgVFMuIENvcHlyaWdodCDCqSBUaGUgQXV0aG9yKHMpIDIwMTMuIiwiaXNzdWUiOiIyIiwidm9sdW1lIjoiMzgiLCJjb250YWluZXItdGl0bGUtc2hvcnQiOiJCZWhhdiBNb2RpZiJ9LCJpc1RlbXBvcmFyeSI6ZmFsc2V9XX0=&quot;,&quot;citationItems&quot;:[{&quot;id&quot;:&quot;bb3d75f5-5417-38fd-8421-6eba3f1935fa&quot;,&quot;itemData&quot;:{&quot;type&quot;:&quot;article-journal&quot;,&quot;id&quot;:&quot;bb3d75f5-5417-38fd-8421-6eba3f1935fa&quot;,&quot;title&quot;:&quot;Premonitory Urges in Adults With Complicated and Uncomplicated Tourette Syndrome&quot;,&quot;groupId&quot;:&quot;07d62ac1-5aa8-39af-b49e-52d2088ac571&quot;,&quot;author&quot;:[{&quot;family&quot;:&quot;Eddy&quot;,&quot;given&quot;:&quot;C M&quot;,&quot;parse-names&quot;:false,&quot;dropping-particle&quot;:&quot;&quot;,&quot;non-dropping-particle&quot;:&quot;&quot;},{&quot;family&quot;:&quot;Cavanna&quot;,&quot;given&quot;:&quot;A E&quot;,&quot;parse-names&quot;:false,&quot;dropping-particle&quot;:&quot;&quot;,&quot;non-dropping-particle&quot;:&quot;&quot;}],&quot;container-title&quot;:&quot;Behavior modification&quot;,&quot;DOI&quot;:&quot;https://dx.doi.org/10.1177/0145445513504432&quot;,&quot;URL&quot;:&quot;http://ovidsp.ovid.com/ovidweb.cgi?T=JS&amp;PAGE=reference&amp;D=emed15&amp;NEWS=N&amp;AN=611425722&quot;,&quot;issued&quot;:{&quot;date-parts&quot;:[[2014]]},&quot;page&quot;:&quot;264-275&quot;,&quot;abstract&quot;:&quot;Most patients with Tourette syndrome (TS) report experiencing subjective bodily sensations termed premonitory urges, before they have a tic. This study investigated relationships between premonitory urges and tic severity, depression, anxiety, obsessions, compulsions, and attention problems. We also explored possible differences between patients with and without comorbid conditions. Finally, we explored whether premonitory urges impacted on perceived quality of life (QoL). One hundred adult outpatients (70 males; mean age 32 years) were recruited from a specialist TS clinic. Fifty percent exhibited comorbid diagnoses, the most common of which were obsessive-compulsive disorder (23%), attention-deficit hyperactivity disorder (15%), anxiety (6%), and depression (5%). For the entire sample, premonitory urges were significantly related to clinical symptoms, especially obsessive-compulsive symptoms and anxiety, and were significantly negatively related to QoL scores. Premonitory urges had a strong negative correlation with QoL in patients with \&quot;pure\&quot; TS (no comorbidities), while this relationship was weaker for patients with comorbid conditions, who reported stronger or more frequent premonitory urges in association with greater anxiety. These findings may imply that slightly different psychological factors drive self-reported premonitory urge ratings in patients with and without comorbidities and that the perceived influence of distressing premonitory urges on wellbeing is less important in the context of comorbid symptomatology. As premonitory urges are related to QoL, they should be taken into account during evaluation of treatment efficacy, especially in cases with \&quot;pure\&quot; TS. Copyright © The Author(s) 2013.&quot;,&quot;issue&quot;:&quot;2&quot;,&quot;volume&quot;:&quot;38&quot;,&quot;container-title-short&quot;:&quot;Behav Modif&quot;},&quot;isTemporary&quot;:false}]},{&quot;citationID&quot;:&quot;MENDELEY_CITATION_981aab6c-acd9-4471-8a95-b5af84250e7b&quot;,&quot;properties&quot;:{&quot;noteIndex&quot;:0},&quot;isEdited&quot;:false,&quot;manualOverride&quot;:{&quot;isManuallyOverridden&quot;:false,&quot;citeprocText&quot;:&quot;(53)&quot;,&quot;manualOverrideText&quot;:&quot;&quot;},&quot;citationTag&quot;:&quot;MENDELEY_CITATION_v3_eyJjaXRhdGlvbklEIjoiTUVOREVMRVlfQ0lUQVRJT05fOTgxYWFiNmMtYWNkOS00NDcxLThhOTUtYjVhZjg0MjUwZTdiIiwicHJvcGVydGllcyI6eyJub3RlSW5kZXgiOjB9LCJpc0VkaXRlZCI6ZmFsc2UsIm1hbnVhbE92ZXJyaWRlIjp7ImlzTWFudWFsbHlPdmVycmlkZGVuIjpmYWxzZSwiY2l0ZXByb2NUZXh0IjoiKDUzKSIsIm1hbnVhbE92ZXJyaWRlVGV4dCI6IiJ9LCJjaXRhdGlvbkl0ZW1zIjpbeyJpZCI6ImMwODUyMGM3LWMzZGItMzA3YS1hNjkwLWE5ZDU2OGRhZDVmMyIsIml0ZW1EYXRhIjp7InR5cGUiOiJhcnRpY2xlLWpvdXJuYWwiLCJpZCI6ImMwODUyMGM3LWMzZGItMzA3YS1hNjkwLWE5ZDU2OGRhZDVmMyIsInRpdGxlIjoiVXJnZS10aWMgYXNzb2NpYXRpb25zIGluIGNoaWxkcmVuIGFuZCBhZG9sZXNjZW50cyB3aXRoIFRvdXJldHRlIHN5bmRyb21lIiwiZ3JvdXBJZCI6IjA3ZDYyYWMxLTVhYTgtMzlhZi1iNDllLTUyZDIwODhhYzU3MSIsImF1dGhvciI6W3siZmFtaWx5IjoiTGFuZ2VsYWdlIiwiZ2l2ZW4iOiJKZW5uaWZlciIsInBhcnNlLW5hbWVzIjpmYWxzZSwiZHJvcHBpbmctcGFydGljbGUiOiIiLCJub24tZHJvcHBpbmctcGFydGljbGUiOiIifSx7ImZhbWlseSI6IlZlcnJlbCIsImdpdmVuIjoiSnVsaXVzIiwicGFyc2UtbmFtZXMiOmZhbHNlLCJkcm9wcGluZy1wYXJ0aWNsZSI6IiIsIm5vbi1kcm9wcGluZy1wYXJ0aWNsZSI6IiJ9LHsiZmFtaWx5IjoiRnJpZWRyaWNoIiwiZ2l2ZW4iOiJKdWxpYSIsInBhcnNlLW5hbWVzIjpmYWxzZSwiZHJvcHBpbmctcGFydGljbGUiOiIiLCJub24tZHJvcHBpbmctcGFydGljbGUiOiIifSx7ImZhbWlseSI6IlNpZWttYW5uIiwiZ2l2ZW4iOiJBbGluYSIsInBhcnNlLW5hbWVzIjpmYWxzZSwiZHJvcHBpbmctcGFydGljbGUiOiIiLCJub24tZHJvcHBpbmctcGFydGljbGUiOiIifSx7ImZhbWlseSI6IlNjaGFwcGVydCIsImdpdmVuIjoiUm9uamEiLCJwYXJzZS1uYW1lcyI6ZmFsc2UsImRyb3BwaW5nLXBhcnRpY2xlIjoiIiwibm9uLWRyb3BwaW5nLXBhcnRpY2xlIjoiIn0seyJmYW1pbHkiOiJCbHVzY2hrZSIsImdpdmVuIjoiQW5uZXQiLCJwYXJzZS1uYW1lcyI6ZmFsc2UsImRyb3BwaW5nLXBhcnRpY2xlIjoiIiwibm9uLWRyb3BwaW5nLXBhcnRpY2xlIjoiIn0seyJmYW1pbHkiOiJSb2Vzc25lciIsImdpdmVuIjoiVmVpdCIsInBhcnNlLW5hbWVzIjpmYWxzZSwiZHJvcHBpbmctcGFydGljbGUiOiIiLCJub24tZHJvcHBpbmctcGFydGljbGUiOiIifSx7ImZhbWlseSI6IlBhdWx1cyIsImdpdmVuIjoiVGhlcmVzYSIsInBhcnNlLW5hbWVzIjpmYWxzZSwiZHJvcHBpbmctcGFydGljbGUiOiIiLCJub24tZHJvcHBpbmctcGFydGljbGUiOiIifSx7ImZhbWlseSI6IkLDpHVtZXIiLCJnaXZlbiI6IlRvYmlhcyIsInBhcnNlLW5hbWVzIjpmYWxzZSwiZHJvcHBpbmctcGFydGljbGUiOiIiLCJub24tZHJvcHBpbmctcGFydGljbGUiOiIifSx7ImZhbWlseSI6IkZyaW5ncyIsImdpdmVuIjoiQ2hyaXN0aWFuIiwicGFyc2UtbmFtZXMiOmZhbHNlLCJkcm9wcGluZy1wYXJ0aWNsZSI6IiIsIm5vbi1kcm9wcGluZy1wYXJ0aWNsZSI6IiJ9LHsiZmFtaWx5IjoiQmVzdGUiLCJnaXZlbiI6IkNocmlzdGlhbiIsInBhcnNlLW5hbWVzIjpmYWxzZSwiZHJvcHBpbmctcGFydGljbGUiOiIiLCJub24tZHJvcHBpbmctcGFydGljbGUiOiIifSx7ImZhbWlseSI6Ik3DvG5jaGF1IiwiZ2l2ZW4iOiJBbGV4YW5kZXIiLCJwYXJzZS1uYW1lcyI6ZmFsc2UsImRyb3BwaW5nLXBhcnRpY2xlIjoiIiwibm9uLWRyb3BwaW5nLXBhcnRpY2xlIjoiIn1dLCJjb250YWluZXItdGl0bGUiOiJTY2llbnRpZmljIFJlcG9ydHMiLCJET0kiOiIxMC4xMDM4L3M0MTU5OC0wMjItMTk2ODUtNSIsIklTU04iOiIyMDQ1MjMyMiIsIlBNSUQiOiIzNjE2MzQ4MiIsImlzc3VlZCI6eyJkYXRlLXBhcnRzIjpbWzIwMjIsMTIsMV1dfSwiYWJzdHJhY3QiOiJQcmVtb25pdG9yeSB1cmdlcyBwcmVjZWRpbmcgdGljcyBhcmUgYSBjYXJkaW5hbCBmZWF0dXJlIG9mIEdpbGxlcyBkZSBsYSBUb3VyZXR0ZSBzeW5kcm9tZSAoR1RTKSwgYSBkZXZlbG9wbWVudGFsIGRpc29yZGVyIHVzdWFsbHkgc3RhcnRpbmcgZHVyaW5nIG1pZGRsZSBjaGlsZGhvb2QuIEhvd2V2ZXIsIHRoZSB0ZW1wb3JhbCByZWxhdGlvbiBiZXR3ZWVuIHVyZ2VzIGFuZCB0aWNzIGhhcyBvbmx5IGJlZW4gaW52ZXN0aWdhdGVkIGluIGFkdWx0cy4gSW4gMjUgY2hpbGRyZW4gYW5kIGFkb2xlc2NlbnRzIHdpdGggR1RTICg44oCTMTjCoHllYXJzKSwgd2UgYXNzZXNzIHVyZ2UtdGljIGFzc29jaWF0aW9ucywgaW5jbHVkaW5nIGludGVyLWluZGl2aWR1YWwgZGlmZmVyZW5jZXMsIGNvcnJlbGF0aW9uIHRvIGNsaW5pY2FsIG1lYXN1cmVzLCBhbmQgaW4gY29tcGFyaXNvbiB0byBhIHByZXZpb3VzbHkgcmVwb3J0ZWQgc2FtcGxlIG9mIGFkdWx0IEdUUyBwYXRpZW50cy4gR3JvdXAtbGV2ZWwgYW5hbHlzZXMgY29uZmlybWVkIHBvc2l0aXZlIGFzc29jaWF0aW9ucyBiZXR3ZWVuIHVyZ2VzIGFuZCB0aWNzLiBIb3dldmVyLCBhdCB0aGUgaW5kaXZpZHVhbCBsZXZlbCwgbGVzcyB0aGFuIGhhbGYgb2YgcGFydGljaXBhbnRzIHNob3dlZCBwb3NpdGl2ZSBhc3NvY2lhdGlvbnMsIGEgc2ltaWxhciBwcm9wb3J0aW9uIGRpZCBub3QsIGFuZCBpbiB0d28gcGFydGljaXBhbnRzLCB0aGUgYXNzb2NpYXRpb24gd2FzIHJldmVyc2VkLiBUaWMgZXhwcmVzc2lvbiBhbmQgc3ViamVjdGl2ZSB1cmdlIGxldmVscyBjb3JyZWxhdGVkIHdpdGggY29ycmVzcG9uZGluZyBjbGluaWNhbCBzY29yZXMgYW5kIHBhcnRpY2lwYW50cyB3aXRoIG1vcmUgc2V2ZXJlIHRpY3MgZHVyaW5nIHRoZSB1cmdlIG1vbml0b3IgZXhoaWJpdGVkIHN0cm9uZ2VyIHVyZ2UtdGljIGFzc29jaWF0aW9ucy4gQXNzb2NpYXRpb25zIGJldHdlZW4gcmVwb3J0ZWQgdXJnZSBsZXZlbHMgYW5kIGluc3RhbnRhbmVvdXMgdGljIGludGVuc2l0eSB0ZW5kZWQgdG8gYmUgbGVzcyBwcm9ub3VuY2VkIGluIGNoaWxkcmVuIGFuZCBhZG9sZXNjZW50cyB0aGFuIGluIGFkdWx0IEdUUyBwYXRpZW50cy4gVGhlIG9ic2VydmVkIGhldGVyb2dlbmVpdHkgb2YgdXJnZS10aWMgYXNzb2NpYXRpb25zIGNhc3QgZG91YnQgb24gdGhlIG5vdGlvbiB0aGF0IHRpY3MgYXJlIGRpcmVjdGx5IGNhdXNlZCBieSB1cmdlcy4gTW9yZSBzZXZlcmUgdGljcyBtYXkgZmFjaWxpdGF0ZSBhbnRpY2lwYXRpb24gb2YgdGljcyBhbmQgdGhlcmVieSBsZWFkIHRvIG1vcmUgcHJvbm91bmNlZCB1cmdlLXRpYyBhc3NvY2lhdGlvbnMsIGNvbnNpc3RlbnQgd2l0aCBhIGh5cG90aGVzaXMgb2YgdXJnZXMgYXMgYSBieXByb2R1Y3Qgb2YgdGljcy4iLCJwdWJsaXNoZXIiOiJOYXR1cmUgUmVzZWFyY2giLCJpc3N1ZSI6IjEiLCJ2b2x1bWUiOiIxMiIsImNvbnRhaW5lci10aXRsZS1zaG9ydCI6IlNjaSBSZXAifSwiaXNUZW1wb3JhcnkiOmZhbHNlfV19&quot;,&quot;citationItems&quot;:[{&quot;id&quot;:&quot;c08520c7-c3db-307a-a690-a9d568dad5f3&quot;,&quot;itemData&quot;:{&quot;type&quot;:&quot;article-journal&quot;,&quot;id&quot;:&quot;c08520c7-c3db-307a-a690-a9d568dad5f3&quot;,&quot;title&quot;:&quot;Urge-tic associations in children and adolescents with Tourette syndrome&quot;,&quot;groupId&quot;:&quot;07d62ac1-5aa8-39af-b49e-52d2088ac571&quot;,&quot;author&quot;:[{&quot;family&quot;:&quot;Langelage&quot;,&quot;given&quot;:&quot;Jennifer&quot;,&quot;parse-names&quot;:false,&quot;dropping-particle&quot;:&quot;&quot;,&quot;non-dropping-particle&quot;:&quot;&quot;},{&quot;family&quot;:&quot;Verrel&quot;,&quot;given&quot;:&quot;Julius&quot;,&quot;parse-names&quot;:false,&quot;dropping-particle&quot;:&quot;&quot;,&quot;non-dropping-particle&quot;:&quot;&quot;},{&quot;family&quot;:&quot;Friedrich&quot;,&quot;given&quot;:&quot;Julia&quot;,&quot;parse-names&quot;:false,&quot;dropping-particle&quot;:&quot;&quot;,&quot;non-dropping-particle&quot;:&quot;&quot;},{&quot;family&quot;:&quot;Siekmann&quot;,&quot;given&quot;:&quot;Alina&quot;,&quot;parse-names&quot;:false,&quot;dropping-particle&quot;:&quot;&quot;,&quot;non-dropping-particle&quot;:&quot;&quot;},{&quot;family&quot;:&quot;Schappert&quot;,&quot;given&quot;:&quot;Ronja&quot;,&quot;parse-names&quot;:false,&quot;dropping-particle&quot;:&quot;&quot;,&quot;non-dropping-particle&quot;:&quot;&quot;},{&quot;family&quot;:&quot;Bluschke&quot;,&quot;given&quot;:&quot;Annet&quot;,&quot;parse-names&quot;:false,&quot;dropping-particle&quot;:&quot;&quot;,&quot;non-dropping-particle&quot;:&quot;&quot;},{&quot;family&quot;:&quot;Roessner&quot;,&quot;given&quot;:&quot;Veit&quot;,&quot;parse-names&quot;:false,&quot;dropping-particle&quot;:&quot;&quot;,&quot;non-dropping-particle&quot;:&quot;&quot;},{&quot;family&quot;:&quot;Paulus&quot;,&quot;given&quot;:&quot;Theresa&quot;,&quot;parse-names&quot;:false,&quot;dropping-particle&quot;:&quot;&quot;,&quot;non-dropping-particle&quot;:&quot;&quot;},{&quot;family&quot;:&quot;Bäumer&quot;,&quot;given&quot;:&quot;Tobias&quot;,&quot;parse-names&quot;:false,&quot;dropping-particle&quot;:&quot;&quot;,&quot;non-dropping-particle&quot;:&quot;&quot;},{&quot;family&quot;:&quot;Frings&quot;,&quot;given&quot;:&quot;Christian&quot;,&quot;parse-names&quot;:false,&quot;dropping-particle&quot;:&quot;&quot;,&quot;non-dropping-particle&quot;:&quot;&quot;},{&quot;family&quot;:&quot;Beste&quot;,&quot;given&quot;:&quot;Christian&quot;,&quot;parse-names&quot;:false,&quot;dropping-particle&quot;:&quot;&quot;,&quot;non-dropping-particle&quot;:&quot;&quot;},{&quot;family&quot;:&quot;Münchau&quot;,&quot;given&quot;:&quot;Alexander&quot;,&quot;parse-names&quot;:false,&quot;dropping-particle&quot;:&quot;&quot;,&quot;non-dropping-particle&quot;:&quot;&quot;}],&quot;container-title&quot;:&quot;Scientific Reports&quot;,&quot;DOI&quot;:&quot;10.1038/s41598-022-19685-5&quot;,&quot;ISSN&quot;:&quot;20452322&quot;,&quot;PMID&quot;:&quot;36163482&quot;,&quot;issued&quot;:{&quot;date-parts&quot;:[[2022,12,1]]},&quot;abstract&quot;:&quot;Premonitory urges preceding tics are a cardinal feature of Gilles de la Tourette syndrome (GTS), a developmental disorder usually starting during middle childhood. However, the temporal relation between urges and tics has only been investigated in adults. In 25 children and adolescents with GTS (8–18 years), we assess urge-tic associations, including inter-individual differences, correlation to clinical measures, and in comparison to a previously reported sample of adult GTS patients. Group-level analyses confirmed positive associations between urges and tics. However, at the individual level, less than half of participants showed positive associations, a similar proportion did not, and in two participants, the association was reversed. Tic expression and subjective urge levels correlated with corresponding clinical scores and participants with more severe tics during the urge monitor exhibited stronger urge-tic associations. Associations between reported urge levels and instantaneous tic intensity tended to be less pronounced in children and adolescents than in adult GTS patients. The observed heterogeneity of urge-tic associations cast doubt on the notion that tics are directly caused by urges. More severe tics may facilitate anticipation of tics and thereby lead to more pronounced urge-tic associations, consistent with a hypothesis of urges as a byproduct of tics.&quot;,&quot;publisher&quot;:&quot;Nature Research&quot;,&quot;issue&quot;:&quot;1&quot;,&quot;volume&quot;:&quot;12&quot;,&quot;container-title-short&quot;:&quot;Sci Rep&quot;},&quot;isTemporary&quot;:false}]},{&quot;citationID&quot;:&quot;MENDELEY_CITATION_7e7c1f53-12d8-40ee-a7e7-56c484bb854d&quot;,&quot;properties&quot;:{&quot;noteIndex&quot;:0},&quot;isEdited&quot;:false,&quot;manualOverride&quot;:{&quot;isManuallyOverridden&quot;:false,&quot;citeprocText&quot;:&quot;(56)&quot;,&quot;manualOverrideText&quot;:&quot;&quot;},&quot;citationTag&quot;:&quot;MENDELEY_CITATION_v3_eyJjaXRhdGlvbklEIjoiTUVOREVMRVlfQ0lUQVRJT05fN2U3YzFmNTMtMTJkOC00MGVlLWE3ZTctNTZjNDg0YmI4NTRkIiwicHJvcGVydGllcyI6eyJub3RlSW5kZXgiOjB9LCJpc0VkaXRlZCI6ZmFsc2UsIm1hbnVhbE92ZXJyaWRlIjp7ImlzTWFudWFsbHlPdmVycmlkZGVuIjpmYWxzZSwiY2l0ZXByb2NUZXh0IjoiKDU2KSIsIm1hbnVhbE92ZXJyaWRlVGV4dCI6IiJ9LCJjaXRhdGlvbkl0ZW1zIjpbeyJpZCI6IjQ1MzE5OTcxLWE0ZmUtMzc4MC1iNWRhLTQyYWU4YTU1NjExYiIsIml0ZW1EYXRhIjp7InR5cGUiOiJhcnRpY2xlLWpvdXJuYWwiLCJpZCI6IjQ1MzE5OTcxLWE0ZmUtMzc4MC1iNWRhLTQyYWU4YTU1NjExYiIsInRpdGxlIjoiUHJlZGljdG9ycyBkdXJpbmcgY2hpbGRob29kIG9mIGZ1dHVyZSBoZWFsdGgtcmVsYXRlZCBxdWFsaXR5IG9mIGxpZmUgaW4gYWR1bHRzIHdpdGggR2lsbGVzIGRlIGxhIFRvdXJldHRlIHN5bmRyb21lIiwiZ3JvdXBJZCI6IjA3ZDYyYWMxLTVhYTgtMzlhZi1iNDllLTUyZDIwODhhYzU3MSIsImF1dGhvciI6W3siZmFtaWx5IjoiQ2F2YW5uYSIsImdpdmVuIjoiQSBFIiwicGFyc2UtbmFtZXMiOmZhbHNlLCJkcm9wcGluZy1wYXJ0aWNsZSI6IiIsIm5vbi1kcm9wcGluZy1wYXJ0aWNsZSI6IiJ9LHsiZmFtaWx5IjoiRGF2aWQiLCJnaXZlbiI6IksiLCJwYXJzZS1uYW1lcyI6ZmFsc2UsImRyb3BwaW5nLXBhcnRpY2xlIjoiIiwibm9uLWRyb3BwaW5nLXBhcnRpY2xlIjoiIn0seyJmYW1pbHkiOiJPcnRoIiwiZ2l2ZW4iOiJNIiwicGFyc2UtbmFtZXMiOmZhbHNlLCJkcm9wcGluZy1wYXJ0aWNsZSI6IiIsIm5vbi1kcm9wcGluZy1wYXJ0aWNsZSI6IiJ9LHsiZmFtaWx5IjoiUm9iZXJ0c29uIiwiZ2l2ZW4iOiJNIE0iLCJwYXJzZS1uYW1lcyI6ZmFsc2UsImRyb3BwaW5nLXBhcnRpY2xlIjoiIiwibm9uLWRyb3BwaW5nLXBhcnRpY2xlIjoiIn1dLCJjb250YWluZXItdGl0bGUiOiJFdXJvcGVhbiBKb3VybmFsIG9mIFBhZWRpYXRyaWMgTmV1cm9sb2d5IiwiRE9JIjoiaHR0cHM6Ly9keC5kb2kub3JnLzEwLjEwMTYvai5lanBuLjIwMTIuMDIuMDA0IiwiVVJMIjoiaHR0cDovL292aWRzcC5vdmlkLmNvbS9vdmlkd2ViLmNnaT9UPUpTJlBBR0U9cmVmZXJlbmNlJkQ9ZW1lZDEzJk5FV1M9TiZBTj01MTg4NTI2OSIsImlzc3VlZCI6eyJkYXRlLXBhcnRzIjpbWzIwMTJdXX0sInBhZ2UiOiI2MDUtNjEyIiwiYWJzdHJhY3QiOiJCYWNrZ3JvdW5kOiBHaWxsZXMgZGUgbGEgVG91cmV0dGUgc3luZHJvbWUgKEdUUykgaXMgYSBjaHJvbmljIG5ldXJvZGV2ZWxvcG1lbnRhbCBkaXNvcmRlciBjaGFyYWN0ZXJpc2VkIGJ5IG11bHRpcGxlIG1vdG9yIGFuZCBwaG9uaWMgdGljcyBhbmQgYmVoYXZpb3VyYWwgcHJvYmxlbXMuIFBhdGllbnRzIHdpdGggR1RTIG9mIGFsbCBhZ2VzIG9mdGVuIHJlcG9ydCBhIHBvb3IgaGVhbHRoLXJlbGF0ZWQgcXVhbGl0eSBvZiBsaWZlIChIUi1RT0wpLiBUaGUgZGlhZ25vc2lzIG9mIEdUUyBpcyB1c3VhbGx5IGVzdGFibGlzaGVkIGluIGNoaWxkaG9vZCBidXQgbGl0dGxlIGlzIGtub3duIGFib3V0IGZhY3RvcnMgdGhhdCBwcmVkaWN0IHRoZSBsb25nLXRlcm0gd2VsbC1iZWluZyBvZiBwYXRpZW50cywgZXNwZWNpYWxseSBpbiB0aGUgcHJlc2VuY2Ugb2YgY28tbW9yYmlkIGJlaGF2aW91cmFsIHByb2JsZW1zLiBBaW0ocyk6IFRvIGludmVzdGlnYXRlIHRoZSBjaGlsZGhvb2QgcHJlZGljdG9ycyBvZiBIUi1RT0wgaW4gYSBjb2hvcnQgb2YgYWR1bHQgcGF0aWVudHMgd2l0aCBHVFMuIE1ldGhvZChzKTogRm9ydHktc2l4IHBhdGllbnRzIHdpdGggR1RTIGFnZWQgNi0xNiB5ZWFycyB1bmRlcndlbnQgYSBiYXNlbGluZSBzdGFuZGFyZGlzZWQgY2xpbmljYWwgYXNzZXNzbWVudCBvZiBib3RoIHRpY3MgYW5kIGJlaGF2aW91cmFsIHN5bXB0b21zIGF0IGEgc3BlY2lhbGlzdCBHVFMgY2xpbmljLiBUaGUgc2FtZSBwYXRpZW50cyB3ZXJlIHJlLWFzc2Vzc2VkIGFnZWQgMTYgeWVhcnMgYW5kIGFib3ZlLCB3aXRoIGEgbWVhbiBmb2xsb3ctdXAgcGVyaW9kIG9mIDEzIHllYXJzIChyYW5nZSAzLTI1IHllYXJzKSwgd2hlbiB0aGV5IGNvbXBsZXRlZCB0aGUgR2lsbGVzIGRlIGxhIFRvdXJldHRlIFN5bmRyb21lLVF1YWxpdHkgb2YgTGlmZSBTY2FsZSAoR1RTLVFPTCksIGEgZGlzZWFzZS1zcGVjaWZpYyBtZWFzdXJlIG9mIEhSLVFPTC4gUmVzdWx0KHMpOiBUaWMgc2V2ZXJpdHksIHByZW1vbml0b3J5IHVyZ2VzIGFuZCBmYW1pbHkgaGlzdG9yeSBvZiBHVFMgd2VyZSBpZGVudGlmaWVkIGFzIHByZWRpY3RvcnMgZHVyaW5nIGNoaWxkaG9vZCBvZiBhIHBvb3JlciBIUi1RT0wgaW4gYWR1bHRzIHdpdGggR1RTIGJ5IG11bHRpcGxlIGxpbmVhciByZWdyZXNzaW9uIGFuYWx5c2lzLiBTcGVjaWZpY2FsbHksIHRpYyBzZXZlcml0eSBzaWduaWZpY2FudGx5IHByZWRpY3RlZCBwb29yIG91dGNvbWUgYWNyb3NzIHBoeXNpY2FsLCBwc3ljaG9sb2dpY2FsIGFuZCBjb2duaXRpdmUgZG9tYWlucyBvZiB0aGUgR1RTLVFPTCwgcmVmbGVjdGluZyB3aWRlc3ByZWFkIGVmZmVjdHMgb24gSFItUU9MLiBDb25jbHVzaW9uKHMpOiBZb3VuZyBwYXRpZW50cyB3aXRoIHNldmVyZSB0aWNzIGFzc29jaWF0ZWQgd2l0aCBjaGFyYWN0ZXJpc3RpYyBwcmVtb25pdG9yeSB1cmdlcyBhbmQgYSBmYW1pbHkgaGlzdG9yeSBvZiB0aWMgZGlzb3JkZXJzIGFwcGVhciB0byBiZSBhdCBoaWdoZXIgcmlzayBmb3IgcG9vcmVyIEhSLVFPTCBhcyBhZHVsdHMuIEZ1cnRoZXIgcHJvc3BlY3RpdmUgcmVzZWFyY2ggaW50byBIUi1RT0wgaW4gR1RTIGlzIHJlcXVpcmVkIGluIG9yZGVyIHRvIGluZm9ybSBsb25nLXRlcm0gc3RyYXRlZ2ljIHJlc291cmNlIGFsbG9jYXRpb24uIMKpIDIwMTIgRXVyb3BlYW4gUGFlZGlhdHJpYyBOZXVyb2xvZ3kgU29jaWV0eS4gUHVibGlzaGVkIGJ5IEVsc2V2aWVyIEx0ZC4gQWxsIHJpZ2h0cyByZXNlcnZlZC4iLCJpc3N1ZSI6IjYiLCJ2b2x1bWUiOiIxNiIsImNvbnRhaW5lci10aXRsZS1zaG9ydCI6IiJ9LCJpc1RlbXBvcmFyeSI6ZmFsc2V9XX0=&quot;,&quot;citationItems&quot;:[{&quot;id&quot;:&quot;45319971-a4fe-3780-b5da-42ae8a55611b&quot;,&quot;itemData&quot;:{&quot;type&quot;:&quot;article-journal&quot;,&quot;id&quot;:&quot;45319971-a4fe-3780-b5da-42ae8a55611b&quot;,&quot;title&quot;:&quot;Predictors during childhood of future health-related quality of life in adults with Gilles de la Tourette syndrome&quot;,&quot;groupId&quot;:&quot;07d62ac1-5aa8-39af-b49e-52d2088ac571&quot;,&quot;author&quot;:[{&quot;family&quot;:&quot;Cavanna&quot;,&quot;given&quot;:&quot;A E&quot;,&quot;parse-names&quot;:false,&quot;dropping-particle&quot;:&quot;&quot;,&quot;non-dropping-particle&quot;:&quot;&quot;},{&quot;family&quot;:&quot;David&quot;,&quot;given&quot;:&quot;K&quot;,&quot;parse-names&quot;:false,&quot;dropping-particle&quot;:&quot;&quot;,&quot;non-dropping-particle&quot;:&quot;&quot;},{&quot;family&quot;:&quot;Orth&quot;,&quot;given&quot;:&quot;M&quot;,&quot;parse-names&quot;:false,&quot;dropping-particle&quot;:&quot;&quot;,&quot;non-dropping-particle&quot;:&quot;&quot;},{&quot;family&quot;:&quot;Robertson&quot;,&quot;given&quot;:&quot;M M&quot;,&quot;parse-names&quot;:false,&quot;dropping-particle&quot;:&quot;&quot;,&quot;non-dropping-particle&quot;:&quot;&quot;}],&quot;container-title&quot;:&quot;European Journal of Paediatric Neurology&quot;,&quot;DOI&quot;:&quot;https://dx.doi.org/10.1016/j.ejpn.2012.02.004&quot;,&quot;URL&quot;:&quot;http://ovidsp.ovid.com/ovidweb.cgi?T=JS&amp;PAGE=reference&amp;D=emed13&amp;NEWS=N&amp;AN=51885269&quot;,&quot;issued&quot;:{&quot;date-parts&quot;:[[2012]]},&quot;page&quot;:&quot;605-612&quot;,&quot;abstract&quot;:&quot;Background: Gilles de la Tourette syndrome (GTS) is a chronic neurodevelopmental disorder characterised by multiple motor and phonic tics and behavioural problems. Patients with GTS of all ages often report a poor health-related quality of life (HR-QOL). The diagnosis of GTS is usually established in childhood but little is known about factors that predict the long-term well-being of patients, especially in the presence of co-morbid behavioural problems. Aim(s): To investigate the childhood predictors of HR-QOL in a cohort of adult patients with GTS. Method(s): Forty-six patients with GTS aged 6-16 years underwent a baseline standardised clinical assessment of both tics and behavioural symptoms at a specialist GTS clinic. The same patients were re-assessed aged 16 years and above, with a mean follow-up period of 13 years (range 3-25 years), when they completed the Gilles de la Tourette Syndrome-Quality of Life Scale (GTS-QOL), a disease-specific measure of HR-QOL. Result(s): Tic severity, premonitory urges and family history of GTS were identified as predictors during childhood of a poorer HR-QOL in adults with GTS by multiple linear regression analysis. Specifically, tic severity significantly predicted poor outcome across physical, psychological and cognitive domains of the GTS-QOL, reflecting widespread effects on HR-QOL. Conclusion(s): Young patients with severe tics associated with characteristic premonitory urges and a family history of tic disorders appear to be at higher risk for poorer HR-QOL as adults. Further prospective research into HR-QOL in GTS is required in order to inform long-term strategic resource allocation. © 2012 European Paediatric Neurology Society. Published by Elsevier Ltd. All rights reserved.&quot;,&quot;issue&quot;:&quot;6&quot;,&quot;volume&quot;:&quot;16&quot;,&quot;container-title-short&quot;:&quot;&quot;},&quot;isTemporary&quot;:false}]},{&quot;citationID&quot;:&quot;MENDELEY_CITATION_ab40ebd1-534f-4c58-96d6-4d670a8b652a&quot;,&quot;properties&quot;:{&quot;noteIndex&quot;:0},&quot;isEdited&quot;:false,&quot;manualOverride&quot;:{&quot;isManuallyOverridden&quot;:false,&quot;citeprocText&quot;:&quot;(39)&quot;,&quot;manualOverrideText&quot;:&quot;&quot;},&quot;citationTag&quot;:&quot;MENDELEY_CITATION_v3_eyJjaXRhdGlvbklEIjoiTUVOREVMRVlfQ0lUQVRJT05fYWI0MGViZDEtNTM0Zi00YzU4LTk2ZDYtNGQ2NzBhOGI2NTJhIiwicHJvcGVydGllcyI6eyJub3RlSW5kZXgiOjB9LCJpc0VkaXRlZCI6ZmFsc2UsIm1hbnVhbE92ZXJyaWRlIjp7ImlzTWFudWFsbHlPdmVycmlkZGVuIjpmYWxzZSwiY2l0ZXByb2NUZXh0IjoiKDM5KSIsIm1hbnVhbE92ZXJyaWRlVGV4dCI6IiJ9LCJjaXRhdGlvbkl0ZW1zIjpbeyJpZCI6IjkwNGI1ZjVjLTJkYTMtMzUyOS04M2Y2LTUwODg4ZjRhNWM1YiIsIml0ZW1EYXRhIjp7InR5cGUiOiJhcnRpY2xlLWpvdXJuYWwiLCJpZCI6IjkwNGI1ZjVjLTJkYTMtMzUyOS04M2Y2LTUwODg4ZjRhNWM1YiIsInRpdGxlIjoiRW52aXJvbm1lbnRhbCBmYWN0b3JzIGFzIHBvdGVudGlhbCBkZXRlcm1pbmFudHMgb2YgcHJlbW9uaXRvcnkgdXJnZSBzZXZlcml0eSBpbiB5b3V0aCB3aXRoIFRvdXJldHRlIHN5bmRyb21lIiwiZ3JvdXBJZCI6IjA3ZDYyYWMxLTVhYTgtMzlhZi1iNDllLTUyZDIwODhhYzU3MSIsImF1dGhvciI6W3siZmFtaWx5IjoiQ2FwcmlvdHRpIiwiZ2l2ZW4iOiJNIFIiLCJwYXJzZS1uYW1lcyI6ZmFsc2UsImRyb3BwaW5nLXBhcnRpY2xlIjoiIiwibm9uLWRyb3BwaW5nLXBhcnRpY2xlIjoiIn0seyJmYW1pbHkiOiJFc3BpbCIsImdpdmVuIjoiRiBNIiwicGFyc2UtbmFtZXMiOmZhbHNlLCJkcm9wcGluZy1wYXJ0aWNsZSI6IiIsIm5vbi1kcm9wcGluZy1wYXJ0aWNsZSI6IiJ9LHsiZmFtaWx5IjoiQ29uZWxlYSIsImdpdmVuIjoiQyBBIiwicGFyc2UtbmFtZXMiOmZhbHNlLCJkcm9wcGluZy1wYXJ0aWNsZSI6IiIsIm5vbi1kcm9wcGluZy1wYXJ0aWNsZSI6IiJ9LHsiZmFtaWx5IjoiV29vZHMiLCJnaXZlbiI6IkQgVyIsInBhcnNlLW5hbWVzIjpmYWxzZSwiZHJvcHBpbmctcGFydGljbGUiOiIiLCJub24tZHJvcHBpbmctcGFydGljbGUiOiIifV0sImNvbnRhaW5lci10aXRsZSI6IkpvdXJuYWwgb2YgT2JzZXNzaXZlLUNvbXB1bHNpdmUgYW5kIFJlbGF0ZWQgRGlzb3JkZXJzIiwiRE9JIjoiaHR0cHM6Ly9keC5kb2kub3JnLzEwLjEwMTYvai5qb2NyZC4yMDEyLjEwLjAwNCIsIlVSTCI6Imh0dHA6Ly93d3cuam91cm5hbHMuZWxzZXZpZXIuY29tL2pvdXJuYWwtb2Ytb2JzZXNzaXZlLWNvbXB1bHNpdmUtYW5kLXJlbGF0ZWQtZGlzb3JkZXJzaHR0cDovL292aWRzcC5vdmlkLmNvbS9vdmlkd2ViLmNnaT9UPUpTJlBBR0U9cmVmZXJlbmNlJkQ9ZW1lZDE0Jk5FV1M9TiZBTj0zNjgxMjQ5MDciLCJpc3N1ZWQiOnsiZGF0ZS1wYXJ0cyI6W1syMDEzXV19LCJwYWdlIjoiMzctNDIiLCJhYnN0cmFjdCI6IlRpY3MgYXNzb2NpYXRlZCB3aXRoIFRvdXJldHRlIHN5bmRyb21lIChUUykgYXJlIG9mdGVuIHByZWNlZGVkIGJ5IGF2ZXJzaXZlIHNvbWF0b3NlbnNvcnkgZXhwZXJpZW5jZXMga25vd24gYXMgcHJlbW9uaXRvcnkgdXJnZXMuIFRoZXNlIHVyZ2VzIGFyZSBoaWdobHkgcHJldmFsZW50IGFtb25nIGluZGl2aWR1YWxzIHdpdGggVFMgYW5kIGFwcGVhciB0byBwbGF5IGEga2V5IHJvbGUgaW4gdGljIGV4cHJlc3Npb24uIERlc3BpdGUgdGhlIGltcG9ydGFuY2Ugb2YgcHJlbW9uaXRvcnkgdXJnZXMsIHJlbGF0aXZlbHkgbGl0dGxlIGlzIGtub3duIGFib3V0IGVudmlyb25tZW50YWwgZmFjdG9ycyB0aGF0IG1heSBpbmZsdWVuY2UgdGhlaXIgc2V2ZXJpdHkuIFNvbWUgZGF0YSBzdWdnZXN0IHRoYXQgZXhwZXJpZW5jaW5nIGVudmlyb25tZW50YWwgY29uc2VxdWVuY2VzIGZvciB0aWNjaW5nIG1heSBpbmNyZWFzZSB0aGUgc2V2ZXJpdHkgb2YgcHJlbW9uaXRvcnkgdXJnZXMsIGFsdGhvdWdoIGV2aWRlbmNlIGZvciB0aGlzIGNsYWltIGlzIGxpbWl0ZWQuIFRoZSBwcmVzZW50IHN0dWR5IHRlc3RlZCB0aGlzIHBvc3NpYmlsaXR5IHVzaW5nIGRhdGEgZnJvbSBhbiBJbnRlcm5ldC1iYXNlZCBzdXJ2ZXkgb2YgMTE4IHlvdXRoIHdpdGggVFMgYW5kIHRoZWlyIHBhcmVudHMuIFJlc3VsdHMgaW5kaWNhdGVkIHRoYXQgdGljIHNldmVyaXR5IGFuZCB1cmdlIHNldmVyaXR5IHdlcmUgcG9zaXRpdmVseSBjb3JyZWxhdGVkIHdpdGggZWFjaCBvdGhlciBhbmQgd2l0aCBpdGVtcyBtZWFzdXJpbmcgdGljLXJlbGF0ZWQgaW1wYWN0LiBIaWVyYXJjaGljYWwgbGluZWFyIHJlZ3Jlc3Npb24gYW5hbHlzZXMgc2hvd2VkIHRoYXQgdGhlIHJlbGF0aW9uc2hpcCBiZXR3ZWVuIHVyZ2Ugc2V2ZXJpdHkgYW5kIHRpYy1yZWxhdGVkIGltcGFjdCBwZXJzaXN0ZWQgd2hlbiBhY2NvdW50aW5nIGZvciBjb21vcmJpZCBwc3ljaGlhdHJpYyBkaWFnbm9zZXMgYW5kIHRpYyBzZXZlcml0eS4gVGhlc2UgcmVzdWx0cyBhcmUgY29uc2lzdGVudCB3aXRoIGEgYmVoYXZpb3JhbCBtb2RlbCBvZiBUUyBhbmQgc3VnZ2VzdCB0aGF0IGV4cGVyaWVuY2luZyBhdmVyc2l2ZSBjb25zZXF1ZW5jZXMgZm9yIHRpY2NpbmcgbWF5IGluY3JlYXNlIHRoZSBzZXZlcml0eSBvZiBwcmVtb25pdG9yeSB1cmdlcy4gRnV0dXJlIHJlc2VhcmNoIHNob3VsZCBmdXJ0aGVyIGV4YW1pbmUgZmFjdG9ycyB0aGF0IGluZmx1ZW5jZSBwcmVtb25pdG9yeSB1cmdlcyBhbmQgbW9yZSBjb21wbGV0ZWx5IHRlc3QgdGhlIGJlaGF2aW9yYWwgbW9kZWwgb2YgVFMuIMKpIDIwMTIgRWxzZXZpZXIgTHRkLiIsImlzc3VlIjoiMSIsInZvbHVtZSI6IjIiLCJjb250YWluZXItdGl0bGUtc2hvcnQiOiJKIE9ic2Vzc2l2ZSBDb21wdWxzIFJlbGF0IERpc29yZCJ9LCJpc1RlbXBvcmFyeSI6ZmFsc2V9XX0=&quot;,&quot;citationItems&quot;:[{&quot;id&quot;:&quot;904b5f5c-2da3-3529-83f6-50888f4a5c5b&quot;,&quot;itemData&quot;:{&quot;type&quot;:&quot;article-journal&quot;,&quot;id&quot;:&quot;904b5f5c-2da3-3529-83f6-50888f4a5c5b&quot;,&quot;title&quot;:&quot;Environmental factors as potential determinants of premonitory urge severity in youth with Tourette syndrome&quot;,&quot;groupId&quot;:&quot;07d62ac1-5aa8-39af-b49e-52d2088ac571&quot;,&quot;author&quot;:[{&quot;family&quot;:&quot;Capriotti&quot;,&quot;given&quot;:&quot;M R&quot;,&quot;parse-names&quot;:false,&quot;dropping-particle&quot;:&quot;&quot;,&quot;non-dropping-particle&quot;:&quot;&quot;},{&quot;family&quot;:&quot;Espil&quot;,&quot;given&quot;:&quot;F M&quot;,&quot;parse-names&quot;:false,&quot;dropping-particle&quot;:&quot;&quot;,&quot;non-dropping-particle&quot;:&quot;&quot;},{&quot;family&quot;:&quot;Conelea&quot;,&quot;given&quot;:&quot;C A&quot;,&quot;parse-names&quot;:false,&quot;dropping-particle&quot;:&quot;&quot;,&quot;non-dropping-particle&quot;:&quot;&quot;},{&quot;family&quot;:&quot;Woods&quot;,&quot;given&quot;:&quot;D W&quot;,&quot;parse-names&quot;:false,&quot;dropping-particle&quot;:&quot;&quot;,&quot;non-dropping-particle&quot;:&quot;&quot;}],&quot;container-title&quot;:&quot;Journal of Obsessive-Compulsive and Related Disorders&quot;,&quot;DOI&quot;:&quot;https://dx.doi.org/10.1016/j.jocrd.2012.10.004&quot;,&quot;URL&quot;:&quot;http://www.journals.elsevier.com/journal-of-obsessive-compulsive-and-related-disordershttp://ovidsp.ovid.com/ovidweb.cgi?T=JS&amp;PAGE=reference&amp;D=emed14&amp;NEWS=N&amp;AN=368124907&quot;,&quot;issued&quot;:{&quot;date-parts&quot;:[[2013]]},&quot;page&quot;:&quot;37-42&quot;,&quot;abstract&quot;:&quot;Tics associated with Tourette syndrome (TS) are often preceded by aversive somatosensory experiences known as premonitory urges. These urges are highly prevalent among individuals with TS and appear to play a key role in tic expression. Despite the importance of premonitory urges, relatively little is known about environmental factors that may influence their severity. Some data suggest that experiencing environmental consequences for ticcing may increase the severity of premonitory urges, although evidence for this claim is limited. The present study tested this possibility using data from an Internet-based survey of 118 youth with TS and their parents. Results indicated that tic severity and urge severity were positively correlated with each other and with items measuring tic-related impact. Hierarchical linear regression analyses showed that the relationship between urge severity and tic-related impact persisted when accounting for comorbid psychiatric diagnoses and tic severity. These results are consistent with a behavioral model of TS and suggest that experiencing aversive consequences for ticcing may increase the severity of premonitory urges. Future research should further examine factors that influence premonitory urges and more completely test the behavioral model of TS. © 2012 Elsevier Ltd.&quot;,&quot;issue&quot;:&quot;1&quot;,&quot;volume&quot;:&quot;2&quot;,&quot;container-title-short&quot;:&quot;J Obsessive Compuls Relat Disord&quot;},&quot;isTemporary&quot;:false}]},{&quot;citationID&quot;:&quot;MENDELEY_CITATION_826b673b-f0f9-4b30-b98b-6c91e85db0b5&quot;,&quot;properties&quot;:{&quot;noteIndex&quot;:0},&quot;isEdited&quot;:false,&quot;manualOverride&quot;:{&quot;isManuallyOverridden&quot;:false,&quot;citeprocText&quot;:&quot;(34)&quot;,&quot;manualOverrideText&quot;:&quot;&quot;},&quot;citationTag&quot;:&quot;MENDELEY_CITATION_v3_eyJjaXRhdGlvbklEIjoiTUVOREVMRVlfQ0lUQVRJT05fODI2YjY3M2ItZjBmOS00YjMwLWI5OGItNmM5MWU4NWRiMGI1IiwicHJvcGVydGllcyI6eyJub3RlSW5kZXgiOjB9LCJpc0VkaXRlZCI6ZmFsc2UsIm1hbnVhbE92ZXJyaWRlIjp7ImlzTWFudWFsbHlPdmVycmlkZGVuIjpmYWxzZSwiY2l0ZXByb2NUZXh0IjoiKDM0KSIsIm1hbnVhbE92ZXJyaWRlVGV4dCI6IiJ9LCJjaXRhdGlvbkl0ZW1zIjpbeyJpZCI6ImRjODk3YzhiLTQ1YjQtMzk4My04NTliLTEzMTE1MmFjYWU3MyIsIml0ZW1EYXRhIjp7InR5cGUiOiJhcnRpY2xlLWpvdXJuYWwiLCJpZCI6ImRjODk3YzhiLTQ1YjQtMzk4My04NTliLTEzMTE1MmFjYWU3MyIsInRpdGxlIjoiU2Vuc29yeSBwaGVub21lbmEgcmVsYXRlZCB0byB0aWNzLCBvYnNlc3NpdmUtY29tcHVsc2l2ZSBzeW1wdG9tcywgYW5kIGdsb2JhbCBmdW5jdGlvbmluZyBpbiBUb3VyZXR0ZSBzeW5kcm9tZSIsImdyb3VwSWQiOiIwN2Q2MmFjMS01YWE4LTM5YWYtYjQ5ZS01MmQyMDg4YWM1NzEiLCJhdXRob3IiOlt7ImZhbWlseSI6Ikthbm8iLCJnaXZlbiI6IlkiLCJwYXJzZS1uYW1lcyI6ZmFsc2UsImRyb3BwaW5nLXBhcnRpY2xlIjoiIiwibm9uLWRyb3BwaW5nLXBhcnRpY2xlIjoiIn0seyJmYW1pbHkiOiJNYXRzdWRhIiwiZ2l2ZW4iOiJOIiwicGFyc2UtbmFtZXMiOmZhbHNlLCJkcm9wcGluZy1wYXJ0aWNsZSI6IiIsIm5vbi1kcm9wcGluZy1wYXJ0aWNsZSI6IiJ9LHsiZmFtaWx5IjoiTm9uYWthIiwiZ2l2ZW4iOiJNIiwicGFyc2UtbmFtZXMiOmZhbHNlLCJkcm9wcGluZy1wYXJ0aWNsZSI6IiIsIm5vbi1kcm9wcGluZy1wYXJ0aWNsZSI6IiJ9LHsiZmFtaWx5IjoiRnVqaW8iLCJnaXZlbiI6Ik0iLCJwYXJzZS1uYW1lcyI6ZmFsc2UsImRyb3BwaW5nLXBhcnRpY2xlIjoiIiwibm9uLWRyb3BwaW5nLXBhcnRpY2xlIjoiIn0seyJmYW1pbHkiOiJLdXdhYmFyYSIsImdpdmVuIjoiSCIsInBhcnNlLW5hbWVzIjpmYWxzZSwiZHJvcHBpbmctcGFydGljbGUiOiIiLCJub24tZHJvcHBpbmctcGFydGljbGUiOiIifSx7ImZhbWlseSI6Iktvbm8iLCJnaXZlbiI6IlQiLCJwYXJzZS1uYW1lcyI6ZmFsc2UsImRyb3BwaW5nLXBhcnRpY2xlIjoiIiwibm9uLWRyb3BwaW5nLXBhcnRpY2xlIjoiIn1dLCJjb250YWluZXItdGl0bGUiOiJDb21wciBQc3ljaGlhdHJ5IiwiRE9JIjoiMTAuMTAxNi9qLmNvbXBwc3ljaC4yMDE1LjA3LjAwNiIsIlBNSUQiOiIyNjM0MzQ3OCIsImlzc3VlZCI6eyJkYXRlLXBhcnRzIjpbWzIwMTVdXX0sInBhZ2UiOiIxNDEtMTQ2IiwiYWJzdHJhY3QiOiJPQkpFQ1RJVkVTOiBTZW5zb3J5IHBoZW5vbWVuYSwgaW5jbHVkaW5nIHByZW1vbml0b3J5IHVyZ2VzLCBhcmUgZXhwZXJpZW5jZWQgYnkgcGF0aWVudHMgd2l0aCBUb3VyZXR0ZSBzeW5kcm9tZSAoVFMpIGFuZCBvYnNlc3NpdmUtY29tcHVsc2l2ZSBkaXNvcmRlciAoT0NEKS4gVGhlIGdvYWwgb2YgdGhlIHByZXNlbnQgc3R1ZHkgd2FzIHRvIGludmVzdGlnYXRlIHN1Y2ggcGhlbm9tZW5hIHJlbGF0ZWQgdG8gdGljcywgb2JzZXNzaXZlLWNvbXB1bHNpdmUgc3ltcHRvbXMgKE9DUyksIGFuZCBnbG9iYWwgZnVuY3Rpb25pbmcgaW4gSmFwYW5lc2UgcGF0aWVudHMgd2l0aCBUUy4gTUVUSE9EUzogRm9ydHktb25lIHBhdGllbnRzIHdpdGggVFMgd2VyZSBhc3Nlc3NlZCB1c2luZyB0aGUgVW5pdmVyc2l0eSBvZiBTw6NvIFBhdWxvIFNlbnNvcnkgUGhlbm9tZW5hIFNjYWxlIChVU1AtU1BTKSwgdGhlIFByZW1vbml0b3J5IFVyZ2UgZm9yIFRpY3MgU2NhbGUgKFBVVFMpLCB0aGUgWWFsZSBHbG9iYWwgVGljIFNldmVyaXR5IFNjYWxlIChZR1RTUyksIHRoZSBEaW1lbnNpb25hbCBZYWxlLUJyb3duIE9ic2Vzc2l2ZS1Db21wdWxzaXZlIFNjYWxlIChEWS1CT0NTKSwgYW5kIHRoZSBHbG9iYWwgQXNzZXNzbWVudCBvZiBGdW5jdGlvbmluZyAoR0FGKSBTY2FsZS4gUkVTVUxUUzogVVNQLVNQUyBhbmQgUFVUUyB0b3RhbCBzY29yZXMgd2VyZSBzaWduaWZpY2FudGx5IGNvcnJlbGF0ZWQgd2l0aCBZR1RTUyB0b3RhbCBhbmQgdm9jYWwgdGljcyBzY29yZXMuIEFkZGl0aW9uYWxseSwgYm90aCBzZW5zb3J5IHBoZW5vbWVuYSBzZXZlcml0eSBzY29yZXMgd2VyZSBzaWduaWZpY2FudGx5IGNvcnJlbGF0ZWQgd2l0aCBEWS1CT0NTIHRvdGFsIE9DUyBzY29yZXMuIE9mIHRoZSBzaXggZGltZW5zaW9uYWwgT0NTIHNjb3JlcywgdGhlIFVTUC1TUFMgc2NvcmVzIHdlcmUgc2lnbmlmaWNhbnRseSBjb3JyZWxhdGVkIHdpdGggbWVhc3VyZXMgb2YgYWdncmVzc2lvbiBhbmQgc2V4dWFsL3JlbGlnaW91cyBkaW1lbnNpb25zLiBGaW5hbGx5LCB0aGUgUFVUUyB0b3RhbCBzY29yZXMgd2VyZSBzaWduaWZpY2FudGx5IGFuZCBuZWdhdGl2ZWx5IGNvcnJlbGF0ZWQgd2l0aCBHQUYgc2NvcmVzLiBDT05DTFVTSU9OUzogQnkgYXNzZXNzaW5nIHByZW1vbml0b3J5IHVyZ2VzIGFuZCBicm9hZGVyIHNlbnNvcnkgcGhlbm9tZW5hLCBhbmQgYnkgdmlld2luZyBPQ1MgZnJvbSBhIGRpbWVuc2lvbmFsIGFwcHJvYWNoLCB0aGlzIHN0dWR5IHByb3ZpZGVzIHNpZ25pZmljYW50IGluc2lnaHQgaW50byBzZW5zb3J5IHBoZW5vbWVuYSByZWxhdGVkIHRvIHRpY3MsIE9DUywgYW5kIGdsb2JhbCBmdW5jdGlvbmluZyBpbiBwYXRpZW50cyB3aXRoIFRTLiIsInZvbHVtZSI6IjYyIiwiY29udGFpbmVyLXRpdGxlLXNob3J0IjoiIn0sImlzVGVtcG9yYXJ5IjpmYWxzZX1dfQ==&quot;,&quot;citationItems&quot;:[{&quot;id&quot;:&quot;dc897c8b-45b4-3983-859b-131152acae73&quot;,&quot;itemData&quot;:{&quot;type&quot;:&quot;article-journal&quot;,&quot;id&quot;:&quot;dc897c8b-45b4-3983-859b-131152acae73&quot;,&quot;title&quot;:&quot;Sensory phenomena related to tics, obsessive-compulsive symptoms, and global functioning in Tourette syndrome&quot;,&quot;groupId&quot;:&quot;07d62ac1-5aa8-39af-b49e-52d2088ac571&quot;,&quot;author&quot;:[{&quot;family&quot;:&quot;Kano&quot;,&quot;given&quot;:&quot;Y&quot;,&quot;parse-names&quot;:false,&quot;dropping-particle&quot;:&quot;&quot;,&quot;non-dropping-particle&quot;:&quot;&quot;},{&quot;family&quot;:&quot;Matsuda&quot;,&quot;given&quot;:&quot;N&quot;,&quot;parse-names&quot;:false,&quot;dropping-particle&quot;:&quot;&quot;,&quot;non-dropping-particle&quot;:&quot;&quot;},{&quot;family&quot;:&quot;Nonaka&quot;,&quot;given&quot;:&quot;M&quot;,&quot;parse-names&quot;:false,&quot;dropping-particle&quot;:&quot;&quot;,&quot;non-dropping-particle&quot;:&quot;&quot;},{&quot;family&quot;:&quot;Fujio&quot;,&quot;given&quot;:&quot;M&quot;,&quot;parse-names&quot;:false,&quot;dropping-particle&quot;:&quot;&quot;,&quot;non-dropping-particle&quot;:&quot;&quot;},{&quot;family&quot;:&quot;Kuwabara&quot;,&quot;given&quot;:&quot;H&quot;,&quot;parse-names&quot;:false,&quot;dropping-particle&quot;:&quot;&quot;,&quot;non-dropping-particle&quot;:&quot;&quot;},{&quot;family&quot;:&quot;Kono&quot;,&quot;given&quot;:&quot;T&quot;,&quot;parse-names&quot;:false,&quot;dropping-particle&quot;:&quot;&quot;,&quot;non-dropping-particle&quot;:&quot;&quot;}],&quot;container-title&quot;:&quot;Compr Psychiatry&quot;,&quot;DOI&quot;:&quot;10.1016/j.comppsych.2015.07.006&quot;,&quot;PMID&quot;:&quot;26343478&quot;,&quot;issued&quot;:{&quot;date-parts&quot;:[[2015]]},&quot;page&quot;:&quot;141-146&quot;,&quot;abstract&quot;:&quot;OBJECTIVES: Sensory phenomena, including premonitory urges, are experienced by patients with Tourette syndrome (TS) and obsessive-compulsive disorder (OCD). The goal of the present study was to investigate such phenomena related to tics, obsessive-compulsive symptoms (OCS), and global functioning in Japanese patients with TS. METHODS: Forty-one patients with TS were assessed using the University of São Paulo Sensory Phenomena Scale (USP-SPS), the Premonitory Urge for Tics Scale (PUTS), the Yale Global Tic Severity Scale (YGTSS), the Dimensional Yale-Brown Obsessive-Compulsive Scale (DY-BOCS), and the Global Assessment of Functioning (GAF) Scale. RESULTS: USP-SPS and PUTS total scores were significantly correlated with YGTSS total and vocal tics scores. Additionally, both sensory phenomena severity scores were significantly correlated with DY-BOCS total OCS scores. Of the six dimensional OCS scores, the USP-SPS scores were significantly correlated with measures of aggression and sexual/religious dimensions. Finally, the PUTS total scores were significantly and negatively correlated with GAF scores. CONCLUSIONS: By assessing premonitory urges and broader sensory phenomena, and by viewing OCS from a dimensional approach, this study provides significant insight into sensory phenomena related to tics, OCS, and global functioning in patients with TS.&quot;,&quot;volume&quot;:&quot;62&quot;,&quot;container-title-short&quot;:&quot;&quot;},&quot;isTemporary&quot;:false}]},{&quot;citationID&quot;:&quot;MENDELEY_CITATION_26e27d5e-39d5-48f9-8545-cc8025969384&quot;,&quot;properties&quot;:{&quot;noteIndex&quot;:0},&quot;isEdited&quot;:false,&quot;manualOverride&quot;:{&quot;isManuallyOverridden&quot;:false,&quot;citeprocText&quot;:&quot;(41)&quot;,&quot;manualOverrideText&quot;:&quot;&quot;},&quot;citationTag&quot;:&quot;MENDELEY_CITATION_v3_eyJjaXRhdGlvbklEIjoiTUVOREVMRVlfQ0lUQVRJT05fMjZlMjdkNWUtMzlkNS00OGY5LTg1NDUtY2M4MDI1OTY5Mzg0IiwicHJvcGVydGllcyI6eyJub3RlSW5kZXgiOjB9LCJpc0VkaXRlZCI6ZmFsc2UsIm1hbnVhbE92ZXJyaWRlIjp7ImlzTWFudWFsbHlPdmVycmlkZGVuIjpmYWxzZSwiY2l0ZXByb2NUZXh0IjoiKDQxKSIsIm1hbnVhbE92ZXJyaWRlVGV4dCI6IiJ9LCJjaXRhdGlvbkl0ZW1zIjpbeyJpZCI6ImJmZDU3MzgxLTZlOWEtMzNhZS04N2MxLTRiNTdiMGM2YzNhOSIsIml0ZW1EYXRhIjp7InR5cGUiOiJhcnRpY2xlLWpvdXJuYWwiLCJpZCI6ImJmZDU3MzgxLTZlOWEtMzNhZS04N2MxLTRiNTdiMGM2YzNhOSIsInRpdGxlIjoiQ2hhbmdlcyBpbiBTZW5zb3J5IFBoZW5vbWVuYSwgVGljcywgT2JzZXNzaXZlLUNvbXB1bHNpdmUgU3ltcHRvbXMsIGFuZCBHbG9iYWwgRnVuY3Rpb25pbmcgb2YgVG91cmV0dGUgU3luZHJvbWU6IEEgRm9sbG93LVVwIEFmdGVyIEZvdXIgWWVhcnMiLCJncm91cElkIjoiMDdkNjJhYzEtNWFhOC0zOWFmLWI0OWUtNTJkMjA4OGFjNTcxIiwiYXV0aG9yIjpbeyJmYW1pbHkiOiJLYW5vIiwiZ2l2ZW4iOiJZIiwicGFyc2UtbmFtZXMiOmZhbHNlLCJkcm9wcGluZy1wYXJ0aWNsZSI6IiIsIm5vbi1kcm9wcGluZy1wYXJ0aWNsZSI6IiJ9LHsiZmFtaWx5IjoiRnVqaW8iLCJnaXZlbiI6Ik0iLCJwYXJzZS1uYW1lcyI6ZmFsc2UsImRyb3BwaW5nLXBhcnRpY2xlIjoiIiwibm9uLWRyb3BwaW5nLXBhcnRpY2xlIjoiIn0seyJmYW1pbHkiOiJLYWppIiwiZ2l2ZW4iOiJOIiwicGFyc2UtbmFtZXMiOmZhbHNlLCJkcm9wcGluZy1wYXJ0aWNsZSI6IiIsIm5vbi1kcm9wcGluZy1wYXJ0aWNsZSI6IiJ9LHsiZmFtaWx5IjoiTWF0c3VkYSIsImdpdmVuIjoiTiIsInBhcnNlLW5hbWVzIjpmYWxzZSwiZHJvcHBpbmctcGFydGljbGUiOiIiLCJub24tZHJvcHBpbmctcGFydGljbGUiOiIifSx7ImZhbWlseSI6Ik5vbmFrYSIsImdpdmVuIjoiTSIsInBhcnNlLW5hbWVzIjpmYWxzZSwiZHJvcHBpbmctcGFydGljbGUiOiIiLCJub24tZHJvcHBpbmctcGFydGljbGUiOiIifSx7ImZhbWlseSI6Iktvbm8iLCJnaXZlbiI6IlQiLCJwYXJzZS1uYW1lcyI6ZmFsc2UsImRyb3BwaW5nLXBhcnRpY2xlIjoiIiwibm9uLWRyb3BwaW5nLXBhcnRpY2xlIjoiIn1dLCJjb250YWluZXItdGl0bGUiOiJGcm9udCBQc3ljaGlhdHJ5IiwiRE9JIjoiMTAuMzM4OS9mcHN5dC4yMDIwLjAwNjE5IiwiUE1JRCI6IjMyNjk1MDMzIiwiaXNzdWVkIjp7ImRhdGUtcGFydHMiOltbMjAyMF1dfSwicGFnZSI6IjYxOSIsImFic3RyYWN0IjoiU2Vuc29yeSBwaGVub21lbmEgYW5kIHJlbGF0ZWQgZmVhdHVyZXMgb2YgVG91cmV0dGUgc3luZHJvbWUgYXJlIHJlbGF0ZWQgdG8gcG9vcmVyIHF1YWxpdHkgb2YgbGlmZS4gVGhlcmVmb3JlLCBzZW5zb3J5IHBoZW5vbWVuYSBtaWdodCBhbHNvIGhhdmUgYSBuZWdhdGl2ZSBpbXBhY3Qgb24gZ2xvYmFsIGZ1bmN0aW9uaW5nLiBIb3dldmVyLCB0aGUgaW5mbHVlbmNlIG9mIHNlbnNvcnkgcGhlbm9tZW5hLCB0aWNzLCBhbmQgb2JzZXNzaXZlLWNvbXB1bHNpdmUgc3ltcHRvbXMgKE9DUykgb24gZ2xvYmFsIGZ1bmN0aW9uaW5nIGFmdGVyIHNldmVyYWwgeWVhcnMgb2YgdXN1YWwgdHJlYXRtZW50IGhhcyBub3QgYmVlbiBpbnZlc3RpZ2F0ZWQuIFR3ZW50eSBvdXQgb2YgNDUgSmFwYW5lc2UgcGF0aWVudHMgd2l0aCBUb3VyZXR0ZSBzeW5kcm9tZSB3aG8gaGFkIHByZXZpb3VzbHkgdW5kZXJnb25lIGFuIGV2YWx1YXRpb24gb2YgdGhlc2UgY2xpbmljYWwgZmVhdHVyZXMgd2VyZSBhc3Nlc3NlZCBhZ2FpbiBhZnRlciBhbiBhdmVyYWdlIG9mIGZvdXIgeWVhcnMuIFdlIGNvbmR1Y3RlZCBhIHBhbmVsIG9mIGFzc2Vzc21lbnRzIGZvciBwcmVtb25pdG9yeSB1cmdlcywgYnJvYWRlciBzZW5zb3J5IHBoZW5vbWVuYSwgdGljIHNldmVyaXR5LCBPQ1MsIGFuZCBnbG9iYWwgZnVuY3Rpb25pbmcuIEJhc2VkIG9uIFBlYXJzb24ncyBjb3JyZWxhdGlvbiBjb2VmZmljaWVudCwgY3VycmVudCBnbG9iYWwgZnVuY3Rpb25pbmcgd2FzIHNpZ25pZmljYW50bHkgbmVnYXRpdmVseSBjb3JyZWxhdGVkIHdpdGggcHJldmlvdXMgdGljcyBhbmQgbWFyZ2luYWxseSBuZWdhdGl2ZWx5IGNvcnJlbGF0ZWQgd2l0aCBwcmV2aW91cyBicm9hZGVyIHNlbnNvcnkgcGhlbm9tZW5hLiBDdXJyZW50IGdsb2JhbCBmdW5jdGlvbmluZyB3YXMgbWFyZ2luYWxseSBjb3JyZWxhdGVkIHdpdGggY2hhbmdlIGluIHRpY3MuIENoYW5nZSBpbiBnbG9iYWwgZnVuY3Rpb25pbmcgd2FzIHNpZ25pZmljYW50bHkgY29ycmVsYXRlZCB3aXRoIGNoYW5nZSBpbiBPQ1MgYW5kIG1hcmdpbmFsbHkgY29ycmVsYXRlZCB3aXRoIGNoYW5nZSBpbiBwcmVtb25pdG9yeSB1cmdlcy4gRHVlIHRvIHRoZSBzbWFsbCBzYW1wbGUgc2l6ZSwgaXQgd2FzIG5vdCBwb3NzaWJsZSB0byB1c2UgYSBtdWx0aXBsZSByZWdyZXNzaW9uIGFuYWx5c2lzIHRvIGNvbmNsdWRlIHRoYXQgc2Vuc29yeSBwaGVub21lbmEsIHRpY3MsIGFuZCBPQ1MgcHJlZGljdCBnbG9iYWwgZnVuY3Rpb25pbmcgaW4gYWRvbGVzY2VudHMgYW5kIGFkdWx0cyB3aXRoIFRTLiBIb3dldmVyLCBpdCB3YXMgc3VnZ2VzdGVkIHRoYXQgZnVydGhlciBpbnZlc3RpZ2F0aW9uIG9mIHRoaXMgcmVsYXRpb25zaGlwIHdvdWxkIGJlIG1lYW5pbmdmdWwuIiwidm9sdW1lIjoiMTEiLCJjb250YWluZXItdGl0bGUtc2hvcnQiOiIifSwiaXNUZW1wb3JhcnkiOmZhbHNlfV19&quot;,&quot;citationItems&quot;:[{&quot;id&quot;:&quot;bfd57381-6e9a-33ae-87c1-4b57b0c6c3a9&quot;,&quot;itemData&quot;:{&quot;type&quot;:&quot;article-journal&quot;,&quot;id&quot;:&quot;bfd57381-6e9a-33ae-87c1-4b57b0c6c3a9&quot;,&quot;title&quot;:&quot;Changes in Sensory Phenomena, Tics, Obsessive-Compulsive Symptoms, and Global Functioning of Tourette Syndrome: A Follow-Up After Four Years&quot;,&quot;groupId&quot;:&quot;07d62ac1-5aa8-39af-b49e-52d2088ac571&quot;,&quot;author&quot;:[{&quot;family&quot;:&quot;Kano&quot;,&quot;given&quot;:&quot;Y&quot;,&quot;parse-names&quot;:false,&quot;dropping-particle&quot;:&quot;&quot;,&quot;non-dropping-particle&quot;:&quot;&quot;},{&quot;family&quot;:&quot;Fujio&quot;,&quot;given&quot;:&quot;M&quot;,&quot;parse-names&quot;:false,&quot;dropping-particle&quot;:&quot;&quot;,&quot;non-dropping-particle&quot;:&quot;&quot;},{&quot;family&quot;:&quot;Kaji&quot;,&quot;given&quot;:&quot;N&quot;,&quot;parse-names&quot;:false,&quot;dropping-particle&quot;:&quot;&quot;,&quot;non-dropping-particle&quot;:&quot;&quot;},{&quot;family&quot;:&quot;Matsuda&quot;,&quot;given&quot;:&quot;N&quot;,&quot;parse-names&quot;:false,&quot;dropping-particle&quot;:&quot;&quot;,&quot;non-dropping-particle&quot;:&quot;&quot;},{&quot;family&quot;:&quot;Nonaka&quot;,&quot;given&quot;:&quot;M&quot;,&quot;parse-names&quot;:false,&quot;dropping-particle&quot;:&quot;&quot;,&quot;non-dropping-particle&quot;:&quot;&quot;},{&quot;family&quot;:&quot;Kono&quot;,&quot;given&quot;:&quot;T&quot;,&quot;parse-names&quot;:false,&quot;dropping-particle&quot;:&quot;&quot;,&quot;non-dropping-particle&quot;:&quot;&quot;}],&quot;container-title&quot;:&quot;Front Psychiatry&quot;,&quot;DOI&quot;:&quot;10.3389/fpsyt.2020.00619&quot;,&quot;PMID&quot;:&quot;32695033&quot;,&quot;issued&quot;:{&quot;date-parts&quot;:[[2020]]},&quot;page&quot;:&quot;619&quot;,&quot;abstract&quot;:&quot;Sensory phenomena and related features of Tourette syndrome are related to poorer quality of life. Therefore, sensory phenomena might also have a negative impact on global functioning. However, the influence of sensory phenomena, tics, and obsessive-compulsive symptoms (OCS) on global functioning after several years of usual treatment has not been investigated. Twenty out of 45 Japanese patients with Tourette syndrome who had previously undergone an evaluation of these clinical features were assessed again after an average of four years. We conducted a panel of assessments for premonitory urges, broader sensory phenomena, tic severity, OCS, and global functioning. Based on Pearson's correlation coefficient, current global functioning was significantly negatively correlated with previous tics and marginally negatively correlated with previous broader sensory phenomena. Current global functioning was marginally correlated with change in tics. Change in global functioning was significantly correlated with change in OCS and marginally correlated with change in premonitory urges. Due to the small sample size, it was not possible to use a multiple regression analysis to conclude that sensory phenomena, tics, and OCS predict global functioning in adolescents and adults with TS. However, it was suggested that further investigation of this relationship would be meaningful.&quot;,&quot;volume&quot;:&quot;11&quot;,&quot;container-title-short&quot;:&quot;&quot;},&quot;isTemporary&quot;:false}]},{&quot;citationID&quot;:&quot;MENDELEY_CITATION_51df9895-3801-46d0-9a0b-d42b702f97a0&quot;,&quot;properties&quot;:{&quot;noteIndex&quot;:0},&quot;isEdited&quot;:false,&quot;manualOverride&quot;:{&quot;isManuallyOverridden&quot;:false,&quot;citeprocText&quot;:&quot;(52)&quot;,&quot;manualOverrideText&quot;:&quot;&quot;},&quot;citationTag&quot;:&quot;MENDELEY_CITATION_v3_eyJjaXRhdGlvbklEIjoiTUVOREVMRVlfQ0lUQVRJT05fNTFkZjk4OTUtMzgwMS00NmQwLTlhMGItZDQyYjcwMmY5N2EwIiwicHJvcGVydGllcyI6eyJub3RlSW5kZXgiOjB9LCJpc0VkaXRlZCI6ZmFsc2UsIm1hbnVhbE92ZXJyaWRlIjp7ImlzTWFudWFsbHlPdmVycmlkZGVuIjpmYWxzZSwiY2l0ZXByb2NUZXh0IjoiKDUyKSIsIm1hbnVhbE92ZXJyaWRlVGV4dCI6IiJ9LCJjaXRhdGlvbkl0ZW1zIjpbeyJpZCI6IjgwMWY2OWY4LWY1ZjQtMzdlMS1iODgyLTNiYzE4MDk0NjE4NiIsIml0ZW1EYXRhIjp7InR5cGUiOiJhcnRpY2xlLWpvdXJuYWwiLCJpZCI6IjgwMWY2OWY4LWY1ZjQtMzdlMS1iODgyLTNiYzE4MDk0NjE4NiIsInRpdGxlIjoiUHJlbW9uaXRvcnkgVXJnZSBhbmQgVGljIFNldmVyaXR5LCBDb21vcmJpZGl0aWVzLCBhbmQgUXVhbGl0eSBvZiBMaWZlIGluIENocm9uaWMgVGljIERpc29yZGVycyIsImdyb3VwSWQiOiIwN2Q2MmFjMS01YWE4LTM5YWYtYjQ5ZS01MmQyMDg4YWM1NzEiLCJhdXRob3IiOlt7ImZhbWlseSI6IkJyYW5kdCIsImdpdmVuIjoiViIsInBhcnNlLW5hbWVzIjpmYWxzZSwiZHJvcHBpbmctcGFydGljbGUiOiIiLCJub24tZHJvcHBpbmctcGFydGljbGUiOiIifSx7ImZhbWlseSI6IkVzc2luZyIsImdpdmVuIjoiSiIsInBhcnNlLW5hbWVzIjpmYWxzZSwiZHJvcHBpbmctcGFydGljbGUiOiIiLCJub24tZHJvcHBpbmctcGFydGljbGUiOiIifSx7ImZhbWlseSI6Ikpha3Vib3Zza2kiLCJnaXZlbiI6IkUiLCJwYXJzZS1uYW1lcyI6ZmFsc2UsImRyb3BwaW5nLXBhcnRpY2xlIjoiIiwibm9uLWRyb3BwaW5nLXBhcnRpY2xlIjoiIn0seyJmYW1pbHkiOiJNw7xsbGVyLVZhaGwiLCJnaXZlbiI6IksiLCJwYXJzZS1uYW1lcyI6ZmFsc2UsImRyb3BwaW5nLXBhcnRpY2xlIjoiIiwibm9uLWRyb3BwaW5nLXBhcnRpY2xlIjoiIn1dLCJjb250YWluZXItdGl0bGUiOiJNb3YgRGlzb3JkIENsaW4gUHJhY3QiLCJET0kiOiIxMC4xMDAyL21kYzMuMTM3NDIiLCJQTUlEIjoiMzczMzI2MzMiLCJpc3N1ZWQiOnsiZGF0ZS1wYXJ0cyI6W1syMDIzXV19LCJwYWdlIjoiOTIyLTkzMiIsImFic3RyYWN0IjoiQkFDS0dST1VORDogVGljcyBhcmUgaW50aW1hdGVseSBhc3NvY2lhdGVkIHdpdGggcHJlbW9uaXRvcnkgdXJnZXMgKFBVKSBidXQga25vd2xlZGdlIGFib3V0IHVyZ2VzIGlzIHN0aWxsIGxpbWl0ZWQsIHdpdGggc21hbGwgc2FtcGxlIHNpemVzIG9mdGVuIGxpbWl0aW5nIHRoZSBnZW5lcmFsaXphYmlsaXR5IG9mIGZpbmRpbmdzLiBPQkpFQ1RJVkVTOiBUaGlzIHN0dWR5IGFkZHJlc3NlZCB0aGUgZm9sbG93aW5nIG9wZW4gcXVlc3Rpb25zOiAoMSkgaXMgdGljIHNldmVyaXR5IGFzc29jaWF0ZWQgd2l0aCB1cmdlIHNldmVyaXR5LCAoMikgaG93IGNvbW1vbiBpcyByZWxpZWYsICgzKSB3aGljaCBjb21vcmJpZGl0aWVzIGFyZSBhc3NvY2lhdGVkIHdpdGggdXJnZXMsICg0KSBhcmUgdXJnZXMsIHRpY3MsIGFuZCBjb21vcmJpZGl0aWVzIGFzc29jaWF0ZWQgd2l0aCBsb3dlciBxdWFsaXR5IG9mIGxpZmUsIGFuZCAoNSkgY2FuIGNvbXBsZXggYW5kIHNpbXBsZSwgbW90b3IgYW5kIHZvY2FsIHRpY3MgYmUgZGlmZmVyZW50aWF0ZWQgYmFzZWQgb24gUFU/IE1FVEhPRFM6IE7igIk94oCJMjkxIHBhdGllbnRzIHdobyByZXBvcnRlZCBhIGNvbmZpcm1lZCBkaWFnbm9zaXMgb2YgY2hyb25pYyBwcmltYXJ5IHRpYyBkaXNvcmRlciAoYWdl4oCJPeKAiTE4LTY1LCAyNCUgZmVtYWxlKSBmaWxsZWQgb3V0IGFuIG9ubGluZSBzdXJ2ZXkgYXNzZXNzaW5nIGRlbW9ncmFwaGljIGRhdGEsIGNvbW9yYmlkIGNvbmRpdGlvbnMsIGxvY2F0aW9uLCBxdWFsaXR5IGFuZCBpbnRlbnNpdHkgb2YgUFUsIGFzIHdlbGwgYXMgcXVhbGl0eSBvZiBsaWZlLiBFdmVyeSB0aWMgd2FzIHJlY29yZGVkLCBhbmQgd2hldGhlciB0aGUgcGF0aWVudCBleHBlcmllbmNlZCBhIFBVLCB0aGUgZnJlcXVlbmN5LCBpbnRlbnNpdHksIGFuZCBxdWFsaXR5IG9mIHRoYXQgdXJnZS4gUkVTVUxUUzogUFUgYW5kIHRpYyBzZXZlcml0eSB3ZXJlIHNpZ25pZmljYW50bHkgYXNzb2NpYXRlZCwgYW5kIDg1JSBvZiB1cmdlLXJlbGF0ZWQgdGljcyB3ZXJlIGZvbGxvd2VkIGJ5IHJlbGllZi4gQSBkaWFnbm9zaXMgb2YgYXR0ZW50aW9uIGRlZmljaXQvaHlwZXJhY3Rpdml0eSBkaXNvcmRlciAoQURIRCkgb3IgZGVwcmVzc2lvbiwgZmVtYWxlIGdlbmRlciwgYW5kIG9sZGVyIGFnZSBpbmNyZWFzZWQgdGhlIGxpa2VsaWhvb2Qgb2YgZXhwZXJpZW5jaW5nIFBVLCB3aGlsZSBtb3JlIG9ic2Vzc2l2ZSBjb21wdWxzaXZlIChPQ0QpIHN5bXB0b21zIGFuZCB5b3VuZ2VyIGFnZSB3ZXJlIGFzc29jaWF0ZWQgd2l0aCBoaWdoZXIgdXJnZSBpbnRlbnNpdGllcy4gUFUsIGNvbXBsZXggdm9jYWwgdGljcywgQURIRCwgT0NELCBhbnhpZXR5LCBhbmQgZGVwcmVzc2lvbiB3ZXJlIHJlbGF0ZWQgdG8gbG93ZXIgcXVhbGl0eSBvZiBsaWZlLiBNb3RvciBhbmQgdm9jYWwsIGNvbXBsZXggYW5kIHNpbXBsZSB0aWNzIGRpZCBub3QgZGlmZmVyIHJlZ2FyZGluZyBQVSBpbnRlbnNpdHksIGZyZXF1ZW5jeSwgYW5kIHF1YWxpdHksIG9yIHJlbGllZi4gQ09OQ0xVU0lPTlM6IFRoZSByZXN1bHRzIHNoZWQgbGlnaHQgb24gdGhlIHJlbGF0aW9uc2hpcCBiZXR3ZWVuIFBVLCB0aWNzLCBjb21vcmJpZGl0aWVzLCBhZ2UsIGdlbmRlciwgYW5kIHF1YWxpdHkgb2YgbGlmZSBpbiB0aWMgZGlzb3JkZXJzLiIsImlzc3VlIjoiNiIsInZvbHVtZSI6IjEwIiwiY29udGFpbmVyLXRpdGxlLXNob3J0IjoiIn0sImlzVGVtcG9yYXJ5IjpmYWxzZX1dfQ==&quot;,&quot;citationItems&quot;:[{&quot;id&quot;:&quot;801f69f8-f5f4-37e1-b882-3bc180946186&quot;,&quot;itemData&quot;:{&quot;type&quot;:&quot;article-journal&quot;,&quot;id&quot;:&quot;801f69f8-f5f4-37e1-b882-3bc180946186&quot;,&quot;title&quot;:&quot;Premonitory Urge and Tic Severity, Comorbidities, and Quality of Life in Chronic Tic Disorders&quot;,&quot;groupId&quot;:&quot;07d62ac1-5aa8-39af-b49e-52d2088ac571&quot;,&quot;author&quot;:[{&quot;family&quot;:&quot;Brandt&quot;,&quot;given&quot;:&quot;V&quot;,&quot;parse-names&quot;:false,&quot;dropping-particle&quot;:&quot;&quot;,&quot;non-dropping-particle&quot;:&quot;&quot;},{&quot;family&quot;:&quot;Essing&quot;,&quot;given&quot;:&quot;J&quot;,&quot;parse-names&quot;:false,&quot;dropping-particle&quot;:&quot;&quot;,&quot;non-dropping-particle&quot;:&quot;&quot;},{&quot;family&quot;:&quot;Jakubovski&quot;,&quot;given&quot;:&quot;E&quot;,&quot;parse-names&quot;:false,&quot;dropping-particle&quot;:&quot;&quot;,&quot;non-dropping-particle&quot;:&quot;&quot;},{&quot;family&quot;:&quot;Müller-Vahl&quot;,&quot;given&quot;:&quot;K&quot;,&quot;parse-names&quot;:false,&quot;dropping-particle&quot;:&quot;&quot;,&quot;non-dropping-particle&quot;:&quot;&quot;}],&quot;container-title&quot;:&quot;Mov Disord Clin Pract&quot;,&quot;DOI&quot;:&quot;10.1002/mdc3.13742&quot;,&quot;PMID&quot;:&quot;37332633&quot;,&quot;issued&quot;:{&quot;date-parts&quot;:[[2023]]},&quot;page&quot;:&quot;922-932&quot;,&quot;abstract&quot;:&quot;BACKGROUND: Tics are intimately associated with premonitory urges (PU) but knowledge about urges is still limited, with small sample sizes often limiting the generalizability of findings. OBJECTIVES: This study addressed the following open questions: (1) is tic severity associated with urge severity, (2) how common is relief, (3) which comorbidities are associated with urges, (4) are urges, tics, and comorbidities associated with lower quality of life, and (5) can complex and simple, motor and vocal tics be differentiated based on PU? METHODS: N = 291 patients who reported a confirmed diagnosis of chronic primary tic disorder (age = 18-65, 24% female) filled out an online survey assessing demographic data, comorbid conditions, location, quality and intensity of PU, as well as quality of life. Every tic was recorded, and whether the patient experienced a PU, the frequency, intensity, and quality of that urge. RESULTS: PU and tic severity were significantly associated, and 85% of urge-related tics were followed by relief. A diagnosis of attention deficit/hyperactivity disorder (ADHD) or depression, female gender, and older age increased the likelihood of experiencing PU, while more obsessive compulsive (OCD) symptoms and younger age were associated with higher urge intensities. PU, complex vocal tics, ADHD, OCD, anxiety, and depression were related to lower quality of life. Motor and vocal, complex and simple tics did not differ regarding PU intensity, frequency, and quality, or relief. CONCLUSIONS: The results shed light on the relationship between PU, tics, comorbidities, age, gender, and quality of life in tic disorders.&quot;,&quot;issue&quot;:&quot;6&quot;,&quot;volume&quot;:&quot;10&quot;,&quot;container-title-short&quot;:&quot;&quot;},&quot;isTemporary&quot;:false}]},{&quot;citationID&quot;:&quot;MENDELEY_CITATION_157c4841-799d-4fd5-a6e0-59e66a46f105&quot;,&quot;properties&quot;:{&quot;noteIndex&quot;:0},&quot;isEdited&quot;:false,&quot;manualOverride&quot;:{&quot;isManuallyOverridden&quot;:false,&quot;citeprocText&quot;:&quot;(40)&quot;,&quot;manualOverrideText&quot;:&quot;&quot;},&quot;citationTag&quot;:&quot;MENDELEY_CITATION_v3_eyJjaXRhdGlvbklEIjoiTUVOREVMRVlfQ0lUQVRJT05fMTU3YzQ4NDEtNzk5ZC00ZmQ1LWE2ZTAtNTllNjZhNDZmMTA1IiwicHJvcGVydGllcyI6eyJub3RlSW5kZXgiOjB9LCJpc0VkaXRlZCI6ZmFsc2UsIm1hbnVhbE92ZXJyaWRlIjp7ImlzTWFudWFsbHlPdmVycmlkZGVuIjpmYWxzZSwiY2l0ZXByb2NUZXh0IjoiKDQwKSIsIm1hbnVhbE92ZXJyaWRlVGV4dCI6IiJ9LCJjaXRhdGlvbkl0ZW1zIjpbeyJpZCI6IjliMzhmZmQ3LTc1NjAtMzcwNS1hOWY0LTUyOWNiYWI2NTQ2ZiIsIml0ZW1EYXRhIjp7InR5cGUiOiJhcnRpY2xlLWpvdXJuYWwiLCJpZCI6IjliMzhmZmQ3LTc1NjAtMzcwNS1hOWY0LTUyOWNiYWI2NTQ2ZiIsInRpdGxlIjoiTm9uLWp1c3QtcmlnaHQgZXhwZXJpZW5jZXMgYXJlIG1vcmUgY2xvc2VseSByZWxhdGVkIHRvIE9DRCB0aGFuIHRpY3MgaW4gVG91cmV0dGUgcGF0aWVudHMiLCJncm91cElkIjoiMDdkNjJhYzEtNWFhOC0zOWFmLWI0OWUtNTJkMjA4OGFjNTcxIiwiYXV0aG9yIjpbeyJmYW1pbHkiOiJCcmFuZHQiLCJnaXZlbiI6IlYiLCJwYXJzZS1uYW1lcyI6ZmFsc2UsImRyb3BwaW5nLXBhcnRpY2xlIjoiIiwibm9uLWRyb3BwaW5nLXBhcnRpY2xlIjoiIn0seyJmYW1pbHkiOiJPdHRlIiwiZ2l2ZW4iOiJKIEgiLCJwYXJzZS1uYW1lcyI6ZmFsc2UsImRyb3BwaW5nLXBhcnRpY2xlIjoiIiwibm9uLWRyb3BwaW5nLXBhcnRpY2xlIjoiIn0seyJmYW1pbHkiOiJGcmVtZXIiLCJnaXZlbiI6IkMiLCJwYXJzZS1uYW1lcyI6ZmFsc2UsImRyb3BwaW5nLXBhcnRpY2xlIjoiIiwibm9uLWRyb3BwaW5nLXBhcnRpY2xlIjoiIn0seyJmYW1pbHkiOiJKYWt1Ym92c2tpIiwiZ2l2ZW4iOiJFIiwicGFyc2UtbmFtZXMiOmZhbHNlLCJkcm9wcGluZy1wYXJ0aWNsZSI6IiIsIm5vbi1kcm9wcGluZy1wYXJ0aWNsZSI6IiJ9LHsiZmFtaWx5IjoiTcO8bGxlci1WYWhsIiwiZ2l2ZW4iOiJLIiwicGFyc2UtbmFtZXMiOmZhbHNlLCJkcm9wcGluZy1wYXJ0aWNsZSI6IiIsIm5vbi1kcm9wcGluZy1wYXJ0aWNsZSI6IiJ9XSwiY29udGFpbmVyLXRpdGxlIjoiU2NpIFJlcCIsIkRPSSI6IjEwLjEwMzgvczQxNTk4LTAyMy0zNzY1OC0wIiwiUE1JRCI6IjM3OTQ5OTMzIiwiaXNzdWVkIjp7ImRhdGUtcGFydHMiOltbMjAyM11dfSwicGFnZSI6IjE5NjI3IiwiYWJzdHJhY3QiOiJDb21wbGV4IHRpY3MgYW5kIG9ic2Vzc2l2ZSBvciBjb21wdWxzaXZlIGJlaGF2aW91ciBjYW4gYmUgZGlmZmljdWx0IHRvIGRpZmZlcmVudGlhdGUgZGlhZ25vc3RpY2FsbHkuIFRoZSBtYWpvcml0eSBvZiBhZHVsdCBwYXRpZW50cyB3aXRoIFRvdXJldHRlIHN5bmRyb21lIHJlcG9ydCBleHBlcmllbmNpbmcgcHJlbW9uaXRvcnkgdXJnZXMgYmVmb3JlIHRpY3MuIFNvbWUgb2YgdGhlc2UgZXhwZXJpZW5jZXMgaGF2ZSBiZWVuIGxpbmtlZCB0byBub24tanVzdC1yaWdodCBleHBlcmllbmNlcyAoTkpSRSksIHdoaWNoIGFyZSBmcmVxdWVudGx5IHJlcG9ydGVkIGJ5IHBhdGllbnRzIHdpdGggb2JzZXNzaXZlLWNvbXB1bHNpdmUgZGlzb3JkZXIgb3IgYmVoYXZpb3VycyAoT0NEL09DQikuIFdlIGFpbWVkIHRvIGFzc2VzcyB3aGV0aGVyIE5KUkUgYXJlIG1vcmUgY2xvc2VseSByZWxhdGVkIHRvIHRpY3MgYW5kIHRpYy1hc3NvY2lhdGVkIHByZW1vbml0b3J5IHVyZ2VzIG9yIHdoZXRoZXIgdGhleSBhcmUgbW9yZSBjbG9zZWx5IGFzc29jaWF0ZWQgd2l0aCBPQ0QuIEEgdG90YWwgb2YgTuKAiT3igIkxMTEgcGF0aWVudHMgKG1lYW4gYWdl4oCJPeKAiTM0Ljc34oCJK+KAiS8tMTIuOTM7IE7igIk94oCJMzcgZmVtYWxlKSB3aXRoIGEgY29uZmlybWVkIGRpYWdub3NpcyBvZiBUb3VyZXR0ZSBzeW5kcm9tZSBjb21wbGV0ZWQgdGhlIHByZW1vbml0b3J5IHVyZ2VzIGZvciB0aWMgZGlzb3JkZXJzIHNjYWxlIChQVVRTKSwgdGhlIHJldmlzZWQgbm9uLWp1c3QtcmlnaHQgZXhwZXJpZW5jZXMgc2NhbGUgKE5KUkUtUVIpLCBhbmQgcXVlc3Rpb25uYWlyZXMgcmVnYXJkaW5nIHRoZWlyIHRpYyBzZXZlcml0eSwgYW5kIGNvbW9yYmlkIE9DRC9PQ0IuIEEgbXVsdGktdHJhaXQtbXVsdGktbWV0aG9kcyBtYXRyaXggd2FzIGNhbGN1bGF0ZWQgdG8gZXhhbWluZSBhc3NvY2lhdGlvbnMgYW1vbmdzdCBzY2FsZXMgbWVhc3VyaW5nIHRpYy1yZWxhdGVkIGFuZCBPQ0ItcmVsYXRlZCBwaGVub21lbmEuIFRoZSBQVVRTIGNvcnJlbGF0ZWQgb3ZlcmFsbCBoaWdoZXIgd2l0aCB0aWMgcXVlc3Rpb25uYWlyZXMgdGhhbiB3aXRoIE9DRC9PQ0IgcXVlc3Rpb25uYWlyZXMuIFRoZSBOSlJFIGNvcnJlbGF0ZWQgaGlnaGVyIHdpdGggT0NEIHN5bXB0b21zIHRoYW4gd2l0aCB0aWMgc2V2ZXJpdHkuIFRoZSByZXN1bHRzIGluZGljYXRlIHRoYXQgbm9uLWp1c3QtcmlnaHQgZXhwZXJpZW5jZXMgYXJlIG1vcmUgY2xvc2VseSBhc3NvY2lhdGVkIHdpdGggY29tb3JiaWQgT0NCIHRoYW4gd2l0aCB0aWNzIGluIHBhdGllbnRzIHdpdGggVG91cmV0dGUgc3luZHJvbWUuIiwiaXNzdWUiOiIxIiwidm9sdW1lIjoiMTMiLCJjb250YWluZXItdGl0bGUtc2hvcnQiOiIifSwiaXNUZW1wb3JhcnkiOmZhbHNlfV19&quot;,&quot;citationItems&quot;:[{&quot;id&quot;:&quot;9b38ffd7-7560-3705-a9f4-529cbab6546f&quot;,&quot;itemData&quot;:{&quot;type&quot;:&quot;article-journal&quot;,&quot;id&quot;:&quot;9b38ffd7-7560-3705-a9f4-529cbab6546f&quot;,&quot;title&quot;:&quot;Non-just-right experiences are more closely related to OCD than tics in Tourette patients&quot;,&quot;groupId&quot;:&quot;07d62ac1-5aa8-39af-b49e-52d2088ac571&quot;,&quot;author&quot;:[{&quot;family&quot;:&quot;Brandt&quot;,&quot;given&quot;:&quot;V&quot;,&quot;parse-names&quot;:false,&quot;dropping-particle&quot;:&quot;&quot;,&quot;non-dropping-particle&quot;:&quot;&quot;},{&quot;family&quot;:&quot;Otte&quot;,&quot;given&quot;:&quot;J H&quot;,&quot;parse-names&quot;:false,&quot;dropping-particle&quot;:&quot;&quot;,&quot;non-dropping-particle&quot;:&quot;&quot;},{&quot;family&quot;:&quot;Fremer&quot;,&quot;given&quot;:&quot;C&quot;,&quot;parse-names&quot;:false,&quot;dropping-particle&quot;:&quot;&quot;,&quot;non-dropping-particle&quot;:&quot;&quot;},{&quot;family&quot;:&quot;Jakubovski&quot;,&quot;given&quot;:&quot;E&quot;,&quot;parse-names&quot;:false,&quot;dropping-particle&quot;:&quot;&quot;,&quot;non-dropping-particle&quot;:&quot;&quot;},{&quot;family&quot;:&quot;Müller-Vahl&quot;,&quot;given&quot;:&quot;K&quot;,&quot;parse-names&quot;:false,&quot;dropping-particle&quot;:&quot;&quot;,&quot;non-dropping-particle&quot;:&quot;&quot;}],&quot;container-title&quot;:&quot;Sci Rep&quot;,&quot;DOI&quot;:&quot;10.1038/s41598-023-37658-0&quot;,&quot;PMID&quot;:&quot;37949933&quot;,&quot;issued&quot;:{&quot;date-parts&quot;:[[2023]]},&quot;page&quot;:&quot;19627&quot;,&quot;abstract&quot;:&quot;Complex tics and obsessive or compulsive behaviour can be difficult to differentiate diagnostically. The majority of adult patients with Tourette syndrome report experiencing premonitory urges before tics. Some of these experiences have been linked to non-just-right experiences (NJRE), which are frequently reported by patients with obsessive-compulsive disorder or behaviours (OCD/OCB). We aimed to assess whether NJRE are more closely related to tics and tic-associated premonitory urges or whether they are more closely associated with OCD. A total of N = 111 patients (mean age = 34.77 + /-12.93; N = 37 female) with a confirmed diagnosis of Tourette syndrome completed the premonitory urges for tic disorders scale (PUTS), the revised non-just-right experiences scale (NJRE-QR), and questionnaires regarding their tic severity, and comorbid OCD/OCB. A multi-trait-multi-methods matrix was calculated to examine associations amongst scales measuring tic-related and OCB-related phenomena. The PUTS correlated overall higher with tic questionnaires than with OCD/OCB questionnaires. The NJRE correlated higher with OCD symptoms than with tic severity. The results indicate that non-just-right experiences are more closely associated with comorbid OCB than with tics in patients with Tourette syndrome.&quot;,&quot;issue&quot;:&quot;1&quot;,&quot;volume&quot;:&quot;13&quot;,&quot;container-title-short&quot;:&quot;&quot;},&quot;isTemporary&quot;:false}]},{&quot;citationID&quot;:&quot;MENDELEY_CITATION_3f5c8ae2-c657-4088-9fbe-ea862fab481c&quot;,&quot;properties&quot;:{&quot;noteIndex&quot;:0},&quot;isEdited&quot;:false,&quot;manualOverride&quot;:{&quot;isManuallyOverridden&quot;:false,&quot;citeprocText&quot;:&quot;(31)&quot;,&quot;manualOverrideText&quot;:&quot;&quot;},&quot;citationTag&quot;:&quot;MENDELEY_CITATION_v3_eyJjaXRhdGlvbklEIjoiTUVOREVMRVlfQ0lUQVRJT05fM2Y1YzhhZTItYzY1Ny00MDg4LTlmYmUtZWE4NjJmYWI0ODFjIiwicHJvcGVydGllcyI6eyJub3RlSW5kZXgiOjB9LCJpc0VkaXRlZCI6ZmFsc2UsIm1hbnVhbE92ZXJyaWRlIjp7ImlzTWFudWFsbHlPdmVycmlkZGVuIjpmYWxzZSwiY2l0ZXByb2NUZXh0IjoiKDMxKSIsIm1hbnVhbE92ZXJyaWRlVGV4dCI6IiJ9LCJjaXRhdGlvbkl0ZW1zIjpbeyJpZCI6ImIwMGNmYjcwLWQ4ZTItM2U4Yi1hZmQxLWRmZjAyYjRkMDEwMCIsIml0ZW1EYXRhIjp7InR5cGUiOiJhcnRpY2xlLWpvdXJuYWwiLCJpZCI6ImIwMGNmYjcwLWQ4ZTItM2U4Yi1hZmQxLWRmZjAyYjRkMDEwMCIsInRpdGxlIjoiQ2xpbmljYWwgQ29ycmVsYXRlcyBvZiBIZWFsdGgtUmVsYXRlZCBRdWFsaXR5IG9mIExpZmUgaW4gQWR1bHRzIFdpdGggQ2hyb25pYyBUaWMgRGlzb3JkZXIiLCJncm91cElkIjoiMDdkNjJhYzEtNWFhOC0zOWFmLWI0OWUtNTJkMjA4OGFjNTcxIiwiYXV0aG9yIjpbeyJmYW1pbHkiOiJJc2FhY3MiLCJnaXZlbiI6IkQgQSIsInBhcnNlLW5hbWVzIjpmYWxzZSwiZHJvcHBpbmctcGFydGljbGUiOiIiLCJub24tZHJvcHBpbmctcGFydGljbGUiOiIifSx7ImZhbWlseSI6IlJpb3JkYW4iLCJnaXZlbiI6IkggUiIsInBhcnNlLW5hbWVzIjpmYWxzZSwiZHJvcHBpbmctcGFydGljbGUiOiIiLCJub24tZHJvcHBpbmctcGFydGljbGUiOiIifSx7ImZhbWlseSI6IkNsYWFzc2VuIiwiZ2l2ZW4iOiJEIE8iLCJwYXJzZS1uYW1lcyI6ZmFsc2UsImRyb3BwaW5nLXBhcnRpY2xlIjoiIiwibm9uLWRyb3BwaW5nLXBhcnRpY2xlIjoiIn1dLCJjb250YWluZXItdGl0bGUiOiJGcm9udGllcnMgaW4gUHN5Y2hpYXRyeSIsIkRPSSI6Imh0dHBzOi8vZHguZG9pLm9yZy8xMC4zMzg5L2Zwc3l0LjIwMjEuNjE5ODU0IiwiVVJMIjoiaHR0cDovL3d3dy5mcm9udGllcnNpbi5vcmcvUHN5Y2hpYXRyeWh0dHA6Ly9vdmlkc3Aub3ZpZC5jb20vb3ZpZHdlYi5jZ2k/VD1KUyZQQUdFPXJlZmVyZW5jZSZEPWVtZWQyMiZORVdTPU4mQU49NjM0NTY3MTM2IiwiaXNzdWVkIjp7ImRhdGUtcGFydHMiOltbMjAyMV1dfSwicGFnZSI6IjYxOTg1NCIsImFic3RyYWN0IjoiVGljcyBhcmUgdGhlIGhhbGxtYXJrIGZlYXR1cmUgb2YgVG91cmV0dGUgc3luZHJvbWUgKFRTKSwgYnV0IHBzeWNoaWF0cmljIGFuZCBzZW5zb3J5IHN5bXB0b21zIGFyZSB3aWRlbHkgcHJldmFsZW50IGFuZCBpbmNyZWFzaW5nbHkgcmVjb2duaXplZCBhcyBjb3JlIG1hbmlmZXN0YXRpb25zIG9mIHRoZSBkaXNvcmRlci4gQWNjdW11bGF0aW5nIGV2aWRlbmNlIHN1Z2dlc3RzIHRoYXQgdGhlc2UgcHN5Y2hpYXRyaWMgYW5kIHNlbnNvcnkgc3ltcHRvbXMgZXhlcnQgZ3JlYXRlciBpbmZsdWVuY2Ugb24gcXVhbGl0eSBvZiBsaWZlIChRT0wpIHRoYW4gdGljcyB0aGVtc2VsdmVzLiBIb3dldmVyLCBtdWNoIHJlbWFpbnMgdW5jZXJ0YWluIGFib3V0IGRldGVybWluYW50cyBvZiBRT0wgaW4gVFMgZHVlIHRvIHRoZSBjb21wbGV4aXR5IG9mIHRoZSBjbGluaWNhbCBwcmVzZW50YXRpb24uIEhlcmUsIHdlIHNvdWdodCB0byBjbGFyaWZ5IHRoZSBhc3NvY2lhdGlvbiBiZXR3ZWVuIGhlYWx0aC1yZWxhdGVkIFFPTCAoSFJRT0wpIGFuZCBjb21tb24gcHN5Y2hpYXRyaWMgYW5kIHNlbnNvcnkgc3ltcHRvbXMgaW4gYWR1bHRzIHdpdGggVFMgYW5kIG90aGVyIGNocm9uaWMgdGljIGRpc29yZGVycy4gVG8gZG8gc28sIHdlIHByb3NwZWN0aXZlbHkgcmVjcnVpdGVkIDUyIHBhdGllbnRzIGZyb20gYSB0ZXJ0aWFyeSBjYXJlIGNsaW5pYyB0byBjb21wbGV0ZSBzZWxmLXJlcG9ydCBtZWFzdXJlcyBhc3Nlc3NpbmcgSFJRT0wgKEdpbGxlcyBkZSBsYSBUb3VyZXR0ZS1RdWFsaXR5IG9mIExpZmUgU2NhbGUsIEdUUy1RT0wpLCBkZXByZXNzaW9uIChQYXRpZW50IEhlYWx0aCBRdWVzdGlvbm5haXJlLTksIFBIUS05KSwgYW54aWV0eSAoR2VuZXJhbGl6ZWQgQW54aWV0eSBEaXNvcmRlciBTY2FsZS03LCBHQUQtNyksIG9ic2Vzc2l2ZS1jb21wdWxzaXZlIHN5bXB0b21zIChEaW1lbnNpb25hbCBPYnNlc3NpdmUtQ29tcHVsc2l2ZSBTY2FsZSwgRE9DUyksIGF0dGVudGlvbiBkZWZpY2l0IGh5cGVyYWN0aXZpdHkgZGlzb3JkZXIgc3ltcHRvbXMgKEFkdWx0IEFESEQgU2VsZi1SZXBvcnQgU2NyZWVuaW5nIFNjYWxlIGZvciBEU00tNSwgQVNSUy1WKSwgYW5kIHByZW1vbml0b3J5IHVyZ2UgKFByZW1vbml0b3J5IFVyZ2UgdG8gVGljIFNjYWxlLCBQVVRTKS4gQWxsIHBhcnRpY2lwYW50cyB3ZXJlIGFsc28gYWRtaW5pc3RlcmVkIHRoZSBZYWxlIEdsb2JhbCBUaWMgU2V2ZXJpdHkgU2NhbGUgKFlHVFNTKSB0byBxdWFudGlmeSB0aWMgc2V2ZXJpdHkuIFVzaW5nIGNvcnJlbGF0aW9uYWwgYW5hbHlzaXMgYW5kIG11bHRpdmFyaWFibGUgbGluZWFyIHJlZ3Jlc3Npb24gbW9kZWxpbmcsIHdlIGZvdW5kIHRoYXQgR1RTLVFPTCBzY29yZSB3YXMgc2lnbmlmaWNhbnRseSBhc3NvY2lhdGVkIHdpdGggc2NvcmVzIGZyb20gYWxsIG90aGVyIHJhdGluZyBzY2FsZXMsIHdpdGggdGhlIGV4Y2VwdGlvbiBvZiB0aGUgUFVUUy4gR1RTLVFPTCB3YXMgbW9zdCBzdHJvbmdseSBhc3NvY2lhdGVkIHdpdGggUEhRLTksIGZvbGxvd2VkIGJ5IEFTUlMtViwgR0FELTcsIERPQ1MsIGFuZCBZR1RTUyB0b3RhbCB0aWMgc2NvcmUuIFRoZSByZWdyZXNzaW9uIG1vZGVsIGluY2x1ZGluZyB0aGVzZSBmaXZlIGluZGVwZW5kZW50IHZhcmlhYmxlcywgYXMgd2VsbCBhcyBzZXgsIGV4cGxhaW5lZCA3OSUgb2YgR1RTLVFPTCBzY29yZSB2YXJpYW5jZSBbRig2LDQwKSA9IDI5LjYsIHAgPCAwLjAwMV0uIFNwZWNpZmljIHBzeWNoaWF0cmljIHN5bXB0b21zIGRpZmZlcmVudGlhbGx5IGltcGFjdGVkIHBoeXNpY2FsLCBwc3ljaG9sb2dpY2FsLCBhbmQgY29nbml0aXZlIEhSUU9MLiBTeXN0ZW1hdGljIGFzc2Vzc21lbnQgb2YgcHN5Y2hpYXRyaWMgY29tb3JiaWRpdGllcyBpcyBpbXBlcmF0aXZlIGZvciBjbGluaWNhbCBjYXJlIGFuZCBjbGluaWNhbCByZXNlYXJjaCBlZmZvcnRzIGRpcmVjdGVkIGF0IGltcHJvdmluZyBRT0wgaW4gYWR1bHRzIHdpdGggY2hyb25pYyB0aWMgZGlzb3JkZXJzLsKpIENvcHlyaWdodCDCqSAyMDIxIElzYWFjcywgUmlvcmRhbiBhbmQgQ2xhYXNzZW4uIiwidm9sdW1lIjoiMTIiLCJjb250YWluZXItdGl0bGUtc2hvcnQiOiJGcm9udCBQc3ljaGlhdHJ5In0sImlzVGVtcG9yYXJ5IjpmYWxzZX1dfQ==&quot;,&quot;citationItems&quot;:[{&quot;id&quot;:&quot;b00cfb70-d8e2-3e8b-afd1-dff02b4d0100&quot;,&quot;itemData&quot;:{&quot;type&quot;:&quot;article-journal&quot;,&quot;id&quot;:&quot;b00cfb70-d8e2-3e8b-afd1-dff02b4d0100&quot;,&quot;title&quot;:&quot;Clinical Correlates of Health-Related Quality of Life in Adults With Chronic Tic Disorder&quot;,&quot;groupId&quot;:&quot;07d62ac1-5aa8-39af-b49e-52d2088ac571&quot;,&quot;author&quot;:[{&quot;family&quot;:&quot;Isaacs&quot;,&quot;given&quot;:&quot;D A&quot;,&quot;parse-names&quot;:false,&quot;dropping-particle&quot;:&quot;&quot;,&quot;non-dropping-particle&quot;:&quot;&quot;},{&quot;family&quot;:&quot;Riordan&quot;,&quot;given&quot;:&quot;H R&quot;,&quot;parse-names&quot;:false,&quot;dropping-particle&quot;:&quot;&quot;,&quot;non-dropping-particle&quot;:&quot;&quot;},{&quot;family&quot;:&quot;Claassen&quot;,&quot;given&quot;:&quot;D O&quot;,&quot;parse-names&quot;:false,&quot;dropping-particle&quot;:&quot;&quot;,&quot;non-dropping-particle&quot;:&quot;&quot;}],&quot;container-title&quot;:&quot;Frontiers in Psychiatry&quot;,&quot;DOI&quot;:&quot;https://dx.doi.org/10.3389/fpsyt.2021.619854&quot;,&quot;URL&quot;:&quot;http://www.frontiersin.org/Psychiatryhttp://ovidsp.ovid.com/ovidweb.cgi?T=JS&amp;PAGE=reference&amp;D=emed22&amp;NEWS=N&amp;AN=634567136&quot;,&quot;issued&quot;:{&quot;date-parts&quot;:[[2021]]},&quot;page&quot;:&quot;619854&quot;,&quot;abstract&quot;:&quot;Tics are the hallmark feature of Tourette syndrome (TS), but psychiatric and sensory symptoms are widely prevalent and increasingly recognized as core manifestations of the disorder. Accumulating evidence suggests that these psychiatric and sensory symptoms exert greater influence on quality of life (QOL) than tics themselves. However, much remains uncertain about determinants of QOL in TS due to the complexity of the clinical presentation. Here, we sought to clarify the association between health-related QOL (HRQOL) and common psychiatric and sensory symptoms in adults with TS and other chronic tic disorders. To do so, we prospectively recruited 52 patients from a tertiary care clinic to complete self-report measures assessing HRQOL (Gilles de la Tourette-Quality of Life Scale, GTS-QOL), depression (Patient Health Questionnaire-9, PHQ-9), anxiety (Generalized Anxiety Disorder Scale-7, GAD-7), obsessive-compulsive symptoms (Dimensional Obsessive-Compulsive Scale, DOCS), attention deficit hyperactivity disorder symptoms (Adult ADHD Self-Report Screening Scale for DSM-5, ASRS-V), and premonitory urge (Premonitory Urge to Tic Scale, PUTS). All participants were also administered the Yale Global Tic Severity Scale (YGTSS) to quantify tic severity. Using correlational analysis and multivariable linear regression modeling, we found that GTS-QOL score was significantly associated with scores from all other rating scales, with the exception of the PUTS. GTS-QOL was most strongly associated with PHQ-9, followed by ASRS-V, GAD-7, DOCS, and YGTSS total tic score. The regression model including these five independent variables, as well as sex, explained 79% of GTS-QOL score variance [F(6,40) = 29.6, p &lt; 0.001]. Specific psychiatric symptoms differentially impacted physical, psychological, and cognitive HRQOL. Systematic assessment of psychiatric comorbidities is imperative for clinical care and clinical research efforts directed at improving QOL in adults with chronic tic disorders.© Copyright © 2021 Isaacs, Riordan and Claassen.&quot;,&quot;volume&quot;:&quot;12&quot;,&quot;container-title-short&quot;:&quot;Front Psychiatry&quot;},&quot;isTemporary&quot;:false}]},{&quot;citationID&quot;:&quot;MENDELEY_CITATION_8959eeb9-674d-4b71-b06a-931de4128cff&quot;,&quot;properties&quot;:{&quot;noteIndex&quot;:0},&quot;isEdited&quot;:false,&quot;manualOverride&quot;:{&quot;isManuallyOverridden&quot;:false,&quot;citeprocText&quot;:&quot;(32)&quot;,&quot;manualOverrideText&quot;:&quot;&quot;},&quot;citationTag&quot;:&quot;MENDELEY_CITATION_v3_eyJjaXRhdGlvbklEIjoiTUVOREVMRVlfQ0lUQVRJT05fODk1OWVlYjktNjc0ZC00YjcxLWIwNmEtOTMxZGU0MTI4Y2ZmIiwicHJvcGVydGllcyI6eyJub3RlSW5kZXgiOjB9LCJpc0VkaXRlZCI6ZmFsc2UsIm1hbnVhbE92ZXJyaWRlIjp7ImlzTWFudWFsbHlPdmVycmlkZGVuIjpmYWxzZSwiY2l0ZXByb2NUZXh0IjoiKDMyKSIsIm1hbnVhbE92ZXJyaWRlVGV4dCI6IiJ9LCJjaXRhdGlvbkl0ZW1zIjpbeyJpZCI6IjYxMWRmMGE3LTJlN2QtM2JiYy05ZjRhLWNlYzA2MTBlMDQ2NSIsIml0ZW1EYXRhIjp7InR5cGUiOiJhcnRpY2xlLWpvdXJuYWwiLCJpZCI6IjYxMWRmMGE3LTJlN2QtM2JiYy05ZjRhLWNlYzA2MTBlMDQ2NSIsInRpdGxlIjoiQWx0ZXJlZCBJbnRlcm9jZXB0aXZlIFNlbnNpYmlsaXR5IGluIEFkdWx0cyBXaXRoIENocm9uaWMgVGljIERpc29yZGVyIiwiZ3JvdXBJZCI6IjA3ZDYyYWMxLTVhYTgtMzlhZi1iNDllLTUyZDIwODhhYzU3MSIsImF1dGhvciI6W3siZmFtaWx5IjoiTmFyYXBhcmVkZHkiLCJnaXZlbiI6IkEiLCJwYXJzZS1uYW1lcyI6ZmFsc2UsImRyb3BwaW5nLXBhcnRpY2xlIjoiIiwibm9uLWRyb3BwaW5nLXBhcnRpY2xlIjoiIn0seyJmYW1pbHkiOiJFY2tsYW5kIiwiZ2l2ZW4iOiJNIFIiLCJwYXJzZS1uYW1lcyI6ZmFsc2UsImRyb3BwaW5nLXBhcnRpY2xlIjoiIiwibm9uLWRyb3BwaW5nLXBhcnRpY2xlIjoiIn0seyJmYW1pbHkiOiJSaW9yZGFuIiwiZ2l2ZW4iOiJIIFIiLCJwYXJzZS1uYW1lcyI6ZmFsc2UsImRyb3BwaW5nLXBhcnRpY2xlIjoiIiwibm9uLWRyb3BwaW5nLXBhcnRpY2xlIjoiIn0seyJmYW1pbHkiOiJDYXNjaW8iLCJnaXZlbiI6IkMgSiIsInBhcnNlLW5hbWVzIjpmYWxzZSwiZHJvcHBpbmctcGFydGljbGUiOiIiLCJub24tZHJvcHBpbmctcGFydGljbGUiOiIifSx7ImZhbWlseSI6IklzYWFjcyIsImdpdmVuIjoiRCBBIiwicGFyc2UtbmFtZXMiOmZhbHNlLCJkcm9wcGluZy1wYXJ0aWNsZSI6IiIsIm5vbi1kcm9wcGluZy1wYXJ0aWNsZSI6IiJ9XSwiY29udGFpbmVyLXRpdGxlIjoiRnJvbnRpZXJzIGluIFBzeWNoaWF0cnkiLCJET0kiOiIxMC4zMzg5L2Zwc3l0LjIwMjIuOTE0ODk3IiwiVVJMIjoiaHR0cHM6Ly93d3cuc2NvcHVzLmNvbS9pbndhcmQvcmVjb3JkLnVyaT9laWQ9Mi1zMi4wLTg1MTMzNjY0NzU5JmRvaT0xMC4zMzg5JTJmZnBzeXQuMjAyMi45MTQ4OTcmcGFydG5lcklEPTQwJm1kNT1jZThmNDc3MjFjMGE2MDNiNWMzMTg0ZmIyNzdjNDBiNCIsImlzc3VlZCI6eyJkYXRlLXBhcnRzIjpbWzIwMjJdXX0sInBhZ2UiOiItIiwidm9sdW1lIjoiMTMiLCJjb250YWluZXItdGl0bGUtc2hvcnQiOiJGcm9udCBQc3ljaGlhdHJ5In0sImlzVGVtcG9yYXJ5IjpmYWxzZX1dfQ==&quot;,&quot;citationItems&quot;:[{&quot;id&quot;:&quot;611df0a7-2e7d-3bbc-9f4a-cec0610e0465&quot;,&quot;itemData&quot;:{&quot;type&quot;:&quot;article-journal&quot;,&quot;id&quot;:&quot;611df0a7-2e7d-3bbc-9f4a-cec0610e0465&quot;,&quot;title&quot;:&quot;Altered Interoceptive Sensibility in Adults With Chronic Tic Disorder&quot;,&quot;groupId&quot;:&quot;07d62ac1-5aa8-39af-b49e-52d2088ac571&quot;,&quot;author&quot;:[{&quot;family&quot;:&quot;Narapareddy&quot;,&quot;given&quot;:&quot;A&quot;,&quot;parse-names&quot;:false,&quot;dropping-particle&quot;:&quot;&quot;,&quot;non-dropping-particle&quot;:&quot;&quot;},{&quot;family&quot;:&quot;Eckland&quot;,&quot;given&quot;:&quot;M R&quot;,&quot;parse-names&quot;:false,&quot;dropping-particle&quot;:&quot;&quot;,&quot;non-dropping-particle&quot;:&quot;&quot;},{&quot;family&quot;:&quot;Riordan&quot;,&quot;given&quot;:&quot;H R&quot;,&quot;parse-names&quot;:false,&quot;dropping-particle&quot;:&quot;&quot;,&quot;non-dropping-particle&quot;:&quot;&quot;},{&quot;family&quot;:&quot;Cascio&quot;,&quot;given&quot;:&quot;C J&quot;,&quot;parse-names&quot;:false,&quot;dropping-particle&quot;:&quot;&quot;,&quot;non-dropping-particle&quot;:&quot;&quot;},{&quot;family&quot;:&quot;Isaacs&quot;,&quot;given&quot;:&quot;D A&quot;,&quot;parse-names&quot;:false,&quot;dropping-particle&quot;:&quot;&quot;,&quot;non-dropping-particle&quot;:&quot;&quot;}],&quot;container-title&quot;:&quot;Frontiers in Psychiatry&quot;,&quot;DOI&quot;:&quot;10.3389/fpsyt.2022.914897&quot;,&quot;URL&quot;:&quot;https://www.scopus.com/inward/record.uri?eid=2-s2.0-85133664759&amp;doi=10.3389%2ffpsyt.2022.914897&amp;partnerID=40&amp;md5=ce8f47721c0a603b5c3184fb277c40b4&quot;,&quot;issued&quot;:{&quot;date-parts&quot;:[[2022]]},&quot;page&quot;:&quot;-&quot;,&quot;volume&quot;:&quot;13&quot;,&quot;container-title-short&quot;:&quot;Front Psychiatry&quot;},&quot;isTemporary&quot;:false}]},{&quot;citationID&quot;:&quot;MENDELEY_CITATION_9c9c5305-fbd8-41af-a94d-e17d3f469f04&quot;,&quot;properties&quot;:{&quot;noteIndex&quot;:0},&quot;isEdited&quot;:false,&quot;manualOverride&quot;:{&quot;isManuallyOverridden&quot;:false,&quot;citeprocText&quot;:&quot;(33)&quot;,&quot;manualOverrideText&quot;:&quot;&quot;},&quot;citationTag&quot;:&quot;MENDELEY_CITATION_v3_eyJjaXRhdGlvbklEIjoiTUVOREVMRVlfQ0lUQVRJT05fOWM5YzUzMDUtZmJkOC00MWFmLWE5NGQtZTE3ZDNmNDY5ZjA0IiwicHJvcGVydGllcyI6eyJub3RlSW5kZXgiOjB9LCJpc0VkaXRlZCI6ZmFsc2UsIm1hbnVhbE92ZXJyaWRlIjp7ImlzTWFudWFsbHlPdmVycmlkZGVuIjpmYWxzZSwiY2l0ZXByb2NUZXh0IjoiKDMzKSIsIm1hbnVhbE92ZXJyaWRlVGV4dCI6IiJ9LCJjaXRhdGlvbkl0ZW1zIjpbeyJpZCI6IjI2ZTllODZhLTRmNTMtM2Q5Ny04NWQxLTVkZTdhMDcyODI2NSIsIml0ZW1EYXRhIjp7InR5cGUiOiJhcnRpY2xlLWpvdXJuYWwiLCJpZCI6IjI2ZTllODZhLTRmNTMtM2Q5Ny04NWQxLTVkZTdhMDcyODI2NSIsInRpdGxlIjoiQXJlIHByZW1vbml0b3J5IHVyZ2VzIGEgcHJlcmVxdWlzaXRlIG9mIHRpYyBpbmhpYml0aW9uIGluIEdpbGxlcyBkZSBsYSBUb3VyZXR0ZSBzeW5kcm9tZT8iLCJncm91cElkIjoiMDdkNjJhYzEtNWFhOC0zOWFmLWI0OWUtNTJkMjA4OGFjNTcxIiwiYXV0aG9yIjpbeyJmYW1pbHkiOiJHYW5vcyIsImdpdmVuIjoiQyIsInBhcnNlLW5hbWVzIjpmYWxzZSwiZHJvcHBpbmctcGFydGljbGUiOiIiLCJub24tZHJvcHBpbmctcGFydGljbGUiOiIifSx7ImZhbWlseSI6IkthaGwiLCJnaXZlbiI6IlUiLCJwYXJzZS1uYW1lcyI6ZmFsc2UsImRyb3BwaW5nLXBhcnRpY2xlIjoiIiwibm9uLWRyb3BwaW5nLXBhcnRpY2xlIjoiIn0seyJmYW1pbHkiOiJTY2h1bmtlIiwiZ2l2ZW4iOiJPIiwicGFyc2UtbmFtZXMiOmZhbHNlLCJkcm9wcGluZy1wYXJ0aWNsZSI6IiIsIm5vbi1kcm9wcGluZy1wYXJ0aWNsZSI6IiJ9LHsiZmFtaWx5IjoiS8O8aG4iLCJnaXZlbiI6IlMiLCJwYXJzZS1uYW1lcyI6ZmFsc2UsImRyb3BwaW5nLXBhcnRpY2xlIjoiIiwibm9uLWRyb3BwaW5nLXBhcnRpY2xlIjoiIn0seyJmYW1pbHkiOiJIYWdnYXJkIiwiZ2l2ZW4iOiJQIiwicGFyc2UtbmFtZXMiOmZhbHNlLCJkcm9wcGluZy1wYXJ0aWNsZSI6IiIsIm5vbi1kcm9wcGluZy1wYXJ0aWNsZSI6IiJ9LHsiZmFtaWx5IjoiR2VybG9mZiIsImdpdmVuIjoiQyIsInBhcnNlLW5hbWVzIjpmYWxzZSwiZHJvcHBpbmctcGFydGljbGUiOiIiLCJub24tZHJvcHBpbmctcGFydGljbGUiOiIifSx7ImZhbWlseSI6IlJvZXNzbmVyIiwiZ2l2ZW4iOiJWIiwicGFyc2UtbmFtZXMiOmZhbHNlLCJkcm9wcGluZy1wYXJ0aWNsZSI6IiIsIm5vbi1kcm9wcGluZy1wYXJ0aWNsZSI6IiJ9LHsiZmFtaWx5IjoiVGhvbWFsbGEiLCJnaXZlbiI6IkciLCJwYXJzZS1uYW1lcyI6ZmFsc2UsImRyb3BwaW5nLXBhcnRpY2xlIjoiIiwibm9uLWRyb3BwaW5nLXBhcnRpY2xlIjoiIn0seyJmYW1pbHkiOiJNw7xuY2hhdSIsImdpdmVuIjoiQSIsInBhcnNlLW5hbWVzIjpmYWxzZSwiZHJvcHBpbmctcGFydGljbGUiOiIiLCJub24tZHJvcHBpbmctcGFydGljbGUiOiIifV0sImNvbnRhaW5lci10aXRsZSI6IkogTmV1cm9sIE5ldXJvc3VyZyBQc3ljaGlhdHJ5IiwiRE9JIjoiMTAuMTEzNi9qbm5wLTIwMTItMzAzMDMzIiwiUE1JRCI6IjIyODQyNzEzIiwiVVJMIjoiaHR0cHM6Ly9qbm5wLmJtai5jb20vY29udGVudC84My8xMC85NzUiLCJpc3N1ZWQiOnsiZGF0ZS1wYXJ0cyI6W1syMDEyXV19LCJwYWdlIjoiOTc1LTk3OCIsImFic3RyYWN0IjoiQkFDS0dST1VORDogRGVzcGl0ZSB0aGUgY29tbW9uIG5vdGlvbiB0aGF0IHByZW1vbml0b3J5IHVyZ2VzIGZhY2lsaXRhdGUgdGljIGluaGliaXRpb24sIG5vIHN0dWRpZXMgaGF2ZSBpbnZlc3RpZ2F0ZWQgdGhpcyBxdWVzdGlvbiBzeXN0ZW1hdGljYWxseS4gV2UgZXhhbWluZWQgdGhlIHJlbGF0aW9uIG9mIHRoZSB0cmFpdCBvZiBwcmVtb25pdG9yeSB1cmdlcyB3aXRoIHRpY3MgYW5kIHRpYyBzdXBwcmVzc2lvbi4gV2UgaHlwb3RoZXNpc2VkIHRoYXQgcGF0aWVudHMgd2l0aCBtb3JlIHVyZ2VzIHdvdWxkIGJlIG1vcmUgZWZmaWNpZW50IGF0IGluaGliaXRpbmcgdGljcy4gTUVUSE9EUzogMTUgYWR1bHQgKDE0IG1lbiwgbWVhbiBhZ2UgMzIuMsKxNy45IHllYXJzKSBwdXJlIEdpbGxlcyBkZSBsYSBUb3VyZXR0ZSBzeW5kcm9tZSBwYXRpZW50cyBwYXJ0aWNpcGF0ZWQuIFRpYyBzZXZlcml0eSB3YXMgZXZhbHVhdGVkIHVzaW5nIHRoZSBtb2RpZmllZCBSdXNoIFZpZGVvIFNjYWxlIGFuZCBieSBlbXBsb3lpbmcgdGhlIFlhbGUgR2xvYmFsIFRpYyBTZXZlcml0eSBTY2FsZS4gVGljIHN1cHByZXNzaWJpbGl0eSB3YXMgYXNzZXNzZWQgZnJvbSB2aWRlb3Mgb2YgYWRkaXRpb25hbCBwZXJpb2RzIHdoZXJlIHBhdGllbnRzIHdlcmUgaW5zdHJ1Y3RlZCB0byBtYXhpbWFsbHkgc3VwcHJlc3MgdGhlaXIgdGljcy4gUnVzaCBzY29yZSBiYXNlZCBpbmhpYml0aW9uIHBvdGVuY3kgd2FzIHN5bnRoZXNpc2VkIGJ5IGNvbWJpbmluZyB0aGUgc2NvcmVzIGluIHRoZSB0d28gY29uZGl0aW9ucy4gQSBtZWFzdXJlIG9mIHB1cmUgbW90b3IgdGljIGluaGliaXRpb24gcG90ZW5jeSB3YXMgYWxzbyBnZW5lcmF0ZWQgYmFzZWQgb24gdGhlIG51bWJlciBvZiBtb3RvciB0aWNzIGFsb25lLiBQcmVtb25pdG9yeSB1cmdlcyB3ZXJlIGFzc2Vzc2VkIGJ5IHRoZSBQcmVtb25pdG9yeSBVcmdlIGZvciBUaWNzIFNjYWxlLiBSRVNVTFRTOiBBbGwgcGFydGljaXBhbnRzIHJlcG9ydGVkIHVyZ2VzIHByZWNlZGluZyB0aGVpciB0aWNzIGFuZCB3ZXJlIGFibGUgdG8gdm9sdW50YXJpbHkgc3VwcHJlc3MgdGhlaXIgdGljcy4gSG93ZXZlciwgdGhlcmUgd2FzIG5vIGNvcnJlbGF0aW9uIGJldHdlZW4gdXJnZSBzY29yZXMgYW5kIHRoZSBSdXNoIHNjb3JlIGJhc2VkIGluaGliaXRpb24gcG90ZW5jeSBvciB0aGUgcHVyZSBtb3RvciB0aWMgaW5oaWJpdGlvbiBwb3RlbmN5LiBTY29yZXMgb2YgdGhlIFByZW1vbml0b3J5IFVyZ2UgZm9yIFRpY3MgU2NhbGUgY29ycmVsYXRlZCB3aXRoIHRoZSBpbnRlcmZlcmVuY2Ugc3Vic2NhbGUgaXRlbSBvZiB0aGUgWWFsZSBHbG9iYWwgVGljIFNldmVyaXR5IFNjYWxlLiBDT05DTFVTSU9OUzogVXJnZXMgYW5kIHRpYyBpbmhpYml0aW9uIGFyZSBub3QgZGlyZWN0bHkgcmVsYXRlZC4gVGhlcmUgc2VlbSB0byBleGlzdCBhdCBsZWFzdCB0d28gZGlzdGluY3QgbmV1cm9waHlzaW9sb2dpY2FsIHN5c3RlbXMgb2YgdXJnZS90aWMgZ2VuZXJhdGlvbiBhbmQgdGljIGNvbnRyb2wgaW4gYWR1bHQgR2lsbGVzIGRlIGxhIFRvdXJldHRlIHN5bmRyb21lIHBhdGllbnRzLiIsImlzc3VlIjoiMTAiLCJ2b2x1bWUiOiI4MyIsImNvbnRhaW5lci10aXRsZS1zaG9ydCI6IiJ9LCJpc1RlbXBvcmFyeSI6ZmFsc2V9XX0=&quot;,&quot;citationItems&quot;:[{&quot;id&quot;:&quot;26e9e86a-4f53-3d97-85d1-5de7a0728265&quot;,&quot;itemData&quot;:{&quot;type&quot;:&quot;article-journal&quot;,&quot;id&quot;:&quot;26e9e86a-4f53-3d97-85d1-5de7a0728265&quot;,&quot;title&quot;:&quot;Are premonitory urges a prerequisite of tic inhibition in Gilles de la Tourette syndrome?&quot;,&quot;groupId&quot;:&quot;07d62ac1-5aa8-39af-b49e-52d2088ac571&quot;,&quot;author&quot;:[{&quot;family&quot;:&quot;Ganos&quot;,&quot;given&quot;:&quot;C&quot;,&quot;parse-names&quot;:false,&quot;dropping-particle&quot;:&quot;&quot;,&quot;non-dropping-particle&quot;:&quot;&quot;},{&quot;family&quot;:&quot;Kahl&quot;,&quot;given&quot;:&quot;U&quot;,&quot;parse-names&quot;:false,&quot;dropping-particle&quot;:&quot;&quot;,&quot;non-dropping-particle&quot;:&quot;&quot;},{&quot;family&quot;:&quot;Schunke&quot;,&quot;given&quot;:&quot;O&quot;,&quot;parse-names&quot;:false,&quot;dropping-particle&quot;:&quot;&quot;,&quot;non-dropping-particle&quot;:&quot;&quot;},{&quot;family&quot;:&quot;Kühn&quot;,&quot;given&quot;:&quot;S&quot;,&quot;parse-names&quot;:false,&quot;dropping-particle&quot;:&quot;&quot;,&quot;non-dropping-particle&quot;:&quot;&quot;},{&quot;family&quot;:&quot;Haggard&quot;,&quot;given&quot;:&quot;P&quot;,&quot;parse-names&quot;:false,&quot;dropping-particle&quot;:&quot;&quot;,&quot;non-dropping-particle&quot;:&quot;&quot;},{&quot;family&quot;:&quot;Gerloff&quot;,&quot;given&quot;:&quot;C&quot;,&quot;parse-names&quot;:false,&quot;dropping-particle&quot;:&quot;&quot;,&quot;non-dropping-particle&quot;:&quot;&quot;},{&quot;family&quot;:&quot;Roessner&quot;,&quot;given&quot;:&quot;V&quot;,&quot;parse-names&quot;:false,&quot;dropping-particle&quot;:&quot;&quot;,&quot;non-dropping-particle&quot;:&quot;&quot;},{&quot;family&quot;:&quot;Thomalla&quot;,&quot;given&quot;:&quot;G&quot;,&quot;parse-names&quot;:false,&quot;dropping-particle&quot;:&quot;&quot;,&quot;non-dropping-particle&quot;:&quot;&quot;},{&quot;family&quot;:&quot;Münchau&quot;,&quot;given&quot;:&quot;A&quot;,&quot;parse-names&quot;:false,&quot;dropping-particle&quot;:&quot;&quot;,&quot;non-dropping-particle&quot;:&quot;&quot;}],&quot;container-title&quot;:&quot;J Neurol Neurosurg Psychiatry&quot;,&quot;DOI&quot;:&quot;10.1136/jnnp-2012-303033&quot;,&quot;PMID&quot;:&quot;22842713&quot;,&quot;URL&quot;:&quot;https://jnnp.bmj.com/content/83/10/975&quot;,&quot;issued&quot;:{&quot;date-parts&quot;:[[2012]]},&quot;page&quot;:&quot;975-978&quot;,&quot;abstract&quot;:&quot;BACKGROUND: Despite the common notion that premonitory urges facilitate tic inhibition, no studies have investigated this question systematically. We examined the relation of the trait of premonitory urges with tics and tic suppression. We hypothesised that patients with more urges would be more efficient at inhibiting tics. METHODS: 15 adult (14 men, mean age 32.2±7.9 years) pure Gilles de la Tourette syndrome patients participated. Tic severity was evaluated using the modified Rush Video Scale and by employing the Yale Global Tic Severity Scale. Tic suppressibility was assessed from videos of additional periods where patients were instructed to maximally suppress their tics. Rush score based inhibition potency was synthesised by combining the scores in the two conditions. A measure of pure motor tic inhibition potency was also generated based on the number of motor tics alone. Premonitory urges were assessed by the Premonitory Urge for Tics Scale. RESULTS: All participants reported urges preceding their tics and were able to voluntarily suppress their tics. However, there was no correlation between urge scores and the Rush score based inhibition potency or the pure motor tic inhibition potency. Scores of the Premonitory Urge for Tics Scale correlated with the interference subscale item of the Yale Global Tic Severity Scale. CONCLUSIONS: Urges and tic inhibition are not directly related. There seem to exist at least two distinct neurophysiological systems of urge/tic generation and tic control in adult Gilles de la Tourette syndrome patients.&quot;,&quot;issue&quot;:&quot;10&quot;,&quot;volume&quot;:&quot;83&quot;,&quot;container-title-short&quot;:&quot;&quot;},&quot;isTemporary&quot;:false}]},{&quot;citationID&quot;:&quot;MENDELEY_CITATION_62e09784-b169-4b44-bed3-e288d5850635&quot;,&quot;properties&quot;:{&quot;noteIndex&quot;:0},&quot;isEdited&quot;:false,&quot;manualOverride&quot;:{&quot;isManuallyOverridden&quot;:false,&quot;citeprocText&quot;:&quot;(57)&quot;,&quot;manualOverrideText&quot;:&quot;&quot;},&quot;citationTag&quot;:&quot;MENDELEY_CITATION_v3_eyJjaXRhdGlvbklEIjoiTUVOREVMRVlfQ0lUQVRJT05fNjJlMDk3ODQtYjE2OS00YjQ0LWJlZDMtZTI4OGQ1ODUwNjM1IiwicHJvcGVydGllcyI6eyJub3RlSW5kZXgiOjB9LCJpc0VkaXRlZCI6ZmFsc2UsIm1hbnVhbE92ZXJyaWRlIjp7ImlzTWFudWFsbHlPdmVycmlkZGVuIjpmYWxzZSwiY2l0ZXByb2NUZXh0IjoiKDU3KSIsIm1hbnVhbE92ZXJyaWRlVGV4dCI6IiJ9LCJjaXRhdGlvbkl0ZW1zIjpbeyJpZCI6IjFmNGM3NjhhLTVlZGUtMzVjZS04ZjYzLTZiNGFhOTIzNDk2ZiIsIml0ZW1EYXRhIjp7InR5cGUiOiJhcnRpY2xlLWpvdXJuYWwiLCJpZCI6IjFmNGM3NjhhLTVlZGUtMzVjZS04ZjYzLTZiNGFhOTIzNDk2ZiIsInRpdGxlIjoiRWZmZWN0cyBvZiBHcm91cCBDb21wcmVoZW5zaXZlIEJlaGF2aW9yYWwgSW50ZXJ2ZW50aW9uIGZvciBUaWNzIGluIENoaWxkcmVuIFdpdGggVG91cmV0dGUncyBEaXNvcmRlciBhbmQgQ2hyb25pYyBUaWMgRGlzb3JkZXIiLCJncm91cElkIjoiMDdkNjJhYzEtNWFhOC0zOWFmLWI0OWUtNTJkMjA4OGFjNTcxIiwiYXV0aG9yIjpbeyJmYW1pbHkiOiJLYW5nIiwiZ2l2ZW4iOiJOIFIiLCJwYXJzZS1uYW1lcyI6ZmFsc2UsImRyb3BwaW5nLXBhcnRpY2xlIjoiIiwibm9uLWRyb3BwaW5nLXBhcnRpY2xlIjoiIn0seyJmYW1pbHkiOiJLaW0iLCJnaXZlbiI6IkggSiIsInBhcnNlLW5hbWVzIjpmYWxzZSwiZHJvcHBpbmctcGFydGljbGUiOiIiLCJub24tZHJvcHBpbmctcGFydGljbGUiOiIifSx7ImZhbWlseSI6Ik1vb24iLCJnaXZlbiI6IkQgUyIsInBhcnNlLW5hbWVzIjpmYWxzZSwiZHJvcHBpbmctcGFydGljbGUiOiIiLCJub24tZHJvcHBpbmctcGFydGljbGUiOiIifSx7ImZhbWlseSI6Ikt3YWNrIiwiZ2l2ZW4iOiJZIFMiLCJwYXJzZS1uYW1lcyI6ZmFsc2UsImRyb3BwaW5nLXBhcnRpY2xlIjoiIiwibm9uLWRyb3BwaW5nLXBhcnRpY2xlIjoiIn1dLCJjb250YWluZXItdGl0bGUiOiJTb2EgQ2hvbmdzb255b24gQ2hvbmdzaW4gVWloYWsiLCJET0kiOiIxMC41NzY1L2prYWNhcC4yMjAwMTMiLCJQTUlEIjoiMzYyMDM4ODMiLCJVUkwiOiJodHRwczovL3d3dy5uY2JpLm5sbS5uaWguZ292L3BtYy9hcnRpY2xlcy9QTUM5NTEzNDA4L3BkZi9qa2FjYXAtMzMtNC05MS5wZGYiLCJpc3N1ZWQiOnsiZGF0ZS1wYXJ0cyI6W1syMDIyXV19LCJwYWdlIjoiOTEtOTgiLCJhYnN0cmFjdCI6Ik9CSkVDVElWRVM6IENvbXByZWhlbnNpdmUgYmVoYXZpb3JhbCBpbnRlcnZlbnRpb24gZm9yIHRpY3MgKENCSVQpIGlzIGVmZmVjdGl2ZSBpbiBjaGlsZHJlbiB3aXRoIGNocm9uaWMgdGljIGRpc29yZGVycy4gVGhpcyBzdHVkeSBhaW1lZCB0byBhc3Nlc3MgdGhlIGVmZmVjdCBvZiBncm91cC1iYXNlZCBDQklUIChncm91cC1DQklUKSBvbiB0aWMgc2V2ZXJpdHkgYW5kIGNvbW9yYmlkIHN5bXB0b21zLiBXZSBjb21wYXJlZCB0aGUgZWZmaWNhY3kgb2YgZ3JvdXAgQ0JJVCB3aXRoIHRoYXQgb2YgYSBjb250cm9sLiBNRVRIT0RTOiBUaGlydHkgY2hpbGRyZW4gd2l0aCBjaHJvbmljIHRpYyBkaXNvcmRlciBvciBUb3VyZXR0ZSdzIGRpc29yZGVyIHdlcmUgZW5yb2xsZWQgaW4gdGhpcyBzdHVkeS4gRWlnaHRlZW4gd2VyZSBhc3NpZ25lZCB0byB0aGUgZ3JvdXAtQ0JJVCBmb3IgZWlnaHQgc2Vzc2lvbnMsIGFuZCAxMiB3ZXJlIGFzc2lnbmVkIHRvIHRoZSBjb250cm9sIGdyb3VwLiBUaWNzIGFuZCBjb21vcmJpZCBzeW1wdG9tcyB3ZXJlIGFzc2Vzc2VkIHByZS0gYW5kIHBvc3QtaW50ZXJ2ZW50aW9uIHVzaW5nIHRoZSBZYWxlIEdsb2JhbCBUaWMgU2V2ZXJpdHkgU2NhbGUgKFlHVFNTKSwgUHJlbW9uaXRvcnkgVXJnZSBmb3IgVGljcyBTY2FsZSwgYXR0ZW50aW9uLWRlZmljaXQgaHlwZXJhY3Rpdml0eSBkaXNvcmRlciBSYXRpbmcgU2NhbGUtSVYsIENoaWxkcmVuJ3MgWWFsZS1Ccm93biBPYnNlc3NpdmUtQ29tcHVsc2l2ZSBTY2FsZSwgYW5kIHRoZSBLb3JlYW4tQ2hpbGRyZW4gQmVoYXZpb3JhbCBDaGVja2xpc3QuIFdlIGNvbXBhcmVkIHRoZSBwcmUtIGFuZCBwb3N0LWludGVydmVudGlvbiByZXN1bHRzIG9mIGVhY2ggZ3JvdXAgYW5kIGRldGVybWluZWQgdGhlIGRpZmZlcmVuY2UgaW4gdGhlIHByZS0gYW5kIHBvc3QtaW50ZXJ2ZW50aW9uIHJlc3VsdHMgYmV0d2VlbiBpbnRlcnZlbnRpb24gYW5kIHRoZSBjb250cm9sIGdyb3VwLiBSRVNVTFRTOiBUaGUgWUdUU1MgbW90b3IgYW5kIHZvY2FsIHRpYyBpbnRlcmZlcmVuY2UsIGdsb2JhbCBpbXBhaXJtZW50LCBhbmQgZ2xvYmFsIHNldmVyaXR5IHNjb3JlcyBkZWNyZWFzZWQgaW4gdGhlIGludGVydmVudGlvbiBncm91cCBvbmx5LiBHcm91cCBDQklUIHdhcyBzdXBlcmlvciBpbiByZWR1Y2luZyB0aGUgbW90b3IgdGljIGludGVyZmVyZW5jZSwgaW1wYWlybWVudCBzY29yZSwgYW5kIGdsb2JhbCBzZXZlcml0eSBzY29yZSB0byB0aGUgY29udHJvbCBncm91cC4gQ09OQ0xVU0lPTjogVGhlIGdyb3VwLUNCSVQgc2hvd2VkIGFuIGltcHJvdmVtZW50IGluIHRpYyBzeW1wdG9tcywgZXNwZWNpYWxseSBpbiByZWR1Y2luZyB0aGUgbGV2ZWwgb2YgaW50ZXJmZXJlbmNlIGFuZCBpbXBhaXJtZW50IG9mIHRpY3MuIiwiaXNzdWUiOiI0Iiwidm9sdW1lIjoiMzMiLCJjb250YWluZXItdGl0bGUtc2hvcnQiOiIifSwiaXNUZW1wb3JhcnkiOmZhbHNlfV19&quot;,&quot;citationItems&quot;:[{&quot;id&quot;:&quot;1f4c768a-5ede-35ce-8f63-6b4aa923496f&quot;,&quot;itemData&quot;:{&quot;type&quot;:&quot;article-journal&quot;,&quot;id&quot;:&quot;1f4c768a-5ede-35ce-8f63-6b4aa923496f&quot;,&quot;title&quot;:&quot;Effects of Group Comprehensive Behavioral Intervention for Tics in Children With Tourette's Disorder and Chronic Tic Disorder&quot;,&quot;groupId&quot;:&quot;07d62ac1-5aa8-39af-b49e-52d2088ac571&quot;,&quot;author&quot;:[{&quot;family&quot;:&quot;Kang&quot;,&quot;given&quot;:&quot;N R&quot;,&quot;parse-names&quot;:false,&quot;dropping-particle&quot;:&quot;&quot;,&quot;non-dropping-particle&quot;:&quot;&quot;},{&quot;family&quot;:&quot;Kim&quot;,&quot;given&quot;:&quot;H J&quot;,&quot;parse-names&quot;:false,&quot;dropping-particle&quot;:&quot;&quot;,&quot;non-dropping-particle&quot;:&quot;&quot;},{&quot;family&quot;:&quot;Moon&quot;,&quot;given&quot;:&quot;D S&quot;,&quot;parse-names&quot;:false,&quot;dropping-particle&quot;:&quot;&quot;,&quot;non-dropping-particle&quot;:&quot;&quot;},{&quot;family&quot;:&quot;Kwack&quot;,&quot;given&quot;:&quot;Y S&quot;,&quot;parse-names&quot;:false,&quot;dropping-particle&quot;:&quot;&quot;,&quot;non-dropping-particle&quot;:&quot;&quot;}],&quot;container-title&quot;:&quot;Soa Chongsonyon Chongsin Uihak&quot;,&quot;DOI&quot;:&quot;10.5765/jkacap.220013&quot;,&quot;PMID&quot;:&quot;36203883&quot;,&quot;URL&quot;:&quot;https://www.ncbi.nlm.nih.gov/pmc/articles/PMC9513408/pdf/jkacap-33-4-91.pdf&quot;,&quot;issued&quot;:{&quot;date-parts&quot;:[[2022]]},&quot;page&quot;:&quot;91-98&quot;,&quot;abstract&quot;:&quot;OBJECTIVES: Comprehensive behavioral intervention for tics (CBIT) is effective in children with chronic tic disorders. This study aimed to assess the effect of group-based CBIT (group-CBIT) on tic severity and comorbid symptoms. We compared the efficacy of group CBIT with that of a control. METHODS: Thirty children with chronic tic disorder or Tourette's disorder were enrolled in this study. Eighteen were assigned to the group-CBIT for eight sessions, and 12 were assigned to the control group. Tics and comorbid symptoms were assessed pre- and post-intervention using the Yale Global Tic Severity Scale (YGTSS), Premonitory Urge for Tics Scale, attention-deficit hyperactivity disorder Rating Scale-IV, Children's Yale-Brown Obsessive-Compulsive Scale, and the Korean-Children Behavioral Checklist. We compared the pre- and post-intervention results of each group and determined the difference in the pre- and post-intervention results between intervention and the control group. RESULTS: The YGTSS motor and vocal tic interference, global impairment, and global severity scores decreased in the intervention group only. Group CBIT was superior in reducing the motor tic interference, impairment score, and global severity score to the control group. CONCLUSION: The group-CBIT showed an improvement in tic symptoms, especially in reducing the level of interference and impairment of tics.&quot;,&quot;issue&quot;:&quot;4&quot;,&quot;volume&quot;:&quot;33&quot;,&quot;container-title-short&quot;:&quot;&quot;},&quot;isTemporary&quot;:false}]},{&quot;citationID&quot;:&quot;MENDELEY_CITATION_0c24365e-b00c-40f4-a23e-caea275c786b&quot;,&quot;properties&quot;:{&quot;noteIndex&quot;:0},&quot;isEdited&quot;:false,&quot;manualOverride&quot;:{&quot;isManuallyOverridden&quot;:false,&quot;citeprocText&quot;:&quot;(58)&quot;,&quot;manualOverrideText&quot;:&quot;&quot;},&quot;citationTag&quot;:&quot;MENDELEY_CITATION_v3_eyJjaXRhdGlvbklEIjoiTUVOREVMRVlfQ0lUQVRJT05fMGMyNDM2NWUtYjAwYy00MGY0LWEyM2UtY2FlYTI3NWM3ODZiIiwicHJvcGVydGllcyI6eyJub3RlSW5kZXgiOjB9LCJpc0VkaXRlZCI6ZmFsc2UsIm1hbnVhbE92ZXJyaWRlIjp7ImlzTWFudWFsbHlPdmVycmlkZGVuIjpmYWxzZSwiY2l0ZXByb2NUZXh0IjoiKDU4KSIsIm1hbnVhbE92ZXJyaWRlVGV4dCI6IiJ9LCJjaXRhdGlvbkl0ZW1zIjpbeyJpZCI6ImUxNGZhMGNkLTcyNTgtM2M2YS1iYTA5LTcyYWYwNjZlNmRmZCIsIml0ZW1EYXRhIjp7InR5cGUiOiJhcnRpY2xlLWpvdXJuYWwiLCJpZCI6ImUxNGZhMGNkLTcyNTgtM2M2YS1iYTA5LTcyYWYwNjZlNmRmZCIsInRpdGxlIjoiSW52ZXN0aWdhdGluZyBIYWJpdHVhdGlvbiB0byBQcmVtb25pdG9yeSBVcmdlcyBpbiBCZWhhdmlvciBUaGVyYXB5IGZvciBUaWMgRGlzb3JkZXJzIiwiZ3JvdXBJZCI6IjA3ZDYyYWMxLTVhYTgtMzlhZi1iNDllLTUyZDIwODhhYzU3MSIsImF1dGhvciI6W3siZmFtaWx5IjoiSG91Z2h0b24iLCJnaXZlbiI6IkQgQyIsInBhcnNlLW5hbWVzIjpmYWxzZSwiZHJvcHBpbmctcGFydGljbGUiOiIiLCJub24tZHJvcHBpbmctcGFydGljbGUiOiIifSx7ImZhbWlseSI6IkNhcHJpb3R0aSIsImdpdmVuIjoiTSBSIiwicGFyc2UtbmFtZXMiOmZhbHNlLCJkcm9wcGluZy1wYXJ0aWNsZSI6IiIsIm5vbi1kcm9wcGluZy1wYXJ0aWNsZSI6IiJ9LHsiZmFtaWx5IjoiU2NhaGlsbCIsImdpdmVuIjoiTCBEIiwicGFyc2UtbmFtZXMiOmZhbHNlLCJkcm9wcGluZy1wYXJ0aWNsZSI6IiIsIm5vbi1kcm9wcGluZy1wYXJ0aWNsZSI6IiJ9LHsiZmFtaWx5IjoiV2lsaGVsbSIsImdpdmVuIjoiUyIsInBhcnNlLW5hbWVzIjpmYWxzZSwiZHJvcHBpbmctcGFydGljbGUiOiIiLCJub24tZHJvcHBpbmctcGFydGljbGUiOiIifSx7ImZhbWlseSI6IlBldGVyc29uIiwiZ2l2ZW4iOiJBIEwiLCJwYXJzZS1uYW1lcyI6ZmFsc2UsImRyb3BwaW5nLXBhcnRpY2xlIjoiIiwibm9uLWRyb3BwaW5nLXBhcnRpY2xlIjoiIn0seyJmYW1pbHkiOiJXYWxrdXAiLCJnaXZlbiI6IkogVCIsInBhcnNlLW5hbWVzIjpmYWxzZSwiZHJvcHBpbmctcGFydGljbGUiOiIiLCJub24tZHJvcHBpbmctcGFydGljbGUiOiIifSx7ImZhbWlseSI6IlBpYWNlbnRpbmkiLCJnaXZlbiI6IkoiLCJwYXJzZS1uYW1lcyI6ZmFsc2UsImRyb3BwaW5nLXBhcnRpY2xlIjoiIiwibm9uLWRyb3BwaW5nLXBhcnRpY2xlIjoiIn0seyJmYW1pbHkiOiJXb29kcyIsImdpdmVuIjoiRCBXIiwicGFyc2UtbmFtZXMiOmZhbHNlLCJkcm9wcGluZy1wYXJ0aWNsZSI6IiIsIm5vbi1kcm9wcGluZy1wYXJ0aWNsZSI6IiJ9XSwiY29udGFpbmVyLXRpdGxlIjoiQmVoYXZpb3IgVGhlcmFweSIsIkRPSSI6Imh0dHBzOi8vZHguZG9pLm9yZy8xMC4xMDE2L2ouYmV0aC4yMDE3LjA4LjAwNCIsIlVSTCI6Imh0dHA6Ly93d3cuam91cm5hbHMuZWxzZXZpZXIuY29tL2JlaGF2aW9yLXRoZXJhcHkvaHR0cDovL292aWRzcC5vdmlkLmNvbS9vdmlkd2ViLmNnaT9UPUpTJlBBR0U9cmVmZXJlbmNlJkQ9ZW1lZDE4Jk5FV1M9TiZBTj02MTgyMTIxNTMiLCJpc3N1ZWQiOnsiZGF0ZS1wYXJ0cyI6W1syMDE3XV19LCJwYWdlIjoiODM0LTg0NiIsImFic3RyYWN0IjoiQmVoYXZpb3IgdGhlcmFweSBpcyBlZmZlY3RpdmUgZm9yIFBlcnNpc3RlbnQgVGljIERpc29yZGVycyAoUFREcyksIGJ1dCBiZWhhdmlvcmFsIHByb2Nlc3NlcyBmYWNpbGl0YXRpbmcgdGljIHJlZHVjdGlvbiBhcmUgbm90IHdlbGwgdW5kZXJzdG9vZC4gT25lIHByb2Nlc3MsIGhhYml0dWF0aW9uLCBpcyB0aG91Z2h0IHRvIGNyZWF0ZSB0aWMgcmVkdWN0aW9uIHRocm91Z2ggZGVjcmVhc2VzIGluIHByZW1vbml0b3J5IHVyZ2Ugc2V2ZXJpdHkuIFRoZSBjdXJyZW50IHN0dWR5IHRlc3RlZCB3aGV0aGVyIHByZW1vbml0b3J5IHVyZ2VzIGRlY3JlYXNlZCBpbiB5b3V0aCB3aXRoIFBURHMgKE4gPSAxMjYpIGFuZCBhZHVsdHMgd2l0aCBQVERzIChOID0gMTIyKSB3aG8gcGFydGljaXBhdGVkIGluIHBhcmFsbGVsIHJhbmRvbWl6ZWQgY2xpbmljYWwgdHJpYWxzIGNvbXBhcmluZyBiZWhhdmlvciB0aGVyYXB5IHRvIHBzeWNob2VkdWNhdGlvbiBhbmQgc3VwcG9ydGl2ZSB0aGVyYXB5IChQU1QpLiBUcmVuZHMgaW4gcHJlbW9uaXRvcnkgdXJnZXMsIHRpYyBzZXZlcml0eSwgYW5kIHRyZWF0bWVudCBvdXRjb21lIHdlcmUgYW5hbHl6ZWQgYWNjb3JkaW5nIHRvIHRoZSBwcmVkaWN0aW9ucyBvZiBhIGhhYml0dWF0aW9uIG1vZGVsLCB3aGVyZWJ5IHVyZ2Ugc2V2ZXJpdHkgd291bGQgYmUgZXhwZWN0ZWQgdG8gZGVjcmVhc2UgaW4gdGhvc2Ugd2hvIHJlc3BvbmRlZCB0byBiZWhhdmlvciB0aGVyYXB5LiBBbHRob3VnaCBhZHVsdHMgd2hvIHJlc3BvbmRlZCB0byBiZWhhdmlvciB0aGVyYXB5IHNob3dlZCBhIHNpZ25pZmljYW50IHRyZW5kIG9mIGRlY2xpbmluZyBwcmVtb25pdG9yeSB1cmdlIHNldmVyaXR5IGFjcm9zcyB0cmVhdG1lbnQsIHJlc3VsdHMgZmFpbGVkIHRvIGRlbW9uc3RyYXRlIHRoYXQgYmVoYXZpb3IgdGhlcmFweSBzcGVjaWZpY2FsbHkgY2F1c2VkIGNoYW5nZXMgaW4gcHJlbW9uaXRvcnkgdXJnZSBzZXZlcml0eS4gSW4gYWRkaXRpb24sIHJlZHVjdGlvbnMgaW4gcHJlbW9uaXRvcnkgdXJnZSBzZXZlcml0eSBpbiB0aG9zZSB3aG8gcmVzcG9uZGVkIHRvIGJlaGF2aW9yIHRoZXJhcHkgd2VyZSBzaWduaWZpY2FudCBncmVhdGVyIHRoYW4gdGhvc2Ugd2hvIGRpZCBub3QgcmVzcG9uZCB0byBiZWhhdmlvciB0aGVyYXB5IGJ1dCBubyBkaWZmZXJlbnQgdGhhbiB0aG9zZSB3aG8gcmVzcG9uZGVkIG9yIGRpZCBub3QgcmVzcG9uZCB0byBQU1QuIENoaWxkcmVuIHdpdGggUFREcyBmYWlsZWQgdG8gc2hvdyBhbnkgc2lnbmlmaWNhbnQgY2hhbmdlcyBpbiBwcmVtb25pdG9yeSB1cmdlcy4gUmVkdWN0aW9ucyBpbiBwcmVtb25pdG9yeSB1cmdlIHNldmVyaXR5IGRpZCBub3QgbWVkaWF0ZSB0aGUgcmVsYXRpb25zaGlwIGJldHdlZW4gdHJlYXRtZW50IGFuZCBvdXRjb21lIGluIGVpdGhlciBhZHVsdHMgb3IgY2hpbGRyZW4uIFRoZXNlIHJlc3VsdHMgY2FzdCBkb3VidCBvbiB0aGUgbm90aW9uIHRoYXQgaGFiaXR1YXRpb24gaXMgdGhlIHRoZXJhcGV1dGljIHByb2Nlc3MgdW5kZXJseWluZyB0aGUgZWZmZWN0aXZlbmVzcyBvZiBiZWhhdmlvciB0aGVyYXB5LCB3aGljaCBoYXMgaW1tZWRpYXRlIGltcGxpY2F0aW9ucyBmb3IgdGhlIHBzeWNob2VkdWNhdGlvbiBhbmQgdGhlcmFwZXV0aWMgcmF0aW9uYWxlIHByZXNlbnRlZCBpbiBjbGluaWNhbCBwcmFjdGljZS4gTW9yZW92ZXIsIHRoZXJlIG1heSBiZSBpbXBvcnRhbnQgZGV2ZWxvcG1lbnRhbCBjaGFuZ2VzIGluIHByZW1vbml0b3J5IHVyZ2VzIGluIFBURHMsIGFuZCBhbHRlcm5hdGl2ZSBtb2RlbHMgb2YgdGhlcmFwZXV0aWMgY2hhbmdlIHdhcnJhbnQgaW52ZXN0aWdhdGlvbi5Db3B5cmlnaHQgwqkgMjAxNyIsImlzc3VlIjoiNiIsInZvbHVtZSI6IjQ4IiwiY29udGFpbmVyLXRpdGxlLXNob3J0IjoiQmVoYXYgVGhlciJ9LCJpc1RlbXBvcmFyeSI6ZmFsc2V9XX0=&quot;,&quot;citationItems&quot;:[{&quot;id&quot;:&quot;e14fa0cd-7258-3c6a-ba09-72af066e6dfd&quot;,&quot;itemData&quot;:{&quot;type&quot;:&quot;article-journal&quot;,&quot;id&quot;:&quot;e14fa0cd-7258-3c6a-ba09-72af066e6dfd&quot;,&quot;title&quot;:&quot;Investigating Habituation to Premonitory Urges in Behavior Therapy for Tic Disorders&quot;,&quot;groupId&quot;:&quot;07d62ac1-5aa8-39af-b49e-52d2088ac571&quot;,&quot;author&quot;:[{&quot;family&quot;:&quot;Houghton&quot;,&quot;given&quot;:&quot;D C&quot;,&quot;parse-names&quot;:false,&quot;dropping-particle&quot;:&quot;&quot;,&quot;non-dropping-particle&quot;:&quot;&quot;},{&quot;family&quot;:&quot;Capriotti&quot;,&quot;given&quot;:&quot;M R&quot;,&quot;parse-names&quot;:false,&quot;dropping-particle&quot;:&quot;&quot;,&quot;non-dropping-particle&quot;:&quot;&quot;},{&quot;family&quot;:&quot;Scahill&quot;,&quot;given&quot;:&quot;L D&quot;,&quot;parse-names&quot;:false,&quot;dropping-particle&quot;:&quot;&quot;,&quot;non-dropping-particle&quot;:&quot;&quot;},{&quot;family&quot;:&quot;Wilhelm&quot;,&quot;given&quot;:&quot;S&quot;,&quot;parse-names&quot;:false,&quot;dropping-particle&quot;:&quot;&quot;,&quot;non-dropping-particle&quot;:&quot;&quot;},{&quot;family&quot;:&quot;Peterson&quot;,&quot;given&quot;:&quot;A L&quot;,&quot;parse-names&quot;:false,&quot;dropping-particle&quot;:&quot;&quot;,&quot;non-dropping-particle&quot;:&quot;&quot;},{&quot;family&quot;:&quot;Walkup&quot;,&quot;given&quot;:&quot;J T&quot;,&quot;parse-names&quot;:false,&quot;dropping-particle&quot;:&quot;&quot;,&quot;non-dropping-particle&quot;:&quot;&quot;},{&quot;family&quot;:&quot;Piacentini&quot;,&quot;given&quot;:&quot;J&quot;,&quot;parse-names&quot;:false,&quot;dropping-particle&quot;:&quot;&quot;,&quot;non-dropping-particle&quot;:&quot;&quot;},{&quot;family&quot;:&quot;Woods&quot;,&quot;given&quot;:&quot;D W&quot;,&quot;parse-names&quot;:false,&quot;dropping-particle&quot;:&quot;&quot;,&quot;non-dropping-particle&quot;:&quot;&quot;}],&quot;container-title&quot;:&quot;Behavior Therapy&quot;,&quot;DOI&quot;:&quot;https://dx.doi.org/10.1016/j.beth.2017.08.004&quot;,&quot;URL&quot;:&quot;http://www.journals.elsevier.com/behavior-therapy/http://ovidsp.ovid.com/ovidweb.cgi?T=JS&amp;PAGE=reference&amp;D=emed18&amp;NEWS=N&amp;AN=618212153&quot;,&quot;issued&quot;:{&quot;date-parts&quot;:[[2017]]},&quot;page&quot;:&quot;834-846&quot;,&quot;abstract&quot;:&quot;Behavior therapy is effective for Persistent Tic Disorders (PTDs), but behavioral processes facilitating tic reduction are not well understood. One process, habituation, is thought to create tic reduction through decreases in premonitory urge severity. The current study tested whether premonitory urges decreased in youth with PTDs (N = 126) and adults with PTDs (N = 122) who participated in parallel randomized clinical trials comparing behavior therapy to psychoeducation and supportive therapy (PST). Trends in premonitory urges, tic severity, and treatment outcome were analyzed according to the predictions of a habituation model, whereby urge severity would be expected to decrease in those who responded to behavior therapy. Although adults who responded to behavior therapy showed a significant trend of declining premonitory urge severity across treatment, results failed to demonstrate that behavior therapy specifically caused changes in premonitory urge severity. In addition, reductions in premonitory urge severity in those who responded to behavior therapy were significant greater than those who did not respond to behavior therapy but no different than those who responded or did not respond to PST. Children with PTDs failed to show any significant changes in premonitory urges. Reductions in premonitory urge severity did not mediate the relationship between treatment and outcome in either adults or children. These results cast doubt on the notion that habituation is the therapeutic process underlying the effectiveness of behavior therapy, which has immediate implications for the psychoeducation and therapeutic rationale presented in clinical practice. Moreover, there may be important developmental changes in premonitory urges in PTDs, and alternative models of therapeutic change warrant investigation.Copyright © 2017&quot;,&quot;issue&quot;:&quot;6&quot;,&quot;volume&quot;:&quot;48&quot;,&quot;container-title-short&quot;:&quot;Behav Ther&quot;},&quot;isTemporary&quot;:false}]},{&quot;citationID&quot;:&quot;MENDELEY_CITATION_71e87287-344c-4b4a-8cb8-1faec9f21d93&quot;,&quot;properties&quot;:{&quot;noteIndex&quot;:0},&quot;isEdited&quot;:false,&quot;manualOverride&quot;:{&quot;isManuallyOverridden&quot;:false,&quot;citeprocText&quot;:&quot;(59)&quot;,&quot;manualOverrideText&quot;:&quot;&quot;},&quot;citationTag&quot;:&quot;MENDELEY_CITATION_v3_eyJjaXRhdGlvbklEIjoiTUVOREVMRVlfQ0lUQVRJT05fNzFlODcyODctMzQ0Yy00YjRhLThjYjgtMWZhZWM5ZjIxZDkzIiwicHJvcGVydGllcyI6eyJub3RlSW5kZXgiOjB9LCJpc0VkaXRlZCI6ZmFsc2UsIm1hbnVhbE92ZXJyaWRlIjp7ImlzTWFudWFsbHlPdmVycmlkZGVuIjpmYWxzZSwiY2l0ZXByb2NUZXh0IjoiKDU5KSIsIm1hbnVhbE92ZXJyaWRlVGV4dCI6IiJ9LCJjaXRhdGlvbkl0ZW1zIjpbeyJpZCI6IjAyOTc5MDNlLWMxNzEtMzI4OS1hODcxLTk2MWQ1ZTYzMGIwMyIsIml0ZW1EYXRhIjp7InR5cGUiOiJhcnRpY2xlLWpvdXJuYWwiLCJpZCI6IjAyOTc5MDNlLWMxNzEtMzI4OS1hODcxLTk2MWQ1ZTYzMGIwMyIsInRpdGxlIjoiTmV1cmFsIGNvcnJlbGF0ZXMgb2YgYmVoYXZpb3IgdGhlcmFweSBmb3IgVG91cmV0dGUncyBkaXNvcmRlciIsImdyb3VwSWQiOiIwN2Q2MmFjMS01YWE4LTM5YWYtYjQ5ZS01MmQyMDg4YWM1NzEiLCJhdXRob3IiOlt7ImZhbWlseSI6IkRlY2tlcnNiYWNoIiwiZ2l2ZW4iOiJUIiwicGFyc2UtbmFtZXMiOmZhbHNlLCJkcm9wcGluZy1wYXJ0aWNsZSI6IiIsIm5vbi1kcm9wcGluZy1wYXJ0aWNsZSI6IiJ9LHsiZmFtaWx5IjoiQ2hvdSIsImdpdmVuIjoiVCIsInBhcnNlLW5hbWVzIjpmYWxzZSwiZHJvcHBpbmctcGFydGljbGUiOiIiLCJub24tZHJvcHBpbmctcGFydGljbGUiOiIifSx7ImZhbWlseSI6IkJyaXR0b24iLCJnaXZlbiI6IkogQyIsInBhcnNlLW5hbWVzIjpmYWxzZSwiZHJvcHBpbmctcGFydGljbGUiOiIiLCJub24tZHJvcHBpbmctcGFydGljbGUiOiIifSx7ImZhbWlseSI6IkNhcmxzb24iLCJnaXZlbiI6IkwgRSIsInBhcnNlLW5hbWVzIjpmYWxzZSwiZHJvcHBpbmctcGFydGljbGUiOiIiLCJub24tZHJvcHBpbmctcGFydGljbGUiOiIifSx7ImZhbWlseSI6IlJlZXNlIiwiZ2l2ZW4iOiJIIEUiLCJwYXJzZS1uYW1lcyI6ZmFsc2UsImRyb3BwaW5nLXBhcnRpY2xlIjoiIiwibm9uLWRyb3BwaW5nLXBhcnRpY2xlIjoiIn0seyJmYW1pbHkiOiJTaWV2IiwiZ2l2ZW4iOiJKIiwicGFyc2UtbmFtZXMiOmZhbHNlLCJkcm9wcGluZy1wYXJ0aWNsZSI6IiIsIm5vbi1kcm9wcGluZy1wYXJ0aWNsZSI6IiJ9LHsiZmFtaWx5IjoiU2NhaGlsbCIsImdpdmVuIjoiTCIsInBhcnNlLW5hbWVzIjpmYWxzZSwiZHJvcHBpbmctcGFydGljbGUiOiIiLCJub24tZHJvcHBpbmctcGFydGljbGUiOiIifSx7ImZhbWlseSI6IlBpYWNlbnRpbmkiLCJnaXZlbiI6IkogQyIsInBhcnNlLW5hbWVzIjpmYWxzZSwiZHJvcHBpbmctcGFydGljbGUiOiIiLCJub24tZHJvcHBpbmctcGFydGljbGUiOiIifSx7ImZhbWlseSI6Ildvb2RzIiwiZ2l2ZW4iOiJEIFciLCJwYXJzZS1uYW1lcyI6ZmFsc2UsImRyb3BwaW5nLXBhcnRpY2xlIjoiIiwibm9uLWRyb3BwaW5nLXBhcnRpY2xlIjoiIn0seyJmYW1pbHkiOiJXYWxrdXAiLCJnaXZlbiI6IkogVCIsInBhcnNlLW5hbWVzIjpmYWxzZSwiZHJvcHBpbmctcGFydGljbGUiOiIiLCJub24tZHJvcHBpbmctcGFydGljbGUiOiIifSx7ImZhbWlseSI6IlBldGVyc29uIiwiZ2l2ZW4iOiJBIEwiLCJwYXJzZS1uYW1lcyI6ZmFsc2UsImRyb3BwaW5nLXBhcnRpY2xlIjoiIiwibm9uLWRyb3BwaW5nLXBhcnRpY2xlIjoiIn0seyJmYW1pbHkiOiJEb3VnaGVydHkiLCJnaXZlbiI6IkQgRCIsInBhcnNlLW5hbWVzIjpmYWxzZSwiZHJvcHBpbmctcGFydGljbGUiOiIiLCJub24tZHJvcHBpbmctcGFydGljbGUiOiIifSx7ImZhbWlseSI6IldpbGhlbG0iLCJnaXZlbiI6IlMiLCJwYXJzZS1uYW1lcyI6ZmFsc2UsImRyb3BwaW5nLXBhcnRpY2xlIjoiIiwibm9uLWRyb3BwaW5nLXBhcnRpY2xlIjoiIn1dLCJjb250YWluZXItdGl0bGUiOiJQc3ljaGlhdHJ5IFJlcyIsIkRPSSI6IjEwLjEwMTYvai5wc2N5Y2hyZXNucy4yMDE0LjA5LjAwMyIsIlBNSUQiOiIyNTQ0NDUzNSIsImlzc3VlZCI6eyJkYXRlLXBhcnRzIjpbWzIwMTRdXX0sInBhZ2UiOiIyNjktMjc0IiwiYWJzdHJhY3QiOiJUb3VyZXR0ZSdzIGRpc29yZGVyLCBhbHNvIGNhbGxlZCBUb3VyZXR0ZSBzeW5kcm9tZSAoVFMpLCBpcyBjaGFyYWN0ZXJpemVkIGJ5IG1vdG9yIGFuZCB2b2NhbCB0aWNzIHRoYXQgY2FuIGNhdXNlIHNpZ25pZmljYW50IGltcGFpcm1lbnQgaW4gZGFpbHkgZnVuY3Rpb25pbmcuIFRpY3MgYXJlIGJlbGlldmVkIHRvIGJlIGR1ZSB0byBmYWlsZWQgaW5oaWJpdGlvbiBvZiBib3RoIGFzc29jaWF0aXZlIGFuZCBtb3RvciBjb3J0aWNvLXN0cmlhdG8tdGhhbGFtby1jb3J0aWNhbCBwYXRod2F5cy4gQ29tcHJlaGVuc2l2ZSBCZWhhdmlvcmFsIEludGVydmVudGlvbiBmb3IgVGljcyAoQ0JJVCksIHdoaWNoIGlzIGFuIGV4dGVuc2lvbiBvZiBIYWJpdCBSZXZlcnNhbCBUaGVyYXB5IChIUlQpLCB0ZWFjaGVzIHBhdGllbnRzIHRvIGJlY29tZSBtb3JlIGF3YXJlIG9mIHNlbnNhdGlvbnMgdGhhdCByZWxpYWJseSBwcmVjZWRlIHRpY3MgKHByZW1vbml0b3J5IHVyZ2VzKSBhbmQgdG8gaW5pdGlhdGUgY29tcGV0aW5nIG1vdmVtZW50cyB0aGF0IGluaGliaXQgdGhlIG9jY3VycmVuY2Ugb2YgdGljcy4gSW4gdGhpcyBzdHVkeSwgd2UgdXNlZCBmdW5jdGlvbmFsIG1hZ25ldGljIHJlc29uYW5jZSBpbWFnaW5nIChmTVJJKSB0byBpbnZlc3RpZ2F0ZSB0aGUgbmV1cmFsIGNoYW5nZXMgYXNzb2NpYXRlZCB3aXRoIENCSVQgdHJlYXRtZW50IGluIHN1YmplY3RzIHdpdGggVFMuIEVpZ2h0IHN1YmplY3RzIHdpdGggVFMgd2VyZSBtYXRjaGVkIHdpdGggZWlnaHQgaGVhbHRoeSBjb250cm9scyBpbiBnZW5kZXIsIGVkdWNhdGlvbiwgYWdlLCBhbmQgaGFuZGVkbmVzcy4gU3ViamVjdHMgY29tcGxldGVkIHRoZSBWaXN1b3NwYXRpYWwgUHJpbWluZyAoVlNQKSB0YXNrLCBhIG1lYXN1cmUgb2YgcmVzcG9uc2UgaW5oaWJpdGlvbiwgZHVyaW5nIGZNUkkgc2Nhbm5pbmcgYmVmb3JlIGFuZCBhZnRlciBDQklUIHRyZWF0bWVudCAob3Igd2FpdGluZyBwZXJpb2QgZm9yIGNvbnRyb2xzKS4gRm9yIFRTIHN1YmplY3RzLCB3ZSBmb3VuZCBhIHNpZ25pZmljYW50IGRlY3JlYXNlIGluIHN0cmlhdGFsIChwdXRhbWVuKSBhY3RpdmF0aW9uIGZyb20gcHJlLSB0byBwb3N0LXRyZWF0bWVudC4gQ2hhbmdlIGluIFZTUCB0YXNrLXJlbGF0ZWQgYWN0aXZhdGlvbiBmcm9tIHByZS0gdG8gcG9zdC10cmVhdG1lbnQgaW4gQnJvZG1hbm4ncyBhcmVhIDQ3ICh0aGUgaW5mZXJpb3IgZnJvbnRhbCBneXJ1cykgd2FzIG5lZ2F0aXZlbHkgY29ycmVsYXRlZCB3aXRoIGNoYW5nZXMgaW4gdGljIHNldmVyaXR5LiBDQklUIG1heSBwcm9tb3RlIG5vcm1hbGl6YXRpb24gb2YgYWJlcnJhbnQgY29ydGljby1zdHJpYXRvLXRoYWxhbW8tY29ydGljYWwgYXNzb2NpYXRpdmUgYW5kIG1vdG9yIHBhdGh3YXlzIGluIGluZGl2aWR1YWxzIHdpdGggVFMuIiwiaXNzdWUiOiIzIiwidm9sdW1lIjoiMjI0IiwiY29udGFpbmVyLXRpdGxlLXNob3J0IjoiIn0sImlzVGVtcG9yYXJ5IjpmYWxzZX1dfQ==&quot;,&quot;citationItems&quot;:[{&quot;id&quot;:&quot;0297903e-c171-3289-a871-961d5e630b03&quot;,&quot;itemData&quot;:{&quot;type&quot;:&quot;article-journal&quot;,&quot;id&quot;:&quot;0297903e-c171-3289-a871-961d5e630b03&quot;,&quot;title&quot;:&quot;Neural correlates of behavior therapy for Tourette's disorder&quot;,&quot;groupId&quot;:&quot;07d62ac1-5aa8-39af-b49e-52d2088ac571&quot;,&quot;author&quot;:[{&quot;family&quot;:&quot;Deckersbach&quot;,&quot;given&quot;:&quot;T&quot;,&quot;parse-names&quot;:false,&quot;dropping-particle&quot;:&quot;&quot;,&quot;non-dropping-particle&quot;:&quot;&quot;},{&quot;family&quot;:&quot;Chou&quot;,&quot;given&quot;:&quot;T&quot;,&quot;parse-names&quot;:false,&quot;dropping-particle&quot;:&quot;&quot;,&quot;non-dropping-particle&quot;:&quot;&quot;},{&quot;family&quot;:&quot;Britton&quot;,&quot;given&quot;:&quot;J C&quot;,&quot;parse-names&quot;:false,&quot;dropping-particle&quot;:&quot;&quot;,&quot;non-dropping-particle&quot;:&quot;&quot;},{&quot;family&quot;:&quot;Carlson&quot;,&quot;given&quot;:&quot;L E&quot;,&quot;parse-names&quot;:false,&quot;dropping-particle&quot;:&quot;&quot;,&quot;non-dropping-particle&quot;:&quot;&quot;},{&quot;family&quot;:&quot;Reese&quot;,&quot;given&quot;:&quot;H E&quot;,&quot;parse-names&quot;:false,&quot;dropping-particle&quot;:&quot;&quot;,&quot;non-dropping-particle&quot;:&quot;&quot;},{&quot;family&quot;:&quot;Siev&quot;,&quot;given&quot;:&quot;J&quot;,&quot;parse-names&quot;:false,&quot;dropping-particle&quot;:&quot;&quot;,&quot;non-dropping-particle&quot;:&quot;&quot;},{&quot;family&quot;:&quot;Scahill&quot;,&quot;given&quot;:&quot;L&quot;,&quot;parse-names&quot;:false,&quot;dropping-particle&quot;:&quot;&quot;,&quot;non-dropping-particle&quot;:&quot;&quot;},{&quot;family&quot;:&quot;Piacentini&quot;,&quot;given&quot;:&quot;J C&quot;,&quot;parse-names&quot;:false,&quot;dropping-particle&quot;:&quot;&quot;,&quot;non-dropping-particle&quot;:&quot;&quot;},{&quot;family&quot;:&quot;Woods&quot;,&quot;given&quot;:&quot;D W&quot;,&quot;parse-names&quot;:false,&quot;dropping-particle&quot;:&quot;&quot;,&quot;non-dropping-particle&quot;:&quot;&quot;},{&quot;family&quot;:&quot;Walkup&quot;,&quot;given&quot;:&quot;J T&quot;,&quot;parse-names&quot;:false,&quot;dropping-particle&quot;:&quot;&quot;,&quot;non-dropping-particle&quot;:&quot;&quot;},{&quot;family&quot;:&quot;Peterson&quot;,&quot;given&quot;:&quot;A L&quot;,&quot;parse-names&quot;:false,&quot;dropping-particle&quot;:&quot;&quot;,&quot;non-dropping-particle&quot;:&quot;&quot;},{&quot;family&quot;:&quot;Dougherty&quot;,&quot;given&quot;:&quot;D D&quot;,&quot;parse-names&quot;:false,&quot;dropping-particle&quot;:&quot;&quot;,&quot;non-dropping-particle&quot;:&quot;&quot;},{&quot;family&quot;:&quot;Wilhelm&quot;,&quot;given&quot;:&quot;S&quot;,&quot;parse-names&quot;:false,&quot;dropping-particle&quot;:&quot;&quot;,&quot;non-dropping-particle&quot;:&quot;&quot;}],&quot;container-title&quot;:&quot;Psychiatry Res&quot;,&quot;DOI&quot;:&quot;10.1016/j.pscychresns.2014.09.003&quot;,&quot;PMID&quot;:&quot;25444535&quot;,&quot;issued&quot;:{&quot;date-parts&quot;:[[2014]]},&quot;page&quot;:&quot;269-274&quot;,&quot;abstract&quot;:&quot;Tourette's disorder, also called Tourette syndrome (TS), is characterized by motor and vocal tics that can cause significant impairment in daily functioning. Tics are believed to be due to failed inhibition of both associative and motor cortico-striato-thalamo-cortical pathways. Comprehensive Behavioral Intervention for Tics (CBIT), which is an extension of Habit Reversal Therapy (HRT), teaches patients to become more aware of sensations that reliably precede tics (premonitory urges) and to initiate competing movements that inhibit the occurrence of tics. In this study, we used functional magnetic resonance imaging (fMRI) to investigate the neural changes associated with CBIT treatment in subjects with TS. Eight subjects with TS were matched with eight healthy controls in gender, education, age, and handedness. Subjects completed the Visuospatial Priming (VSP) task, a measure of response inhibition, during fMRI scanning before and after CBIT treatment (or waiting period for controls). For TS subjects, we found a significant decrease in striatal (putamen) activation from pre- to post-treatment. Change in VSP task-related activation from pre- to post-treatment in Brodmann's area 47 (the inferior frontal gyrus) was negatively correlated with changes in tic severity. CBIT may promote normalization of aberrant cortico-striato-thalamo-cortical associative and motor pathways in individuals with TS.&quot;,&quot;issue&quot;:&quot;3&quot;,&quot;volume&quot;:&quot;224&quot;,&quot;container-title-short&quot;:&quot;&quot;},&quot;isTemporary&quot;:false}]},{&quot;citationID&quot;:&quot;MENDELEY_CITATION_aa5b7658-db0e-4480-882a-09c501c6aeec&quot;,&quot;properties&quot;:{&quot;noteIndex&quot;:0},&quot;isEdited&quot;:false,&quot;manualOverride&quot;:{&quot;isManuallyOverridden&quot;:false,&quot;citeprocText&quot;:&quot;(60)&quot;,&quot;manualOverrideText&quot;:&quot;&quot;},&quot;citationTag&quot;:&quot;MENDELEY_CITATION_v3_eyJjaXRhdGlvbklEIjoiTUVOREVMRVlfQ0lUQVRJT05fYWE1Yjc2NTgtZGIwZS00NDgwLTg4MmEtMDljNTAxYzZhZWVjIiwicHJvcGVydGllcyI6eyJub3RlSW5kZXgiOjB9LCJpc0VkaXRlZCI6ZmFsc2UsIm1hbnVhbE92ZXJyaWRlIjp7ImlzTWFudWFsbHlPdmVycmlkZGVuIjpmYWxzZSwiY2l0ZXByb2NUZXh0IjoiKDYwKSIsIm1hbnVhbE92ZXJyaWRlVGV4dCI6IiJ9LCJjaXRhdGlvbkl0ZW1zIjpbeyJpZCI6IjI2MzM1MzQ3LTFhNDItM2NkZC04YmNhLTYwM2FkODJiNTZlYiIsIml0ZW1EYXRhIjp7InR5cGUiOiJhcnRpY2xlLWpvdXJuYWwiLCJpZCI6IjI2MzM1MzQ3LTFhNDItM2NkZC04YmNhLTYwM2FkODJiNTZlYiIsInRpdGxlIjoiUHJlbGltaW5hcnkgU3R1ZHkgb2YgQmVoYXZpb3JhbCBUaGVyYXB5IGZvciBUb3VyZXR0ZSBTeW5kcm9tZSBQYXRpZW50cyBpbiBKYXBhbiIsImdyb3VwSWQiOiIwN2Q2MmFjMS01YWE4LTM5YWYtYjQ5ZS01MmQyMDg4YWM1NzEiLCJhdXRob3IiOlt7ImZhbWlseSI6Ik5vbmFrYSIsImdpdmVuIjoiTSIsInBhcnNlLW5hbWVzIjpmYWxzZSwiZHJvcHBpbmctcGFydGljbGUiOiIiLCJub24tZHJvcHBpbmctcGFydGljbGUiOiIifSx7ImZhbWlseSI6Ik1hdHN1ZGEiLCJnaXZlbiI6Ik4iLCJwYXJzZS1uYW1lcyI6ZmFsc2UsImRyb3BwaW5nLXBhcnRpY2xlIjoiIiwibm9uLWRyb3BwaW5nLXBhcnRpY2xlIjoiIn0seyJmYW1pbHkiOiJLb25vIiwiZ2l2ZW4iOiJUIiwicGFyc2UtbmFtZXMiOmZhbHNlLCJkcm9wcGluZy1wYXJ0aWNsZSI6IiIsIm5vbi1kcm9wcGluZy1wYXJ0aWNsZSI6IiJ9LHsiZmFtaWx5IjoiRnVqaW8iLCJnaXZlbiI6Ik0iLCJwYXJzZS1uYW1lcyI6ZmFsc2UsImRyb3BwaW5nLXBhcnRpY2xlIjoiIiwibm9uLWRyb3BwaW5nLXBhcnRpY2xlIjoiIn0seyJmYW1pbHkiOiJTY2FoaWxsIiwiZ2l2ZW4iOiJMIiwicGFyc2UtbmFtZXMiOmZhbHNlLCJkcm9wcGluZy1wYXJ0aWNsZSI6IiIsIm5vbi1kcm9wcGluZy1wYXJ0aWNsZSI6IiJ9LHsiZmFtaWx5IjoiS2FubyIsImdpdmVuIjoiWSIsInBhcnNlLW5hbWVzIjpmYWxzZSwiZHJvcHBpbmctcGFydGljbGUiOiIiLCJub24tZHJvcHBpbmctcGFydGljbGUiOiIifV0sImNvbnRhaW5lci10aXRsZSI6IkNoaWxkcmVuJ3MgSGVhbHRoIENhcmUiLCJET0kiOiJodHRwczovL2R4LmRvaS5vcmcvMTAuMTA4MC8wMjczOTYxNS4yMDE0Ljk3OTkyMiIsIlVSTCI6Imh0dHA6Ly93d3cudGFuZGZvbmxpbmUuY29tL3RvYy9oY2hjMjAvY3VycmVudGh0dHA6Ly9vdmlkc3Aub3ZpZC5jb20vb3ZpZHdlYi5jZ2k/VD1KUyZQQUdFPXJlZmVyZW5jZSZEPWVtZWQxNiZORVdTPU4mQU49NjA2MDI4MDI0IiwiaXNzdWVkIjp7ImRhdGUtcGFydHMiOltbMjAxNV1dfSwicGFnZSI6IjI5My0zMDYiLCJhYnN0cmFjdCI6IlRvdXJldHRlIHN5bmRyb21lIChUUykgaXMgYSBjaHJvbmljIG5ldXJvYmVoYXZpb3JhbCBkaXNvcmRlciBvZiBjaGlsZGhvb2QgY2hhcmFjdGVyaXplZCBieSBtb3RvciBhbmQgdm9jYWwgdGljcy4gVGhlIGF1dGhvcnMgYWltZWQgdG8gc2hvdyB0aGUgZmVhc2liaWxpdHkgb2YgQ29tcHJlaGVuc2l2ZSBCZWhhdmlvcmFsIEludGVydmVudGlvbiBmb3IgVGljcyAoQ0JJVCkgZm9yIHBlZGlhdHJpYyBUb3VyZXR0ZSBzeW5kcm9tZSBwYXRpZW50cyBpbiBKYXBhbi4gU2V2ZW4gc3ViamVjdHMgKGFnZSA5IHRvIDIwIHllYXJzKSB3ZXJlIHRyZWF0ZWQgd2l0aCBDQklULiBDaGFuZ2VzIGluIHRpYyBzZXZlcml0eSwgcHJlbW9uaXRvcnkgdXJnZXMsIGFuZCBzdWJqZWN0aXZlIGRpc3RyZXNzIGFzc29jaWF0ZWQgd2l0aCB0aWNzIHdlcmUgaW52ZXN0aWdhdGVkIG92ZXIgdGhlIGNvdXJzZSBvZiA5IHRyZWF0bWVudCBzZXNzaW9ucy4gUmVzdWx0cyBzaG93ZWQgdGhhdCBzaWduaWZpY2FudCBkZWNyZWFzZSBvZiB0aWMgc2V2ZXJpdHkgYW5kIGltcHJvdmVtZW50IG9mIHRoZWlyIHN1YmplY3RpdmUgZGlzdHJlc3Mgb2YgdGljcy4gSG93ZXZlciwgdGhlIHN1YmplY3RpdmUgZGlzdHJlc3MgZnJvbSBjb3Byb2xhbGlhIHdhcyBkaWZmaWN1bHQgdG8gY2hhbmdlLiBUaGUgdHJlYXRtZW50IGZvciBvdXRidXJzdCBvZiBjb3Byb2xhbGlhIHNob3VsZCBiZSBpbnZlc3RpZ2F0ZWQgbW9yZS5Db3B5cmlnaHQgwqkgVGF5bG9yICYgRnJhbmNpcyBHcm91cCwgTExDLiIsImlzc3VlIjoiMyIsInZvbHVtZSI6IjQ0IiwiY29udGFpbmVyLXRpdGxlLXNob3J0IjoiIn0sImlzVGVtcG9yYXJ5IjpmYWxzZX1dfQ==&quot;,&quot;citationItems&quot;:[{&quot;id&quot;:&quot;26335347-1a42-3cdd-8bca-603ad82b56eb&quot;,&quot;itemData&quot;:{&quot;type&quot;:&quot;article-journal&quot;,&quot;id&quot;:&quot;26335347-1a42-3cdd-8bca-603ad82b56eb&quot;,&quot;title&quot;:&quot;Preliminary Study of Behavioral Therapy for Tourette Syndrome Patients in Japan&quot;,&quot;groupId&quot;:&quot;07d62ac1-5aa8-39af-b49e-52d2088ac571&quot;,&quot;author&quot;:[{&quot;family&quot;:&quot;Nonaka&quot;,&quot;given&quot;:&quot;M&quot;,&quot;parse-names&quot;:false,&quot;dropping-particle&quot;:&quot;&quot;,&quot;non-dropping-particle&quot;:&quot;&quot;},{&quot;family&quot;:&quot;Matsuda&quot;,&quot;given&quot;:&quot;N&quot;,&quot;parse-names&quot;:false,&quot;dropping-particle&quot;:&quot;&quot;,&quot;non-dropping-particle&quot;:&quot;&quot;},{&quot;family&quot;:&quot;Kono&quot;,&quot;given&quot;:&quot;T&quot;,&quot;parse-names&quot;:false,&quot;dropping-particle&quot;:&quot;&quot;,&quot;non-dropping-particle&quot;:&quot;&quot;},{&quot;family&quot;:&quot;Fujio&quot;,&quot;given&quot;:&quot;M&quot;,&quot;parse-names&quot;:false,&quot;dropping-particle&quot;:&quot;&quot;,&quot;non-dropping-particle&quot;:&quot;&quot;},{&quot;family&quot;:&quot;Scahill&quot;,&quot;given&quot;:&quot;L&quot;,&quot;parse-names&quot;:false,&quot;dropping-particle&quot;:&quot;&quot;,&quot;non-dropping-particle&quot;:&quot;&quot;},{&quot;family&quot;:&quot;Kano&quot;,&quot;given&quot;:&quot;Y&quot;,&quot;parse-names&quot;:false,&quot;dropping-particle&quot;:&quot;&quot;,&quot;non-dropping-particle&quot;:&quot;&quot;}],&quot;container-title&quot;:&quot;Children's Health Care&quot;,&quot;DOI&quot;:&quot;https://dx.doi.org/10.1080/02739615.2014.979922&quot;,&quot;URL&quot;:&quot;http://www.tandfonline.com/toc/hchc20/currenthttp://ovidsp.ovid.com/ovidweb.cgi?T=JS&amp;PAGE=reference&amp;D=emed16&amp;NEWS=N&amp;AN=606028024&quot;,&quot;issued&quot;:{&quot;date-parts&quot;:[[2015]]},&quot;page&quot;:&quot;293-306&quot;,&quot;abstract&quot;:&quot;Tourette syndrome (TS) is a chronic neurobehavioral disorder of childhood characterized by motor and vocal tics. The authors aimed to show the feasibility of Comprehensive Behavioral Intervention for Tics (CBIT) for pediatric Tourette syndrome patients in Japan. Seven subjects (age 9 to 20 years) were treated with CBIT. Changes in tic severity, premonitory urges, and subjective distress associated with tics were investigated over the course of 9 treatment sessions. Results showed that significant decrease of tic severity and improvement of their subjective distress of tics. However, the subjective distress from coprolalia was difficult to change. The treatment for outburst of coprolalia should be investigated more.Copyright © Taylor &amp; Francis Group, LLC.&quot;,&quot;issue&quot;:&quot;3&quot;,&quot;volume&quot;:&quot;44&quot;,&quot;container-title-short&quot;:&quot;&quot;},&quot;isTemporary&quot;:false}]},{&quot;citationID&quot;:&quot;MENDELEY_CITATION_b003a8e0-70ab-4987-adf5-375319b84ad9&quot;,&quot;properties&quot;:{&quot;noteIndex&quot;:0},&quot;isEdited&quot;:false,&quot;manualOverride&quot;:{&quot;isManuallyOverridden&quot;:false,&quot;citeprocText&quot;:&quot;(61)&quot;,&quot;manualOverrideText&quot;:&quot;&quot;},&quot;citationTag&quot;:&quot;MENDELEY_CITATION_v3_eyJjaXRhdGlvbklEIjoiTUVOREVMRVlfQ0lUQVRJT05fYjAwM2E4ZTAtNzBhYi00OTg3LWFkZjUtMzc1MzE5Yjg0YWQ5IiwicHJvcGVydGllcyI6eyJub3RlSW5kZXgiOjB9LCJpc0VkaXRlZCI6ZmFsc2UsIm1hbnVhbE92ZXJyaWRlIjp7ImlzTWFudWFsbHlPdmVycmlkZGVuIjpmYWxzZSwiY2l0ZXByb2NUZXh0IjoiKDYxKSIsIm1hbnVhbE92ZXJyaWRlVGV4dCI6IiJ9LCJjaXRhdGlvbkl0ZW1zIjpbeyJpZCI6IjQxNTYyMmY1LWI0OWItMzk0My1hNzhhLWI5YzBjZmE3NDhiNyIsIml0ZW1EYXRhIjp7InR5cGUiOiJhcnRpY2xlLWpvdXJuYWwiLCJpZCI6IjQxNTYyMmY1LWI0OWItMzk0My1hNzhhLWI5YzBjZmE3NDhiNyIsInRpdGxlIjoiSGFiaXR1YXRpb24gb2YgcHJlbW9uaXRvcnkgc2Vuc2F0aW9ucyBkdXJpbmcgZXhwb3N1cmUgYW5kIHJlc3BvbnNlIHByZXZlbnRpb24gdHJlYXRtZW50IGluIFRvdXJldHRlJ3Mgc3luZHJvbWUiLCJncm91cElkIjoiMDdkNjJhYzEtNWFhOC0zOWFmLWI0OWUtNTJkMjA4OGFjNTcxIiwiYXV0aG9yIjpbeyJmYW1pbHkiOiJWZXJkZWxsZW4iLCJnaXZlbiI6IkMgVyIsInBhcnNlLW5hbWVzIjpmYWxzZSwiZHJvcHBpbmctcGFydGljbGUiOiIiLCJub24tZHJvcHBpbmctcGFydGljbGUiOiIifSx7ImZhbWlseSI6Ikhvb2dkdWluIiwiZ2l2ZW4iOiJDIEEiLCJwYXJzZS1uYW1lcyI6ZmFsc2UsImRyb3BwaW5nLXBhcnRpY2xlIjoiIiwibm9uLWRyb3BwaW5nLXBhcnRpY2xlIjoiIn0seyJmYW1pbHkiOiJLYXRvIiwiZ2l2ZW4iOiJCIFMiLCJwYXJzZS1uYW1lcyI6ZmFsc2UsImRyb3BwaW5nLXBhcnRpY2xlIjoiIiwibm9uLWRyb3BwaW5nLXBhcnRpY2xlIjoiIn0seyJmYW1pbHkiOiJLZWlqc2VycyIsImdpdmVuIjoiRyBQIiwicGFyc2UtbmFtZXMiOmZhbHNlLCJkcm9wcGluZy1wYXJ0aWNsZSI6IiIsIm5vbi1kcm9wcGluZy1wYXJ0aWNsZSI6IiJ9LHsiZmFtaWx5IjoiQ2F0aCIsImdpdmVuIjoiRCBDIiwicGFyc2UtbmFtZXMiOmZhbHNlLCJkcm9wcGluZy1wYXJ0aWNsZSI6IiIsIm5vbi1kcm9wcGluZy1wYXJ0aWNsZSI6IiJ9LHsiZmFtaWx5IjoiSG9panRpbmsiLCJnaXZlbiI6IkggQiIsInBhcnNlLW5hbWVzIjpmYWxzZSwiZHJvcHBpbmctcGFydGljbGUiOiIiLCJub24tZHJvcHBpbmctcGFydGljbGUiOiIifV0sImNvbnRhaW5lci10aXRsZSI6IkJlaGF2IE1vZGlmIiwiRE9JIjoiMTAuMTE3Ny8wMTQ1NDQ1NTA3MzA5MDIwIiwiUE1JRCI6IjE4Mjg1NTA3IiwiaXNzdWVkIjp7ImRhdGUtcGFydHMiOltbMjAwOF1dfSwicGFnZSI6IjIxNS0yMjciLCJhYnN0cmFjdCI6IkV4cG9zdXJlIHRvIHByZW1vbml0b3J5IHNlbnNhdGlvbnMgYW5kIHJlc3BvbnNlIHByZXZlbnRpb24gb2YgdGljcyAoRVIpIGhhcyBiZWVuIHNob3duIHRvIGJlIGEgcHJvbWlzaW5nIG5ldyB0cmVhdG1lbnQgZm9yIFRvdXJldHRlJ3Mgc3luZHJvbWUgKFRTKS4gVGhlIHByZXNlbnQgc3R1ZHkgdGVzdGVkIHRoZSBoeXBvdGhlc2lzIHRoYXQgaGFiaXR1YXRpb24gdG8gdW5wbGVhc2FudCBwcmVtb25pdG9yeSBzZW5zYXRpb25zIGFzc29jaWF0ZWQgd2l0aCB0aGUgdGljIGlzIGFuIHVuZGVybHlpbmcgbWVjaGFuaXNtIG9mIGNoYW5nZSBpbiBFUi4gUGF0aWVudHMgcmF0ZWQgdGhlIHNldmVyaXR5IG9mIHNlbnNhdGlvbnMgYW5kIHVyZ2VzIGF0IDE1LW1pbnV0ZSBpbnRlcnZhbHMgZHVyaW5nIHRlbiAyLWhvdXIgRVIgc2Vzc2lvbnMuIE11bHRpbGV2ZWwgbW9kZWxzIHVzaW5nIG11bHRpcGxlIHRpbWUgdHJlbmQgYW5hbHlzZXMgc2hvd2VkIHNpZ25pZmljYW50IHJlZHVjdGlvbnMgb2YgdGhlIHNlbnNvcnkgc2V2ZXJpdHkgcmF0aW5ncyBib3RoIHdpdGhpbiBhbmQgYmV0d2VlbiBzZXNzaW9ucy4gVGhlIGRlY3JlYXNlIG9mIHRoZXNlIHNldmVyaXR5IHJhdGluZ3Mgd2FzIHJlbGF0ZWQgdG8gdGhlIGZyZXF1ZW5jeSBvZiB0aWNzIGV4aGliaXRlZCBkdXJpbmcgc2Vzc2lvbnMsIHJlZ2FyZGxlc3Mgb2YgdGljIHNldmVyaXR5IGF0IGJhc2VsaW5lLiBUaGVzZSByZXN1bHRzIHN1cHBvcnQgdGhlIGh5cG90aGVzaXMgdGhhdCBoYWJpdHVhdGlvbiBtYXkgYmUgYXQgbGVhc3QgcGFydCBvZiB0aGUgdW5kZXJseWluZyB3b3JraW5nIG1lY2hhbmlzbSBvZiBleHBvc3VyZSBpbiB0aGUgdHJlYXRtZW50IG9mIHRpY3MgaW4gVFMgYW5kIHRoYXQgZWZmZWN0aXZlIHRpYyBzdXBwcmVzc2lvbiBkdXJpbmcgc2Vzc2lvbnMgaXMgYW4gaW1wb3J0YW50IGZhY3RvciBpbiB0aGlzIGhhYml0dWF0aW9uIHByb2Nlc3MuIiwiaXNzdWUiOiIyIiwidm9sdW1lIjoiMzIiLCJjb250YWluZXItdGl0bGUtc2hvcnQiOiIifSwiaXNUZW1wb3JhcnkiOmZhbHNlfV19&quot;,&quot;citationItems&quot;:[{&quot;id&quot;:&quot;415622f5-b49b-3943-a78a-b9c0cfa748b7&quot;,&quot;itemData&quot;:{&quot;type&quot;:&quot;article-journal&quot;,&quot;id&quot;:&quot;415622f5-b49b-3943-a78a-b9c0cfa748b7&quot;,&quot;title&quot;:&quot;Habituation of premonitory sensations during exposure and response prevention treatment in Tourette's syndrome&quot;,&quot;groupId&quot;:&quot;07d62ac1-5aa8-39af-b49e-52d2088ac571&quot;,&quot;author&quot;:[{&quot;family&quot;:&quot;Verdellen&quot;,&quot;given&quot;:&quot;C W&quot;,&quot;parse-names&quot;:false,&quot;dropping-particle&quot;:&quot;&quot;,&quot;non-dropping-particle&quot;:&quot;&quot;},{&quot;family&quot;:&quot;Hoogduin&quot;,&quot;given&quot;:&quot;C A&quot;,&quot;parse-names&quot;:false,&quot;dropping-particle&quot;:&quot;&quot;,&quot;non-dropping-particle&quot;:&quot;&quot;},{&quot;family&quot;:&quot;Kato&quot;,&quot;given&quot;:&quot;B S&quot;,&quot;parse-names&quot;:false,&quot;dropping-particle&quot;:&quot;&quot;,&quot;non-dropping-particle&quot;:&quot;&quot;},{&quot;family&quot;:&quot;Keijsers&quot;,&quot;given&quot;:&quot;G P&quot;,&quot;parse-names&quot;:false,&quot;dropping-particle&quot;:&quot;&quot;,&quot;non-dropping-particle&quot;:&quot;&quot;},{&quot;family&quot;:&quot;Cath&quot;,&quot;given&quot;:&quot;D C&quot;,&quot;parse-names&quot;:false,&quot;dropping-particle&quot;:&quot;&quot;,&quot;non-dropping-particle&quot;:&quot;&quot;},{&quot;family&quot;:&quot;Hoijtink&quot;,&quot;given&quot;:&quot;H B&quot;,&quot;parse-names&quot;:false,&quot;dropping-particle&quot;:&quot;&quot;,&quot;non-dropping-particle&quot;:&quot;&quot;}],&quot;container-title&quot;:&quot;Behav Modif&quot;,&quot;DOI&quot;:&quot;10.1177/0145445507309020&quot;,&quot;PMID&quot;:&quot;18285507&quot;,&quot;issued&quot;:{&quot;date-parts&quot;:[[2008]]},&quot;page&quot;:&quot;215-227&quot;,&quot;abstract&quot;:&quot;Exposure to premonitory sensations and response prevention of tics (ER) has been shown to be a promising new treatment for Tourette's syndrome (TS). The present study tested the hypothesis that habituation to unpleasant premonitory sensations associated with the tic is an underlying mechanism of change in ER. Patients rated the severity of sensations and urges at 15-minute intervals during ten 2-hour ER sessions. Multilevel models using multiple time trend analyses showed significant reductions of the sensory severity ratings both within and between sessions. The decrease of these severity ratings was related to the frequency of tics exhibited during sessions, regardless of tic severity at baseline. These results support the hypothesis that habituation may be at least part of the underlying working mechanism of exposure in the treatment of tics in TS and that effective tic suppression during sessions is an important factor in this habituation process.&quot;,&quot;issue&quot;:&quot;2&quot;,&quot;volume&quot;:&quot;32&quot;,&quot;container-title-short&quot;:&quot;&quot;},&quot;isTemporary&quot;:false}]},{&quot;citationID&quot;:&quot;MENDELEY_CITATION_bc93abba-c642-45a2-9f9e-b3a0fecf6287&quot;,&quot;properties&quot;:{&quot;noteIndex&quot;:0},&quot;isEdited&quot;:false,&quot;manualOverride&quot;:{&quot;isManuallyOverridden&quot;:false,&quot;citeprocText&quot;:&quot;(62)&quot;,&quot;manualOverrideText&quot;:&quot;&quot;},&quot;citationTag&quot;:&quot;MENDELEY_CITATION_v3_eyJjaXRhdGlvbklEIjoiTUVOREVMRVlfQ0lUQVRJT05fYmM5M2FiYmEtYzY0Mi00NWEyLTlmOWUtYjNhMGZlY2Y2Mjg3IiwicHJvcGVydGllcyI6eyJub3RlSW5kZXgiOjB9LCJpc0VkaXRlZCI6ZmFsc2UsIm1hbnVhbE92ZXJyaWRlIjp7ImlzTWFudWFsbHlPdmVycmlkZGVuIjpmYWxzZSwiY2l0ZXByb2NUZXh0IjoiKDYyKSIsIm1hbnVhbE92ZXJyaWRlVGV4dCI6IiJ9LCJjaXRhdGlvbkl0ZW1zIjpbeyJpZCI6IjNhY2VmMTExLTY4NjAtM2ZhMS1iYTMxLTU3N2I4NjRiYzgzOSIsIml0ZW1EYXRhIjp7InR5cGUiOiJhcnRpY2xlLWpvdXJuYWwiLCJpZCI6IjNhY2VmMTExLTY4NjAtM2ZhMS1iYTMxLTU3N2I4NjRiYzgzOSIsInRpdGxlIjoiV29ya2luZyBNZWNoYW5pc21zIG9mIEV4cG9zdXJlIGFuZCBSZXNwb25zZSBQcmV2ZW50aW9uIGluIHRoZSBUcmVhdG1lbnQgb2YgVG91cmV0dGUgU3luZHJvbWUgYW5kIFRpYyBEaXNvcmRlcnMgUmV2aXNpdGVkOiBObyBFdmlkZW5jZSBmb3Igd2l0aGluLVNlc3Npb24gSGFiaXR1YXRpb24gdG8gUHJlbW9uaXRvcnkgVXJnZXMiLCJncm91cElkIjoiMDdkNjJhYzEtNWFhOC0zOWFmLWI0OWUtNTJkMjA4OGFjNTcxIiwiYXV0aG9yIjpbeyJmYW1pbHkiOiJHcmllbmR0IiwiZ2l2ZW4iOiJKbXRtIiwicGFyc2UtbmFtZXMiOmZhbHNlLCJkcm9wcGluZy1wYXJ0aWNsZSI6IiIsIm5vbi1kcm9wcGluZy1wYXJ0aWNsZSI6InZhbiBkZSJ9LHsiZmFtaWx5IjoiQmVyZyIsImdpdmVuIjoiTiBNIEUiLCJwYXJzZS1uYW1lcyI6ZmFsc2UsImRyb3BwaW5nLXBhcnRpY2xlIjoiIiwibm9uLWRyb3BwaW5nLXBhcnRpY2xlIjoidmFuIGRlbiJ9LHsiZmFtaWx5IjoiVmVyZGVsbGVuIiwiZ2l2ZW4iOiJDIFcgSiIsInBhcnNlLW5hbWVzIjpmYWxzZSwiZHJvcHBpbmctcGFydGljbGUiOiIiLCJub24tZHJvcHBpbmctcGFydGljbGUiOiIifSx7ImZhbWlseSI6IkNhdGgiLCJnaXZlbiI6IkQgQyIsInBhcnNlLW5hbWVzIjpmYWxzZSwiZHJvcHBpbmctcGFydGljbGUiOiIiLCJub24tZHJvcHBpbmctcGFydGljbGUiOiIifSx7ImZhbWlseSI6IlZlcmJyYWFrIiwiZ2l2ZW4iOiJNanBtIiwicGFyc2UtbmFtZXMiOmZhbHNlLCJkcm9wcGluZy1wYXJ0aWNsZSI6IiIsIm5vbi1kcm9wcGluZy1wYXJ0aWNsZSI6IiJ9XSwiY29udGFpbmVyLXRpdGxlIjoiSiBDbGluIE1lZCIsIkRPSSI6IjEwLjMzOTAvamNtMTIyMjcwODciLCJQTUlEIjoiMzgwMDI3MDAiLCJpc3N1ZWQiOnsiZGF0ZS1wYXJ0cyI6W1syMDIzXV19LCJwYWdlIjoiLSIsImFic3RyYWN0IjoiQkFDS0dST1VORDogRXhwb3N1cmUgYW5kIHJlc3BvbnNlIHByZXZlbnRpb24gKEVSUCkgaGFzIGJlZW4gc2hvd24gdG8gYmUgYW4gZWZmZWN0aXZlIHRyZWF0bWVudCBmb3IgVG91cmV0dGUgc3luZHJvbWUgKFRTKSBhbmQgY2hyb25pYyB0aWMgZGlzb3JkZXJzIChDVEQpLiBFUlAgaXMgYmFzZWQgb24gdm9sdW50YXJ5IHRpYyBzdXBwcmVzc2lvbiBpbiBjb21iaW5hdGlvbiB3aXRoIHByb2xvbmdlZCBleHBvc3VyZSB0byBwcmVtb25pdG9yeSB1cmdlcyBwcmVjZWRpbmcgdGljcy4gQSBwcmV2YWlsaW5nIGh5cG90aGVzaXMgb2YgdGhlIHdvcmtpbmcgbWVjaGFuaXNtIHVuZGVybHlpbmcgRVJQIGluIHRpY3MgaXMgaGFiaXR1YXRpb24gdG8gdGhlIHByZW1vbml0b3J5IHVyZ2VzIGFzIGEgcmVzdWx0IG9mIHByb2xvbmdlZCBleHBvc3VyZS4gSG93ZXZlciwgcmVzdWx0cyBzbyBmYXIgYXJlIGVxdWl2b2NhbC4gVGhpcyBzdHVkeSBhaW1zIHRvIGZ1cnRoZXIgZXhwbG9yZSB0aGUgcmVsYXRpb24gYmV0d2VlbiB1cmdlcyBhbmQgRVJQIGluIHRpY3MsIGJ5IGludmVzdGlnYXRpbmcgdGhlIGNvdXJzZSBvZiBwcmVtb25pdG9yeSB1cmdlcyBkdXJpbmcgRVJQIHNlc3Npb25zLiBNRVRIT0RTOiBVc2luZyBhIGRhdGEtZHJpdmVuIGFwcHJvYWNoLCB3aXRoaW4tc2Vzc2lvbiBoYWJpdHVhdGlvbiB0byBwcmVtb25pdG9yeSB1cmdlIGludGVuc2l0eSB3YXMgaW52ZXN0aWdhdGVkLiBJbiB0b3RhbCwgMjkgVFMgcGF0aWVudHMgcmF0ZWQgdXJnZSBpbnRlbnNpdHkgYXQgc2V2ZW4gdGltZXBvaW50cyBkdXJpbmcgdGVuIDEgaCBFUlAgc2Vzc2lvbnMuIFJFU1VMVFMvQ09OQ0xVU0lPTlM6IExhdGVudCBncm93dGggbW9kZWxpbmcgc2hvd2VkIGFuIGluY3JlYXNlIGluIHVyZ2UgaW50ZW5zaXR5IGR1cmluZyB0aGUgZmlyc3QgMTUgbWluIG9mIGVhY2ggc2Vzc2lvbiBmb2xsb3dlZCBieSBhIHBsYXRlYXUgaW4gdGhlIHJlbWFpbmluZyA0NSBtaW4gb2YgdGhlIHNlc3Npb24uIFRoaXMgZG9lcyBub3Qgc3VwcG9ydCB0aGUgaWRlYSBvZiB3aXRoaW4tc2Vzc2lvbiBoYWJpdHVhdGlvbiB0byBwcmVtb25pdG9yeSB1cmdlcyBhcyBhIHdvcmtpbmcgbWVjaGFuaXNtIG9mIEVSUC4gT3RoZXIgcG90ZW50aWFsIHVuZGVybHlpbmcgd29ya2luZyBtZWNoYW5pc21zIGFyZSBkaXNjdXNzZWQgYW5kIHNob3VsZCBiZSB0ZXN0ZWQgaW4gZnV0dXJlIHJlc2VhcmNoLiIsImlzc3VlIjoiMjIiLCJ2b2x1bWUiOiIxMiIsImNvbnRhaW5lci10aXRsZS1zaG9ydCI6IiJ9LCJpc1RlbXBvcmFyeSI6ZmFsc2V9XX0=&quot;,&quot;citationItems&quot;:[{&quot;id&quot;:&quot;3acef111-6860-3fa1-ba31-577b864bc839&quot;,&quot;itemData&quot;:{&quot;type&quot;:&quot;article-journal&quot;,&quot;id&quot;:&quot;3acef111-6860-3fa1-ba31-577b864bc839&quot;,&quot;title&quot;:&quot;Working Mechanisms of Exposure and Response Prevention in the Treatment of Tourette Syndrome and Tic Disorders Revisited: No Evidence for within-Session Habituation to Premonitory Urges&quot;,&quot;groupId&quot;:&quot;07d62ac1-5aa8-39af-b49e-52d2088ac571&quot;,&quot;author&quot;:[{&quot;family&quot;:&quot;Griendt&quot;,&quot;given&quot;:&quot;Jmtm&quot;,&quot;parse-names&quot;:false,&quot;dropping-particle&quot;:&quot;&quot;,&quot;non-dropping-particle&quot;:&quot;van de&quot;},{&quot;family&quot;:&quot;Berg&quot;,&quot;given&quot;:&quot;N M E&quot;,&quot;parse-names&quot;:false,&quot;dropping-particle&quot;:&quot;&quot;,&quot;non-dropping-particle&quot;:&quot;van den&quot;},{&quot;family&quot;:&quot;Verdellen&quot;,&quot;given&quot;:&quot;C W J&quot;,&quot;parse-names&quot;:false,&quot;dropping-particle&quot;:&quot;&quot;,&quot;non-dropping-particle&quot;:&quot;&quot;},{&quot;family&quot;:&quot;Cath&quot;,&quot;given&quot;:&quot;D C&quot;,&quot;parse-names&quot;:false,&quot;dropping-particle&quot;:&quot;&quot;,&quot;non-dropping-particle&quot;:&quot;&quot;},{&quot;family&quot;:&quot;Verbraak&quot;,&quot;given&quot;:&quot;Mjpm&quot;,&quot;parse-names&quot;:false,&quot;dropping-particle&quot;:&quot;&quot;,&quot;non-dropping-particle&quot;:&quot;&quot;}],&quot;container-title&quot;:&quot;J Clin Med&quot;,&quot;DOI&quot;:&quot;10.3390/jcm12227087&quot;,&quot;PMID&quot;:&quot;38002700&quot;,&quot;issued&quot;:{&quot;date-parts&quot;:[[2023]]},&quot;page&quot;:&quot;-&quot;,&quot;abstract&quot;:&quot;BACKGROUND: Exposure and response prevention (ERP) has been shown to be an effective treatment for Tourette syndrome (TS) and chronic tic disorders (CTD). ERP is based on voluntary tic suppression in combination with prolonged exposure to premonitory urges preceding tics. A prevailing hypothesis of the working mechanism underlying ERP in tics is habituation to the premonitory urges as a result of prolonged exposure. However, results so far are equivocal. This study aims to further explore the relation between urges and ERP in tics, by investigating the course of premonitory urges during ERP sessions. METHODS: Using a data-driven approach, within-session habituation to premonitory urge intensity was investigated. In total, 29 TS patients rated urge intensity at seven timepoints during ten 1 h ERP sessions. RESULTS/CONCLUSIONS: Latent growth modeling showed an increase in urge intensity during the first 15 min of each session followed by a plateau in the remaining 45 min of the session. This does not support the idea of within-session habituation to premonitory urges as a working mechanism of ERP. Other potential underlying working mechanisms are discussed and should be tested in future research.&quot;,&quot;issue&quot;:&quot;22&quot;,&quot;volume&quot;:&quot;12&quot;,&quot;container-title-short&quot;:&quot;&quot;},&quot;isTemporary&quot;:false}]},{&quot;citationID&quot;:&quot;MENDELEY_CITATION_e3383ad2-8d99-4a6b-b0b0-dfa28bec2fa7&quot;,&quot;properties&quot;:{&quot;noteIndex&quot;:0},&quot;isEdited&quot;:false,&quot;manualOverride&quot;:{&quot;isManuallyOverridden&quot;:false,&quot;citeprocText&quot;:&quot;(63)&quot;,&quot;manualOverrideText&quot;:&quot;&quot;},&quot;citationTag&quot;:&quot;MENDELEY_CITATION_v3_eyJjaXRhdGlvbklEIjoiTUVOREVMRVlfQ0lUQVRJT05fZTMzODNhZDItOGQ5OS00YTZiLWIwYjAtZGZhMjhiZWMyZmE3IiwicHJvcGVydGllcyI6eyJub3RlSW5kZXgiOjB9LCJpc0VkaXRlZCI6ZmFsc2UsIm1hbnVhbE92ZXJyaWRlIjp7ImlzTWFudWFsbHlPdmVycmlkZGVuIjpmYWxzZSwiY2l0ZXByb2NUZXh0IjoiKDYzKSIsIm1hbnVhbE92ZXJyaWRlVGV4dCI6IiJ9LCJjaXRhdGlvbkl0ZW1zIjpbeyJpZCI6ImQ4NTcwMTZlLTEyYzAtMzQwMy1iYmZhLTg1MjQ4NDIxYWU3NCIsIml0ZW1EYXRhIjp7InR5cGUiOiJhcnRpY2xlLWpvdXJuYWwiLCJpZCI6ImQ4NTcwMTZlLTEyYzAtMzQwMy1iYmZhLTg1MjQ4NDIxYWU3NCIsInRpdGxlIjoiVGFja2xlIHlvdXIgVGljczogcGlsb3QgZmluZGluZ3Mgb2YgYSBicmllZiwgaW50ZW5zaXZlIGdyb3VwLWJhc2VkIGV4cG9zdXJlIHRoZXJhcHkgcHJvZ3JhbSBmb3IgY2hpbGRyZW4gd2l0aCB0aWMgZGlzb3JkZXJzIiwiZ3JvdXBJZCI6IjA3ZDYyYWMxLTVhYTgtMzlhZi1iNDllLTUyZDIwODhhYzU3MSIsImF1dGhvciI6W3siZmFtaWx5IjoiSGVpamVybWFuLUhvbHRncmVmZSIsImdpdmVuIjoiQSBQIiwicGFyc2UtbmFtZXMiOmZhbHNlLCJkcm9wcGluZy1wYXJ0aWNsZSI6IiIsIm5vbi1kcm9wcGluZy1wYXJ0aWNsZSI6IiJ9LHsiZmFtaWx5IjoiVmVyZGVsbGVuIiwiZ2l2ZW4iOiJDIFcgSiIsInBhcnNlLW5hbWVzIjpmYWxzZSwiZHJvcHBpbmctcGFydGljbGUiOiIiLCJub24tZHJvcHBpbmctcGFydGljbGUiOiIifSx7ImZhbWlseSI6IkdyaWVuZHQiLCJnaXZlbiI6IkogTSBUIE0iLCJwYXJzZS1uYW1lcyI6ZmFsc2UsImRyb3BwaW5nLXBhcnRpY2xlIjoiIiwibm9uLWRyb3BwaW5nLXBhcnRpY2xlIjoidmFuIGRlIn0seyJmYW1pbHkiOiJCZWxqYWFycyIsImdpdmVuIjoiTCBQIEwiLCJwYXJzZS1uYW1lcyI6ZmFsc2UsImRyb3BwaW5nLXBhcnRpY2xlIjoiIiwibm9uLWRyb3BwaW5nLXBhcnRpY2xlIjoiIn0seyJmYW1pbHkiOiJLYW4iLCJnaXZlbiI6IksgSiIsInBhcnNlLW5hbWVzIjpmYWxzZSwiZHJvcHBpbmctcGFydGljbGUiOiIiLCJub24tZHJvcHBpbmctcGFydGljbGUiOiIifSx7ImZhbWlseSI6IkNhdGgiLCJnaXZlbiI6IkQiLCJwYXJzZS1uYW1lcyI6ZmFsc2UsImRyb3BwaW5nLXBhcnRpY2xlIjoiIiwibm9uLWRyb3BwaW5nLXBhcnRpY2xlIjoiIn0seyJmYW1pbHkiOiJIb2Vrc3RyYSIsImdpdmVuIjoiUCBKIiwicGFyc2UtbmFtZXMiOmZhbHNlLCJkcm9wcGluZy1wYXJ0aWNsZSI6IiIsIm5vbi1kcm9wcGluZy1wYXJ0aWNsZSI6IiJ9LHsiZmFtaWx5IjoiSHV5c2VyIiwiZ2l2ZW4iOiJDIiwicGFyc2UtbmFtZXMiOmZhbHNlLCJkcm9wcGluZy1wYXJ0aWNsZSI6IiIsIm5vbi1kcm9wcGluZy1wYXJ0aWNsZSI6IiJ9LHsiZmFtaWx5IjoiVXRlbnMiLCJnaXZlbiI6IkUgTSBXIEoiLCJwYXJzZS1uYW1lcyI6ZmFsc2UsImRyb3BwaW5nLXBhcnRpY2xlIjoiIiwibm9uLWRyb3BwaW5nLXBhcnRpY2xlIjoiIn1dLCJjb250YWluZXItdGl0bGUiOiJFdXJvcGVhbiBDaGlsZCBhbmQgQWRvbGVzY2VudCBQc3ljaGlhdHJ5IiwiRE9JIjoiaHR0cHM6Ly9keC5kb2kub3JnLzEwLjEwMDcvczAwNzg3LTAyMC0wMTUzMi01IiwiVVJMIjoiaHR0cDovL3d3dy5zcHJpbmdlcmxpbmsuY29tL2NvbnRlbnQvMTAxOC04ODI3aHR0cDovL292aWRzcC5vdmlkLmNvbS9vdmlkd2ViLmNnaT9UPUpTJlBBR0U9cmVmZXJlbmNlJkQ9ZW1lZDIyJk5FV1M9TiZBTj0yMDA1MDA2OTQ3IiwiaXNzdWVkIjp7ImRhdGUtcGFydHMiOltbMjAyMV1dfSwicGFnZSI6IjQ2MS00NzMiLCJhYnN0cmFjdCI6IlRvdXJldHRlIHN5bmRyb21lIChUUykgYW5kIG90aGVyIGNocm9uaWMgdGljIGRpc29yZGVycyAoQ1REKSBhcmUgcHJldmFsZW50IG5ldXJvZGV2ZWxvcG1lbnRhbCBkaXNvcmRlcnMsIHdoaWNoIGNhbiBoYXZlIGEgaHVnZSBidXJkZW4gb24gZmFtaWxpZXMgYW5kIHNvY2lldHkuIEJlaGF2aW9yYWwgdHJlYXRtZW50IGlzIGEgZmlyc3QtbGluZSBpbnRlcnZlbnRpb24gZm9yIHRpYyBkaXNvcmRlcnMuIERlc3BpdGUgZGVtb25zdHJhdGVkIGVmZmljYWN5LCB0aWMgcmVkdWN0aW9uIGFuZCB1dGlsaXphdGlvbiByYXRlcyBvZiBiZWhhdmlvcmFsIHRyZWF0bWVudCByZW1haW4gcmVsYXRpdmVseSBsb3cuIFBhdGllbnQgYXNzb2NpYXRpb25zIHBvaW50IHRvIGFuIHVyZ2VudCBuZWVkIGZvciBlYXN5LXRvLXVuZGVyZ28gdHJlYXRtZW50cyB0aGF0IGZvY3VzIGJvdGggb24gdGljIHJlZHVjdGlvbiBhbmQgaW1wcm92ZW1lbnQgb2YgcXVhbGl0eSBvZiBsaWZlLiBUbyBlbmhhbmNlIHRyZWF0bWVudCBvdXRjb21lIGFuZCBvdmVyY29tZSB0cmVhdG1lbnQgYmFycmllcnMsIHRoaXMgcGlsb3Qgc3R1ZHkncyBhaW0gd2FzIHRvIGludmVzdGlnYXRlIHRoZSBmZWFzaWJpbGl0eSBhbmQgcHJlbGltaW5hcnkgcmVzdWx0cyBvZiBhIGJyaWVmLCBpbnRlbnNpdmUgZ3JvdXAtYmFzZWQgdHJlYXRtZW50LiBUYWNrbGUgeW91ciBUaWNzIGlzIGEgNC1kYXkgaW50ZW5zaXZlIGFuZCBjb21wcmVoZW5zaXZlIGdyb3VwLWJhc2VkIHByb2dyYW0gZm9yIGNoaWxkcmVuIGFuZCBhZG9sZXNjZW50cyAoOS0xNyB5ZWFycykgd2l0aCBhIHRpYyBkaXNvcmRlciwgY29uc2lzdGluZyBvZiBleHBvc3VyZSBhbmQgcmVzcG9uc2UgcHJldmVudGlvbiAoRVJQKSB0cmVhdG1lbnQgYW5kIGFkZGl0aW9uYWwgc3VwcG9ydGluZyBjb21wb25lbnRzLCBzdWNoIGFzIGNvcGluZyBzdHJhdGVnaWVzLCByZWxheGluZyBhY3Rpdml0aWVzIGFuZCBwYXJlbnQgc3VwcG9ydC4gQXNzZXNzbWVudHMgd2VyZSBwZXJmb3JtZWQgcHJlLSBhbmQgcG9zdC10cmVhdG1lbnQgYW5kIGF0IDIgbW9udGhzIGZvbGxvdy11cCwgdG8gdGVzdCBvdXRjb21lcyBvbiB0aWMgc2V2ZXJpdHkgYW5kIHF1YWxpdHkgb2YgbGlmZSwgYW5kIGV4cGxvcmUgcHJlbW9uaXRvcnkgdXJnZXMsIGVtb3Rpb25hbCBhbmQgYmVoYXZpb3JhbCBmdW5jdGlvbmluZyBhbmQgdHJlYXRtZW50IHNhdGlzZmFjdGlvbiAoTiA9IDE0LCBvZiB3aG9tIDEzIGNvbXBsZXRlZCB0aGUgdHJlYXRtZW50KS4gUGFyZW50cyBhbmQgY2hpbGRyZW4gcmF0ZWQgdGhpcyB0cmVhdG1lbnQgcG9zaXRpdmUgb24gYSB0cmVhdG1lbnQgc2F0aXNmYWN0aW9uIHF1ZXN0aW9ubmFpcmUuIE9uIHRpYyBzZXZlcml0eSAoWWFsZSBHbG9iYWwgVGljIFNldmVyaXR5IFNjYWxlKSBhbmQgcXVhbGl0eSBvZiBsaWZlIChHaWxsZXMgZGUgbGEgVG91cmV0dGUgU3luZHJvbWUgUXVhbGl0eSBvZiBMaWZlIFNjYWxlIGZvciBjaGlsZHJlbiBhbmQgYWRvbGVzY2VudHMpLCBpbXByb3ZlbWVudHMgYmV0d2VlbiBwcmUtdHJlYXRtZW50IGFuZCBmb2xsb3ctdXAgd2VyZSBmb3VuZC4gSW50ZW5zaXZlIEVSUCBpbiBncm91cCBmb3JtYXQgaXMgcHJvbWlzaW5nIGFzIGEgZmVhc2libGUgdHJlYXRtZW50IHRvIGltcHJvdmUgYm90aCB0aWMgc2V2ZXJpdHkgYXMgd2VsbCBhcyBxdWFsaXR5IG9mIGxpZmUuIExhcmdlciBjb250cm9sbGVkIHRyaWFscyBhcmUgbmVlZGVkIHRvIGVzdGFibGlzaCBpdHMgZWZmZWN0aXZlbmVzcy5Db3B5cmlnaHQgwqkgMjAyMCwgVGhlIEF1dGhvcihzKS4iLCJpc3N1ZSI6IjMiLCJ2b2x1bWUiOiIzMCIsImNvbnRhaW5lci10aXRsZS1zaG9ydCI6IkV1ciBDaGlsZCBBZG9sZXNjIFBzeWNoaWF0cnkifSwiaXNUZW1wb3JhcnkiOmZhbHNlfV19&quot;,&quot;citationItems&quot;:[{&quot;id&quot;:&quot;d857016e-12c0-3403-bbfa-85248421ae74&quot;,&quot;itemData&quot;:{&quot;type&quot;:&quot;article-journal&quot;,&quot;id&quot;:&quot;d857016e-12c0-3403-bbfa-85248421ae74&quot;,&quot;title&quot;:&quot;Tackle your Tics: pilot findings of a brief, intensive group-based exposure therapy program for children with tic disorders&quot;,&quot;groupId&quot;:&quot;07d62ac1-5aa8-39af-b49e-52d2088ac571&quot;,&quot;author&quot;:[{&quot;family&quot;:&quot;Heijerman-Holtgrefe&quot;,&quot;given&quot;:&quot;A P&quot;,&quot;parse-names&quot;:false,&quot;dropping-particle&quot;:&quot;&quot;,&quot;non-dropping-particle&quot;:&quot;&quot;},{&quot;family&quot;:&quot;Verdellen&quot;,&quot;given&quot;:&quot;C W J&quot;,&quot;parse-names&quot;:false,&quot;dropping-particle&quot;:&quot;&quot;,&quot;non-dropping-particle&quot;:&quot;&quot;},{&quot;family&quot;:&quot;Griendt&quot;,&quot;given&quot;:&quot;J M T M&quot;,&quot;parse-names&quot;:false,&quot;dropping-particle&quot;:&quot;&quot;,&quot;non-dropping-particle&quot;:&quot;van de&quot;},{&quot;family&quot;:&quot;Beljaars&quot;,&quot;given&quot;:&quot;L P L&quot;,&quot;parse-names&quot;:false,&quot;dropping-particle&quot;:&quot;&quot;,&quot;non-dropping-particle&quot;:&quot;&quot;},{&quot;family&quot;:&quot;Kan&quot;,&quot;given&quot;:&quot;K J&quot;,&quot;parse-names&quot;:false,&quot;dropping-particle&quot;:&quot;&quot;,&quot;non-dropping-particle&quot;:&quot;&quot;},{&quot;family&quot;:&quot;Cath&quot;,&quot;given&quot;:&quot;D&quot;,&quot;parse-names&quot;:false,&quot;dropping-particle&quot;:&quot;&quot;,&quot;non-dropping-particle&quot;:&quot;&quot;},{&quot;family&quot;:&quot;Hoekstra&quot;,&quot;given&quot;:&quot;P J&quot;,&quot;parse-names&quot;:false,&quot;dropping-particle&quot;:&quot;&quot;,&quot;non-dropping-particle&quot;:&quot;&quot;},{&quot;family&quot;:&quot;Huyser&quot;,&quot;given&quot;:&quot;C&quot;,&quot;parse-names&quot;:false,&quot;dropping-particle&quot;:&quot;&quot;,&quot;non-dropping-particle&quot;:&quot;&quot;},{&quot;family&quot;:&quot;Utens&quot;,&quot;given&quot;:&quot;E M W J&quot;,&quot;parse-names&quot;:false,&quot;dropping-particle&quot;:&quot;&quot;,&quot;non-dropping-particle&quot;:&quot;&quot;}],&quot;container-title&quot;:&quot;European Child and Adolescent Psychiatry&quot;,&quot;DOI&quot;:&quot;https://dx.doi.org/10.1007/s00787-020-01532-5&quot;,&quot;URL&quot;:&quot;http://www.springerlink.com/content/1018-8827http://ovidsp.ovid.com/ovidweb.cgi?T=JS&amp;PAGE=reference&amp;D=emed22&amp;NEWS=N&amp;AN=2005006947&quot;,&quot;issued&quot;:{&quot;date-parts&quot;:[[2021]]},&quot;page&quot;:&quot;461-473&quot;,&quot;abstract&quot;:&quot;Tourette syndrome (TS) and other chronic tic disorders (CTD) are prevalent neurodevelopmental disorders, which can have a huge burden on families and society. Behavioral treatment is a first-line intervention for tic disorders. Despite demonstrated efficacy, tic reduction and utilization rates of behavioral treatment remain relatively low. Patient associations point to an urgent need for easy-to-undergo treatments that focus both on tic reduction and improvement of quality of life. To enhance treatment outcome and overcome treatment barriers, this pilot study's aim was to investigate the feasibility and preliminary results of a brief, intensive group-based treatment. Tackle your Tics is a 4-day intensive and comprehensive group-based program for children and adolescents (9-17 years) with a tic disorder, consisting of exposure and response prevention (ERP) treatment and additional supporting components, such as coping strategies, relaxing activities and parent support. Assessments were performed pre- and post-treatment and at 2 months follow-up, to test outcomes on tic severity and quality of life, and explore premonitory urges, emotional and behavioral functioning and treatment satisfaction (N = 14, of whom 13 completed the treatment). Parents and children rated this treatment positive on a treatment satisfaction questionnaire. On tic severity (Yale Global Tic Severity Scale) and quality of life (Gilles de la Tourette Syndrome Quality of Life Scale for children and adolescents), improvements between pre-treatment and follow-up were found. Intensive ERP in group format is promising as a feasible treatment to improve both tic severity as well as quality of life. Larger controlled trials are needed to establish its effectiveness.Copyright © 2020, The Author(s).&quot;,&quot;issue&quot;:&quot;3&quot;,&quot;volume&quot;:&quot;30&quot;,&quot;container-title-short&quot;:&quot;Eur Child Adolesc Psychiatry&quot;},&quot;isTemporary&quot;:false}]},{&quot;citationID&quot;:&quot;MENDELEY_CITATION_8cc7f729-4a64-4d75-bd2c-6ee26e9deaeb&quot;,&quot;properties&quot;:{&quot;noteIndex&quot;:0},&quot;isEdited&quot;:false,&quot;manualOverride&quot;:{&quot;isManuallyOverridden&quot;:false,&quot;citeprocText&quot;:&quot;(64)&quot;,&quot;manualOverrideText&quot;:&quot;&quot;},&quot;citationTag&quot;:&quot;MENDELEY_CITATION_v3_eyJjaXRhdGlvbklEIjoiTUVOREVMRVlfQ0lUQVRJT05fOGNjN2Y3MjktNGE2NC00ZDc1LWJkMmMtNmVlMjZlOWRlYWViIiwicHJvcGVydGllcyI6eyJub3RlSW5kZXgiOjB9LCJpc0VkaXRlZCI6ZmFsc2UsIm1hbnVhbE92ZXJyaWRlIjp7ImlzTWFudWFsbHlPdmVycmlkZGVuIjpmYWxzZSwiY2l0ZXByb2NUZXh0IjoiKDY0KSIsIm1hbnVhbE92ZXJyaWRlVGV4dCI6IiJ9LCJjaXRhdGlvbkl0ZW1zIjpbeyJpZCI6Ijc5NWM4ZGQxLWE3MmUtMzAxNi1iMTJkLTkzMmNhN2FjYzkxMyIsIml0ZW1EYXRhIjp7InR5cGUiOiJhcnRpY2xlLWpvdXJuYWwiLCJpZCI6Ijc5NWM4ZGQxLWE3MmUtMzAxNi1iMTJkLTkzMmNhN2FjYzkxMyIsInRpdGxlIjoiUHJlZGljdG9ycyBvZiB0aGVyYXBldXRpYyB0cmVhdG1lbnQgb3V0Y29tZSBpbiBhZG9sZXNjZW50IGNocm9uaWMgdGljIGRpc29yZGVycyIsImdyb3VwSWQiOiIwN2Q2MmFjMS01YWE4LTM5YWYtYjQ5ZS01MmQyMDg4YWM1NzEiLCJhdXRob3IiOlt7ImZhbWlseSI6Ik5pc3NlbiIsImdpdmVuIjoiSiBCIiwicGFyc2UtbmFtZXMiOmZhbHNlLCJkcm9wcGluZy1wYXJ0aWNsZSI6IiIsIm5vbi1kcm9wcGluZy1wYXJ0aWNsZSI6IiJ9LHsiZmFtaWx5IjoiUGFybmVyIiwiZ2l2ZW4iOiJFIFQiLCJwYXJzZS1uYW1lcyI6ZmFsc2UsImRyb3BwaW5nLXBhcnRpY2xlIjoiIiwibm9uLWRyb3BwaW5nLXBhcnRpY2xlIjoiIn0seyJmYW1pbHkiOiJUaG9tc2VuIiwiZ2l2ZW4iOiJQIEgiLCJwYXJzZS1uYW1lcyI6ZmFsc2UsImRyb3BwaW5nLXBhcnRpY2xlIjoiIiwibm9uLWRyb3BwaW5nLXBhcnRpY2xlIjoiIn1dLCJjb250YWluZXItdGl0bGUiOiJCSlBzeWNoIE9wZW4iLCJET0kiOiIxMC4xMTkyL2Jqby4yMDE5LjU2IiwiUE1JRCI6IjMxNDA5NDMwIiwiaXNzdWVkIjp7ImRhdGUtcGFydHMiOltbMjAxOV1dfSwicGFnZSI6ImU3NC0iLCJhYnN0cmFjdCI6IkJBQ0tHUk9VTkQ6IENocm9uaWMgdGljIGRpc29yZGVycyBtYXkgaGF2ZSBhIG1ham9yIGltcGFjdCBvbiBhIGNoaWxkJ3MgZnVuY3Rpb24uIEEgc2lnbmlmaWNhbnQgZWZmZWN0IGhhcyBiZWVuIHNob3duIGZvciBjb21iaW5lZCBoYWJpdCByZXZlcnNhbCB0cmFpbmluZyAoSFJUKSBhbmQgZXhwb3N1cmUgcmVzcG9uc2UgcHJldmVudGlvbiAoRVJQKSB0cmVhdG1lbnQgZGVsaXZlcmVkIGluIGFuIGluZGl2aWR1YWwgYW5kIGdyb3VwIHNldHRpbmcuIEFJTVM6IFRoZSBwcmVzZW50IHN0dWR5IGV4YW1pbmVzIHByZWRpY3RvcnMgYW5kIG1vZGVyYXRvcnMgb2YgdHJlYXRtZW50IG91dGNvbWUgYWZ0ZXIgYW4gYWN1dGUgdGhlcmFwZXV0aWMgaW50ZXJ2ZW50aW9uLiBNRVRIT0Q6IEZpZnR5LW5pbmUgY2hpbGRyZW4gYW5kIGFkb2xlc2NlbnRzIHdlcmUgcmFuZG9taXNlZCB0byBtYW51YWxpc2VkIHRyZWF0bWVudCBjb21iaW5pbmcgSFJUIGFuZCBFUlAgYXMgaW5kaXZpZHVhbCBvciBncm91cCB0cmFpbmluZy4gQWdlLCBnZW5kZXIsIGJhc2VsaW5lIHRpYyBzZXZlcml0eSwgUHJlbW9uaXRvcnkgVXJnZSBmb3IgVGljcyBTY2FsZSAoUFVUUykgc2NvcmVzLCBCZWxpZWZzIGFib3V0IFRpYyBTY2FsZSAoQkFUUykgc2NvcmVzLCBoeXBlcnNlbnNpdGl2aXR5IGFuZCBjb21vcmJpZCBwc3ljaGlhdHJpYyBzeW1wdG9tcyB3ZXJlIGFuYWx5c2VkIGFzIHByZWRpY3RvcnMgb2Ygb3V0Y29tZS4gVGhlIHNhbWUgY2hhcmFjdGVyaXN0aWNzIHdlcmUgZXhhbWluZWQgYXMgbW9kZXJhdG9ycyBmb3IgaW5kaXZpZHVhbCB2ZXJzdXMgZ3JvdXAgdHJlYXRtZW50LiBPdXRjb21lIG1lYXN1cmVzIGluY2x1ZGVkIHRoZSBjaGFuZ2UgaW4gdG90YWwgdGljIHNldmVyaXR5IChUVFMpIHNjb3JlIGFuZCBmdW5jdGlvbmFsIGltcGFpcm1lbnQgc2NvcmUgKGFzIG1lYXN1cmVkIGJ5IHRoZSBZYWxlIEdsb2JhbCBUaWMgU2V2ZXJpdHkgU2NhbGUgKFlHVFNTKSkuIFJFU1VMVFM6IEludGVybmFsaXNpbmcgc3ltcHRvbXMgcHJlZGljdGVkIGEgbGVzc2VyIGRlY3JlYXNlIGluIGZ1bmN0aW9uYWwgaW1wYWlybWVudC4gVGhlIG9jY3VycmVuY2Ugb2Ygb2JzZXNzaXZlLWNvbXB1bHNpdmUgc3ltcHRvbXMgcHJlZGljdGVkIGEgbGFyZ2VyIGRlY3JlYXNlIGluIFRUUy4gQmFzZWxpbmUgaHlwZXJzZW5zaXRpdml0eSBhbmQgaGlnaCBzY29yZXMgb24gZGVwcmVzc2l2ZSBzeW1wdG9tcyBmYXZvdXJlZCBpbmRpdmlkdWFsIHRyZWF0bWVudC4gSGlnaCBiYXNlbGluZSBQVVRTIHNjb3JlcyBmYXZvdXJlZCBncm91cCB0aGVyYXB5LiBDT05DTFVTSU9OUzogVGhpcyBpcyB0aGUgZmlyc3Qgc3R1ZHkgZXhhbWluaW5nIGZhY3RvcnMgcHJlZGljdGluZyBhbmQgbW9kZXJhdGluZyBwZXJjZWl2ZWQgZnVuY3Rpb25hbCBpbXBhaXJtZW50IGZvbGxvd2luZyBhIHRoZXJhcGV1dGljIGludGVydmVudGlvbi4gVGhlIHN0dWR5IGFkZHMgdG8gdGhlIGtub3dsZWRnZSBvbiBwcmVkaWN0b3JzIGFuZCBtb2RlcmF0b3JzIG9mIFRUUy4gRnVydGhlcm1vcmUsIHRoaXMgaXMgdGhlIGZpcnN0IHN0dWR5IGV4YW1pbmluZyB0aGUgZWZmZWN0IG9mIHRoZSBCQVRTIHNjb3JlLiBUaGUgc3R1ZHkgcG9pbnRzIHRvd2FyZHMgZmFjdG9ycyB0aGF0IG1heSBpbmZsdWVuY2UgdHJlYXRtZW50IG91dGNvbWUgYW5kIHRoYXQgcmVxdWlyZSBjb25zaWRlcmF0aW9uIHdoZW4gY2hvb3Npbmcgc3VwcGxlbWVudGFsIHRyZWF0bWVudC4gVGhpcyBhcHBsaWVzIHRvIGNvbW9yYmlkIGFueGlldHkgYW5kIGRlcHJlc3NpdmUgc3ltcHRvbXMsIGFuZCB0byB0aGUgY2hpbGQncyBiZWxpZWYgYWJvdXQgdGhlaXIgdGljcyBhbmQgcHJlbW9uaXRvcnkgdXJnZS4gREVDTEFSQVRJT04gT0YgSU5URVJFU1Q6IE5vbmUuIiwiaXNzdWUiOiI1Iiwidm9sdW1lIjoiNSIsImNvbnRhaW5lci10aXRsZS1zaG9ydCI6IkJKUHN5Y2ggT3BlbiJ9LCJpc1RlbXBvcmFyeSI6ZmFsc2V9XX0=&quot;,&quot;citationItems&quot;:[{&quot;id&quot;:&quot;795c8dd1-a72e-3016-b12d-932ca7acc913&quot;,&quot;itemData&quot;:{&quot;type&quot;:&quot;article-journal&quot;,&quot;id&quot;:&quot;795c8dd1-a72e-3016-b12d-932ca7acc913&quot;,&quot;title&quot;:&quot;Predictors of therapeutic treatment outcome in adolescent chronic tic disorders&quot;,&quot;groupId&quot;:&quot;07d62ac1-5aa8-39af-b49e-52d2088ac571&quot;,&quot;author&quot;:[{&quot;family&quot;:&quot;Nissen&quot;,&quot;given&quot;:&quot;J B&quot;,&quot;parse-names&quot;:false,&quot;dropping-particle&quot;:&quot;&quot;,&quot;non-dropping-particle&quot;:&quot;&quot;},{&quot;family&quot;:&quot;Parner&quot;,&quot;given&quot;:&quot;E T&quot;,&quot;parse-names&quot;:false,&quot;dropping-particle&quot;:&quot;&quot;,&quot;non-dropping-particle&quot;:&quot;&quot;},{&quot;family&quot;:&quot;Thomsen&quot;,&quot;given&quot;:&quot;P H&quot;,&quot;parse-names&quot;:false,&quot;dropping-particle&quot;:&quot;&quot;,&quot;non-dropping-particle&quot;:&quot;&quot;}],&quot;container-title&quot;:&quot;BJPsych Open&quot;,&quot;DOI&quot;:&quot;10.1192/bjo.2019.56&quot;,&quot;PMID&quot;:&quot;31409430&quot;,&quot;issued&quot;:{&quot;date-parts&quot;:[[2019]]},&quot;page&quot;:&quot;e74-&quot;,&quot;abstract&quot;:&quot;BACKGROUND: Chronic tic disorders may have a major impact on a child's function. A significant effect has been shown for combined habit reversal training (HRT) and exposure response prevention (ERP) treatment delivered in an individual and group setting. AIMS: The present study examines predictors and moderators of treatment outcome after an acute therapeutic intervention. METHOD: Fifty-nine children and adolescents were randomised to manualised treatment combining HRT and ERP as individual or group training. Age, gender, baseline tic severity, Premonitory Urge for Tics Scale (PUTS) scores, Beliefs about Tic Scale (BATS) scores, hypersensitivity and comorbid psychiatric symptoms were analysed as predictors of outcome. The same characteristics were examined as moderators for individual versus group treatment. Outcome measures included the change in total tic severity (TTS) score and functional impairment score (as measured by the Yale Global Tic Severity Scale (YGTSS)). RESULTS: Internalising symptoms predicted a lesser decrease in functional impairment. The occurrence of obsessive-compulsive symptoms predicted a larger decrease in TTS. Baseline hypersensitivity and high scores on depressive symptoms favoured individual treatment. High baseline PUTS scores favoured group therapy. CONCLUSIONS: This is the first study examining factors predicting and moderating perceived functional impairment following a therapeutic intervention. The study adds to the knowledge on predictors and moderators of TTS. Furthermore, this is the first study examining the effect of the BATS score. The study points towards factors that may influence treatment outcome and that require consideration when choosing supplemental treatment. This applies to comorbid anxiety and depressive symptoms, and to the child's belief about their tics and premonitory urge. DECLARATION OF INTEREST: None.&quot;,&quot;issue&quot;:&quot;5&quot;,&quot;volume&quot;:&quot;5&quot;,&quot;container-title-short&quot;:&quot;BJPsych Open&quot;},&quot;isTemporary&quot;:false}]},{&quot;citationID&quot;:&quot;MENDELEY_CITATION_790f84d9-55f9-4d99-89cf-0268b2e16308&quot;,&quot;properties&quot;:{&quot;noteIndex&quot;:0},&quot;isEdited&quot;:false,&quot;manualOverride&quot;:{&quot;isManuallyOverridden&quot;:false,&quot;citeprocText&quot;:&quot;(65)&quot;,&quot;manualOverrideText&quot;:&quot;&quot;},&quot;citationTag&quot;:&quot;MENDELEY_CITATION_v3_eyJjaXRhdGlvbklEIjoiTUVOREVMRVlfQ0lUQVRJT05fNzkwZjg0ZDktNTVmOS00ZDk5LTg5Y2YtMDI2OGIyZTE2MzA4IiwicHJvcGVydGllcyI6eyJub3RlSW5kZXgiOjB9LCJpc0VkaXRlZCI6ZmFsc2UsIm1hbnVhbE92ZXJyaWRlIjp7ImlzTWFudWFsbHlPdmVycmlkZGVuIjpmYWxzZSwiY2l0ZXByb2NUZXh0IjoiKDY1KSIsIm1hbnVhbE92ZXJyaWRlVGV4dCI6IiJ9LCJjaXRhdGlvbkl0ZW1zIjpbeyJpZCI6IjVkMjFmMGZiLTNlN2YtMzhlZC1hNTNkLWQ3Y2M4YTg3MGJiZCIsIml0ZW1EYXRhIjp7InR5cGUiOiJhcnRpY2xlLWpvdXJuYWwiLCJpZCI6IjVkMjFmMGZiLTNlN2YtMzhlZC1hNTNkLWQ3Y2M4YTg3MGJiZCIsInRpdGxlIjoiTW9kZXJhdG9ycyBhbmQgcHJlZGljdG9ycyBvZiByZXNwb25zZSB0byBiZWhhdmlvciB0aGVyYXB5IGZvciB0aWNzIGluIFRvdXJldHRlIHN5bmRyb21lIiwiZ3JvdXBJZCI6IjA3ZDYyYWMxLTVhYTgtMzlhZi1iNDllLTUyZDIwODhhYzU3MSIsImF1dGhvciI6W3siZmFtaWx5IjoiU3VraG9kb2xza3kiLCJnaXZlbiI6IkQgRyIsInBhcnNlLW5hbWVzIjpmYWxzZSwiZHJvcHBpbmctcGFydGljbGUiOiIiLCJub24tZHJvcHBpbmctcGFydGljbGUiOiIifSx7ImZhbWlseSI6Ildvb2RzIiwiZ2l2ZW4iOiJEIFciLCJwYXJzZS1uYW1lcyI6ZmFsc2UsImRyb3BwaW5nLXBhcnRpY2xlIjoiIiwibm9uLWRyb3BwaW5nLXBhcnRpY2xlIjoiIn0seyJmYW1pbHkiOiJQaWFjZW50aW5pIiwiZ2l2ZW4iOiJKIiwicGFyc2UtbmFtZXMiOmZhbHNlLCJkcm9wcGluZy1wYXJ0aWNsZSI6IiIsIm5vbi1kcm9wcGluZy1wYXJ0aWNsZSI6IiJ9LHsiZmFtaWx5IjoiV2lsaGVsbSIsImdpdmVuIjoiUyIsInBhcnNlLW5hbWVzIjpmYWxzZSwiZHJvcHBpbmctcGFydGljbGUiOiIiLCJub24tZHJvcHBpbmctcGFydGljbGUiOiIifSx7ImZhbWlseSI6IlBldGVyc29uIiwiZ2l2ZW4iOiJBIEwiLCJwYXJzZS1uYW1lcyI6ZmFsc2UsImRyb3BwaW5nLXBhcnRpY2xlIjoiIiwibm9uLWRyb3BwaW5nLXBhcnRpY2xlIjoiIn0seyJmYW1pbHkiOiJLYXRzb3ZpY2giLCJnaXZlbiI6IkwiLCJwYXJzZS1uYW1lcyI6ZmFsc2UsImRyb3BwaW5nLXBhcnRpY2xlIjoiIiwibm9uLWRyb3BwaW5nLXBhcnRpY2xlIjoiIn0seyJmYW1pbHkiOiJEeml1cmEiLCJnaXZlbiI6IkoiLCJwYXJzZS1uYW1lcyI6ZmFsc2UsImRyb3BwaW5nLXBhcnRpY2xlIjoiIiwibm9uLWRyb3BwaW5nLXBhcnRpY2xlIjoiIn0seyJmYW1pbHkiOiJXYWxrdXAiLCJnaXZlbiI6IkogVCIsInBhcnNlLW5hbWVzIjpmYWxzZSwiZHJvcHBpbmctcGFydGljbGUiOiIiLCJub24tZHJvcHBpbmctcGFydGljbGUiOiIifSx7ImZhbWlseSI6IlNjYWhpbGwiLCJnaXZlbiI6IkwiLCJwYXJzZS1uYW1lcyI6ZmFsc2UsImRyb3BwaW5nLXBhcnRpY2xlIjoiIiwibm9uLWRyb3BwaW5nLXBhcnRpY2xlIjoiIn1dLCJjb250YWluZXItdGl0bGUiOiJOZXVyb2xvZ3kiLCJET0kiOiJodHRwczovL2R4LmRvaS5vcmcvMTAuMTIxMi9XTkwuMDAwMDAwMDAwMDAwMzcxMCIsIlVSTCI6Imh0dHA6Ly93d3cubmV1cm9sb2d5Lm9yZ2h0dHA6Ly9vdmlkc3Aub3ZpZC5jb20vb3ZpZHdlYi5jZ2k/VD1KUyZQQUdFPXJlZmVyZW5jZSZEPWVtZWQxOCZORVdTPU4mQU49NjE0ODU3NDcxIiwiaXNzdWVkIjp7ImRhdGUtcGFydHMiOltbMjAxN11dfSwicGFnZSI6IjEwMjktMTAzNiIsImFic3RyYWN0IjoiT2JqZWN0aXZlOiBUbyBleGFtaW5lIG1vZGVyYXRvcnMgYW5kIHByZWRpY3RvcnMgb2YgcmVzcG9uc2UgdG8gYmVoYXZpb3IgdGhlcmFweSBmb3IgdGljcyBpbiBjaGlsZHJlbiBhbmQgYWR1bHRzIHdpdGggVG91cmV0dGUgc3luZHJvbWUgYW5kIGNocm9uaWMgdGljIGRpc29yZGVycy4gTWV0aG9kKHMpOiBEYXRhIGZyb20gMiAxMC13ZWVrLCBtdWx0aXNpdGUgc3R1ZGllcyAoMSBpbiBjaGlsZHJlbiBhbmQgMSBpbiBhZHVsdHM7IHRvdGFsIG4gNSAyNDgpIGNvbXBhcmluZyBjb21wcmVoZW5zaXZlIGJlaGF2aW9yYWwgaW50ZXJ2ZW50aW9uIGZvciB0aWNzIChDQklUKSB0byBwc3ljaG9lZHVjYXRpb24gYW5kIHN1cHBvcnRpdmUgdGhlcmFweSAoUFNUKSB3ZXJlIGNvbWJpbmVkIGZvciBtb2RlcmF0b3IgYW5hbHlzZXMuIFBhcnRpY2lwYW50cyAoMTc3IG1hbGUsIDcxIGZlbWFsZSkgaGFkIGEgbWVhbiBhZ2Ugb2YgMjEuNSA2IDEzLjkgeWVhcnMgKHJhbmdlIDktNjkpLiBEZW1vZ3JhcGhpYyBhbmQgY2xpbmljYWwgY2hhcmFjdGVyaXN0aWNzLCBiYXNlbGluZSB0aWMtc3VwcHJlc3NpbmcgbWVkaWNhdGlvbiwgYW5kIGNvLW9jY3VycmluZyBwc3ljaGlhdHJpYyBkaXNvcmRlcnMgd2VyZSB0ZXN0ZWQgYXMgcG90ZW50aWFsIG1vZGVyYXRvcnMgZm9yIENCSVQgdnMgUFNUIG9yIHByZWRpY3RvcnMgb2Ygb3V0Y29tZSByZWdhcmRsZXNzIG9mIHRyZWF0bWVudCBhc3NpZ25tZW50LiBNYWluIG91dGNvbWVzIG1lYXN1cmVzIHdlcmUgdGhlIFlhbGUgR2xvYmFsIFRpYyBTZXZlcml0eSBTY2FsZSBUb3RhbCBUaWMgc2NvcmUgYW5kIHRoZSBDbGluaWNhbCBHbG9iYWwgSW1wcmVzc2lvbi1JbXByb3ZlbWVudCBzY29yZSBhc3Nlc3NlZCBieSBtYXNrZWQgZXZhbHVhdG9ycy4gUmVzdWx0KHMpOiBUaGUgcHJlc2VuY2Ugb2YgdGljIG1lZGljYXRpb24gc2lnbmlmaWNhbnRseSBtb2RlcmF0ZWQgcmVzcG9uc2UgdG8gQ0JJVCB2cyBQU1QgKHAgNSAwLjAxKS4gUGFydGljaXBhbnRzIHNob3dlZCB0aWMgcmVkdWN0aW9uIGFmdGVyIENCSVQgcmVnYXJkbGVzcyBvZiB0aWMgbWVkaWNhdGlvbiBzdGF0dXMsIGJ1dCBvbmx5IHBhcnRpY2lwYW50cyByZWNlaXZpbmcgdGljIG1lZGljYXRpb24gc2hvd2VkIHJlZHVjdGlvbiBvZiB0aWNzIGFmdGVyIFBTVC4gQ28tb2NjdXJyaW5nIHBzeWNoaWF0cmljIGRpc29yZGVycywgYWdlLCBzZXgsIGZhbWlseSBmdW5jdGlvbmluZywgdGljIGNoYXJhY3RlcmlzdGljcywgYW5kIHRyZWF0bWVudCBleHBlY3RhbmN5IGRpZCBub3QgbW9kZXJhdGUgcmVzcG9uc2UuIEFjcm9zcyBib3RoIHRyZWF0bWVudHMsIGdyZWF0ZXIgdGljIHNldmVyaXR5IChwIDUgMC4wMDUpIGFuZCBwb3NpdGl2ZSBwYXJ0aWNpcGFudCBleHBlY3RhbmN5IChwIDUgMC4wMSkgcHJlZGljdGVkIGdyZWF0ZXIgdGljIGltcHJvdmVtZW50LiBBbnhpZXR5IGRpc29yZGVycyAocCA1IDAuMDQyKSBhbmQgcHJlbW9uaXRvcnkgdXJnZSBzZXZlcml0eSAocCA1IDAuMDA1KSBwcmVkaWN0ZWQgbG93ZXIgdGljIHJlZHVjdGlvbi4gQ29uY2x1c2lvbihzKTogUHJlc2VuY2Ugb2YgY28tb2NjdXJyaW5nIGF0dGVudGlvbi1kZWZpY2l0L2h5cGVyYWN0aXZpdHkgZGlzb3JkZXIsIG9ic2Vzc2l2ZWNvbXB1bHNpdmUgZGlzb3JkZXIsIG9yIGFueGlldHkgZGlzb3JkZXJzIGRpZCBub3QgbW9kZXJhdGUgcmVzcG9uc2UgdG8gQ0JJVC4gQWx0aG91Z2ggcGFydGljaXBhbnRzIG9uIHRpYyBtZWRpY2F0aW9uIHNob3dlZCBpbXByb3ZlbWVudCBhZnRlciBDQklULCB0aGUgZGlmZmVyZW5jZSBiZXR3ZWVuIENCSVQgYW5kIFBTVCB3YXMgZ3JlYXRlciBmb3IgcGFydGljaXBhbnRzIHdobyB3ZXJlIG5vdCBvbiB0aWMtc3VwcHJlc3NpbmcgbWVkaWNhdGlvbi4gQ2xpbmljYWxUcmlhbHMuZ292IGlkZW50aWZpZXJzOiBUaGUgY2hpbGQgYW5kIGFkdWx0IENCSVQgc3R1ZGllcyBhcmUgbGlzdGVkIG9uIGNsaW5pY2FsIHRyaWFscy5nb3YgKE5DVDAwMjE4Nzc3IGFuZCBOQ1QwMDIzMTk4NSwgcmVzcGVjdGl2ZWx5KS4gQ2xhc3NpZmljYXRpb24gb2YgZXZpZGVuY2U6IFRoaXMgc3R1ZHkgcHJvdmlkZXMgQ2xhc3MgSSBldmlkZW5jZSB0aGF0IENCSVQgaXMgZWZmZWN0aXZlIGluIHJlZHVjaW5nIHRpYyBzZXZlcml0eSBhY3Jvc3Mgc3ViZ3JvdXBzIG9mIHBhdGllbnRzIHdpdGggY2hyb25pYyB0aWMgZGlzb3JkZXJzLCBhbHRob3VnaCB0aGUgZGlmZmVyZW5jZSBiZXR3ZWVuIHRyZWF0bWVudHMgd2FzIHNtYWxsZXIgZm9yIHBhcnRpY2lwYW50cyBvbiB0aWMtc3VwcHJlc3NpbmcgbWVkaWNhdGlvbnMsIHN1Z2dlc3RpbmcgcmVkdWNlZCBlZmZpY2FjeSBpbiB0aGlzIHN1Ymdyb3VwLkNvcHlyaWdodCDCqSBBbWVyaWNhbiBBY2FkZW15IG9mIE5ldXJvbG9neS4iLCJpc3N1ZSI6IjExIiwidm9sdW1lIjoiODgiLCJjb250YWluZXItdGl0bGUtc2hvcnQiOiJOZXVyb2xvZ3kifSwiaXNUZW1wb3JhcnkiOmZhbHNlfV19&quot;,&quot;citationItems&quot;:[{&quot;id&quot;:&quot;5d21f0fb-3e7f-38ed-a53d-d7cc8a870bbd&quot;,&quot;itemData&quot;:{&quot;type&quot;:&quot;article-journal&quot;,&quot;id&quot;:&quot;5d21f0fb-3e7f-38ed-a53d-d7cc8a870bbd&quot;,&quot;title&quot;:&quot;Moderators and predictors of response to behavior therapy for tics in Tourette syndrome&quot;,&quot;groupId&quot;:&quot;07d62ac1-5aa8-39af-b49e-52d2088ac571&quot;,&quot;author&quot;:[{&quot;family&quot;:&quot;Sukhodolsky&quot;,&quot;given&quot;:&quot;D G&quot;,&quot;parse-names&quot;:false,&quot;dropping-particle&quot;:&quot;&quot;,&quot;non-dropping-particle&quot;:&quot;&quot;},{&quot;family&quot;:&quot;Woods&quot;,&quot;given&quot;:&quot;D W&quot;,&quot;parse-names&quot;:false,&quot;dropping-particle&quot;:&quot;&quot;,&quot;non-dropping-particle&quot;:&quot;&quot;},{&quot;family&quot;:&quot;Piacentini&quot;,&quot;given&quot;:&quot;J&quot;,&quot;parse-names&quot;:false,&quot;dropping-particle&quot;:&quot;&quot;,&quot;non-dropping-particle&quot;:&quot;&quot;},{&quot;family&quot;:&quot;Wilhelm&quot;,&quot;given&quot;:&quot;S&quot;,&quot;parse-names&quot;:false,&quot;dropping-particle&quot;:&quot;&quot;,&quot;non-dropping-particle&quot;:&quot;&quot;},{&quot;family&quot;:&quot;Peterson&quot;,&quot;given&quot;:&quot;A L&quot;,&quot;parse-names&quot;:false,&quot;dropping-particle&quot;:&quot;&quot;,&quot;non-dropping-particle&quot;:&quot;&quot;},{&quot;family&quot;:&quot;Katsovich&quot;,&quot;given&quot;:&quot;L&quot;,&quot;parse-names&quot;:false,&quot;dropping-particle&quot;:&quot;&quot;,&quot;non-dropping-particle&quot;:&quot;&quot;},{&quot;family&quot;:&quot;Dziura&quot;,&quot;given&quot;:&quot;J&quot;,&quot;parse-names&quot;:false,&quot;dropping-particle&quot;:&quot;&quot;,&quot;non-dropping-particle&quot;:&quot;&quot;},{&quot;family&quot;:&quot;Walkup&quot;,&quot;given&quot;:&quot;J T&quot;,&quot;parse-names&quot;:false,&quot;dropping-particle&quot;:&quot;&quot;,&quot;non-dropping-particle&quot;:&quot;&quot;},{&quot;family&quot;:&quot;Scahill&quot;,&quot;given&quot;:&quot;L&quot;,&quot;parse-names&quot;:false,&quot;dropping-particle&quot;:&quot;&quot;,&quot;non-dropping-particle&quot;:&quot;&quot;}],&quot;container-title&quot;:&quot;Neurology&quot;,&quot;DOI&quot;:&quot;https://dx.doi.org/10.1212/WNL.0000000000003710&quot;,&quot;URL&quot;:&quot;http://www.neurology.orghttp://ovidsp.ovid.com/ovidweb.cgi?T=JS&amp;PAGE=reference&amp;D=emed18&amp;NEWS=N&amp;AN=614857471&quot;,&quot;issued&quot;:{&quot;date-parts&quot;:[[2017]]},&quot;page&quot;:&quot;1029-1036&quot;,&quot;abstract&quot;:&quot;Objective: To examine moderators and predictors of response to behavior therapy for tics in children and adults with Tourette syndrome and chronic tic disorders. Method(s): Data from 2 10-week, multisite studies (1 in children and 1 in adults; total n 5 248) comparing comprehensive behavioral intervention for tics (CBIT) to psychoeducation and supportive therapy (PST) were combined for moderator analyses. Participants (177 male, 71 female) had a mean age of 21.5 6 13.9 years (range 9-69). Demographic and clinical characteristics, baseline tic-suppressing medication, and co-occurring psychiatric disorders were tested as potential moderators for CBIT vs PST or predictors of outcome regardless of treatment assignment. Main outcomes measures were the Yale Global Tic Severity Scale Total Tic score and the Clinical Global Impression-Improvement score assessed by masked evaluators. Result(s): The presence of tic medication significantly moderated response to CBIT vs PST (p 5 0.01). Participants showed tic reduction after CBIT regardless of tic medication status, but only participants receiving tic medication showed reduction of tics after PST. Co-occurring psychiatric disorders, age, sex, family functioning, tic characteristics, and treatment expectancy did not moderate response. Across both treatments, greater tic severity (p 5 0.005) and positive participant expectancy (p 5 0.01) predicted greater tic improvement. Anxiety disorders (p 5 0.042) and premonitory urge severity (p 5 0.005) predicted lower tic reduction. Conclusion(s): Presence of co-occurring attention-deficit/hyperactivity disorder, obsessivecompulsive disorder, or anxiety disorders did not moderate response to CBIT. Although participants on tic medication showed improvement after CBIT, the difference between CBIT and PST was greater for participants who were not on tic-suppressing medication. ClinicalTrials.gov identifiers: The child and adult CBIT studies are listed on clinical trials.gov (NCT00218777 and NCT00231985, respectively). Classification of evidence: This study provides Class I evidence that CBIT is effective in reducing tic severity across subgroups of patients with chronic tic disorders, although the difference between treatments was smaller for participants on tic-suppressing medications, suggesting reduced efficacy in this subgroup.Copyright © American Academy of Neurology.&quot;,&quot;issue&quot;:&quot;11&quot;,&quot;volume&quot;:&quot;88&quot;,&quot;container-title-short&quot;:&quot;Neurology&quot;},&quot;isTemporary&quot;:false}]},{&quot;citationID&quot;:&quot;MENDELEY_CITATION_0f159a1e-76d5-4c6f-ad6c-11b90ed89add&quot;,&quot;properties&quot;:{&quot;noteIndex&quot;:0},&quot;isEdited&quot;:false,&quot;manualOverride&quot;:{&quot;isManuallyOverridden&quot;:false,&quot;citeprocText&quot;:&quot;(23)&quot;,&quot;manualOverrideText&quot;:&quot;&quot;},&quot;citationTag&quot;:&quot;MENDELEY_CITATION_v3_eyJjaXRhdGlvbklEIjoiTUVOREVMRVlfQ0lUQVRJT05fMGYxNTlhMWUtNzZkNS00YzZmLWFkNmMtMTFiOTBlZDg5YWRkIiwicHJvcGVydGllcyI6eyJub3RlSW5kZXgiOjB9LCJpc0VkaXRlZCI6ZmFsc2UsIm1hbnVhbE92ZXJyaWRlIjp7ImlzTWFudWFsbHlPdmVycmlkZGVuIjpmYWxzZSwiY2l0ZXByb2NUZXh0IjoiKDIzKSIsIm1hbnVhbE92ZXJyaWRlVGV4dCI6IiJ9LCJjaXRhdGlvbkl0ZW1zIjpbeyJpZCI6IjMzMmE2MmZjLTBiYzAtMzJmNi1hODFjLTUyN2RiMTcyZDZjNCIsIml0ZW1EYXRhIjp7InR5cGUiOiJhcnRpY2xlLWpvdXJuYWwiLCJpZCI6IjMzMmE2MmZjLTBiYzAtMzJmNi1hODFjLTUyN2RiMTcyZDZjNCIsInRpdGxlIjoiQXJpcGlwcmF6b2xlIGltcHJvdmVzIGFzc29jaWF0ZWQgY29tb3JiaWQgY29uZGl0aW9ucyBpbiBhZGRpdGlvbiB0byB0aWNzIGluIGFkdWx0IHBhdGllbnRzIHdpdGggR2lsbGVzIGRlIGxhIFRvdXJldHRlIFN5bmRyb21lIiwiZ3JvdXBJZCI6IjA3ZDYyYWMxLTVhYTgtMzlhZi1iNDllLTUyZDIwODhhYzU3MSIsImF1dGhvciI6W3siZmFtaWx5IjoiR2VyYXNjaCIsImdpdmVuIjoiUyIsInBhcnNlLW5hbWVzIjpmYWxzZSwiZHJvcHBpbmctcGFydGljbGUiOiIiLCJub24tZHJvcHBpbmctcGFydGljbGUiOiIifSx7ImZhbWlseSI6IkthbmFhbiIsImdpdmVuIjoiQSBTIiwicGFyc2UtbmFtZXMiOmZhbHNlLCJkcm9wcGluZy1wYXJ0aWNsZSI6IiIsIm5vbi1kcm9wcGluZy1wYXJ0aWNsZSI6IiJ9LHsiZmFtaWx5IjoiSmFrdWJvdnNraSIsImdpdmVuIjoiRSIsInBhcnNlLW5hbWVzIjpmYWxzZSwiZHJvcHBpbmctcGFydGljbGUiOiIiLCJub24tZHJvcHBpbmctcGFydGljbGUiOiIifSx7ImZhbWlseSI6Ik11bGxlci1WYWhsIiwiZ2l2ZW4iOiJLIFIiLCJwYXJzZS1uYW1lcyI6ZmFsc2UsImRyb3BwaW5nLXBhcnRpY2xlIjoiIiwibm9uLWRyb3BwaW5nLXBhcnRpY2xlIjoiIn1dLCJjb250YWluZXItdGl0bGUiOiJGcm9udGllcnMgaW4gTmV1cm9zY2llbmNlIiwiRE9JIjoiaHR0cHM6Ly9keC5kb2kub3JnLzEwLjMzODkvZm5pbnMuMjAxNi4wMDQxNiIsIlVSTCI6Imh0dHA6Ly9qb3VybmFsLmZyb250aWVyc2luLm9yZy9hcnRpY2xlLzEwLjMzODkvZm5pbnMuMjAxNi4wMDQxNi9mdWxsaHR0cDovL292aWRzcC5vdmlkLmNvbS9vdmlkd2ViLmNnaT9UPUpTJlBBR0U9cmVmZXJlbmNlJkQ9ZW1lZDE3Jk5FV1M9TiZBTj02MTI3OTM2NDgiLCJpc3N1ZWQiOnsiZGF0ZS1wYXJ0cyI6W1syMDE2XV19LCJwYWdlIjoiNDE2IiwiYWJzdHJhY3QiOiJHaWxsZXMgZGUgbGEgVG91cmV0dGUgU3luZHJvbWUgKEdUUykgaXMgY2hhcmFjdGVyaXplZCBieSBtb3RvciBhbmQgdm9jYWwgdGljcywgYXMgd2VsbCBhcyBhc3NvY2lhdGVkIGNvbW9yYmlkIGNvbmRpdGlvbnMgaW5jbHVkaW5nIG9ic2Vzc2l2ZS1jb21wdWxzaXZlIGRpc29yZGVyIChPQ0QpLCBhdHRlbnRpb24gZGVmaWNpdC9oeXBlcmFjdGl2aXR5IGRpc29yZGVyIChBREhEKSwgZGVwcmVzc2lvbiwgYW5kIGFueGlldHkgd2hpY2ggYXJlIHByZXNlbnQgaW4gYSBzdWJzdGFudGlhbCBudW1iZXIgb2YgcGF0aWVudHMuIEFsdGhvdWdoIHJhbmRvbWl6ZWQgY29udHJvbGxlZCB0cmlhbHMgaW5jbHVkaW5nIGEgbGFyZ2UgbnVtYmVyIG9mIHBhdGllbnRzIGFyZSBzdGlsbCBtaXNzaW5nLCBhcmlwaXByYXpvbGUgaXMgY3VycmVudGx5IGNvbnNpZGVyZWQgYXMgYSBmaXJzdCBjaG9pY2UgZHJ1ZyBmb3IgdGhlIHRyZWF0bWVudCBvZiB0aWNzLiBUaGUgYWltIG9mIHRoaXMgc3R1ZHkgd2FzIHRvIGZ1cnRoZXIgaW52ZXN0aWdhdGUgZWZmaWNhY3kgYW5kIHNhZmV0eSBvZiBhcmlwaXByYXpvbGUgaW4gYSBncm91cCBvZiBkcnVnLWZyZWUsIGFkdWx0IHBhdGllbnRzLiBTcGVjaWZpY2FsbHksIHdlIGludmVzdGlnYXRlZCB0aGUgaW5mbHVlbmNlIG9mIGFyaXBpcHJhem9sZSBvbiB0aWMgc2V2ZXJpdHksIGNvbW9yYmlkaXRpZXMsIHByZW1vbml0b3J5IHVyZ2UgKFBVKSwgYW5kIHF1YWxpdHkgb2YgbGlmZSAoUW9MKS4gTW9yZW92ZXIsIHdlIHdlcmUgaW50ZXJlc3RlZCBpbiB0aGUgZmFjdG9ycyB0aGF0IGluZmx1ZW5jZSBhIHBhdGllbnQncyBkZWNpc2lvbiBpbiBlbGVjdGluZyBmb3Itb3IgYWdhaW5zdC0gcGhhcm1hY29sb2dpY2FsIHRyZWF0bWVudC4gSW4gdGhpcyBwcm9zcGVjdGl2ZSB1bmNvbnRyb2xsZWQgb3Blbi1sYWJlbCBzdHVkeSwgd2UgaW5jbHVkZWQgNDQgcGF0aWVudHMgYW5kIHVzZWQgYSBudW1iZXIgb2YgcmF0aW5nIHNjYWxlcyB0byBhc3Nlc3MgdGljIHNldmVyaXR5LCBQVSwgY29tb3JiaWRpdGllcywgYW5kIFFvTCBhdCBiYXNlbGluZSBhbmQgZHVyaW5nIHRyZWF0bWVudCB3aXRoIGFyaXBpcHJhem9sZS4gRWlnaHRlZW4gb3V0IG9mIGZvcnR5Zm91ciBwYXRpZW50cyBkZWNpZGVkIGZvciB1bmRlcmdvaW5nIHRyZWF0bWVudCBmb3IgdGhlaXIgdGljcyB3aXRoIGFyaXBpcHJhem9sZSBhbmQgY29tcGxldGVkIGZvbGxvdy11cCBhc3Nlc3NtZW50cyBhZnRlciA0LTYgd2Vla3MuIE91ciBtYWpvciBmaW5kaW5ncyB3ZXJlICgxKSBhcmlwaXByYXpvbGUgcmVzdWx0ZWQgaW4gc2lnbmlmaWNhbnQgcmVkdWN0aW9uIG9mIHRpY3MsIGJ1dCBkaWQgbm90IGFmZmVjdCBQVTsgKDIpIGFyaXBpcHJhem9sZSBzaWduaWZpY2FudGx5IGltcHJvdmVkIE9DRCBhbmQgc2hvd2VkIGEgdHJlbmQgdG93YXJkIGltcHJvdmVtZW50IG9mIG90aGVyIGNvbW9yYmlkaXRpZXMgaW5jbHVkaW5nIGRlcHJlc3Npb24sIGFueGlldHksIGFuZCBBREhEOyAoMykgbmVpdGhlciBzZXZlcml0eSBvZiB0aWNzLCBub3IgUFUgb3IgUW9MIGluZmx1ZW5jZWQgcGF0aWVudHMnIGRlY2lzaW9ucyBmb3Igb3IgYWdhaW5zdCB0cmVhdG1lbnQgb2YgdGljcyB3aXRoIGFyaXBpcHJhem9sZTsgaW5zdGVhZCBwYXRpZW50cyB3aXRoIGNvbW9yYmlkIE9DRCB0ZW5kZWQgdG8gZGVjaWRlIGluIGZhdm9yIG9mLCB3aGlsZSBwYXRpZW50cyB3aXRoIGNvbW9yYmlkIEFESEQgdGVuZGVkIHRvIGRlY2lkZSBhZ2FpbnN0IHRpYyB0cmVhdG1lbnQ7ICg0KSBtb3N0IGZyZXF1ZW50bHkgcmVwb3J0ZWQgYWR2ZXJzZSBlZmZlY3RzIHdlcmUgc2xlZXBpbmcgcHJvYmxlbXM7ICg1KSBwYXRpZW50cycgUW9MIHdhcyBtb3N0bHkgaW1wYWlyZWQgYnkgY29tb3JiaWQgZGVwcmVzc2lvbi4gT3VyIHJlc3VsdHMgc3VnZ2VzdCB0aGF0IGFyaXBpcHJhem9sZSBtYXkgaW1wcm92ZSBhc3NvY2lhdGVkIGNvbW9yYmlkIGNvbmRpdGlvbnMgaW4gYWRkaXRpb24gdG8gdGljcyBpbiBwYXRpZW50cyB3aXRoIEdUUy4gSXQgY2FuIGJlIGh5cG90aGVzaXplZCB0aGF0IHRoZXNlIGJlbmVmaWNpYWwgZWZmZWN0cyBhcmUgcmVsYXRlZCB0byBhcmlwaXByYXpvbGUncyBhZGFwdGl2ZSBwaGFybWFjb2xvZ2ljYWwgcHJvZmlsZSwgd2hpY2ggZXhoaWJpdHMgYW4gaW5mbHVlbmNlIG9uIHRoZSBkb3BhbWluZXJnaWMgYXMgd2VsbCBhcyBhIG51bWJlciBvZiBvdGhlciBuZXVyb3RyYW5zbWl0dGVyIHN5c3RlbXMuIEZvciB0aGUgZmlyc3QgdGltZSwgb3VyIGRhdGEgcHJvdmlkZSBldmlkZW5jZSB0aGF0IHBhdGllbnRzJyBkZWNpc2lvbiBtYWtpbmcgcHJvY2VzcyBmb3Igb3IgYWdhaW5zdCBtZWRpY2FsIHRyZWF0bWVudCBpcyBpbmZsdWVuY2VkIGJ5IG90aGVyIGZhY3RvcnMgdGhhbiB0aWMgc2V2ZXJpdHkgYW5kIFFvTC5Db3B5cmlnaHQgwqkgMjAxNiBHZXJhc2NoLCBLYW5hYW4sIEpha3Vib3Zza2kgYW5kIE11bGxlci1WYWhsLiIsImlzc3VlIjoiU0VQIiwidm9sdW1lIjoiMTAiLCJjb250YWluZXItdGl0bGUtc2hvcnQiOiJGcm9udCBOZXVyb3NjaSJ9LCJpc1RlbXBvcmFyeSI6ZmFsc2V9XX0=&quot;,&quot;citationItems&quot;:[{&quot;id&quot;:&quot;332a62fc-0bc0-32f6-a81c-527db172d6c4&quot;,&quot;itemData&quot;:{&quot;type&quot;:&quot;article-journal&quot;,&quot;id&quot;:&quot;332a62fc-0bc0-32f6-a81c-527db172d6c4&quot;,&quot;title&quot;:&quot;Aripiprazole improves associated comorbid conditions in addition to tics in adult patients with Gilles de la Tourette Syndrome&quot;,&quot;groupId&quot;:&quot;07d62ac1-5aa8-39af-b49e-52d2088ac571&quot;,&quot;author&quot;:[{&quot;family&quot;:&quot;Gerasch&quot;,&quot;given&quot;:&quot;S&quot;,&quot;parse-names&quot;:false,&quot;dropping-particle&quot;:&quot;&quot;,&quot;non-dropping-particle&quot;:&quot;&quot;},{&quot;family&quot;:&quot;Kanaan&quot;,&quot;given&quot;:&quot;A S&quot;,&quot;parse-names&quot;:false,&quot;dropping-particle&quot;:&quot;&quot;,&quot;non-dropping-particle&quot;:&quot;&quot;},{&quot;family&quot;:&quot;Jakubovski&quot;,&quot;given&quot;:&quot;E&quot;,&quot;parse-names&quot;:false,&quot;dropping-particle&quot;:&quot;&quot;,&quot;non-dropping-particle&quot;:&quot;&quot;},{&quot;family&quot;:&quot;Muller-Vahl&quot;,&quot;given&quot;:&quot;K R&quot;,&quot;parse-names&quot;:false,&quot;dropping-particle&quot;:&quot;&quot;,&quot;non-dropping-particle&quot;:&quot;&quot;}],&quot;container-title&quot;:&quot;Frontiers in Neuroscience&quot;,&quot;DOI&quot;:&quot;https://dx.doi.org/10.3389/fnins.2016.00416&quot;,&quot;URL&quot;:&quot;http://journal.frontiersin.org/article/10.3389/fnins.2016.00416/fullhttp://ovidsp.ovid.com/ovidweb.cgi?T=JS&amp;PAGE=reference&amp;D=emed17&amp;NEWS=N&amp;AN=612793648&quot;,&quot;issued&quot;:{&quot;date-parts&quot;:[[2016]]},&quot;page&quot;:&quot;416&quot;,&quot;abstract&quot;:&quot;Gilles de la Tourette Syndrome (GTS) is characterized by motor and vocal tics, as well as associated comorbid conditions including obsessive-compulsive disorder (OCD), attention deficit/hyperactivity disorder (ADHD), depression, and anxiety which are present in a substantial number of patients. Although randomized controlled trials including a large number of patients are still missing, aripiprazole is currently considered as a first choice drug for the treatment of tics. The aim of this study was to further investigate efficacy and safety of aripiprazole in a group of drug-free, adult patients. Specifically, we investigated the influence of aripiprazole on tic severity, comorbidities, premonitory urge (PU), and quality of life (QoL). Moreover, we were interested in the factors that influence a patient's decision in electing for-or against- pharmacological treatment. In this prospective uncontrolled open-label study, we included 44 patients and used a number of rating scales to assess tic severity, PU, comorbidities, and QoL at baseline and during treatment with aripiprazole. Eighteen out of fortyfour patients decided for undergoing treatment for their tics with aripiprazole and completed follow-up assessments after 4-6 weeks. Our major findings were (1) aripiprazole resulted in significant reduction of tics, but did not affect PU; (2) aripiprazole significantly improved OCD and showed a trend toward improvement of other comorbidities including depression, anxiety, and ADHD; (3) neither severity of tics, nor PU or QoL influenced patients' decisions for or against treatment of tics with aripiprazole; instead patients with comorbid OCD tended to decide in favor of, while patients with comorbid ADHD tended to decide against tic treatment; (4) most frequently reported adverse effects were sleeping problems; (5) patients' QoL was mostly impaired by comorbid depression. Our results suggest that aripiprazole may improve associated comorbid conditions in addition to tics in patients with GTS. It can be hypothesized that these beneficial effects are related to aripiprazole's adaptive pharmacological profile, which exhibits an influence on the dopaminergic as well as a number of other neurotransmitter systems. For the first time, our data provide evidence that patients' decision making process for or against medical treatment is influenced by other factors than tic severity and QoL.Copyright © 2016 Gerasch, Kanaan, Jakubovski and Muller-Vahl.&quot;,&quot;issue&quot;:&quot;SEP&quot;,&quot;volume&quot;:&quot;10&quot;,&quot;container-title-short&quot;:&quot;Front Neurosci&quot;},&quot;isTemporary&quot;:false}]},{&quot;citationID&quot;:&quot;MENDELEY_CITATION_c4581082-8846-4aaf-aba7-10081280cbc7&quot;,&quot;properties&quot;:{&quot;noteIndex&quot;:0},&quot;isEdited&quot;:false,&quot;manualOverride&quot;:{&quot;isManuallyOverridden&quot;:false,&quot;citeprocText&quot;:&quot;(66)&quot;,&quot;manualOverrideText&quot;:&quot;&quot;},&quot;citationTag&quot;:&quot;MENDELEY_CITATION_v3_eyJjaXRhdGlvbklEIjoiTUVOREVMRVlfQ0lUQVRJT05fYzQ1ODEwODItODg0Ni00YWFmLWFiYTctMTAwODEyODBjYmM3IiwicHJvcGVydGllcyI6eyJub3RlSW5kZXgiOjB9LCJpc0VkaXRlZCI6ZmFsc2UsIm1hbnVhbE92ZXJyaWRlIjp7ImlzTWFudWFsbHlPdmVycmlkZGVuIjpmYWxzZSwiY2l0ZXByb2NUZXh0IjoiKDY2KSIsIm1hbnVhbE92ZXJyaWRlVGV4dCI6IiJ9LCJjaXRhdGlvbkl0ZW1zIjpbeyJpZCI6Ijk1ODMwMGRmLTNmOGEtM2FlZS1iMTA4LTZhODUzMDkxODAzOCIsIml0ZW1EYXRhIjp7InR5cGUiOiJhcnRpY2xlLWpvdXJuYWwiLCJpZCI6Ijk1ODMwMGRmLTNmOGEtM2FlZS1iMTA4LTZhODUzMDkxODAzOCIsInRpdGxlIjoiQSBEMSByZWNlcHRvciBhbnRhZ29uaXN0LCBlY29waXBhbSwgZm9yIHRyZWF0bWVudCBvZiB0aWNzIGluIHRvdXJldHRlIHN5bmRyb21lIiwiZ3JvdXBJZCI6IjA3ZDYyYWMxLTVhYTgtMzlhZi1iNDllLTUyZDIwODhhYzU3MSIsImF1dGhvciI6W3siZmFtaWx5IjoiR2lsYmVydCIsImdpdmVuIjoiRCBMIiwicGFyc2UtbmFtZXMiOmZhbHNlLCJkcm9wcGluZy1wYXJ0aWNsZSI6IiIsIm5vbi1kcm9wcGluZy1wYXJ0aWNsZSI6IiJ9LHsiZmFtaWx5IjoiQnVkbWFuIiwiZ2l2ZW4iOiJDIEwiLCJwYXJzZS1uYW1lcyI6ZmFsc2UsImRyb3BwaW5nLXBhcnRpY2xlIjoiIiwibm9uLWRyb3BwaW5nLXBhcnRpY2xlIjoiIn0seyJmYW1pbHkiOiJTaW5nZXIiLCJnaXZlbiI6IkggUyIsInBhcnNlLW5hbWVzIjpmYWxzZSwiZHJvcHBpbmctcGFydGljbGUiOiIiLCJub24tZHJvcHBpbmctcGFydGljbGUiOiIifSx7ImZhbWlseSI6Ikt1cmxhbiIsImdpdmVuIjoiUiIsInBhcnNlLW5hbWVzIjpmYWxzZSwiZHJvcHBpbmctcGFydGljbGUiOiIiLCJub24tZHJvcHBpbmctcGFydGljbGUiOiIifSx7ImZhbWlseSI6IkNoaXBraW4iLCJnaXZlbiI6IlIgRSIsInBhcnNlLW5hbWVzIjpmYWxzZSwiZHJvcHBpbmctcGFydGljbGUiOiIiLCJub24tZHJvcHBpbmctcGFydGljbGUiOiIifV0sImNvbnRhaW5lci10aXRsZSI6IkNsaW5pY2FsIE5ldXJvcGhhcm1hY29sb2d5IiwiRE9JIjoiaHR0cHM6Ly9keC5kb2kub3JnLzEwLjEwOTcvV05GLjAwMDAwMDAwMDAwMDAwMTciLCJVUkwiOiJodHRwOi8vb3ZpZHNwLm92aWQuY29tL292aWR3ZWIuY2dpP1Q9SlMmUEFHRT1yZWZlcmVuY2UmRD1lbWVkMTUmTkVXUz1OJkFOPTUyOTcwMTM0IiwiaXNzdWVkIjp7ImRhdGUtcGFydHMiOltbMjAxNF1dfSwicGFnZSI6IjI2LTMwIiwiYWJzdHJhY3QiOiJPQkpFQ1RJVkVTOiBEeXNyZWd1bGF0aW9uIG9mIGRvcGFtaW5lcmdpYyBzaWduYWxpbmcgaGFzIGJlZW4gaHlwb3RoZXNpemVkIHRvIHVuZGVybGllIHRoZSBtb3RvciBhbmQgcGhvbmljIHRpY3MgaW4gVG91cmV0dGUgc3luZHJvbWUgKFRTKS4gVGhlIG9iamVjdGl2ZSBvZiB0aGlzIHRyaWFsIHdhcyB0byBldmFsdWF0ZSB0aGUgc2FmZXR5IGFuZCB0aWMtcmVkdWNpbmcgYWN0aXZpdHkgb2YgdGhlIHNlbGVjdGl2ZSBkb3BhbWluZSBEMSByZWNlcHRvciBhbnRhZ29uaXN0IGVjb3BpcGFtIGluIGFkdWx0cyB3aXRoIFRTLiBNRVRIT0QoUyk6IFRoaXMgd2FzIGEgbXVsdGljZW50ZXIsIG5vbnJhbmRvbWl6ZWQsIG9wZW4tbGFiZWwgc3R1ZHkgb2YgNTAtbWcgZWNvcGlwYW0gZGFpbHkgKHdlZWtzIDEtMikgYW5kIHRoZW4gMTAwIG1nIGRhaWx5ICh3ZWVrcyAzLTgpLCB0YWtlbiBvcmFsbHkgYmVmb3JlIGJlZHRpbWUuIFRoZSBwcmltYXJ5IGVmZmljYWN5IGVuZCBwb2ludCB3YXMgdGhlIGNoYW5nZSBpbiB0aGUgWWFsZSBHbG9iYWwgVGljIFNldmVyaXR5IFNjYWxlIChZR1RTUykgdG90YWwgdGljIHNjb3JlLiBDb21vcmJpZCBwc3ljaGlhdHJpYyBzeW1wdG9tcyBhbmQgcHJlbW9uaXRvcnkgdXJnZXMgd2VyZSByYXRlZDsgd2VpZ2h0LCBzZXJ1bSBtZXRhYm9saWMgc3R1ZGllcywgYW5kIGFkdmVyc2UgZWZmZWN0cyB3ZXJlIG1vbml0b3JlZC4gUkVTVUxUKFMpOiBFaWdodGVlbiBhZHVsdHMgKDE1IG1lbjsgMTUgd2hpdGUsIDIgQWZyaWNhbiBBbWVyaWNhbiwgMSBBc2lhbiksIHdpdGggYSBtZWFuIGFnZSBvZiAzNi4yIHllYXJzIChyYW5nZSwgMTgtNjMgeWVhcnMpLCB3ZXJlIGVucm9sbGVkLCBhbmQgMTUgY29tcGxldGVkIHRoZSBzdHVkeS4gTWVhbiAoU0QpIFlHVFNTIFRvdGFsIFRpYyBzY29yZSB3YXMgMzAuNiAoOC44KSBhdCBiYXNlbGluZSBhbmQgMjUuMyAoOS4yKSBhdCA4IHdlZWtzICgyLXRhaWxlZCBwYWlyZWQgdDE3ID0gNC40OyBQID0gMC4wMDA0KS4gTWVhbiAoU0QpIFlHVFNTIGltcGFpcm1lbnQgc2NvcmUgd2FzIDI5LjcgKDEwLjkpIGF0IGJhc2VsaW5lIGFuZCAyMi44ICgxMy43KSBhdCBmaW5hbCB2aXNpdCAodDE3ID0gMi4yOyBQID0gMC4wNCkuIFRoZXJlIHdhcyBubyBzaWduaWZpY2FudCBjaGFuZ2UgaW4gcHJlbW9uaXRvcnkgdXJnZXMgb3IgcHN5Y2hpYXRyaWMgc3ltcHRvbXMuIE1lYW4gY2hhbmdlIGluIHdlaWdodCB3YXMtMC43IGtnIChQID0gMC4wNykuIFRoZSBtb3N0IGNvbW1vbmx5IHJlcG9ydGVkIGFkdmVyc2UgZXZlbnRzIHdlcmUgc2VkYXRpb24gKDM5JSksIGZhdGlndWUgKDMzJSksIGluc29tbmlhICgzMyUpLCBzb21ub2xlbmNlICgyOCUpLCBhbnhpZXR5ICgyMiUpLCBoZWFkYWNoZSAoMjIlKSwgYW5kIG11c2NsZSB0d2l0Y2hpbmcgKDIyJSkuIENPTkNMVVNJT04oUyk6IEluIHRoaXMgb3Blbi1sYWJlbCBzdHVkeSBpbiBhZHVsdHMgd2l0aCBUUywgdGljcyB3ZXJlIHJlZHVjZWQgYWZ0ZXIgOCB3ZWVrcyBvZiB0cmVhdG1lbnQgd2l0aCBlY29waXBhbS4gVG8gY29uZmlybSBzYWZldHkgYW5kIGVmZmljYWN5LCByYW5kb21pemVkLCBkb3VibGUgYmxpbmQsIHBsYWNlYm8tY29udHJvbGxlZCB0cmlhbHMgYXJlIHdhcnJhbnRlZC4gwqkgMjAxNCBieSBMaXBwaW5jb3R0IFdpbGxpYW1zIGFuZCBXaWxraW5zLiIsImlzc3VlIjoiMSIsInZvbHVtZSI6IjM3IiwiY29udGFpbmVyLXRpdGxlLXNob3J0IjoiQ2xpbiBOZXVyb3BoYXJtYWNvbCJ9LCJpc1RlbXBvcmFyeSI6ZmFsc2V9XX0=&quot;,&quot;citationItems&quot;:[{&quot;id&quot;:&quot;958300df-3f8a-3aee-b108-6a8530918038&quot;,&quot;itemData&quot;:{&quot;type&quot;:&quot;article-journal&quot;,&quot;id&quot;:&quot;958300df-3f8a-3aee-b108-6a8530918038&quot;,&quot;title&quot;:&quot;A D1 receptor antagonist, ecopipam, for treatment of tics in tourette syndrome&quot;,&quot;groupId&quot;:&quot;07d62ac1-5aa8-39af-b49e-52d2088ac571&quot;,&quot;author&quot;:[{&quot;family&quot;:&quot;Gilbert&quot;,&quot;given&quot;:&quot;D L&quot;,&quot;parse-names&quot;:false,&quot;dropping-particle&quot;:&quot;&quot;,&quot;non-dropping-particle&quot;:&quot;&quot;},{&quot;family&quot;:&quot;Budman&quot;,&quot;given&quot;:&quot;C L&quot;,&quot;parse-names&quot;:false,&quot;dropping-particle&quot;:&quot;&quot;,&quot;non-dropping-particle&quot;:&quot;&quot;},{&quot;family&quot;:&quot;Singer&quot;,&quot;given&quot;:&quot;H S&quot;,&quot;parse-names&quot;:false,&quot;dropping-particle&quot;:&quot;&quot;,&quot;non-dropping-particle&quot;:&quot;&quot;},{&quot;family&quot;:&quot;Kurlan&quot;,&quot;given&quot;:&quot;R&quot;,&quot;parse-names&quot;:false,&quot;dropping-particle&quot;:&quot;&quot;,&quot;non-dropping-particle&quot;:&quot;&quot;},{&quot;family&quot;:&quot;Chipkin&quot;,&quot;given&quot;:&quot;R E&quot;,&quot;parse-names&quot;:false,&quot;dropping-particle&quot;:&quot;&quot;,&quot;non-dropping-particle&quot;:&quot;&quot;}],&quot;container-title&quot;:&quot;Clinical Neuropharmacology&quot;,&quot;DOI&quot;:&quot;https://dx.doi.org/10.1097/WNF.0000000000000017&quot;,&quot;URL&quot;:&quot;http://ovidsp.ovid.com/ovidweb.cgi?T=JS&amp;PAGE=reference&amp;D=emed15&amp;NEWS=N&amp;AN=52970134&quot;,&quot;issued&quot;:{&quot;date-parts&quot;:[[2014]]},&quot;page&quot;:&quot;26-30&quot;,&quot;abstract&quot;:&quot;OBJECTIVES: Dysregulation of dopaminergic signaling has been hypothesized to underlie the motor and phonic tics in Tourette syndrome (TS). The objective of this trial was to evaluate the safety and tic-reducing activity of the selective dopamine D1 receptor antagonist ecopipam in adults with TS. METHOD(S): This was a multicenter, nonrandomized, open-label study of 50-mg ecopipam daily (weeks 1-2) and then 100 mg daily (weeks 3-8), taken orally before bedtime. The primary efficacy end point was the change in the Yale Global Tic Severity Scale (YGTSS) total tic score. Comorbid psychiatric symptoms and premonitory urges were rated; weight, serum metabolic studies, and adverse effects were monitored. RESULT(S): Eighteen adults (15 men; 15 white, 2 African American, 1 Asian), with a mean age of 36.2 years (range, 18-63 years), were enrolled, and 15 completed the study. Mean (SD) YGTSS Total Tic score was 30.6 (8.8) at baseline and 25.3 (9.2) at 8 weeks (2-tailed paired t17 = 4.4; P = 0.0004). Mean (SD) YGTSS impairment score was 29.7 (10.9) at baseline and 22.8 (13.7) at final visit (t17 = 2.2; P = 0.04). There was no significant change in premonitory urges or psychiatric symptoms. Mean change in weight was-0.7 kg (P = 0.07). The most commonly reported adverse events were sedation (39%), fatigue (33%), insomnia (33%), somnolence (28%), anxiety (22%), headache (22%), and muscle twitching (22%). CONCLUSION(S): In this open-label study in adults with TS, tics were reduced after 8 weeks of treatment with ecopipam. To confirm safety and efficacy, randomized, double blind, placebo-controlled trials are warranted. © 2014 by Lippincott Williams and Wilkins.&quot;,&quot;issue&quot;:&quot;1&quot;,&quot;volume&quot;:&quot;37&quot;,&quot;container-title-short&quot;:&quot;Clin Neuropharmacol&quot;},&quot;isTemporary&quot;:false}]},{&quot;citationID&quot;:&quot;MENDELEY_CITATION_ad1ad7f1-625c-4994-9353-0d45b8a70698&quot;,&quot;properties&quot;:{&quot;noteIndex&quot;:0},&quot;isEdited&quot;:false,&quot;manualOverride&quot;:{&quot;isManuallyOverridden&quot;:false,&quot;citeprocText&quot;:&quot;(67)&quot;,&quot;manualOverrideText&quot;:&quot;&quot;},&quot;citationTag&quot;:&quot;MENDELEY_CITATION_v3_eyJjaXRhdGlvbklEIjoiTUVOREVMRVlfQ0lUQVRJT05fYWQxYWQ3ZjEtNjI1Yy00OTk0LTkzNTMtMGQ0NWI4YTcwNjk4IiwicHJvcGVydGllcyI6eyJub3RlSW5kZXgiOjB9LCJpc0VkaXRlZCI6ZmFsc2UsIm1hbnVhbE92ZXJyaWRlIjp7ImlzTWFudWFsbHlPdmVycmlkZGVuIjpmYWxzZSwiY2l0ZXByb2NUZXh0IjoiKDY3KSIsIm1hbnVhbE92ZXJyaWRlVGV4dCI6IiJ9LCJjaXRhdGlvbkl0ZW1zIjpbeyJpZCI6ImJhMWEwYWMyLTI0OGMtM2NkMS05NTNhLTM3NDY4MjM1NmQ1YiIsIml0ZW1EYXRhIjp7InR5cGUiOiJhcnRpY2xlLWpvdXJuYWwiLCJpZCI6ImJhMWEwYWMyLTI0OGMtM2NkMS05NTNhLTM3NDY4MjM1NmQ1YiIsInRpdGxlIjoiQSByYW5kb21pc2VkLCBkb3VibGUtYmxpbmQsIHBsYWNlYm8tY29udHJvbGxlZCBzdHVkeSBvZiB0b3BpcmFtYXRlIGluIHRoZSB0cmVhdG1lbnQgb2YgVG91cmV0dGUgc3luZHJvbWUiLCJncm91cElkIjoiMDdkNjJhYzEtNWFhOC0zOWFmLWI0OWUtNTJkMjA4OGFjNTcxIiwiYXV0aG9yIjpbeyJmYW1pbHkiOiJKYW5rb3ZpYyIsImdpdmVuIjoiSiIsInBhcnNlLW5hbWVzIjpmYWxzZSwiZHJvcHBpbmctcGFydGljbGUiOiIiLCJub24tZHJvcHBpbmctcGFydGljbGUiOiIifSx7ImZhbWlseSI6IkppbWVuZXotU2hhaGVkIiwiZ2l2ZW4iOiJKIiwicGFyc2UtbmFtZXMiOmZhbHNlLCJkcm9wcGluZy1wYXJ0aWNsZSI6IiIsIm5vbi1kcm9wcGluZy1wYXJ0aWNsZSI6IiJ9LHsiZmFtaWx5IjoiQnJvd24iLCJnaXZlbiI6IkwgVyIsInBhcnNlLW5hbWVzIjpmYWxzZSwiZHJvcHBpbmctcGFydGljbGUiOiIiLCJub24tZHJvcHBpbmctcGFydGljbGUiOiIifV0sImNvbnRhaW5lci10aXRsZSI6IkpvdXJuYWwgb2YgTmV1cm9sb2d5LCBOZXVyb3N1cmdlcnkgYW5kIFBzeWNoaWF0cnkiLCJET0kiOiJodHRwczovL2R4LmRvaS5vcmcvMTAuMTEzNi9qbm5wLjIwMDkuMTg1MzQ4IiwiVVJMIjoiaHR0cDovL2pubnAuYm1qLmNvbS9jb250ZW50LzgxLzEvNzAuZnVsbC5wZGZodHRwOi8vb3ZpZHNwLm92aWQuY29tL292aWR3ZWIuY2dpP1Q9SlMmUEFHRT1yZWZlcmVuY2UmRD1lbWVkMTEmTkVXUz1OJkFOPTM1ODA1NjA4MCIsImlzc3VlZCI6eyJkYXRlLXBhcnRzIjpbWzIwMTBdXX0sInBhZ2UiOiI3MC03MyIsImFic3RyYWN0IjoiT2JqZWN0aXZlOiBUbyBpbnZlc3RpZ2F0ZSB0aGUgZWZmZWN0cyBvZiB0b3BpcmFtYXRlIG9uIFRvdXJldHRlIHN5bmRyb21lIChUUykuIEJhY2tncm91bmQocyk6IERvcGFtaW5lLXJlY2VwdG9yLWJsb2NraW5nIGRydWdzIGhhdmUgYmVlbiB0cmFkaXRpb25hbGx5IHVzZWQgdG8gY29udHJvbCB0aWNzIGluIHBhdGllbnRzIHdpdGggVFMsIGJ1dCB0aGVzZSBuZXVyb2xlcHRpY3MgYXJlIGFzc29jaWF0ZWQgd2l0aCBwb3RlbnRpYWxseSBsaW1pdGluZyBzaWRlIGVmZmVjdHMuIE1ldGhvZChzKTogVGhpcyBpcyBhIHJhbmRvbWlzZWQsIGRvdWJsZS1ibGluZCwgcGxhY2Viby1jb250cm9sbGVkLCBwYXJhbGxlbCBncm91cCBzdHVkeS4gVG8gYmUgaW5jbHVkZWQgaW4gdGhlIHN0dWR5LCBzdWJqZWN0cyByZXF1aXJlZCBhIERTTS1JViBkaWFnbm9zaXMgb2YgVFMsIHdlcmUgNy02NSB5ZWFycyBvZiBhZ2UsIGhhZCBtb2RlcmF0ZSB0byBzZXZlcmUgc3ltcHRvbXMgKFlhbGUgR2xvYmFsIFRpYyBTZXZlcml0eSBTY2FsZSAoWUdUU1MpID49MTkpLCB3ZXJlIG1hcmtlZGx5IGltcGFpcmVkIGFzIGRldGVybWluZWQgYnkgdGhlIENsaW5pY2FsIEdsb2JhbCBJbXByZXNzaW9uIChDR0kpIHNjYWxlIHNldmVyaXR5IHNjb3JlIG9mID49NCBhbmQgd2VyZSB0YWtpbmcgbm8gbW9yZSB0aGFuIG9uZSBkcnVnIGVhY2ggZm9yIHRpY3Mgb3IgVFMgY29tb3JiaWRpdGllcy4gUmVzdWx0KHMpOiBUaGVyZSB3ZXJlIDI5IHBhdGllbnRzICgyNiBtYWxlcyksIG1lYW4gYWdlIDE2LjUgKFNEIDkuODkpIHllYXJzLCByYW5kb21pc2VkLCBhbmQgMjAgKDY5JSkgY29tcGxldGVkIHRoZSBkb3VibGUtYmxpbmQgcGhhc2Ugb2YgdGhlIHN0dWR5LiBUaGUgcHJpbWFyeSBlbmRwb2ludCB3YXMgVG90YWwgVGljIFNjb3JlLCB3aGljaCBpbXByb3ZlZCBieSAxNC4yOSAoMTAuNDcpIHBvaW50cyBmcm9tIGJhc2VsaW5lIHRvIHZpc2l0IDUgKGRheSA3MCkgd2l0aCB0b3BpcmFtYXRlIChtZWFuIGRvc2UgMTE4IG1nKSBjb21wYXJlZCB3aXRoIGEgNS4wMCAoOS44OCkgcG9pbnQgY2hhbmdlIGluIHRoZSBwbGFjZWJvIGdyb3VwIChwID0gMC4wMjU5KS4gVGhlcmUgd2VyZSBzdGF0aXN0aWNhbGx5IHNpZ25pZmljYW50IGltcHJvdmVtZW50cyBhbHNvIGluIHRoZSBvdGhlciBjb21wb25lbnRzIG9mIHRoZSBZR1RTUyBhcyB3ZWxsIGFzIGltcHJvdmVtZW50cyBpbiB2YXJpb3VzIHNlY29uZGFyeSBtZWFzdXJlcywgaW5jbHVkaW5nIHRoZSBDR0kgYW5kIHByZW1vbml0b3J5IHVyZ2UgQ0dJLiBObyBkaWZmZXJlbmNlcyB3ZXJlIG9ic2VydmVkIGluIHRoZSBmcmVxdWVuY3kgb2YgYWR2ZXJzZSBldmVudHMgYmV0d2VlbiB0aGUgdHdvIHRyZWF0bWVudCBncm91cHMuIENvbmNsdXNpb24ocyk6IFRoaXMgZG91YmxlLWJsaW5kLCBwbGFjZWJvLWNvbnRyb2xsZWQgdHJpYWwgcHJvdmlkZXMgZXZpZGVuY2UgdGhhdCB0b3BpcmFtYXRlIG1heSBoYXZlIHV0aWxpdHkgaW4gdGhlIHRyZWF0bWVudCBvZiBtb2RlcmF0ZWx5IHNldmVyZSBUUy4iLCJpc3N1ZSI6IjEiLCJ2b2x1bWUiOiI4MSIsImNvbnRhaW5lci10aXRsZS1zaG9ydCI6IkogTmV1cm9sIE5ldXJvc3VyZyBQc3ljaGlhdHJ5In0sImlzVGVtcG9yYXJ5IjpmYWxzZX1dfQ==&quot;,&quot;citationItems&quot;:[{&quot;id&quot;:&quot;ba1a0ac2-248c-3cd1-953a-374682356d5b&quot;,&quot;itemData&quot;:{&quot;type&quot;:&quot;article-journal&quot;,&quot;id&quot;:&quot;ba1a0ac2-248c-3cd1-953a-374682356d5b&quot;,&quot;title&quot;:&quot;A randomised, double-blind, placebo-controlled study of topiramate in the treatment of Tourette syndrome&quot;,&quot;groupId&quot;:&quot;07d62ac1-5aa8-39af-b49e-52d2088ac571&quot;,&quot;author&quot;:[{&quot;family&quot;:&quot;Jankovic&quot;,&quot;given&quot;:&quot;J&quot;,&quot;parse-names&quot;:false,&quot;dropping-particle&quot;:&quot;&quot;,&quot;non-dropping-particle&quot;:&quot;&quot;},{&quot;family&quot;:&quot;Jimenez-Shahed&quot;,&quot;given&quot;:&quot;J&quot;,&quot;parse-names&quot;:false,&quot;dropping-particle&quot;:&quot;&quot;,&quot;non-dropping-particle&quot;:&quot;&quot;},{&quot;family&quot;:&quot;Brown&quot;,&quot;given&quot;:&quot;L W&quot;,&quot;parse-names&quot;:false,&quot;dropping-particle&quot;:&quot;&quot;,&quot;non-dropping-particle&quot;:&quot;&quot;}],&quot;container-title&quot;:&quot;Journal of Neurology, Neurosurgery and Psychiatry&quot;,&quot;DOI&quot;:&quot;https://dx.doi.org/10.1136/jnnp.2009.185348&quot;,&quot;URL&quot;:&quot;http://jnnp.bmj.com/content/81/1/70.full.pdfhttp://ovidsp.ovid.com/ovidweb.cgi?T=JS&amp;PAGE=reference&amp;D=emed11&amp;NEWS=N&amp;AN=358056080&quot;,&quot;issued&quot;:{&quot;date-parts&quot;:[[2010]]},&quot;page&quot;:&quot;70-73&quot;,&quot;abstract&quot;:&quot;Objective: To investigate the effects of topiramate on Tourette syndrome (TS). Background(s): Dopamine-receptor-blocking drugs have been traditionally used to control tics in patients with TS, but these neuroleptics are associated with potentially limiting side effects. Method(s): This is a randomised, double-blind, placebo-controlled, parallel group study. To be included in the study, subjects required a DSM-IV diagnosis of TS, were 7-65 years of age, had moderate to severe symptoms (Yale Global Tic Severity Scale (YGTSS) &gt;=19), were markedly impaired as determined by the Clinical Global Impression (CGI) scale severity score of &gt;=4 and were taking no more than one drug each for tics or TS comorbidities. Result(s): There were 29 patients (26 males), mean age 16.5 (SD 9.89) years, randomised, and 20 (69%) completed the double-blind phase of the study. The primary endpoint was Total Tic Score, which improved by 14.29 (10.47) points from baseline to visit 5 (day 70) with topiramate (mean dose 118 mg) compared with a 5.00 (9.88) point change in the placebo group (p = 0.0259). There were statistically significant improvements also in the other components of the YGTSS as well as improvements in various secondary measures, including the CGI and premonitory urge CGI. No differences were observed in the frequency of adverse events between the two treatment groups. Conclusion(s): This double-blind, placebo-controlled trial provides evidence that topiramate may have utility in the treatment of moderately severe TS.&quot;,&quot;issue&quot;:&quot;1&quot;,&quot;volume&quot;:&quot;81&quot;,&quot;container-title-short&quot;:&quot;J Neurol Neurosurg Psychiatry&quot;},&quot;isTemporary&quot;:false}]},{&quot;citationID&quot;:&quot;MENDELEY_CITATION_3fbd8210-7060-44ae-89f3-cd115649ce71&quot;,&quot;properties&quot;:{&quot;noteIndex&quot;:0},&quot;isEdited&quot;:false,&quot;manualOverride&quot;:{&quot;isManuallyOverridden&quot;:false,&quot;citeprocText&quot;:&quot;(68)&quot;,&quot;manualOverrideText&quot;:&quot;&quot;},&quot;citationTag&quot;:&quot;MENDELEY_CITATION_v3_eyJjaXRhdGlvbklEIjoiTUVOREVMRVlfQ0lUQVRJT05fM2ZiZDgyMTAtNzA2MC00NGFlLTg5ZjMtY2QxMTU2NDljZTcxIiwicHJvcGVydGllcyI6eyJub3RlSW5kZXgiOjB9LCJpc0VkaXRlZCI6ZmFsc2UsIm1hbnVhbE92ZXJyaWRlIjp7ImlzTWFudWFsbHlPdmVycmlkZGVuIjpmYWxzZSwiY2l0ZXByb2NUZXh0IjoiKDY4KSIsIm1hbnVhbE92ZXJyaWRlVGV4dCI6IiJ9LCJjaXRhdGlvbkl0ZW1zIjpbeyJpZCI6IjJkNDdhMWMxLTgwZWItM2Y3My04MGQ0LTZlNDIyODY4N2UxYyIsIml0ZW1EYXRhIjp7InR5cGUiOiJhcnRpY2xlLWpvdXJuYWwiLCJpZCI6IjJkNDdhMWMxLTgwZWItM2Y3My04MGQ0LTZlNDIyODY4N2UxYyIsInRpdGxlIjoiT3B0aW1pemluZyBiZWhhdmlvciB0aGVyYXB5IGZvciB5b3V0aCB3aXRoIFRvdXJldHRlJ3MgZGlzb3JkZXIiLCJncm91cElkIjoiMDdkNjJhYzEtNWFhOC0zOWFmLWI0OWUtNTJkMjA4OGFjNTcxIiwiYXV0aG9yIjpbeyJmYW1pbHkiOiJNY0d1aXJlIiwiZ2l2ZW4iOiJKIEYiLCJwYXJzZS1uYW1lcyI6ZmFsc2UsImRyb3BwaW5nLXBhcnRpY2xlIjoiIiwibm9uLWRyb3BwaW5nLXBhcnRpY2xlIjoiIn0seyJmYW1pbHkiOiJHaW5kZXIiLCJnaXZlbiI6Ik4iLCJwYXJzZS1uYW1lcyI6ZmFsc2UsImRyb3BwaW5nLXBhcnRpY2xlIjoiIiwibm9uLWRyb3BwaW5nLXBhcnRpY2xlIjoiIn0seyJmYW1pbHkiOiJSYW1zZXkiLCJnaXZlbiI6IksiLCJwYXJzZS1uYW1lcyI6ZmFsc2UsImRyb3BwaW5nLXBhcnRpY2xlIjoiIiwibm9uLWRyb3BwaW5nLXBhcnRpY2xlIjoiIn0seyJmYW1pbHkiOiJFc3NvZSIsImdpdmVuIjoiSiBLIFkiLCJwYXJzZS1uYW1lcyI6ZmFsc2UsImRyb3BwaW5nLXBhcnRpY2xlIjoiIiwibm9uLWRyb3BwaW5nLXBhcnRpY2xlIjoiIn0seyJmYW1pbHkiOiJSaWNrZXR0cyIsImdpdmVuIjoiRSBKIiwicGFyc2UtbmFtZXMiOmZhbHNlLCJkcm9wcGluZy1wYXJ0aWNsZSI6IiIsIm5vbi1kcm9wcGluZy1wYXJ0aWNsZSI6IiJ9LHsiZmFtaWx5IjoiTWNDcmFja2VuIiwiZ2l2ZW4iOiJKIFQiLCJwYXJzZS1uYW1lcyI6ZmFsc2UsImRyb3BwaW5nLXBhcnRpY2xlIjoiIiwibm9uLWRyb3BwaW5nLXBhcnRpY2xlIjoiIn0seyJmYW1pbHkiOiJQaWFjZW50aW5pIiwiZ2l2ZW4iOiJKIiwicGFyc2UtbmFtZXMiOmZhbHNlLCJkcm9wcGluZy1wYXJ0aWNsZSI6IiIsIm5vbi1kcm9wcGluZy1wYXJ0aWNsZSI6IiJ9XSwiY29udGFpbmVyLXRpdGxlIjoiTmV1cm9wc3ljaG9waGFybWFjb2xvZ3kiLCJET0kiOiJodHRwczovL2R4LmRvaS5vcmcvMTAuMTAzOC9zNDEzODYtMDIwLTA3NjItNCIsIlVSTCI6Imh0dHA6Ly93d3cubmF0dXJlLmNvbS9ucHAvaW5kZXguaHRtbGh0dHA6Ly9vdmlkc3Aub3ZpZC5jb20vb3ZpZHdlYi5jZ2k/VD1KUyZQQUdFPXJlZmVyZW5jZSZEPWVtZWQyMSZORVdTPU4mQU49MjAwNTU0NDU1MiIsImlzc3VlZCI6eyJkYXRlLXBhcnRzIjpbWzIwMjBdXX0sInBhZ2UiOiIyMTE0LTIxMTkiLCJhYnN0cmFjdCI6IlRvdXJldHRlJ3MgRGlzb3JkZXIgKFREKSBpcyBjaGFyYWN0ZXJpemVkIGJ5IHRpY3MgdGhhdCBjYXVzZSBkaXN0cmVzcyBhbmQgaW1wYWlybWVudC4gV2hpbGUgdHJlYXRtZW50IGd1aWRlbGluZXMgcmVjb21tZW5kIGJlaGF2aW9yIHRoZXJhcHkgYXMgYSBmaXJzdC1saW5lIGludGVydmVudGlvbiwgcGF0aWVudHMgd2l0aCBURCBtYXkgZXhoaWJpdCBsaW1pdGVkIHRoZXJhcGV1dGljIHJlc3BvbnNlLiBHaXZlbiB0aGUgbmVlZCB0byBpbXByb3ZlIHRyZWF0bWVudCBvdXRjb21lcywgdGhpcyBzdHVkeSBleGFtaW5lZCB0aGUgZWZmaWNhY3kgb2YgYXVnbWVudGluZyBiZWhhdmlvciB0aGVyYXB5IHdpdGggZC1jeWNsb3NlcmluZSAoRENTKSB0byByZWR1Y2UgdGljIHNldmVyaXR5IGluIGEgcGxhY2Viby1jb250cm9sbGVkIHF1aWNrLXdpbi9mYXN0LWZhaWwgdHJpYWwuIFR3ZW50eSB5b3V0aCB3aXRoIFREIGNvbXBsZXRlZCBhIGJhc2VsaW5lIGFzc2Vzc21lbnQgdG8gY2hhcmFjdGVyaXplIHRpYyBzZXZlcml0eSwgcHJlbW9uaXRvcnkgdXJnZXMsIG1lZGljYWwgaGlzdG9yeSwgYW5kIHBzeWNoaWF0cmljIGNvbW9yYmlkaXR5LiBZb3V0aCB3ZXJlIHJhbmRvbWx5IGFzc2lnbmVkIHRvIHJlY2VpdmUgYSBzaW5nbGUgc2Vzc2lvbiBvZiBoYWJpdCByZXZlcnNhbCB0cmFpbmluZyAoSFJUKSBhdWdtZW50ZWQgYnkgZWl0aGVyIDUwIG1nIG9mIERDUyBvciBwbGFjZWJvLiBUd28gYm90aGVyc29tZSB0aWNzIG9uIHRoZSBIb3BraW5zIE1vdG9yL1ZvY2FsIFRpYyBTY2FsZSAoSE0vVlRTKSB3ZXJlIHRhcmdldGVkIGZvciB0cmVhdG1lbnQgZHVyaW5nIEhSVC4gT25lIHdlZWsgYWZ0ZXIgdGhlIEhSVCBzZXNzaW9uLCB5b3V0aCBjb21wbGV0ZWQgYSBwb3N0dHJlYXRtZW50IGFzc2Vzc21lbnQgdG8gZXZhbHVhdGUgY2hhbmdlIGluIHRoZSBzZXZlcml0eSBvZiBib3RoZXJzb21lIHRpY3MuIEFsbCBhc3Nlc3NtZW50cyB3ZXJlIGNvbXBsZXRlZCBieSBpbmRlcGVuZGVudCBldmFsdWF0b3JzIG1hc2tlZCB0byB0cmVhdG1lbnQgZ3JvdXAuIFRoZXJlIHdhcyBhIFRyZWF0bWVudCBHcm91cCBieSBUaW1lIEludGVyYWN0aW9uIGluIGZhdm9yIG9mIERDUy1hdWdtZW50ZWQgSFJUIChwIDwgMC4wMSksIGNvbnRyb2xsaW5nIGZvciBiYXNlbGluZSB0aWMgc2V2ZXJpdHksIHRpYyBtZWRpY2F0aW9uLCBhbmQgYXR0ZW50aW9uIGRlZmljaXQgaHlwZXJhY3Rpdml0eSBkaXNvcmRlci4gRm9sbG93LXVwIGNvbXBhcmlzb25zIHJldmVhbGVkIHNtYWxsIGdyb3VwIGRpZmZlcmVuY2VzIGF0IHRoZSB0cmVhdG1lbnQgdmlzaXQgKGQgPSAwLjI3KSwgd2l0aCB0aGUgRENTIGdyb3VwIGV4aGliaXRpbmcgc2xpZ2h0bHkgZ3JlYXRlciBzZXZlcml0eSBmb3IgdGFyZ2V0ZWQgdGljcy4gVGhlcmUgd2FzIGEgbGFyZ2UgZ3JvdXAgZGlmZmVyZW5jZSBhdCBwb3N0dHJlYXRtZW50LCBpbiB3aGljaCB0aGUgRENTIGdyb3VwIGV4aGliaXRlZCBsb3dlciBzZXZlcml0eSBmb3IgdGFyZ2V0ZWQgdGljcyAoZCA9IDEuMzAsIHAgPCAwLjAwMSkgcmVsYXRpdmUgdG8gdGhlIHBsYWNlYm8gZ3JvdXAuIEZpbmRpbmdzIGRlbW9uc3RyYXRlIHRoZSBwcmVsaW1pbmFyeSBlbmhhbmNlbWVudCBvZiB0aWMgc2V2ZXJpdHkgcmVkdWN0aW9ucyBieSBhdWdtZW50aW5nIEhSVCB3aXRoIERDUyBjb21wYXJlZCB3aXRoIHBsYWNlYm8gYXVnbWVudGF0aW9uLkNvcHlyaWdodCDCqSAyMDIwLCBUaGUgQXV0aG9yKHMpLCB1bmRlciBleGNsdXNpdmUgbGljZW5jZSB0byBBbWVyaWNhbiBDb2xsZWdlIG9mIE5ldXJvcHN5Y2hvcGhhcm1hY29sb2d5LiIsImlzc3VlIjoiMTIiLCJ2b2x1bWUiOiI0NSIsImNvbnRhaW5lci10aXRsZS1zaG9ydCI6IiJ9LCJpc1RlbXBvcmFyeSI6ZmFsc2V9XX0=&quot;,&quot;citationItems&quot;:[{&quot;id&quot;:&quot;2d47a1c1-80eb-3f73-80d4-6e4228687e1c&quot;,&quot;itemData&quot;:{&quot;type&quot;:&quot;article-journal&quot;,&quot;id&quot;:&quot;2d47a1c1-80eb-3f73-80d4-6e4228687e1c&quot;,&quot;title&quot;:&quot;Optimizing behavior therapy for youth with Tourette's disorder&quot;,&quot;groupId&quot;:&quot;07d62ac1-5aa8-39af-b49e-52d2088ac571&quot;,&quot;author&quot;:[{&quot;family&quot;:&quot;McGuire&quot;,&quot;given&quot;:&quot;J F&quot;,&quot;parse-names&quot;:false,&quot;dropping-particle&quot;:&quot;&quot;,&quot;non-dropping-particle&quot;:&quot;&quot;},{&quot;family&quot;:&quot;Ginder&quot;,&quot;given&quot;:&quot;N&quot;,&quot;parse-names&quot;:false,&quot;dropping-particle&quot;:&quot;&quot;,&quot;non-dropping-particle&quot;:&quot;&quot;},{&quot;family&quot;:&quot;Ramsey&quot;,&quot;given&quot;:&quot;K&quot;,&quot;parse-names&quot;:false,&quot;dropping-particle&quot;:&quot;&quot;,&quot;non-dropping-particle&quot;:&quot;&quot;},{&quot;family&quot;:&quot;Essoe&quot;,&quot;given&quot;:&quot;J K Y&quot;,&quot;parse-names&quot;:false,&quot;dropping-particle&quot;:&quot;&quot;,&quot;non-dropping-particle&quot;:&quot;&quot;},{&quot;family&quot;:&quot;Ricketts&quot;,&quot;given&quot;:&quot;E J&quot;,&quot;parse-names&quot;:false,&quot;dropping-particle&quot;:&quot;&quot;,&quot;non-dropping-particle&quot;:&quot;&quot;},{&quot;family&quot;:&quot;McCracken&quot;,&quot;given&quot;:&quot;J T&quot;,&quot;parse-names&quot;:false,&quot;dropping-particle&quot;:&quot;&quot;,&quot;non-dropping-particle&quot;:&quot;&quot;},{&quot;family&quot;:&quot;Piacentini&quot;,&quot;given&quot;:&quot;J&quot;,&quot;parse-names&quot;:false,&quot;dropping-particle&quot;:&quot;&quot;,&quot;non-dropping-particle&quot;:&quot;&quot;}],&quot;container-title&quot;:&quot;Neuropsychopharmacology&quot;,&quot;DOI&quot;:&quot;https://dx.doi.org/10.1038/s41386-020-0762-4&quot;,&quot;URL&quot;:&quot;http://www.nature.com/npp/index.htmlhttp://ovidsp.ovid.com/ovidweb.cgi?T=JS&amp;PAGE=reference&amp;D=emed21&amp;NEWS=N&amp;AN=2005544552&quot;,&quot;issued&quot;:{&quot;date-parts&quot;:[[2020]]},&quot;page&quot;:&quot;2114-2119&quot;,&quot;abstract&quot;:&quot;Tourette's Disorder (TD) is characterized by tics that cause distress and impairment. While treatment guidelines recommend behavior therapy as a first-line intervention, patients with TD may exhibit limited therapeutic response. Given the need to improve treatment outcomes, this study examined the efficacy of augmenting behavior therapy with d-cycloserine (DCS) to reduce tic severity in a placebo-controlled quick-win/fast-fail trial. Twenty youth with TD completed a baseline assessment to characterize tic severity, premonitory urges, medical history, and psychiatric comorbidity. Youth were randomly assigned to receive a single session of habit reversal training (HRT) augmented by either 50 mg of DCS or placebo. Two bothersome tics on the Hopkins Motor/Vocal Tic Scale (HM/VTS) were targeted for treatment during HRT. One week after the HRT session, youth completed a posttreatment assessment to evaluate change in the severity of bothersome tics. All assessments were completed by independent evaluators masked to treatment group. There was a Treatment Group by Time Interaction in favor of DCS-augmented HRT (p &lt; 0.01), controlling for baseline tic severity, tic medication, and attention deficit hyperactivity disorder. Follow-up comparisons revealed small group differences at the treatment visit (d = 0.27), with the DCS group exhibiting slightly greater severity for targeted tics. There was a large group difference at posttreatment, in which the DCS group exhibited lower severity for targeted tics (d = 1.30, p &lt; 0.001) relative to the placebo group. Findings demonstrate the preliminary enhancement of tic severity reductions by augmenting HRT with DCS compared with placebo augmentation.Copyright © 2020, The Author(s), under exclusive licence to American College of Neuropsychopharmacology.&quot;,&quot;issue&quot;:&quot;12&quot;,&quot;volume&quot;:&quot;45&quot;,&quot;container-title-short&quot;:&quot;&quot;},&quot;isTemporary&quot;:false}]},{&quot;citationID&quot;:&quot;MENDELEY_CITATION_8acf587d-a2dc-4753-8946-fa9f2421427e&quot;,&quot;properties&quot;:{&quot;noteIndex&quot;:0},&quot;isEdited&quot;:false,&quot;manualOverride&quot;:{&quot;isManuallyOverridden&quot;:false,&quot;citeprocText&quot;:&quot;(69)&quot;,&quot;manualOverrideText&quot;:&quot;&quot;},&quot;citationTag&quot;:&quot;MENDELEY_CITATION_v3_eyJjaXRhdGlvbklEIjoiTUVOREVMRVlfQ0lUQVRJT05fOGFjZjU4N2QtYTJkYy00NzUzLTg5NDYtZmE5ZjI0MjE0MjdlIiwicHJvcGVydGllcyI6eyJub3RlSW5kZXgiOjB9LCJpc0VkaXRlZCI6ZmFsc2UsIm1hbnVhbE92ZXJyaWRlIjp7ImlzTWFudWFsbHlPdmVycmlkZGVuIjpmYWxzZSwiY2l0ZXByb2NUZXh0IjoiKDY5KSIsIm1hbnVhbE92ZXJyaWRlVGV4dCI6IiJ9LCJjaXRhdGlvbkl0ZW1zIjpbeyJpZCI6IjA3ODhlOGZlLTczOTktM2E5MC1hMWNmLWNjY2M4MDNmOWFkMiIsIml0ZW1EYXRhIjp7InR5cGUiOiJhcnRpY2xlLWpvdXJuYWwiLCJpZCI6IjA3ODhlOGZlLTczOTktM2E5MC1hMWNmLWNjY2M4MDNmOWFkMiIsInRpdGxlIjoiQm90dWxpbnVtIHRveGluIGluIHRoZSB0cmVhdG1lbnQgb2YgZHlzdG9uaWMgdGljcyIsImdyb3VwSWQiOiIwN2Q2MmFjMS01YWE4LTM5YWYtYjQ5ZS01MmQyMDg4YWM1NzEiLCJhdXRob3IiOlt7ImZhbWlseSI6IkphbmtvdmljIiwiZ2l2ZW4iOiJKIiwicGFyc2UtbmFtZXMiOmZhbHNlLCJkcm9wcGluZy1wYXJ0aWNsZSI6IiIsIm5vbi1kcm9wcGluZy1wYXJ0aWNsZSI6IiJ9XSwiY29udGFpbmVyLXRpdGxlIjoiTW92ZW1lbnQgRGlzb3JkZXJzIiwiRE9JIjoiaHR0cDovL2R4LmRvaS5vcmcvMTAuMTAwMi9tZHMuODcwMDkwMzE1IiwiVVJMIjoiaHR0cDovL292aWRzcC5vdmlkLmNvbS9vdmlkd2ViLmNnaT9UPUpTJlBBR0U9cmVmZXJlbmNlJkQ9ZW1lZDUmTkVXUz1OJkFOPTI0MTUwMTI1IiwiaXNzdWVkIjp7ImRhdGUtcGFydHMiOltbMTk5NF1dfSwicGFnZSI6IjM0Ny0zNDkiLCJhYnN0cmFjdCI6IkJvdHVsaW51bSB0b3hpbiAoQlRYKSBpbmplY3Rpb25zIHByb3ZpZGUgZWZmZWN0aXZlIHRyZWF0bWVudCBmb3IgYSB2YXJpZXR5IG9mIGRpc29yZGVycyBtYW5pZmVzdGVkIGJ5IGluYXBwcm9wcmlhdGUgbXVzY2xlIGNvbnRyYWN0aW9ucywgYnV0IGl0cyBlZmZpY2FjeSBpbiB0aGUgdHJlYXRtZW50IG9mIHRpY3MgaGFzIG5vdCBiZWVuIHByZXZpb3VzbHkgc3R1ZGllZC4gVGVuIG1hbGUgcGF0aWVudHMgMTMtNTMgeWVhcnMgb2YgYWdlIHdobyB3ZXJlIGRpYWdub3NlZCB3aXRoIFRvdXJldHRlJ3Mgc3luZHJvbWUgbWFuaWZlc3RlZCBieSBkaXNhYmxpbmcgZm9jYWwgdGljcyB3ZXJlIGluY2x1ZGVkIGluIHRoaXMgcGlsb3Qgc3R1ZHkuIEZpdmUgcGF0aWVudHMgaGFkIGZyZXF1ZW50IGJsaW5raW5nIGFuZCBibGVwaGFyb3NwYXNtLCByZW5kZXJpbmcgdGhlbSAnYmxpbmQsJyBhbmQgZml2ZSBwYXRpZW50cyBoYWQgc2V2ZXJlIGFuZCBwYWluZnVsIGR5c3RvbmljIHRpY3MgaW52b2x2aW5nIHRoZWlyIG5lY2sgbXVzY2xlcy4gQWxsIDEwIHBhdGllbnRzIGV4cGVyaWVuY2VkIG1vZGVyYXRlIHRvIG1hcmtlZCBpbXByb3ZlbWVudCBpbiB0aGUgaW50ZW5zaXR5IGFuZCBmcmVxdWVuY3kgb2YgdGljcyBhZnRlciBCVFggaW5qZWN0aW9ucyBpbnRvIHRoZSBpbnZvbHZlZCBtdXNjbGVzLiBQYXRpZW50cyBpbiB3aG9tIHByZW1vbml0b3J5IHVyZ2VzIHByZWNlZGVkIHRoZWlyIHRpY3Mgbm90ZWQgbWFya2VkIGxlc3NlbmluZyBvZiB0aGVzZSBzZW5zb3J5IHN5bXB0b21zLiBUaGUgYmVuZWZpdCBsYXN0ZWQgMi0yMCB3ZWVrcyBhZnRlciBpbmplY3Rpb25zLiBUaGVyZSB3ZXJlIG5vIHNlcmlvdXMgY29tcGxpY2F0aW9ucywgZXhjZXB0IGZvciB0cmFuc2llbnQgcHRvc2lzIGluIHR3byBhbmQgbmVjayBwYWluLCBzdGlmZm5lc3MsIG9yIHdlYWtuZXNzIGluIHRocmVlIHBhdGllbnRzLiBCVFggaW5qZWN0aW9ucyBhcHBlYXIgdG8gYmUgc2FmZSBhbmQgZWZmZWN0aXZlIHRyZWF0bWVudCBmb3IgcGF0aWVudHMgd2l0aCBmb2NhbCBkeXN0b25pYyB0aWNzLiBUaGUgdHJlYXRtZW50IGFtZWxpb3JhdGVzIG5vdCBvbmx5IGludm9sdW50YXJ5IG1vdmVtZW50cyBidXQgYWxzbyB0aGUgcHJlbW9uaXRvcnkgc2Vuc29yeSBjb21wb25lbnQgYXNzb2NpYXRlZCB3aXRoIHNvbWUgdGljcy4iLCJpc3N1ZSI6IjMiLCJ2b2x1bWUiOiI5IiwiY29udGFpbmVyLXRpdGxlLXNob3J0IjoiIn0sImlzVGVtcG9yYXJ5IjpmYWxzZX1dfQ==&quot;,&quot;citationItems&quot;:[{&quot;id&quot;:&quot;0788e8fe-7399-3a90-a1cf-cccc803f9ad2&quot;,&quot;itemData&quot;:{&quot;type&quot;:&quot;article-journal&quot;,&quot;id&quot;:&quot;0788e8fe-7399-3a90-a1cf-cccc803f9ad2&quot;,&quot;title&quot;:&quot;Botulinum toxin in the treatment of dystonic tics&quot;,&quot;groupId&quot;:&quot;07d62ac1-5aa8-39af-b49e-52d2088ac571&quot;,&quot;author&quot;:[{&quot;family&quot;:&quot;Jankovic&quot;,&quot;given&quot;:&quot;J&quot;,&quot;parse-names&quot;:false,&quot;dropping-particle&quot;:&quot;&quot;,&quot;non-dropping-particle&quot;:&quot;&quot;}],&quot;container-title&quot;:&quot;Movement Disorders&quot;,&quot;DOI&quot;:&quot;http://dx.doi.org/10.1002/mds.870090315&quot;,&quot;URL&quot;:&quot;http://ovidsp.ovid.com/ovidweb.cgi?T=JS&amp;PAGE=reference&amp;D=emed5&amp;NEWS=N&amp;AN=24150125&quot;,&quot;issued&quot;:{&quot;date-parts&quot;:[[1994]]},&quot;page&quot;:&quot;347-349&quot;,&quot;abstract&quot;:&quot;Botulinum toxin (BTX) injections provide effective treatment for a variety of disorders manifested by inappropriate muscle contractions, but its efficacy in the treatment of tics has not been previously studied. Ten male patients 13-53 years of age who were diagnosed with Tourette's syndrome manifested by disabling focal tics were included in this pilot study. Five patients had frequent blinking and blepharospasm, rendering them 'blind,' and five patients had severe and painful dystonic tics involving their neck muscles. All 10 patients experienced moderate to marked improvement in the intensity and frequency of tics after BTX injections into the involved muscles. Patients in whom premonitory urges preceded their tics noted marked lessening of these sensory symptoms. The benefit lasted 2-20 weeks after injections. There were no serious complications, except for transient ptosis in two and neck pain, stiffness, or weakness in three patients. BTX injections appear to be safe and effective treatment for patients with focal dystonic tics. The treatment ameliorates not only involuntary movements but also the premonitory sensory component associated with some tics.&quot;,&quot;issue&quot;:&quot;3&quot;,&quot;volume&quot;:&quot;9&quot;,&quot;container-title-short&quot;:&quot;&quot;},&quot;isTemporary&quot;:false}]},{&quot;citationID&quot;:&quot;MENDELEY_CITATION_4f3305f7-c2a8-4219-aa87-8d2f9163446c&quot;,&quot;properties&quot;:{&quot;noteIndex&quot;:0},&quot;isEdited&quot;:false,&quot;manualOverride&quot;:{&quot;isManuallyOverridden&quot;:false,&quot;citeprocText&quot;:&quot;(70)&quot;,&quot;manualOverrideText&quot;:&quot;&quot;},&quot;citationTag&quot;:&quot;MENDELEY_CITATION_v3_eyJjaXRhdGlvbklEIjoiTUVOREVMRVlfQ0lUQVRJT05fNGYzMzA1ZjctYzJhOC00MjE5LWFhODctOGQyZjkxNjM0NDZjIiwicHJvcGVydGllcyI6eyJub3RlSW5kZXgiOjB9LCJpc0VkaXRlZCI6ZmFsc2UsIm1hbnVhbE92ZXJyaWRlIjp7ImlzTWFudWFsbHlPdmVycmlkZGVuIjpmYWxzZSwiY2l0ZXByb2NUZXh0IjoiKDcwKSIsIm1hbnVhbE92ZXJyaWRlVGV4dCI6IiJ9LCJjaXRhdGlvbkl0ZW1zIjpbeyJpZCI6Ijg2Mzk2YjkwLTNiZjctM2U0YS1hNjQ2LWZiMmE0ZjgzNjhmNiIsIml0ZW1EYXRhIjp7InR5cGUiOiJhcnRpY2xlLWpvdXJuYWwiLCJpZCI6Ijg2Mzk2YjkwLTNiZjctM2U0YS1hNjQ2LWZiMmE0ZjgzNjhmNiIsInRpdGxlIjoiQm90dWxpbnVtIHRveGluIGluIHRoZSB0cmVhdG1lbnQgb2YgdGljcyIsImdyb3VwSWQiOiIwN2Q2MmFjMS01YWE4LTM5YWYtYjQ5ZS01MmQyMDg4YWM1NzEiLCJhdXRob3IiOlt7ImZhbWlseSI6Ikt3YWsiLCJnaXZlbiI6IkMgSCIsInBhcnNlLW5hbWVzIjpmYWxzZSwiZHJvcHBpbmctcGFydGljbGUiOiIiLCJub24tZHJvcHBpbmctcGFydGljbGUiOiIifSx7ImZhbWlseSI6Ikhhbm5hIiwiZ2l2ZW4iOiJQIEEiLCJwYXJzZS1uYW1lcyI6ZmFsc2UsImRyb3BwaW5nLXBhcnRpY2xlIjoiIiwibm9uLWRyb3BwaW5nLXBhcnRpY2xlIjoiIn0seyJmYW1pbHkiOiJKYW5rb3ZpYyIsImdpdmVuIjoiSiIsInBhcnNlLW5hbWVzIjpmYWxzZSwiZHJvcHBpbmctcGFydGljbGUiOiIiLCJub24tZHJvcHBpbmctcGFydGljbGUiOiIifV0sImNvbnRhaW5lci10aXRsZSI6IkFyY2hpdmVzIG9mIE5ldXJvbG9neSIsIkRPSSI6Imh0dHA6Ly9keC5kb2kub3JnLzEwLjEwMDEvYXJjaG5ldXIuNTcuOC4xMTkwIiwiVVJMIjoiaHR0cDovL292aWRzcC5vdmlkLmNvbS9vdmlkd2ViLmNnaT9UPUpTJlBBR0U9cmVmZXJlbmNlJkQ9ZW1lZDcmTkVXUz1OJkFOPTMwNjQ0NjY3IiwiaXNzdWVkIjp7ImRhdGUtcGFydHMiOltbMjAwMF1dfSwicGFnZSI6IjExOTAtMTE5MyIsImFic3RyYWN0IjoiT2JqZWN0aXZlOiBUbyBldmFsdWF0ZSB0aGUgc2FmZXR5IGFuZCBlZmZpY2FjeSBvZiBib3R1bGludW0gdG94aW4gQSAoQlRYKSBpbmplY3Rpb25zIGluIHRoZSB0cmVhdG1lbnQgb2YgdGljcyBpbiBwYXRpZW50cyB3aXRoIFRvdXJldHRlIHN5bmRyb21lIChUUykuIEJhY2tncm91bmQocyk6IEJUWCBpcyBhbiBlZmZlY3RpdmUgdHJlYXRtZW50IGZvciBhbiBpbmNyZWFzaW5nIG51bWJlciBvZiBjb25kaXRpb25zIGNoYXJhY3Rlcml6ZWQgYnkgYWJub3JtYWwgbXVzY2xlIGNvbnRyYWN0aW9ucy4gQlRYIG1heSBpbXByb3ZlIG5vdCBvbmx5IHRoZSBtb3RvciBjb21wb25lbnQgb2YgdGljcywgYnV0IGFsc28gcHJlbW9uaXRvcnkgc2Vuc2F0aW9ucyB0aGF0IHByZWNlZGUgdGljcy4gTWV0aG9kKHMpOiBUaGlydHktZml2ZSBwYXRpZW50cyAoMzAgbWFsZSwgNSBmZW1hbGUpIHdlcmUgdHJlYXRlZCB3aXRoIEJUWCBpbiB0aGUgc2l0ZXMgb2YgdGhlaXIgbW9zdCBwcm9ibGVtYXRpYyB0aWNzLiBSZXNwb25zZSB0byBCVFggd2FzIGJhc2VkIG9uIGEgMCB0byA0IGNsaW5pY2FsIHJhdGluZyBzY2FsZSAoMCwgbm8gaW1wcm92ZW1lbnQsIHRvIDQsIG1hcmtlZCBpbXByb3ZlbWVudCBpbiBib3RoIHNldmVyaXR5IGFuZCBmdW5jdGlvbikuIFF1ZXN0aW9ubmFpcmVzIHdlcmUgYWRtaW5pc3RlcmVkIHRvIGV2YWx1YXRlIHBhdGllbnRzJyBpbXByZXNzaW9ucyBvZiBvdmVyYWxsIGVmZmljYWN5IGFuZCBkZWdyZWUgb2YgYmVuZWZpdCB3aXRoIHByZW1vbml0b3J5IHNlbnNhdGlvbnMuIFJlc3VsdChzKTogTWVhbiBkdXJhdGlvbiBvZiB0aWNzIHByaW9yIHRvIGluaXRpYWwgaW5qZWN0aW9uIHdhcyAxNS4zIHllYXJzIChyYW5nZSwgMS02MiB5ZWFycykgYW5kIG1lYW4gZHVyYXRpb24gb2YgZm9sbG93LXVwIHdhcyAyMS4yIG1vbnRocyAocmFuZ2UsIDEuNS04NCBtb250aHMpLiBUaGUgbWVhbiBwZWFrIGVmZmVjdCByZXNwb25zZSBpbiAzNSBwYXRpZW50cyB0cmVhdGVkIGluIDExNSBzZXNzaW9ucyB3YXMgMi44IChyYW5nZSwgMC00KTsgdGhlIG1lYW4gZHVyYXRpb24gb2YgYmVuZWZpdCB3YXMgMTQuNCB3ZWVrcyAobWF4aW11bSwgNDUgd2Vla3MpOyBhbmQgdGhlIG1lYW4gbGF0ZW5jeSB0byBvbnNldCBvZiBiZW5lZml0IHdhcyAzLjggZGF5cyAobWF4aW11bSwgMTAgZGF5cykuIFR3ZW50eS1vbmUgKDg0JSkgb2YgMjUgcGF0aWVudHMgd2l0aCBwcmVtb25pdG9yeSBzZW5zYXRpb25zIGRlcml2ZWQgbWFya2VkIHJlbGllZiBvZiB0aGVzZSBzeW1wdG9tcyAobWVhbiBiZW5lZml0LCA3MC42JSkuIFRvdGFsIG1lYW4gZG9zZSB3YXMgNTAyLjEgVSAocmFuZ2UsIDE1LTM1NTAgVSk7IG1lYW4gbnVtYmVyIG9mIHZpc2l0cywgMy4zIChyYW5nZSwgMS0xNik7IGFuZCBtZWFuIGRvc2UgcGVyIHZpc2l0LCAxMTkuOSBVIChyYW5nZSwgMTUtMjczIFUpLiBTaXRlcyBvZiBpbmplY3Rpb25zIHdlcmUgYXMgZm9sbG93czogY2VydmljYWwgb3IgdXBwZXIgdGhvcmFjaWMgYXJlYSAoMTcpLCB1cHBlciBmYWNlICgxNCksIGxvd2VyIGZhY2UgKDcpLCB2b2NhbCBjb3JkcyAoNCksIHVwcGVyIGJhY2sgYW5kL29yIHNob3VsZGVyICgzKSwgc2NhbHAgKDEpLCBmb3JlYXJtICgxKSwgbGVnICgxKSBhbmQgcmVjdHVzIGFiZG9taW5pcyAoMSkuIENvbXBsaWNhdGlvbnMgaW5jbHVkZWQgbmVjayB3ZWFrbmVzcyAoNCksIGR5c3BoYWdpYSAoMiksIHB0b3NpcyAoMiksIG5hdXNlYSAoMSksIGh5cG9waG9uaWEgKDEpLCBmYXRpZ3VlICgxKSwgYW5kIGdlbmVyYWxpemVkIHdlYWtuZXNzICgxKSwgd2hpY2ggd2VyZSBhbGwgbWlsZCBhbmQgdHJhbnNpZW50LiBDb25jbHVzaW9uKHMpOiBCb3R1bGludW0gdG94aW4gQSBpbmplY3Rpb25zIGFyZSBhbiBlZmZlY3RpdmUgYW5kIHdlbGwtdG9sZXJhdGVkIHRyZWF0bWVudCBvZiB0aWNzLiBJbiBhZGRpdGlvbiB0byBpbXByb3ZpbmcgdGhlIG1vdG9yIGNvbXBvbmVudCBvZiB0aWNzLCBCVFggYWxzbyBwcm92aWRlcyByZWxpZWYgb2YgcHJlbW9uaXRvcnkgc2Vuc2F0aW9ucy4iLCJpc3N1ZSI6IjgiLCJ2b2x1bWUiOiI1NyIsImNvbnRhaW5lci10aXRsZS1zaG9ydCI6IkFyY2ggTmV1cm9sIn0sImlzVGVtcG9yYXJ5IjpmYWxzZX1dfQ==&quot;,&quot;citationItems&quot;:[{&quot;id&quot;:&quot;86396b90-3bf7-3e4a-a646-fb2a4f8368f6&quot;,&quot;itemData&quot;:{&quot;type&quot;:&quot;article-journal&quot;,&quot;id&quot;:&quot;86396b90-3bf7-3e4a-a646-fb2a4f8368f6&quot;,&quot;title&quot;:&quot;Botulinum toxin in the treatment of tics&quot;,&quot;groupId&quot;:&quot;07d62ac1-5aa8-39af-b49e-52d2088ac571&quot;,&quot;author&quot;:[{&quot;family&quot;:&quot;Kwak&quot;,&quot;given&quot;:&quot;C H&quot;,&quot;parse-names&quot;:false,&quot;dropping-particle&quot;:&quot;&quot;,&quot;non-dropping-particle&quot;:&quot;&quot;},{&quot;family&quot;:&quot;Hanna&quot;,&quot;given&quot;:&quot;P A&quot;,&quot;parse-names&quot;:false,&quot;dropping-particle&quot;:&quot;&quot;,&quot;non-dropping-particle&quot;:&quot;&quot;},{&quot;family&quot;:&quot;Jankovic&quot;,&quot;given&quot;:&quot;J&quot;,&quot;parse-names&quot;:false,&quot;dropping-particle&quot;:&quot;&quot;,&quot;non-dropping-particle&quot;:&quot;&quot;}],&quot;container-title&quot;:&quot;Archives of Neurology&quot;,&quot;DOI&quot;:&quot;http://dx.doi.org/10.1001/archneur.57.8.1190&quot;,&quot;URL&quot;:&quot;http://ovidsp.ovid.com/ovidweb.cgi?T=JS&amp;PAGE=reference&amp;D=emed7&amp;NEWS=N&amp;AN=30644667&quot;,&quot;issued&quot;:{&quot;date-parts&quot;:[[2000]]},&quot;page&quot;:&quot;1190-1193&quot;,&quot;abstract&quot;:&quot;Objective: To evaluate the safety and efficacy of botulinum toxin A (BTX) injections in the treatment of tics in patients with Tourette syndrome (TS). Background(s): BTX is an effective treatment for an increasing number of conditions characterized by abnormal muscle contractions. BTX may improve not only the motor component of tics, but also premonitory sensations that precede tics. Method(s): Thirty-five patients (30 male, 5 female) were treated with BTX in the sites of their most problematic tics. Response to BTX was based on a 0 to 4 clinical rating scale (0, no improvement, to 4, marked improvement in both severity and function). Questionnaires were administered to evaluate patients' impressions of overall efficacy and degree of benefit with premonitory sensations. Result(s): Mean duration of tics prior to initial injection was 15.3 years (range, 1-62 years) and mean duration of follow-up was 21.2 months (range, 1.5-84 months). The mean peak effect response in 35 patients treated in 115 sessions was 2.8 (range, 0-4); the mean duration of benefit was 14.4 weeks (maximum, 45 weeks); and the mean latency to onset of benefit was 3.8 days (maximum, 10 days). Twenty-one (84%) of 25 patients with premonitory sensations derived marked relief of these symptoms (mean benefit, 70.6%). Total mean dose was 502.1 U (range, 15-3550 U); mean number of visits, 3.3 (range, 1-16); and mean dose per visit, 119.9 U (range, 15-273 U). Sites of injections were as follows: cervical or upper thoracic area (17), upper face (14), lower face (7), vocal cords (4), upper back and/or shoulder (3), scalp (1), forearm (1), leg (1) and rectus abdominis (1). Complications included neck weakness (4), dysphagia (2), ptosis (2), nausea (1), hypophonia (1), fatigue (1), and generalized weakness (1), which were all mild and transient. Conclusion(s): Botulinum toxin A injections are an effective and well-tolerated treatment of tics. In addition to improving the motor component of tics, BTX also provides relief of premonitory sensations.&quot;,&quot;issue&quot;:&quot;8&quot;,&quot;volume&quot;:&quot;57&quot;,&quot;container-title-short&quot;:&quot;Arch Neurol&quot;},&quot;isTemporary&quot;:false}]},{&quot;citationID&quot;:&quot;MENDELEY_CITATION_1e68e9a2-7a9a-43fa-814a-ec85610b9663&quot;,&quot;properties&quot;:{&quot;noteIndex&quot;:0},&quot;isEdited&quot;:false,&quot;manualOverride&quot;:{&quot;isManuallyOverridden&quot;:false,&quot;citeprocText&quot;:&quot;(71)&quot;,&quot;manualOverrideText&quot;:&quot;&quot;},&quot;citationTag&quot;:&quot;MENDELEY_CITATION_v3_eyJjaXRhdGlvbklEIjoiTUVOREVMRVlfQ0lUQVRJT05fMWU2OGU5YTItN2E5YS00M2ZhLTgxNGEtZWM4NTYxMGI5NjYzIiwicHJvcGVydGllcyI6eyJub3RlSW5kZXgiOjB9LCJpc0VkaXRlZCI6ZmFsc2UsIm1hbnVhbE92ZXJyaWRlIjp7ImlzTWFudWFsbHlPdmVycmlkZGVuIjpmYWxzZSwiY2l0ZXByb2NUZXh0IjoiKDcxKSIsIm1hbnVhbE92ZXJyaWRlVGV4dCI6IiJ9LCJjaXRhdGlvbkl0ZW1zIjpbeyJpZCI6ImExN2Y2M2E5LTUwZmQtM2NiNy04ZGI2LWE4YjQ1NDQyZTZhYSIsIml0ZW1EYXRhIjp7InR5cGUiOiJhcnRpY2xlLWpvdXJuYWwiLCJpZCI6ImExN2Y2M2E5LTUwZmQtM2NiNy04ZGI2LWE4YjQ1NDQyZTZhYSIsInRpdGxlIjoiQm90dWxpbnVtIHRveGluIGZvciBzaW1wbGUgbW90b3IgdGljczogQSByYW5kb21pemVkLCBkb3VibGUtYmxpbmQsIGNvbnRyb2xsZWQgY2xpbmljYWwgdHJpYWwiLCJncm91cElkIjoiMDdkNjJhYzEtNWFhOC0zOWFmLWI0OWUtNTJkMjA4OGFjNTcxIiwiYXV0aG9yIjpbeyJmYW1pbHkiOiJNYXJyYXMiLCJnaXZlbiI6IkMiLCJwYXJzZS1uYW1lcyI6ZmFsc2UsImRyb3BwaW5nLXBhcnRpY2xlIjoiIiwibm9uLWRyb3BwaW5nLXBhcnRpY2xlIjoiIn0seyJmYW1pbHkiOiJBbmRyZXdzIiwiZ2l2ZW4iOiJEIiwicGFyc2UtbmFtZXMiOmZhbHNlLCJkcm9wcGluZy1wYXJ0aWNsZSI6IiIsIm5vbi1kcm9wcGluZy1wYXJ0aWNsZSI6IiJ9LHsiZmFtaWx5IjoiU2ltZSIsImdpdmVuIjoiRSIsInBhcnNlLW5hbWVzIjpmYWxzZSwiZHJvcHBpbmctcGFydGljbGUiOiIiLCJub24tZHJvcHBpbmctcGFydGljbGUiOiIifSx7ImZhbWlseSI6IkxhbmciLCJnaXZlbiI6IkEgRSIsInBhcnNlLW5hbWVzIjpmYWxzZSwiZHJvcHBpbmctcGFydGljbGUiOiIiLCJub24tZHJvcHBpbmctcGFydGljbGUiOiIifV0sImNvbnRhaW5lci10aXRsZSI6Ik5ldXJvbG9neSIsIkRPSSI6Imh0dHA6Ly9keC5kb2kub3JnLzEwLjEyMTIvV05MLjU2LjUuNjA1IiwiVVJMIjoiaHR0cDovL292aWRzcC5vdmlkLmNvbS9vdmlkd2ViLmNnaT9UPUpTJlBBR0U9cmVmZXJlbmNlJkQ9ZW1lZDcmTkVXUz1OJkFOPTMyMjA5OTkyIiwiaXNzdWVkIjp7ImRhdGUtcGFydHMiOltbMjAwMV1dfSwicGFnZSI6IjYwNS02MTAiLCJhYnN0cmFjdCI6Ik9iamVjdGl2ZTogVG8gZGV0ZXJtaW5lIHRoZSBlZmZlY3Qgb2YgaW5qZWN0aW9ucyBvZiBib3R1bGludW0gdG94aW4gb24gc2ltcGxlIG1vdG9yIHRpY3MuIEJhY2tncm91bmQocyk6IENhc2Ugc2VyaWVzIHdpdGggdW5ibGluZGVkIGFzc2Vzc21lbnRzIGhhdmUgcmVwb3J0ZWQgaW1wcm92ZW1lbnQgaW4gdGljIGZyZXF1ZW5jeSBhbmQgYXNzb2NpYXRlZCB1cmdlIHdpdGggYm90dWxpbnVtIHRveGluLiBNZXRob2Qocyk6IFBhdGllbnRzIHdpdGggc3VpdGFibGUgc2ltcGxlIG1vdG9yIHRpY3Mgd2VyZSByYW5kb21pemVkIHRvIHJlY2VpdmUgYm90dWxpbnVtIHRveGluIGFuZCBwbGFjZWJvIGluIGEgZG91YmxlIGJsaW5kLCBjcm9zc292ZXIgZGVzaWduLiBBbGwgb3V0Y29tZXMgY29tcGFyZWQgd2VlayAyIHRvIGJhc2VsaW5lIG1lYXN1cmVtZW50cy4gVGhlIHByaW1hcnkgb3V0Y29tZSBtZWFzdXJlIHdhcyB0aGUgbnVtYmVyIG9mIHRyZWF0ZWQgdGljcyBwZXIgbWludXRlIG9uIGEgdmlkZW90YXBlIHNlZ21lbnQuIFNlY29uZGFyeSBvdXRjb21lIG1lYXN1cmVzIHdlcmUgbnVtYmVyIG9mIHVudHJlYXRlZCB0aWNzIHBlciBtaW51dGUsIHRoZSBTaGFwaXJvIFRvdXJldHRlIFN5bmRyb21lIFNldmVyaXR5IFNjYWxlIHNjb3JlLCBhIG51bWVyaWNhbCBhc3Nlc3NtZW50IG9mIHRoZSB1cmdlIHRvIHBlcmZvcm0gdGhlIHRyZWF0ZWQgdGljICgwIHRvIDQpLCB0aGUgcHJlbW9uaXRvcnkgc2Vuc2F0aW9uIGFzc29jaWF0ZWQgd2l0aCB0aGUgdHJlYXRlZCB0aWMgKDAgdG8gNCksIGFuZCB0aGUgcGF0aWVudCdzIGdsb2JhbCBpbXByZXNzaW9uIG9mIGNoYW5nZS4gUmVzdWx0KHMpOiBFaWdodGVlbiBwYXRpZW50cyBjb21wbGV0ZWQgdGhlIHN0dWR5LiBUaGUgbWVkaWFuIHJlbGF0aXZlIGNoYW5nZSBpbiB0cmVhdGVkIHRpY3MgcGVyIG1pbnV0ZSB3aXRoIGJvdHVsaW51bSB0b3hpbiB3YXMgLTAuMzkgKG9yIGEgMzklIHJlZHVjdGlvbikgdmVyc3VzIDAuMDU4IChvciBhIDUuOCUgaW5jcmVhc2UpIHdpdGggcGxhY2VibyAobmV0IGVmZmVjdCAtMC4zNywgcCA9IDAuMDAwNykuIFRoZSBhdmVyYWdlIGNoYW5nZSBpbiB1cmdlIHNjb3JlcyAoc2NvcmUgcmFuZ2UgMCB0byA0KSB3YXMgLTAuNDYgaW4gdGhlIHRyZWF0bWVudCBwaGFzZSBhbmQgKzAuNDkgaW4gdGhlIHBsYWNlYm8gcGhhc2UgKG5ldCBlZmZlY3QgMC45NCwgcCA9IDAuMDIpLiBPdGhlciBzZWNvbmRhcnkgb3V0Y29tZSBtZWFzdXJlcyB3ZXJlIG5vdCBzaWduaWZpY2FudGx5IGRpZmZlcmVudCBiZXR3ZWVuIHRoZSB0d28gZ3JvdXBzLiBDb25jbHVzaW9uKHMpOiBCb3R1bGludW0gdG94aW4gcmVkdWNlZCB0cmVhdGVkIHRpYyBmcmVxdWVuY3kgYW5kIHRoZSB1cmdlIGFzc29jaWF0ZWQgd2l0aCB0aGUgdHJlYXRlZCB0aWMuIERlc3BpdGUgdGhlc2UgY2hhbmdlcywgcGF0aWVudHMgZGlkIG5vdCByZXBvcnQgYW4gb3ZlcmFsbCBiZW5lZml0IGZyb20gdGhlIHRyZWF0bWVudC4gQ2FyZWZ1bCBjb25zaWRlcmF0aW9uIG9mIHRoZSBjb250cmlidXRpb24gb2YgdGhlIHRhcmdldCB0aWMgdG8gdGhlIHBhdGllbnQncyBkaXNhYmlsaXR5IGlzIG5lZWRlZCBiZWZvcmUgbWFraW5nIHRyZWF0bWVudCBkZWNpc2lvbnMuIiwiaXNzdWUiOiI1Iiwidm9sdW1lIjoiNTYiLCJjb250YWluZXItdGl0bGUtc2hvcnQiOiJOZXVyb2xvZ3kifSwiaXNUZW1wb3JhcnkiOmZhbHNlfV19&quot;,&quot;citationItems&quot;:[{&quot;id&quot;:&quot;a17f63a9-50fd-3cb7-8db6-a8b45442e6aa&quot;,&quot;itemData&quot;:{&quot;type&quot;:&quot;article-journal&quot;,&quot;id&quot;:&quot;a17f63a9-50fd-3cb7-8db6-a8b45442e6aa&quot;,&quot;title&quot;:&quot;Botulinum toxin for simple motor tics: A randomized, double-blind, controlled clinical trial&quot;,&quot;groupId&quot;:&quot;07d62ac1-5aa8-39af-b49e-52d2088ac571&quot;,&quot;author&quot;:[{&quot;family&quot;:&quot;Marras&quot;,&quot;given&quot;:&quot;C&quot;,&quot;parse-names&quot;:false,&quot;dropping-particle&quot;:&quot;&quot;,&quot;non-dropping-particle&quot;:&quot;&quot;},{&quot;family&quot;:&quot;Andrews&quot;,&quot;given&quot;:&quot;D&quot;,&quot;parse-names&quot;:false,&quot;dropping-particle&quot;:&quot;&quot;,&quot;non-dropping-particle&quot;:&quot;&quot;},{&quot;family&quot;:&quot;Sime&quot;,&quot;given&quot;:&quot;E&quot;,&quot;parse-names&quot;:false,&quot;dropping-particle&quot;:&quot;&quot;,&quot;non-dropping-particle&quot;:&quot;&quot;},{&quot;family&quot;:&quot;Lang&quot;,&quot;given&quot;:&quot;A E&quot;,&quot;parse-names&quot;:false,&quot;dropping-particle&quot;:&quot;&quot;,&quot;non-dropping-particle&quot;:&quot;&quot;}],&quot;container-title&quot;:&quot;Neurology&quot;,&quot;DOI&quot;:&quot;http://dx.doi.org/10.1212/WNL.56.5.605&quot;,&quot;URL&quot;:&quot;http://ovidsp.ovid.com/ovidweb.cgi?T=JS&amp;PAGE=reference&amp;D=emed7&amp;NEWS=N&amp;AN=32209992&quot;,&quot;issued&quot;:{&quot;date-parts&quot;:[[2001]]},&quot;page&quot;:&quot;605-610&quot;,&quot;abstract&quot;:&quot;Objective: To determine the effect of injections of botulinum toxin on simple motor tics. Background(s): Case series with unblinded assessments have reported improvement in tic frequency and associated urge with botulinum toxin. Method(s): Patients with suitable simple motor tics were randomized to receive botulinum toxin and placebo in a double blind, crossover design. All outcomes compared week 2 to baseline measurements. The primary outcome measure was the number of treated tics per minute on a videotape segment. Secondary outcome measures were number of untreated tics per minute, the Shapiro Tourette Syndrome Severity Scale score, a numerical assessment of the urge to perform the treated tic (0 to 4), the premonitory sensation associated with the treated tic (0 to 4), and the patient's global impression of change. Result(s): Eighteen patients completed the study. The median relative change in treated tics per minute with botulinum toxin was -0.39 (or a 39% reduction) versus 0.058 (or a 5.8% increase) with placebo (net effect -0.37, p = 0.0007). The average change in urge scores (score range 0 to 4) was -0.46 in the treatment phase and +0.49 in the placebo phase (net effect 0.94, p = 0.02). Other secondary outcome measures were not significantly different between the two groups. Conclusion(s): Botulinum toxin reduced treated tic frequency and the urge associated with the treated tic. Despite these changes, patients did not report an overall benefit from the treatment. Careful consideration of the contribution of the target tic to the patient's disability is needed before making treatment decisions.&quot;,&quot;issue&quot;:&quot;5&quot;,&quot;volume&quot;:&quot;56&quot;,&quot;container-title-short&quot;:&quot;Neurology&quot;},&quot;isTemporary&quot;:false}]},{&quot;citationID&quot;:&quot;MENDELEY_CITATION_da37fb1c-1954-4e90-a5f6-0ee8c0c445be&quot;,&quot;properties&quot;:{&quot;noteIndex&quot;:0},&quot;isEdited&quot;:false,&quot;manualOverride&quot;:{&quot;isManuallyOverridden&quot;:false,&quot;citeprocText&quot;:&quot;(72)&quot;,&quot;manualOverrideText&quot;:&quot;&quot;},&quot;citationTag&quot;:&quot;MENDELEY_CITATION_v3_eyJjaXRhdGlvbklEIjoiTUVOREVMRVlfQ0lUQVRJT05fZGEzN2ZiMWMtMTk1NC00ZTkwLWE1ZjYtMGVlOGMwYzQ0NWJlIiwicHJvcGVydGllcyI6eyJub3RlSW5kZXgiOjB9LCJpc0VkaXRlZCI6ZmFsc2UsIm1hbnVhbE92ZXJyaWRlIjp7ImlzTWFudWFsbHlPdmVycmlkZGVuIjpmYWxzZSwiY2l0ZXByb2NUZXh0IjoiKDcyKSIsIm1hbnVhbE92ZXJyaWRlVGV4dCI6IiJ9LCJjaXRhdGlvbkl0ZW1zIjpbeyJpZCI6IjI3NjdkYmM0LTc5NDEtM2NjYi1hMzc5LTY0NzcxMWRmZTNlZCIsIml0ZW1EYXRhIjp7InR5cGUiOiJhcnRpY2xlLWpvdXJuYWwiLCJpZCI6IjI3NjdkYmM0LTc5NDEtM2NjYi1hMzc5LTY0NzcxMWRmZTNlZCIsInRpdGxlIjoiUHJlbW9uaXRvcnkgc2Vuc29yeSBwaGVub21lbm9uIGluIFRvdXJldHRlJ3Mgc3luZHJvbWUiLCJncm91cElkIjoiMDdkNjJhYzEtNWFhOC0zOWFmLWI0OWUtNTJkMjA4OGFjNTcxIiwiYXV0aG9yIjpbeyJmYW1pbHkiOiJLd2FrIiwiZ2l2ZW4iOiJDIiwicGFyc2UtbmFtZXMiOmZhbHNlLCJkcm9wcGluZy1wYXJ0aWNsZSI6IiIsIm5vbi1kcm9wcGluZy1wYXJ0aWNsZSI6IiJ9LHsiZmFtaWx5IjoiRGF0IFZ1b25nIiwiZ2l2ZW4iOiJLIiwicGFyc2UtbmFtZXMiOmZhbHNlLCJkcm9wcGluZy1wYXJ0aWNsZSI6IiIsIm5vbi1kcm9wcGluZy1wYXJ0aWNsZSI6IiJ9LHsiZmFtaWx5IjoiSmFua292aWMiLCJnaXZlbiI6IkoiLCJwYXJzZS1uYW1lcyI6ZmFsc2UsImRyb3BwaW5nLXBhcnRpY2xlIjoiIiwibm9uLWRyb3BwaW5nLXBhcnRpY2xlIjoiIn1dLCJjb250YWluZXItdGl0bGUiOiJNb3YgRGlzb3JkIiwiRE9JIjoiMTAuMTAwMi9tZHMuMTA2MTgiLCJQTUlEIjoiMTQ2NzM4OTMiLCJVUkwiOiJodHRwczovL21vdmVtZW50ZGlzb3JkZXJzLW9ubGluZWxpYnJhcnktd2lsZXktY29tLnByb3h5LmxpYnJhcnkudmFuZGVyYmlsdC5lZHUvZG9pL2Z1bGwvMTAuMTAwMi9tZHMuMTA2MTgiLCJpc3N1ZWQiOnsiZGF0ZS1wYXJ0cyI6W1syMDAzXV19LCJwYWdlIjoiMTUzMC0xNTMzIiwiYWJzdHJhY3QiOiJXZSBhZG1pbmlzdGVyZWQgYSBxdWVzdGlvbm5haXJlIGRlc2lnbmVkIHRvIHByb2JlIGZvciBwcmVtb25pdG9yeSBzZW5zYXRpb25zIGFzc29jaWF0ZWQgd2l0aCBtb3RvciB0aWNzIHRvIDUwIHBhdGllbnRzIHdpdGggVG91cmV0dGUncyBzeW5kcm9tZSAoVFMpLiBQcmVtb25pdG9yeSBzZW5zYXRpb25zIHdlcmUgcmVwb3J0ZWQgYnkgNDYgKDkyJSkgcGF0aWVudHMsIGFuZCB0aGUgbW9zdCBjb21tb24gc2Vuc2F0aW9uIHdhcyBhbiB1cmdlIHRvIG1vdmUgYW5kIGFuIGltcHVsc2UgdG8gdGljIChcImhhZCB0byBkbyBpdFwiKS4gSW50ZW5zaWZpY2F0aW9uIG9mIHByZW1vbml0b3J5IHNlbnNhdGlvbnMsIGlmIHByZXZlbnRlZCBmcm9tIHBlcmZvcm1pbmcgYSBtb3RvciB0aWMsIHdhcyByZXBvcnRlZCBhbHNvIGluIDM3IHBhdGllbnRzICg3NCUpLCAzNiBwYXRpZW50cyAoNzIlKSByZXBvcnRlZCByZWxpZWYgb2YgcHJlbW9uaXRvcnkgc2Vuc2F0aW9ucyBhZnRlciBwZXJmb3JtaW5nIHRoZSB0aWMsIGFuZCAyNyBvZiA0MCAoNjglKSBkZXNjcmliZWQgYSBtb3RvciB0aWMgYXMgYSB2b2x1bnRhcnkgbW90b3IgcmVzcG9uc2UgdG8gYW4gaW52b2x1bnRhcnkgc2Vuc2F0aW9uLCByYXRoZXIgdGhhbiBhIGNvbXBsZXRlbHkgaW52b2x1bnRhcnkgbW92ZW1lbnQuIFRoZSBcImp1c3QgcmlnaHRcIiBzZW5zYXRpb24gY29ycmVsYXRlZCB3aXRoIHRoZSBwcmVzZW5jZSBvZiBjby1tb3JiaWQgb2JzZXNzaXZlLWNvbXB1bHNpdmUgZGlzb3JkZXIuIFdlIGNvbmNsdWRlIHRoYXQgcHJlbW9uaXRvcnkgc2Vuc2F0aW9ucyBhcmUgYW4gaW1wb3J0YW50IGFzcGVjdCBvZiBtb3RvciB0aWNzIGFuZCBzb21lIHBhdGllbnRzIHBlcmNlaXZlIG1vdG9yIHRpY3MgYXMgYSB2b2x1bnRhcnkgbW92ZW1lbnQgaW4gcmVzcG9uc2UgdG8gYW4gaW52b2x1bnRhcnkgc2Vuc2F0aW9uLiIsImlzc3VlIjoiMTIiLCJ2b2x1bWUiOiIxOCIsImNvbnRhaW5lci10aXRsZS1zaG9ydCI6IiJ9LCJpc1RlbXBvcmFyeSI6ZmFsc2V9XX0=&quot;,&quot;citationItems&quot;:[{&quot;id&quot;:&quot;2767dbc4-7941-3ccb-a379-647711dfe3ed&quot;,&quot;itemData&quot;:{&quot;type&quot;:&quot;article-journal&quot;,&quot;id&quot;:&quot;2767dbc4-7941-3ccb-a379-647711dfe3ed&quot;,&quot;title&quot;:&quot;Premonitory sensory phenomenon in Tourette's syndrome&quot;,&quot;groupId&quot;:&quot;07d62ac1-5aa8-39af-b49e-52d2088ac571&quot;,&quot;author&quot;:[{&quot;family&quot;:&quot;Kwak&quot;,&quot;given&quot;:&quot;C&quot;,&quot;parse-names&quot;:false,&quot;dropping-particle&quot;:&quot;&quot;,&quot;non-dropping-particle&quot;:&quot;&quot;},{&quot;family&quot;:&quot;Dat Vuong&quot;,&quot;given&quot;:&quot;K&quot;,&quot;parse-names&quot;:false,&quot;dropping-particle&quot;:&quot;&quot;,&quot;non-dropping-particle&quot;:&quot;&quot;},{&quot;family&quot;:&quot;Jankovic&quot;,&quot;given&quot;:&quot;J&quot;,&quot;parse-names&quot;:false,&quot;dropping-particle&quot;:&quot;&quot;,&quot;non-dropping-particle&quot;:&quot;&quot;}],&quot;container-title&quot;:&quot;Mov Disord&quot;,&quot;DOI&quot;:&quot;10.1002/mds.10618&quot;,&quot;PMID&quot;:&quot;14673893&quot;,&quot;URL&quot;:&quot;https://movementdisorders-onlinelibrary-wiley-com.proxy.library.vanderbilt.edu/doi/full/10.1002/mds.10618&quot;,&quot;issued&quot;:{&quot;date-parts&quot;:[[2003]]},&quot;page&quot;:&quot;1530-1533&quot;,&quot;abstract&quot;:&quot;We administered a questionnaire designed to probe for premonitory sensations associated with motor tics to 50 patients with Tourette's syndrome (TS). Premonitory sensations were reported by 46 (92%) patients, and the most common sensation was an urge to move and an impulse to tic (\&quot;had to do it\&quot;). Intensification of premonitory sensations, if prevented from performing a motor tic, was reported also in 37 patients (74%), 36 patients (72%) reported relief of premonitory sensations after performing the tic, and 27 of 40 (68%) described a motor tic as a voluntary motor response to an involuntary sensation, rather than a completely involuntary movement. The \&quot;just right\&quot; sensation correlated with the presence of co-morbid obsessive-compulsive disorder. We conclude that premonitory sensations are an important aspect of motor tics and some patients perceive motor tics as a voluntary movement in response to an involuntary sensation.&quot;,&quot;issue&quot;:&quot;12&quot;,&quot;volume&quot;:&quot;18&quot;,&quot;container-title-short&quot;:&quot;&quot;},&quot;isTemporary&quot;:false}]},{&quot;citationID&quot;:&quot;MENDELEY_CITATION_7a66074d-8215-4770-a450-64a8ae08b2a4&quot;,&quot;properties&quot;:{&quot;noteIndex&quot;:0},&quot;isEdited&quot;:false,&quot;manualOverride&quot;:{&quot;isManuallyOverridden&quot;:false,&quot;citeprocText&quot;:&quot;(73)&quot;,&quot;manualOverrideText&quot;:&quot;&quot;},&quot;citationTag&quot;:&quot;MENDELEY_CITATION_v3_eyJjaXRhdGlvbklEIjoiTUVOREVMRVlfQ0lUQVRJT05fN2E2NjA3NGQtODIxNS00NzcwLWE0NTAtNjRhOGFlMDhiMmE0IiwicHJvcGVydGllcyI6eyJub3RlSW5kZXgiOjB9LCJpc0VkaXRlZCI6ZmFsc2UsIm1hbnVhbE92ZXJyaWRlIjp7ImlzTWFudWFsbHlPdmVycmlkZGVuIjpmYWxzZSwiY2l0ZXByb2NUZXh0IjoiKDczKSIsIm1hbnVhbE92ZXJyaWRlVGV4dCI6IiJ9LCJjaXRhdGlvbkl0ZW1zIjpbeyJpZCI6ImYwZjc1YzNkLTIxZGItM2UwYS1hZGM3LWEzN2Y2NGQ5ZGZkYSIsIml0ZW1EYXRhIjp7InR5cGUiOiJhcnRpY2xlLWpvdXJuYWwiLCJpZCI6ImYwZjc1YzNkLTIxZGItM2UwYS1hZGM3LWEzN2Y2NGQ5ZGZkYSIsInRpdGxlIjoiQm90dWxpbnVtIHRveGluIHR5cGUgQSBpbiBzaW1wbGUgbW90b3IgdGljczogU2hvcnQtdGVybSBhbmQgbG9uZy10ZXJtIHRyZWF0bWVudC1lZmZlY3RzIiwiZ3JvdXBJZCI6IjA3ZDYyYWMxLTVhYTgtMzlhZi1iNDllLTUyZDIwODhhYzU3MSIsImF1dGhvciI6W3siZmFtaWx5IjoiUmF0aCIsImdpdmVuIjoiSiBKIEciLCJwYXJzZS1uYW1lcyI6ZmFsc2UsImRyb3BwaW5nLXBhcnRpY2xlIjoiIiwibm9uLWRyb3BwaW5nLXBhcnRpY2xlIjoiIn0seyJmYW1pbHkiOiJUYXZ5IiwiZ2l2ZW4iOiJEIEwgSiIsInBhcnNlLW5hbWVzIjpmYWxzZSwiZHJvcHBpbmctcGFydGljbGUiOiIiLCJub24tZHJvcHBpbmctcGFydGljbGUiOiIifSx7ImZhbWlseSI6IldlcnRlbmJyb2VrIiwiZ2l2ZW4iOiJBIEEgQSBDIE0iLCJwYXJzZS1uYW1lcyI6ZmFsc2UsImRyb3BwaW5nLXBhcnRpY2xlIjoiIiwibm9uLWRyb3BwaW5nLXBhcnRpY2xlIjoiIn0seyJmYW1pbHkiOiJXb2Vya29tIiwiZ2l2ZW4iOiJUIEMgQSBNIiwicGFyc2UtbmFtZXMiOmZhbHNlLCJkcm9wcGluZy1wYXJ0aWNsZSI6IiIsIm5vbi1kcm9wcGluZy1wYXJ0aWNsZSI6InZhbiJ9LHsiZmFtaWx5IjoiQnJ1aWpuIiwiZ2l2ZW4iOiJTIEYgVCBNIiwicGFyc2UtbmFtZXMiOmZhbHNlLCJkcm9wcGluZy1wYXJ0aWNsZSI6IiIsIm5vbi1kcm9wcGluZy1wYXJ0aWNsZSI6ImRlIn1dLCJjb250YWluZXItdGl0bGUiOiJQYXJraW5zb25pc20gYW5kIFJlbGF0ZWQgRGlzb3JkZXJzIiwiRE9JIjoiaHR0cHM6Ly9keC5kb2kub3JnLzEwLjEwMTYvai5wYXJrcmVsZGlzLjIwMDkuMTEuMDExIiwiVVJMIjoiaHR0cHM6Ly93d3cuZWxzZXZpZXIuY29tL2xvY2F0ZS9wYXJrcmVsZGlzaHR0cDovL292aWRzcC5vdmlkLmNvbS9vdmlkd2ViLmNnaT9UPUpTJlBBR0U9cmVmZXJlbmNlJkQ9ZW1lZDExJk5FV1M9TiZBTj01MDc0MzUwNiIsImlzc3VlZCI6eyJkYXRlLXBhcnRzIjpbWzIwMTBdXX0sInBhZ2UiOiI0NzgtNDgxIiwiYWJzdHJhY3QiOiJUbyBkZXRlcm1pbmUgdGhlIHNob3J0LXRlcm0gYW5kIGxvbmctdGVybSB0cmVhdG1lbnQtZWZmZWN0cyBvZiBib3R1bGludW0gdG94aW4gdHlwZSBBIGluIHNpbXBsZSBtb3RvciB0aWNzLCB3ZSBhbmFseXplZCAxNSBjb25zZWN1dGl2ZSBwYXRpZW50cyAoMTggdGljcykgd2l0aCBzaW1wbGUgbW90b3IgdGljcyB0aGF0IHdlcmUgdHJlYXRlZCBldmVyeSAzIG1vbnRocyB3aXRoIGluamVjdGlvbnMgb2YgQlRYLUEuIEVmZmljYWN5IChyYXRlZCBvbiBhIDQtbGV2ZWwgc2NhbGUpIGFuZCBkdXJhdGlvbiBvZiBlZmZlY3Qgb2YgdGhlIGZpcnN0IDIgYW5kIGxhc3QgMiAoaWYgdHJlYXRlZCA1IHRpbWVzIG9yIG1vcmUpIHRyZWF0bWVudHMgd2VyZSByZWNvcmRlZCwgYXMgd2VsbCBhcyBsYXRlbmN5IG9mIHJlc3BvbnNlLCBjaGFuZ2VzIG9mIHByZW1vbml0b3J5IHVyZ2VzIChQTVVzKSBhbmQgcG9zc2libGUgc2lkZSBlZmZlY3RzLlRvdGFsIG51bWJlciBvZiB0cmVhdG1lbnRzIGZvciBlYWNoIHRpYyB2YXJpZWQgZnJvbSAyIHRvIDUwIChtZWFuIDExLCBtZWRpYW4gNikuIEluIDE2IG9mIDE4IHRpY3MgKDg5JSkgc2hvcnQtdGVybSBlZmZpY2FjeSB3YXMgcmVwb3J0ZWQgc3VjY2Vzc2Z1bCAoZ29vZCBvciBtb2RlcmF0ZSkuIExvbmctdGVybSBlZmZpY2FjeSB3YXMgcmVwb3J0ZWQgaW4gMTIgdGljcyBvZiB3aGljaCAxMSBzaG93ZWQgc2ltaWxhciBvciBldmVuIGluY3JlYXNlZCBiZW5lZmljaWFsIGVmZmVjdHMuIFByZW1vbml0b3J5IHVyZ2UgKFBNVSkgd2FzIHJlcG9ydGVkIGluIDggcGF0aWVudHMgKDUzJSkuIFBNVSwgaWYgcHJlc2VudCwgbGVzc2VuZWQgb3IgZGlzYXBwZWFyZWQgYWZ0ZXIgdHJlYXRtZW50IHdpdGggQlRYLUEuIEEgcGVybWFuZW50IHJlbWlzc2lvbiBvZiB0aGUgdHJlYXRlZCB0aWMgd2FzIHNlZW4gaW4gMyBwYXRpZW50cyB3aXRoIGEgbWF4aW11bSBmb2xsb3ctdXAgb2YgMTAgeWVhcnMuQlRYLUEgYXBwZWFycyBhIHNhZmUgYW5kIGVmZmVjdGl2ZSB0cmVhdG1lbnQgZm9yIHNpbXBsZSBtb3RvciB0aWNzIGFuZCByZXRhaW5zIGl0cyBlZmZpY2FjeSBhZnRlciBsb25nLXRlcm0gdHJlYXRtZW50LiBCVFggbWF5IGFsc28gaW5kdWNlIHBlcm1hbmVudCByZW1pc3Npb24gb2YgdGhlIHRyZWF0ZWQgdGljcyBhbmQgZWZmZWN0cyBvZiBCVFggYXJlIG5vdCByZXN0cmljdGVkIHRvIG1lcmVseSBtb3RvciBiZWhhdmlvdXIuIMKpIDIwMDkgRWxzZXZpZXIgTHRkLiIsImlzc3VlIjoiNyIsInZvbHVtZSI6IjE2IiwiY29udGFpbmVyLXRpdGxlLXNob3J0IjoiUGFya2luc29uaXNtIFJlbGF0IERpc29yZCJ9LCJpc1RlbXBvcmFyeSI6ZmFsc2V9XX0=&quot;,&quot;citationItems&quot;:[{&quot;id&quot;:&quot;f0f75c3d-21db-3e0a-adc7-a37f64d9dfda&quot;,&quot;itemData&quot;:{&quot;type&quot;:&quot;article-journal&quot;,&quot;id&quot;:&quot;f0f75c3d-21db-3e0a-adc7-a37f64d9dfda&quot;,&quot;title&quot;:&quot;Botulinum toxin type A in simple motor tics: Short-term and long-term treatment-effects&quot;,&quot;groupId&quot;:&quot;07d62ac1-5aa8-39af-b49e-52d2088ac571&quot;,&quot;author&quot;:[{&quot;family&quot;:&quot;Rath&quot;,&quot;given&quot;:&quot;J J G&quot;,&quot;parse-names&quot;:false,&quot;dropping-particle&quot;:&quot;&quot;,&quot;non-dropping-particle&quot;:&quot;&quot;},{&quot;family&quot;:&quot;Tavy&quot;,&quot;given&quot;:&quot;D L J&quot;,&quot;parse-names&quot;:false,&quot;dropping-particle&quot;:&quot;&quot;,&quot;non-dropping-particle&quot;:&quot;&quot;},{&quot;family&quot;:&quot;Wertenbroek&quot;,&quot;given&quot;:&quot;A A A C M&quot;,&quot;parse-names&quot;:false,&quot;dropping-particle&quot;:&quot;&quot;,&quot;non-dropping-particle&quot;:&quot;&quot;},{&quot;family&quot;:&quot;Woerkom&quot;,&quot;given&quot;:&quot;T C A M&quot;,&quot;parse-names&quot;:false,&quot;dropping-particle&quot;:&quot;&quot;,&quot;non-dropping-particle&quot;:&quot;van&quot;},{&quot;family&quot;:&quot;Bruijn&quot;,&quot;given&quot;:&quot;S F T M&quot;,&quot;parse-names&quot;:false,&quot;dropping-particle&quot;:&quot;&quot;,&quot;non-dropping-particle&quot;:&quot;de&quot;}],&quot;container-title&quot;:&quot;Parkinsonism and Related Disorders&quot;,&quot;DOI&quot;:&quot;https://dx.doi.org/10.1016/j.parkreldis.2009.11.011&quot;,&quot;URL&quot;:&quot;https://www.elsevier.com/locate/parkreldishttp://ovidsp.ovid.com/ovidweb.cgi?T=JS&amp;PAGE=reference&amp;D=emed11&amp;NEWS=N&amp;AN=50743506&quot;,&quot;issued&quot;:{&quot;date-parts&quot;:[[2010]]},&quot;page&quot;:&quot;478-481&quot;,&quot;abstract&quot;:&quot;To determine the short-term and long-term treatment-effects of botulinum toxin type A in simple motor tics, we analyzed 15 consecutive patients (18 tics) with simple motor tics that were treated every 3 months with injections of BTX-A. Efficacy (rated on a 4-level scale) and duration of effect of the first 2 and last 2 (if treated 5 times or more) treatments were recorded, as well as latency of response, changes of premonitory urges (PMUs) and possible side effects.Total number of treatments for each tic varied from 2 to 50 (mean 11, median 6). In 16 of 18 tics (89%) short-term efficacy was reported successful (good or moderate). Long-term efficacy was reported in 12 tics of which 11 showed similar or even increased beneficial effects. Premonitory urge (PMU) was reported in 8 patients (53%). PMU, if present, lessened or disappeared after treatment with BTX-A. A permanent remission of the treated tic was seen in 3 patients with a maximum follow-up of 10 years.BTX-A appears a safe and effective treatment for simple motor tics and retains its efficacy after long-term treatment. BTX may also induce permanent remission of the treated tics and effects of BTX are not restricted to merely motor behaviour. © 2009 Elsevier Ltd.&quot;,&quot;issue&quot;:&quot;7&quot;,&quot;volume&quot;:&quot;16&quot;,&quot;container-title-short&quot;:&quot;Parkinsonism Relat Disord&quot;},&quot;isTemporary&quot;:false}]},{&quot;citationID&quot;:&quot;MENDELEY_CITATION_0802d13b-7161-4717-a257-dc8dee92db72&quot;,&quot;properties&quot;:{&quot;noteIndex&quot;:0},&quot;isEdited&quot;:false,&quot;manualOverride&quot;:{&quot;isManuallyOverridden&quot;:false,&quot;citeprocText&quot;:&quot;(74)&quot;,&quot;manualOverrideText&quot;:&quot;&quot;},&quot;citationTag&quot;:&quot;MENDELEY_CITATION_v3_eyJjaXRhdGlvbklEIjoiTUVOREVMRVlfQ0lUQVRJT05fMDgwMmQxM2ItNzE2MS00NzE3LWEyNTctZGM4ZGVlOTJkYjcyIiwicHJvcGVydGllcyI6eyJub3RlSW5kZXgiOjB9LCJpc0VkaXRlZCI6ZmFsc2UsIm1hbnVhbE92ZXJyaWRlIjp7ImlzTWFudWFsbHlPdmVycmlkZGVuIjpmYWxzZSwiY2l0ZXByb2NUZXh0IjoiKDc0KSIsIm1hbnVhbE92ZXJyaWRlVGV4dCI6IiJ9LCJjaXRhdGlvbkl0ZW1zIjpbeyJpZCI6ImNmNDBmYTAxLWM3MGYtMzY2Ny04N2JiLWFiNmI0YTQ0MTMwOSIsIml0ZW1EYXRhIjp7InR5cGUiOiJhcnRpY2xlLWpvdXJuYWwiLCJpZCI6ImNmNDBmYTAxLWM3MGYtMzY2Ny04N2JiLWFiNmI0YTQ0MTMwOSIsInRpdGxlIjoiVHJlYXRtZW50IG9mIHBob25pYyB0aWNzIGluIHBhdGllbnRzIHdpdGggVG91cmV0dGUncyBzeW5kcm9tZSB1c2luZyBib3R1bGludW0gdG94aW4gdHlwZSBBIiwiZ3JvdXBJZCI6IjA3ZDYyYWMxLTVhYTgtMzlhZi1iNDllLTUyZDIwODhhYzU3MSIsImF1dGhvciI6W3siZmFtaWx5IjoiUG9ydGEiLCJnaXZlbiI6Ik0iLCJwYXJzZS1uYW1lcyI6ZmFsc2UsImRyb3BwaW5nLXBhcnRpY2xlIjoiIiwibm9uLWRyb3BwaW5nLXBhcnRpY2xlIjoiIn0seyJmYW1pbHkiOiJNYWdnaW9uaSIsImdpdmVuIjoiRyIsInBhcnNlLW5hbWVzIjpmYWxzZSwiZHJvcHBpbmctcGFydGljbGUiOiIiLCJub24tZHJvcHBpbmctcGFydGljbGUiOiIifSx7ImZhbWlseSI6Ik90dGF2aWFuaSIsImdpdmVuIjoiRiIsInBhcnNlLW5hbWVzIjpmYWxzZSwiZHJvcHBpbmctcGFydGljbGUiOiIiLCJub24tZHJvcHBpbmctcGFydGljbGUiOiIifSx7ImZhbWlseSI6IlNjaGluZGxlciIsImdpdmVuIjoiQSIsInBhcnNlLW5hbWVzIjpmYWxzZSwiZHJvcHBpbmctcGFydGljbGUiOiIiLCJub24tZHJvcHBpbmctcGFydGljbGUiOiIifV0sImNvbnRhaW5lci10aXRsZSI6Ik5ldXJvbCBTY2kiLCJET0kiOiIxMC4xMDA3L3MxMDA3Mi0wMDMtMDIwMS00IiwiUE1JRCI6IjE0NzY3NjkxIiwiaXNzdWVkIjp7ImRhdGUtcGFydHMiOltbMjAwNF1dfSwicGFnZSI6IjQyMC00MjMiLCJhYnN0cmFjdCI6IldlIGFzc2Vzc2VkIHRoZSBlZmZlY3Qgb2YgYm90dWxpbnVtIHRveGluIHR5cGUgQSAoQlRYLUEpIG9uIHBob25pYyB0aWNzIGluIHBhdGllbnRzIHdpdGggVG91cmV0dGUncyBzeW5kcm9tZS4gQSB0b3RhbCBvZiAzMCBwYXRpZW50cyByZWNlaXZlZCAyLjUgSVUgQlRYLUEgKEJPVE9YOyBBbGxlcmdhbikgaW4gYm90aCB2b2NhbCBjb3Jkcy4gQWxsIHBhdGllbnRzIHdlcmUgYXNzZXNzZWQgYWZ0ZXIgMTUgZGF5cyBhbmQgdGhlbiA0IHRpbWVzIG92ZXIgYSAxMi1tb250aCBwZXJpb2QuIEF0IGVhY2ggdmlzaXQgdGhlIGZvbGxvd2luZyBkYXRhIHdlcmUgY29sbGVjdGVkOiBwaGVub21lbm9sb2d5IG9mIHRpY3MsIGdsb2JhbCBpbXByZXNzaW9uIG9mIGNoYW5nZXMgYnkgcGh5c2ljaWFuIGFuZCBwYXRpZW50LCBudW1iZXIgb2YgQlRYLUEgaW5qZWN0aW9ucyBnaXZlbiwgaW50ZXJ2YWwgYmV0d2VlbiBpbmplY3Rpb25zLCB0aW1lIHRvIHJlc3BvbnNlLCBkdXJhdGlvbiBvZiByZXNwb25zZSwgcHJlc2VuY2Ugb2YgcG9zdC1pbmplY3Rpb24gaHlwb3Bob25pYSBhbmQgc2lkZSBlZmZlY3RzLCBwcmVzZW5jZSBvZiBwcmVtb25pdG9yeSBzZW5zb3J5IHRpYyBjb21wb25lbnQsIGFuZCBpbnRlcmZlcmVuY2Ugd2l0aCBzb2NpYWwgbGlmZSBhbmQgd29yayBvciBzY2hvb2wgYWN0aXZpdGllcy4gVm9jYWwgdGljcyBpbXByb3ZlZCBhZnRlciB0cmVhdG1lbnQgaW4gOTMlIHBhdGllbnRzLCB3aXRoIDUwJSBiZWluZyB0aWMtZnJlZS4gTWVhbiByZXNwb25zZSB0aW1lIHdhcyA1LjggZGF5cywgYW5kIG1lYW4gZHVyYXRpb24gb2YgcmVzcG9uc2Ugd2FzIDEwMiBkYXlzLiBRdWFsaXR5IG9mIGxpZmUgaW1wcm92ZWQsIGFuZCBwcmVtb25pdG9yeSBleHBlcmllbmNlcyBkcm9wcGVkIGZyb20gNTMlIHRvIDIwJS4gSHlwb3Bob25pYSB3YXMgdGhlIG9ubHkgc2lkZSBlZmZlY3Qgb2Ygbm90ZSAoODAlIG9mIHBhdGllbnRzKS4gQlRYLUEgaXMgYW4gZWZmZWN0aXZlIGFuZCBzYWZlIHRyZWF0bWVudCBmb3IgcGhvbmljIHRpY3MgYXNzb2NpYXRlZCB3aXRoIFRvdXJldHRlJ3Mgc3luZHJvbWUuIiwiaXNzdWUiOiI2Iiwidm9sdW1lIjoiMjQiLCJjb250YWluZXItdGl0bGUtc2hvcnQiOiIifSwiaXNUZW1wb3JhcnkiOmZhbHNlfV19&quot;,&quot;citationItems&quot;:[{&quot;id&quot;:&quot;cf40fa01-c70f-3667-87bb-ab6b4a441309&quot;,&quot;itemData&quot;:{&quot;type&quot;:&quot;article-journal&quot;,&quot;id&quot;:&quot;cf40fa01-c70f-3667-87bb-ab6b4a441309&quot;,&quot;title&quot;:&quot;Treatment of phonic tics in patients with Tourette's syndrome using botulinum toxin type A&quot;,&quot;groupId&quot;:&quot;07d62ac1-5aa8-39af-b49e-52d2088ac571&quot;,&quot;author&quot;:[{&quot;family&quot;:&quot;Porta&quot;,&quot;given&quot;:&quot;M&quot;,&quot;parse-names&quot;:false,&quot;dropping-particle&quot;:&quot;&quot;,&quot;non-dropping-particle&quot;:&quot;&quot;},{&quot;family&quot;:&quot;Maggioni&quot;,&quot;given&quot;:&quot;G&quot;,&quot;parse-names&quot;:false,&quot;dropping-particle&quot;:&quot;&quot;,&quot;non-dropping-particle&quot;:&quot;&quot;},{&quot;family&quot;:&quot;Ottaviani&quot;,&quot;given&quot;:&quot;F&quot;,&quot;parse-names&quot;:false,&quot;dropping-particle&quot;:&quot;&quot;,&quot;non-dropping-particle&quot;:&quot;&quot;},{&quot;family&quot;:&quot;Schindler&quot;,&quot;given&quot;:&quot;A&quot;,&quot;parse-names&quot;:false,&quot;dropping-particle&quot;:&quot;&quot;,&quot;non-dropping-particle&quot;:&quot;&quot;}],&quot;container-title&quot;:&quot;Neurol Sci&quot;,&quot;DOI&quot;:&quot;10.1007/s10072-003-0201-4&quot;,&quot;PMID&quot;:&quot;14767691&quot;,&quot;issued&quot;:{&quot;date-parts&quot;:[[2004]]},&quot;page&quot;:&quot;420-423&quot;,&quot;abstract&quot;:&quot;We assessed the effect of botulinum toxin type A (BTX-A) on phonic tics in patients with Tourette's syndrome. A total of 30 patients received 2.5 IU BTX-A (BOTOX; Allergan) in both vocal cords. All patients were assessed after 15 days and then 4 times over a 12-month period. At each visit the following data were collected: phenomenology of tics, global impression of changes by physician and patient, number of BTX-A injections given, interval between injections, time to response, duration of response, presence of post-injection hypophonia and side effects, presence of premonitory sensory tic component, and interference with social life and work or school activities. Vocal tics improved after treatment in 93% patients, with 50% being tic-free. Mean response time was 5.8 days, and mean duration of response was 102 days. Quality of life improved, and premonitory experiences dropped from 53% to 20%. Hypophonia was the only side effect of note (80% of patients). BTX-A is an effective and safe treatment for phonic tics associated with Tourette's syndrome.&quot;,&quot;issue&quot;:&quot;6&quot;,&quot;volume&quot;:&quot;24&quot;,&quot;container-title-short&quot;:&quot;&quot;},&quot;isTemporary&quot;:false}]},{&quot;citationID&quot;:&quot;MENDELEY_CITATION_7e449002-be6a-4326-9fb1-e5b28a74dae8&quot;,&quot;properties&quot;:{&quot;noteIndex&quot;:0},&quot;isEdited&quot;:false,&quot;manualOverride&quot;:{&quot;isManuallyOverridden&quot;:false,&quot;citeprocText&quot;:&quot;(75)&quot;,&quot;manualOverrideText&quot;:&quot;&quot;},&quot;citationTag&quot;:&quot;MENDELEY_CITATION_v3_eyJjaXRhdGlvbklEIjoiTUVOREVMRVlfQ0lUQVRJT05fN2U0NDkwMDItYmU2YS00MzI2LTlmYjEtZTViMjhhNzRkYWU4IiwicHJvcGVydGllcyI6eyJub3RlSW5kZXgiOjB9LCJpc0VkaXRlZCI6ZmFsc2UsIm1hbnVhbE92ZXJyaWRlIjp7ImlzTWFudWFsbHlPdmVycmlkZGVuIjpmYWxzZSwiY2l0ZXByb2NUZXh0IjoiKDc1KSIsIm1hbnVhbE92ZXJyaWRlVGV4dCI6IiJ9LCJjaXRhdGlvbkl0ZW1zIjpbeyJpZCI6IjRlNmNjNDkyLTU0ZjYtMzE3ZS05YjUzLTJmYWY3Y2UwMDk4OCIsIml0ZW1EYXRhIjp7InR5cGUiOiJhcnRpY2xlLWpvdXJuYWwiLCJpZCI6IjRlNmNjNDkyLTU0ZjYtMzE3ZS05YjUzLTJmYWY3Y2UwMDk4OCIsInRpdGxlIjoiVGhlIE5lZWQgdG8gVGljIiwiZ3JvdXBJZCI6IjA3ZDYyYWMxLTVhYTgtMzlhZi1iNDllLTUyZDIwODhhYzU3MSIsImF1dGhvciI6W3siZmFtaWx5IjoiTGF6emFybyIsImdpdmVuIjoiRyIsInBhcnNlLW5hbWVzIjpmYWxzZSwiZHJvcHBpbmctcGFydGljbGUiOiIiLCJub24tZHJvcHBpbmctcGFydGljbGUiOiJEaSJ9LHsiZmFtaWx5IjoiTWFncmluZWxsaSIsImdpdmVuIjoiRiIsInBhcnNlLW5hbWVzIjpmYWxzZSwiZHJvcHBpbmctcGFydGljbGUiOiIiLCJub24tZHJvcHBpbmctcGFydGljbGUiOiIifSx7ImZhbWlseSI6Ikdhbm9zIiwiZ2l2ZW4iOiJDIiwicGFyc2UtbmFtZXMiOmZhbHNlLCJkcm9wcGluZy1wYXJ0aWNsZSI6IiIsIm5vbi1kcm9wcGluZy1wYXJ0aWNsZSI6IiJ9LHsiZmFtaWx5IjoiQmhhdGlhIiwiZ2l2ZW4iOiJLIFAiLCJwYXJzZS1uYW1lcyI6ZmFsc2UsImRyb3BwaW5nLXBhcnRpY2xlIjoiIiwibm9uLWRyb3BwaW5nLXBhcnRpY2xlIjoiIn1dLCJjb250YWluZXItdGl0bGUiOiJNb3YgRGlzb3JkIENsaW4gUHJhY3QiLCJET0kiOiIxMC4xMDAyL21kYzMuMTMwMjMiLCJQTUlEIjoiMzMwNDMwODciLCJVUkwiOiJodHRwczovL3d3dy5uY2JpLm5sbS5uaWguZ292L3BtYy9hcnRpY2xlcy9QTUM3NTM0MDA2L3BkZi9NREMzLTctODYzLnBkZiIsImlzc3VlZCI6eyJkYXRlLXBhcnRzIjpbWzIwMjBdXX0sInBhZ2UiOiI4NjMtODY0IiwiaXNzdWUiOiI3Iiwidm9sdW1lIjoiNyIsImNvbnRhaW5lci10aXRsZS1zaG9ydCI6IiJ9LCJpc1RlbXBvcmFyeSI6ZmFsc2V9XX0=&quot;,&quot;citationItems&quot;:[{&quot;id&quot;:&quot;4e6cc492-54f6-317e-9b53-2faf7ce00988&quot;,&quot;itemData&quot;:{&quot;type&quot;:&quot;article-journal&quot;,&quot;id&quot;:&quot;4e6cc492-54f6-317e-9b53-2faf7ce00988&quot;,&quot;title&quot;:&quot;The Need to Tic&quot;,&quot;groupId&quot;:&quot;07d62ac1-5aa8-39af-b49e-52d2088ac571&quot;,&quot;author&quot;:[{&quot;family&quot;:&quot;Lazzaro&quot;,&quot;given&quot;:&quot;G&quot;,&quot;parse-names&quot;:false,&quot;dropping-particle&quot;:&quot;&quot;,&quot;non-dropping-particle&quot;:&quot;Di&quot;},{&quot;family&quot;:&quot;Magrinelli&quot;,&quot;given&quot;:&quot;F&quot;,&quot;parse-names&quot;:false,&quot;dropping-particle&quot;:&quot;&quot;,&quot;non-dropping-particle&quot;:&quot;&quot;},{&quot;family&quot;:&quot;Ganos&quot;,&quot;given&quot;:&quot;C&quot;,&quot;parse-names&quot;:false,&quot;dropping-particle&quot;:&quot;&quot;,&quot;non-dropping-particle&quot;:&quot;&quot;},{&quot;family&quot;:&quot;Bhatia&quot;,&quot;given&quot;:&quot;K P&quot;,&quot;parse-names&quot;:false,&quot;dropping-particle&quot;:&quot;&quot;,&quot;non-dropping-particle&quot;:&quot;&quot;}],&quot;container-title&quot;:&quot;Mov Disord Clin Pract&quot;,&quot;DOI&quot;:&quot;10.1002/mdc3.13023&quot;,&quot;PMID&quot;:&quot;33043087&quot;,&quot;URL&quot;:&quot;https://www.ncbi.nlm.nih.gov/pmc/articles/PMC7534006/pdf/MDC3-7-863.pdf&quot;,&quot;issued&quot;:{&quot;date-parts&quot;:[[2020]]},&quot;page&quot;:&quot;863-864&quot;,&quot;issue&quot;:&quot;7&quot;,&quot;volume&quot;:&quot;7&quot;,&quot;container-title-short&quot;:&quot;&quot;},&quot;isTemporary&quot;:false}]},{&quot;citationID&quot;:&quot;MENDELEY_CITATION_eb5b2fe3-20aa-4f95-935c-5b4f4b1ec676&quot;,&quot;properties&quot;:{&quot;noteIndex&quot;:0},&quot;isEdited&quot;:false,&quot;manualOverride&quot;:{&quot;isManuallyOverridden&quot;:false,&quot;citeprocText&quot;:&quot;(76)&quot;,&quot;manualOverrideText&quot;:&quot;&quot;},&quot;citationTag&quot;:&quot;MENDELEY_CITATION_v3_eyJjaXRhdGlvbklEIjoiTUVOREVMRVlfQ0lUQVRJT05fZWI1YjJmZTMtMjBhYS00Zjk1LTkzNWMtNWI0ZjRiMWVjNjc2IiwicHJvcGVydGllcyI6eyJub3RlSW5kZXgiOjB9LCJpc0VkaXRlZCI6ZmFsc2UsIm1hbnVhbE92ZXJyaWRlIjp7ImlzTWFudWFsbHlPdmVycmlkZGVuIjpmYWxzZSwiY2l0ZXByb2NUZXh0IjoiKDc2KSIsIm1hbnVhbE92ZXJyaWRlVGV4dCI6IiJ9LCJjaXRhdGlvbkl0ZW1zIjpbeyJpZCI6ImRjZWZhNTE1LWMyYTctMzcwMi1hMGRiLTE5ZGUyNzQxMDE5NCIsIml0ZW1EYXRhIjp7InR5cGUiOiJhcnRpY2xlLWpvdXJuYWwiLCJpZCI6ImRjZWZhNTE1LWMyYTctMzcwMi1hMGRiLTE5ZGUyNzQxMDE5NCIsInRpdGxlIjoiTW9ub2FjeWxnbHljZXJvbCBMaXBhc2UgSW5oaWJpdGlvbiBpbiBUb3VyZXR0ZSBTeW5kcm9tZTogQSAxMi1XZWVrLCBSYW5kb21pemVkLCBDb250cm9sbGVkIFN0dWR5IiwiZ3JvdXBJZCI6IjA3ZDYyYWMxLTVhYTgtMzlhZi1iNDllLTUyZDIwODhhYzU3MSIsImF1dGhvciI6W3siZmFtaWx5IjoiTXVsbGVyLVZhaGwiLCJnaXZlbiI6IksgUiIsInBhcnNlLW5hbWVzIjpmYWxzZSwiZHJvcHBpbmctcGFydGljbGUiOiIiLCJub24tZHJvcHBpbmctcGFydGljbGUiOiIifSx7ImZhbWlseSI6IkZyZW1lciIsImdpdmVuIjoiQyIsInBhcnNlLW5hbWVzIjpmYWxzZSwiZHJvcHBpbmctcGFydGljbGUiOiIiLCJub24tZHJvcHBpbmctcGFydGljbGUiOiIifSx7ImZhbWlseSI6IkJlYWxzIiwiZ2l2ZW4iOiJDIiwicGFyc2UtbmFtZXMiOmZhbHNlLCJkcm9wcGluZy1wYXJ0aWNsZSI6IiIsIm5vbi1kcm9wcGluZy1wYXJ0aWNsZSI6IiJ9LHsiZmFtaWx5IjoiSXZrb3ZpYyIsImdpdmVuIjoiSiIsInBhcnNlLW5hbWVzIjpmYWxzZSwiZHJvcHBpbmctcGFydGljbGUiOiIiLCJub24tZHJvcHBpbmctcGFydGljbGUiOiIifSx7ImZhbWlseSI6IkxvZnQiLCJnaXZlbiI6IkgiLCJwYXJzZS1uYW1lcyI6ZmFsc2UsImRyb3BwaW5nLXBhcnRpY2xlIjoiIiwibm9uLWRyb3BwaW5nLXBhcnRpY2xlIjoiIn0seyJmYW1pbHkiOiJTY2hpbmRsZXIiLCJnaXZlbiI6IkMiLCJwYXJzZS1uYW1lcyI6ZmFsc2UsImRyb3BwaW5nLXBhcnRpY2xlIjoiIiwibm9uLWRyb3BwaW5nLXBhcnRpY2xlIjoiIn1dLCJjb250YWluZXItdGl0bGUiOiJNb3ZlbWVudCBEaXNvcmRlcnMiLCJET0kiOiJodHRwczovL2R4LmRvaS5vcmcvMTAuMTAwMi9tZHMuMjg2ODEiLCJVUkwiOiJodHRwOi8vb25saW5lbGlicmFyeS53aWxleS5jb20vam91cm5hbC8xMC4xMDAyLyhJU1NOKTE1MzEtODI1N2h0dHA6Ly9vdmlkc3Aub3ZpZC5jb20vb3ZpZHdlYi5jZ2k/VD1KUyZQQUdFPXJlZmVyZW5jZSZEPWVtZWQyMiZORVdTPU4mQU49MjAxMjM4Nzg2NyIsImlzc3VlZCI6eyJkYXRlLXBhcnRzIjpbWzIwMjFdXX0sInBhZ2UiOiIyNDEzLTI0MTgiLCJhYnN0cmFjdCI6IkJhY2tncm91bmQ6IE1vZHVsYXRpb24gb2YgdGhlIGVuZG9jYW5uYWJpbm9pZCBzeXN0ZW0gdmlhIG1vbm9hY3lsZ2x5Y2Vyb2wgbGlwYXNlIGluaGliaXRpb24gd2l0aCBMdSBBRzA2NDY2IChmb3JtZXJseSBrbm93biBhcyBBQlgtMTQzMSkgaGFzIHByZXZpb3VzbHkgYmVlbiBzaG93biB0byByZWR1Y2UgdGljcyBpbiBwYXRpZW50cyB3aXRoIFRvdXJldHRlIHN5bmRyb21lLiBPYmplY3RpdmUocyk6IFRoZSBhaW0gb2YgdGhpcyBzdHVkeSB3YXMgdG8gZXZhbHVhdGUgdGhlIGVmZmljYWN5IGFuZCBzYWZldHkgb2YgTHUgQUcwNjQ2NiBpbiByZWR1Y2luZyB0aWNzLCBwcmVtb25pdG9yeSB1cmdlcywgYW5kIGNvbW9yYmlkaXRpZXMgaW4gcGF0aWVudHMgd2l0aCBUb3VyZXR0ZSBzeW5kcm9tZS4gTWV0aG9kKHMpOiBUaGlzIHdhcyBhIDEyLXdlZWssIG11bHRpY2VudGVyLCByYW5kb21pemVkLCBwbGFjZWJvLWNvbnRyb2xsZWQsIGRvdWJsZS1ibGluZCBjbGluaWNhbCB0cmlhbCBvZiBMdSBBRzA2NDY2IGdpdmVuIGF0IHR3byBkb3NlIGxldmVscyBpbiA0OSBhZHVsdHMgd2l0aCBUb3VyZXR0ZSBzeW5kcm9tZS4gUmVzdWx0KHMpOiBCb3RoIHRyZWF0bWVudCBncm91cHMgc2hvd2VkIGltcHJvdmVtZW50IG9uIHRoZSBUb3RhbCBUaWMgU2NvcmUgb2YgdGhlIFlhbGUgR2xvYmFsIFRpYyBTZXZlcml0eSBTY2FsZTsgdGhlIG1lYW4gKDk1JSBDSSkgdHJlYXRtZW50IGRpZmZlcmVuY2UgYXQgd2VlayA4IG9mIDMuMCAoMC4xLCA1LjkpIChQID0gMC4wNDMpIGZhdm9yZWQgcGxhY2Viby4gTm8gc2lnbmlmaWNhbnQgZGlmZmVyZW5jZXMgd2VyZSBzZWVuIGZvciBvdGhlciBlbmRwb2ludHMgYXNzZXNzaW5nIGNoYW5nZXMgaW4gdGljIHNldmVyaXR5LCBwcmVtb25pdG9yeSB1cmdlcywgcXVhbGl0eSBvZiBsaWZlLCBhbmQgY29tbW9uIHBzeWNoaWF0cmljIGNvbW9yYmlkaXRpZXMuIFRyZWF0bWVudCB3aXRoIEx1LUFHMDY0NjYgd2FzIGdlbmVyYWxseSBzYWZlLiBDb25jbHVzaW9uKHMpOiBUaGVyZSB3YXMgbm8gZXZpZGVuY2UgdGhhdCBMdSBBRzA2NDY2IGhhcyBlZmZpY2FjeSBpbiBzdXBwcmVzc2luZyB0aWNzLiDCqSAyMDIxIFRoZSBBdXRob3JzLiBNb3ZlbWVudCBEaXNvcmRlcnMgcHVibGlzaGVkIGJ5IFdpbGV5IFBlcmlvZGljYWxzIExMQyBvbiBiZWhhbGYgb2YgSW50ZXJuYXRpb25hbCBQYXJraW5zb24gYW5kIE1vdmVtZW50IERpc29yZGVyIFNvY2lldHkuIiwiaXNzdWUiOiIxMCIsInZvbHVtZSI6IjM2IiwiY29udGFpbmVyLXRpdGxlLXNob3J0IjoiIn0sImlzVGVtcG9yYXJ5IjpmYWxzZX1dfQ==&quot;,&quot;citationItems&quot;:[{&quot;id&quot;:&quot;dcefa515-c2a7-3702-a0db-19de27410194&quot;,&quot;itemData&quot;:{&quot;type&quot;:&quot;article-journal&quot;,&quot;id&quot;:&quot;dcefa515-c2a7-3702-a0db-19de27410194&quot;,&quot;title&quot;:&quot;Monoacylglycerol Lipase Inhibition in Tourette Syndrome: A 12-Week, Randomized, Controlled Study&quot;,&quot;groupId&quot;:&quot;07d62ac1-5aa8-39af-b49e-52d2088ac571&quot;,&quot;author&quot;:[{&quot;family&quot;:&quot;Muller-Vahl&quot;,&quot;given&quot;:&quot;K R&quot;,&quot;parse-names&quot;:false,&quot;dropping-particle&quot;:&quot;&quot;,&quot;non-dropping-particle&quot;:&quot;&quot;},{&quot;family&quot;:&quot;Fremer&quot;,&quot;given&quot;:&quot;C&quot;,&quot;parse-names&quot;:false,&quot;dropping-particle&quot;:&quot;&quot;,&quot;non-dropping-particle&quot;:&quot;&quot;},{&quot;family&quot;:&quot;Beals&quot;,&quot;given&quot;:&quot;C&quot;,&quot;parse-names&quot;:false,&quot;dropping-particle&quot;:&quot;&quot;,&quot;non-dropping-particle&quot;:&quot;&quot;},{&quot;family&quot;:&quot;Ivkovic&quot;,&quot;given&quot;:&quot;J&quot;,&quot;parse-names&quot;:false,&quot;dropping-particle&quot;:&quot;&quot;,&quot;non-dropping-particle&quot;:&quot;&quot;},{&quot;family&quot;:&quot;Loft&quot;,&quot;given&quot;:&quot;H&quot;,&quot;parse-names&quot;:false,&quot;dropping-particle&quot;:&quot;&quot;,&quot;non-dropping-particle&quot;:&quot;&quot;},{&quot;family&quot;:&quot;Schindler&quot;,&quot;given&quot;:&quot;C&quot;,&quot;parse-names&quot;:false,&quot;dropping-particle&quot;:&quot;&quot;,&quot;non-dropping-particle&quot;:&quot;&quot;}],&quot;container-title&quot;:&quot;Movement Disorders&quot;,&quot;DOI&quot;:&quot;https://dx.doi.org/10.1002/mds.28681&quot;,&quot;URL&quot;:&quot;http://onlinelibrary.wiley.com/journal/10.1002/(ISSN)1531-8257http://ovidsp.ovid.com/ovidweb.cgi?T=JS&amp;PAGE=reference&amp;D=emed22&amp;NEWS=N&amp;AN=2012387867&quot;,&quot;issued&quot;:{&quot;date-parts&quot;:[[2021]]},&quot;page&quot;:&quot;2413-2418&quot;,&quot;abstract&quot;:&quot;Background: Modulation of the endocannabinoid system via monoacylglycerol lipase inhibition with Lu AG06466 (formerly known as ABX-1431) has previously been shown to reduce tics in patients with Tourette syndrome. Objective(s): The aim of this study was to evaluate the efficacy and safety of Lu AG06466 in reducing tics, premonitory urges, and comorbidities in patients with Tourette syndrome. Method(s): This was a 12-week, multicenter, randomized, placebo-controlled, double-blind clinical trial of Lu AG06466 given at two dose levels in 49 adults with Tourette syndrome. Result(s): Both treatment groups showed improvement on the Total Tic Score of the Yale Global Tic Severity Scale; the mean (95% CI) treatment difference at week 8 of 3.0 (0.1, 5.9) (P = 0.043) favored placebo. No significant differences were seen for other endpoints assessing changes in tic severity, premonitory urges, quality of life, and common psychiatric comorbidities. Treatment with Lu-AG06466 was generally safe. Conclusion(s): There was no evidence that Lu AG06466 has efficacy in suppressing tics. © 2021 The Authors. Movement Disorders published by Wiley Periodicals LLC on behalf of International Parkinson and Movement Disorder Society.&quot;,&quot;issue&quot;:&quot;10&quot;,&quot;volume&quot;:&quot;36&quot;,&quot;container-title-short&quot;:&quot;&quot;},&quot;isTemporary&quot;:false}]},{&quot;citationID&quot;:&quot;MENDELEY_CITATION_a5243aa3-3019-46eb-a329-64b6b94e79aa&quot;,&quot;properties&quot;:{&quot;noteIndex&quot;:0},&quot;isEdited&quot;:false,&quot;manualOverride&quot;:{&quot;isManuallyOverridden&quot;:false,&quot;citeprocText&quot;:&quot;(77)&quot;,&quot;manualOverrideText&quot;:&quot;&quot;},&quot;citationTag&quot;:&quot;MENDELEY_CITATION_v3_eyJjaXRhdGlvbklEIjoiTUVOREVMRVlfQ0lUQVRJT05fYTUyNDNhYTMtMzAxOS00NmViLWEzMjktNjRiNmI5NGU3OWFhIiwicHJvcGVydGllcyI6eyJub3RlSW5kZXgiOjB9LCJpc0VkaXRlZCI6ZmFsc2UsIm1hbnVhbE92ZXJyaWRlIjp7ImlzTWFudWFsbHlPdmVycmlkZGVuIjpmYWxzZSwiY2l0ZXByb2NUZXh0IjoiKDc3KSIsIm1hbnVhbE92ZXJyaWRlVGV4dCI6IiJ9LCJjaXRhdGlvbkl0ZW1zIjpbeyJpZCI6IjVlMTQ1NTViLWRlMDgtM2Y3Mi04YTY3LTdiMDcxZmZhYjc2ZiIsIml0ZW1EYXRhIjp7InR5cGUiOiJhcnRpY2xlLWpvdXJuYWwiLCJpZCI6IjVlMTQ1NTViLWRlMDgtM2Y3Mi04YTY3LTdiMDcxZmZhYjc2ZiIsInRpdGxlIjoiRW5kb2Nhbm5hYmlub2lkIE1vZHVsYXRpb24gVXNpbmcgTW9ub2FjeWxnbHljZXJvbCBMaXBhc2UgSW5oaWJpdGlvbiBpbiBUb3VyZXR0ZSBTeW5kcm9tZTogQSBQaGFzZSAxIFJhbmRvbWl6ZWQsIFBsYWNlYm8tQ29udHJvbGxlZCBTdHVkeSIsImdyb3VwSWQiOiIwN2Q2MmFjMS01YWE4LTM5YWYtYjQ5ZS01MmQyMDg4YWM1NzEiLCJhdXRob3IiOlt7ImZhbWlseSI6Ik11bGxlci1WYWhsIiwiZ2l2ZW4iOiJLIFIiLCJwYXJzZS1uYW1lcyI6ZmFsc2UsImRyb3BwaW5nLXBhcnRpY2xlIjoiIiwibm9uLWRyb3BwaW5nLXBhcnRpY2xlIjoiIn0seyJmYW1pbHkiOiJGcmVtZXIiLCJnaXZlbiI6IkMiLCJwYXJzZS1uYW1lcyI6ZmFsc2UsImRyb3BwaW5nLXBhcnRpY2xlIjoiIiwibm9uLWRyb3BwaW5nLXBhcnRpY2xlIjoiIn0seyJmYW1pbHkiOiJCZWFscyIsImdpdmVuIjoiQyIsInBhcnNlLW5hbWVzIjpmYWxzZSwiZHJvcHBpbmctcGFydGljbGUiOiIiLCJub24tZHJvcHBpbmctcGFydGljbGUiOiIifSx7ImZhbWlseSI6Ikl2a292aWMiLCJnaXZlbiI6IkoiLCJwYXJzZS1uYW1lcyI6ZmFsc2UsImRyb3BwaW5nLXBhcnRpY2xlIjoiIiwibm9uLWRyb3BwaW5nLXBhcnRpY2xlIjoiIn0seyJmYW1pbHkiOiJMb2Z0IiwiZ2l2ZW4iOiJIIiwicGFyc2UtbmFtZXMiOmZhbHNlLCJkcm9wcGluZy1wYXJ0aWNsZSI6IiIsIm5vbi1kcm9wcGluZy1wYXJ0aWNsZSI6IiJ9LHsiZmFtaWx5IjoiU2NoaW5kbGVyIiwiZ2l2ZW4iOiJDIiwicGFyc2UtbmFtZXMiOmZhbHNlLCJkcm9wcGluZy1wYXJ0aWNsZSI6IiIsIm5vbi1kcm9wcGluZy1wYXJ0aWNsZSI6IiJ9XSwiY29udGFpbmVyLXRpdGxlIjoiUGhhcm1hY29wc3ljaGlhdHJ5IiwiRE9JIjoiaHR0cHM6Ly9keC5kb2kub3JnLzEwLjEwNTUvYS0xNjc1LTM0OTQiLCJVUkwiOiJodHRwOi8vd3d3LnRoaWVtZS1jb25uZWN0LmNvbS9lam91cm5hbHMvdG9jL3BoYXJtYWNvaHR0cDovL292aWRzcC5vdmlkLmNvbS9vdmlkd2ViLmNnaT9UPUpTJlBBR0U9cmVmZXJlbmNlJkQ9ZW1leGEmTkVXUz1OJkFOPTYzNjYwODEzMCIsImlzc3VlZCI6eyJkYXRlLXBhcnRzIjpbWzIwMjJdXX0sInBhZ2UiOiIxNDgtMTU2IiwiYWJzdHJhY3QiOiJJbnRyb2R1Y3Rpb24gVG91cmV0dGUgc3luZHJvbWUgKFRTKSBpcyBhIGNvbXBsZXggbmV1cm9kZXZlbG9wbWVudGFsIGRpc29yZGVyIGNoYXJhY3Rlcml6ZWQgYnkgY2hyb25pYyBtb3RvciBhbmQgdm9jYWwgdGljcy4gV2hpbGUgY29uc2lzdGVudGx5IGVmZmVjdGl2ZSB0cmVhdG1lbnQgaXMgbGFja2luZywgZXZpZGVuY2UgaW5kaWNhdGVzIHRoYXQgdGhlIG1vZHVsYXRpb24gb2YgZW5kb2Nhbm5hYmlub2lkIHN5c3RlbSBpcyBwb3RlbnRpYWxseSBiZW5lZmljaWFsLiBMdSBBRzA2NDY2IChwcmV2aW91c2x5IEFCWC0xNDMxKSBpcyBhIGhpZ2hseSBzZWxlY3RpdmUgaW5oaWJpdG9yIG9mIG1vbm9hY3lsZ2x5Y2Vyb2wgbGlwYXNlLCB0aGUgcHJpbWFyeSBlbnp5bWUgcmVzcG9uc2libGUgZm9yIHRoZSBkZWdyYWRhdGlvbiBvZiB0aGUgZW5kb2Nhbm5hYmlub2lkIGxpZ2FuZCAyLWFyYWNoaWRvbm95bGdseWNlcm9sLiBUaGlzIGV4cGxvcmF0b3J5IHN0dWR5IGFpbWVkIHRvIGRldGVybWluZSB0aGUgZWZmZWN0IG9mIEx1IEFHMDY0NjYgdmVyc3VzIHBsYWNlYm8gb24gdGljcyBhbmQgb3RoZXIgc3ltcHRvbXMgaW4gcGF0aWVudHMgd2l0aCBUUy4gTWV0aG9kcyBJbiB0aGlzIHBoYXNlIDFiIGNyb3NzLW92ZXIgc3R1ZHksIDIwIGFkdWx0IHBhdGllbnRzIHdpdGggVFMgb24gc3RhbmRhcmQtb2YtY2FyZSBtZWRpY2F0aW9ucyB3ZXJlIHJhbmRvbWl6ZWQgdG8gYSBzaW5nbGUgZmFzdGVkIGRvc2Ugb2YgTHUgQUcwNjQ2NiAoNDAgbWcpIG9yIHBsYWNlYm8gaW4gcGVyaW9kIDEsIGZvbGxvd2VkIGJ5IHRoZSBvdGhlciB0cmVhdG1lbnQgaW4gcGVyaW9kIDIuIFRoZSBlZmZlY3RzIG9uIHRpY3MsIHByZW1vbml0b3J5IHVyZ2VzLCBhbmQgcHN5Y2hpYXRyaWMgY29tb3JiaWRpdGllcyB3ZXJlIGV2YWx1YXRlZCB1c2luZyBhIHZhcmlldHkgb2Ygc2NhbGVkIGFwcHJvYWNoZXMgYXQgZGlmZmVyZW50IHRpbWUgcG9pbnRzIGJlZm9yZSBhbmQgYWZ0ZXIgdHJlYXRtZW50LiBSZXN1bHRzIEFsbCBzY2FsZXMgc2hvd2VkIGFuIG92ZXJhbGwgdHJlbmQgb2YgdGljIHJlZHVjdGlvbiwgd2l0aCB0d28gb3V0IG9mIHRocmVlIHRpYyBzY2FsZXMgKGluY2x1ZGluZyB0aGUgVG90YWwgVGljIFNjb3JlIG9mIHRoZSBZYWxlIEdsb2JhbCBUaWMgU2V2ZXJpdHkgU2NvcmUpIHNob3dpbmcgYSBzaWduaWZpY2FudCBlZmZlY3Qgb2YgYSBzaW5nbGUgZG9zZSBvZiBMdSBBRzA2NDY2IHZlcnN1cyBwbGFjZWJvIGF0IHZhcmlvdXMgdGltZXBvaW50cy4gVHJlYXRtZW50IHdpdGggTHUgQUcwNjQ2NiByZXN1bHRlZCBpbiBhIHNpZ25pZmljYW50IHJlZHVjdGlvbiBpbiBwcmVtb25pdG9yeSB1cmdlcyB2ZXJzdXMgcGxhY2Viby4gU2luZ2xlIGRvc2VzIG9mIEx1IEFHMDY0NjYgd2VyZSBnZW5lcmFsbHkgd2VsbC10b2xlcmF0ZWQsIGFuZCB0aGUgbW9zdCBjb21tb24gYWR2ZXJzZSBldmVudHMgd2VyZSBoZWFkYWNoZSwgc29tbm9sZW5jZSwgYW5kIGZhdGlndWUuIENvbmNsdXNpb24gSW4gdGhpcyBleHBsb3JhdG9yeSB0cmlhbCwgYSBzaW5nbGUgZG9zZSBvZiBMdSBBRzA2NDY2IHNob3dlZCBzdGF0aXN0aWNhbGx5IHNpZ25pZmljYW50IHBvc2l0aXZlIGVmZmVjdHMgb24ga2V5IG1lYXN1cmVzIG9mIFRTIHN5bXB0b21zLkNvcHlyaWdodCDCqSAyMDIyIEdlb3JnVGhpZW1lLiBBbGwgcmlnaHRzIHJlc2VydmVkLiIsImlzc3VlIjoiMyIsInZvbHVtZSI6IjU1IiwiY29udGFpbmVyLXRpdGxlLXNob3J0IjoiUGhhcm1hY29wc3ljaGlhdHJ5In0sImlzVGVtcG9yYXJ5IjpmYWxzZX1dfQ==&quot;,&quot;citationItems&quot;:[{&quot;id&quot;:&quot;5e14555b-de08-3f72-8a67-7b071ffab76f&quot;,&quot;itemData&quot;:{&quot;type&quot;:&quot;article-journal&quot;,&quot;id&quot;:&quot;5e14555b-de08-3f72-8a67-7b071ffab76f&quot;,&quot;title&quot;:&quot;Endocannabinoid Modulation Using Monoacylglycerol Lipase Inhibition in Tourette Syndrome: A Phase 1 Randomized, Placebo-Controlled Study&quot;,&quot;groupId&quot;:&quot;07d62ac1-5aa8-39af-b49e-52d2088ac571&quot;,&quot;author&quot;:[{&quot;family&quot;:&quot;Muller-Vahl&quot;,&quot;given&quot;:&quot;K R&quot;,&quot;parse-names&quot;:false,&quot;dropping-particle&quot;:&quot;&quot;,&quot;non-dropping-particle&quot;:&quot;&quot;},{&quot;family&quot;:&quot;Fremer&quot;,&quot;given&quot;:&quot;C&quot;,&quot;parse-names&quot;:false,&quot;dropping-particle&quot;:&quot;&quot;,&quot;non-dropping-particle&quot;:&quot;&quot;},{&quot;family&quot;:&quot;Beals&quot;,&quot;given&quot;:&quot;C&quot;,&quot;parse-names&quot;:false,&quot;dropping-particle&quot;:&quot;&quot;,&quot;non-dropping-particle&quot;:&quot;&quot;},{&quot;family&quot;:&quot;Ivkovic&quot;,&quot;given&quot;:&quot;J&quot;,&quot;parse-names&quot;:false,&quot;dropping-particle&quot;:&quot;&quot;,&quot;non-dropping-particle&quot;:&quot;&quot;},{&quot;family&quot;:&quot;Loft&quot;,&quot;given&quot;:&quot;H&quot;,&quot;parse-names&quot;:false,&quot;dropping-particle&quot;:&quot;&quot;,&quot;non-dropping-particle&quot;:&quot;&quot;},{&quot;family&quot;:&quot;Schindler&quot;,&quot;given&quot;:&quot;C&quot;,&quot;parse-names&quot;:false,&quot;dropping-particle&quot;:&quot;&quot;,&quot;non-dropping-particle&quot;:&quot;&quot;}],&quot;container-title&quot;:&quot;Pharmacopsychiatry&quot;,&quot;DOI&quot;:&quot;https://dx.doi.org/10.1055/a-1675-3494&quot;,&quot;URL&quot;:&quot;http://www.thieme-connect.com/ejournals/toc/pharmacohttp://ovidsp.ovid.com/ovidweb.cgi?T=JS&amp;PAGE=reference&amp;D=emexa&amp;NEWS=N&amp;AN=636608130&quot;,&quot;issued&quot;:{&quot;date-parts&quot;:[[2022]]},&quot;page&quot;:&quot;148-156&quot;,&quot;abstract&quot;:&quot;Introduction Tourette syndrome (TS) is a complex neurodevelopmental disorder characterized by chronic motor and vocal tics. While consistently effective treatment is lacking, evidence indicates that the modulation of endocannabinoid system is potentially beneficial. Lu AG06466 (previously ABX-1431) is a highly selective inhibitor of monoacylglycerol lipase, the primary enzyme responsible for the degradation of the endocannabinoid ligand 2-arachidonoylglycerol. This exploratory study aimed to determine the effect of Lu AG06466 versus placebo on tics and other symptoms in patients with TS. Methods In this phase 1b cross-over study, 20 adult patients with TS on standard-of-care medications were randomized to a single fasted dose of Lu AG06466 (40 mg) or placebo in period 1, followed by the other treatment in period 2. The effects on tics, premonitory urges, and psychiatric comorbidities were evaluated using a variety of scaled approaches at different time points before and after treatment. Results All scales showed an overall trend of tic reduction, with two out of three tic scales (including the Total Tic Score of the Yale Global Tic Severity Score) showing a significant effect of a single dose of Lu AG06466 versus placebo at various timepoints. Treatment with Lu AG06466 resulted in a significant reduction in premonitory urges versus placebo. Single doses of Lu AG06466 were generally well-tolerated, and the most common adverse events were headache, somnolence, and fatigue. Conclusion In this exploratory trial, a single dose of Lu AG06466 showed statistically significant positive effects on key measures of TS symptoms.Copyright © 2022 GeorgThieme. All rights reserved.&quot;,&quot;issue&quot;:&quot;3&quot;,&quot;volume&quot;:&quot;55&quot;,&quot;container-title-short&quot;:&quot;Pharmacopsychiatry&quot;},&quot;isTemporary&quot;:false}]},{&quot;citationID&quot;:&quot;MENDELEY_CITATION_98519118-7691-423d-a68a-3766aac603b4&quot;,&quot;properties&quot;:{&quot;noteIndex&quot;:0},&quot;isEdited&quot;:false,&quot;manualOverride&quot;:{&quot;isManuallyOverridden&quot;:false,&quot;citeprocText&quot;:&quot;(78)&quot;,&quot;manualOverrideText&quot;:&quot;&quot;},&quot;citationTag&quot;:&quot;MENDELEY_CITATION_v3_eyJjaXRhdGlvbklEIjoiTUVOREVMRVlfQ0lUQVRJT05fOTg1MTkxMTgtNzY5MS00MjNkLWE2OGEtMzc2NmFhYzYwM2I0IiwicHJvcGVydGllcyI6eyJub3RlSW5kZXgiOjB9LCJpc0VkaXRlZCI6ZmFsc2UsIm1hbnVhbE92ZXJyaWRlIjp7ImlzTWFudWFsbHlPdmVycmlkZGVuIjpmYWxzZSwiY2l0ZXByb2NUZXh0IjoiKDc4KSIsIm1hbnVhbE92ZXJyaWRlVGV4dCI6IiJ9LCJjaXRhdGlvbkl0ZW1zIjpbeyJpZCI6ImRhOGMzZGQ1LWFjMmYtMzQxYi05NmNmLTI2MjFkYTI3YzdiOSIsIml0ZW1EYXRhIjp7InR5cGUiOiJhcnRpY2xlLWpvdXJuYWwiLCJpZCI6ImRhOGMzZGQ1LWFjMmYtMzQxYi05NmNmLTI2MjFkYTI3YzdiOSIsInRpdGxlIjoiQ2FubmFiaW5vaWRzOiBwb3NzaWJsZSByb2xlIGluIHBhdGhvLXBoeXNpb2xvZ3kgYW5kIHRoZXJhcHkgb2YgR2lsbGVzIGRlIGxhIFRvdXJldHRlIHN5bmRyb21lIiwiZ3JvdXBJZCI6IjA3ZDYyYWMxLTVhYTgtMzlhZi1iNDllLTUyZDIwODhhYzU3MSIsImF1dGhvciI6W3siZmFtaWx5IjoiTcO8bGxlci1WYWhsIiwiZ2l2ZW4iOiJLIFIiLCJwYXJzZS1uYW1lcyI6ZmFsc2UsImRyb3BwaW5nLXBhcnRpY2xlIjoiIiwibm9uLWRyb3BwaW5nLXBhcnRpY2xlIjoiIn0seyJmYW1pbHkiOiJLb2xiZSIsImdpdmVuIjoiSCIsInBhcnNlLW5hbWVzIjpmYWxzZSwiZHJvcHBpbmctcGFydGljbGUiOiIiLCJub24tZHJvcHBpbmctcGFydGljbGUiOiIifSx7ImZhbWlseSI6IlNjaG5laWRlciIsImdpdmVuIjoiVSIsInBhcnNlLW5hbWVzIjpmYWxzZSwiZHJvcHBpbmctcGFydGljbGUiOiIiLCJub24tZHJvcHBpbmctcGFydGljbGUiOiIifSx7ImZhbWlseSI6IkVtcmljaCIsImdpdmVuIjoiSCBNIiwicGFyc2UtbmFtZXMiOmZhbHNlLCJkcm9wcGluZy1wYXJ0aWNsZSI6IiIsIm5vbi1kcm9wcGluZy1wYXJ0aWNsZSI6IiJ9XSwiY29udGFpbmVyLXRpdGxlIjoiQWN0YSBQc3ljaGlhdHIgU2NhbmQiLCJET0kiOiIxMC4xMTExL2ouMTYwMC0wNDQ3LjE5OTgudGIxMDEyNy54IiwiUE1JRCI6Ijk4Nzk3OTUiLCJVUkwiOiJodHRwczovL29ubGluZWxpYnJhcnktd2lsZXktY29tLnByb3h5LmxpYnJhcnkudmFuZGVyYmlsdC5lZHUvZG9pL2Ficy8xMC4xMTExL2ouMTYwMC0wNDQ3LjE5OTgudGIxMDEyNy54IiwiaXNzdWVkIjp7ImRhdGUtcGFydHMiOltbMTk5OF1dfSwicGFnZSI6IjUwMi01MDYiLCJhYnN0cmFjdCI6IkhpZ2ggZGVuc2l0aWVzIG9mIGNhbm5hYmlub2lkIHJlY2VwdG9ycyB3ZXJlIGZvdW5kIGluIHRoZSBiYXNhbCBnYW5nbGlhIGFuZCBoaXBwb2NhbXB1cywgaW5kaWNhdGluZyBhIHB1dGF0aXZlIGZ1bmN0aW9uYWwgcm9sZSBvZiBjYW5uYWJpbm9pZHMgaW4gbW92ZW1lbnQgYW5kIGJlaGF2aW91ci4gQW5lY2RvdGFsIHJlcG9ydHMgc3VnZ2VzdGVkIGJlbmVmaWNpYWwgZWZmZWN0cyBvZiBtYXJpanVhbmEgaW4gVG91cmV0dGUncyBzeW5kcm9tZSAoVFMpLiBXZSB0aGVyZWZvcmUgaW50ZXJ2aWV3ZWQgNjQgVFMgcGF0aWVudHMgd2l0aCByZWdhcmQgdG8gdXNlIG9mIG1hcmlqdWFuYSBhbmQgaXRzIGluZmx1ZW5jZSBvbiBUUyBzeW1wdG9tYXRvbG9neS4gT2YgMTcgcGF0aWVudHMgKDI3JSkgd2hvIHJlcG9ydGVkIHByaW9yIHVzZSBvZiBtYXJpanVhbmEsIDE0IHN1YmplY3RzICg4MiUpIGV4cGVyaWVuY2VkIGEgcmVkdWN0aW9uIG9yIGNvbXBsZXRlIHJlbWlzc2lvbiBvZiBtb3RvciBhbmQgdm9jYWwgdGljcyBhbmQgYW4gYW1lbGlvcmF0aW9uIG9mIHByZW1vbml0b3J5IHVyZ2VzIGFuZCBvYnNlc3NpdmUtY29tcHVsc2l2ZSBzeW1wdG9tcy4gT3VyIHJlc3VsdHMgcHJvdmlkZSBtb3JlIGV2aWRlbmNlIHRoYXQgbWFyaWp1YW5hIGltcHJvdmVzIHRpY3MgYW5kIGJlaGF2aW91cmFsIGRpc29yZGVycyBpbiBUUy4gSXQgY2FuIGJlIHNwZWN1bGF0ZWQgdGhhdCBjYW5uYWJpbm9pZHMgbWlnaHQgYWN0IHRocm91Z2ggc3BlY2lmaWMgcmVjZXB0b3JzLCBhbmQgdGhhdCB0aGUgY2FubmFiaW5vaWQgc3lzdGVtIG1pZ2h0IHBsYXkgYSBtYWpvciByb2xlIGluIFRTIHBhdGhvbG9neS4iLCJpc3N1ZSI6IjYiLCJ2b2x1bWUiOiI5OCIsImNvbnRhaW5lci10aXRsZS1zaG9ydCI6IiJ9LCJpc1RlbXBvcmFyeSI6ZmFsc2V9XX0=&quot;,&quot;citationItems&quot;:[{&quot;id&quot;:&quot;da8c3dd5-ac2f-341b-96cf-2621da27c7b9&quot;,&quot;itemData&quot;:{&quot;type&quot;:&quot;article-journal&quot;,&quot;id&quot;:&quot;da8c3dd5-ac2f-341b-96cf-2621da27c7b9&quot;,&quot;title&quot;:&quot;Cannabinoids: possible role in patho-physiology and therapy of Gilles de la Tourette syndrome&quot;,&quot;groupId&quot;:&quot;07d62ac1-5aa8-39af-b49e-52d2088ac571&quot;,&quot;author&quot;:[{&quot;family&quot;:&quot;Müller-Vahl&quot;,&quot;given&quot;:&quot;K R&quot;,&quot;parse-names&quot;:false,&quot;dropping-particle&quot;:&quot;&quot;,&quot;non-dropping-particle&quot;:&quot;&quot;},{&quot;family&quot;:&quot;Kolbe&quot;,&quot;given&quot;:&quot;H&quot;,&quot;parse-names&quot;:false,&quot;dropping-particle&quot;:&quot;&quot;,&quot;non-dropping-particle&quot;:&quot;&quot;},{&quot;family&quot;:&quot;Schneider&quot;,&quot;given&quot;:&quot;U&quot;,&quot;parse-names&quot;:false,&quot;dropping-particle&quot;:&quot;&quot;,&quot;non-dropping-particle&quot;:&quot;&quot;},{&quot;family&quot;:&quot;Emrich&quot;,&quot;given&quot;:&quot;H M&quot;,&quot;parse-names&quot;:false,&quot;dropping-particle&quot;:&quot;&quot;,&quot;non-dropping-particle&quot;:&quot;&quot;}],&quot;container-title&quot;:&quot;Acta Psychiatr Scand&quot;,&quot;DOI&quot;:&quot;10.1111/j.1600-0447.1998.tb10127.x&quot;,&quot;PMID&quot;:&quot;9879795&quot;,&quot;URL&quot;:&quot;https://onlinelibrary-wiley-com.proxy.library.vanderbilt.edu/doi/abs/10.1111/j.1600-0447.1998.tb10127.x&quot;,&quot;issued&quot;:{&quot;date-parts&quot;:[[1998]]},&quot;page&quot;:&quot;502-506&quot;,&quot;abstract&quot;:&quot;High densities of cannabinoid receptors were found in the basal ganglia and hippocampus, indicating a putative functional role of cannabinoids in movement and behaviour. Anecdotal reports suggested beneficial effects of marijuana in Tourette's syndrome (TS). We therefore interviewed 64 TS patients with regard to use of marijuana and its influence on TS symptomatology. Of 17 patients (27%) who reported prior use of marijuana, 14 subjects (82%) experienced a reduction or complete remission of motor and vocal tics and an amelioration of premonitory urges and obsessive-compulsive symptoms. Our results provide more evidence that marijuana improves tics and behavioural disorders in TS. It can be speculated that cannabinoids might act through specific receptors, and that the cannabinoid system might play a major role in TS pathology.&quot;,&quot;issue&quot;:&quot;6&quot;,&quot;volume&quot;:&quot;98&quot;,&quot;container-title-short&quot;:&quot;&quot;},&quot;isTemporary&quot;:false}]},{&quot;citationID&quot;:&quot;MENDELEY_CITATION_7d133b77-2f42-487b-921b-5e2f105d695a&quot;,&quot;properties&quot;:{&quot;noteIndex&quot;:0},&quot;isEdited&quot;:false,&quot;manualOverride&quot;:{&quot;isManuallyOverridden&quot;:false,&quot;citeprocText&quot;:&quot;(79)&quot;,&quot;manualOverrideText&quot;:&quot;&quot;},&quot;citationTag&quot;:&quot;MENDELEY_CITATION_v3_eyJjaXRhdGlvbklEIjoiTUVOREVMRVlfQ0lUQVRJT05fN2QxMzNiNzctMmY0Mi00ODdiLTkyMWItNWUyZjEwNWQ2OTVhIiwicHJvcGVydGllcyI6eyJub3RlSW5kZXgiOjB9LCJpc0VkaXRlZCI6ZmFsc2UsIm1hbnVhbE92ZXJyaWRlIjp7ImlzTWFudWFsbHlPdmVycmlkZGVuIjpmYWxzZSwiY2l0ZXByb2NUZXh0IjoiKDc5KSIsIm1hbnVhbE92ZXJyaWRlVGV4dCI6IiJ9LCJjaXRhdGlvbkl0ZW1zIjpbeyJpZCI6ImM0MzU5ZjcxLTE0OTUtMzcyMy1hNWQzLTU5NzI2MTZiMzA2OCIsIml0ZW1EYXRhIjp7InR5cGUiOiJhcnRpY2xlLWpvdXJuYWwiLCJpZCI6ImM0MzU5ZjcxLTE0OTUtMzcyMy1hNWQzLTU5NzI2MTZiMzA2OCIsInRpdGxlIjoiTWVkaWNhbCBDYW5uYWJpcyBmb3IgR2lsbGVzIGRlIGxhIFRvdXJldHRlIFN5bmRyb21lOiBBbiBPcGVuLUxhYmVsIFByb3NwZWN0aXZlIFN0dWR5IiwiZ3JvdXBJZCI6IjA3ZDYyYWMxLTVhYTgtMzlhZi1iNDllLTUyZDIwODhhYzU3MSIsImF1dGhvciI6W3siZmFtaWx5IjoiQW5pcyIsImdpdmVuIjoiU2FhciIsInBhcnNlLW5hbWVzIjpmYWxzZSwiZHJvcHBpbmctcGFydGljbGUiOiIiLCJub24tZHJvcHBpbmctcGFydGljbGUiOiIifSx7ImZhbWlseSI6IlphbG9tZWsiLCJnaXZlbiI6IkNvcmlubmUiLCJwYXJzZS1uYW1lcyI6ZmFsc2UsImRyb3BwaW5nLXBhcnRpY2xlIjoiIiwibm9uLWRyb3BwaW5nLXBhcnRpY2xlIjoiIn0seyJmYW1pbHkiOiJLb3JjenluIiwiZ2l2ZW4iOiJBbW9zIEQiLCJwYXJzZS1uYW1lcyI6ZmFsc2UsImRyb3BwaW5nLXBhcnRpY2xlIjoiIiwibm9uLWRyb3BwaW5nLXBhcnRpY2xlIjoiIn0seyJmYW1pbHkiOiJSb3NlbmJlcmciLCJnaXZlbiI6IkFsaW5hIiwicGFyc2UtbmFtZXMiOmZhbHNlLCJkcm9wcGluZy1wYXJ0aWNsZSI6IiIsIm5vbi1kcm9wcGluZy1wYXJ0aWNsZSI6IiJ9LHsiZmFtaWx5IjoiR2lsYWRpIiwiZ2l2ZW4iOiJOaXIiLCJwYXJzZS1uYW1lcyI6ZmFsc2UsImRyb3BwaW5nLXBhcnRpY2xlIjoiIiwibm9uLWRyb3BwaW5nLXBhcnRpY2xlIjoiIn0seyJmYW1pbHkiOiJHdXJldmljaCIsImdpdmVuIjoiVGFueWEiLCJwYXJzZS1uYW1lcyI6ZmFsc2UsImRyb3BwaW5nLXBhcnRpY2xlIjoiIiwibm9uLWRyb3BwaW5nLXBhcnRpY2xlIjoiIn1dLCJjb250YWluZXItdGl0bGUiOiJCZWhhdmlvdXJhbCBOZXVyb2xvZ3kiLCJET0kiOiIxMC4xMTU1LzIwMjIvNTE0MTc3MyIsIlVSTCI6Imh0dHBzOi8vZG9pLm9yZy8xMC4xMTU1LzIwMjIvNTE0MTc3MyIsImlzc3VlZCI6eyJkYXRlLXBhcnRzIjpbWzIwMjJdXX0sInBhZ2UiOiI1MTQxNzczIiwiYWJzdHJhY3QiOiI8aT5PYmplY3RpdmVzPC9pPi4gQXNzZXNzaW5nIHRoZSBlZmZlY3RpdmVuZXNzIGFuZCB0b2xlcmFiaWxpdHkgb2YgbWVkaWNhbCBjYW5uYWJpcyAoTUMpIHRyZWF0bWVudCBvbiBHaWxsZXMgZGUgbGEgVG91cmV0dGUgc3luZHJvbWUgKEdUUykgcGF0aWVudHMuIDxpPk1ldGhvZHM8L2k+LiBXZSByZXBvcnQgb24gYW4gb3Blbi1sYWJlbCwgcHJvc3BlY3RpdmUgc3R1ZHkgb24gdGhlIGVmZmVjdCBvZiBNQyBvbiBhZHVsdCBHVFMgcGF0aWVudHMuIE1DIG1vZGUgb2YgdXNlIHdhcyBkZWNpZGVkIGJ5IHRoZSB0cmVhdGluZyBuZXVyb2xvZ2lzdCBhbmQgdGhlIHBhdGllbnQuIDxpPs6UPC9pPjktVGV0cmFoeWRyb2Nhbm5hYmlub2wgKDxpPs6UPC9pPjktVEhDKSBhbmQgY2FubmFiaWRpb2wgKENCRCkgY29udGVudCB3aXRoaW4gTUMgcHJvZHVjdCBhbmQgbW9udGhseSBkb3NlIHdlcmUgdGl0cmF0ZWQgZHVyaW5nIHRoZSBzdHVkeS4gRm9sbG93aW5nIHRyZWF0bWVudCBpbml0aWF0aW9uLCBwYXRpZW50cyB3ZXJlIGFzc2Vzc2VkIGFmdGVyIDQgYW5kIDEyIHdlZWtzIGZvciBlZmZpY2FjeSwgdG9sZXJhYmlsaXR5LCBhbmQgc2lkZSBlZmZlY3RzLiA8aT5SZXN1bHRzPC9pPi4gRWlnaHRlZW4gcGF0aWVudHMgZW50ZXJlZCB0aGUgc3R1ZHkuIEJhc2VsaW5lIFlhbGUgR2xvYmFsIFRpYyBTZXZlcml0eSBTY2FsZS0gKFlHVFNTKSBUb3RhbCAocmFuZ2UgMC0xMDApIHdhcyA8c3BhbiBjbGFzcz1cImlubGluZV9icmVha1wiPjxzdmcgeG1sbnM6eGxpbms9XCJodHRwOi8vd3d3LnczLm9yZy8xOTk5L3hsaW5rXCIgeG1sbnM9XCJodHRwOi8vd3d3LnczLm9yZy8yMDAwL3N2Z1wiIHdpZHRoPVwiMzIuMjIxcHRcIiBzdHlsZT1cInZlcnRpY2FsLWFsaWduOi0wLjM0OTkyOThwdFwiIGlkPVwiTTFcIiBoZWlnaHQ9XCI4LjY5ODc1cHRcIiB2ZXJzaW9uPVwiMS4xXCIgdmlld0JveD1cIi0wLjA0OTgxNjIgLTguMzQ4ODIgMzIuMjIxIDguNjk4NzVcIj48ZyB0cmFuc2Zvcm09XCJtYXRyaXgoLjAxMywwLDAsLTAuMDEzLDAsMClcIj48cGF0aCBpZD1cImcxMTMtNTVcIiBkPVwiTTEzNyAzNDNDMTY3IDQ4MiAyNjAgNTQ1IDMyMSA1NzRDMzU3IDU5MSAzOTcgNjAzIDQyOSA2MDlMNDIzIDY0MUMzODIgNjM0IDMzNSA2MjIgMjk1IDYwOEMxODkgNTcwIDM3IDQ1NyAzNyAyMzhDMzcgODQgMTI1IC0xMiAyNDIgLTEyQzM2MiAtMTIgNDQ3IDg5IDQ0NyAyMDlDNDQ3IDMxMSAzNzQgMzkzIDI2NyAzOTNDMjQ3IDM5MyAyMjYgMzg2IDIwNCAzNzZMMTM3IDM0M1pNMjI3IDMzN0MzMTggMzM3IDM2MSAyNTYgMzYxIDE3M0MzNjEgMTA1IDMzNiAyMiAyNTggMjJDMTc2IDIyIDEyNiAxMjAgMTI2IDI0MEMxMjYgMjY2IDEyNyAyOTEgMTMyIDMxMEMxNTUgMzIzIDE4OSAzMzcgMjI3IDMzN1pcIi8+PC9nPjxnIHRyYW5zZm9ybT1cIm1hdHJpeCguMDEzLDAsMCwtMC4wMTMsNi4yNCwwKVwiPjxwYXRoIGlkPVwiZzExMy00OVwiIGQ9XCJNMjQxIDYzNUM4OSA2MzUgMzUgNDU3IDM1IDMxMkMzNSAxNTMgODkgLTEyIDI0MCAtMTJDMzkwIC0xMiA0NDMgMTY2IDQ0MyAzMTJDNDQzIDQ2NiAzOTAgNjM1IDI0MSA2MzVaTTIzOCA2MDJDMzI5IDYwMiAzNTQgNDU0IDM1NCAzMTJDMzU0IDE3MiAzMzAgMjIgMjQwIDIyQzE1MiAyMiAxMjQgMTczIDEyNCAzMTNTMTQ4IDYwMiAyMzggNjAyWlwiLz48L2c+PGcgdHJhbnNmb3JtPVwibWF0cml4KC4wMTMsMCwwLC0wLjAxMywxMi40OCwwKVwiPjxwYXRoIGlkPVwiZzExMy00N1wiIGQ9XCJNMTEzIC0xMkMxNDYgLTEyIDE3MCAxMSAxNzAgNDZDMTcwIDc4IDE0NiAxMDMgMTE0IDEwM1M1OCA3OCA1OCA0NkM1OCAxMSA4MiAtMTIgMTEzIC0xMlpcIi8+PC9nPjxnIHRyYW5zZm9ybT1cIm1hdHJpeCguMDEzLDAsMCwtMC4wMTMsMTUuNDQ0LDApXCI+PHBhdGggaWQ9XCJnMTEzLTUyXCIgZD1cIk0yODUgMzc4QzMxNSAzOTggMzM4IDQxNiAzNTMgNDMyQzM3MyA0NTEgMzg0IDQ3NCAzODQgNTAzQzM4NCA1NzkgMzI1IDYzNSAyMzYgNjM1SDIzNUMxODIgNjM1IDEzNiA2MTAgMTA4IDU3OUw2NSA1MTZMODUgNDk2QzExMCA1MzMgMTUwIDU3NSAyMDUgNTc1QzI1OCA1NzUgMzAwIDU0MyAzMDAgNDgxQzMwMCA0MDcgMjMyIDM2OSAxNDEgMzM5TDE0NyAzMTBDMTYzIDMxNSAxODggMzIxIDIxMSAzMjFDMjY4IDMyMSAzMzggMjg0IDMzOCAxOTJDMzM4IDk0IDI4OCA0MCAyMTcgNDBDMTYwIDQwIDExOSA2OCA5MyA5MUM4NSA5OCA3NyA5NyA2OSA5MUM2MCA4NCA0NyA3MSA0NiA1OEM0NCA0NiA0OCAzNSA2MiAyMkM3NSAxMCAxMTYgLTEyIDE2MiAtMTJDMjM0IC0xMiA0MjQgNjIgNDI0IDIyNEM0MjQgMjk3IDM3MyAzNTkgMjg1IDM3NlYzNzhaXCIvPjwvZz48ZyB0cmFuc2Zvcm09XCJtYXRyaXgoLjAxMywwLDAsLTAuMDEzLDI0LjU5LDApXCI+PHBhdGggaWQ9XCJnMTE3LTM3XCIgZD1cIk01MzUgMjkwVjM0MEgzMjNWNTMzSDI2NVYzNDBINTJWMjkwSDI2NVY4NEgzMjNWMjkwSDUzNVpNNTM1IC0yMlYyOEg1MlYtMjJINTM1WlwiLz48L2c+PC9zdmc+PHNwYW4gY2xhc3M9XCJpYmlvcFwiLz48c3BhbiBjbGFzcz1cIm5vd3JhcFwiPjxzdmcgeG1sbnM6eGxpbms9XCJodHRwOi8vd3d3LnczLm9yZy8xOTk5L3hsaW5rXCIgeG1sbnM9XCJodHRwOi8vd3d3LnczLm9yZy8yMDAwL3N2Z1wiIHdpZHRoPVwiMjEuOTc1cHRcIiBzdHlsZT1cInZlcnRpY2FsLWFsaWduOi0wLjM0OTkyOThwdFwiIGhlaWdodD1cIjguNjk4NzVwdFwiIHZlcnNpb249XCIxLjFcIiB2aWV3Qm94PVwiMzUuMDc2MTgzNzk5OTk5OTk1IC04LjM0ODgyIDIxLjk3NSA4LjY5ODc1XCI+PGcgdHJhbnNmb3JtPVwibWF0cml4KC4wMTMsMCwwLC0wLjAxMywzNS4xMjYsMClcIj48cGF0aCBpZD1cImcxMTMtNTBcIiBkPVwiTTM4NCAwVjI3QzI5MyAzNCAyODcgNDIgMjg3IDExNFY2MzVDMjMyIDYxMyAxNzIgNTk0IDEwOSA1ODNWNTU5TDE1NyA1NTdDMjAxIDU1NSAyMDUgNTUwIDIwNSA0OTlWMTE0QzIwNSA0MiAxOTkgMzQgMTA5IDI3VjBIMzg0WlwiLz48L2c+PGcgdHJhbnNmb3JtPVwibWF0cml4KC4wMTMsMCwwLC0wLjAxMyw0MS4zNjYsMClcIj48cGF0aCBpZD1cImcxMTMtNTZcIiBkPVwiTTQ0NyA2MjNINjVDNjEgNTgwIDU2IDUzMCA0NyA0NzVINzZDMTAwIDU0MSAxMDYgNTUwIDE3MiA1NTBIMzg4QzMwOCAzNzYgMTk2IDE3MCA5MSAtMUw5OCAtMTJMMTcyIC0yQzI2OCAyMDQgMzYwIDQwOCA0NTUgNjExTDQ0NyA2MjNaXCIvPjwvZz48ZyB0cmFuc2Zvcm09XCJtYXRyaXgoLjAxMywwLDAsLTAuMDEzLDQ3LjYwOSwwKVwiPjx1c2UgeGxpbms6aHJlZj1cIiNnMTEzLTQ3XCIvPjwvZz48ZyB0cmFuc2Zvcm09XCJtYXRyaXgoLjAxMywwLDAsLTAuMDEzLDUwLjU3MywwKVwiPjx1c2UgeGxpbms6aHJlZj1cIiNnMTEzLTUwXCIvPjwvZz48L3N2Zz4uPC9zcGFuPjwvc3Bhbj4gVGhyZWUgcGF0aWVudHMgZGlkIG5vdCByZWFjaCB0aGUgZW5kIG9mIGZvbGxvdy11cCBwZXJpb2QuIFRoZSBtb3N0IGNvbW1vbiBtb2RlIG9mIGFkbWluaXN0cmF0aW9uIHdhcyBzbW9raW5nICg4MCUpLiBGb2xsb3dpbmcgdHdlbHZlIHdlZWtzIG9mIHRyZWF0bWVudCwgYSBzaWduaWZpY2FudCAzOCUgYXZlcmFnZSByZWR1Y3Rpb24gKDxzcGFuIGNsYXNzPVwiaW5saW5lX2JyZWFrXCI+PHN2ZyB4bWxuczp4bGluaz1cImh0dHA6Ly93d3cudzMub3JnLzE5OTkveGxpbmtcIiB4bWxucz1cImh0dHA6Ly93d3cudzMub3JnLzIwMDAvc3ZnXCIgd2lkdGg9XCIxOC45NzNwdFwiIHN0eWxlPVwidmVydGljYWwtYWxpZ246LTMuNDI5MzhwdFwiIGlkPVwiTTJcIiBoZWlnaHQ9XCIxMS43NzgycHRcIiB2ZXJzaW9uPVwiMS4xXCIgdmlld0JveD1cIi0wLjA0OTgxNjIgLTguMzQ4ODIgMTguOTczIDExLjc3ODJcIj48ZyB0cmFuc2Zvcm09XCJtYXRyaXgoLjAxMywwLDAsLTAuMDEzLDAsMClcIj48cGF0aCBpZD1cImcxMTMtMTEzXCIgZD1cIk01NzAgMzA0QzU3MCAzOTggNTI1IDQ0OCA0MTQgNDQ4QzM4NSA0NDggMzQzIDQ0NSAzMTIgNDM0TDMyOSA1MTFMMzIxIDUxOEMyOTcgNTA0IDI2MiA0ODIgMjQ0IDQ2MEwyMzMgNDExQzE5NSAzOTcgMTU5IDM4MSAxMjggMzU4TDEzNSAzMzJDMTYwIDM0NyAxODkgMzYwIDIyNCAzNzNMMTExIC0xNDdDOTcgLTIxMCA4NCAtMjE4IDE3IC0yMzFMMTMgLTI1N0wyNTQgLTI0N0wyNTkgLTIxOEwyMzMgLTIxNkMxODMgLTIxMiAxNzcgLTIwMiAxODkgLTE0MkwyMTggLSBDMjM4IC0xMCAyNjYgLTEyIDI4MyAtMTJDMzUxIDMgNDI5IDQ4IDQ4MyAxMDVDNTQzIDE2OCA1NzAgMjQyIDU3MCAzMDRaTTQ4MiAyODlDNDgyIDE2MSAzODAgMzMgMzA0IDMzQzI3OCAzMyAyNDggNTEgMjMzIDY5TDMwMyAzOTZDMzI2IDQwMCAzNTIgNDAzIDM2OSA0MDNDNDI4IDQwMyA0ODIgMzgwIDQ4MiAyODlaXCIvPjwvZz48ZyB0cmFuc2Zvcm09XCJtYXRyaXgoLjAxMywwLDAsLTAuMDEzLDExLjM0MiwwKVwiPjxwYXRoIGlkPVwiZzExNy0zNFwiIGQ9XCJNNTM1IDMyM1YzNzNINTJWMzIzSDUzNVpNNTM1IDEzOFYxODhINTJWMTM4SDUzNVpcIi8+PC9nPjwvc3ZnPjxzcGFuIGNsYXNzPVwiaXJlbG9wXCIvPjxzcGFuIGNsYXNzPVwibm93cmFwXCI+PHN2ZyB4bWxuczp4bGluaz1cImh0dHA6Ly93d3cudzMub3JnLzE5OTkveGxpbmtcIiB4bWxucz1cImh0dHA6Ly93d3cudzMub3JnLzIwMDAvc3ZnXCIgd2lkdGg9XCIyOC4xODRwdFwiIHN0eWxlPVwidmVydGljYWwtYWxpZ246LTMuNDI5MzhwdFwiIGhlaWdodD1cIjExLjc3ODJwdFwiIHZlcnNpb249XCIxLjFcIiB2aWV3Qm94PVwiMjIuNTU1MTgzODAwMDAwMDAyIC04LjM0ODgyIDI4LjE4NCAxMS43NzgyXCI+PGcgdHJhbnNmb3JtPVwibWF0cml4KC4wMTMsMCwwLC0wLjAxMywyMi42MDUsMClcIj48dXNlIHhsaW5rOmhyZWY9XCIjZzExMy00OVwiLz48L2c+PGcgdHJhbnNmb3JtPVwibWF0cml4KC4wMTMsMCwwLC0wLjAxMywyOC44NDUsMClcIj48dXNlIHhsaW5rOmhyZWY9XCIjZzExMy00N1wiLz48L2c+PGcgdHJhbnNmb3JtPVwibWF0cml4KC4wMTMsMCwwLC0wLjAxMywzMS44MDksMClcIj48dXNlIHhsaW5rOmhyZWY9XCIjZzExMy00OVwiLz48L2c+PGcgdHJhbnNmb3JtPVwibWF0cml4KC4wMTMsMCwwLC0wLjAxMywzOC4wNDksMClcIj48dXNlIHhsaW5rOmhyZWY9XCIjZzExMy00OVwiLz48L2c+PGcgdHJhbnNmb3JtPVwibWF0cml4KC4wMTMsMCwwLC0wLjAxMyw0NC4yODksMClcIj48cGF0aCBpZD1cImcxMTMtNTFcIiBkPVwiTTQxMiAxNDBDMzgyIDc3IDM2OSA3MyAzMTUgNzNIMTI5TDI3MCAyMjJDMzYyIDMyMCA0MDIgMzc5IDQwMiA0NjZDNDAyIDU3MSAzMjIgNjM1IDIzNCA2MzVDMTc3IDYzNSAxMzAgNjA5IDk5IDU3Nkw0MiA0OTVMNjQgNDc1QzkwIDUxNCAxMzMgNTY4IDIwMSA1NjhDMjc0IDU2OCAzMTggNTE5IDMxOCA0MzVDMzE4IDM0OSAyNTUgMjY3IDE5MyAxOTNDMTQ0IDEzNSA4NyA3OCAzMiAyM1YwSDQwNUM0MTcgNDUgNDI3IDg5IDQ0MCAxMzFMNDEyIDE0MFpcIi8+PC9nPjwvc3ZnPik8L3NwYW4+PC9zcGFuPiBvZiBZR1RTUy1Ub3RhbCBhbmQgYSAyMCUgcmVkdWN0aW9uICg8c3BhbiBjbGFzcz1cImlubGluZV9icmVha1wiPjxzdmcgeG1sbnM6eGxpbms9XCJodHRwOi8vd3d3LnczLm9yZy8xOTk5L3hsaW5rXCIgeG1sbnM9XCJodHRwOi8vd3d3LnczLm9yZy8yMDAwL3N2Z1wiIHdpZHRoPVwiMTguOTczcHRcIiBzdHlsZT1cInZlcnRpY2FsLWFsaWduOi0zLjQyOTM4cHRcIiBpZD1cIk0zXCIgaGVpZ2h0PVwiMTEuNzc4MnB0XCIgdmVyc2lvbj1cIjEuMVwiIHZpZXdCb3g9XCItMC4wNDk4MTYyIC04LjM0ODgyIDE4Ljk3MyAxMS43NzgyXCI+PGcgdHJhbnNmb3JtPVwibWF0cml4KC4wMTMsMCwwLC0wLjAxMywwLDApXCI+PHVzZSB4bGluazpocmVmPVwiI2cxMTMtMTEzXCIvPjwvZz48ZyB0cmFuc2Zvcm09XCJtYXRyaXgoLjAxMywwLDAsLTAuMDEzLDExLjM0MiwwKVwiPjx1c2UgeGxpbms6aHJlZj1cIiNnMTE3LTM0XCIvPjwvZz48L3N2Zz48c3BhbiBjbGFzcz1cImlyZWxvcFwiLz48c3BhbiBjbGFzcz1cIm5vd3JhcFwiPjxzdmcgeG1sbnM6eGxpbms9XCJodHRwOi8vd3d3LnczLm9yZy8xOTk5L3hsaW5rXCIgeG1sbnM9XCJodHRwOi8vd3d3LnczLm9yZy8yMDAwL3N2Z1wiIHdpZHRoPVwiMjguMTg0cHRcIiBzdHlsZT1cInZlcnRpY2FsLWFsaWduOi0zLjQyOTM4cHRcIiBoZWlnaHQ9XCIxMS43NzgycHRcIiB2ZXJzaW9uPVwiMS4xXCIgdmlld0JveD1cIjIyLjU1NTE4MzgwMDAwMDAwMiAtOC4zNDg4MiAyOC4xODQgMTEuNzc4MlwiPjxnIHRyYW5zZm9ybT1cIm1hdHJpeCguMDEzLDAsMCwtMC4wMTMsMjIuNjA1LDApXCI+PHVzZSB4bGluazpocmVmPVwiI2cxMTMtNDlcIi8+PC9nPjxnIHRyYW5zZm9ybT1cIm1hdHJpeCguMDEzLDAsMCwtMC4wMTMsMjguODQ1LDApXCI+PHVzZSB4bGluazpocmVmPVwiI2cxMTMtNDdcIi8+PC9nPjxnIHRyYW5zZm9ybT1cIm1hdHJpeCguMDEzLDAsMCwtMC4wMTMsMzEuODA5LDApXCI+PHVzZSB4bGluazpocmVmPVwiI2cxMTMtNDlcIi8+PC9nPjxnIHRyYW5zZm9ybT1cIm1hdHJpeCguMDEzLDAsMCwtMC4wMTMsMzguMDQ5LDApXCI+PHBhdGggaWQ9XCJnMTEzLTUzXCIgZD1cIk00NTYgMTc4VjIyNUgzNjBWNjMySDMyMEMyMTcgNDk2IDExNSAzNDcgMjAgMjA2VjE3OEgyODBWMTA2QzI4MCA0MCAyNzYgMzQgMTg5IDI3VjBINDQ1VjI3QzM2NCAzNCAzNjAgMzkgMzYwIDEwNlYxNzhINDU2Wk0yODAgMjI1SDgyQzE0OSAzMzUgMjE0IDQzMSAyNzggNTIwSDI4MFYyMjVaXCIvPjwvZz48ZyB0cmFuc2Zvcm09XCJtYXRyaXgoLjAxMywwLDAsLTAuMDEzLDQ0LjI4OSwwKVwiPjx1c2UgeGxpbms6aHJlZj1cIiNnMTEzLTUyXCIvPjwvZz48L3N2Zz4pPC9zcGFuPjwvc3Bhbj4gb2YgUHJlbW9uaXRvcnkgVXJnZSBmb3IgVGljIFNjYWxlIChQVVRTKSB3ZXJlIG9ic2VydmVkLiBDb21tb24gc2lkZSBlZmZlY3RzIHdlcmUgZHJ5IG1vdXRoICg2Ni43JSksIGZhdGlndWUgKDUzLjMlKSwgYW5kIGRpenppbmVzcyAoNDYuNyUpLiBUaHJlZSBwYXRpZW50cyBzdWZmZXJlZCBmcm9tIHBzeWNoaWF0cmljIHNpZGUgZWZmZWN0cyBpbmNsdWRpbmcgd29yc2VuaW5nIG9mIG9ic2Vzc2l2ZSBjb21wdWxzaXZlIGRpc29yZGVyIChzdG9wcGVkIHRyZWF0bWVudCksIHBhbmljIGF0dGFjaywgYW5kIGFueGlldHkgKHJlc29sdmVkIHdpdGggdHJlYXRtZW50IG1vZGlmaWNhdGlvbikuIFNpeCBwYXRpZW50cyAoNDAlKSByZXBvcnRlZCBjb2duaXRpdmUgc2lkZSBlZmZlY3RzIHJlZ2FyZGluZyB0aW1lIHBlcmNlcHRpb24sIHZpc3Vvc3BhdGlhbCBkaXNvcmllbnRhdGlvbiwgY29uZnVzaW9uLCBzbG93IHByb2Nlc3Npbmcgc3BlZWQsIGFuZCBhdHRlbnRpb24uIDxpPkNvbmNsdXNpb25zPC9pPi4gTUMgdHJlYXRtZW50IGRlbW9uc3RyYXRlcyBnb29kIGVmZmljYWN5IGFuZCB0b2xlcmFiaWxpdHkgaW4gYWR1bHQgR1RTIHBhdGllbnRzLiBQcmVkaWxlY3Rpb24gZm9yIHNtb2tpbmcgcmF0aGVyIHRoYW4gdXNpbmcgb2lsIGRyb3BzIHJlcXVpcmVzIGZ1cnRoZXIgY29tcGFyYXRpdmUgc3R1ZGllcyB0byBldmFsdWF0ZSB0aGUgZWZmaWNhY3kgb2YgZWFjaC4gQ29nbml0aXZlIGFuZCBwc3ljaGlhdHJpYyBzaWRlIGVmZmVjdHMgaGF2ZSB0byBiZSBtb25pdG9yZWQgYW5kIGFkZHJlc3NlZC4iLCJ2b2x1bWUiOiIyMDIyIiwiY29udGFpbmVyLXRpdGxlLXNob3J0IjoiIn0sImlzVGVtcG9yYXJ5IjpmYWxzZX1dfQ==&quot;,&quot;citationItems&quot;:[{&quot;id&quot;:&quot;c4359f71-1495-3723-a5d3-5972616b3068&quot;,&quot;itemData&quot;:{&quot;type&quot;:&quot;article-journal&quot;,&quot;id&quot;:&quot;c4359f71-1495-3723-a5d3-5972616b3068&quot;,&quot;title&quot;:&quot;Medical Cannabis for Gilles de la Tourette Syndrome: An Open-Label Prospective Study&quot;,&quot;groupId&quot;:&quot;07d62ac1-5aa8-39af-b49e-52d2088ac571&quot;,&quot;author&quot;:[{&quot;family&quot;:&quot;Anis&quot;,&quot;given&quot;:&quot;Saar&quot;,&quot;parse-names&quot;:false,&quot;dropping-particle&quot;:&quot;&quot;,&quot;non-dropping-particle&quot;:&quot;&quot;},{&quot;family&quot;:&quot;Zalomek&quot;,&quot;given&quot;:&quot;Corinne&quot;,&quot;parse-names&quot;:false,&quot;dropping-particle&quot;:&quot;&quot;,&quot;non-dropping-particle&quot;:&quot;&quot;},{&quot;family&quot;:&quot;Korczyn&quot;,&quot;given&quot;:&quot;Amos D&quot;,&quot;parse-names&quot;:false,&quot;dropping-particle&quot;:&quot;&quot;,&quot;non-dropping-particle&quot;:&quot;&quot;},{&quot;family&quot;:&quot;Rosenberg&quot;,&quot;given&quot;:&quot;Alina&quot;,&quot;parse-names&quot;:false,&quot;dropping-particle&quot;:&quot;&quot;,&quot;non-dropping-particle&quot;:&quot;&quot;},{&quot;family&quot;:&quot;Giladi&quot;,&quot;given&quot;:&quot;Nir&quot;,&quot;parse-names&quot;:false,&quot;dropping-particle&quot;:&quot;&quot;,&quot;non-dropping-particle&quot;:&quot;&quot;},{&quot;family&quot;:&quot;Gurevich&quot;,&quot;given&quot;:&quot;Tanya&quot;,&quot;parse-names&quot;:false,&quot;dropping-particle&quot;:&quot;&quot;,&quot;non-dropping-particle&quot;:&quot;&quot;}],&quot;container-title&quot;:&quot;Behavioural Neurology&quot;,&quot;DOI&quot;:&quot;10.1155/2022/5141773&quot;,&quot;URL&quot;:&quot;https://doi.org/10.1155/2022/5141773&quot;,&quot;issued&quot;:{&quot;date-parts&quot;:[[2022]]},&quot;page&quot;:&quot;5141773&quot;,&quot;abstract&quot;:&quot;&lt;i&gt;Objectives&lt;/i&gt;. Assessing the effectiveness and tolerability of medical cannabis (MC) treatment on Gilles de la Tourette syndrome (GTS) patients. &lt;i&gt;Methods&lt;/i&gt;. We report on an open-label, prospective study on the effect of MC on adult GTS patients. MC mode of use was decided by the treating neurologist and the patient. &lt;i&gt;Δ&lt;/i&gt;9-Tetrahydrocannabinol (&lt;i&gt;Δ&lt;/i&gt;9-THC) and cannabidiol (CBD) content within MC product and monthly dose were titrated during the study. Following treatment initiation, patients were assessed after 4 and 12 weeks for efficacy, tolerability, and side effects. &lt;i&gt;Results&lt;/i&gt;. Eighteen patients entered the study. Baseline Yale Global Tic Severity Scale- (YGTSS) Total (range 0-100) was &lt;span class=\&quot;inline_break\&quot;&gt;&lt;svg xmlns:xlink=\&quot;http://www.w3.org/1999/xlink\&quot; xmlns=\&quot;http://www.w3.org/2000/svg\&quot; width=\&quot;32.221pt\&quot; style=\&quot;vertical-align:-0.3499298pt\&quot; id=\&quot;M1\&quot; height=\&quot;8.69875pt\&quot; version=\&quot;1.1\&quot; viewBox=\&quot;-0.0498162 -8.34882 32.221 8.69875\&quot;&gt;&lt;g transform=\&quot;matrix(.013,0,0,-0.013,0,0)\&quot;&gt;&lt;path id=\&quot;g113-55\&quot; d=\&quot;M137 343C167 482 260 545 321 574C357 591 397 603 429 609L423 641C382 634 335 622 295 608C189 570 37 457 37 238C37 84 125 -12 242 -12C362 -12 447 89 447 209C447 311 374 393 267 393C247 393 226 386 204 376L137 343ZM227 337C318 337 361 256 361 173C361 105 336 22 258 22C176 22 126 120 126 240C126 266 127 291 132 310C155 323 189 337 227 337Z\&quot;/&gt;&lt;/g&gt;&lt;g transform=\&quot;matrix(.013,0,0,-0.013,6.24,0)\&quot;&gt;&lt;path id=\&quot;g113-49\&quot; d=\&quot;M241 635C89 635 35 457 35 312C35 153 89 -12 240 -12C390 -12 443 166 443 312C443 466 390 635 241 635ZM238 602C329 602 354 454 354 312C354 172 330 22 240 22C152 22 124 173 124 313S148 602 238 602Z\&quot;/&gt;&lt;/g&gt;&lt;g transform=\&quot;matrix(.013,0,0,-0.013,12.48,0)\&quot;&gt;&lt;path id=\&quot;g113-47\&quot; d=\&quot;M113 -12C146 -12 170 11 170 46C170 78 146 103 114 103S58 78 58 46C58 11 82 -12 113 -12Z\&quot;/&gt;&lt;/g&gt;&lt;g transform=\&quot;matrix(.013,0,0,-0.013,15.444,0)\&quot;&gt;&lt;path id=\&quot;g113-52\&quot; d=\&quot;M285 378C315 398 338 416 353 432C373 451 384 474 384 503C384 579 325 635 236 635H235C182 635 136 610 108 579L65 516L85 496C110 533 150 575 205 575C258 575 300 543 300 481C300 407 232 369 141 339L147 310C163 315 188 321 211 321C268 321 338 284 338 192C338 94 288 40 217 40C160 40 119 68 93 91C85 98 77 97 69 91C60 84 47 71 46 58C44 46 48 35 62 22C75 10 116 -12 162 -12C234 -12 424 62 424 224C424 297 373 359 285 376V378Z\&quot;/&gt;&lt;/g&gt;&lt;g transform=\&quot;matrix(.013,0,0,-0.013,24.59,0)\&quot;&gt;&lt;path id=\&quot;g117-37\&quot; d=\&quot;M535 290V340H323V533H265V340H52V290H265V84H323V290H535ZM535 -22V28H52V-22H535Z\&quot;/&gt;&lt;/g&gt;&lt;/svg&gt;&lt;span class=\&quot;ibiop\&quot;/&gt;&lt;span class=\&quot;nowrap\&quot;&gt;&lt;svg xmlns:xlink=\&quot;http://www.w3.org/1999/xlink\&quot; xmlns=\&quot;http://www.w3.org/2000/svg\&quot; width=\&quot;21.975pt\&quot; style=\&quot;vertical-align:-0.3499298pt\&quot; height=\&quot;8.69875pt\&quot; version=\&quot;1.1\&quot; viewBox=\&quot;35.076183799999995 -8.34882 21.975 8.69875\&quot;&gt;&lt;g transform=\&quot;matrix(.013,0,0,-0.013,35.126,0)\&quot;&gt;&lt;path id=\&quot;g113-50\&quot; d=\&quot;M384 0V27C293 34 287 42 287 114V635C232 613 172 594 109 583V559L157 557C201 555 205 550 205 499V114C205 42 199 34 109 27V0H384Z\&quot;/&gt;&lt;/g&gt;&lt;g transform=\&quot;matrix(.013,0,0,-0.013,41.366,0)\&quot;&gt;&lt;path id=\&quot;g113-56\&quot; d=\&quot;M447 623H65C61 580 56 530 47 475H76C100 541 106 550 172 550H388C308 376 196 170 91 -1L98 -12L172 -2C268 204 360 408 455 611L447 623Z\&quot;/&gt;&lt;/g&gt;&lt;g transform=\&quot;matrix(.013,0,0,-0.013,47.609,0)\&quot;&gt;&lt;use xlink:href=\&quot;#g113-47\&quot;/&gt;&lt;/g&gt;&lt;g transform=\&quot;matrix(.013,0,0,-0.013,50.573,0)\&quot;&gt;&lt;use xlink:href=\&quot;#g113-50\&quot;/&gt;&lt;/g&gt;&lt;/svg&gt;.&lt;/span&gt;&lt;/span&gt; Three patients did not reach the end of follow-up period. The most common mode of administration was smoking (80%). Following twelve weeks of treatment, a significant 38% average reduction (&lt;span class=\&quot;inline_break\&quot;&gt;&lt;svg xmlns:xlink=\&quot;http://www.w3.org/1999/xlink\&quot; xmlns=\&quot;http://www.w3.org/2000/svg\&quot; width=\&quot;18.973pt\&quot; style=\&quot;vertical-align:-3.42938pt\&quot; id=\&quot;M2\&quot; height=\&quot;11.7782pt\&quot; version=\&quot;1.1\&quot; viewBox=\&quot;-0.0498162 -8.34882 18.973 11.7782\&quot;&gt;&lt;g transform=\&quot;matrix(.013,0,0,-0.013,0,0)\&quot;&gt;&lt;path id=\&quot;g113-113\&quot; d=\&quot;M570 304C570 398 525 448 414 448C385 448 343 445 312 434L329 511L321 518C297 504 262 482 244 460L233 411C195 397 159 381 128 358L135 332C160 347 189 360 224 373L111 -147C97 -210 84 -218 17 -231L13 -257L254 -247L259 -218L233 -216C183 -212 177 -202 189 -142L218 - C238 -10 266 -12 283 -12C351 3 429 48 483 105C543 168 570 242 570 304ZM482 289C482 161 380 33 304 33C278 33 248 51 233 69L303 396C326 400 352 403 369 403C428 403 482 380 482 289Z\&quot;/&gt;&lt;/g&gt;&lt;g transform=\&quot;matrix(.013,0,0,-0.013,11.342,0)\&quot;&gt;&lt;path id=\&quot;g117-34\&quot; d=\&quot;M535 323V373H52V323H535ZM535 138V188H52V138H535Z\&quot;/&gt;&lt;/g&gt;&lt;/svg&gt;&lt;span class=\&quot;irelop\&quot;/&gt;&lt;span class=\&quot;nowrap\&quot;&gt;&lt;svg xmlns:xlink=\&quot;http://www.w3.org/1999/xlink\&quot; xmlns=\&quot;http://www.w3.org/2000/svg\&quot; width=\&quot;28.184pt\&quot; style=\&quot;vertical-align:-3.42938pt\&quot; height=\&quot;11.7782pt\&quot; version=\&quot;1.1\&quot; viewBox=\&quot;22.555183800000002 -8.34882 28.184 11.7782\&quot;&gt;&lt;g transform=\&quot;matrix(.013,0,0,-0.013,22.605,0)\&quot;&gt;&lt;use xlink:href=\&quot;#g113-49\&quot;/&gt;&lt;/g&gt;&lt;g transform=\&quot;matrix(.013,0,0,-0.013,28.845,0)\&quot;&gt;&lt;use xlink:href=\&quot;#g113-47\&quot;/&gt;&lt;/g&gt;&lt;g transform=\&quot;matrix(.013,0,0,-0.013,31.809,0)\&quot;&gt;&lt;use xlink:href=\&quot;#g113-49\&quot;/&gt;&lt;/g&gt;&lt;g transform=\&quot;matrix(.013,0,0,-0.013,38.049,0)\&quot;&gt;&lt;use xlink:href=\&quot;#g113-49\&quot;/&gt;&lt;/g&gt;&lt;g transform=\&quot;matrix(.013,0,0,-0.013,44.289,0)\&quot;&gt;&lt;path id=\&quot;g113-51\&quot; d=\&quot;M412 140C382 77 369 73 315 73H129L270 222C362 320 402 379 402 466C402 571 322 635 234 635C177 635 130 609 99 576L42 495L64 475C90 514 133 568 201 568C274 568 318 519 318 435C318 349 255 267 193 193C144 135 87 78 32 23V0H405C417 45 427 89 440 131L412 140Z\&quot;/&gt;&lt;/g&gt;&lt;/svg&gt;)&lt;/span&gt;&lt;/span&gt; of YGTSS-Total and a 20% reduction (&lt;span class=\&quot;inline_break\&quot;&gt;&lt;svg xmlns:xlink=\&quot;http://www.w3.org/1999/xlink\&quot; xmlns=\&quot;http://www.w3.org/2000/svg\&quot; width=\&quot;18.973pt\&quot; style=\&quot;vertical-align:-3.42938pt\&quot; id=\&quot;M3\&quot; height=\&quot;11.7782pt\&quot; version=\&quot;1.1\&quot; viewBox=\&quot;-0.0498162 -8.34882 18.973 11.7782\&quot;&gt;&lt;g transform=\&quot;matrix(.013,0,0,-0.013,0,0)\&quot;&gt;&lt;use xlink:href=\&quot;#g113-113\&quot;/&gt;&lt;/g&gt;&lt;g transform=\&quot;matrix(.013,0,0,-0.013,11.342,0)\&quot;&gt;&lt;use xlink:href=\&quot;#g117-34\&quot;/&gt;&lt;/g&gt;&lt;/svg&gt;&lt;span class=\&quot;irelop\&quot;/&gt;&lt;span class=\&quot;nowrap\&quot;&gt;&lt;svg xmlns:xlink=\&quot;http://www.w3.org/1999/xlink\&quot; xmlns=\&quot;http://www.w3.org/2000/svg\&quot; width=\&quot;28.184pt\&quot; style=\&quot;vertical-align:-3.42938pt\&quot; height=\&quot;11.7782pt\&quot; version=\&quot;1.1\&quot; viewBox=\&quot;22.555183800000002 -8.34882 28.184 11.7782\&quot;&gt;&lt;g transform=\&quot;matrix(.013,0,0,-0.013,22.605,0)\&quot;&gt;&lt;use xlink:href=\&quot;#g113-49\&quot;/&gt;&lt;/g&gt;&lt;g transform=\&quot;matrix(.013,0,0,-0.013,28.845,0)\&quot;&gt;&lt;use xlink:href=\&quot;#g113-47\&quot;/&gt;&lt;/g&gt;&lt;g transform=\&quot;matrix(.013,0,0,-0.013,31.809,0)\&quot;&gt;&lt;use xlink:href=\&quot;#g113-49\&quot;/&gt;&lt;/g&gt;&lt;g transform=\&quot;matrix(.013,0,0,-0.013,38.049,0)\&quot;&gt;&lt;path id=\&quot;g113-53\&quot; d=\&quot;M456 178V225H360V632H320C217 496 115 347 20 206V178H280V106C280 40 276 34 189 27V0H445V27C364 34 360 39 360 106V178H456ZM280 225H82C149 335 214 431 278 520H280V225Z\&quot;/&gt;&lt;/g&gt;&lt;g transform=\&quot;matrix(.013,0,0,-0.013,44.289,0)\&quot;&gt;&lt;use xlink:href=\&quot;#g113-52\&quot;/&gt;&lt;/g&gt;&lt;/svg&gt;)&lt;/span&gt;&lt;/span&gt; of Premonitory Urge for Tic Scale (PUTS) were observed. Common side effects were dry mouth (66.7%), fatigue (53.3%), and dizziness (46.7%). Three patients suffered from psychiatric side effects including worsening of obsessive compulsive disorder (stopped treatment), panic attack, and anxiety (resolved with treatment modification). Six patients (40%) reported cognitive side effects regarding time perception, visuospatial disorientation, confusion, slow processing speed, and attention. &lt;i&gt;Conclusions&lt;/i&gt;. MC treatment demonstrates good efficacy and tolerability in adult GTS patients. Predilection for smoking rather than using oil drops requires further comparative studies to evaluate the efficacy of each. Cognitive and psychiatric side effects have to be monitored and addressed.&quot;,&quot;volume&quot;:&quot;2022&quot;,&quot;container-title-short&quot;:&quot;&quot;},&quot;isTemporary&quot;:false}]},{&quot;citationID&quot;:&quot;MENDELEY_CITATION_6713f93e-ee02-48bc-a28a-e3a4e4d63a16&quot;,&quot;properties&quot;:{&quot;noteIndex&quot;:0},&quot;isEdited&quot;:false,&quot;manualOverride&quot;:{&quot;isManuallyOverridden&quot;:false,&quot;citeprocText&quot;:&quot;(80)&quot;,&quot;manualOverrideText&quot;:&quot;&quot;},&quot;citationTag&quot;:&quot;MENDELEY_CITATION_v3_eyJjaXRhdGlvbklEIjoiTUVOREVMRVlfQ0lUQVRJT05fNjcxM2Y5M2UtZWUwMi00OGJjLWEyOGEtZTNhNGU0ZDYzYTE2IiwicHJvcGVydGllcyI6eyJub3RlSW5kZXgiOjB9LCJpc0VkaXRlZCI6ZmFsc2UsIm1hbnVhbE92ZXJyaWRlIjp7ImlzTWFudWFsbHlPdmVycmlkZGVuIjpmYWxzZSwiY2l0ZXByb2NUZXh0IjoiKDgwKSIsIm1hbnVhbE92ZXJyaWRlVGV4dCI6IiJ9LCJjaXRhdGlvbkl0ZW1zIjpbeyJpZCI6IjYzNmQ4NWY2LWM2YzAtMzYxZS05OTY1LTYxNmQ3NGNjMzQ2YSIsIml0ZW1EYXRhIjp7InR5cGUiOiJhcnRpY2xlLWpvdXJuYWwiLCJpZCI6IjYzNmQ4NWY2LWM2YzAtMzYxZS05OTY1LTYxNmQ3NGNjMzQ2YSIsInRpdGxlIjoiQSBEb3VibGUtQmxpbmQsIFJhbmRvbWl6ZWQsIENvbnRyb2xsZWQgQ3Jvc3NvdmVyIFRyaWFsIG9mIENhbm5hYmlzIGluIEFkdWx0cyB3aXRoIFRvdXJldHRlIFN5bmRyb21lIiwiZ3JvdXBJZCI6IjA3ZDYyYWMxLTVhYTgtMzlhZi1iNDllLTUyZDIwODhhYzU3MSIsImF1dGhvciI6W3siZmFtaWx5IjoiQWJpLUphb3VkZSIsImdpdmVuIjoiRSIsInBhcnNlLW5hbWVzIjpmYWxzZSwiZHJvcHBpbmctcGFydGljbGUiOiIiLCJub24tZHJvcHBpbmctcGFydGljbGUiOiIifSx7ImZhbWlseSI6IkJoaWtyYW0iLCJnaXZlbiI6IlQiLCJwYXJzZS1uYW1lcyI6ZmFsc2UsImRyb3BwaW5nLXBhcnRpY2xlIjoiIiwibm9uLWRyb3BwaW5nLXBhcnRpY2xlIjoiIn0seyJmYW1pbHkiOiJQYXJ2ZWVuIiwiZ2l2ZW4iOiJGIiwicGFyc2UtbmFtZXMiOmZhbHNlLCJkcm9wcGluZy1wYXJ0aWNsZSI6IiIsIm5vbi1kcm9wcGluZy1wYXJ0aWNsZSI6IiJ9LHsiZmFtaWx5IjoiTGV2ZW5iYWNoIiwiZ2l2ZW4iOiJKIiwicGFyc2UtbmFtZXMiOmZhbHNlLCJkcm9wcGluZy1wYXJ0aWNsZSI6IiIsIm5vbi1kcm9wcGluZy1wYXJ0aWNsZSI6IiJ9LHsiZmFtaWx5IjoiTGFmcmVuaWVyZS1Sb3VsYSIsImdpdmVuIjoiTSIsInBhcnNlLW5hbWVzIjpmYWxzZSwiZHJvcHBpbmctcGFydGljbGUiOiIiLCJub24tZHJvcHBpbmctcGFydGljbGUiOiIifSx7ImZhbWlseSI6IlNhbmRvciIsImdpdmVuIjoiUCIsInBhcnNlLW5hbWVzIjpmYWxzZSwiZHJvcHBpbmctcGFydGljbGUiOiIiLCJub24tZHJvcHBpbmctcGFydGljbGUiOiIifV0sImNvbnRhaW5lci10aXRsZSI6IkNhbm5hYmlzIENhbm5hYmlub2lkIFJlcyIsIkRPSSI6IjEwLjEwODkvY2FuLjIwMjIuMDA5MSIsIlBNSUQiOiIzNjA0MDMyOSIsImlzc3VlZCI6eyJkYXRlLXBhcnRzIjpbWzIwMjJdXX0sInBhZ2UiOiItIiwiYWJzdHJhY3QiOiJCYWNrZ3JvdW5kOiBUaGUgbnVtYmVyIG9mIGVmZmVjdGl2ZSBldmlkZW5jZS1iYXNlZCB0cmVhdG1lbnQgb3B0aW9ucyBmb3IgcGF0aWVudHMgd2l0aCBUb3VyZXR0ZSBzeW5kcm9tZSAoVFMpIGlzIGxpbWl0ZWQuIEVtZXJnaW5nIGV2aWRlbmNlIHNob3dzIGNhbm5hYmlub2lkcyBhcyBwcm9taXNpbmcgZm9yIHRoZSB0cmVhdG1lbnQgb2YgdGljcy4gT2JqZWN0aXZlczogVG8gY29tcGFyZSB0aGUgZWZmaWNhY3kgYW5kIHRvbGVyYWJpbGl0eSBvZiBzaW5nbGUgZG9zZXMgb2YgdGhyZWUgdmFwb3JpemVkIG1lZGljYWwgY2FubmFiaXMgcHJvZHVjdHMgYW5kIHBsYWNlYm8gaW4gcmVkdWNpbmcgdGljcyBpbiBhZHVsdHMgd2l0aCBUUy4gTWV0aG9kczogSW4gYSByYW5kb21pemVkLCBkb3VibGUtYmxpbmQsIGNyb3Nzb3ZlciBkZXNpZ24sIGVhY2ggcGFydGljaXBhbnQgcmVjZWl2ZWQgYSB2YXBvcml6ZWQgc2luZ2xlIDAuMjXigIlnIGRvc2Ugb2YgzpQoOSktdGV0cmFoeWRyb2Nhbm5hYmlub2wgKFRIQykgMTAlLCBUSEMvY2FubmFiaWRpb2wgKENCRCkgOSUvOSUsIENCRCAxMyUsIGFuZCBwbGFjZWJvIGF0IDItd2VlayBpbnRlcnZhbHMuIE91ciBwcmltYXJ5IG91dGNvbWUgd2FzIHRoZSBNb2RpZmllZCBSdXNoIFZpZGVvLUJhc2VkIFRpYyBSYXRpbmcgU2NhbGUgKE1SVlRSUyksIHRha2VuIGF0IGJhc2VsaW5lIGFuZCBhdCAwLjUsIDEsIDIsIDMsIGFuZCA14oCJaCBhZnRlciBkb3NlIGFkbWluaXN0cmF0aW9uLiBTZWNvbmRhcnkgbWVhc3VyZXMgaW5jbHVkZWQgdGhlIFByZW1vbml0b3J5IFVyZ2UgZm9yIFRpY3MgU2NhbGUgKFBVVFMpLCBTdWJqZWN0aXZlIFVuaXRzIG9mIERpc3RyZXNzIFNjYWxlIChTVURTKSwgYW5kIENsaW5pY2FsIEdsb2JhbCBJbXByZXNzaW9uLUltcHJvdmVtZW50IChDR0ktSSkuIENvcnJlbGF0aW9ucyBiZXR3ZWVuIG91dGNvbWVzIGFuZCBjYW5uYWJpbm9pZCBwbGFzbWEgbGV2ZWxzIHdlcmUgY2FsY3VsYXRlZC4gVG9sZXJhYmlsaXR5IG1lYXN1cmVzIGluY2x1ZGVkIG9wZW4tZW5kZWQgYW5kIHNwZWNpZmljIHF1ZXN0aW9ucyBhYm91dCBhZHZlcnNlIGV2ZW50cyAoQUVzKS4gUmVzdWx0czogVHdlbHZlIGFkdWx0IHBhdGllbnRzIHdpdGggVFMgd2VyZSByYW5kb21pemVkLCB3aXRoIG5pbmUgY29tcGxldGluZyB0aGUgc3R1ZHkuIFRoZXJlIHdhcyBubyBzdGF0aXN0aWNhbGx5IHNpZ25pZmljYW50IGVmZmVjdCBvZiBwcm9kdWN0IG9uIHRoZSBNUlZUUlMuIEhvd2V2ZXIsIHRoZXJlIHdhcyBhIHNpZ25pZmljYW50IGVmZmVjdCBvZiBUSEMgMTAlLCBhbmQgdG8gYSBsZXNzZXIgZXh0ZW50IFRIQy9DQkQgOSU5JSwgdmVyc3VzIHBsYWNlYm8gb24gdGhlIFBVVFMsIFNVRFMsIGFuZCBDR0ktSS4gQXMgd2VsbCwgdGhlcmUgd2VyZSBzaWduaWZpY2FudCBjb3JyZWxhdGlvbnMgYmV0d2VlbiBwbGFzbWEgbGV2ZWxzIG9mIFRIQyBhbmQgaXRzIG1ldGFib2xpdGVzLCBidXQgbm90IENCRCwgd2l0aCBNUlZUUlMsIFBVVFMsIGFuZCBTVURTIG1lYXN1cmVzLiBUaGVyZSB3ZXJlIG1vcmUgQUVzIGZyb20gYWxsIGNhbm5hYmlzIHByb2R1Y3RzIHJlbGF0aXZlIHRvIHBsYWNlYm8sIGFuZCBtb3JlIEFFcyBmcm9tIFRIQyAxMCUgdmVyc3VzIG90aGVyIGNhbm5hYmlzIHByb2R1Y3RzLCBwYXJ0aWN1bGFybHkgY29nbml0aXZlIGFuZCBwc3ljaG9tb3RvciBlZmZlY3RzLiBNb3N0IHBhcnRpY2lwYW50cyBjb3JyZWN0bHkgaWRlbnRpZmllZCB3aGV0aGVyIHRoZXkgaGFkIHJlY2VpdmVkIGNhbm5hYmlzIG9yIHBsYWNlYm8uIENvbmNsdXNpb25zOiBJbiB0aGlzIHBpbG90IHJhbmRvbWl6ZWQgY29udHJvbGxlZCB0cmlhbCBvZiBjYW5uYWJpcyBmb3IgdGljcyBpbiBUUywgdGhlcmUgd2FzIG5vIHN0YXRpc3RpY2FsbHkgc2lnbmlmaWNhbnQgZGlmZmVyZW5jZSBvbiB0aGUgTVJWVFJTIGZvciBhbnkgb2YgdGhlIGNhbm5hYmlzIHByb2R1Y3RzLCBhbHRob3VnaCB0aGUgVEhDIDEwJSBwcm9kdWN0IHdhcyBzaWduaWZpY2FudGx5IGJldHRlciB0aGFuIHBsYWNlYm8gb24gdGhlIHNlY29uZGFyeSBvdXRjb21lIG1lYXN1cmVzLiBBbHNvLCBUSEMgYW5kIG1ldGFib2xpdGUgcGxhc21hIGxldmVscyBjb3JyZWxhdGVkIHdpdGggaW1wcm92ZW1lbnQgb24gYWxsIG1lYXN1cmVzLiBUaGUgVEhDIDEwJSBwcm9kdWN0IHJlc3VsdGVkIGluIHRoZSBtb3N0IEFFcy4gQ2xpbmljYWxUcmlhbHMuZ292IElEOiBOQ1QwMzI0NzI0NC4iLCJjb250YWluZXItdGl0bGUtc2hvcnQiOiIifSwiaXNUZW1wb3JhcnkiOmZhbHNlfV19&quot;,&quot;citationItems&quot;:[{&quot;id&quot;:&quot;636d85f6-c6c0-361e-9965-616d74cc346a&quot;,&quot;itemData&quot;:{&quot;type&quot;:&quot;article-journal&quot;,&quot;id&quot;:&quot;636d85f6-c6c0-361e-9965-616d74cc346a&quot;,&quot;title&quot;:&quot;A Double-Blind, Randomized, Controlled Crossover Trial of Cannabis in Adults with Tourette Syndrome&quot;,&quot;groupId&quot;:&quot;07d62ac1-5aa8-39af-b49e-52d2088ac571&quot;,&quot;author&quot;:[{&quot;family&quot;:&quot;Abi-Jaoude&quot;,&quot;given&quot;:&quot;E&quot;,&quot;parse-names&quot;:false,&quot;dropping-particle&quot;:&quot;&quot;,&quot;non-dropping-particle&quot;:&quot;&quot;},{&quot;family&quot;:&quot;Bhikram&quot;,&quot;given&quot;:&quot;T&quot;,&quot;parse-names&quot;:false,&quot;dropping-particle&quot;:&quot;&quot;,&quot;non-dropping-particle&quot;:&quot;&quot;},{&quot;family&quot;:&quot;Parveen&quot;,&quot;given&quot;:&quot;F&quot;,&quot;parse-names&quot;:false,&quot;dropping-particle&quot;:&quot;&quot;,&quot;non-dropping-particle&quot;:&quot;&quot;},{&quot;family&quot;:&quot;Levenbach&quot;,&quot;given&quot;:&quot;J&quot;,&quot;parse-names&quot;:false,&quot;dropping-particle&quot;:&quot;&quot;,&quot;non-dropping-particle&quot;:&quot;&quot;},{&quot;family&quot;:&quot;Lafreniere-Roula&quot;,&quot;given&quot;:&quot;M&quot;,&quot;parse-names&quot;:false,&quot;dropping-particle&quot;:&quot;&quot;,&quot;non-dropping-particle&quot;:&quot;&quot;},{&quot;family&quot;:&quot;Sandor&quot;,&quot;given&quot;:&quot;P&quot;,&quot;parse-names&quot;:false,&quot;dropping-particle&quot;:&quot;&quot;,&quot;non-dropping-particle&quot;:&quot;&quot;}],&quot;container-title&quot;:&quot;Cannabis Cannabinoid Res&quot;,&quot;DOI&quot;:&quot;10.1089/can.2022.0091&quot;,&quot;PMID&quot;:&quot;36040329&quot;,&quot;issued&quot;:{&quot;date-parts&quot;:[[2022]]},&quot;page&quot;:&quot;-&quot;,&quot;abstract&quot;:&quot;Background: The number of effective evidence-based treatment options for patients with Tourette syndrome (TS) is limited. Emerging evidence shows cannabinoids as promising for the treatment of tics. Objectives: To compare the efficacy and tolerability of single doses of three vaporized medical cannabis products and placebo in reducing tics in adults with TS. Methods: In a randomized, double-blind, crossover design, each participant received a vaporized single 0.25 g dose of Δ(9)-tetrahydrocannabinol (THC) 10%, THC/cannabidiol (CBD) 9%/9%, CBD 13%, and placebo at 2-week intervals. Our primary outcome was the Modified Rush Video-Based Tic Rating Scale (MRVTRS), taken at baseline and at 0.5, 1, 2, 3, and 5 h after dose administration. Secondary measures included the Premonitory Urge for Tics Scale (PUTS), Subjective Units of Distress Scale (SUDS), and Clinical Global Impression-Improvement (CGI-I). Correlations between outcomes and cannabinoid plasma levels were calculated. Tolerability measures included open-ended and specific questions about adverse events (AEs). Results: Twelve adult patients with TS were randomized, with nine completing the study. There was no statistically significant effect of product on the MRVTRS. However, there was a significant effect of THC 10%, and to a lesser extent THC/CBD 9%9%, versus placebo on the PUTS, SUDS, and CGI-I. As well, there were significant correlations between plasma levels of THC and its metabolites, but not CBD, with MRVTRS, PUTS, and SUDS measures. There were more AEs from all cannabis products relative to placebo, and more AEs from THC 10% versus other cannabis products, particularly cognitive and psychomotor effects. Most participants correctly identified whether they had received cannabis or placebo. Conclusions: In this pilot randomized controlled trial of cannabis for tics in TS, there was no statistically significant difference on the MRVTRS for any of the cannabis products, although the THC 10% product was significantly better than placebo on the secondary outcome measures. Also, THC and metabolite plasma levels correlated with improvement on all measures. The THC 10% product resulted in the most AEs. ClinicalTrials.gov ID: NCT03247244.&quot;,&quot;container-title-short&quot;:&quot;&quot;},&quot;isTemporary&quot;:false}]},{&quot;citationID&quot;:&quot;MENDELEY_CITATION_fa2c9d76-7a4a-4c20-a93e-3c58cad21e2e&quot;,&quot;properties&quot;:{&quot;noteIndex&quot;:0},&quot;isEdited&quot;:false,&quot;manualOverride&quot;:{&quot;isManuallyOverridden&quot;:false,&quot;citeprocText&quot;:&quot;(81)&quot;,&quot;manualOverrideText&quot;:&quot;&quot;},&quot;citationTag&quot;:&quot;MENDELEY_CITATION_v3_eyJjaXRhdGlvbklEIjoiTUVOREVMRVlfQ0lUQVRJT05fZmEyYzlkNzYtN2E0YS00YzIwLWE5M2UtM2M1OGNhZDIxZTJlIiwicHJvcGVydGllcyI6eyJub3RlSW5kZXgiOjB9LCJpc0VkaXRlZCI6ZmFsc2UsIm1hbnVhbE92ZXJyaWRlIjp7ImlzTWFudWFsbHlPdmVycmlkZGVuIjpmYWxzZSwiY2l0ZXByb2NUZXh0IjoiKDgxKSIsIm1hbnVhbE92ZXJyaWRlVGV4dCI6IiJ9LCJjaXRhdGlvbkl0ZW1zIjpbeyJpZCI6IjU2ODA0ZDU3LTdiMjAtMzI0OC05NGE3LTFlMmMzNzJiYWQ3NiIsIml0ZW1EYXRhIjp7InR5cGUiOiJhcnRpY2xlLWpvdXJuYWwiLCJpZCI6IjU2ODA0ZDU3LTdiMjAtMzI0OC05NGE3LTFlMmMzNzJiYWQ3NiIsInRpdGxlIjoiQ2xpbmljYWwgRXhwZXJpZW5jZSBXaXRoIFRyYW5zZGVybWFsIE5pY290aW5lIFBhdGNoIGluIFRvdXJldHRlIFN5bmRyb21lIiwiZ3JvdXBJZCI6IjA3ZDYyYWMxLTVhYTgtMzlhZi1iNDllLTUyZDIwODhhYzU3MSIsImF1dGhvciI6W3siZmFtaWx5IjoiU2lsdmVyIiwiZ2l2ZW4iOiJBcmNoaWUgQSIsInBhcnNlLW5hbWVzIjpmYWxzZSwiZHJvcHBpbmctcGFydGljbGUiOiIiLCJub24tZHJvcHBpbmctcGFydGljbGUiOiIifSx7ImZhbWlseSI6IlNoeXRsZSIsImdpdmVuIjoiUiBEb3VnbGFzIiwicGFyc2UtbmFtZXMiOmZhbHNlLCJkcm9wcGluZy1wYXJ0aWNsZSI6IiIsIm5vbi1kcm9wcGluZy1wYXJ0aWNsZSI6IiJ9LHsiZmFtaWx5IjoiU2FuYmVyZyIsImdpdmVuIjoiUGF1bCBSIiwicGFyc2UtbmFtZXMiOmZhbHNlLCJkcm9wcGluZy1wYXJ0aWNsZSI6IiIsIm5vbi1kcm9wcGluZy1wYXJ0aWNsZSI6IiJ9XSwiY29udGFpbmVyLXRpdGxlIjoiQ05TIFNwZWN0cnVtcyIsIkRPSSI6IjEwLjEwMTcvUzEwOTI4NTI5MDAwMTE0MDgiLCJVUkwiOiJodHRwczovL3d3dy5jYW1icmlkZ2Uub3JnL2NvcmUvYXJ0aWNsZS9jbGluaWNhbC1leHBlcmllbmNlLXdpdGgtdHJhbnNkZXJtYWwtbmljb3RpbmUtcGF0Y2gtaW4tdG91cmV0dGUtc3luZHJvbWUvOEUxMDE4QTlFMkUzQkY3RTMzOEJCQzgxNDQ1RTZGRDciLCJpc3N1ZWQiOnsiZGF0ZS1wYXJ0cyI6W1sxOTk5XV19LCJwYWdlIjoiNjgtNzYiLCJhYnN0cmFjdCI6IlN0ZW1taW5nIGZyb20gdGhlIGZpbmRpbmcgdGhhdCBuaWNvdGluZSBwb3RlbnRpYXRlcyBoYWxvcGVyaWRvbC1pbmR1Y2VkIGNhdGFsZXBzeSBpbiByYXRzLCBuaWNvdGluZSBpbiB0aGUgZm9ybSBvZiBuaWNvdGluZSBndW0gYW5kIGFzIHRyYW5zZGVybWFsIG5pY290aW5lIHBhdGNoIChUTlApIGhhcyBiZWVuIHVzZWQgaW4gb3Blbi1sYWJlbCBzdHVkaWVzIHRvIG9idHVuZCBtb3RvciBhbmQgdm9jYWwgdGljcyBvZiBjaGlsZHJlbiAoYWdl4omlOCB5ZWFycywgd2VpZ2hp4omlMjUga2cpLCBhZG9sZXNjZW50cywgYW5kIGFkdWx0cy4gUmVkdWN0aW9uIG9mIHRpY3Mgd2FzIHNlZW4gZHVyaW5nIGNoZXdpbmcgb2Ygbmljb3RpbmUgZ3VtOyB0aGUgaW1wcm92ZW1lbnQgbGFzdGVkIG5vIGxvbmdlciB0aGFuIDEgaG91ciBhZnRlciBjaGV3aW5nLiBXaXRoIGEgVE5QIGluIHN1YmplY3RzIHdobyB3ZXJlIG5vdCByZXNwb25kaW5nIHdlbGwgdG8gYSB2YXJpZXR5IG9mIGRvcGFtaW5lIGJsb2NrZXJzLCB3aXRoIHNvbWUgYWxzbyByZWNlaXZpbmcgY2xvbmlkaW5lIG9yIGEgdmFyaWV0eSBvZiBzZWxlY3RpdmUgc2Vyb3RvbmluIHJldXB0YWtlIGluaGliaXRvcnMsIG1vdG9yIGFuZCB2b2NhbCB0aWNzIHdlcmUgb2J0dW5kZWQgNDUlIG92ZXIgYmFzZWxpbmUgaW4gODUlIG9mIDM1IHN1YmplY3RzIHdpdGhpbiAzMCBtaW51dGVzIHRvIDMgaG91cnMgYWZ0ZXIgVE5QIGFwcGxpY2F0aW9uLiBNb3Jlb3ZlciwgdGhlIHJlbGllZiBvZiBzeW1wdG9tcyB3aXRoIGEgc2luZ2xlIDctbWcgVE5QLCByZW1haW5pbmcgb24gdGhlIHNraW4gZm9yIDI0IGhvdXJzLCBwZXJzaXN0ZWQgZm9yIGEgdmFyaWFibGUgcGVyaW9kIG9mIHRpbWUgcmFuZ2luZyBmcm9tIDEgdG8gMTIwIGRheXMgd2l0aCBhbiBhdmVyYWdlIG9mIDEwwrEyIGRheXMuIEFwcGxpY2F0aW9uIG9mIGEgc2Vjb25kIFROUCBmb3IgMjQgaG91cnMgd2hlbiBzeW1wdG9tcyBiZWdhbiB0byByZXR1cm4gcmVzdWx0ZWQgaW4gYSBzaW1pbGFyIHJlZHVjdGlvbiBpbiB0aWMgc2V2ZXJpdHkgYW5kIGZyZXF1ZW5jeSwgd2hpY2ggcGVyc2lzdGVkIGFuIGF2ZXJhZ2Ugb2YgbDPCsTMgZGF5cy4gTmljb3RpbmUgYWxvbmUsIHdpdGhvdXQgRDIgYmxvY2tlcnMsIHdhcyBzdWNjZXNzZnVsIGluIHJlZHVjaW5nIHByZW1vbml0b3J5IHVyZ2VzIHRvIHRpYy4gQWZ0ZXIgZm9sbG93LXVwIG9mIDMgdG8gNSB5ZWFycywgMTkgb2YgMzUgcGF0aWVudHMgY29udGludWVkIHRvIHVzZSB0aGUgVE5QIGluIGdyYWR1YWxseSBkZWNyZWFzaW5nIGZyZXF1ZW5jeSBhbmQgd2l0aCBncmFkdWFsIHJlZHVjdGlvbiBpbiBkb3NlIG9mIEQyIGJsb2NrZXJzLiBIb3dldmVyLCAxNiBwYXRpZW50cyAoNDUlKSwgYXMgdGhleSBncmV3IGludG8gbWlkZGxlIGFkb2xlc2NlbmNlLCBkaXNjb250aW51ZWQgdXNlIG9mIHRoZSBUTlAsIHN0YXRpbmcgdGhhdCB0aGV5IG9iamVjdGVkIHRvIHRoZSBuYXVzZWEgaW5kdWNlZCBieSB0aGUgcGF0Y2guIFRoZXJlIHdhcyBubyBldmlkZW5jZSBvZiBoYWJpdHVhdGlvbiB0byBuaWNvdGluZS4gU2lkZSBlZmZlY3RzIHdlcmUgbm90IGxpZmUgdGhyZWF0ZW50aW5nOyB0aGUgbW9zdCBkaXN0dXJiaW5nIHNpZGUgZWZmZWN0IHdhcyBuYXVzZWEsIGFwcGVhcmluZyAxIHRvIDQgaG91cnMgYWZ0ZXIgdGhlIGFwcGxpY2F0aW9uIG9mIHRoZSBwYXRjaCBhbmQgbGFzdGluZyAxIHRvIDMgaG91cnMuIFRoZXJlIHdhcyBubyBjaGFuZ2UgaW4gYmxvb2QgcHJlc3N1cmU7IHB1bHNlIHJhdGUgaW5jcmVhc2VkIGZyb20gNSB0byAxMCUgd2l0aGluIDMgaG91cnMgYnV0IHJldHVybmVkIHRvIGJhc2VsaW5lIGFmdGVyIDI0IGhvdXJzLiBVbnNvbHZlZCBwcm9ibGVtcyB1c2luZyBUTlAgYXJlIG1lbnRpb25lZCBhbmQgYSBwdXRhdGl2ZSBtZWNoYW5pc20gZm9yIG5pY290aW5lIGVmZmVjdGl2ZW5lc3MgaW4gVG91cmV0dGUgc3luZHJvbWUgaXMgYnJpZWZseSBkaXNjdXNzZWQuIiwiaXNzdWUiOiIyIiwidm9sdW1lIjoiNCIsImNvbnRhaW5lci10aXRsZS1zaG9ydCI6IkNOUyBTcGVjdHIifSwiaXNUZW1wb3JhcnkiOmZhbHNlfV19&quot;,&quot;citationItems&quot;:[{&quot;id&quot;:&quot;56804d57-7b20-3248-94a7-1e2c372bad76&quot;,&quot;itemData&quot;:{&quot;type&quot;:&quot;article-journal&quot;,&quot;id&quot;:&quot;56804d57-7b20-3248-94a7-1e2c372bad76&quot;,&quot;title&quot;:&quot;Clinical Experience With Transdermal Nicotine Patch in Tourette Syndrome&quot;,&quot;groupId&quot;:&quot;07d62ac1-5aa8-39af-b49e-52d2088ac571&quot;,&quot;author&quot;:[{&quot;family&quot;:&quot;Silver&quot;,&quot;given&quot;:&quot;Archie A&quot;,&quot;parse-names&quot;:false,&quot;dropping-particle&quot;:&quot;&quot;,&quot;non-dropping-particle&quot;:&quot;&quot;},{&quot;family&quot;:&quot;Shytle&quot;,&quot;given&quot;:&quot;R Douglas&quot;,&quot;parse-names&quot;:false,&quot;dropping-particle&quot;:&quot;&quot;,&quot;non-dropping-particle&quot;:&quot;&quot;},{&quot;family&quot;:&quot;Sanberg&quot;,&quot;given&quot;:&quot;Paul R&quot;,&quot;parse-names&quot;:false,&quot;dropping-particle&quot;:&quot;&quot;,&quot;non-dropping-particle&quot;:&quot;&quot;}],&quot;container-title&quot;:&quot;CNS Spectrums&quot;,&quot;DOI&quot;:&quot;10.1017/S1092852900011408&quot;,&quot;URL&quot;:&quot;https://www.cambridge.org/core/article/clinical-experience-with-transdermal-nicotine-patch-in-tourette-syndrome/8E1018A9E2E3BF7E338BBC81445E6FD7&quot;,&quot;issued&quot;:{&quot;date-parts&quot;:[[1999]]},&quot;page&quot;:&quot;68-76&quot;,&quot;abstract&quot;:&quot;Stemming from the finding that nicotine potentiates haloperidol-induced catalepsy in rats, nicotine in the form of nicotine gum and as transdermal nicotine patch (TNP) has been used in open-label studies to obtund motor and vocal tics of children (age≥8 years, weighi≥25 kg), adolescents, and adults. Reduction of tics was seen during chewing of nicotine gum; the improvement lasted no longer than 1 hour after chewing. With a TNP in subjects who were not responding well to a variety of dopamine blockers, with some also receiving clonidine or a variety of selective serotonin reuptake inhibitors, motor and vocal tics were obtunded 45% over baseline in 85% of 35 subjects within 30 minutes to 3 hours after TNP application. Moreover, the relief of symptoms with a single 7-mg TNP, remaining on the skin for 24 hours, persisted for a variable period of time ranging from 1 to 120 days with an average of 10±2 days. Application of a second TNP for 24 hours when symptoms began to return resulted in a similar reduction in tic severity and frequency, which persisted an average of l3±3 days. Nicotine alone, without D2 blockers, was successful in reducing premonitory urges to tic. After follow-up of 3 to 5 years, 19 of 35 patients continued to use the TNP in gradually decreasing frequency and with gradual reduction in dose of D2 blockers. However, 16 patients (45%), as they grew into middle adolescence, discontinued use of the TNP, stating that they objected to the nausea induced by the patch. There was no evidence of habituation to nicotine. Side effects were not life threatenting; the most disturbing side effect was nausea, appearing 1 to 4 hours after the application of the patch and lasting 1 to 3 hours. There was no change in blood pressure; pulse rate increased from 5 to 10% within 3 hours but returned to baseline after 24 hours. Unsolved problems using TNP are mentioned and a putative mechanism for nicotine effectiveness in Tourette syndrome is briefly discussed.&quot;,&quot;issue&quot;:&quot;2&quot;,&quot;volume&quot;:&quot;4&quot;,&quot;container-title-short&quot;:&quot;CNS Spectr&quot;},&quot;isTemporary&quot;:false}]},{&quot;citationID&quot;:&quot;MENDELEY_CITATION_54825e26-44d4-4a2b-9d73-7ee3a1cad4ea&quot;,&quot;properties&quot;:{&quot;noteIndex&quot;:0},&quot;isEdited&quot;:false,&quot;manualOverride&quot;:{&quot;isManuallyOverridden&quot;:false,&quot;citeprocText&quot;:&quot;(82)&quot;,&quot;manualOverrideText&quot;:&quot;&quot;},&quot;citationTag&quot;:&quot;MENDELEY_CITATION_v3_eyJjaXRhdGlvbklEIjoiTUVOREVMRVlfQ0lUQVRJT05fNTQ4MjVlMjYtNDRkNC00YTJiLTlkNzMtN2VlM2ExY2FkNGVhIiwicHJvcGVydGllcyI6eyJub3RlSW5kZXgiOjB9LCJpc0VkaXRlZCI6ZmFsc2UsIm1hbnVhbE92ZXJyaWRlIjp7ImlzTWFudWFsbHlPdmVycmlkZGVuIjpmYWxzZSwiY2l0ZXByb2NUZXh0IjoiKDgyKSIsIm1hbnVhbE92ZXJyaWRlVGV4dCI6IiJ9LCJjaXRhdGlvbkl0ZW1zIjpbeyJpZCI6IjM4Y2FmNTA5LTM0NmUtM2NmNy05ZDQzLWM0ZmFlN2NhMDQ1ZiIsIml0ZW1EYXRhIjp7InR5cGUiOiJhcnRpY2xlLWpvdXJuYWwiLCJpZCI6IjM4Y2FmNTA5LTM0NmUtM2NmNy05ZDQzLWM0ZmFlN2NhMDQ1ZiIsInRpdGxlIjoiSW50cmF2ZW5vdXMgSW1tdW5vZ2xvYnVsaW4gVHJlYXRtZW50IERpZCBOb3QgSW1wcm92ZSBUaWNzIGluIGEgUGF0aWVudCBXaXRoIEdpbGxlcyBkZSBsYSBUb3VyZXR0ZSBTeW5kcm9tZSBhbmQgSW50cmF0aGVjYWwgQW50aWJvZHkgU3ludGhlc2lzIiwiZ3JvdXBJZCI6IjA3ZDYyYWMxLTVhYTgtMzlhZi1iNDllLTUyZDIwODhhYzU3MSIsImF1dGhvciI6W3siZmFtaWx5IjoiU3plamtvIiwiZ2l2ZW4iOiJOIiwicGFyc2UtbmFtZXMiOmZhbHNlLCJkcm9wcGluZy1wYXJ0aWNsZSI6IiIsIm5vbi1kcm9wcGluZy1wYXJ0aWNsZSI6IiJ9LHsiZmFtaWx5IjoiRnJlbWVyIiwiZ2l2ZW4iOiJDIiwicGFyc2UtbmFtZXMiOmZhbHNlLCJkcm9wcGluZy1wYXJ0aWNsZSI6IiIsIm5vbi1kcm9wcGluZy1wYXJ0aWNsZSI6IiJ9LHsiZmFtaWx5IjoiU8O8aHMiLCJnaXZlbiI6IksgVyIsInBhcnNlLW5hbWVzIjpmYWxzZSwiZHJvcHBpbmctcGFydGljbGUiOiIiLCJub24tZHJvcHBpbmctcGFydGljbGUiOiIifSx7ImZhbWlseSI6Ik1hY3VsIEZlcnJlaXJhIGRlIEJhcnJvcyIsImdpdmVuIjoiUCIsInBhcnNlLW5hbWVzIjpmYWxzZSwiZHJvcHBpbmctcGFydGljbGUiOiIiLCJub24tZHJvcHBpbmctcGFydGljbGUiOiIifSx7ImZhbWlseSI6Ik3DvGxsZXItVmFobCIsImdpdmVuIjoiSyBSIiwicGFyc2UtbmFtZXMiOmZhbHNlLCJkcm9wcGluZy1wYXJ0aWNsZSI6IiIsIm5vbi1kcm9wcGluZy1wYXJ0aWNsZSI6IiJ9XSwiY29udGFpbmVyLXRpdGxlIjoiRnJvbnQgTmV1cm9sIiwiRE9JIjoiMTAuMzM4OS9mbmV1ci4yMDIwLjAwMTEwIiwiUE1JRCI6IjMyMTgwNzU1IiwiaXNzdWVkIjp7ImRhdGUtcGFydHMiOltbMjAyMF1dfSwicGFnZSI6IjExMCIsImFic3RyYWN0IjoiR2lsbGVzIGRlIGxhIFRvdXJldHRlIHN5bmRyb21lIChHVFMpIGlzIGEgbmV1cm9wc3ljaGlhdHJpYyBkaXNvcmRlciBjaGFyYWN0ZXJpemVkIGJ5IG1vdG9yIGFuZCB2b2NhbCB0aWNzLiBUaGVyZSBhcmUgc2V2ZXJhbCBoeXBvdGhlc2VzIGFzIHRvIHRoZSBjYXVzZSBvZiB0aGUgZGlzZWFzZS4gT25lIG9mIHdoaWNoIHN1Z2dlc3RzIHRoYXQgdGhlIGltbXVuZSBzeXN0ZW0gaXMgaW52b2x2ZWQgaW4gdGhlIHBhdGhvcGh5c2lvbG9neSBvZiBHVFMuIEhlcmUsIHdlIHByZXNlbnQgYSA0MC15ZWFyLW9sZCBmZW1hbGUgcGF0aWVudCB3aXRoIGEgdHlwaWNhbCBoaXN0b3J5IGFuZCBjbGluaWNhbCBwcmVzZW50YXRpb24gb2YgR1RTIHdpdGggdGljcyBhbmQgcHN5Y2hpYXRyaWMgY29tb3JiaWRpdGllcywgaW4gd2hvbSBwb3NpdGl2ZSBvbGlnb2Nsb25hbCBiYW5kcyAoT0NCcykgdHlwZSAyIGluIGNlcmVicmFsIHNwaW5hbCBmbHVpZCAoQ1NGKSB3ZXJlIGRldGVjdGVkIGluIGFuIGVhcmxpZXIgc3R1ZHkuIEF0IHRoYXQgdGltZSBwb2ludCwgYWxsIG90aGVyIGludmVzdGlnYXRpb25zIHdlcmUgdW5yZW1hcmthYmxlIChpbmNsdWRpbmcgbmV1cm9sb2dpY2FsIGV4YW1pbmF0aW9uIGFuZCBjTVJJKSwgYnV0IDIgeWVhcnMgbGF0ZXIsIHNoZSBwcmVzZW50ZWQgd2l0aCBmdXJ0aGVyIG5ldXJvbG9naWNhbCBzeW1wdG9tcyBpbmNsdWRpbmcgdGV0cmFwYXJlc2lzIG1vc3RseSBhZmZlY3RpbmcgdGhlIGxlZnQgbGltYnMsIGRpc3RhbCBoeXBlc3RoZXNpYSBhbmQgcGFyZXN0aGVzaWEsIGFuZCBkeXNwbmVhLiBTaW5jZSBmdXJ0aGVyIGV4YW1pbmF0aW9ucyAoaW5jbHVkaW5nIEVNRywgTVJJLCBDU0YsIHZpcm9sb2dpY2FsLCBhbmQgYmFjdGVyaW9sb2dpY2FsIHRlc3RzLCBhcyB3ZWxsIGFzIGF1dG9pbW11bmUtZW5jZXBoYWxpdGlzIGFudGlib2RpZXMpIHJldmVhbGVkIG5vcm1hbCByZXN1bHRzLCBiYXNlZCBvbiBjbGluaWNhbCBwcmVzZW50YXRpb24sIHRoZSBkaWFnbm9zaXMgb2YgR3VpbGxhaW4tQmFycsOpLWxpa2UgaW1tdW5lLW1lZGlhdGVkIG5ldXJvcGF0aHkgd2FzIG1hZGUgYW5kIHRyZWF0bWVudCB3aXRoIGludHJhdmVub3VzIGltbXVub2dsb2J1bGlucyAoSVZJZykgKDMwIGcvZGF5IGZvciA1IGRheXMpIHdhcyBpbml0aWF0ZWQgcmVzdWx0aW5nIGluIGNvbXBsZXRlIHJlbWlzc2lvbiBvZiBpbW11bmUtbWVkaWF0ZWQgbmV1cm9wYXRoeS4gQmFzZWQgb24gdGhlIFwiaW1tdW5lIGh5cG90aGVzaXNcIiBvZiBHVFMsIHdlIHdlcmUgaW50ZXJlc3RlZCBpbiB3aGV0aGVyIGluIHRoaXMgcGF0aWVudCBwb3NpdGl2ZSBDU0YgT0NCcyBtaWdodCBzZXJ2ZSBhcyBhIGJpb21hcmtlciBmb3IgdHJlYXRtZW50IHJlc3BvbnNlIG9mIHRpY3MgYW5kIGFkZGl0aW9uYWwgR1RTLXJlbGF0ZWQgcHN5Y2hpYXRyaWMgc3ltcHRvbXMgdG8gSVZJZywgYW5kIHRoZXJlZm9yZSBhc3Nlc3NlZCB0aWNzLCBwcmVtb25pdG9yeSB1cmdlcywgYW5kIHBzeWNoaWF0cmljIGNvbW9yYmlkaXRpZXMgYmVmb3JlIGFuZCBzZXZlcmFsIHRpbWVzIGFmdGVyIHRoZSBJVklnIHRyZWF0bWVudC4gSG93ZXZlciwgZXZlbiB0aG91Z2ggaW1tdW5lLW1lZGlhdGVkIG5ldXJvcGF0aHkgcmVzb2x2ZWQgYWZ0ZXIgdHJlYXRtZW50LCB0aWNzLCBwcmVtb25pdG9yeSB1cmdlcywgYW5kIGNvbW9yYmlkaXRpZXMgcmVtYWluZWQgdW5jaGFuZ2VkLiBUaHVzLCB0aGlzIGNhc2Ugc3R1ZHkgc3VnZ2VzdHMgdGhhdCB0cmVhdG1lbnQgd2l0aCBJVklnIGlzIG5vdCBlZmZlY3RpdmUgaW4gdGhlIHRyZWF0bWVudCBvZiBHVFMtZXZlbiBpbiBhIHBhdGllbnQgd2l0aCBpbnRyYXRoZWNhbCBhbnRpYm9keSBzeW50aGVzaXMgYXMgZXhwcmVzc2VkIGJ5IENTRiBpc29sYXRlZCBPQ0JzLiIsInZvbHVtZSI6IjExIiwiY29udGFpbmVyLXRpdGxlLXNob3J0IjoiIn0sImlzVGVtcG9yYXJ5IjpmYWxzZX1dfQ==&quot;,&quot;citationItems&quot;:[{&quot;id&quot;:&quot;38caf509-346e-3cf7-9d43-c4fae7ca045f&quot;,&quot;itemData&quot;:{&quot;type&quot;:&quot;article-journal&quot;,&quot;id&quot;:&quot;38caf509-346e-3cf7-9d43-c4fae7ca045f&quot;,&quot;title&quot;:&quot;Intravenous Immunoglobulin Treatment Did Not Improve Tics in a Patient With Gilles de la Tourette Syndrome and Intrathecal Antibody Synthesis&quot;,&quot;groupId&quot;:&quot;07d62ac1-5aa8-39af-b49e-52d2088ac571&quot;,&quot;author&quot;:[{&quot;family&quot;:&quot;Szejko&quot;,&quot;given&quot;:&quot;N&quot;,&quot;parse-names&quot;:false,&quot;dropping-particle&quot;:&quot;&quot;,&quot;non-dropping-particle&quot;:&quot;&quot;},{&quot;family&quot;:&quot;Fremer&quot;,&quot;given&quot;:&quot;C&quot;,&quot;parse-names&quot;:false,&quot;dropping-particle&quot;:&quot;&quot;,&quot;non-dropping-particle&quot;:&quot;&quot;},{&quot;family&quot;:&quot;Sühs&quot;,&quot;given&quot;:&quot;K W&quot;,&quot;parse-names&quot;:false,&quot;dropping-particle&quot;:&quot;&quot;,&quot;non-dropping-particle&quot;:&quot;&quot;},{&quot;family&quot;:&quot;Macul Ferreira de Barros&quot;,&quot;given&quot;:&quot;P&quot;,&quot;parse-names&quot;:false,&quot;dropping-particle&quot;:&quot;&quot;,&quot;non-dropping-particle&quot;:&quot;&quot;},{&quot;family&quot;:&quot;Müller-Vahl&quot;,&quot;given&quot;:&quot;K R&quot;,&quot;parse-names&quot;:false,&quot;dropping-particle&quot;:&quot;&quot;,&quot;non-dropping-particle&quot;:&quot;&quot;}],&quot;container-title&quot;:&quot;Front Neurol&quot;,&quot;DOI&quot;:&quot;10.3389/fneur.2020.00110&quot;,&quot;PMID&quot;:&quot;32180755&quot;,&quot;issued&quot;:{&quot;date-parts&quot;:[[2020]]},&quot;page&quot;:&quot;110&quot;,&quot;abstract&quot;:&quot;Gilles de la Tourette syndrome (GTS) is a neuropsychiatric disorder characterized by motor and vocal tics. There are several hypotheses as to the cause of the disease. One of which suggests that the immune system is involved in the pathophysiology of GTS. Here, we present a 40-year-old female patient with a typical history and clinical presentation of GTS with tics and psychiatric comorbidities, in whom positive oligoclonal bands (OCBs) type 2 in cerebral spinal fluid (CSF) were detected in an earlier study. At that time point, all other investigations were unremarkable (including neurological examination and cMRI), but 2 years later, she presented with further neurological symptoms including tetraparesis mostly affecting the left limbs, distal hypesthesia and paresthesia, and dyspnea. Since further examinations (including EMG, MRI, CSF, virological, and bacteriological tests, as well as autoimmune-encephalitis antibodies) revealed normal results, based on clinical presentation, the diagnosis of Guillain-Barré-like immune-mediated neuropathy was made and treatment with intravenous immunoglobulins (IVIg) (30 g/day for 5 days) was initiated resulting in complete remission of immune-mediated neuropathy. Based on the \&quot;immune hypothesis\&quot; of GTS, we were interested in whether in this patient positive CSF OCBs might serve as a biomarker for treatment response of tics and additional GTS-related psychiatric symptoms to IVIg, and therefore assessed tics, premonitory urges, and psychiatric comorbidities before and several times after the IVIg treatment. However, even though immune-mediated neuropathy resolved after treatment, tics, premonitory urges, and comorbidities remained unchanged. Thus, this case study suggests that treatment with IVIg is not effective in the treatment of GTS-even in a patient with intrathecal antibody synthesis as expressed by CSF isolated OCBs.&quot;,&quot;volume&quot;:&quot;11&quot;,&quot;container-title-short&quot;:&quot;&quot;},&quot;isTemporary&quot;:false}]},{&quot;citationID&quot;:&quot;MENDELEY_CITATION_e7018a14-111d-4827-a38f-482ccc7be829&quot;,&quot;properties&quot;:{&quot;noteIndex&quot;:0},&quot;isEdited&quot;:false,&quot;manualOverride&quot;:{&quot;isManuallyOverridden&quot;:false,&quot;citeprocText&quot;:&quot;(83)&quot;,&quot;manualOverrideText&quot;:&quot;&quot;},&quot;citationTag&quot;:&quot;MENDELEY_CITATION_v3_eyJjaXRhdGlvbklEIjoiTUVOREVMRVlfQ0lUQVRJT05fZTcwMThhMTQtMTExZC00ODI3LWEzOGYtNDgyY2NjN2JlODI5IiwicHJvcGVydGllcyI6eyJub3RlSW5kZXgiOjB9LCJpc0VkaXRlZCI6ZmFsc2UsIm1hbnVhbE92ZXJyaWRlIjp7ImlzTWFudWFsbHlPdmVycmlkZGVuIjpmYWxzZSwiY2l0ZXByb2NUZXh0IjoiKDgzKSIsIm1hbnVhbE92ZXJyaWRlVGV4dCI6IiJ9LCJjaXRhdGlvbkl0ZW1zIjpbeyJpZCI6IjU0YWMzYmVlLWRmMzAtMzZlMi05Y2FiLTk3NGY1YmZlZTg3ZSIsIml0ZW1EYXRhIjp7InR5cGUiOiJhcnRpY2xlLWpvdXJuYWwiLCJpZCI6IjU0YWMzYmVlLWRmMzAtMzZlMi05Y2FiLTk3NGY1YmZlZTg3ZSIsInRpdGxlIjoiVmFwb3JpemVkIENhbm5hYmlzIElzIEVmZmVjdGl2ZSBhbmQgV2VsbC1Ub2xlcmF0ZWQgaW4gYW4gQWRvbGVzY2VudCB3aXRoIFRvdXJldHRlIFN5bmRyb21lIiwiZ3JvdXBJZCI6IjA3ZDYyYWMxLTVhYTgtMzlhZi1iNDllLTUyZDIwODhhYzU3MSIsImF1dGhvciI6W3siZmFtaWx5IjoiU3plamtvIiwiZ2l2ZW4iOiJOIiwicGFyc2UtbmFtZXMiOmZhbHNlLCJkcm9wcGluZy1wYXJ0aWNsZSI6IiIsIm5vbi1kcm9wcGluZy1wYXJ0aWNsZSI6IiJ9LHsiZmFtaWx5IjoiSmFrdWJvdnNraSIsImdpdmVuIjoiRSIsInBhcnNlLW5hbWVzIjpmYWxzZSwiZHJvcHBpbmctcGFydGljbGUiOiIiLCJub24tZHJvcHBpbmctcGFydGljbGUiOiIifSx7ImZhbWlseSI6IkZyZW1lciIsImdpdmVuIjoiQyIsInBhcnNlLW5hbWVzIjpmYWxzZSwiZHJvcHBpbmctcGFydGljbGUiOiIiLCJub24tZHJvcHBpbmctcGFydGljbGUiOiIifSx7ImZhbWlseSI6Ik11bGxlci1WYWhsIiwiZ2l2ZW4iOiJLIFIiLCJwYXJzZS1uYW1lcyI6ZmFsc2UsImRyb3BwaW5nLXBhcnRpY2xlIjoiIiwibm9uLWRyb3BwaW5nLXBhcnRpY2xlIjoiIn1dLCJjb250YWluZXItdGl0bGUiOiJNZWRpY2FsIENhbm5hYmlzIGFuZCBDYW5uYWJpbm9pZHMiLCJET0kiOiJodHRwczovL2R4LmRvaS5vcmcvMTAuMTE1OS8wMDA0OTYzNTUiLCJVUkwiOiJodHRwczovL3d3dy5rYXJnZXIuY29tL0pvdXJuYWwvSG9tZS8yNzU5ODZodHRwOi8vb3ZpZHNwLm92aWQuY29tL292aWR3ZWIuY2dpP1Q9SlMmUEFHRT1yZWZlcmVuY2UmRD1lbWV4YiZORVdTPU4mQU49MjAxMzk3MDA3MCIsImlzc3VlZCI6eyJkYXRlLXBhcnRzIjpbWzIwMTldXX0sInBhZ2UiOiI2MC02NCIsImFic3RyYWN0IjoiV2UgcHJlc2VudCB0aGUgY2FzZSBvZiBhIDEyLXllYXItb2xkIGJveSBkaWFnbm9zZWQgd2l0aCBUb3VyZXR0ZSBzeW5kcm9tZSwgd2hvIHdhcyBzdWNjZXNzZnVsbHkgdHJlYXRlZCB3aXRoIGEgY29tYmluYXRpb24gb2YgdmFwb3JpemVkIG1lZGljaW5hbCBjYW5uYWJpcyBhbmQgb3JhbCBwdXJlIHRldHJhaHlkcm9jYW5uYWJpbm9sIChUSEMpLiBEdWUgdG8gc2V2ZXJlIG1vdG9yIHRpY3MgcmVzdWx0aW5nIGluIGluc29tbmlhLCB0aGUgcGFyZW50cy1ib3RoIG9mIHdob20gd2VyZSBtZWRpY2FsIGRvY3RvcnMtZGVjaWRlZCB0byBpbml0aWF0ZSB0cmVhdG1lbnQgd2l0aCAwLjAyIGcgdmFwb3JpemVkIGNhbm5hYmlzIChCZWRyb2NhbiB3aXRoIGEgVEhDIGNvbnRlbnQgb2YgMjIlIGFuZCBhIGNhbm5hYmlkaW9sIGNvbnRlbnQgb2YgMSU7IGNvcnJlc3BvbmRpbmcgdG8gYSBkb3NlIGVxdWl2YWxlbnQgdG8gNC40IG1nIFRIQykgd2l0aG91dCBwcmlvciBjb25zdWx0YXRpb24gb2YgYSBUb3VyZXR0ZSBleHBlcnQuIFRoaXMgdHJlYXRtZW50IHJlc3VsdGVkLWFjY29yZGluZyB0byB0aGUgcGFyZW50cycgcmVwb3J0LWluIGFuIGltbWVkaWF0ZSBhbmQgbmVhcmx5IGNvbXBsZXRlIHJlbWlzc2lvbiBvZiB0aGUgdGljcy4gRHVlIHRvIGEgZnVydGhlciBpbmNyZWFzZSBpbiB0aWNzLCB0aGUgcGFyZW50cyB0aGVyZWZvcmUgZGVjaWRlZCB0byBpbXBsZW1lbnQgYSByZWd1bGFyIHRyZWF0bWVudCB3aXRoIGEgY29tYmluYXRpb24gb2YgdmFwb3JpemVkIG1lZGljaW5hbCBjYW5uYWJpcyAodXAgdG8gMC4xIGcgY2FubmFiaXMgcGVyIGRheSwgdmFyaWV0aWVzIEJlZHJvY2FuIGFuZCBBbW5lc2lhIEhhemUsIGNvcnJlc3BvbmRpbmcgdG8gMjIgbWcgVEhDL2RheSkgcGx1cyBvcmFsbHkgYWRtaW5pc3RlcmVkIG9pbC1iYXNlZCBUSEMgZHJvcHMgKG1heGltdW0gZGFpbHkgZG9zZSA9IDEyLjUgbWcgVEhDKSByZXN1bHRpbmcgaW4gYSBtYXJrZWQgdGljIHJlZHVjdGlvbi4gRHVyaW5nIGEgdmlzaXQgaW4gb3VyIGNsaW5pYywgd2Ugd2VyZSBhYmxlIHRvIG9ic2VydmUgdGhlIHJlcG9ydGVkIGJlbmVmaWNpYWwgZWZmZWN0cyAzMCBtaW4gYWZ0ZXIgdmFwb3JpemF0aW9uIG9mIDAuMTUgZyBjYW5uYWJpcyAoQW1uZXNpYSBIYXplLCBlcXVpdmFsZW50IHRvIDMzIG1nIFRIQzsgaW4gYWRkaXRpb24sIDcgbWcgb3JhbCBUSEMgd2VyZSB0YWtlbiBhdCBob21lIDYgaCBiZWZvcmUgdGhlIHZpc2l0KTogVGljcywgcHJlbW9uaXRvcnkgdXJnZXMsIGFuZCBvdmVyYWxsIGltcGFpcm1lbnQgc2lnbmlmaWNhbnRseSBpbXByb3ZlZCBhY2NvcmRpbmcgdG8gc2VsZi1yYXRpbmdzLCBwYXJlbnQgYW5kIGNsaW5pY2lhbiBxdWVzdGlvbm5haXJlcy4gSW1wb3J0YW50bHksIG5vIGFkdmVyc2UgZXZlbnRzIHdlcmUgcmVwb3J0ZWQuIEZyb20gdGhpcyBzaW5nbGUgY2FzZSBzdHVkeSwgaXQgaXMgc3VnZ2VzdGVkIHRoYXQgY2FubmFiaXMtYmFzZWQgbWVkaWNpbmVzIGFuZCB0aGVpciBjb21iaW5hdGlvbiAoc3VjaCBhcyBvcmFsIFRIQyBwbHVzIHZhcG9yaXplZCBtZWRpY2luYWwgY2FubmFiaXMpIGFyZSBlZmZlY3RpdmUgYW5kIHNhZmUgaW4gdGhlIHRyZWF0bWVudCBvZiBzZXZlcmUgdGljcyBpbiBtaW5vcnMgd2l0aCBUUy4gSG93ZXZlciwgbG9uZy1UZXJtIGZvbGxvdy11cCBpcyBuZWVkZWQgdG8gY29uZmlybSB0aGUgYmVuZWZpY2lhbCB0cmVhdG1lbnQgZWZmZWN0cy4gV2Ugd2FudCB0byBlbXBoYXNpemUgdGhhdCBpbiB0aGlzIGJveSB0cmVhdG1lbnQgd2l0aCBjYW5uYWJpcyB3YXMgaW5pdGlhdGVkIGJ5IHRoZSBwYXJlbnRzIGJlZm9yZSBhIGNvbnN1bHRhdGlvbiBpbiBvdXIgY2xpbmljIGhhcyB0YWtlbiBwbGFjZS4gSW4gb3VyIG9waW5pb24sIHRyZWF0bWVudCB3aXRoIGNhbm5hYmlzLWJhc2VkIG1lZGljaW5lIGluIGNoaWxkcmVuIHNob3VsZCBiZSByZWdhcmRlZCBhcyBhIGxhc3QtbGluZSB0cmVhdG1lbnQsIHdoZW4gd2VsbC1lc3RhYmxpc2hlZCB0cmVhdG1lbnRzIGhhdmUgZmFpbGVkIHRvIGltcHJvdmUgdGljcy5Db3B5cmlnaHQgwqkgMjAxOSIsImlzc3VlIjoiMSIsInZvbHVtZSI6IjIiLCJjb250YWluZXItdGl0bGUtc2hvcnQiOiJNZWQgQ2FubmFiaXMgQ2FubmFiaW5vaWRzIn0sImlzVGVtcG9yYXJ5IjpmYWxzZX1dfQ==&quot;,&quot;citationItems&quot;:[{&quot;id&quot;:&quot;54ac3bee-df30-36e2-9cab-974f5bfee87e&quot;,&quot;itemData&quot;:{&quot;type&quot;:&quot;article-journal&quot;,&quot;id&quot;:&quot;54ac3bee-df30-36e2-9cab-974f5bfee87e&quot;,&quot;title&quot;:&quot;Vaporized Cannabis Is Effective and Well-Tolerated in an Adolescent with Tourette Syndrome&quot;,&quot;groupId&quot;:&quot;07d62ac1-5aa8-39af-b49e-52d2088ac571&quot;,&quot;author&quot;:[{&quot;family&quot;:&quot;Szejko&quot;,&quot;given&quot;:&quot;N&quot;,&quot;parse-names&quot;:false,&quot;dropping-particle&quot;:&quot;&quot;,&quot;non-dropping-particle&quot;:&quot;&quot;},{&quot;family&quot;:&quot;Jakubovski&quot;,&quot;given&quot;:&quot;E&quot;,&quot;parse-names&quot;:false,&quot;dropping-particle&quot;:&quot;&quot;,&quot;non-dropping-particle&quot;:&quot;&quot;},{&quot;family&quot;:&quot;Fremer&quot;,&quot;given&quot;:&quot;C&quot;,&quot;parse-names&quot;:false,&quot;dropping-particle&quot;:&quot;&quot;,&quot;non-dropping-particle&quot;:&quot;&quot;},{&quot;family&quot;:&quot;Muller-Vahl&quot;,&quot;given&quot;:&quot;K R&quot;,&quot;parse-names&quot;:false,&quot;dropping-particle&quot;:&quot;&quot;,&quot;non-dropping-particle&quot;:&quot;&quot;}],&quot;container-title&quot;:&quot;Medical Cannabis and Cannabinoids&quot;,&quot;DOI&quot;:&quot;https://dx.doi.org/10.1159/000496355&quot;,&quot;URL&quot;:&quot;https://www.karger.com/Journal/Home/275986http://ovidsp.ovid.com/ovidweb.cgi?T=JS&amp;PAGE=reference&amp;D=emexb&amp;NEWS=N&amp;AN=2013970070&quot;,&quot;issued&quot;:{&quot;date-parts&quot;:[[2019]]},&quot;page&quot;:&quot;60-64&quot;,&quot;abstract&quot;:&quot;We present the case of a 12-year-old boy diagnosed with Tourette syndrome, who was successfully treated with a combination of vaporized medicinal cannabis and oral pure tetrahydrocannabinol (THC). Due to severe motor tics resulting in insomnia, the parents-both of whom were medical doctors-decided to initiate treatment with 0.02 g vaporized cannabis (Bedrocan with a THC content of 22% and a cannabidiol content of 1%; corresponding to a dose equivalent to 4.4 mg THC) without prior consultation of a Tourette expert. This treatment resulted-according to the parents' report-in an immediate and nearly complete remission of the tics. Due to a further increase in tics, the parents therefore decided to implement a regular treatment with a combination of vaporized medicinal cannabis (up to 0.1 g cannabis per day, varieties Bedrocan and Amnesia Haze, corresponding to 22 mg THC/day) plus orally administered oil-based THC drops (maximum daily dose = 12.5 mg THC) resulting in a marked tic reduction. During a visit in our clinic, we were able to observe the reported beneficial effects 30 min after vaporization of 0.15 g cannabis (Amnesia Haze, equivalent to 33 mg THC; in addition, 7 mg oral THC were taken at home 6 h before the visit): Tics, premonitory urges, and overall impairment significantly improved according to self-ratings, parent and clinician questionnaires. Importantly, no adverse events were reported. From this single case study, it is suggested that cannabis-based medicines and their combination (such as oral THC plus vaporized medicinal cannabis) are effective and safe in the treatment of severe tics in minors with TS. However, long-Term follow-up is needed to confirm the beneficial treatment effects. We want to emphasize that in this boy treatment with cannabis was initiated by the parents before a consultation in our clinic has taken place. In our opinion, treatment with cannabis-based medicine in children should be regarded as a last-line treatment, when well-established treatments have failed to improve tics.Copyright © 2019&quot;,&quot;issue&quot;:&quot;1&quot;,&quot;volume&quot;:&quot;2&quot;,&quot;container-title-short&quot;:&quot;Med Cannabis Cannabinoids&quot;},&quot;isTemporary&quot;:false}]},{&quot;citationID&quot;:&quot;MENDELEY_CITATION_bba5fa6a-1544-4e88-84ef-4fd2604a5ac0&quot;,&quot;properties&quot;:{&quot;noteIndex&quot;:0},&quot;isEdited&quot;:false,&quot;manualOverride&quot;:{&quot;isManuallyOverridden&quot;:false,&quot;citeprocText&quot;:&quot;(84)&quot;,&quot;manualOverrideText&quot;:&quot;&quot;},&quot;citationTag&quot;:&quot;MENDELEY_CITATION_v3_eyJjaXRhdGlvbklEIjoiTUVOREVMRVlfQ0lUQVRJT05fYmJhNWZhNmEtMTU0NC00ZTg4LTg0ZWYtNGZkMjYwNGE1YWMwIiwicHJvcGVydGllcyI6eyJub3RlSW5kZXgiOjB9LCJpc0VkaXRlZCI6ZmFsc2UsIm1hbnVhbE92ZXJyaWRlIjp7ImlzTWFudWFsbHlPdmVycmlkZGVuIjpmYWxzZSwiY2l0ZXByb2NUZXh0IjoiKDg0KSIsIm1hbnVhbE92ZXJyaWRlVGV4dCI6IiJ9LCJjaXRhdGlvbkl0ZW1zIjpbeyJpZCI6ImRkYWFiM2IyLTNlZWUtMzE1My05NTBiLWMyZjg0YjljZjk5ZSIsIml0ZW1EYXRhIjp7InR5cGUiOiJhcnRpY2xlLWpvdXJuYWwiLCJpZCI6ImRkYWFiM2IyLTNlZWUtMzE1My05NTBiLWMyZjg0YjljZjk5ZSIsInRpdGxlIjoiTmV1cm9pbWFnaW5nIHRoZSBlbW90aW9uYWwgbW9kdWxhdGlvbiBvZiB1cmdlIGluaGliaXRpb24gaW4gVG91cmV0dGUgU3luZHJvbWUiLCJncm91cElkIjoiMDdkNjJhYzEtNWFhOC0zOWFmLWI0OWUtNTJkMjA4OGFjNTcxIiwiYXV0aG9yIjpbeyJmYW1pbHkiOiJCaGlrcmFtIiwiZ2l2ZW4iOiJUIiwicGFyc2UtbmFtZXMiOmZhbHNlLCJkcm9wcGluZy1wYXJ0aWNsZSI6IiIsIm5vbi1kcm9wcGluZy1wYXJ0aWNsZSI6IiJ9LHsiZmFtaWx5IjoiQ3Jhd2xleSIsImdpdmVuIjoiQSIsInBhcnNlLW5hbWVzIjpmYWxzZSwiZHJvcHBpbmctcGFydGljbGUiOiIiLCJub24tZHJvcHBpbmctcGFydGljbGUiOiIifSx7ImZhbWlseSI6IkFybm9sZCIsImdpdmVuIjoiUCIsInBhcnNlLW5hbWVzIjpmYWxzZSwiZHJvcHBpbmctcGFydGljbGUiOiIiLCJub24tZHJvcHBpbmctcGFydGljbGUiOiIifSx7ImZhbWlseSI6IkFiaS1KYW91ZGUiLCJnaXZlbiI6IkUiLCJwYXJzZS1uYW1lcyI6ZmFsc2UsImRyb3BwaW5nLXBhcnRpY2xlIjoiIiwibm9uLWRyb3BwaW5nLXBhcnRpY2xlIjoiIn0seyJmYW1pbHkiOiJTYW5kb3IiLCJnaXZlbiI6IlAiLCJwYXJzZS1uYW1lcyI6ZmFsc2UsImRyb3BwaW5nLXBhcnRpY2xlIjoiIiwibm9uLWRyb3BwaW5nLXBhcnRpY2xlIjoiIn1dLCJjb250YWluZXItdGl0bGUiOiJDb3J0ZXgiLCJET0kiOiIxMC4xMDE2L2ouY29ydGV4LjIwMjAuMTAuMDEwIiwiUE1JRCI6IjMzMzE3ODA4IiwiaXNzdWVkIjp7ImRhdGUtcGFydHMiOltbMjAyMV1dfSwicGFnZSI6IjM0MS0zNTEiLCJhYnN0cmFjdCI6IlRvdXJldHRlIFN5bmRyb21lIChUUykgaXMgYSBuZXVyb3BzeWNoaWF0cmljIGNvbmRpdGlvbiBjaGFyYWN0ZXJpemVkIGJ5IHRpY3MgdGhhdCBhcmUgdHlwaWNhbGx5IHByZWNlZGVkIGJ5IHVuY29tZm9ydGFibGUgdXJnZXMgdGhhdCBidWlsZCB1bnRpbCB0aGUgdGljIGlzIHBlcmZvcm1lZC4gQm90aCB0aWNzIGFuZCB0aGVpciBhc3NvY2lhdGVkIHVyZ2VzIGFyZSBjb21tb25seSBleGFjZXJiYXRlZCBkdXJpbmcgc3RhdGVzIG9mIGhlaWdodGVuZWQgZW1vdGlvbi4gSG93ZXZlciwgdGhlIG5ldXJhbCBzdWJzdHJhdGVzIHRoYXQgYXJlIHJlc3BvbnNpYmxlIGZvciB0aGUgZGV2ZWxvcG1lbnQgb2YgdXJnZXMgaGF2ZSBub3QgYmVlbiBmdWxseSBlbHVjaWRhdGVkLCBwYXJ0aWN1bGFybHkgd2l0aCByZWdhcmRzIHRvIHRoZSBpbmZsdWVuY2Ugb2YgZW1vdGlvbi4gSW4gdGhpcyBzdHVkeSwgd2UgaW52ZXN0aWdhdGUgdGhlIGJyYWluIGFyZWFzIGFzc29jaWF0ZWQgd2l0aCB0aGUgZGV2ZWxvcG1lbnQgb2YgdXJnZXMgYW5kIHRoZWlyIG1vZHVsYXRpb24gYnkgZW1vdGlvbiBpbiBwYXRpZW50cyB3aXRoIFRTLiBNb3Jlb3Zlciwgd2UgZXhwbG9yZSB0aGUgaW5mbHVlbmNlIG9mIG9ic2Vzc2l2ZS1jb21wdWxzaXZlIHN5bXB0b21zIChPQ1MpIHdoaWNoIGFyZSBjb21tb25seSBjb21vcmJpZCBpbiBUUy4gRm9ydHkgcGF0aWVudHMgd2l0aCBUUyBhbmQgMjAgaGVhbHRoeSBjb250cm9scyBjb21wbGV0ZWQgYW4gZW1vdGlvbmFsIGJsaW5rIHN1cHByZXNzaW9uIHBhcmFkaWdtIHdoaWxlIHVuZGVyZ29pbmcgZnVuY3Rpb25hbCBtYWduZXRpYyByZXNvbmFuY2UgaW1hZ2luZy4gRm9yIHRoZSBwYXJhZGlnbSwgcGFydGljaXBhbnRzIGNvbXBsZXRlZCBhbHRlcm5hdGluZyBibG9ja3Mgb2YgYmxpbmsgaW5oaWJpdGlvbiBhbmQgZnJlZSBibGlua2luZyB3aGlsZSB2aWV3aW5nIHBpY3R1cmVzIG9mIGFuZ3J5IGFuZCBuZXV0cmFsIGZhY2lhbCBleHByZXNzaW9ucy4gQ29tcGFyZWQgdG8gY29udHJvbHMsIHBhdGllbnRzIGV4aGliaXRlZCBncmVhdGVyIGFjdGl2aXR5IGluIHRoZSBzdXBlcmlvciB0ZW1wb3JhbCBneXJ1cyBhbmQgbWlkY2luZ3VsYXRlIGR1cmluZyB0aGUgaW5oaWJpdGlvbiBvZiB1cmdlcy4gV2l0aGluIHRoZSBwYXRpZW50IGdyb3VwLCB0aWMgc2V2ZXJpdHkgd2FzIGFzc29jaWF0ZWQgd2l0aCBhY3Rpdml0eSBpbiB0aGUgc3VwZXJpb3IgZnJvbnRhbCBneXJ1cyBkdXJpbmcgdGhlIGFuZ3J5IGluaGliaXRpb24gY29udHJhc3QgYXMgY29tcGFyZWQgdG8gbmV1dHJhbDsgZ3JlYXRlciBwcmVtb25pdG9yeSB1cmdlIHNldmVyaXR5IHdhcyBhc3NvY2lhdGVkIHdpdGggZ3JlYXRlciBhY3Rpdml0eSBpbiB0aGUgaGlwcG9jYW1wdXMsIG1pZGRsZSB0ZW1wb3JhbCBneXJ1cyBhbmQgaW4gdGhlIHN1YmNvcnRleDsgYmxpbmsgaW5oaWJpdGlvbiBhYmlsaXR5IHdhcyBuZWdhdGl2ZWx5IGFzc29jaWF0ZWQgd2l0aCBhY3Rpdml0eSBpbiB0aGUgdGhhbGFtdXMgYW5kIGluc3VsYS4gVGhlcmUgd2VyZSBubyBzaWduaWZpY2FudCBhc3NvY2lhdGlvbnMgd2l0aCBPQ1Mgc2V2ZXJpdHkgZm9yIHRoZSBlbW90aW9uLXJlbGF0ZWQgY29udHJhc3RzLiBUaGUgb2JzZXJ2ZWQgYWN0aXZhdGVkIHJlZ2lvbnMgbWF5IHJlcHJlc2VudCBhIG5ldHdvcmsgdGhhdCBwcm9kdWNlcyB1cmdlcyBpbiBwYXRpZW50cywgb3IgYWx0ZXJuYXRpdmVseSwgY291bGQgcmVwcmVzZW50IGNvbXBlbnNhdG9yeSBjb3J0aWNhbCBhY3Rpdml0eSBuZWVkZWQgdG8ga2VlcCB1cmdlcyBhbmQgdGljcyB1bmRlciBjb250cm9sIGR1cmluZyBlbW90aW9uYWwgc2l0dWF0aW9ucy4gQWRkaXRpb25hbGx5LCBvdXIgZmluZGluZ3Mgc3VnZ2VzdCB0aGF0IE9DUyBpbiB0aGUgY29udGV4dCBvZiBUUyBpcyBzaW1pbGFyIHRvIHRyYWRpdGlvbmFsIG9ic2Vzc2l2ZS1jb21wdWxzaXZlIGRpc29yZGVyIGFuZCBpcyBuZXVyb2Jpb2xvZ2ljYWxseSBkaXNzb2NpYWJsZSBmcm9tIHRpY3MuIiwidm9sdW1lIjoiMTM1IiwiY29udGFpbmVyLXRpdGxlLXNob3J0IjoiIn0sImlzVGVtcG9yYXJ5IjpmYWxzZX1dfQ==&quot;,&quot;citationItems&quot;:[{&quot;id&quot;:&quot;ddaab3b2-3eee-3153-950b-c2f84b9cf99e&quot;,&quot;itemData&quot;:{&quot;type&quot;:&quot;article-journal&quot;,&quot;id&quot;:&quot;ddaab3b2-3eee-3153-950b-c2f84b9cf99e&quot;,&quot;title&quot;:&quot;Neuroimaging the emotional modulation of urge inhibition in Tourette Syndrome&quot;,&quot;groupId&quot;:&quot;07d62ac1-5aa8-39af-b49e-52d2088ac571&quot;,&quot;author&quot;:[{&quot;family&quot;:&quot;Bhikram&quot;,&quot;given&quot;:&quot;T&quot;,&quot;parse-names&quot;:false,&quot;dropping-particle&quot;:&quot;&quot;,&quot;non-dropping-particle&quot;:&quot;&quot;},{&quot;family&quot;:&quot;Crawley&quot;,&quot;given&quot;:&quot;A&quot;,&quot;parse-names&quot;:false,&quot;dropping-particle&quot;:&quot;&quot;,&quot;non-dropping-particle&quot;:&quot;&quot;},{&quot;family&quot;:&quot;Arnold&quot;,&quot;given&quot;:&quot;P&quot;,&quot;parse-names&quot;:false,&quot;dropping-particle&quot;:&quot;&quot;,&quot;non-dropping-particle&quot;:&quot;&quot;},{&quot;family&quot;:&quot;Abi-Jaoude&quot;,&quot;given&quot;:&quot;E&quot;,&quot;parse-names&quot;:false,&quot;dropping-particle&quot;:&quot;&quot;,&quot;non-dropping-particle&quot;:&quot;&quot;},{&quot;family&quot;:&quot;Sandor&quot;,&quot;given&quot;:&quot;P&quot;,&quot;parse-names&quot;:false,&quot;dropping-particle&quot;:&quot;&quot;,&quot;non-dropping-particle&quot;:&quot;&quot;}],&quot;container-title&quot;:&quot;Cortex&quot;,&quot;DOI&quot;:&quot;10.1016/j.cortex.2020.10.010&quot;,&quot;PMID&quot;:&quot;33317808&quot;,&quot;issued&quot;:{&quot;date-parts&quot;:[[2021]]},&quot;page&quot;:&quot;341-351&quot;,&quot;abstract&quot;:&quot;Tourette Syndrome (TS) is a neuropsychiatric condition characterized by tics that are typically preceded by uncomfortable urges that build until the tic is performed. Both tics and their associated urges are commonly exacerbated during states of heightened emotion. However, the neural substrates that are responsible for the development of urges have not been fully elucidated, particularly with regards to the influence of emotion. In this study, we investigate the brain areas associated with the development of urges and their modulation by emotion in patients with TS. Moreover, we explore the influence of obsessive-compulsive symptoms (OCS) which are commonly comorbid in TS. Forty patients with TS and 20 healthy controls completed an emotional blink suppression paradigm while undergoing functional magnetic resonance imaging. For the paradigm, participants completed alternating blocks of blink inhibition and free blinking while viewing pictures of angry and neutral facial expressions. Compared to controls, patients exhibited greater activity in the superior temporal gyrus and midcingulate during the inhibition of urges. Within the patient group, tic severity was associated with activity in the superior frontal gyrus during the angry inhibition contrast as compared to neutral; greater premonitory urge severity was associated with greater activity in the hippocampus, middle temporal gyrus and in the subcortex; blink inhibition ability was negatively associated with activity in the thalamus and insula. There were no significant associations with OCS severity for the emotion-related contrasts. The observed activated regions may represent a network that produces urges in patients, or alternatively, could represent compensatory cortical activity needed to keep urges and tics under control during emotional situations. Additionally, our findings suggest that OCS in the context of TS is similar to traditional obsessive-compulsive disorder and is neurobiologically dissociable from tics.&quot;,&quot;volume&quot;:&quot;135&quot;,&quot;container-title-short&quot;:&quot;&quot;},&quot;isTemporary&quot;:false}]},{&quot;citationID&quot;:&quot;MENDELEY_CITATION_1bff6712-b6ac-4cf0-9bac-1be66611d1db&quot;,&quot;properties&quot;:{&quot;noteIndex&quot;:0},&quot;isEdited&quot;:false,&quot;manualOverride&quot;:{&quot;isManuallyOverridden&quot;:false,&quot;citeprocText&quot;:&quot;(85)&quot;,&quot;manualOverrideText&quot;:&quot;&quot;},&quot;citationTag&quot;:&quot;MENDELEY_CITATION_v3_eyJjaXRhdGlvbklEIjoiTUVOREVMRVlfQ0lUQVRJT05fMWJmZjY3MTItYjZhYy00Y2YwLTliYWMtMWJlNjY2MTFkMWRiIiwicHJvcGVydGllcyI6eyJub3RlSW5kZXgiOjB9LCJpc0VkaXRlZCI6ZmFsc2UsIm1hbnVhbE92ZXJyaWRlIjp7ImlzTWFudWFsbHlPdmVycmlkZGVuIjpmYWxzZSwiY2l0ZXByb2NUZXh0IjoiKDg1KSIsIm1hbnVhbE92ZXJyaWRlVGV4dCI6IiJ9LCJjaXRhdGlvbkl0ZW1zIjpbeyJpZCI6IjUzZTc3YTg1LWNhOTItMzE2Ny04YWEwLTRmN2NiOTU4MDY4ZSIsIml0ZW1EYXRhIjp7InR5cGUiOiJhcnRpY2xlLWpvdXJuYWwiLCJpZCI6IjUzZTc3YTg1LWNhOTItMzE2Ny04YWEwLTRmN2NiOTU4MDY4ZSIsInRpdGxlIjoiVGVtcG9yby1wYXJpZXRhbCBkeXNmdW5jdGlvbiBpbiBUb3VyZXR0ZSBzeW5kcm9tZTogSW5zaWdodHMgZnJvbSBhbiBmTVJJIHN0dWR5IG9mIFRoZW9yeSBvZiBNaW5kIiwiZ3JvdXBJZCI6IjA3ZDYyYWMxLTVhYTgtMzlhZi1iNDllLTUyZDIwODhhYzU3MSIsImF1dGhvciI6W3siZmFtaWx5IjoiRWRkeSIsImdpdmVuIjoiQyBNIiwicGFyc2UtbmFtZXMiOmZhbHNlLCJkcm9wcGluZy1wYXJ0aWNsZSI6IiIsIm5vbi1kcm9wcGluZy1wYXJ0aWNsZSI6IiJ9LHsiZmFtaWx5IjoiQ2F2YW5uYSIsImdpdmVuIjoiQSBFIiwicGFyc2UtbmFtZXMiOmZhbHNlLCJkcm9wcGluZy1wYXJ0aWNsZSI6IiIsIm5vbi1kcm9wcGluZy1wYXJ0aWNsZSI6IiJ9LHsiZmFtaWx5IjoiUmlja2FyZHMiLCJnaXZlbiI6IkggRSIsInBhcnNlLW5hbWVzIjpmYWxzZSwiZHJvcHBpbmctcGFydGljbGUiOiIiLCJub24tZHJvcHBpbmctcGFydGljbGUiOiIifSx7ImZhbWlseSI6IkhhbnNlbiIsImdpdmVuIjoiUCBDIiwicGFyc2UtbmFtZXMiOmZhbHNlLCJkcm9wcGluZy1wYXJ0aWNsZSI6IiIsIm5vbi1kcm9wcGluZy1wYXJ0aWNsZSI6IiJ9XSwiY29udGFpbmVyLXRpdGxlIjoiSiBQc3ljaGlhdHIgUmVzIiwiRE9JIjoiMTAuMTAxNi9qLmpwc3ljaGlyZXMuMjAxNi4wNy4wMDIiLCJQTUlEIjoiMjc0MjQwNjMiLCJpc3N1ZWQiOnsiZGF0ZS1wYXJ0cyI6W1syMDE2XV19LCJwYWdlIjoiMTAyLTExMSIsImFic3RyYWN0IjoiVG91cmV0dGUgc3luZHJvbWUgKFRTKSBpcyBhIG5ldXJvZGV2ZWxvcG1lbnRhbCBkaXNvcmRlciBjaGFyYWN0ZXJpemVkIGJ5IHRpY3MsIHJlcGV0aXRpdmUgbW92ZW1lbnRzIGFuZCB2b2NhbGl6YXRpb25zIHdoaWNoIGFyZSBwcm9tcHRlZCBieSBhIHNlbnNvcnktY29nbml0aXZlIHByZW1vbml0b3J5IHVyZ2UuIENvbXBsZXggdGljcyBpbmNsdWRlIGVudmlyb25tZW50YWxseSBkZXBlbmRlbnQgc29jaWFsIGJlaGF2aW9ycyBzdWNoIGFzIGVjaG9pbmcgb2Ygb3RoZXIgcGVvcGxlJ3Mgc3BlZWNoIGFuZCBhY3Rpb25zLiBSZWNlbnQgc3R1ZGllcyBoYXZlIHN1Z2dlc3RlZCB0aGF0IGFkdWx0cyB3aXRoIFRTIGNhbiBzaG93IGRpZmZlcmVuY2VzIHRvIGNvbnRyb2xzIGluIFRoZW9yeSBvZiBNaW5kIChUb00pOiByZWFzb25pbmcgYWJvdXQgbWVudGFsIHN0YXRlcyAoZS5nLiBiZWxpZWZzLCBlbW90aW9ucykuIEluIHRoaXMgc3R1ZHksIHR3ZW50eS1maXZlIGFkdWx0cyB3aXRoIHVuY29tcGxpY2F0ZWQgVFMgKG5vIGNvLW1vcmJpZCBkaXNvcmRlcnMsIG1vZGVyYXRlIHRpYyBzZXZlcml0eSksIGFuZCB0d2VudHktZml2ZSBoZWFsdGh5IGFnZSBhbmQgZ2VuZGVyIG1hdGNoZWQgY29udHJvbHMgd2VyZSBzY2FubmVkIHdpdGggZk1SSSBkdXJpbmcgYW4gZXN0YWJsaXNoZWQgVG9NIHRhc2suIE5ldXJhbCBhY3Rpdml0eSB3YXMgY29udHJhc3RlZCBhY3Jvc3MgVG9NIHRyaWFscyBpbnZvbHZpbmcgcmVhc29uaW5nIGFib3V0IGZhbHNlLWJlbGllZiwgYW5kIG1hdGNoZWQgdHJpYWxzIHJlcXVpcmluZyBqdWRnbWVudHMgYWJvdXQgcGh5c2ljYWwgc3RhdGVzIHJhdGhlciB0aGFuIG1lbnRhbCBzdGF0ZXMuIENvbnRyYXN0aW5nIHRhc2sgY29uZGl0aW9ucyB1bmNvdmVyZWQgZGlmZmVyZW50aWFsIGZNUkkgYWN0aXZhdGlvbiBpbiBUUyBkdXJpbmcgVG9NIGludm9sdmluZyB0aGUgcmlnaHQgdGVtcG9yby1wYXJpZXRhbCBqdW5jdGlvbiAoVFBKKSwgcmlnaHQgYW15Z2RhbGEgYW5kIHBvc3RlcmlvciBjaW5ndWxhdGUuIEZ1cnRoZXIgYW5hbHlzaXMgcmV2ZWFsZWQgdGhhdCBhY3Rpdml0eSB3aXRoaW4gdGhlIHJpZ2h0IFRQSiBhcyBsb2NhbGlzZWQgYnkgdGhpcyB0YXNrIGNvdmFyaWVkIHdpdGggdGhlIHNldmVyaXR5IG9mIHN5bXB0b21zIGluY2x1ZGluZyBlY2hvcGhlbm9tZW5hLCBpbXB1bHNlIGNvbnRyb2wgcHJvYmxlbXMgYW5kIHByZW1vbml0b3J5IHVyZ2VzIGluIFRTLiBBbXlnZGFsYSBhY3RpdmF0aW9uIHdhcyBhbHNvIGxpbmtlZCB0byBwcmVtb25pdG9yeSB1cmdlcywgd2hpbGUgYWN0aXZpdHkgaW4gdGhlIGxlZnQgVFBKIGR1cmluZyBUb00gd2FzIGxpbmtlZCB0byByYXRpbmdzIG9mIG5vbi1vYnNjZW5lIHNvY2lhbGx5IGluYXBwcm9wcmlhdGUgc3ltcHRvbXMuIFRoZXNlIGZpbmRpbmdzIGluZGljYXRlIHRoYXQgcGF0aWVudHMgd2l0aCBUUyBleGhpYml0IGF0eXBpY2FsIGZ1bmN0aW9uYWwgYWN0aXZhdGlvbiB3aXRoaW4ga2V5IG5ldXJhbCBzdWJzdHJhdGVzIGludm9sdmVkIGluIFRvTS4gTW9yZSBnZW5lcmFsbHksIG91ciBkYXRhIGNvdWxkIGhpZ2hsaWdodCBhbiBpbXBvcnRhbnQgcm9sZSBmb3IgVFBKIGR5c2Z1bmN0aW9uIGluIGRyaXZpbmcgY29tcHVsc2l2ZSBiZWhhdmlvcnMuIiwidm9sdW1lIjoiODEiLCJjb250YWluZXItdGl0bGUtc2hvcnQiOiIifSwiaXNUZW1wb3JhcnkiOmZhbHNlfV19&quot;,&quot;citationItems&quot;:[{&quot;id&quot;:&quot;53e77a85-ca92-3167-8aa0-4f7cb958068e&quot;,&quot;itemData&quot;:{&quot;type&quot;:&quot;article-journal&quot;,&quot;id&quot;:&quot;53e77a85-ca92-3167-8aa0-4f7cb958068e&quot;,&quot;title&quot;:&quot;Temporo-parietal dysfunction in Tourette syndrome: Insights from an fMRI study of Theory of Mind&quot;,&quot;groupId&quot;:&quot;07d62ac1-5aa8-39af-b49e-52d2088ac571&quot;,&quot;author&quot;:[{&quot;family&quot;:&quot;Eddy&quot;,&quot;given&quot;:&quot;C M&quot;,&quot;parse-names&quot;:false,&quot;dropping-particle&quot;:&quot;&quot;,&quot;non-dropping-particle&quot;:&quot;&quot;},{&quot;family&quot;:&quot;Cavanna&quot;,&quot;given&quot;:&quot;A E&quot;,&quot;parse-names&quot;:false,&quot;dropping-particle&quot;:&quot;&quot;,&quot;non-dropping-particle&quot;:&quot;&quot;},{&quot;family&quot;:&quot;Rickards&quot;,&quot;given&quot;:&quot;H E&quot;,&quot;parse-names&quot;:false,&quot;dropping-particle&quot;:&quot;&quot;,&quot;non-dropping-particle&quot;:&quot;&quot;},{&quot;family&quot;:&quot;Hansen&quot;,&quot;given&quot;:&quot;P C&quot;,&quot;parse-names&quot;:false,&quot;dropping-particle&quot;:&quot;&quot;,&quot;non-dropping-particle&quot;:&quot;&quot;}],&quot;container-title&quot;:&quot;J Psychiatr Res&quot;,&quot;DOI&quot;:&quot;10.1016/j.jpsychires.2016.07.002&quot;,&quot;PMID&quot;:&quot;27424063&quot;,&quot;issued&quot;:{&quot;date-parts&quot;:[[2016]]},&quot;page&quot;:&quot;102-111&quot;,&quot;abstract&quot;:&quot;Tourette syndrome (TS) is a neurodevelopmental disorder characterized by tics, repetitive movements and vocalizations which are prompted by a sensory-cognitive premonitory urge. Complex tics include environmentally dependent social behaviors such as echoing of other people's speech and actions. Recent studies have suggested that adults with TS can show differences to controls in Theory of Mind (ToM): reasoning about mental states (e.g. beliefs, emotions). In this study, twenty-five adults with uncomplicated TS (no co-morbid disorders, moderate tic severity), and twenty-five healthy age and gender matched controls were scanned with fMRI during an established ToM task. Neural activity was contrasted across ToM trials involving reasoning about false-belief, and matched trials requiring judgments about physical states rather than mental states. Contrasting task conditions uncovered differential fMRI activation in TS during ToM involving the right temporo-parietal junction (TPJ), right amygdala and posterior cingulate. Further analysis revealed that activity within the right TPJ as localised by this task covaried with the severity of symptoms including echophenomena, impulse control problems and premonitory urges in TS. Amygdala activation was also linked to premonitory urges, while activity in the left TPJ during ToM was linked to ratings of non-obscene socially inappropriate symptoms. These findings indicate that patients with TS exhibit atypical functional activation within key neural substrates involved in ToM. More generally, our data could highlight an important role for TPJ dysfunction in driving compulsive behaviors.&quot;,&quot;volume&quot;:&quot;81&quot;,&quot;container-title-short&quot;:&quot;&quot;},&quot;isTemporary&quot;:false}]},{&quot;citationID&quot;:&quot;MENDELEY_CITATION_c11831af-b303-4077-868a-0e0e64908bca&quot;,&quot;properties&quot;:{&quot;noteIndex&quot;:0},&quot;isEdited&quot;:false,&quot;manualOverride&quot;:{&quot;isManuallyOverridden&quot;:false,&quot;citeprocText&quot;:&quot;(86)&quot;,&quot;manualOverrideText&quot;:&quot;&quot;},&quot;citationTag&quot;:&quot;MENDELEY_CITATION_v3_eyJjaXRhdGlvbklEIjoiTUVOREVMRVlfQ0lUQVRJT05fYzExODMxYWYtYjMwMy00MDc3LTg2OGEtMGUwZTY0OTA4YmNhIiwicHJvcGVydGllcyI6eyJub3RlSW5kZXgiOjB9LCJpc0VkaXRlZCI6ZmFsc2UsIm1hbnVhbE92ZXJyaWRlIjp7ImlzTWFudWFsbHlPdmVycmlkZGVuIjpmYWxzZSwiY2l0ZXByb2NUZXh0IjoiKDg2KSIsIm1hbnVhbE92ZXJyaWRlVGV4dCI6IiJ9LCJjaXRhdGlvbkl0ZW1zIjpbeyJpZCI6IjIxOGQ3ZDRiLWMzYjktMzliMC05ZGQyLWE0YmVmNzAzMjBhYSIsIml0ZW1EYXRhIjp7InR5cGUiOiJhcnRpY2xlLWpvdXJuYWwiLCJpZCI6IjIxOGQ3ZDRiLWMzYjktMzliMC05ZGQyLWE0YmVmNzAzMjBhYSIsInRpdGxlIjoiRW1wYXRoeSBhbmQgYXZlcnNpb246IHRoZSBuZXVyYWwgc2lnbmF0dXJlIG9mIG1lbnRhbGl6aW5nIGluIFRvdXJldHRlIHN5bmRyb21lIiwiZ3JvdXBJZCI6IjA3ZDYyYWMxLTVhYTgtMzlhZi1iNDllLTUyZDIwODhhYzU3MSIsImF1dGhvciI6W3siZmFtaWx5IjoiRWRkeSIsImdpdmVuIjoiQyBNIiwicGFyc2UtbmFtZXMiOmZhbHNlLCJkcm9wcGluZy1wYXJ0aWNsZSI6IiIsIm5vbi1kcm9wcGluZy1wYXJ0aWNsZSI6IiJ9LHsiZmFtaWx5IjoiQ2F2YW5uYSIsImdpdmVuIjoiQSBFIiwicGFyc2UtbmFtZXMiOmZhbHNlLCJkcm9wcGluZy1wYXJ0aWNsZSI6IiIsIm5vbi1kcm9wcGluZy1wYXJ0aWNsZSI6IiJ9LHsiZmFtaWx5IjoiSGFuc2VuIiwiZ2l2ZW4iOiJQIEMiLCJwYXJzZS1uYW1lcyI6ZmFsc2UsImRyb3BwaW5nLXBhcnRpY2xlIjoiIiwibm9uLWRyb3BwaW5nLXBhcnRpY2xlIjoiIn1dLCJjb250YWluZXItdGl0bGUiOiJQc3ljaG9sb2dpY2FsIG1lZGljaW5lIiwiRE9JIjoiaHR0cHM6Ly9keC5kb2kub3JnLzEwLjEwMTcvUzAwMzMyOTE3MTYwMDI3MjUiLCJVUkwiOiJodHRwOi8vb3ZpZHNwLm92aWQuY29tL292aWR3ZWIuY2dpP1Q9SlMmUEFHRT1yZWZlcmVuY2UmRD1lbWVkMTgmTkVXUz1OJkFOPTYxOTcwNjYxOCIsImlzc3VlZCI6eyJkYXRlLXBhcnRzIjpbWzIwMTddXX0sInBhZ2UiOiI1MDctNTE3IiwiYWJzdHJhY3QiOiJCQUNLR1JPVU5EOiBQcmV2aW91cyBzdHVkaWVzIHN1Z2dlc3QgdGhhdCBhZHVsdHMgd2l0aCBUb3VyZXR0ZSBzeW5kcm9tZSAoVFMpIGNhbiByZXNwb25kIHVuY29udmVudGlvbmFsbHkgb24gdGFza3MgaW52b2x2aW5nIHNvY2lhbCBjb2duaXRpb24uIFdlIHRoZXJlZm9yZSBoeXBvdGhlc2l6ZWQgdGhhdCB0aGVzZSBwYXRpZW50cyB3b3VsZCBleGhpYml0IGRpZmZlcmVudCBuZXVyYWwgcmVzcG9uc2VzIHRvIGhlYWx0aHkgY29udHJvbHMgaW4gcmVzcG9uc2UgdG8gZW1vdGlvbmFsbHkgc2FsaWVudCBleHByZXNzaW9ucyBvZiBodW1hbiBleWVzLiwgTUVUSE9EOiBUd2VudHktZml2ZSBhZHVsdHMgd2l0aCBUUyBhbmQgMjUgbWF0Y2hlZCBoZWFsdGh5IGNvbnRyb2xzIHdlcmUgc2Nhbm5lZCB1c2luZyBmTVJJIGR1cmluZyB0aGUgc3RhbmRhcmQgdmVyc2lvbiBvZiB0aGUgUmVhZGluZyB0aGUgTWluZCBpbiB0aGUgRXllcyBUYXNrIHdoaWNoIHJlcXVpcmVzIG1lbnRhbCBzdGF0ZSBqdWRnZW1lbnRzLCBhbmQgYSBub3ZlbCBjb21wYXJpc29uIHZlcnNpb24gcmVxdWlyaW5nIGp1ZGdlbWVudHMgYWJvdXQgYWdlLiwgUkVTVUxUUzogRHVyaW5nIHByb21wdGVkIG1lbnRhbCBzdGF0ZSByZWNvZ25pdGlvbiwgZ3JlYXRlciBhY3Rpdml0eSB3YXMgYXBwYXJlbnQgaW4gVFMgd2l0aGluIGxlZnQgb3JiaXRvZnJvbnRhbCBjb3J0ZXgsIHBvc3RlcmlvciBjaW5ndWxhdGUsIHJpZ2h0IGFteWdkYWxhIGFuZCByaWdodCB0ZW1wb3JvLXBhcmlldGFsIGp1bmN0aW9uIChUUEopLCB3aGlsZSByZWR1Y2VkIGFjdGl2aXR5IHdhcyBhcHBhcmVudCBpbiByZWdpb25zIGluY2x1ZGluZyBsZWZ0IGluZmVyaW9yIHBhcmlldGFsIGNvcnRleC4gQWdlIGp1ZGdlbWVudCBlbGljaXRlZCBncmVhdGVyIGFjdGl2aXR5IGluIFRTIHdpdGhpbiBwcmVjdW5ldXMsIG1lZGlhbCBwcmVmcm9udGFsIGFuZCB0ZW1wb3JhbCByZWdpb25zIGludm9sdmVkIGluIG1lbnRhbGl6aW5nLiBUaGUgaW50ZXJhY3Rpb24gYmV0d2VlbiBncm91cCBhbmQgdGFzayByZXZlYWxlZCBkaWZmZXJlbnRpYWwgYWN0aXZpdHkgaW4gYXJlYXMgaW5jbHVkaW5nIHJpZ2h0IGluZmVyaW9yIGZyb250YWwgZ3lydXMuIFRhc2stcmVsYXRlZCBhY3Rpdml0eSBpbiB0aGUgVFBKIGNvdmFyaWVkIHdpdGggZ2xvYmFsIHJhdGluZ3Mgb2YgdGhlIHVyZ2UgdG8gdGljLiwgQ09OQ0xVU0lPTlM6IFdoaWxlIHJlY29nbml6aW5nIG1lbnRhbCBzdGF0ZXMsIGFkdWx0cyB3aXRoIFRTIGV4aGliaXQgZ3JlYXRlciBhY3Rpdml0eSB0aGFuIGNvbnRyb2xzIGluIGJyYWluIGFyZWFzIGludm9sdmVkIGluIHRoZSBwcm9jZXNzaW5nIG9mIG5lZ2F0aXZlIGVtb3Rpb24sIGluIGFkZGl0aW9uIHRvIHJlZHVjZWQgYWN0aXZpdHkgaW4gcmVnaW9ucyBhc3NvY2lhdGVkIHdpdGggdGhlIGF0dHJpYnV0aW9uIG9mIGFnZW5jeS4gSW4gYWRkaXRpb24sIGluY3JlYXNlZCByZWNydWl0bWVudCBvZiBhcmVhcyBpbnZvbHZlZCBpbiBtZW50YWwgc3RhdGUgcmVhc29uaW5nIGlzIGFwcGFyZW50IGluIHRoZXNlIHBhdGllbnRzIHdoZW4gbWVudGFsaXppbmcgaXMgbm90IGEgdGFzayByZXF1aXJlbWVudC4gT3VyIGZpbmRpbmdzIGhpZ2hsaWdodCBkaWZmZXJlbnRpYWwgbmV1cmFsIHJlYWN0aXZpdHkgaW4gcmVzcG9uc2UgdG8gZW1vdGl2ZSBzb2NpYWwgY3VlcyBpbiBUUywgd2hpY2ggbWF5IGludGVyYWN0IHdpdGggdGljIGV4cHJlc3Npb24uIiwiaXNzdWUiOiIzIiwidm9sdW1lIjoiNDciLCJjb250YWluZXItdGl0bGUtc2hvcnQiOiJQc3ljaG9sIE1lZCJ9LCJpc1RlbXBvcmFyeSI6ZmFsc2V9XX0=&quot;,&quot;citationItems&quot;:[{&quot;id&quot;:&quot;218d7d4b-c3b9-39b0-9dd2-a4bef70320aa&quot;,&quot;itemData&quot;:{&quot;type&quot;:&quot;article-journal&quot;,&quot;id&quot;:&quot;218d7d4b-c3b9-39b0-9dd2-a4bef70320aa&quot;,&quot;title&quot;:&quot;Empathy and aversion: the neural signature of mentalizing in Tourette syndrome&quot;,&quot;groupId&quot;:&quot;07d62ac1-5aa8-39af-b49e-52d2088ac571&quot;,&quot;author&quot;:[{&quot;family&quot;:&quot;Eddy&quot;,&quot;given&quot;:&quot;C M&quot;,&quot;parse-names&quot;:false,&quot;dropping-particle&quot;:&quot;&quot;,&quot;non-dropping-particle&quot;:&quot;&quot;},{&quot;family&quot;:&quot;Cavanna&quot;,&quot;given&quot;:&quot;A E&quot;,&quot;parse-names&quot;:false,&quot;dropping-particle&quot;:&quot;&quot;,&quot;non-dropping-particle&quot;:&quot;&quot;},{&quot;family&quot;:&quot;Hansen&quot;,&quot;given&quot;:&quot;P C&quot;,&quot;parse-names&quot;:false,&quot;dropping-particle&quot;:&quot;&quot;,&quot;non-dropping-particle&quot;:&quot;&quot;}],&quot;container-title&quot;:&quot;Psychological medicine&quot;,&quot;DOI&quot;:&quot;https://dx.doi.org/10.1017/S0033291716002725&quot;,&quot;URL&quot;:&quot;http://ovidsp.ovid.com/ovidweb.cgi?T=JS&amp;PAGE=reference&amp;D=emed18&amp;NEWS=N&amp;AN=619706618&quot;,&quot;issued&quot;:{&quot;date-parts&quot;:[[2017]]},&quot;page&quot;:&quot;507-517&quot;,&quot;abstract&quot;:&quot;BACKGROUND: Previous studies suggest that adults with Tourette syndrome (TS) can respond unconventionally on tasks involving social cognition. We therefore hypothesized that these patients would exhibit different neural responses to healthy controls in response to emotionally salient expressions of human eyes., METHOD: Twenty-five adults with TS and 25 matched healthy controls were scanned using fMRI during the standard version of the Reading the Mind in the Eyes Task which requires mental state judgements, and a novel comparison version requiring judgements about age., RESULTS: During prompted mental state recognition, greater activity was apparent in TS within left orbitofrontal cortex, posterior cingulate, right amygdala and right temporo-parietal junction (TPJ), while reduced activity was apparent in regions including left inferior parietal cortex. Age judgement elicited greater activity in TS within precuneus, medial prefrontal and temporal regions involved in mentalizing. The interaction between group and task revealed differential activity in areas including right inferior frontal gyrus. Task-related activity in the TPJ covaried with global ratings of the urge to tic., CONCLUSIONS: While recognizing mental states, adults with TS exhibit greater activity than controls in brain areas involved in the processing of negative emotion, in addition to reduced activity in regions associated with the attribution of agency. In addition, increased recruitment of areas involved in mental state reasoning is apparent in these patients when mentalizing is not a task requirement. Our findings highlight differential neural reactivity in response to emotive social cues in TS, which may interact with tic expression.&quot;,&quot;issue&quot;:&quot;3&quot;,&quot;volume&quot;:&quot;47&quot;,&quot;container-title-short&quot;:&quot;Psychol Med&quot;},&quot;isTemporary&quot;:false}]},{&quot;citationID&quot;:&quot;MENDELEY_CITATION_7ed1b665-1154-41a8-b630-e3327343469d&quot;,&quot;properties&quot;:{&quot;noteIndex&quot;:0},&quot;isEdited&quot;:false,&quot;manualOverride&quot;:{&quot;isManuallyOverridden&quot;:false,&quot;citeprocText&quot;:&quot;(59)&quot;,&quot;manualOverrideText&quot;:&quot;&quot;},&quot;citationTag&quot;:&quot;MENDELEY_CITATION_v3_eyJjaXRhdGlvbklEIjoiTUVOREVMRVlfQ0lUQVRJT05fN2VkMWI2NjUtMTE1NC00MWE4LWI2MzAtZTMzMjczNDM0NjlkIiwicHJvcGVydGllcyI6eyJub3RlSW5kZXgiOjB9LCJpc0VkaXRlZCI6ZmFsc2UsIm1hbnVhbE92ZXJyaWRlIjp7ImlzTWFudWFsbHlPdmVycmlkZGVuIjpmYWxzZSwiY2l0ZXByb2NUZXh0IjoiKDU5KSIsIm1hbnVhbE92ZXJyaWRlVGV4dCI6IiJ9LCJjaXRhdGlvbkl0ZW1zIjpbeyJpZCI6IjAyOTc5MDNlLWMxNzEtMzI4OS1hODcxLTk2MWQ1ZTYzMGIwMyIsIml0ZW1EYXRhIjp7InR5cGUiOiJhcnRpY2xlLWpvdXJuYWwiLCJpZCI6IjAyOTc5MDNlLWMxNzEtMzI4OS1hODcxLTk2MWQ1ZTYzMGIwMyIsInRpdGxlIjoiTmV1cmFsIGNvcnJlbGF0ZXMgb2YgYmVoYXZpb3IgdGhlcmFweSBmb3IgVG91cmV0dGUncyBkaXNvcmRlciIsImdyb3VwSWQiOiIwN2Q2MmFjMS01YWE4LTM5YWYtYjQ5ZS01MmQyMDg4YWM1NzEiLCJhdXRob3IiOlt7ImZhbWlseSI6IkRlY2tlcnNiYWNoIiwiZ2l2ZW4iOiJUIiwicGFyc2UtbmFtZXMiOmZhbHNlLCJkcm9wcGluZy1wYXJ0aWNsZSI6IiIsIm5vbi1kcm9wcGluZy1wYXJ0aWNsZSI6IiJ9LHsiZmFtaWx5IjoiQ2hvdSIsImdpdmVuIjoiVCIsInBhcnNlLW5hbWVzIjpmYWxzZSwiZHJvcHBpbmctcGFydGljbGUiOiIiLCJub24tZHJvcHBpbmctcGFydGljbGUiOiIifSx7ImZhbWlseSI6IkJyaXR0b24iLCJnaXZlbiI6IkogQyIsInBhcnNlLW5hbWVzIjpmYWxzZSwiZHJvcHBpbmctcGFydGljbGUiOiIiLCJub24tZHJvcHBpbmctcGFydGljbGUiOiIifSx7ImZhbWlseSI6IkNhcmxzb24iLCJnaXZlbiI6IkwgRSIsInBhcnNlLW5hbWVzIjpmYWxzZSwiZHJvcHBpbmctcGFydGljbGUiOiIiLCJub24tZHJvcHBpbmctcGFydGljbGUiOiIifSx7ImZhbWlseSI6IlJlZXNlIiwiZ2l2ZW4iOiJIIEUiLCJwYXJzZS1uYW1lcyI6ZmFsc2UsImRyb3BwaW5nLXBhcnRpY2xlIjoiIiwibm9uLWRyb3BwaW5nLXBhcnRpY2xlIjoiIn0seyJmYW1pbHkiOiJTaWV2IiwiZ2l2ZW4iOiJKIiwicGFyc2UtbmFtZXMiOmZhbHNlLCJkcm9wcGluZy1wYXJ0aWNsZSI6IiIsIm5vbi1kcm9wcGluZy1wYXJ0aWNsZSI6IiJ9LHsiZmFtaWx5IjoiU2NhaGlsbCIsImdpdmVuIjoiTCIsInBhcnNlLW5hbWVzIjpmYWxzZSwiZHJvcHBpbmctcGFydGljbGUiOiIiLCJub24tZHJvcHBpbmctcGFydGljbGUiOiIifSx7ImZhbWlseSI6IlBpYWNlbnRpbmkiLCJnaXZlbiI6IkogQyIsInBhcnNlLW5hbWVzIjpmYWxzZSwiZHJvcHBpbmctcGFydGljbGUiOiIiLCJub24tZHJvcHBpbmctcGFydGljbGUiOiIifSx7ImZhbWlseSI6Ildvb2RzIiwiZ2l2ZW4iOiJEIFciLCJwYXJzZS1uYW1lcyI6ZmFsc2UsImRyb3BwaW5nLXBhcnRpY2xlIjoiIiwibm9uLWRyb3BwaW5nLXBhcnRpY2xlIjoiIn0seyJmYW1pbHkiOiJXYWxrdXAiLCJnaXZlbiI6IkogVCIsInBhcnNlLW5hbWVzIjpmYWxzZSwiZHJvcHBpbmctcGFydGljbGUiOiIiLCJub24tZHJvcHBpbmctcGFydGljbGUiOiIifSx7ImZhbWlseSI6IlBldGVyc29uIiwiZ2l2ZW4iOiJBIEwiLCJwYXJzZS1uYW1lcyI6ZmFsc2UsImRyb3BwaW5nLXBhcnRpY2xlIjoiIiwibm9uLWRyb3BwaW5nLXBhcnRpY2xlIjoiIn0seyJmYW1pbHkiOiJEb3VnaGVydHkiLCJnaXZlbiI6IkQgRCIsInBhcnNlLW5hbWVzIjpmYWxzZSwiZHJvcHBpbmctcGFydGljbGUiOiIiLCJub24tZHJvcHBpbmctcGFydGljbGUiOiIifSx7ImZhbWlseSI6IldpbGhlbG0iLCJnaXZlbiI6IlMiLCJwYXJzZS1uYW1lcyI6ZmFsc2UsImRyb3BwaW5nLXBhcnRpY2xlIjoiIiwibm9uLWRyb3BwaW5nLXBhcnRpY2xlIjoiIn1dLCJjb250YWluZXItdGl0bGUiOiJQc3ljaGlhdHJ5IFJlcyIsIkRPSSI6IjEwLjEwMTYvai5wc2N5Y2hyZXNucy4yMDE0LjA5LjAwMyIsIlBNSUQiOiIyNTQ0NDUzNSIsImlzc3VlZCI6eyJkYXRlLXBhcnRzIjpbWzIwMTRdXX0sInBhZ2UiOiIyNjktMjc0IiwiYWJzdHJhY3QiOiJUb3VyZXR0ZSdzIGRpc29yZGVyLCBhbHNvIGNhbGxlZCBUb3VyZXR0ZSBzeW5kcm9tZSAoVFMpLCBpcyBjaGFyYWN0ZXJpemVkIGJ5IG1vdG9yIGFuZCB2b2NhbCB0aWNzIHRoYXQgY2FuIGNhdXNlIHNpZ25pZmljYW50IGltcGFpcm1lbnQgaW4gZGFpbHkgZnVuY3Rpb25pbmcuIFRpY3MgYXJlIGJlbGlldmVkIHRvIGJlIGR1ZSB0byBmYWlsZWQgaW5oaWJpdGlvbiBvZiBib3RoIGFzc29jaWF0aXZlIGFuZCBtb3RvciBjb3J0aWNvLXN0cmlhdG8tdGhhbGFtby1jb3J0aWNhbCBwYXRod2F5cy4gQ29tcHJlaGVuc2l2ZSBCZWhhdmlvcmFsIEludGVydmVudGlvbiBmb3IgVGljcyAoQ0JJVCksIHdoaWNoIGlzIGFuIGV4dGVuc2lvbiBvZiBIYWJpdCBSZXZlcnNhbCBUaGVyYXB5IChIUlQpLCB0ZWFjaGVzIHBhdGllbnRzIHRvIGJlY29tZSBtb3JlIGF3YXJlIG9mIHNlbnNhdGlvbnMgdGhhdCByZWxpYWJseSBwcmVjZWRlIHRpY3MgKHByZW1vbml0b3J5IHVyZ2VzKSBhbmQgdG8gaW5pdGlhdGUgY29tcGV0aW5nIG1vdmVtZW50cyB0aGF0IGluaGliaXQgdGhlIG9jY3VycmVuY2Ugb2YgdGljcy4gSW4gdGhpcyBzdHVkeSwgd2UgdXNlZCBmdW5jdGlvbmFsIG1hZ25ldGljIHJlc29uYW5jZSBpbWFnaW5nIChmTVJJKSB0byBpbnZlc3RpZ2F0ZSB0aGUgbmV1cmFsIGNoYW5nZXMgYXNzb2NpYXRlZCB3aXRoIENCSVQgdHJlYXRtZW50IGluIHN1YmplY3RzIHdpdGggVFMuIEVpZ2h0IHN1YmplY3RzIHdpdGggVFMgd2VyZSBtYXRjaGVkIHdpdGggZWlnaHQgaGVhbHRoeSBjb250cm9scyBpbiBnZW5kZXIsIGVkdWNhdGlvbiwgYWdlLCBhbmQgaGFuZGVkbmVzcy4gU3ViamVjdHMgY29tcGxldGVkIHRoZSBWaXN1b3NwYXRpYWwgUHJpbWluZyAoVlNQKSB0YXNrLCBhIG1lYXN1cmUgb2YgcmVzcG9uc2UgaW5oaWJpdGlvbiwgZHVyaW5nIGZNUkkgc2Nhbm5pbmcgYmVmb3JlIGFuZCBhZnRlciBDQklUIHRyZWF0bWVudCAob3Igd2FpdGluZyBwZXJpb2QgZm9yIGNvbnRyb2xzKS4gRm9yIFRTIHN1YmplY3RzLCB3ZSBmb3VuZCBhIHNpZ25pZmljYW50IGRlY3JlYXNlIGluIHN0cmlhdGFsIChwdXRhbWVuKSBhY3RpdmF0aW9uIGZyb20gcHJlLSB0byBwb3N0LXRyZWF0bWVudC4gQ2hhbmdlIGluIFZTUCB0YXNrLXJlbGF0ZWQgYWN0aXZhdGlvbiBmcm9tIHByZS0gdG8gcG9zdC10cmVhdG1lbnQgaW4gQnJvZG1hbm4ncyBhcmVhIDQ3ICh0aGUgaW5mZXJpb3IgZnJvbnRhbCBneXJ1cykgd2FzIG5lZ2F0aXZlbHkgY29ycmVsYXRlZCB3aXRoIGNoYW5nZXMgaW4gdGljIHNldmVyaXR5LiBDQklUIG1heSBwcm9tb3RlIG5vcm1hbGl6YXRpb24gb2YgYWJlcnJhbnQgY29ydGljby1zdHJpYXRvLXRoYWxhbW8tY29ydGljYWwgYXNzb2NpYXRpdmUgYW5kIG1vdG9yIHBhdGh3YXlzIGluIGluZGl2aWR1YWxzIHdpdGggVFMuIiwiaXNzdWUiOiIzIiwidm9sdW1lIjoiMjI0IiwiY29udGFpbmVyLXRpdGxlLXNob3J0IjoiIn0sImlzVGVtcG9yYXJ5IjpmYWxzZX1dfQ==&quot;,&quot;citationItems&quot;:[{&quot;id&quot;:&quot;0297903e-c171-3289-a871-961d5e630b03&quot;,&quot;itemData&quot;:{&quot;type&quot;:&quot;article-journal&quot;,&quot;id&quot;:&quot;0297903e-c171-3289-a871-961d5e630b03&quot;,&quot;title&quot;:&quot;Neural correlates of behavior therapy for Tourette's disorder&quot;,&quot;groupId&quot;:&quot;07d62ac1-5aa8-39af-b49e-52d2088ac571&quot;,&quot;author&quot;:[{&quot;family&quot;:&quot;Deckersbach&quot;,&quot;given&quot;:&quot;T&quot;,&quot;parse-names&quot;:false,&quot;dropping-particle&quot;:&quot;&quot;,&quot;non-dropping-particle&quot;:&quot;&quot;},{&quot;family&quot;:&quot;Chou&quot;,&quot;given&quot;:&quot;T&quot;,&quot;parse-names&quot;:false,&quot;dropping-particle&quot;:&quot;&quot;,&quot;non-dropping-particle&quot;:&quot;&quot;},{&quot;family&quot;:&quot;Britton&quot;,&quot;given&quot;:&quot;J C&quot;,&quot;parse-names&quot;:false,&quot;dropping-particle&quot;:&quot;&quot;,&quot;non-dropping-particle&quot;:&quot;&quot;},{&quot;family&quot;:&quot;Carlson&quot;,&quot;given&quot;:&quot;L E&quot;,&quot;parse-names&quot;:false,&quot;dropping-particle&quot;:&quot;&quot;,&quot;non-dropping-particle&quot;:&quot;&quot;},{&quot;family&quot;:&quot;Reese&quot;,&quot;given&quot;:&quot;H E&quot;,&quot;parse-names&quot;:false,&quot;dropping-particle&quot;:&quot;&quot;,&quot;non-dropping-particle&quot;:&quot;&quot;},{&quot;family&quot;:&quot;Siev&quot;,&quot;given&quot;:&quot;J&quot;,&quot;parse-names&quot;:false,&quot;dropping-particle&quot;:&quot;&quot;,&quot;non-dropping-particle&quot;:&quot;&quot;},{&quot;family&quot;:&quot;Scahill&quot;,&quot;given&quot;:&quot;L&quot;,&quot;parse-names&quot;:false,&quot;dropping-particle&quot;:&quot;&quot;,&quot;non-dropping-particle&quot;:&quot;&quot;},{&quot;family&quot;:&quot;Piacentini&quot;,&quot;given&quot;:&quot;J C&quot;,&quot;parse-names&quot;:false,&quot;dropping-particle&quot;:&quot;&quot;,&quot;non-dropping-particle&quot;:&quot;&quot;},{&quot;family&quot;:&quot;Woods&quot;,&quot;given&quot;:&quot;D W&quot;,&quot;parse-names&quot;:false,&quot;dropping-particle&quot;:&quot;&quot;,&quot;non-dropping-particle&quot;:&quot;&quot;},{&quot;family&quot;:&quot;Walkup&quot;,&quot;given&quot;:&quot;J T&quot;,&quot;parse-names&quot;:false,&quot;dropping-particle&quot;:&quot;&quot;,&quot;non-dropping-particle&quot;:&quot;&quot;},{&quot;family&quot;:&quot;Peterson&quot;,&quot;given&quot;:&quot;A L&quot;,&quot;parse-names&quot;:false,&quot;dropping-particle&quot;:&quot;&quot;,&quot;non-dropping-particle&quot;:&quot;&quot;},{&quot;family&quot;:&quot;Dougherty&quot;,&quot;given&quot;:&quot;D D&quot;,&quot;parse-names&quot;:false,&quot;dropping-particle&quot;:&quot;&quot;,&quot;non-dropping-particle&quot;:&quot;&quot;},{&quot;family&quot;:&quot;Wilhelm&quot;,&quot;given&quot;:&quot;S&quot;,&quot;parse-names&quot;:false,&quot;dropping-particle&quot;:&quot;&quot;,&quot;non-dropping-particle&quot;:&quot;&quot;}],&quot;container-title&quot;:&quot;Psychiatry Res&quot;,&quot;DOI&quot;:&quot;10.1016/j.pscychresns.2014.09.003&quot;,&quot;PMID&quot;:&quot;25444535&quot;,&quot;issued&quot;:{&quot;date-parts&quot;:[[2014]]},&quot;page&quot;:&quot;269-274&quot;,&quot;abstract&quot;:&quot;Tourette's disorder, also called Tourette syndrome (TS), is characterized by motor and vocal tics that can cause significant impairment in daily functioning. Tics are believed to be due to failed inhibition of both associative and motor cortico-striato-thalamo-cortical pathways. Comprehensive Behavioral Intervention for Tics (CBIT), which is an extension of Habit Reversal Therapy (HRT), teaches patients to become more aware of sensations that reliably precede tics (premonitory urges) and to initiate competing movements that inhibit the occurrence of tics. In this study, we used functional magnetic resonance imaging (fMRI) to investigate the neural changes associated with CBIT treatment in subjects with TS. Eight subjects with TS were matched with eight healthy controls in gender, education, age, and handedness. Subjects completed the Visuospatial Priming (VSP) task, a measure of response inhibition, during fMRI scanning before and after CBIT treatment (or waiting period for controls). For TS subjects, we found a significant decrease in striatal (putamen) activation from pre- to post-treatment. Change in VSP task-related activation from pre- to post-treatment in Brodmann's area 47 (the inferior frontal gyrus) was negatively correlated with changes in tic severity. CBIT may promote normalization of aberrant cortico-striato-thalamo-cortical associative and motor pathways in individuals with TS.&quot;,&quot;issue&quot;:&quot;3&quot;,&quot;volume&quot;:&quot;224&quot;,&quot;container-title-short&quot;:&quot;&quot;},&quot;isTemporary&quot;:false}]},{&quot;citationID&quot;:&quot;MENDELEY_CITATION_d0220293-4fd5-4a2d-a608-15894d355eaa&quot;,&quot;properties&quot;:{&quot;noteIndex&quot;:0},&quot;isEdited&quot;:false,&quot;manualOverride&quot;:{&quot;isManuallyOverridden&quot;:false,&quot;citeprocText&quot;:&quot;(87)&quot;,&quot;manualOverrideText&quot;:&quot;&quot;},&quot;citationTag&quot;:&quot;MENDELEY_CITATION_v3_eyJjaXRhdGlvbklEIjoiTUVOREVMRVlfQ0lUQVRJT05fZDAyMjAyOTMtNGZkNS00YTJkLWE2MDgtMTU4OTRkMzU1ZWFhIiwicHJvcGVydGllcyI6eyJub3RlSW5kZXgiOjB9LCJpc0VkaXRlZCI6ZmFsc2UsIm1hbnVhbE92ZXJyaWRlIjp7ImlzTWFudWFsbHlPdmVycmlkZGVuIjpmYWxzZSwiY2l0ZXByb2NUZXh0IjoiKDg3KSIsIm1hbnVhbE92ZXJyaWRlVGV4dCI6IiJ9LCJjaXRhdGlvbkl0ZW1zIjpbeyJpZCI6IjE2ODY0YmExLTIxNWItM2Q2MS1hMDkwLTQyZTg5MmE3M2M5ZiIsIml0ZW1EYXRhIjp7InR5cGUiOiJhcnRpY2xlLWpvdXJuYWwiLCJpZCI6IjE2ODY0YmExLTIxNWItM2Q2MS1hMDkwLTQyZTg5MmE3M2M5ZiIsInRpdGxlIjoiQW1wbGlmaWVkIGVuZ2FnZW1lbnQgb2YgcHJlZnJvbnRhbCBjb3J0ZXggZHVyaW5nIGNvbnRyb2wgb2Ygdm9sdW50YXJ5IGFjdGlvbiBpbiBUb3VyZXR0ZSBzeW5kcm9tZSIsImdyb3VwSWQiOiIwN2Q2MmFjMS01YWE4LTM5YWYtYjQ5ZS01MmQyMDg4YWM1NzEiLCJhdXRob3IiOlt7ImZhbWlseSI6IlJhZSIsImdpdmVuIjoiQ2hhcmxvdHRlIEwiLCJwYXJzZS1uYW1lcyI6ZmFsc2UsImRyb3BwaW5nLXBhcnRpY2xlIjoiIiwibm9uLWRyb3BwaW5nLXBhcnRpY2xlIjoiIn0seyJmYW1pbHkiOiJQYXJraW5zb24iLCJnaXZlbiI6IkppbSIsInBhcnNlLW5hbWVzIjpmYWxzZSwiZHJvcHBpbmctcGFydGljbGUiOiIiLCJub24tZHJvcHBpbmctcGFydGljbGUiOiIifSx7ImZhbWlseSI6IkJldGthIiwiZ2l2ZW4iOiJTb3BoaWUiLCJwYXJzZS1uYW1lcyI6ZmFsc2UsImRyb3BwaW5nLXBhcnRpY2xlIjoiIiwibm9uLWRyb3BwaW5nLXBhcnRpY2xlIjoiIn0seyJmYW1pbHkiOiJHb3VsZHZhbiBQcmFhZyIsImdpdmVuIjoiQ2Fzc2FuZHJhIEQiLCJwYXJzZS1uYW1lcyI6ZmFsc2UsImRyb3BwaW5nLXBhcnRpY2xlIjoiIiwibm9uLWRyb3BwaW5nLXBhcnRpY2xlIjoiIn0seyJmYW1pbHkiOiJCb3V5YWdvdWIiLCJnaXZlbiI6IlNhbWlyYSIsInBhcnNlLW5hbWVzIjpmYWxzZSwiZHJvcHBpbmctcGFydGljbGUiOiIiLCJub24tZHJvcHBpbmctcGFydGljbGUiOiIifSx7ImZhbWlseSI6IlBvbHlhbnNrYSIsImdpdmVuIjoiTGlsaWFuYSIsInBhcnNlLW5hbWVzIjpmYWxzZSwiZHJvcHBpbmctcGFydGljbGUiOiIiLCJub24tZHJvcHBpbmctcGFydGljbGUiOiIifSx7ImZhbWlseSI6IkxhcnNzb24iLCJnaXZlbiI6IkRlbm5pcyBFIE8iLCJwYXJzZS1uYW1lcyI6ZmFsc2UsImRyb3BwaW5nLXBhcnRpY2xlIjoiIiwibm9uLWRyb3BwaW5nLXBhcnRpY2xlIjoiIn0seyJmYW1pbHkiOiJIYXJyaXNvbiIsImdpdmVuIjoiTmVpbCBBIiwicGFyc2UtbmFtZXMiOmZhbHNlLCJkcm9wcGluZy1wYXJ0aWNsZSI6IiIsIm5vbi1kcm9wcGluZy1wYXJ0aWNsZSI6IiJ9LHsiZmFtaWx5IjoiR2FyZmlua2VsIiwiZ2l2ZW4iOiJTYXJhaCBOIiwicGFyc2UtbmFtZXMiOmZhbHNlLCJkcm9wcGluZy1wYXJ0aWNsZSI6IiIsIm5vbi1kcm9wcGluZy1wYXJ0aWNsZSI6IiJ9LHsiZmFtaWx5IjoiQ3JpdGNobGV5IiwiZ2l2ZW4iOiJIdWdvIEQiLCJwYXJzZS1uYW1lcyI6ZmFsc2UsImRyb3BwaW5nLXBhcnRpY2xlIjoiIiwibm9uLWRyb3BwaW5nLXBhcnRpY2xlIjoiIn1dLCJjb250YWluZXItdGl0bGUiOiJCcmFpbiBDb21tdW5pY2F0aW9ucyIsIkRPSSI6Imh0dHBzOi8vZG9pLm9yZy8xMC4xMDkzL2JyYWluY29tbXMvZmNhYTE5OSIsIlBNSUQiOiIyNTY4Mjg2NTQ0OyAyMDIxLTczMTMwLTAwMSIsIlVSTCI6Imh0dHA6Ly9wcm94eS5saWJyYXJ5LnZhbmRlcmJpbHQuZWR1L2xvZ2luP3VybD1odHRwczovL3d3dy5wcm9xdWVzdC5jb20vc2Nob2xhcmx5LWpvdXJuYWxzL2FtcGxpZmllZC1lbmdhZ2VtZW50LXByZWZyb250YWwtY29ydGV4LWR1cmluZy9kb2N2aWV3LzI1NjgyODY1NDQvc2UtMj9hY2NvdW50aWQ9MTQ4MTZodHRwczovL2NhdGFsb2cubGlicmFyeS52YW5kZXJiaWx0LmVkdS9vcGVudXJsLzAxVkFOX0lOU1QvMDFWQU5fSU5TVDp2YW51aT8/dXJsXyIsImlzc3VlZCI6eyJkYXRlLXBhcnRzIjpbWzIwMjBdXX0sInBhZ2UiOiIxOCIsImFic3RyYWN0IjoiVG91cmV0dGUgc3luZHJvbWUgaXMgY2hhcmFjdGVyaXplZCBieSDigJh1bnZvbHVudGFyeeKAmSB0aWNzLCB3aGljaCBhcmUgY29tcHVsc2l2ZSwgeWV0IG9mdGVuIHRlbXBvcmFyaWx5IHN1cHByZXNzaWJsZS4gVGhlIGluZmVyaW9yIGZyb250YWwgZ3lydXMgaXMgaW1wbGljYXRlZCBpbiBtb3RvciBjb250cm9sLCBpbmNsdWRpbmcgaW5oaWJpdGlvbiBvZiBwcmUtcG90ZW50IGFjdGlvbnMgdGhyb3VnaCBpbmZsdWVuY2VzIG9uIGRvd25zdHJlYW0gc3ViY29ydGljYWwgYW5kIG1vdG9yIHJlZ2lvbnMuIEFsdGhvdWdoIHRpYyBzdXBwcmVzc2lvbiBpbiBUb3VyZXR0ZSBzeW5kcm9tZSBhbHNvIGVuZ2FnZXMgdGhlIGluZmVyaW9yIGZyb250YWwgZ3lydXMsIGl0IGlzIHVuY2xlYXIgd2hldGhlciBzdWNoIHByZWZyb250YWwgY29udHJvbCBvZiBhY3Rpb24gaXMgYWxzbyBkeXNmdW5jdGlvbmFsOiBUaWMgc3VwcHJlc3Npb24gc3R1ZGllcyBkbyBub3QgcGVybWl0IGNvbXBhcmlzb24gd2l0aCBjb250cm9sIGdyb3VwcywgYW5kIG5ldXJvaW1hZ2luZyBzdHVkaWVzIG9mIG1vdG9yIGluaGliaXRpb24gY2FuIGJlIGNvbmZvdW5kZWQgYnkgdGhlIGNvbmN1cnJlbnQgZXhwcmVzc2lvbiBvciBzdXBwcmVzc2lvbiBvZiB0aWNzLiBIZXJlLCBwYXRpZW50cyB3aXRoIFRvdXJldHRlIHN5bmRyb21lIHdlcmUgZGlyZWN0bHkgY29tcGFyZWQgdG8gY29udHJvbCBwYXJ0aWNpcGFudHMgd2hlbiBwZXJmb3JtaW5nIGFuIGludGVudGlvbmFsIGluaGliaXRpb24gdGFzayBkdXJpbmcgZnVuY3Rpb25hbCBNUkkuIFRpYyBleHByZXNzaW9uIHdhcyByZWNvcmRlZCB0aHJvdWdob3V0IGZvciByZW1vdmFsIGZyb20gc3RhdGlzdGljYWwgbW9kZWxzLiBQYXJ0aWNpcGFudHMgd2VyZSBpbnN0cnVjdGVkIHRvIG1ha2UgYSBidXR0b24gcHJlc3MgaW4gcmVzcG9uc2UgdG8gR28gY3Vlcywgd2l0aGhvbGQgcmVzcG9uc2VzIHRvIE5vR28gY3VlcywgYW5kIGRlY2lkZSB3aGV0aGVyIHRvIHByZXNzIG9yIHdpdGhob2xkIHRvIOKAmENob29zZeKAmSBjdWVzLiBPdmVyYWxsIHBlcmZvcm1hbmNlIHdhcyBzaW1pbGFyIGJldHdlZW4gZ3JvdXBzLCBmb3IgYm90aCBpbnRlbnRpb25hbCBpbmhpYml0aW9uIHJhdGVzICglIENob29zZS1HbykgYW5kIHJlYWN0aXZlIE5vR28gaW5oaWJpdGlvbiBjb21taXNzaW9uIGVycm9ycy4gQSBzdWJsaW1pbmFsIGZhY2UgcHJpbWUgZWxpY2l0ZWQgbm8gYWRkaXRpb25hbCBlZmZlY3RzIG9uIGludGVudGlvbmFsIG9yIHJlYWN0aXZlIGluaGliaXRpb24uIEFjcm9zcyBwYXJ0aWNpcGFudHMsIHRoZSB0YXNrIGFjdGl2YXRlZCBwcmVmcm9udGFsIGFuZCBtb3RvciBjb3J0aWNlcyBhbmQgc3ViY29ydGljYWwgbnVjbGVpLCBpbmNsdWRpbmcgcHJlLXN1cHBsZW1lbnRhcnkgbW90b3IgYXJlYSwgaW5mZXJpb3IgZnJvbnRhbCBneXJ1cywgaW5zdWxhLCBjYXVkYXRlIG51Y2xldXMsIHRoYWxhbXVzIGFuZCBwcmltYXJ5IG1vdG9yIGNvcnRleC4gSW4gVG91cmV0dGUgc3luZHJvbWUsIGFjdGl2aXR5IHdhcyBlbGV2YXRlZCBpbiB0aGUgaW5mZXJpb3IgZnJvbnRhbCBneXJ1cywgaW5zdWxhIGFuZCBiYXNhbCBnYW5nbGlhLCBtb3N0IG5vdGFibHkgd2l0aGluIHRoZSByaWdodCBpbmZlcmlvciBmcm9udGFsIGd5cnVzIGR1cmluZyB2b2x1bnRhcnkgYWN0aW9uIGFuZCBpbmhpYml0aW9uIChDaG9vc2UtR28gYW5kIENob29zZS1Ob0dvKSwgYW5kIHJlYWN0aXZlIGluaGliaXRpb24gKE5vR28tY29ycmVjdCkuIEFuYXRvbWljYWxseSwgdGhlIGxvY3VzIG9mIHRoaXMgaW5mZXJpb3IgZnJvbnRhbCBneXJ1cyBoeXBlcmFjdGl2YXRpb24gZHVyaW5nIGNvbnRyb2wgb2Ygdm9sdW50YXJ5IGFjdGlvbiBtYXRjaGVkIHRoYXQgcHJldmlvdXNseSByZXBvcnRlZCBmb3IgdGljIHN1cHByZXNzaW9uLiBJbiBUb3VyZXR0ZSBzeW5kcm9tZSwgYWN0aXZpdHkgd2l0aGluIHRoZSBjYXVkYXRlIG51Y2xldXMgd2FzIGFsc28gZW5oYW5jZWQgZHVyaW5nIGJvdGggaW50ZW50aW9uYWwgKENob29zZS1Ob0dvKSBhbmQgcmVhY3RpdmUgKE5vR28tY29ycmVjdCkgaW5oaWJpdGlvbi4gU3RyaWtpbmdseSwgZGVzcGl0ZSB0aGUgYWJzZW5jZSBvZiBvdmVydCBtb3RvciBiZWhhdmlvdXIsIHByaW1hcnkgbW90b3IgY29ydGV4IGFjdGl2aXR5IGluY3JlYXNlZCBpbiBwYXRpZW50cyB3aXRoIFRvdXJldHRlIHN5bmRyb21lIGJ1dCBkZWNyZWFzZWQgaW4gY29udHJvbHMgZHVyaW5nIGJvdGggcmVhY3RpdmUgYW5kIGludGVudGlvbmFsIGluaGliaXRpb24uIEFkZGl0aW9uYWxseSwgc2V2ZXJpdHkgb2YgcHJlbW9uaXRvcnkgc2Vuc2F0aW9ucyBzY2FsZWQgd2l0aCBmdW5jdGlvbmFsIGNvbm5lY3Rpdml0eSBvZiB0aGUgcHJlLXN1cHBsZW1lbnRhcnkgbW90b3IgYXJlYSB0byB0aGUgY2F1ZGF0ZSBudWNsZXVzLCBnbG9idXMgcGFsbGlkdXMgYW5kIHRoYWxhbXVzIHdoZW4gY2hvb3NpbmcgdG8gcmVzcG9uZCAoQ2hvb3NlLUdvKS4gVG9nZXRoZXIsIHRoZXNlIHJlc3VsdHMgc3VnZ2VzdCB0aGF0IHBhdGllbnRzIHdpdGggVG91cmV0dGUgc3luZHJvbWUgdXNlIGVxdWl2YWxlbnQgcHJlZnJvbnRhbCBtZWNoYW5pc21zIHRvIHN1cHByZXNzIHRpY3MgYW5kIHdpdGhob2xkIG5vbi10aWMgYWN0aW9ucywgYnV0IHJlcXVpcmUgZ3JlYXRlciBpbmZlcmlvciBmcm9udGFsIGd5cnVzIGVuZ2FnZW1lbnQgdGhhbiBjb250cm9scyB0byBvdmVyY29tZSBtb3RvciBkcml2ZSBmcm9tIGh5cGVyYWN0aXZlIGRvd25zdHJlYW0gcmVnaW9ucywgbm90YWJseSBwcmltYXJ5IG1vdG9yIGNvcnRleC4gTW9yZW92ZXIsIHByZW1vbml0b3J5IHNlbnNhdGlvbnMgbWF5IGN1ZSBtaWRsaW5lIG1vdG9yIHJlZ2lvbnMgdG8gZ2VuZXJhdGUgdGljcyB0aHJvdWdoIGludGVyYWN0aW9ucyB3aXRoIHRoZSBiYXNhbCBnYW5nbGlhLiAoUHN5Y0luZm8gRGF0YWJhc2UgUmVjb3JkIChjKSAyMDIyIEFQQSwgYWxsIHJpZ2h0cyByZXNlcnZlZCkgKFNvdXJjZTogam91cm5hbCBhYnN0cmFjdCkiLCJpc3N1ZSI6IjIiLCJ2b2x1bWUiOiIyIiwiY29udGFpbmVyLXRpdGxlLXNob3J0IjoiQnJhaW4gQ29tbXVuIn0sImlzVGVtcG9yYXJ5IjpmYWxzZX1dfQ==&quot;,&quot;citationItems&quot;:[{&quot;id&quot;:&quot;16864ba1-215b-3d61-a090-42e892a73c9f&quot;,&quot;itemData&quot;:{&quot;type&quot;:&quot;article-journal&quot;,&quot;id&quot;:&quot;16864ba1-215b-3d61-a090-42e892a73c9f&quot;,&quot;title&quot;:&quot;Amplified engagement of prefrontal cortex during control of voluntary action in Tourette syndrome&quot;,&quot;groupId&quot;:&quot;07d62ac1-5aa8-39af-b49e-52d2088ac571&quot;,&quot;author&quot;:[{&quot;family&quot;:&quot;Rae&quot;,&quot;given&quot;:&quot;Charlotte L&quot;,&quot;parse-names&quot;:false,&quot;dropping-particle&quot;:&quot;&quot;,&quot;non-dropping-particle&quot;:&quot;&quot;},{&quot;family&quot;:&quot;Parkinson&quot;,&quot;given&quot;:&quot;Jim&quot;,&quot;parse-names&quot;:false,&quot;dropping-particle&quot;:&quot;&quot;,&quot;non-dropping-particle&quot;:&quot;&quot;},{&quot;family&quot;:&quot;Betka&quot;,&quot;given&quot;:&quot;Sophie&quot;,&quot;parse-names&quot;:false,&quot;dropping-particle&quot;:&quot;&quot;,&quot;non-dropping-particle&quot;:&quot;&quot;},{&quot;family&quot;:&quot;Gouldvan Praag&quot;,&quot;given&quot;:&quot;Cassandra D&quot;,&quot;parse-names&quot;:false,&quot;dropping-particle&quot;:&quot;&quot;,&quot;non-dropping-particle&quot;:&quot;&quot;},{&quot;family&quot;:&quot;Bouyagoub&quot;,&quot;given&quot;:&quot;Samira&quot;,&quot;parse-names&quot;:false,&quot;dropping-particle&quot;:&quot;&quot;,&quot;non-dropping-particle&quot;:&quot;&quot;},{&quot;family&quot;:&quot;Polyanska&quot;,&quot;given&quot;:&quot;Liliana&quot;,&quot;parse-names&quot;:false,&quot;dropping-particle&quot;:&quot;&quot;,&quot;non-dropping-particle&quot;:&quot;&quot;},{&quot;family&quot;:&quot;Larsson&quot;,&quot;given&quot;:&quot;Dennis E O&quot;,&quot;parse-names&quot;:false,&quot;dropping-particle&quot;:&quot;&quot;,&quot;non-dropping-particle&quot;:&quot;&quot;},{&quot;family&quot;:&quot;Harrison&quot;,&quot;given&quot;:&quot;Neil A&quot;,&quot;parse-names&quot;:false,&quot;dropping-particle&quot;:&quot;&quot;,&quot;non-dropping-particle&quot;:&quot;&quot;},{&quot;family&quot;:&quot;Garfinkel&quot;,&quot;given&quot;:&quot;Sarah N&quot;,&quot;parse-names&quot;:false,&quot;dropping-particle&quot;:&quot;&quot;,&quot;non-dropping-particle&quot;:&quot;&quot;},{&quot;family&quot;:&quot;Critchley&quot;,&quot;given&quot;:&quot;Hugo D&quot;,&quot;parse-names&quot;:false,&quot;dropping-particle&quot;:&quot;&quot;,&quot;non-dropping-particle&quot;:&quot;&quot;}],&quot;container-title&quot;:&quot;Brain Communications&quot;,&quot;DOI&quot;:&quot;https://doi.org/10.1093/braincomms/fcaa199&quot;,&quot;PMID&quot;:&quot;2568286544; 2021-73130-001&quot;,&quot;URL&quot;:&quot;http://proxy.library.vanderbilt.edu/login?url=https://www.proquest.com/scholarly-journals/amplified-engagement-prefrontal-cortex-during/docview/2568286544/se-2?accountid=14816https://catalog.library.vanderbilt.edu/openurl/01VAN_INST/01VAN_INST:vanui??url_&quot;,&quot;issued&quot;:{&quot;date-parts&quot;:[[2020]]},&quot;page&quot;:&quot;18&quot;,&quot;abstract&quot;:&quot;Tourette syndrome is characterized by ‘unvoluntary’ tics, which are compulsive, yet often temporarily suppressible. The inferior frontal gyrus is implicated in motor control, including inhibition of pre-potent actions through influences on downstream subcortical and motor regions. Although tic suppression in Tourette syndrome also engages the inferior frontal gyrus, it is unclear whether such prefrontal control of action is also dysfunctional: Tic suppression studies do not permit comparison with control groups, and neuroimaging studies of motor inhibition can be confounded by the concurrent expression or suppression of tics. Here, patients with Tourette syndrome were directly compared to control participants when performing an intentional inhibition task during functional MRI. Tic expression was recorded throughout for removal from statistical models. Participants were instructed to make a button press in response to Go cues, withhold responses to NoGo cues, and decide whether to press or withhold to ‘Choose’ cues. Overall performance was similar between groups, for both intentional inhibition rates (% Choose-Go) and reactive NoGo inhibition commission errors. A subliminal face prime elicited no additional effects on intentional or reactive inhibition. Across participants, the task activated prefrontal and motor cortices and subcortical nuclei, including pre-supplementary motor area, inferior frontal gyrus, insula, caudate nucleus, thalamus and primary motor cortex. In Tourette syndrome, activity was elevated in the inferior frontal gyrus, insula and basal ganglia, most notably within the right inferior frontal gyrus during voluntary action and inhibition (Choose-Go and Choose-NoGo), and reactive inhibition (NoGo-correct). Anatomically, the locus of this inferior frontal gyrus hyperactivation during control of voluntary action matched that previously reported for tic suppression. In Tourette syndrome, activity within the caudate nucleus was also enhanced during both intentional (Choose-NoGo) and reactive (NoGo-correct) inhibition. Strikingly, despite the absence of overt motor behaviour, primary motor cortex activity increased in patients with Tourette syndrome but decreased in controls during both reactive and intentional inhibition. Additionally, severity of premonitory sensations scaled with functional connectivity of the pre-supplementary motor area to the caudate nucleus, globus pallidus and thalamus when choosing to respond (Choose-Go). Together, these results suggest that patients with Tourette syndrome use equivalent prefrontal mechanisms to suppress tics and withhold non-tic actions, but require greater inferior frontal gyrus engagement than controls to overcome motor drive from hyperactive downstream regions, notably primary motor cortex. Moreover, premonitory sensations may cue midline motor regions to generate tics through interactions with the basal ganglia. (PsycInfo Database Record (c) 2022 APA, all rights reserved) (Source: journal abstract)&quot;,&quot;issue&quot;:&quot;2&quot;,&quot;volume&quot;:&quot;2&quot;,&quot;container-title-short&quot;:&quot;Brain Commun&quot;},&quot;isTemporary&quot;:false}]},{&quot;citationID&quot;:&quot;MENDELEY_CITATION_98cdd57f-912f-4cc6-8552-49230d8ee506&quot;,&quot;properties&quot;:{&quot;noteIndex&quot;:0},&quot;isEdited&quot;:false,&quot;manualOverride&quot;:{&quot;isManuallyOverridden&quot;:false,&quot;citeprocText&quot;:&quot;(88)&quot;,&quot;manualOverrideText&quot;:&quot;&quot;},&quot;citationTag&quot;:&quot;MENDELEY_CITATION_v3_eyJjaXRhdGlvbklEIjoiTUVOREVMRVlfQ0lUQVRJT05fOThjZGQ1N2YtOTEyZi00Y2M2LTg1NTItNDkyMzBkOGVlNTA2IiwicHJvcGVydGllcyI6eyJub3RlSW5kZXgiOjB9LCJpc0VkaXRlZCI6ZmFsc2UsIm1hbnVhbE92ZXJyaWRlIjp7ImlzTWFudWFsbHlPdmVycmlkZGVuIjpmYWxzZSwiY2l0ZXByb2NUZXh0IjoiKDg4KSIsIm1hbnVhbE92ZXJyaWRlVGV4dCI6IiJ9LCJjaXRhdGlvbkl0ZW1zIjpbeyJpZCI6IjE4MmQ2MTBjLTUwOGItMzI2NS05NzQyLWY0OTU3MDI0YTM4ZCIsIml0ZW1EYXRhIjp7InR5cGUiOiJhcnRpY2xlLWpvdXJuYWwiLCJpZCI6IjE4MmQ2MTBjLTUwOGItMzI2NS05NzQyLWY0OTU3MDI0YTM4ZCIsInRpdGxlIjoiRWxldmF0ZWQgcmVwcmVzZW50YXRpb25hbCBzaW1pbGFyaXR5IG9mIHZvbHVudGFyeSBhY3Rpb24gYW5kIGluaGliaXRpb24gaW4gVG91cmV0dGUgc3luZHJvbWUiLCJncm91cElkIjoiMDdkNjJhYzEtNWFhOC0zOWFmLWI0OWUtNTJkMjA4OGFjNTcxIiwiYXV0aG9yIjpbeyJmYW1pbHkiOiJSYWUiLCJnaXZlbiI6IkMgTCIsInBhcnNlLW5hbWVzIjpmYWxzZSwiZHJvcHBpbmctcGFydGljbGUiOiIiLCJub24tZHJvcHBpbmctcGFydGljbGUiOiIifSx7ImZhbWlseSI6IlJheWtvdiIsImdpdmVuIjoiUCIsInBhcnNlLW5hbWVzIjpmYWxzZSwiZHJvcHBpbmctcGFydGljbGUiOiIiLCJub24tZHJvcHBpbmctcGFydGljbGUiOiIifSx7ImZhbWlseSI6IkFtYnJpZGdlIiwiZ2l2ZW4iOiJFIE0iLCJwYXJzZS1uYW1lcyI6ZmFsc2UsImRyb3BwaW5nLXBhcnRpY2xlIjoiIiwibm9uLWRyb3BwaW5nLXBhcnRpY2xlIjoiIn0seyJmYW1pbHkiOiJDb2xsaW5nIiwiZ2l2ZW4iOiJMIEoiLCJwYXJzZS1uYW1lcyI6ZmFsc2UsImRyb3BwaW5nLXBhcnRpY2xlIjoiIiwibm9uLWRyb3BwaW5nLXBhcnRpY2xlIjoiIn0seyJmYW1pbHkiOiJHb3VsZCB2YW4gUHJhYWciLCJnaXZlbiI6IkMgRCIsInBhcnNlLW5hbWVzIjpmYWxzZSwiZHJvcHBpbmctcGFydGljbGUiOiIiLCJub24tZHJvcHBpbmctcGFydGljbGUiOiIifSx7ImZhbWlseSI6IkJvdXlhZ291YiIsImdpdmVuIjoiUyIsInBhcnNlLW5hbWVzIjpmYWxzZSwiZHJvcHBpbmctcGFydGljbGUiOiIiLCJub24tZHJvcHBpbmctcGFydGljbGUiOiIifSx7ImZhbWlseSI6IlBvbGFuc2tpIiwiZ2l2ZW4iOiJMIiwicGFyc2UtbmFtZXMiOmZhbHNlLCJkcm9wcGluZy1wYXJ0aWNsZSI6IiIsIm5vbi1kcm9wcGluZy1wYXJ0aWNsZSI6IiJ9LHsiZmFtaWx5IjoiTGFyc3NvbiIsImdpdmVuIjoiRCBFIE8iLCJwYXJzZS1uYW1lcyI6ZmFsc2UsImRyb3BwaW5nLXBhcnRpY2xlIjoiIiwibm9uLWRyb3BwaW5nLXBhcnRpY2xlIjoiIn0seyJmYW1pbHkiOiJDcml0Y2hsZXkiLCJnaXZlbiI6IkggRCIsInBhcnNlLW5hbWVzIjpmYWxzZSwiZHJvcHBpbmctcGFydGljbGUiOiIiLCJub24tZHJvcHBpbmctcGFydGljbGUiOiIifV0sImNvbnRhaW5lci10aXRsZSI6IkJyYWluIENvbW11biIsIkRPSSI6IjEwLjEwOTMvYnJhaW5jb21tcy9mY2FkMjI0IiwiUE1JRCI6IjM3NzA1NjgwIiwiaXNzdWVkIjp7ImRhdGUtcGFydHMiOltbMjAyM11dfSwicGFnZSI6ImZjYWQyMjQtIiwiYWJzdHJhY3QiOiJNYW55IHBlb3BsZSB3aXRoIFRvdXJldHRlIHN5bmRyb21lIGFyZSBhYmxlIHRvIHZvbGl0aW9uYWxseSBzdXBwcmVzcyB0aWNzLCB1bmRlciBjZXJ0YWluIGNpcmN1bXN0YW5jZXMuIFRvIHVuZGVyc3RhbmQgYmV0dGVyIHRoZSBuZXVyYWwgbWVjaGFuaXNtcyB0aGF0IHVuZGVybGllIHRoaXMgYWJpbGl0eSwgd2UgdXNlZCBmdW5jdGlvbmFsIG1hZ25ldGljIHJlc29uYW5jZSBuZXVyb2ltYWdpbmcgdG8gdHJhY2sgcmVnaW9uYWwgYnJhaW4gYWN0aXZpdHkgZHVyaW5nIHBlcmZvcm1hbmNlIG9mIGFuIGludGVudGlvbmFsIGluaGliaXRpb24gdGFzay4gT24gc29tZSB0cmlhbHMsIFRvdXJldHRlIHN5bmRyb21lIGFuZCBjb21wYXJpc29uIHBhcnRpY2lwYW50cyBpbnRlcm5hbGx5IGNob3NlIHRvIG1ha2Ugb3Igd2l0aGhvbGQgYSBtb3RvciBhY3Rpb24gKGEgYnV0dG9uIHByZXNzKSwgd2hpbGUgb24gb3RoZXIgdHJpYWxzLCB0aGV5IGZvbGxvd2VkICdHbycgYW5kICdOb0dvJyBpbnN0cnVjdGlvbnMgdG8gbWFrZSBvciB3aXRoaG9sZCB0aGUgc2FtZSBhY3Rpb24uIFVzaW5nIHJlcHJlc2VudGF0aW9uYWwgc2ltaWxhcml0eSBhbmFseXNpcywgYSBmdW5jdGlvbmFsIG1hZ25ldGljIHJlc29uYW5jZSBuZXVyb2ltYWdpbmcgbXVsdGl2YXJpYXRlIHBhdHRlcm4gYW5hbHlzaXMgdGVjaG5pcXVlLCB3ZSBhc3Nlc3NlZCBob3cgVG91cmV0dGUgc3luZHJvbWUgYW5kIGNvbXBhcmlzb24gcGFydGljaXBhbnRzIGRpZmZlcmVkIGluIG5ldXJhbCBhY3Rpdml0eSB3aGVuIGNob29zaW5nIHRvIG1ha2Ugb3IgdG8gd2l0aGhvbGQgYW4gYWN0aW9uLCByZWxhdGl2ZSB0byBleHRlcm5hbGx5IGN1ZWQgcmVzcG9uc2VzIG9uIEdvIGFuZCBOb0dvIHRyaWFscy4gQW5hbHlzZXMgd2VyZSBwcmUtcmVnaXN0ZXJlZCwgYW5kIHRoZSBkYXRhIGFuZCBjb2RlIGFyZSBwdWJsaWNseSBhdmFpbGFibGUuIFdlIGNvbnNpZGVyZWQgc2ltaWxhcml0eSBvZiBhY3Rpb24gcmVwcmVzZW50YXRpb25zIHdpdGhpbiByZWdpb25zIGltcGxpY2F0ZWQgYXMgY3JpdGljYWwgdG8gbW90b3IgYWN0aW9uIHJlbGVhc2Ugb3IgaW5oaWJpdGlvbiBhbmQgdG8gc3ltcHRvbSBleHByZXNzaW9uIGluIFRvdXJldHRlIHN5bmRyb21lLCBuYW1lbHkgdGhlIHByZS1zdXBwbGVtZW50YXJ5IG1vdG9yIGFyZWEsIGluZmVyaW9yIGZyb250YWwgZ3lydXMsIGluc3VsYSwgY2F1ZGF0ZSBudWNsZXVzIGFuZCBwcmltYXJ5IG1vdG9yIGNvcnRleC4gU3RyaWtpbmdseSwgaW4gdGhlIFRvdXJldHRlIHN5bmRyb21lIGNvbXBhcmVkIHRvIHRoZSBjb21wYXJpc29uIGdyb3VwLCBuZXVyYWwgYWN0aXZpdHkgd2l0aGluIHRoZSBwcmUtc3VwcGxlbWVudGFyeSBtb3RvciBhcmVhIGRpc3BsYXllZCBncmVhdGVyIHJlcHJlc2VudGF0aW9uYWwgc2ltaWxhcml0eSBhY3Jvc3MgYWxsIGFjdGlvbiB0eXBlcy4gV2l0aGluIHRoZSBwcmUtc3VwcGxlbWVudGFyeSBtb3RvciBhcmVhLCB0aGVyZSB3YXMgbG93ZXIgcmVzcG9uc2Utc3BlY2lmaWMgZGlmZmVyZW50aWF0aW9uIG9mIGFjdGl2aXR5IHJlbGF0aW5nIHRvIGFjdGlvbiBhbmQgaW5oaWJpdGlvbiBwbGFucyBhbmQgdG8gaW50ZXJuYWxseSBjaG9zZW4gYW5kIGV4dGVybmFsbHkgY3VlZCBhY3Rpb25zLCBpbXBsaWNhdGluZyB0aGUgcmVnaW9uIGFzIGEgZnVuY3Rpb25hbCBuZXh1cyBpbiB0aGUgc3ltcHRvbWF0b2xvZ3kgb2YgVG91cmV0dGUgc3luZHJvbWUuIENvcnJlc3BvbmRpbmdseSwgcGF0aWVudHMgd2l0aCBUb3VyZXR0ZSBzeW5kcm9tZSBtYXkgZXhwZXJpZW5jZSB2b2xpdGlvbmFsIHRpYyBzdXBwcmVzc2lvbiBhcyBhbiBlZmZvcnRmdWwgYW5kIHRpcmluZyBwcm9jZXNzIGJlY2F1c2UsIGF0IHRoZSB0b3Agb2YgdGhlIHB1dGF0aXZlIG1vdG9yIGRlY2lzaW9uIGhpZXJhcmNoeSwgYWN0aXZpdHkgd2l0aGluIHRoZSBwb3B1bGF0aW9uIG9mIG5ldXJvbnMgZmFjaWxpdGF0aW5nIGFjdGlvbiBpcyBvdmVybHkgc2ltaWxhciB0byBhY3Rpdml0eSB3aXRoaW4gdGhlIHBvcHVsYXRpb24gb2YgbmV1cm9ucyBwcm9tb3RpbmcgaW5oaWJpdGlvbi4gSG93ZXZlciwgbm90IGFsbCBwcmUtc3VwcGxlbWVudGFyeSBtb3RvciBhcmVhIGdyb3VwIGRpZmZlcmVuY2VzIHN1cnZpdmVkIGNvcnJlY3Rpb24gZm9yIG11bHRpcGxlIGNvbXBhcmlzb25zLiBHcm91cCBkaWZmZXJlbmNlcyBpbiByZXByZXNlbnRhdGlvbmFsIHNpbWlsYXJpdHkgd2VyZSBhbHNvIHByZXNlbnQgaW4gdGhlIHByaW1hcnkgbW90b3IgY29ydGV4LiBIZXJlLCByZXByZXNlbnRhdGlvbnMgb2YgaW50ZXJuYWxseSBjaG9zZW4gYW5kIGV4dGVybmFsbHkgY3VlZCBpbmhpYml0aW9uIHdlcmUgbW9yZSBkaWZmZXJlbnRpYXRlZCBpbiB0aGUgVG91cmV0dGUgc3luZHJvbWUgZ3JvdXAgdGhhbiBpbiB0aGUgY29tcGFyaXNvbiBncm91cCwgcG90ZW50aWFsbHkgYSBjb25zZXF1ZW5jZSBvZiBhIHdlYWtlciB2b2x1bnRhcnkgY2FwYWNpdHkgZWFybGllciBpbiB0aGUgbW90b3IgaGllcmFyY2h5IHRvIHN1cHByZXNzIGFjdGlvbnMgcHJvYWN0aXZlbHkuIFRpYyBzZXZlcml0eSBhbmQgcHJlbW9uaXRvcnkgc2Vuc2F0aW9ucyBjb3JyZWxhdGVkIHdpdGggcHJpbWFyeSBtb3RvciBjb3J0ZXggYW5kIGNhdWRhdGUgbnVjbGV1cyByZXByZXNlbnRhdGlvbmFsIHNpbWlsYXJpdHksIGJ1dCB0aGVzZSBlZmZlY3RzIGRpZCBub3Qgc3Vydml2ZSBjb3JyZWN0aW9uIGZvciBtdWx0aXBsZSBjb21wYXJpc29ucy4gSW4gc3VtbWFyeSwgbW9yZSByaWdpZCBwcmUtc3VwcGxlbWVudGFyeSBtb3RvciBhcmVhIG5ldXJhbCBjb2RpbmcgYWNyb3NzIGFjdGlvbiBjYXRlZ29yaWVzIG1heSBjb25zdGl0dXRlIGEgY2VudHJhbCBmZWF0dXJlIG9mIFRvdXJldHRlIHN5bmRyb21lLCB3aGljaCBjYW4gYWNjb3VudCBmb3IgcGF0aWVudHMnIGV4cGVyaWVuY2Ugb2YgJ3Vudm9sdW50YXJ5JyB0aWNzIGFuZCBlZmZvcnRmdWwgdGljIHN1cHByZXNzaW9uLiIsImlzc3VlIjoiNSIsInZvbHVtZSI6IjUiLCJjb250YWluZXItdGl0bGUtc2hvcnQiOiIifSwiaXNUZW1wb3JhcnkiOmZhbHNlfV19&quot;,&quot;citationItems&quot;:[{&quot;id&quot;:&quot;182d610c-508b-3265-9742-f4957024a38d&quot;,&quot;itemData&quot;:{&quot;type&quot;:&quot;article-journal&quot;,&quot;id&quot;:&quot;182d610c-508b-3265-9742-f4957024a38d&quot;,&quot;title&quot;:&quot;Elevated representational similarity of voluntary action and inhibition in Tourette syndrome&quot;,&quot;groupId&quot;:&quot;07d62ac1-5aa8-39af-b49e-52d2088ac571&quot;,&quot;author&quot;:[{&quot;family&quot;:&quot;Rae&quot;,&quot;given&quot;:&quot;C L&quot;,&quot;parse-names&quot;:false,&quot;dropping-particle&quot;:&quot;&quot;,&quot;non-dropping-particle&quot;:&quot;&quot;},{&quot;family&quot;:&quot;Raykov&quot;,&quot;given&quot;:&quot;P&quot;,&quot;parse-names&quot;:false,&quot;dropping-particle&quot;:&quot;&quot;,&quot;non-dropping-particle&quot;:&quot;&quot;},{&quot;family&quot;:&quot;Ambridge&quot;,&quot;given&quot;:&quot;E M&quot;,&quot;parse-names&quot;:false,&quot;dropping-particle&quot;:&quot;&quot;,&quot;non-dropping-particle&quot;:&quot;&quot;},{&quot;family&quot;:&quot;Colling&quot;,&quot;given&quot;:&quot;L J&quot;,&quot;parse-names&quot;:false,&quot;dropping-particle&quot;:&quot;&quot;,&quot;non-dropping-particle&quot;:&quot;&quot;},{&quot;family&quot;:&quot;Gould van Praag&quot;,&quot;given&quot;:&quot;C D&quot;,&quot;parse-names&quot;:false,&quot;dropping-particle&quot;:&quot;&quot;,&quot;non-dropping-particle&quot;:&quot;&quot;},{&quot;family&quot;:&quot;Bouyagoub&quot;,&quot;given&quot;:&quot;S&quot;,&quot;parse-names&quot;:false,&quot;dropping-particle&quot;:&quot;&quot;,&quot;non-dropping-particle&quot;:&quot;&quot;},{&quot;family&quot;:&quot;Polanski&quot;,&quot;given&quot;:&quot;L&quot;,&quot;parse-names&quot;:false,&quot;dropping-particle&quot;:&quot;&quot;,&quot;non-dropping-particle&quot;:&quot;&quot;},{&quot;family&quot;:&quot;Larsson&quot;,&quot;given&quot;:&quot;D E O&quot;,&quot;parse-names&quot;:false,&quot;dropping-particle&quot;:&quot;&quot;,&quot;non-dropping-particle&quot;:&quot;&quot;},{&quot;family&quot;:&quot;Critchley&quot;,&quot;given&quot;:&quot;H D&quot;,&quot;parse-names&quot;:false,&quot;dropping-particle&quot;:&quot;&quot;,&quot;non-dropping-particle&quot;:&quot;&quot;}],&quot;container-title&quot;:&quot;Brain Commun&quot;,&quot;DOI&quot;:&quot;10.1093/braincomms/fcad224&quot;,&quot;PMID&quot;:&quot;37705680&quot;,&quot;issued&quot;:{&quot;date-parts&quot;:[[2023]]},&quot;page&quot;:&quot;fcad224-&quot;,&quot;abstract&quot;:&quot;Many people with Tourette syndrome are able to volitionally suppress tics, under certain circumstances. To understand better the neural mechanisms that underlie this ability, we used functional magnetic resonance neuroimaging to track regional brain activity during performance of an intentional inhibition task. On some trials, Tourette syndrome and comparison participants internally chose to make or withhold a motor action (a button press), while on other trials, they followed 'Go' and 'NoGo' instructions to make or withhold the same action. Using representational similarity analysis, a functional magnetic resonance neuroimaging multivariate pattern analysis technique, we assessed how Tourette syndrome and comparison participants differed in neural activity when choosing to make or to withhold an action, relative to externally cued responses on Go and NoGo trials. Analyses were pre-registered, and the data and code are publicly available. We considered similarity of action representations within regions implicated as critical to motor action release or inhibition and to symptom expression in Tourette syndrome, namely the pre-supplementary motor area, inferior frontal gyrus, insula, caudate nucleus and primary motor cortex. Strikingly, in the Tourette syndrome compared to the comparison group, neural activity within the pre-supplementary motor area displayed greater representational similarity across all action types. Within the pre-supplementary motor area, there was lower response-specific differentiation of activity relating to action and inhibition plans and to internally chosen and externally cued actions, implicating the region as a functional nexus in the symptomatology of Tourette syndrome. Correspondingly, patients with Tourette syndrome may experience volitional tic suppression as an effortful and tiring process because, at the top of the putative motor decision hierarchy, activity within the population of neurons facilitating action is overly similar to activity within the population of neurons promoting inhibition. However, not all pre-supplementary motor area group differences survived correction for multiple comparisons. Group differences in representational similarity were also present in the primary motor cortex. Here, representations of internally chosen and externally cued inhibition were more differentiated in the Tourette syndrome group than in the comparison group, potentially a consequence of a weaker voluntary capacity earlier in the motor hierarchy to suppress actions proactively. Tic severity and premonitory sensations correlated with primary motor cortex and caudate nucleus representational similarity, but these effects did not survive correction for multiple comparisons. In summary, more rigid pre-supplementary motor area neural coding across action categories may constitute a central feature of Tourette syndrome, which can account for patients' experience of 'unvoluntary' tics and effortful tic suppression.&quot;,&quot;issue&quot;:&quot;5&quot;,&quot;volume&quot;:&quot;5&quot;,&quot;container-title-short&quot;:&quot;&quot;},&quot;isTemporary&quot;:false}]},{&quot;citationID&quot;:&quot;MENDELEY_CITATION_5843135f-8c7f-40a0-8652-597a0d0a273b&quot;,&quot;properties&quot;:{&quot;noteIndex&quot;:0},&quot;isEdited&quot;:false,&quot;manualOverride&quot;:{&quot;isManuallyOverridden&quot;:false,&quot;citeprocText&quot;:&quot;(89)&quot;,&quot;manualOverrideText&quot;:&quot;&quot;},&quot;citationTag&quot;:&quot;MENDELEY_CITATION_v3_eyJjaXRhdGlvbklEIjoiTUVOREVMRVlfQ0lUQVRJT05fNTg0MzEzNWYtOGM3Zi00MGEwLTg2NTItNTk3YTBkMGEyNzNiIiwicHJvcGVydGllcyI6eyJub3RlSW5kZXgiOjB9LCJpc0VkaXRlZCI6ZmFsc2UsIm1hbnVhbE92ZXJyaWRlIjp7ImlzTWFudWFsbHlPdmVycmlkZGVuIjpmYWxzZSwiY2l0ZXByb2NUZXh0IjoiKDg5KSIsIm1hbnVhbE92ZXJyaWRlVGV4dCI6IiJ9LCJjaXRhdGlvbkl0ZW1zIjpbeyJpZCI6ImFjNDY2YTZkLTQ5YTktMzAyNS05ZTMzLTU4ZTg1YTVmYzc0ZSIsIml0ZW1EYXRhIjp7InR5cGUiOiJhcnRpY2xlLWpvdXJuYWwiLCJpZCI6ImFjNDY2YTZkLTQ5YTktMzAyNS05ZTMzLTU4ZTg1YTVmYzc0ZSIsInRpdGxlIjoiUm9sZSBvZiB0aGUgcmlnaHQgZG9yc2FsIGFudGVyaW9yIGluc3VsYSBpbiB0aGUgdXJnZSB0byB0aWMgaW4gVG91cmV0dGUgc3luZHJvbWUiLCJncm91cElkIjoiMDdkNjJhYzEtNWFhOC0zOWFmLWI0OWUtNTJkMjA4OGFjNTcxIiwiYXV0aG9yIjpbeyJmYW1pbHkiOiJUaW5heiIsImdpdmVuIjoiUyIsInBhcnNlLW5hbWVzIjpmYWxzZSwiZHJvcHBpbmctcGFydGljbGUiOiIiLCJub24tZHJvcHBpbmctcGFydGljbGUiOiIifSx7ImZhbWlseSI6Ik1hbG9uZSIsImdpdmVuIjoiUCIsInBhcnNlLW5hbWVzIjpmYWxzZSwiZHJvcHBpbmctcGFydGljbGUiOiIiLCJub24tZHJvcHBpbmctcGFydGljbGUiOiIifSx7ImZhbWlseSI6IkhhbGxldHQiLCJnaXZlbiI6Ik0iLCJwYXJzZS1uYW1lcyI6ZmFsc2UsImRyb3BwaW5nLXBhcnRpY2xlIjoiIiwibm9uLWRyb3BwaW5nLXBhcnRpY2xlIjoiIn0seyJmYW1pbHkiOiJIb3Jvdml0eiIsImdpdmVuIjoiUyBHIiwicGFyc2UtbmFtZXMiOmZhbHNlLCJkcm9wcGluZy1wYXJ0aWNsZSI6IiIsIm5vbi1kcm9wcGluZy1wYXJ0aWNsZSI6IiJ9XSwiY29udGFpbmVyLXRpdGxlIjoiTW92IERpc29yZCIsIkRPSSI6IjEwLjEwMDIvbWRzLjI2MjMwIiwiUE1JRCI6IjI1ODU1MDg5IiwiVVJMIjoiaHR0cHM6Ly9tb3ZlbWVudGRpc29yZGVycy1vbmxpbmVsaWJyYXJ5LXdpbGV5LWNvbS5wcm94eS5saWJyYXJ5LnZhbmRlcmJpbHQuZWR1L2RvaS9mdWxsLzEwLjEwMDIvbWRzLjI2MjMwIiwiaXNzdWVkIjp7ImRhdGUtcGFydHMiOltbMjAxNV1dfSwicGFnZSI6IjExOTAtMTE5NyIsImFic3RyYWN0IjoiQkFDS0dST1VORDogVGhlIG1pZC1wb3N0ZXJpb3IgcGFydCBvZiB0aGUgaW5zdWxhIGlzIGludm9sdmVkIGluIHByb2Nlc3NpbmcgYm9kaWx5IHNlbnNhdGlvbnMgYW5kIHVyZ2VzIGFuZCBpcyBhY3RpdmF0ZWQgZHVyaW5nIHRpYyBnZW5lcmF0aW9uIGluIFRvdXJldHRlIHN5bmRyb21lLiBUaGUgZG9yc2FsIGFudGVyaW9yIHBhcnQgb2YgdGhlIGluc3VsYSwgaG93ZXZlciwgaW50ZWdyYXRlcyBzZW5zb3J5IGFuZCBlbW90aW9uYWwgaW5mb3JtYXRpb24gd2l0aCBjb2duaXRpdmUgdmFsdWF0aW9uIGFuZCBpcyBpbXBsaWNhdGVkIGluIGludGVyb2NlcHRpb24uIFRoZSByaWdodCBkb3JzYWwgYW50ZXJpb3IgaW5zdWxhIGFsc28gcGFydGljaXBhdGVzIGluIHVyZ2Ugc3VwcHJlc3Npb24gaW4gaGVhbHRoeSBzdWJqZWN0cy4gVGhpcyBzdHVkeSBleGFtaW5lZCB0aGUgcm9sZSBvZiB0aGUgcmlnaHQgZG9yc2FsIGFudGVyaW9yIGluc3VsYSBpbiB0aGUgdXJnZSB0byB0aWMgaW4gVG91cmV0dGUgc3luZHJvbWUuIE1FVEhPRFM6IFJlc3Rpbmctc3RhdGUgZnVuY3Rpb25hbCBtYWduZXRpYyByZXNvbmFuY2UgaW1hZ2luZyB3YXMgcGVyZm9ybWVkIGluIDEzIGFkdWx0IFRvdXJldHRlIHBhdGllbnRzIGFuZCAxMyBtYXRjaGVkIGNvbnRyb2xzLiBUaGUgcm9sZSBvZiB0aGUgcmlnaHQgZG9yc2FsIGFudGVyaW9yIGluc3VsYSB3aXRoaW4gdGhlIHVyZ2UtdGljIG5ldHdvcmsgd2FzIGludmVzdGlnYXRlZCB1c2luZyBncmFwaCB0aGVvcnktYmFzZWQgbmV1cmFsIG5ldHdvcmsgYW5hbHlzaXMuIFRoZSBmdW5jdGlvbmFsIGNvbm5lY3Rpdml0eSBvZiB0aGUgcmlnaHQgZG9yc2FsIGFudGVyaW9yIGluc3VsYSB3YXMgYWxzbyBjb3JyZWxhdGVkIHdpdGggdXJnZSBhbmQgdGljIHNldmVyaXR5LiBSRVNVTFRTOiBFdmVuIHRob3VnaCB0aGUgcGF0aWVudHMgZGlkIG5vdCBleGhpYml0IGFueSBvdmVydCB0aWNzLCB0aGUgcmlnaHQgZG9yc2FsIGFudGVyaW9yIGluc3VsYSBkZW1vbnN0cmF0ZWQgaGlnaGVyIGNvbm5lY3Rpdml0eSwgZXNwZWNpYWxseSB3aXRoIHRoZSBmcm9udG9zdHJpYXRhbCBub2RlcyBvZiB0aGUgdXJnZS10aWMgbmV0d29yayBpbiBwYXRpZW50cyBjb21wYXJlZCB3aXRoIGNvbnRyb2xzLiBUaGUgZnVuY3Rpb25hbCBjb25uZWN0aXZpdHkgYmV0d2VlbiB0aGUgcmlnaHQgZG9yc2FsIGFudGVyaW9yIGluc3VsYSBhbmQgYmlsYXRlcmFsIHN1cHBsZW1lbnRhcnkgbW90b3IgYXJlYSBhbHNvIGNvcnJlbGF0ZWQgcG9zaXRpdmVseSB3aXRoIHVyZ2Ugc2V2ZXJpdHkgaW4gcGF0aWVudHMuIENPTkNMVVNJT05TOiBUaGVzZSByZXN1bHRzIHN1Z2dlc3QgdGhhdCB0aGUgcmlnaHQgZG9yc2FsIGFudGVyaW9yIGluc3VsYSBpcyBwYXJ0IG9mIHRoZSB1cmdlLXRpYyBuZXR3b3JrIGFuZCBjb3VsZCBpbmZsdWVuY2UgdGhlIHVyZ2UtIGFuZCB0aWMtcmVsYXRlZCBjb3J0aWNvLXN0cmlhdG8tdGhhbGFtaWMgcmVnaW9ucyBldmVuIGR1cmluZyByZXN0IGluIFRvdXJldHRlIHN5bmRyb21lLiBJdCBtaWdodCBiZSByZXNwb25zaWJsZSBmb3IgaGVpZ2h0ZW5lZCBhd2FyZW5lc3Mgb2YgYm9kaWx5IHNlbnNhdGlvbnMgZ2VuZXJhdGluZyBwcmVtb25pdG9yeSB1cmdlcyBpbiBUb3VyZXR0ZSBzeW5kcm9tZS4iLCJpc3N1ZSI6IjkiLCJ2b2x1bWUiOiIzMCIsImNvbnRhaW5lci10aXRsZS1zaG9ydCI6IiJ9LCJpc1RlbXBvcmFyeSI6ZmFsc2V9XX0=&quot;,&quot;citationItems&quot;:[{&quot;id&quot;:&quot;ac466a6d-49a9-3025-9e33-58e85a5fc74e&quot;,&quot;itemData&quot;:{&quot;type&quot;:&quot;article-journal&quot;,&quot;id&quot;:&quot;ac466a6d-49a9-3025-9e33-58e85a5fc74e&quot;,&quot;title&quot;:&quot;Role of the right dorsal anterior insula in the urge to tic in Tourette syndrome&quot;,&quot;groupId&quot;:&quot;07d62ac1-5aa8-39af-b49e-52d2088ac571&quot;,&quot;author&quot;:[{&quot;family&quot;:&quot;Tinaz&quot;,&quot;given&quot;:&quot;S&quot;,&quot;parse-names&quot;:false,&quot;dropping-particle&quot;:&quot;&quot;,&quot;non-dropping-particle&quot;:&quot;&quot;},{&quot;family&quot;:&quot;Malone&quot;,&quot;given&quot;:&quot;P&quot;,&quot;parse-names&quot;:false,&quot;dropping-particle&quot;:&quot;&quot;,&quot;non-dropping-particle&quot;:&quot;&quot;},{&quot;family&quot;:&quot;Hallett&quot;,&quot;given&quot;:&quot;M&quot;,&quot;parse-names&quot;:false,&quot;dropping-particle&quot;:&quot;&quot;,&quot;non-dropping-particle&quot;:&quot;&quot;},{&quot;family&quot;:&quot;Horovitz&quot;,&quot;given&quot;:&quot;S G&quot;,&quot;parse-names&quot;:false,&quot;dropping-particle&quot;:&quot;&quot;,&quot;non-dropping-particle&quot;:&quot;&quot;}],&quot;container-title&quot;:&quot;Mov Disord&quot;,&quot;DOI&quot;:&quot;10.1002/mds.26230&quot;,&quot;PMID&quot;:&quot;25855089&quot;,&quot;URL&quot;:&quot;https://movementdisorders-onlinelibrary-wiley-com.proxy.library.vanderbilt.edu/doi/full/10.1002/mds.26230&quot;,&quot;issued&quot;:{&quot;date-parts&quot;:[[2015]]},&quot;page&quot;:&quot;1190-1197&quot;,&quot;abstract&quot;:&quot;BACKGROUND: The mid-posterior part of the insula is involved in processing bodily sensations and urges and is activated during tic generation in Tourette syndrome. The dorsal anterior part of the insula, however, integrates sensory and emotional information with cognitive valuation and is implicated in interoception. The right dorsal anterior insula also participates in urge suppression in healthy subjects. This study examined the role of the right dorsal anterior insula in the urge to tic in Tourette syndrome. METHODS: Resting-state functional magnetic resonance imaging was performed in 13 adult Tourette patients and 13 matched controls. The role of the right dorsal anterior insula within the urge-tic network was investigated using graph theory-based neural network analysis. The functional connectivity of the right dorsal anterior insula was also correlated with urge and tic severity. RESULTS: Even though the patients did not exhibit any overt tics, the right dorsal anterior insula demonstrated higher connectivity, especially with the frontostriatal nodes of the urge-tic network in patients compared with controls. The functional connectivity between the right dorsal anterior insula and bilateral supplementary motor area also correlated positively with urge severity in patients. CONCLUSIONS: These results suggest that the right dorsal anterior insula is part of the urge-tic network and could influence the urge- and tic-related cortico-striato-thalamic regions even during rest in Tourette syndrome. It might be responsible for heightened awareness of bodily sensations generating premonitory urges in Tourette syndrome.&quot;,&quot;issue&quot;:&quot;9&quot;,&quot;volume&quot;:&quot;30&quot;,&quot;container-title-short&quot;:&quot;&quot;},&quot;isTemporary&quot;:false}]},{&quot;citationID&quot;:&quot;MENDELEY_CITATION_97dee352-9112-4a86-9c39-e7c45693bd9c&quot;,&quot;properties&quot;:{&quot;noteIndex&quot;:0},&quot;isEdited&quot;:false,&quot;manualOverride&quot;:{&quot;isManuallyOverridden&quot;:false,&quot;citeprocText&quot;:&quot;(90)&quot;,&quot;manualOverrideText&quot;:&quot;&quot;},&quot;citationTag&quot;:&quot;MENDELEY_CITATION_v3_eyJjaXRhdGlvbklEIjoiTUVOREVMRVlfQ0lUQVRJT05fOTdkZWUzNTItOTExMi00YTg2LTljMzktZTdjNDU2OTNiZDljIiwicHJvcGVydGllcyI6eyJub3RlSW5kZXgiOjB9LCJpc0VkaXRlZCI6ZmFsc2UsIm1hbnVhbE92ZXJyaWRlIjp7ImlzTWFudWFsbHlPdmVycmlkZGVuIjpmYWxzZSwiY2l0ZXByb2NUZXh0IjoiKDkwKSIsIm1hbnVhbE92ZXJyaWRlVGV4dCI6IiJ9LCJjaXRhdGlvbkl0ZW1zIjpbeyJpZCI6ImViNjBiZjMwLWFkYjUtMzAzYS04NzRiLTZmMGE0ODc2OTdiMiIsIml0ZW1EYXRhIjp7InR5cGUiOiJhcnRpY2xlLWpvdXJuYWwiLCJpZCI6ImViNjBiZjMwLWFkYjUtMzAzYS04NzRiLTZmMGE0ODc2OTdiMiIsInRpdGxlIjoiRmFjZSBwZXJjZXB0aW9uIGVuaGFuY2VzIGluc3VsYSBhbmQgbW90b3IgbmV0d29yayByZWFjdGl2aXR5IGluIFRvdXJldHRlIHN5bmRyb21lIiwiZ3JvdXBJZCI6IjA3ZDYyYWMxLTVhYTgtMzlhZi1iNDllLTUyZDIwODhhYzU3MSIsImF1dGhvciI6W3siZmFtaWx5IjoiUmFlIiwiZ2l2ZW4iOiJDIEwiLCJwYXJzZS1uYW1lcyI6ZmFsc2UsImRyb3BwaW5nLXBhcnRpY2xlIjoiIiwibm9uLWRyb3BwaW5nLXBhcnRpY2xlIjoiIn0seyJmYW1pbHkiOiJQb2x5YW5za2EiLCJnaXZlbiI6IkwiLCJwYXJzZS1uYW1lcyI6ZmFsc2UsImRyb3BwaW5nLXBhcnRpY2xlIjoiIiwibm9uLWRyb3BwaW5nLXBhcnRpY2xlIjoiIn0seyJmYW1pbHkiOiJHb3VsZCB2YW4gUHJhYWciLCJnaXZlbiI6IkMgRCIsInBhcnNlLW5hbWVzIjpmYWxzZSwiZHJvcHBpbmctcGFydGljbGUiOiIiLCJub24tZHJvcHBpbmctcGFydGljbGUiOiIifSx7ImZhbWlseSI6IlBhcmtpbnNvbiIsImdpdmVuIjoiSiIsInBhcnNlLW5hbWVzIjpmYWxzZSwiZHJvcHBpbmctcGFydGljbGUiOiIiLCJub24tZHJvcHBpbmctcGFydGljbGUiOiIifSx7ImZhbWlseSI6IkJvdXlhZ291YiIsImdpdmVuIjoiUyIsInBhcnNlLW5hbWVzIjpmYWxzZSwiZHJvcHBpbmctcGFydGljbGUiOiIiLCJub24tZHJvcHBpbmctcGFydGljbGUiOiIifSx7ImZhbWlseSI6Ik5hZ2FpIiwiZ2l2ZW4iOiJZIiwicGFyc2UtbmFtZXMiOmZhbHNlLCJkcm9wcGluZy1wYXJ0aWNsZSI6IiIsIm5vbi1kcm9wcGluZy1wYXJ0aWNsZSI6IiJ9LHsiZmFtaWx5IjoiU2V0aCIsImdpdmVuIjoiQSBLIiwicGFyc2UtbmFtZXMiOmZhbHNlLCJkcm9wcGluZy1wYXJ0aWNsZSI6IiIsIm5vbi1kcm9wcGluZy1wYXJ0aWNsZSI6IiJ9LHsiZmFtaWx5IjoiSGFycmlzb24iLCJnaXZlbiI6Ik4gQSIsInBhcnNlLW5hbWVzIjpmYWxzZSwiZHJvcHBpbmctcGFydGljbGUiOiIiLCJub24tZHJvcHBpbmctcGFydGljbGUiOiIifSx7ImZhbWlseSI6IkdhcmZpbmtlbCIsImdpdmVuIjoiUyBOIiwicGFyc2UtbmFtZXMiOmZhbHNlLCJkcm9wcGluZy1wYXJ0aWNsZSI6IiIsIm5vbi1kcm9wcGluZy1wYXJ0aWNsZSI6IiJ9LHsiZmFtaWx5IjoiQ3JpdGNobGV5IiwiZ2l2ZW4iOiJIIEQiLCJwYXJzZS1uYW1lcyI6ZmFsc2UsImRyb3BwaW5nLXBhcnRpY2xlIjoiIiwibm9uLWRyb3BwaW5nLXBhcnRpY2xlIjoiIn1dLCJjb250YWluZXItdGl0bGUiOiJCcmFpbiIsIkRPSSI6IjEwLjEwOTMvYnJhaW4vYXd5MjU0IiwiUE1JRCI6IjMwMzQ2NDg0IiwiVVJMIjoiaHR0cHM6Ly93YXRlcm1hcmsuc2lsdmVyY2hhaXIuY29tL2F3eTI1NC5wZGY/dG9rZW49QVFFQ0FIaTIwOEJFNDlPb2FuOWtraFdfRXJjeTdEbTNaTF85Q2YzcWZLQWM0ODV5c2dBQUFza3dnZ0xGQmdrcWhraUc5dzBCQndhZ2dnSzJNSUlDc2dJQkFEQ0NBcXNHQ1NxR1NJYjNEUUVIQVRBZUJnbGdoa2dCWlFNRUFTNHdFUVFNTXNUOUljTTEtTXdBTkkxVEFnRVFnSUlDZk1uc0FZTElrczFYQjlCNGQyRGVmMDV3WGpzLV9zT19iN0d0NDNiZFhyR2lfUllNIiwiaXNzdWVkIjp7ImRhdGUtcGFydHMiOltbMjAxOF1dfSwicGFnZSI6IjMyNDktMzI2MSIsImFic3RyYWN0IjoiVG91cmV0dGUgc3luZHJvbWUgaXMgYSBuZXVyb2RldmVsb3BtZW50YWwgZGlzb3JkZXIsIGNoYXJhY3Rlcml6ZWQgYnkgbW90b3IgYW5kIHBob25pYyB0aWNzLiBUaWNzIGFyZSB0eXBpY2FsbHkgZXhwZXJpZW5jZWQgYXMgYXZvbGl0aW9uYWwsIGNvbXB1bHNpdmUsIGFuZCBhc3NvY2lhdGVkIHdpdGggcHJlbW9uaXRvcnkgdXJnZXMuIFRoZXkgYXJlIGV4YWNlcmJhdGVkIGJ5IHN0cmVzcyBhbmQgY2FuIGJlIHRyaWdnZXJlZCBieSBleHRlcm5hbCBzdGltdWxpLCBpbmNsdWRpbmcgc29jaWFsIGN1ZXMgbGlrZSB0aGUgYWN0aW9ucyBhbmQgZmFjaWFsIGV4cHJlc3Npb25zIG9mIG90aGVycy4gSW1wb3J0YW50bHksIGVtb3Rpb25hbCBzb2NpYWwgc3RpbXVsaSwgd2l0aCBhbmdyeSBmYWNpYWwgc3RpbXVsaSBwb3RlbnRpYWxseSB0aGUgbW9zdCBwb3RlbnQgc29jaWFsIHRocmVhdCBjdWUsIGFsc28gdHJpZ2dlciBiZWhhdmlvdXJhbCByZWFjdGlvbnMgaW4gaGVhbHRoeSBpbmRpdmlkdWFscywgc3VnZ2VzdGluZyB0aGF0IHN1Y2ggbWVjaGFuaXNtcyBtYXkgYmUgcGFydGljdWxhcmx5IHNlbnNpdGl2ZSBpbiBwZW9wbGUgd2l0aCBUb3VyZXR0ZSBzeW5kcm9tZS4gVHdlbnR5LW9uZSBwYXJ0aWNpcGFudHMgd2l0aCBUb3VyZXR0ZSBzeW5kcm9tZSBhbmQgMjEgaGVhbHRoeSBjb250cm9scyB1bmRlcndlbnQgZnVuY3Rpb25hbCBNUkkgd2hpbGUgdmlld2luZyBmYWNlcyB3ZWFyaW5nIGVpdGhlciBuZXV0cmFsIG9yIGFuZ3J5IGV4cHJlc3Npb25zIHRvIHF1YW50aWZ5IGdyb3VwIGRpZmZlcmVuY2VzIGluIG5ldXJhbCBhY3Rpdml0eSBhc3NvY2lhdGVkIHdpdGggcHJvY2Vzc2luZyBzb2NpYWwgaW5mb3JtYXRpb24uIFNpbXVsdGFuZW91cyB2aWRlbyByZWNvcmRpbmdzIG9mIHBhcnRpY2lwYW50cyBkdXJpbmcgbmV1cm9pbWFnaW5nIGVuYWJsZWQgdXMgdG8gbW9kZWwgY29uZm91bmRpbmcgZWZmZWN0cyBvZiB0aWNzIG9uIHRhc2stcmVsYXRlZCByZXNwb25zZXMgdG8gdGhlIHByb2Nlc3Npbmcgb2YgZmFjZXMuIEluIGJvdGggVG91cmV0dGUgc3luZHJvbWUgYW5kIGNvbnRyb2wgcGFydGljaXBhbnRzLCBmYWNlIHN0aW11bGkgZXZva2VkIGVuaGFuY2VkIGFjdGl2YXRpb24gd2l0aGluIGNhbm9uaWNhbCBmYWNlIHBlcmNlcHRpb24gcmVnaW9ucywgaW5jbHVkaW5nIHRoZSBvY2NpcGl0YWwgZmFjZSBhcmVhIGFuZCBmdXNpZm9ybSBmYWNlIGFyZWEuIEhvd2V2ZXIsIHRoZSBUb3VyZXR0ZSBzeW5kcm9tZSBncm91cCBzaG93ZWQgYWRkaXRpb25hbCByZXNwb25zZXMgd2l0aGluIHRoZSBhbnRlcmlvciBpbnN1bGEgdG8gYm90aCBuZXV0cmFsIGFuZCBhbmdyeSBmYWNlcy4gRnVuY3Rpb25hbCBjb25uZWN0aXZpdHkgZHVyaW5nIGZhY2Ugdmlld2luZyB3YXMgdGhlbiBleGFtaW5lZCBpbiBhIHNlcmllcyBvZiBwc3ljaG9waHlzaW9sb2dpY2FsIGludGVyYWN0aW9ucy4gSW4gcGFydGljaXBhbnRzIHdpdGggVG91cmV0dGUgc3luZHJvbWUsIHRoZSBpbnN1bGEgc2hvd2VkIGZ1bmN0aW9uYWwgY29ubmVjdGl2aXR5IHdpdGggYSBzZXQgb2YgY29ydGljYWwgcmVnaW9ucyBwcmV2aW91c2x5IGltcGxpY2F0ZWQgaW4gdGljIGdlbmVyYXRpb246IHRoZSBwcmVzdXBwbGVtZW50YXJ5IG1vdG9yIGFyZWEsIHByZW1vdG9yIGNvcnRleCwgcHJpbWFyeSBtb3RvciBjb3J0ZXgsIGFuZCB0aGUgcHV0YW1lbi4gRnVydGhlcm1vcmUsIGluc3VsYSBmdW5jdGlvbmFsIGNvbm5lY3Rpdml0eSB3aXRoIHRoZSBnbG9idXMgcGFsbGlkdXMgYW5kIHRoYWxhbXVzIHZhcmllZCBpbiBwcm9wb3J0aW9uIHRvIHRpYyBzZXZlcml0eSwgd2hpbGUgc3VwcGxlbWVudGFyeSBtb3RvciBhcmVhIGNvbm5lY3Rpdml0eSB2YXJpZWQgaW4gcHJvcG9ydGlvbiB0byBwcmVtb25pdG9yeSBzZW5zYXRpb25zLCB3aXRoIGluc3VsYSBjb25uZWN0aXZpdHkgdG8gdGhlc2UgcmVnaW9ucyBpbmNyZWFzaW5nIHRvIGEgZ3JlYXRlciBleHRlbnQgaW4gcGF0aWVudHMgd2l0aCB3b3JzZSBzeW1wdG9tIHNldmVyaXR5LiBJbiBhZGRpdGlvbiwgdGhlIG9jY2lwaXRhbCBmYWNlIGFyZWEgc2hvd2VkIGluY3JlYXNlZCBmdW5jdGlvbmFsIGNvbm5lY3Rpdml0eSBpbiBUb3VyZXR0ZSBzeW5kcm9tZSBwYXJ0aWNpcGFudHMgd2l0aCBwb3N0ZXJpb3IgY29ydGljYWwgcmVnaW9ucywgaW5jbHVkaW5nIHByaW1hcnkgc29tYXRvc2Vuc29yeSBjb3J0ZXgsIGFuZCBvY2NpcGl0YWwgZmFjZSBhcmVhIGNvbm5lY3Rpdml0eSB3aXRoIHByaW1hcnkgc29tYXRvc2Vuc29yeSBhbmQgcHJpbWFyeSBtb3RvciBjb3J0aWNlcyB2YXJpZWQgaW4gcHJvcG9ydGlvbiB0byB0aWMgc2V2ZXJpdHkuIFRoZXJlIHdlcmUgbm8gc2lnbmlmaWNhbnQgcHN5Y2hvcGh5c2lvbG9naWNhbCBpbnRlcmFjdGlvbnMgaW4gY29udHJvbHMuIFRoZXNlIGZpbmRpbmdzIGhpZ2hsaWdodCBhIHBvdGVudGlhbCBtZWNoYW5pc20gaW4gVG91cmV0dGUgc3luZHJvbWUgdGhyb3VnaCB3aGljaCBoZWlnaHRlbmVkIHJlcHJlc2VudGF0aW9uIHdpdGhpbiBpbnN1bGFyIGNvcnRleCBvZiBlbWJvZGllZCBhZmZlY3RpdmUgc29jaWFsIGluZm9ybWF0aW9uIG1heSBpbXBhY3QgdGhlIHJlYWN0aXZpdHkgb2Ygc3ViY29ydGljYWwgbW90b3IgcGF0aHdheXMsIHN1cHBvcnRpbmcgcHJvZ3JhbW1lZCBtb3RvciBhY3Rpb25zIHRoYXQgYXJlIGNhdXNhbGx5IGltcGxpY2F0ZWQgaW4gdGljIGdlbmVyYXRpb24uIE1lZGljaW5hbCBhbmQgcHN5Y2hvbG9naWNhbCB0aGVyYXBpZXMgdGhhdCBmb2N1cyBvbiByZWR1Y2luZyBpbnN1bGFyIGh5cGVyLXJlYWN0aXZpdHkgdG8gc29jaWFsIHN0aW11bGkgbWF5IGhhdmUgcG90ZW50aWFsIGJlbmVmaXQgZm9yIHRpYyByZWR1Y3Rpb24gaW4gcGVvcGxlIHdpdGggVG91cmV0dGUgc3luZHJvbWUuIiwiaXNzdWUiOiIxMSIsInZvbHVtZSI6IjE0MSIsImNvbnRhaW5lci10aXRsZS1zaG9ydCI6IiJ9LCJpc1RlbXBvcmFyeSI6ZmFsc2V9XX0=&quot;,&quot;citationItems&quot;:[{&quot;id&quot;:&quot;eb60bf30-adb5-303a-874b-6f0a487697b2&quot;,&quot;itemData&quot;:{&quot;type&quot;:&quot;article-journal&quot;,&quot;id&quot;:&quot;eb60bf30-adb5-303a-874b-6f0a487697b2&quot;,&quot;title&quot;:&quot;Face perception enhances insula and motor network reactivity in Tourette syndrome&quot;,&quot;groupId&quot;:&quot;07d62ac1-5aa8-39af-b49e-52d2088ac571&quot;,&quot;author&quot;:[{&quot;family&quot;:&quot;Rae&quot;,&quot;given&quot;:&quot;C L&quot;,&quot;parse-names&quot;:false,&quot;dropping-particle&quot;:&quot;&quot;,&quot;non-dropping-particle&quot;:&quot;&quot;},{&quot;family&quot;:&quot;Polyanska&quot;,&quot;given&quot;:&quot;L&quot;,&quot;parse-names&quot;:false,&quot;dropping-particle&quot;:&quot;&quot;,&quot;non-dropping-particle&quot;:&quot;&quot;},{&quot;family&quot;:&quot;Gould van Praag&quot;,&quot;given&quot;:&quot;C D&quot;,&quot;parse-names&quot;:false,&quot;dropping-particle&quot;:&quot;&quot;,&quot;non-dropping-particle&quot;:&quot;&quot;},{&quot;family&quot;:&quot;Parkinson&quot;,&quot;given&quot;:&quot;J&quot;,&quot;parse-names&quot;:false,&quot;dropping-particle&quot;:&quot;&quot;,&quot;non-dropping-particle&quot;:&quot;&quot;},{&quot;family&quot;:&quot;Bouyagoub&quot;,&quot;given&quot;:&quot;S&quot;,&quot;parse-names&quot;:false,&quot;dropping-particle&quot;:&quot;&quot;,&quot;non-dropping-particle&quot;:&quot;&quot;},{&quot;family&quot;:&quot;Nagai&quot;,&quot;given&quot;:&quot;Y&quot;,&quot;parse-names&quot;:false,&quot;dropping-particle&quot;:&quot;&quot;,&quot;non-dropping-particle&quot;:&quot;&quot;},{&quot;family&quot;:&quot;Seth&quot;,&quot;given&quot;:&quot;A K&quot;,&quot;parse-names&quot;:false,&quot;dropping-particle&quot;:&quot;&quot;,&quot;non-dropping-particle&quot;:&quot;&quot;},{&quot;family&quot;:&quot;Harrison&quot;,&quot;given&quot;:&quot;N A&quot;,&quot;parse-names&quot;:false,&quot;dropping-particle&quot;:&quot;&quot;,&quot;non-dropping-particle&quot;:&quot;&quot;},{&quot;family&quot;:&quot;Garfinkel&quot;,&quot;given&quot;:&quot;S N&quot;,&quot;parse-names&quot;:false,&quot;dropping-particle&quot;:&quot;&quot;,&quot;non-dropping-particle&quot;:&quot;&quot;},{&quot;family&quot;:&quot;Critchley&quot;,&quot;given&quot;:&quot;H D&quot;,&quot;parse-names&quot;:false,&quot;dropping-particle&quot;:&quot;&quot;,&quot;non-dropping-particle&quot;:&quot;&quot;}],&quot;container-title&quot;:&quot;Brain&quot;,&quot;DOI&quot;:&quot;10.1093/brain/awy254&quot;,&quot;PMID&quot;:&quot;30346484&quot;,&quot;URL&quot;:&quot;https://watermark.silverchair.com/awy254.pdf?token=AQECAHi208BE49Ooan9kkhW_Ercy7Dm3ZL_9Cf3qfKAc485ysgAAAskwggLFBgkqhkiG9w0BBwagggK2MIICsgIBADCCAqsGCSqGSIb3DQEHATAeBglghkgBZQMEAS4wEQQMMsT9IcM1-MwANI1TAgEQgIICfMnsAYLIks1XB9B4d2Def05wXjs-_sO_b7Gt43bdXrGi_RYM&quot;,&quot;issued&quot;:{&quot;date-parts&quot;:[[2018]]},&quot;page&quot;:&quot;3249-3261&quot;,&quot;abstract&quot;:&quot;Tourette syndrome is a neurodevelopmental disorder, characterized by motor and phonic tics. Tics are typically experienced as avolitional, compulsive, and associated with premonitory urges. They are exacerbated by stress and can be triggered by external stimuli, including social cues like the actions and facial expressions of others. Importantly, emotional social stimuli, with angry facial stimuli potentially the most potent social threat cue, also trigger behavioural reactions in healthy individuals, suggesting that such mechanisms may be particularly sensitive in people with Tourette syndrome. Twenty-one participants with Tourette syndrome and 21 healthy controls underwent functional MRI while viewing faces wearing either neutral or angry expressions to quantify group differences in neural activity associated with processing social information. Simultaneous video recordings of participants during neuroimaging enabled us to model confounding effects of tics on task-related responses to the processing of faces. In both Tourette syndrome and control participants, face stimuli evoked enhanced activation within canonical face perception regions, including the occipital face area and fusiform face area. However, the Tourette syndrome group showed additional responses within the anterior insula to both neutral and angry faces. Functional connectivity during face viewing was then examined in a series of psychophysiological interactions. In participants with Tourette syndrome, the insula showed functional connectivity with a set of cortical regions previously implicated in tic generation: the presupplementary motor area, premotor cortex, primary motor cortex, and the putamen. Furthermore, insula functional connectivity with the globus pallidus and thalamus varied in proportion to tic severity, while supplementary motor area connectivity varied in proportion to premonitory sensations, with insula connectivity to these regions increasing to a greater extent in patients with worse symptom severity. In addition, the occipital face area showed increased functional connectivity in Tourette syndrome participants with posterior cortical regions, including primary somatosensory cortex, and occipital face area connectivity with primary somatosensory and primary motor cortices varied in proportion to tic severity. There were no significant psychophysiological interactions in controls. These findings highlight a potential mechanism in Tourette syndrome through which heightened representation within insular cortex of embodied affective social information may impact the reactivity of subcortical motor pathways, supporting programmed motor actions that are causally implicated in tic generation. Medicinal and psychological therapies that focus on reducing insular hyper-reactivity to social stimuli may have potential benefit for tic reduction in people with Tourette syndrome.&quot;,&quot;issue&quot;:&quot;11&quot;,&quot;volume&quot;:&quot;141&quot;,&quot;container-title-short&quot;:&quot;&quot;},&quot;isTemporary&quot;:false}]},{&quot;citationID&quot;:&quot;MENDELEY_CITATION_6ff214de-ba6c-4c60-9a50-3481992e8594&quot;,&quot;properties&quot;:{&quot;noteIndex&quot;:0},&quot;isEdited&quot;:false,&quot;manualOverride&quot;:{&quot;isManuallyOverridden&quot;:false,&quot;citeprocText&quot;:&quot;(91)&quot;,&quot;manualOverrideText&quot;:&quot;&quot;},&quot;citationTag&quot;:&quot;MENDELEY_CITATION_v3_eyJjaXRhdGlvbklEIjoiTUVOREVMRVlfQ0lUQVRJT05fNmZmMjE0ZGUtYmE2Yy00YzYwLTlhNTAtMzQ4MTk5MmU4NTk0IiwicHJvcGVydGllcyI6eyJub3RlSW5kZXgiOjB9LCJpc0VkaXRlZCI6ZmFsc2UsIm1hbnVhbE92ZXJyaWRlIjp7ImlzTWFudWFsbHlPdmVycmlkZGVuIjpmYWxzZSwiY2l0ZXByb2NUZXh0IjoiKDkxKSIsIm1hbnVhbE92ZXJyaWRlVGV4dCI6IiJ9LCJjaXRhdGlvbkl0ZW1zIjpbeyJpZCI6IjMxOTQwYWQ2LTQ3OTktMzU0OC1iYTllLTE5YmZjYTYzYzdmYyIsIml0ZW1EYXRhIjp7InR5cGUiOiJhcnRpY2xlLWpvdXJuYWwiLCJpZCI6IjMxOTQwYWQ2LTQ3OTktMzU0OC1iYTllLTE5YmZjYTYzYzdmYyIsInRpdGxlIjoiVGhlIGZ1bmN0aW9uYWwgY29ubmVjdGl2aXR5IHByb2ZpbGUgb2YgdGljcyBhbmQgb2JzZXNzaXZlLWNvbXB1bHNpdmUgc3ltcHRvbXMgaW4gVG91cmV0dGUgU3luZHJvbWUiLCJncm91cElkIjoiMDdkNjJhYzEtNWFhOC0zOWFmLWI0OWUtNTJkMjA4OGFjNTcxIiwiYXV0aG9yIjpbeyJmYW1pbHkiOiJCaGlrcmFtIiwiZ2l2ZW4iOiJUIiwicGFyc2UtbmFtZXMiOmZhbHNlLCJkcm9wcGluZy1wYXJ0aWNsZSI6IiIsIm5vbi1kcm9wcGluZy1wYXJ0aWNsZSI6IiJ9LHsiZmFtaWx5IjoiQXJub2xkIiwiZ2l2ZW4iOiJQIiwicGFyc2UtbmFtZXMiOmZhbHNlLCJkcm9wcGluZy1wYXJ0aWNsZSI6IiIsIm5vbi1kcm9wcGluZy1wYXJ0aWNsZSI6IiJ9LHsiZmFtaWx5IjoiQ3Jhd2xleSIsImdpdmVuIjoiQSIsInBhcnNlLW5hbWVzIjpmYWxzZSwiZHJvcHBpbmctcGFydGljbGUiOiIiLCJub24tZHJvcHBpbmctcGFydGljbGUiOiIifSx7ImZhbWlseSI6IkFiaS1KYW91ZGUiLCJnaXZlbiI6IkUiLCJwYXJzZS1uYW1lcyI6ZmFsc2UsImRyb3BwaW5nLXBhcnRpY2xlIjoiIiwibm9uLWRyb3BwaW5nLXBhcnRpY2xlIjoiIn0seyJmYW1pbHkiOiJTYW5kb3IiLCJnaXZlbiI6IlAiLCJwYXJzZS1uYW1lcyI6ZmFsc2UsImRyb3BwaW5nLXBhcnRpY2xlIjoiIiwibm9uLWRyb3BwaW5nLXBhcnRpY2xlIjoiIn1dLCJjb250YWluZXItdGl0bGUiOiJKIFBzeWNoaWF0ciBSZXMiLCJET0kiOiIxMC4xMDE2L2ouanBzeWNoaXJlcy4yMDIwLjAxLjAxOSIsIlBNSUQiOiIzMjA2NTk0OCIsImlzc3VlZCI6eyJkYXRlLXBhcnRzIjpbWzIwMjBdXX0sInBhZ2UiOiIxMjgtMTM1IiwiYWJzdHJhY3QiOiJUb3VyZXR0ZSBTeW5kcm9tZSAoVFMpIGlzIGNoYXJhY3Rlcml6ZWQgYnkgdGhlIHByZXNlbmNlIG9mIHRpY3MgYW5kIHNlbnNvcnkgcGhlbm9tZW5hLCBzdWNoIGFzIHByZW1vbml0b3J5IHVyZ2VzLCBhbmQgaXMgb2Z0ZW4gYWNjb21wYW5pZWQgYnkgc2lnbmlmaWNhbnQgb2JzZXNzaXZlLWNvbXB1bHNpdmUgc3ltcHRvbXMgKE9DUykuIFRoZSBnb2FsIG9mIHRoaXMgZXhwbG9yYXRvcnkgc3R1ZHkgd2FzIHRvIGRldGVybWluZSB0aGUgYXNzb2NpYXRpb24gYmV0d2VlbiBmdW5jdGlvbmFsIGNvbm5lY3Rpdml0eSBhbmQgdGhlIGRpZmZlcmVudCBzeW1wdG9tIGRvbWFpbnMgb2YgVFMsIGFzIGxpdHRsZSBpcyBjdXJyZW50bHkga25vd24gYWJvdXQgaG93IHRoZXkgZGlmZmVyLiBSZXN0aW5nLXN0YXRlIGZ1bmN0aW9uYWwgbWFnbmV0aWMgcmVzb25hbmNlIGltYWdpbmcgd2FzIHBlcmZvcm1lZCBpbiAzOSBwYXRpZW50cyB3aXRoIFRTIGFuZCAyMCBtYXRjaGVkIGhlYWx0aHkgY29udHJvbHMuIFNlZWQtYmFzZWQgZnVuY3Rpb25hbCBjb25uZWN0aXZpdHkgb2YgdGhlIHN1cHBsZW1lbnRhcnkgbW90b3IgYXJlYSAoU01BKSwgb3JiaXRvZnJvbnRhbCBjb3J0ZXggKE9GQyksIGluc3VsYSwgY2F1ZGF0ZSBhbmQgcHV0YW1lbiB3ZXJlIGNvbXBhcmVkIGJldHdlZW4gdGhlIGdyb3VwcywgYW5kIGNvcnJlbGF0ZWQgd2l0aCBjbGluaWNhbCBtZWFzdXJlcyB3aXRoaW4gdGhlIHBhdGllbnQgZ3JvdXAuIFdoZW4gY29tcGFyZWQgdG8gY29udHJvbHMsIHBhdGllbnRzIHdpdGggVFMgZXhoaWJpdGVkIGdyZWF0ZXIgY29ubmVjdGl2aXR5IGJldHdlZW4gdGhlIHRlbXBvcmFsIGd5cmksIGluc3VsYSBhbmQgcHV0YW1lbiwgYW5kIGJldHdlZW4gdGhlIE9GQyBhbmQgY2luZ3VsYXRlIGNvcnRleC4gVGljIHNldmVyaXR5IHdhcyBhc3NvY2lhdGVkIHdpdGggZ3JlYXRlciBjb25uZWN0aXZpdHkgYmV0d2VlbiB0aGUgcHV0YW1lbiBhbmQgdGhlIHNlbnNvcmltb3RvciBjb3J0ZXg7IE9DUyBzZXZlcml0eSB3YXMgYXNzb2NpYXRlZCB3aXRoIGxlc3MgY29ubmVjdGl2aXR5IGJldHdlZW4gdGhlIFNNQSBhbmQgdGhhbGFtdXMgYW5kIGJldHdlZW4gdGhlIGNhdWRhdGUgYW5kIHByZWN1bmV1czsgYW5kIHByZW1vbml0b3J5IHVyZ2Ugc2V2ZXJpdHkgd2FzIGFzc29jaWF0ZWQgd2l0aCBsZXNzIGNvbm5lY3Rpdml0eSBiZXR3ZWVuIHRoZSBPRkMgYW5kIHNlbnNvcmltb3RvciBjb3J0ZXggYW5kIGJldHdlZW4gdGhlIGluZmVyaW9yIGZyb250YWwgZ3lydXMgYW5kIHRoZSBwdXRhbWVuIGFuZCBpbnN1bGEgc2VlZHMuIEZ1bmN0aW9uYWwgY29ubmVjdGl2aXR5IHdpdGhpbiBzZW5zb3JpbW90b3IgcHJvY2Vzc2luZyByZWdpb25zIHdlcmUgYXNzb2NpYXRlZCB3aXRoIGFsbCBvZiB0aGUgaW52ZXN0aWdhdGVkIHN5bXB0b20gZG9tYWlucywgaW5jbHVkaW5nIE9DUywgc3VnZ2VzdGluZyBkeXNmdW5jdGlvbnMgaW4gdGhlIHNlbnNvcmltb3RvciBzeXN0ZW0gbWF5IGV4cGxhaW4gbW9zdCBvZiB0aGUgb2JzZXJ2ZWQgc3ltcHRvbXMgaW4gVFMsIGFuZCBub3QganVzdCB0aWNzLiIsInZvbHVtZSI6IjEyMyIsImNvbnRhaW5lci10aXRsZS1zaG9ydCI6IiJ9LCJpc1RlbXBvcmFyeSI6ZmFsc2V9XX0=&quot;,&quot;citationItems&quot;:[{&quot;id&quot;:&quot;31940ad6-4799-3548-ba9e-19bfca63c7fc&quot;,&quot;itemData&quot;:{&quot;type&quot;:&quot;article-journal&quot;,&quot;id&quot;:&quot;31940ad6-4799-3548-ba9e-19bfca63c7fc&quot;,&quot;title&quot;:&quot;The functional connectivity profile of tics and obsessive-compulsive symptoms in Tourette Syndrome&quot;,&quot;groupId&quot;:&quot;07d62ac1-5aa8-39af-b49e-52d2088ac571&quot;,&quot;author&quot;:[{&quot;family&quot;:&quot;Bhikram&quot;,&quot;given&quot;:&quot;T&quot;,&quot;parse-names&quot;:false,&quot;dropping-particle&quot;:&quot;&quot;,&quot;non-dropping-particle&quot;:&quot;&quot;},{&quot;family&quot;:&quot;Arnold&quot;,&quot;given&quot;:&quot;P&quot;,&quot;parse-names&quot;:false,&quot;dropping-particle&quot;:&quot;&quot;,&quot;non-dropping-particle&quot;:&quot;&quot;},{&quot;family&quot;:&quot;Crawley&quot;,&quot;given&quot;:&quot;A&quot;,&quot;parse-names&quot;:false,&quot;dropping-particle&quot;:&quot;&quot;,&quot;non-dropping-particle&quot;:&quot;&quot;},{&quot;family&quot;:&quot;Abi-Jaoude&quot;,&quot;given&quot;:&quot;E&quot;,&quot;parse-names&quot;:false,&quot;dropping-particle&quot;:&quot;&quot;,&quot;non-dropping-particle&quot;:&quot;&quot;},{&quot;family&quot;:&quot;Sandor&quot;,&quot;given&quot;:&quot;P&quot;,&quot;parse-names&quot;:false,&quot;dropping-particle&quot;:&quot;&quot;,&quot;non-dropping-particle&quot;:&quot;&quot;}],&quot;container-title&quot;:&quot;J Psychiatr Res&quot;,&quot;DOI&quot;:&quot;10.1016/j.jpsychires.2020.01.019&quot;,&quot;PMID&quot;:&quot;32065948&quot;,&quot;issued&quot;:{&quot;date-parts&quot;:[[2020]]},&quot;page&quot;:&quot;128-135&quot;,&quot;abstract&quot;:&quot;Tourette Syndrome (TS) is characterized by the presence of tics and sensory phenomena, such as premonitory urges, and is often accompanied by significant obsessive-compulsive symptoms (OCS). The goal of this exploratory study was to determine the association between functional connectivity and the different symptom domains of TS, as little is currently known about how they differ. Resting-state functional magnetic resonance imaging was performed in 39 patients with TS and 20 matched healthy controls. Seed-based functional connectivity of the supplementary motor area (SMA), orbitofrontal cortex (OFC), insula, caudate and putamen were compared between the groups, and correlated with clinical measures within the patient group. When compared to controls, patients with TS exhibited greater connectivity between the temporal gyri, insula and putamen, and between the OFC and cingulate cortex. Tic severity was associated with greater connectivity between the putamen and the sensorimotor cortex; OCS severity was associated with less connectivity between the SMA and thalamus and between the caudate and precuneus; and premonitory urge severity was associated with less connectivity between the OFC and sensorimotor cortex and between the inferior frontal gyrus and the putamen and insula seeds. Functional connectivity within sensorimotor processing regions were associated with all of the investigated symptom domains, including OCS, suggesting dysfunctions in the sensorimotor system may explain most of the observed symptoms in TS, and not just tics.&quot;,&quot;volume&quot;:&quot;123&quot;,&quot;container-title-short&quot;:&quot;&quot;},&quot;isTemporary&quot;:false}]},{&quot;citationID&quot;:&quot;MENDELEY_CITATION_124c50b8-cb33-438d-a31c-06bfff2e78d0&quot;,&quot;properties&quot;:{&quot;noteIndex&quot;:0},&quot;isEdited&quot;:false,&quot;manualOverride&quot;:{&quot;isManuallyOverridden&quot;:false,&quot;citeprocText&quot;:&quot;(92)&quot;,&quot;manualOverrideText&quot;:&quot;&quot;},&quot;citationTag&quot;:&quot;MENDELEY_CITATION_v3_eyJjaXRhdGlvbklEIjoiTUVOREVMRVlfQ0lUQVRJT05fMTI0YzUwYjgtY2IzMy00MzhkLWEzMWMtMDZiZmZmMmU3OGQwIiwicHJvcGVydGllcyI6eyJub3RlSW5kZXgiOjB9LCJpc0VkaXRlZCI6ZmFsc2UsIm1hbnVhbE92ZXJyaWRlIjp7ImlzTWFudWFsbHlPdmVycmlkZGVuIjpmYWxzZSwiY2l0ZXByb2NUZXh0IjoiKDkyKSIsIm1hbnVhbE92ZXJyaWRlVGV4dCI6IiJ9LCJjaXRhdGlvbkl0ZW1zIjpbeyJpZCI6IjYzYzNmNTc4LWRjNzEtMzk3Mi04NjY2LWFjMTIyODljYTBhNyIsIml0ZW1EYXRhIjp7InR5cGUiOiJhcnRpY2xlLWpvdXJuYWwiLCJpZCI6IjYzYzNmNTc4LWRjNzEtMzk3Mi04NjY2LWFjMTIyODljYTBhNyIsInRpdGxlIjoiUm9sZSBvZiB0aGUgc2Vuc29yaW1vdG9yIGNvcnRleCBpbiBUb3VyZXR0ZSBzeW5kcm9tZSB1c2luZyBtdWx0aW1vZGFsIGltYWdpbmciLCJncm91cElkIjoiMDdkNjJhYzEtNWFhOC0zOWFmLWI0OWUtNTJkMjA4OGFjNTcxIiwiYXV0aG9yIjpbeyJmYW1pbHkiOiJUaW5heiIsImdpdmVuIjoiUyIsInBhcnNlLW5hbWVzIjpmYWxzZSwiZHJvcHBpbmctcGFydGljbGUiOiIiLCJub24tZHJvcHBpbmctcGFydGljbGUiOiIifSx7ImZhbWlseSI6IkJlbGx1c2NpbyIsImdpdmVuIjoiQiBBIiwicGFyc2UtbmFtZXMiOmZhbHNlLCJkcm9wcGluZy1wYXJ0aWNsZSI6IiIsIm5vbi1kcm9wcGluZy1wYXJ0aWNsZSI6IiJ9LHsiZmFtaWx5IjoiTWFsb25lIiwiZ2l2ZW4iOiJQIiwicGFyc2UtbmFtZXMiOmZhbHNlLCJkcm9wcGluZy1wYXJ0aWNsZSI6IiIsIm5vbi1kcm9wcGluZy1wYXJ0aWNsZSI6IiJ9LHsiZmFtaWx5IjoiVmVlbiIsImdpdmVuIjoiSiBXIiwicGFyc2UtbmFtZXMiOmZhbHNlLCJkcm9wcGluZy1wYXJ0aWNsZSI6IiIsIm5vbi1kcm9wcGluZy1wYXJ0aWNsZSI6InZhbiBkZXIifSx7ImZhbWlseSI6IkhhbGxldHQiLCJnaXZlbiI6Ik0iLCJwYXJzZS1uYW1lcyI6ZmFsc2UsImRyb3BwaW5nLXBhcnRpY2xlIjoiIiwibm9uLWRyb3BwaW5nLXBhcnRpY2xlIjoiIn0seyJmYW1pbHkiOiJIb3Jvdml0eiIsImdpdmVuIjoiUyBHIiwicGFyc2UtbmFtZXMiOmZhbHNlLCJkcm9wcGluZy1wYXJ0aWNsZSI6IiIsIm5vbi1kcm9wcGluZy1wYXJ0aWNsZSI6IiJ9XSwiY29udGFpbmVyLXRpdGxlIjoiSHVtIEJyYWluIE1hcHAiLCJET0kiOiIxMC4xMDAyL2hibS4yMjU4OCIsIlBNSUQiOiIyNTA0NDAyNCIsIlVSTCI6Imh0dHBzOi8vd3d3Lm5jYmkubmxtLm5paC5nb3YvcG1jL2FydGljbGVzL1BNQzQ3NzY3NTUvcGRmL0hCTS0zNS01ODM0LnBkZiIsImlzc3VlZCI6eyJkYXRlLXBhcnRzIjpbWzIwMTRdXX0sInBhZ2UiOiI1ODM0LTU4NDYiLCJhYnN0cmFjdCI6IlRvdXJldHRlIHN5bmRyb21lIChUUykgaXMgYSBuZXVyb3BzeWNoaWF0cmljIGRpc29yZGVyIGNoYXJhY3Rlcml6ZWQgYnkgbW90b3IgYW5kIHZvY2FsIHRpY3MuIE1vc3QgcGF0aWVudHMgZGVzY3JpYmUgdW5jb21mb3J0YWJsZSBwcmVtb25pdG9yeSBzZW5zYXRpb25zIHByZWNlZGluZyB0aGUgdGljcyBhbmQgYSBzdWJqZWN0aXZlIGV4cGVyaWVuY2Ugb2YgaW5jcmVhc2VkIHNlbnNpdGl2aXR5IHRvIHRhY3RpbGUgc3RpbXVsaS4gVGhlc2UgcmVwb3J0cyBpbmRpY2F0ZSB0aGF0IGEgc2Vuc29yeSBwcm9jZXNzaW5nIGRpc3R1cmJhbmNlIGlzIGFuIGltcG9ydGFudCBjb21wb25lbnQgb2YgVFMgdG9nZXRoZXIgd2l0aCBtb3RvciBwaGVub21lbmEuIFRodXMsIHdlIGZvY3VzZWQgb3VyIGludmVzdGlnYXRpb24gb24gdGhlIHJvbGUgb2YgdGhlIHNlbnNvcmltb3RvciBjb3J0ZXggKFNNQykgaW4gVFMgdXNpbmcgbXVsdGltb2RhbCBuZXVyb2ltYWdpbmcgdGVjaG5pcXVlcy4gV2UgbWVhc3VyZWQgdGhlIGdhbW1hLWFtaW5vYnV0eXJpYyBhY2lkIChHQUJBKSsvQ3JlYXRpbmUgKENyZSkgcmF0aW8gaW4gdGhlIFNNQyB1c2luZyBHQUJBICgxKSBIIG1hZ25ldGljIHJlc29uYW5jZSBzcGVjdHJvc2NvcHkuIFdlIHJlY29yZGVkIHRoZSBiYXNlbGluZSBiZXRhIGFjdGl2aXR5IGluIHRoZSBTTUMgdXNpbmcgbWFnbmV0b2VuY2VwaGFsb2dyYXBoeSBhbmQgY29ycmVsYXRlZCBHQUJBKy9DcmUgcmF0aW8gd2l0aCBiYXNlbGluZSBiZXRhIGJhbmQgcG93ZXIuIEZpbmFsbHksIHdlIGV4YW1pbmVkIHRoZSByZXN0aW5nIHN0YXRlIGZ1bmN0aW9uYWwgY29ubmVjdGl2aXR5IChGQykgcGF0dGVybiBvZiB0aGUgU01DIHVzaW5nIGZ1bmN0aW9uYWwgbWFnbmV0aWMgcmVzb25hbmNlIGltYWdpbmcgKGZNUkkpLiBHQUJBKy9DcmUgcmF0aW8gaW4gdGhlIFNNQyBkaWQgbm90IGRpZmZlciBiZXR3ZWVuIHBhdGllbnRzIGFuZCBjb250cm9scy4gQ29ycmVsYXRpb24gYmV0d2VlbiB0aGUgYmFzZWxpbmUgYmV0YSBiYW5kIHBvd2VyIGFuZCBHQUJBKy9DcmUgcmF0aW8gd2FzIGFibm9ybWFsIGluIHBhdGllbnRzLiBUaGUgYW50ZXJpb3IgaW5zdWxhIHNob3dlZCBpbmNyZWFzZWQgRkMgd2l0aCB0aGUgU01DIGluIHBhdGllbnRzLiBUaGVzZSBmaW5kaW5ncyBzdWdnZXN0IHRoYXQgYWx0ZXJlZCBsaW1iaWMgaW5wdXQgdG8gdGhlIFNNQyBhbmQgYWJub3JtYWwgR0FCQS1tZWRpYXRlZCBiZXRhIG9zY2lsbGF0aW9ucyBpbiB0aGUgU01DIG1heSB1bmRlcnBpbiBzb21lIG9mIHRoZSBzZW5zb3JpbW90b3IgcHJvY2Vzc2luZyBkaXN0dXJiYW5jZXMgaW4gVFMgYW5kIGNvbnRyaWJ1dGUgdG8gdGljIGdlbmVyYXRpb24uIiwiaXNzdWUiOiIxMiIsInZvbHVtZSI6IjM1IiwiY29udGFpbmVyLXRpdGxlLXNob3J0IjoiIn0sImlzVGVtcG9yYXJ5IjpmYWxzZX1dfQ==&quot;,&quot;citationItems&quot;:[{&quot;id&quot;:&quot;63c3f578-dc71-3972-8666-ac12289ca0a7&quot;,&quot;itemData&quot;:{&quot;type&quot;:&quot;article-journal&quot;,&quot;id&quot;:&quot;63c3f578-dc71-3972-8666-ac12289ca0a7&quot;,&quot;title&quot;:&quot;Role of the sensorimotor cortex in Tourette syndrome using multimodal imaging&quot;,&quot;groupId&quot;:&quot;07d62ac1-5aa8-39af-b49e-52d2088ac571&quot;,&quot;author&quot;:[{&quot;family&quot;:&quot;Tinaz&quot;,&quot;given&quot;:&quot;S&quot;,&quot;parse-names&quot;:false,&quot;dropping-particle&quot;:&quot;&quot;,&quot;non-dropping-particle&quot;:&quot;&quot;},{&quot;family&quot;:&quot;Belluscio&quot;,&quot;given&quot;:&quot;B A&quot;,&quot;parse-names&quot;:false,&quot;dropping-particle&quot;:&quot;&quot;,&quot;non-dropping-particle&quot;:&quot;&quot;},{&quot;family&quot;:&quot;Malone&quot;,&quot;given&quot;:&quot;P&quot;,&quot;parse-names&quot;:false,&quot;dropping-particle&quot;:&quot;&quot;,&quot;non-dropping-particle&quot;:&quot;&quot;},{&quot;family&quot;:&quot;Veen&quot;,&quot;given&quot;:&quot;J W&quot;,&quot;parse-names&quot;:false,&quot;dropping-particle&quot;:&quot;&quot;,&quot;non-dropping-particle&quot;:&quot;van der&quot;},{&quot;family&quot;:&quot;Hallett&quot;,&quot;given&quot;:&quot;M&quot;,&quot;parse-names&quot;:false,&quot;dropping-particle&quot;:&quot;&quot;,&quot;non-dropping-particle&quot;:&quot;&quot;},{&quot;family&quot;:&quot;Horovitz&quot;,&quot;given&quot;:&quot;S G&quot;,&quot;parse-names&quot;:false,&quot;dropping-particle&quot;:&quot;&quot;,&quot;non-dropping-particle&quot;:&quot;&quot;}],&quot;container-title&quot;:&quot;Hum Brain Mapp&quot;,&quot;DOI&quot;:&quot;10.1002/hbm.22588&quot;,&quot;PMID&quot;:&quot;25044024&quot;,&quot;URL&quot;:&quot;https://www.ncbi.nlm.nih.gov/pmc/articles/PMC4776755/pdf/HBM-35-5834.pdf&quot;,&quot;issued&quot;:{&quot;date-parts&quot;:[[2014]]},&quot;page&quot;:&quot;5834-5846&quot;,&quot;abstract&quot;:&quot;Tourette syndrome (TS) is a neuropsychiatric disorder characterized by motor and vocal tics. Most patients describe uncomfortable premonitory sensations preceding the tics and a subjective experience of increased sensitivity to tactile stimuli. These reports indicate that a sensory processing disturbance is an important component of TS together with motor phenomena. Thus, we focused our investigation on the role of the sensorimotor cortex (SMC) in TS using multimodal neuroimaging techniques. We measured the gamma-aminobutyric acid (GABA)+/Creatine (Cre) ratio in the SMC using GABA (1) H magnetic resonance spectroscopy. We recorded the baseline beta activity in the SMC using magnetoencephalography and correlated GABA+/Cre ratio with baseline beta band power. Finally, we examined the resting state functional connectivity (FC) pattern of the SMC using functional magnetic resonance imaging (fMRI). GABA+/Cre ratio in the SMC did not differ between patients and controls. Correlation between the baseline beta band power and GABA+/Cre ratio was abnormal in patients. The anterior insula showed increased FC with the SMC in patients. These findings suggest that altered limbic input to the SMC and abnormal GABA-mediated beta oscillations in the SMC may underpin some of the sensorimotor processing disturbances in TS and contribute to tic generation.&quot;,&quot;issue&quot;:&quot;12&quot;,&quot;volume&quot;:&quot;35&quot;,&quot;container-title-short&quot;:&quot;&quot;},&quot;isTemporary&quot;:false}]},{&quot;citationID&quot;:&quot;MENDELEY_CITATION_7251ef5d-aa0f-45d8-a81f-b2b455de3dc1&quot;,&quot;properties&quot;:{&quot;noteIndex&quot;:0},&quot;isEdited&quot;:false,&quot;manualOverride&quot;:{&quot;isManuallyOverridden&quot;:false,&quot;citeprocText&quot;:&quot;(93)&quot;,&quot;manualOverrideText&quot;:&quot;&quot;},&quot;citationTag&quot;:&quot;MENDELEY_CITATION_v3_eyJjaXRhdGlvbklEIjoiTUVOREVMRVlfQ0lUQVRJT05fNzI1MWVmNWQtYWEwZi00NWQ4LWE4MWYtYjJiNDU1ZGUzZGMxIiwicHJvcGVydGllcyI6eyJub3RlSW5kZXgiOjB9LCJpc0VkaXRlZCI6ZmFsc2UsIm1hbnVhbE92ZXJyaWRlIjp7ImlzTWFudWFsbHlPdmVycmlkZGVuIjpmYWxzZSwiY2l0ZXByb2NUZXh0IjoiKDkzKSIsIm1hbnVhbE92ZXJyaWRlVGV4dCI6IiJ9LCJjaXRhdGlvbkl0ZW1zIjpbeyJpZCI6ImNhNGJhMTBhLWQxMmUtMzhlNy1iOWIyLTA2M2JiYmI3MDk3YSIsIml0ZW1EYXRhIjp7InR5cGUiOiJhcnRpY2xlLWpvdXJuYWwiLCJpZCI6ImNhNGJhMTBhLWQxMmUtMzhlNy1iOWIyLTA2M2JiYmI3MDk3YSIsInRpdGxlIjoiTmV1cmFsIGFjdGl2YXRpb24gYW5kIGNvbm5lY3Rpdml0eSBkdXJpbmcgY3VlZCBleWUgYmxpbmtzIGluIENocm9uaWMgVGljIERpc29yZGVycyIsImdyb3VwSWQiOiIwN2Q2MmFjMS01YWE4LTM5YWYtYjQ5ZS01MmQyMDg4YWM1NzEiLCJhdXRob3IiOlt7ImZhbWlseSI6IkxvbyIsImdpdmVuIjoiUyBLIiwicGFyc2UtbmFtZXMiOmZhbHNlLCJkcm9wcGluZy1wYXJ0aWNsZSI6IiIsIm5vbi1kcm9wcGluZy1wYXJ0aWNsZSI6IiJ9LHsiZmFtaWx5IjoiTWl5YWtvc2hpIiwiZ2l2ZW4iOiJNIiwicGFyc2UtbmFtZXMiOmZhbHNlLCJkcm9wcGluZy1wYXJ0aWNsZSI6IiIsIm5vbi1kcm9wcGluZy1wYXJ0aWNsZSI6IiJ9LHsiZmFtaWx5IjoiVHVuZyIsImdpdmVuIjoiSyIsInBhcnNlLW5hbWVzIjpmYWxzZSwiZHJvcHBpbmctcGFydGljbGUiOiIiLCJub24tZHJvcHBpbmctcGFydGljbGUiOiIifSx7ImZhbWlseSI6Ikxsb3lkIiwiZ2l2ZW4iOiJFIiwicGFyc2UtbmFtZXMiOmZhbHNlLCJkcm9wcGluZy1wYXJ0aWNsZSI6IiIsIm5vbi1kcm9wcGluZy1wYXJ0aWNsZSI6IiJ9LHsiZmFtaWx5IjoiU2FsZ2FyaSIsImdpdmVuIjoiRyIsInBhcnNlLW5hbWVzIjpmYWxzZSwiZHJvcHBpbmctcGFydGljbGUiOiIiLCJub24tZHJvcHBpbmctcGFydGljbGUiOiIifSx7ImZhbWlseSI6IkRpbGxvbiIsImdpdmVuIjoiQSIsInBhcnNlLW5hbWVzIjpmYWxzZSwiZHJvcHBpbmctcGFydGljbGUiOiIiLCJub24tZHJvcHBpbmctcGFydGljbGUiOiIifSx7ImZhbWlseSI6IkNoYW5nIiwiZ2l2ZW4iOiJTIiwicGFyc2UtbmFtZXMiOmZhbHNlLCJkcm9wcGluZy1wYXJ0aWNsZSI6IiIsIm5vbi1kcm9wcGluZy1wYXJ0aWNsZSI6IiJ9LHsiZmFtaWx5IjoiUGlhY2VudGluaSIsImdpdmVuIjoiSiIsInBhcnNlLW5hbWVzIjpmYWxzZSwiZHJvcHBpbmctcGFydGljbGUiOiIiLCJub24tZHJvcHBpbmctcGFydGljbGUiOiIifSx7ImZhbWlseSI6Ik1ha2VpZyIsImdpdmVuIjoiUyIsInBhcnNlLW5hbWVzIjpmYWxzZSwiZHJvcHBpbmctcGFydGljbGUiOiIiLCJub24tZHJvcHBpbmctcGFydGljbGUiOiIifV0sImNvbnRhaW5lci10aXRsZSI6Ik5ldXJvaW1hZ2UgQ2xpbiIsIkRPSSI6IjEwLjEwMTYvai5uaWNsLjIwMTkuMTAxOTU2IiwiUE1JRCI6IjMxMzgyMjM4IiwiVVJMIjoiaHR0cHM6Ly93d3cubmNiaS5ubG0ubmloLmdvdi9wbWMvYXJ0aWNsZXMvUE1DNjY5ODY5My9wZGYvbWFpbi5wZGYiLCJpc3N1ZWQiOnsiZGF0ZS1wYXJ0cyI6W1syMDE5XV19LCJwYWdlIjoiMTAxOTU2IiwiYWJzdHJhY3QiOiJPQkpFQ1RJVkU6IFRoZSBwYXRob3BoeXNpb2xvZ3kgb2YgQ2hyb25pYyBUaWMgRGlzb3JkZXJzIChDVERzKSwgaW5jbHVkaW5nIFRvdXJldHRlIFN5bmRyb21lLCByZW1haW5zIHBvb3JseSB1bmRlcnN0b29kLiBUaGUgZ29hbCBvZiB0aGlzIHN0dWR5IHdhcyB0byBjb21wYXJlIG5ldXJhbCBhY3Rpdml0eSBhbmQgY29ubmVjdGl2aXR5IGR1cmluZyBhIHZvbHVudGFyeSBtb3ZlbWVudCAoVk0pIHBhcmFkaWdtIHRoYXQgaW52b2x2ZWQgY3VlZCBleWUgYmxpbmtzIGFtb25nIGNoaWxkcmVuIHdpdGggYW5kIHdpdGhvdXQgQ1REcy4gVXNpbmcgdGhlIHByZWNpc2UgdGVtcG9yYWwgcmVzb2x1dGlvbiBvZiBlbGVjdHJvZW5jZXBoYWxvZ3JhcGh5IChFRUcpLCB3ZSB1c2VkIHRoZSB0aW1pbmcgYW5kIGxvY2F0aW9uIG9mIGNvcnRpY2FsIHNvdXJjZSByZXNvbHZlZCBzcGVjdHJhbCBwb3dlciBhY3RpdmF0aW9uIGFuZCBjb25uZWN0aXZpdHkgdG8gbWFwIGNvbXBvbmVudCBwcm9jZXNzZXMgc3VjaCBhcyB2aXN1YWwgYXR0ZW50aW9uLCBjdWUgZGV0ZWN0aW9uLCBibGluayByZWd1bGF0aW9uIGFuZCByZXNwb25zZSBtb25pdG9yaW5nLiBXZSBoeXBvdGhlc2l6ZWQgdGhhdCBuZXVyYWwgYWN0aXZhdGlvbiBhbmQgY29ubmVjdGl2aXR5IGR1cmluZyB0aGUgY3VlZCBleWUgYmxpbmsgcGFyYWRpZ20gd291bGQgYmUgc2lnbmlmaWNhbnRseSBkaWZmZXJlbnQgaW4gcmVnaW9ucyB0eXBpY2FsbHkgYXNzb2NpYXRlZCB3aXRoIGVmZm9ydGZ1bCBjb250cm9sIG9mIGV5ZSBibGlua3MsIHN1Y2ggYXMgZnJvbnRhbCwgcHJlbW90b3IsIHBhcmlldGFsLCBhbmQgb2NjaXBpdGFsIGNvcnRpY2VzIGJldHdlZW4gY2hpbGRyZW4gd2l0aCBhbmQgd2l0aG91dCBDVEQuIE1FVEhPRDogUGFydGljaXBhbnRzIHdlcmUgNDAgY2hpbGRyZW4gKDIzIHdpdGggQ1RELCAxNyBhZ2UtbWF0Y2hlZCBIZWFsdGh5IENvbnRyb2wgW0hDXSksIGJldHdlZW4gdGhlIGFnZXMgb2YgOC0xMiAobWVhbiBhZ2XigK894oCvOS41KSB5ZWFycyBvbGQuIEFsbCBwYXJ0aWNpcGFudHMgdW5kZXJ3ZW50IHBoZW5vdHlwaWMgYXNzZXNzbWVudCBpbmNsdWRpbmcgZGlhZ25vc3RpYyBpbnRlcnZpZXdzLCBiZWhhdmlvciByYXRpbmcgc2NhbGVzIGFuZCAxMjgtY2hhbm5lbCBFRUcgcmVjb3JkaW5nLiBVcG9uIHByZXNlbnRhdGlvbiBvZiBhIGN1ZSBldmVyeSAz4oCvcywgY2hpbGRyZW4gd2VyZSBpbnN0cnVjdGVkIHRvIG1ha2UgYW4gZXhhZ2dlcmF0ZWQgYmxpbmsuIFJFU1VMVFM6IEJlaGF2aW9yYWxseSwgdGhlIGdyb3VwcyBkaWQgbm90IGRpZmZlciBpbiBibGluayBudW1iZXIsIGxhdGVuY3ksIG9yIEVSUCBhbXBsaXR1ZGUuIFdpdGhpbiBzb3VyY2UgcmVzb2x2ZWQgY2x1c3RlcnMgbG9jYXRlZCBpbiBsZWZ0IGRvcnNvbGF0ZXJhbCBwcmVmcm9udGFsIGNvcnRleCwgcG9zdGVyaW9yIGNpbmd1bGF0ZSwgYW5kIHN1cHBsZW1lbnRhbCBtb3RvciBhcmVhLCBjaGlsZHJlbiB3aXRoIENURCBleGhpYml0ZWQgaGlnaGVyIGdhbW1hIGJhbmQgc3BlY3RyYWwgcG93ZXIgcmVsYXRpdmUgdG8gY29udHJvbHMuIEluIGFkZGl0aW9uLCBzaWduaWZpY2FudCBkaWFnbm9zdGljIGdyb3VwIGRpZmZlcmVuY2VzIGluIHRoZXRhLCBhbHBoYSwgYW5kIGJldGEgYmFuZCBwb3dlciBpbiBpbmZlcmlvciBwYXJpZXRhbCBjb3J0ZXggZW1lcmdlZC4gU3BlY3RyYWwgcG93ZXIgZGlmZmVyZW5jZXMgd2VyZSBzaWduaWZpY2FudGx5IGFzc29jaWF0ZWQgd2l0aCBjbGluaWNhbCBjaGFyYWN0ZXJpc3RpY3Mgc3VjaCBhcyB0aWMgc2V2ZXJpdHkgYW5kIHByZW1vbml0b3J5IHVyZ2Ugc3RyZW5ndGguIEFmdGVyIGNhbGN1bGF0aW5nIGRpcG9sZSBkZW5zaXR5IGZvciA3NiBhbmF0b21pY2FsIHJlZ2lvbnMsIHRoZSBDVEQgYW5kIEhDIGdyb3VwcyBoYWQgNzAlIG92ZXJsYXAgb2YgdG9wIHJlZ2lvbnMgd2l0aCB0aGUgaGlnaGVzdCBkaXBvbGUgZGVuc2l0eSwgc3VnZ2VzdGluZyB0aGF0IHNpbWlsYXIgY29ydGljYWwgbmV0d29ya3Mgd2VyZSB1c2VkIGFjcm9zcyBncm91cHMgdG8gY2Fycnkgb3V0IHRoZSBWTS4gVGhlIENURCBncm91cCBleGhpYml0ZWQgc2lnbmlmaWNhbnQgaW5mb3JtYXRpb24gZmxvdyBpbmNyZWFzZSBhbmQgZHlzcmVndWxhdGlvbiByZWxhdGl2ZSB0byB0aGUgSEMgZ3JvdXAsIHBhcnRpY3VsYXJseSBmcm9tIG9jY2lwaXRhbCB0byBmcm9udGFsIHJlZ2lvbnMuIENPTkNMVVNJT046IENoaWxkcmVuIHdpdGggQ1REIGV4aGliaXQgYWJub3JtYWxseSBoaWdoIGxldmVscyBvZiBuZXVyYWwgYWN0aXZhdGlvbiBhbmQgZHlzcmVndWxhdGVkIGNvbm5lY3Rpdml0eSBhbW9uZyBuZXR3b3JrcyB1c2VkIGZvciByZWd1bGF0aW9uIGFuZCBlZmZvcnRmdWwgY29udHJvbCBvZiB2b2x1bnRhcnkgZXllIGJsaW5rcy4iLCJ2b2x1bWUiOiIyNCIsImNvbnRhaW5lci10aXRsZS1zaG9ydCI6IiJ9LCJpc1RlbXBvcmFyeSI6ZmFsc2V9XX0=&quot;,&quot;citationItems&quot;:[{&quot;id&quot;:&quot;ca4ba10a-d12e-38e7-b9b2-063bbbb7097a&quot;,&quot;itemData&quot;:{&quot;type&quot;:&quot;article-journal&quot;,&quot;id&quot;:&quot;ca4ba10a-d12e-38e7-b9b2-063bbbb7097a&quot;,&quot;title&quot;:&quot;Neural activation and connectivity during cued eye blinks in Chronic Tic Disorders&quot;,&quot;groupId&quot;:&quot;07d62ac1-5aa8-39af-b49e-52d2088ac571&quot;,&quot;author&quot;:[{&quot;family&quot;:&quot;Loo&quot;,&quot;given&quot;:&quot;S K&quot;,&quot;parse-names&quot;:false,&quot;dropping-particle&quot;:&quot;&quot;,&quot;non-dropping-particle&quot;:&quot;&quot;},{&quot;family&quot;:&quot;Miyakoshi&quot;,&quot;given&quot;:&quot;M&quot;,&quot;parse-names&quot;:false,&quot;dropping-particle&quot;:&quot;&quot;,&quot;non-dropping-particle&quot;:&quot;&quot;},{&quot;family&quot;:&quot;Tung&quot;,&quot;given&quot;:&quot;K&quot;,&quot;parse-names&quot;:false,&quot;dropping-particle&quot;:&quot;&quot;,&quot;non-dropping-particle&quot;:&quot;&quot;},{&quot;family&quot;:&quot;Lloyd&quot;,&quot;given&quot;:&quot;E&quot;,&quot;parse-names&quot;:false,&quot;dropping-particle&quot;:&quot;&quot;,&quot;non-dropping-particle&quot;:&quot;&quot;},{&quot;family&quot;:&quot;Salgari&quot;,&quot;given&quot;:&quot;G&quot;,&quot;parse-names&quot;:false,&quot;dropping-particle&quot;:&quot;&quot;,&quot;non-dropping-particle&quot;:&quot;&quot;},{&quot;family&quot;:&quot;Dillon&quot;,&quot;given&quot;:&quot;A&quot;,&quot;parse-names&quot;:false,&quot;dropping-particle&quot;:&quot;&quot;,&quot;non-dropping-particle&quot;:&quot;&quot;},{&quot;family&quot;:&quot;Chang&quot;,&quot;given&quot;:&quot;S&quot;,&quot;parse-names&quot;:false,&quot;dropping-particle&quot;:&quot;&quot;,&quot;non-dropping-particle&quot;:&quot;&quot;},{&quot;family&quot;:&quot;Piacentini&quot;,&quot;given&quot;:&quot;J&quot;,&quot;parse-names&quot;:false,&quot;dropping-particle&quot;:&quot;&quot;,&quot;non-dropping-particle&quot;:&quot;&quot;},{&quot;family&quot;:&quot;Makeig&quot;,&quot;given&quot;:&quot;S&quot;,&quot;parse-names&quot;:false,&quot;dropping-particle&quot;:&quot;&quot;,&quot;non-dropping-particle&quot;:&quot;&quot;}],&quot;container-title&quot;:&quot;Neuroimage Clin&quot;,&quot;DOI&quot;:&quot;10.1016/j.nicl.2019.101956&quot;,&quot;PMID&quot;:&quot;31382238&quot;,&quot;URL&quot;:&quot;https://www.ncbi.nlm.nih.gov/pmc/articles/PMC6698693/pdf/main.pdf&quot;,&quot;issued&quot;:{&quot;date-parts&quot;:[[2019]]},&quot;page&quot;:&quot;101956&quot;,&quot;abstract&quot;:&quot;OBJECTIVE: The pathophysiology of Chronic Tic Disorders (CTDs), including Tourette Syndrome, remains poorly understood. The goal of this study was to compare neural activity and connectivity during a voluntary movement (VM) paradigm that involved cued eye blinks among children with and without CTDs. Using the precise temporal resolution of electroencephalography (EEG), we used the timing and location of cortical source resolved spectral power activation and connectivity to map component processes such as visual attention, cue detection, blink regulation and response monitoring. We hypothesized that neural activation and connectivity during the cued eye blink paradigm would be significantly different in regions typically associated with effortful control of eye blinks, such as frontal, premotor, parietal, and occipital cortices between children with and without CTD. METHOD: Participants were 40 children (23 with CTD, 17 age-matched Healthy Control [HC]), between the ages of 8-12 (mean age = 9.5) years old. All participants underwent phenotypic assessment including diagnostic interviews, behavior rating scales and 128-channel EEG recording. Upon presentation of a cue every 3 s, children were instructed to make an exaggerated blink. RESULTS: Behaviorally, the groups did not differ in blink number, latency, or ERP amplitude. Within source resolved clusters located in left dorsolateral prefrontal cortex, posterior cingulate, and supplemental motor area, children with CTD exhibited higher gamma band spectral power relative to controls. In addition, significant diagnostic group differences in theta, alpha, and beta band power in inferior parietal cortex emerged. Spectral power differences were significantly associated with clinical characteristics such as tic severity and premonitory urge strength. After calculating dipole density for 76 anatomical regions, the CTD and HC groups had 70% overlap of top regions with the highest dipole density, suggesting that similar cortical networks were used across groups to carry out the VM. The CTD group exhibited significant information flow increase and dysregulation relative to the HC group, particularly from occipital to frontal regions. CONCLUSION: Children with CTD exhibit abnormally high levels of neural activation and dysregulated connectivity among networks used for regulation and effortful control of voluntary eye blinks.&quot;,&quot;volume&quot;:&quot;24&quot;,&quot;container-title-short&quot;:&quot;&quot;},&quot;isTemporary&quot;:false}]},{&quot;citationID&quot;:&quot;MENDELEY_CITATION_9780e451-de2b-4fab-bd9a-109c0c936dba&quot;,&quot;properties&quot;:{&quot;noteIndex&quot;:0},&quot;isEdited&quot;:false,&quot;manualOverride&quot;:{&quot;isManuallyOverridden&quot;:false,&quot;citeprocText&quot;:&quot;(94)&quot;,&quot;manualOverrideText&quot;:&quot;&quot;},&quot;citationTag&quot;:&quot;MENDELEY_CITATION_v3_eyJjaXRhdGlvbklEIjoiTUVOREVMRVlfQ0lUQVRJT05fOTc4MGU0NTEtZGUyYi00ZmFiLWJkOWEtMTA5YzBjOTM2ZGJhIiwicHJvcGVydGllcyI6eyJub3RlSW5kZXgiOjB9LCJpc0VkaXRlZCI6ZmFsc2UsIm1hbnVhbE92ZXJyaWRlIjp7ImlzTWFudWFsbHlPdmVycmlkZGVuIjpmYWxzZSwiY2l0ZXByb2NUZXh0IjoiKDk0KSIsIm1hbnVhbE92ZXJyaWRlVGV4dCI6IiJ9LCJjaXRhdGlvbkl0ZW1zIjpbeyJpZCI6IjlmYjlmMzM1LTg0ZDAtMzQ5MC1hYWZiLWViMDZjYjNkZmM3YiIsIml0ZW1EYXRhIjp7InR5cGUiOiJhcnRpY2xlLWpvdXJuYWwiLCJpZCI6IjlmYjlmMzM1LTg0ZDAtMzQ5MC1hYWZiLWViMDZjYjNkZmM3YiIsInRpdGxlIjoiQSBwZWVrIGludG8gcHJlbW9uaXRvcnkgdXJnZXMgaW4gVG91cmV0dGUgc3luZHJvbWU6IFRlbXBvcmFsIGV2b2x1dGlvbiBvZiBuZXVyb3BoeXNpb2xvZ2ljYWwgb3NjaWxsYXRvcnkgc2lnbmF0dXJlcyIsImdyb3VwSWQiOiIwN2Q2MmFjMS01YWE4LTM5YWYtYjQ5ZS01MmQyMDg4YWM1NzEiLCJhdXRob3IiOlt7ImZhbWlseSI6Ik5pY2NvbGFpIiwiZ2l2ZW4iOiJWIiwicGFyc2UtbmFtZXMiOmZhbHNlLCJkcm9wcGluZy1wYXJ0aWNsZSI6IiIsIm5vbi1kcm9wcGluZy1wYXJ0aWNsZSI6IiJ9LHsiZmFtaWx5IjoiS29yY3pvayIsImdpdmVuIjoiUyIsInBhcnNlLW5hbWVzIjpmYWxzZSwiZHJvcHBpbmctcGFydGljbGUiOiIiLCJub24tZHJvcHBpbmctcGFydGljbGUiOiIifSx7ImZhbWlseSI6IkZpbmlzIiwiZ2l2ZW4iOiJKIiwicGFyc2UtbmFtZXMiOmZhbHNlLCJkcm9wcGluZy1wYXJ0aWNsZSI6IiIsIm5vbi1kcm9wcGluZy1wYXJ0aWNsZSI6IiJ9LHsiZmFtaWx5IjoiSm9uYXMiLCJnaXZlbiI6Ik0iLCJwYXJzZS1uYW1lcyI6ZmFsc2UsImRyb3BwaW5nLXBhcnRpY2xlIjoiIiwibm9uLWRyb3BwaW5nLXBhcnRpY2xlIjoiIn0seyJmYW1pbHkiOiJUaG9tYWxsYSIsImdpdmVuIjoiRyIsInBhcnNlLW5hbWVzIjpmYWxzZSwiZHJvcHBpbmctcGFydGljbGUiOiIiLCJub24tZHJvcHBpbmctcGFydGljbGUiOiIifSx7ImZhbWlseSI6IlNpZWJuZXIiLCJnaXZlbiI6IkggUiIsInBhcnNlLW5hbWVzIjpmYWxzZSwiZHJvcHBpbmctcGFydGljbGUiOiIiLCJub24tZHJvcHBpbmctcGFydGljbGUiOiIifSx7ImZhbWlseSI6Ik3DvGxsZXItVmFobCIsImdpdmVuIjoiSyIsInBhcnNlLW5hbWVzIjpmYWxzZSwiZHJvcHBpbmctcGFydGljbGUiOiIiLCJub24tZHJvcHBpbmctcGFydGljbGUiOiIifSx7ImZhbWlseSI6Ik3DvG5jaGF1IiwiZ2l2ZW4iOiJBIiwicGFyc2UtbmFtZXMiOmZhbHNlLCJkcm9wcGluZy1wYXJ0aWNsZSI6IiIsIm5vbi1kcm9wcGluZy1wYXJ0aWNsZSI6IiJ9LHsiZmFtaWx5IjoiU2Nobml0emxlciIsImdpdmVuIjoiQSIsInBhcnNlLW5hbWVzIjpmYWxzZSwiZHJvcHBpbmctcGFydGljbGUiOiIiLCJub24tZHJvcHBpbmctcGFydGljbGUiOiIifSx7ImZhbWlseSI6IkJpZXJtYW5uLVJ1YmVuIiwiZ2l2ZW4iOiJLIiwicGFyc2UtbmFtZXMiOmZhbHNlLCJkcm9wcGluZy1wYXJ0aWNsZSI6IiIsIm5vbi1kcm9wcGluZy1wYXJ0aWNsZSI6IiJ9XSwiY29udGFpbmVyLXRpdGxlIjoiUGFya2luc29uaXNtIFJlbGF0IERpc29yZCIsIkRPSSI6IjEwLjEwMTYvai5wYXJrcmVsZGlzLjIwMTkuMDUuMDM5IiwiUE1JRCI6IjMxMTgyMzcyIiwiVVJMIjoiaHR0cHM6Ly93d3cucHJkLWpvdXJuYWwuY29tL2FydGljbGUvUzEzNTMtODAyMCgxOSkzMDI2MC0zL2Z1bGx0ZXh0IiwiaXNzdWVkIjp7ImRhdGUtcGFydHMiOltbMjAxOV1dfSwicGFnZSI6IjE1My0xNTgiLCJhYnN0cmFjdCI6IkJBQ0tHUk9VTkQ6IFRpY3MgYXJlIHRoZSBjb3JlIHN5bXB0b20gb2YgcGF0aWVudHMgd2l0aCBHaWxsZXMgZGUgbGEgVG91cmV0dGUgc3luZHJvbWUsIHlldCB0aGUgc3BhdGlhbC10ZW1wb3JhbCBkeW5hbWljcyBvZiBuZXVyYWwgYWN0aXZpdHkgY2F1c2luZyBhIHRpYyByZW1haW5zIHRvIGJlIGRldGVybWluZWQuIE9CSkVDVElWRTogSWRlbnRpZmljYXRpb24gb2YgY29ydGljYWwgZXZlbnRzIHByZWNlZGluZyB0aWMgb25zZXQuIE1FVEhPRFM6IEluIHR3ZWx2ZSBwYXRpZW50cyB3aXRoIFRvdXJldHRlIHN5bmRyb21lIHdlIHBlcmZvcm1lZCBtYWduZXRvZW5jZXBoYWxvZ3JhcGh5IHRvIHRyYWNlIHRoZSB0aW1lIGNvdXJzZSBvZiBiZXRhIG9zY2lsbGF0aW9ucyAoMTUtMzDigK9IeikgaW4gbW90b3IgY29ydGljYWwgYXJlYXMgYmVmb3JlIHRpYyBvbnNldC4gUkVTVUxUUzogUGF0aWVudHMgc2hvd2VkIGEgYmlwaGFzaWMgbW9kdWxhdGlvbiBvZiBjb3J0aWNhbCBiZXRhIGFjdGl2aXR5IGR1cmluZyB0aGUgc2Vjb25kIGJlZm9yZSB0aWMgb25zZXQuIFdlIG9ic2VydmVkIGFuIGluaXRpYWwgaW5jcmVhc2Ugb2YgYmV0YSBwb3dlciBvdmVyIHRoZSBsZWZ0LWhlbWlzcGhlcmljIGNoYW5uZWxzIG92ZXJseWluZyB0aGUgbW90b3IgY29ydGV4LiBUaGlzIGluY3JlYXNlIHdhcyBzdWJzZXF1ZW50bHkgcmVwbGFjZWQgYnkgYSBkZWNyZWFzZSBpbiBiZXRhIHBvd2VyLiBUaGUgYmV0YSBkZWNyZWFzZSBjbG9zZSB0byB0aWMgb25zZXQgcmVzZW1ibGVkIHRoZSB0eXBpY2FsIHBhdHRlcm4gYWNjb21wYW55aW5nIHByZXBhcmF0aW9uIG9mIHZvbHVudGFyeSBtb3ZlbWVudHMuIE9ubHkgdGhlIGluaXRpYWwgaW5jcmVhc2UgaW4gYmV0YSBwb3dlciBwb3NpdGl2ZWx5IGNvcnJlbGF0ZWQgd2l0aCB0aGUgaW50ZW5zaXR5IG9mIG1vdG9yIHVyZ2VzIHByZWNlZGluZyB0aWNzLiBDT05DTFVTSU9OUzogVGhlIHNwYXRpYWwtdGVtcG9yYWwgZHluYW1pY3Mgb2YgY29ydGljYWwgYWN0aXZpdHkgc3VnZ2VzdHMgYSB2b2x1bnRhcnkgY29tcG9uZW50IG9mIHRpY3MgdGhhdCBtaWdodCBiZSB0cmlnZ2VyZWQgYnkgYSBmYWlsdXJlIG9mIGNvbXBlbnNhdG9yeSBtb3RvciBpbmhpYml0b3J5IG1lY2hhbmlzbXMuIiwidm9sdW1lIjoiNjUiLCJjb250YWluZXItdGl0bGUtc2hvcnQiOiIifSwiaXNUZW1wb3JhcnkiOmZhbHNlfV19&quot;,&quot;citationItems&quot;:[{&quot;id&quot;:&quot;9fb9f335-84d0-3490-aafb-eb06cb3dfc7b&quot;,&quot;itemData&quot;:{&quot;type&quot;:&quot;article-journal&quot;,&quot;id&quot;:&quot;9fb9f335-84d0-3490-aafb-eb06cb3dfc7b&quot;,&quot;title&quot;:&quot;A peek into premonitory urges in Tourette syndrome: Temporal evolution of neurophysiological oscillatory signatures&quot;,&quot;groupId&quot;:&quot;07d62ac1-5aa8-39af-b49e-52d2088ac571&quot;,&quot;author&quot;:[{&quot;family&quot;:&quot;Niccolai&quot;,&quot;given&quot;:&quot;V&quot;,&quot;parse-names&quot;:false,&quot;dropping-particle&quot;:&quot;&quot;,&quot;non-dropping-particle&quot;:&quot;&quot;},{&quot;family&quot;:&quot;Korczok&quot;,&quot;given&quot;:&quot;S&quot;,&quot;parse-names&quot;:false,&quot;dropping-particle&quot;:&quot;&quot;,&quot;non-dropping-particle&quot;:&quot;&quot;},{&quot;family&quot;:&quot;Finis&quot;,&quot;given&quot;:&quot;J&quot;,&quot;parse-names&quot;:false,&quot;dropping-particle&quot;:&quot;&quot;,&quot;non-dropping-particle&quot;:&quot;&quot;},{&quot;family&quot;:&quot;Jonas&quot;,&quot;given&quot;:&quot;M&quot;,&quot;parse-names&quot;:false,&quot;dropping-particle&quot;:&quot;&quot;,&quot;non-dropping-particle&quot;:&quot;&quot;},{&quot;family&quot;:&quot;Thomalla&quot;,&quot;given&quot;:&quot;G&quot;,&quot;parse-names&quot;:false,&quot;dropping-particle&quot;:&quot;&quot;,&quot;non-dropping-particle&quot;:&quot;&quot;},{&quot;family&quot;:&quot;Siebner&quot;,&quot;given&quot;:&quot;H R&quot;,&quot;parse-names&quot;:false,&quot;dropping-particle&quot;:&quot;&quot;,&quot;non-dropping-particle&quot;:&quot;&quot;},{&quot;family&quot;:&quot;Müller-Vahl&quot;,&quot;given&quot;:&quot;K&quot;,&quot;parse-names&quot;:false,&quot;dropping-particle&quot;:&quot;&quot;,&quot;non-dropping-particle&quot;:&quot;&quot;},{&quot;family&quot;:&quot;Münchau&quot;,&quot;given&quot;:&quot;A&quot;,&quot;parse-names&quot;:false,&quot;dropping-particle&quot;:&quot;&quot;,&quot;non-dropping-particle&quot;:&quot;&quot;},{&quot;family&quot;:&quot;Schnitzler&quot;,&quot;given&quot;:&quot;A&quot;,&quot;parse-names&quot;:false,&quot;dropping-particle&quot;:&quot;&quot;,&quot;non-dropping-particle&quot;:&quot;&quot;},{&quot;family&quot;:&quot;Biermann-Ruben&quot;,&quot;given&quot;:&quot;K&quot;,&quot;parse-names&quot;:false,&quot;dropping-particle&quot;:&quot;&quot;,&quot;non-dropping-particle&quot;:&quot;&quot;}],&quot;container-title&quot;:&quot;Parkinsonism Relat Disord&quot;,&quot;DOI&quot;:&quot;10.1016/j.parkreldis.2019.05.039&quot;,&quot;PMID&quot;:&quot;31182372&quot;,&quot;URL&quot;:&quot;https://www.prd-journal.com/article/S1353-8020(19)30260-3/fulltext&quot;,&quot;issued&quot;:{&quot;date-parts&quot;:[[2019]]},&quot;page&quot;:&quot;153-158&quot;,&quot;abstract&quot;:&quot;BACKGROUND: Tics are the core symptom of patients with Gilles de la Tourette syndrome, yet the spatial-temporal dynamics of neural activity causing a tic remains to be determined. OBJECTIVE: Identification of cortical events preceding tic onset. METHODS: In twelve patients with Tourette syndrome we performed magnetoencephalography to trace the time course of beta oscillations (15-30 Hz) in motor cortical areas before tic onset. RESULTS: Patients showed a biphasic modulation of cortical beta activity during the second before tic onset. We observed an initial increase of beta power over the left-hemispheric channels overlying the motor cortex. This increase was subsequently replaced by a decrease in beta power. The beta decrease close to tic onset resembled the typical pattern accompanying preparation of voluntary movements. Only the initial increase in beta power positively correlated with the intensity of motor urges preceding tics. CONCLUSIONS: The spatial-temporal dynamics of cortical activity suggests a voluntary component of tics that might be triggered by a failure of compensatory motor inhibitory mechanisms.&quot;,&quot;volume&quot;:&quot;65&quot;,&quot;container-title-short&quot;:&quot;&quot;},&quot;isTemporary&quot;:false}]},{&quot;citationID&quot;:&quot;MENDELEY_CITATION_437b69bf-c04a-4aee-8244-3b6727306989&quot;,&quot;properties&quot;:{&quot;noteIndex&quot;:0},&quot;isEdited&quot;:false,&quot;manualOverride&quot;:{&quot;isManuallyOverridden&quot;:false,&quot;citeprocText&quot;:&quot;(95)&quot;,&quot;manualOverrideText&quot;:&quot;&quot;},&quot;citationTag&quot;:&quot;MENDELEY_CITATION_v3_eyJjaXRhdGlvbklEIjoiTUVOREVMRVlfQ0lUQVRJT05fNDM3YjY5YmYtYzA0YS00YWVlLTgyNDQtM2I2NzI3MzA2OTg5IiwicHJvcGVydGllcyI6eyJub3RlSW5kZXgiOjB9LCJpc0VkaXRlZCI6ZmFsc2UsIm1hbnVhbE92ZXJyaWRlIjp7ImlzTWFudWFsbHlPdmVycmlkZGVuIjpmYWxzZSwiY2l0ZXByb2NUZXh0IjoiKDk1KSIsIm1hbnVhbE92ZXJyaWRlVGV4dCI6IiJ9LCJjaXRhdGlvbkl0ZW1zIjpbeyJpZCI6ImNkMWZlZGJjLWU2MDEtMzhhNS1iMGZiLWM2MDVmZDUzMTZkNyIsIml0ZW1EYXRhIjp7InR5cGUiOiJhcnRpY2xlLWpvdXJuYWwiLCJpZCI6ImNkMWZlZGJjLWU2MDEtMzhhNS1iMGZiLWM2MDVmZDUzMTZkNyIsInRpdGxlIjoiVGhlIG5ldXJhbCBjb3JyZWxhdGVzIG9mIHRpYyBpbmhpYml0aW9uIGluIEdpbGxlcyBkZSBsYSBUb3VyZXR0ZSBzeW5kcm9tZSIsImdyb3VwSWQiOiIwN2Q2MmFjMS01YWE4LTM5YWYtYjQ5ZS01MmQyMDg4YWM1NzEiLCJhdXRob3IiOlt7ImZhbWlseSI6Ikdhbm9zIiwiZ2l2ZW4iOiJDIiwicGFyc2UtbmFtZXMiOmZhbHNlLCJkcm9wcGluZy1wYXJ0aWNsZSI6IiIsIm5vbi1kcm9wcGluZy1wYXJ0aWNsZSI6IiJ9LHsiZmFtaWx5IjoiS2FobCIsImdpdmVuIjoiVSIsInBhcnNlLW5hbWVzIjpmYWxzZSwiZHJvcHBpbmctcGFydGljbGUiOiIiLCJub24tZHJvcHBpbmctcGFydGljbGUiOiIifSx7ImZhbWlseSI6IkJyYW5kdCIsImdpdmVuIjoiViIsInBhcnNlLW5hbWVzIjpmYWxzZSwiZHJvcHBpbmctcGFydGljbGUiOiIiLCJub24tZHJvcHBpbmctcGFydGljbGUiOiIifSx7ImZhbWlseSI6IlNjaHVua2UiLCJnaXZlbiI6Ik8iLCJwYXJzZS1uYW1lcyI6ZmFsc2UsImRyb3BwaW5nLXBhcnRpY2xlIjoiIiwibm9uLWRyb3BwaW5nLXBhcnRpY2xlIjoiIn0seyJmYW1pbHkiOiJCYXVtZXIiLCJnaXZlbiI6IlQiLCJwYXJzZS1uYW1lcyI6ZmFsc2UsImRyb3BwaW5nLXBhcnRpY2xlIjoiIiwibm9uLWRyb3BwaW5nLXBhcnRpY2xlIjoiIn0seyJmYW1pbHkiOiJUaG9tYWxsYSIsImdpdmVuIjoiRyIsInBhcnNlLW5hbWVzIjpmYWxzZSwiZHJvcHBpbmctcGFydGljbGUiOiIiLCJub24tZHJvcHBpbmctcGFydGljbGUiOiIifSx7ImZhbWlseSI6IlJvZXNzbmVyIiwiZ2l2ZW4iOiJWIiwicGFyc2UtbmFtZXMiOmZhbHNlLCJkcm9wcGluZy1wYXJ0aWNsZSI6IiIsIm5vbi1kcm9wcGluZy1wYXJ0aWNsZSI6IiJ9LHsiZmFtaWx5IjoiSGFnZ2FyZCIsImdpdmVuIjoiUCIsInBhcnNlLW5hbWVzIjpmYWxzZSwiZHJvcHBpbmctcGFydGljbGUiOiIiLCJub24tZHJvcHBpbmctcGFydGljbGUiOiIifSx7ImZhbWlseSI6Ik11bmNoYXUiLCJnaXZlbiI6IkEiLCJwYXJzZS1uYW1lcyI6ZmFsc2UsImRyb3BwaW5nLXBhcnRpY2xlIjoiIiwibm9uLWRyb3BwaW5nLXBhcnRpY2xlIjoiIn0seyJmYW1pbHkiOiJLdWhuIiwiZ2l2ZW4iOiJTIiwicGFyc2UtbmFtZXMiOmZhbHNlLCJkcm9wcGluZy1wYXJ0aWNsZSI6IiIsIm5vbi1kcm9wcGluZy1wYXJ0aWNsZSI6IiJ9XSwiY29udGFpbmVyLXRpdGxlIjoiTW92ZW1lbnQgRGlzb3JkZXJzIiwiRE9JIjoiaHR0cHM6Ly9keC5kb2kub3JnLzEwLjEwMDIvbWRzLjI1OTE0IiwiVVJMIjoiaHR0cDovL292aWRzcC5vdmlkLmNvbS9vdmlkd2ViLmNnaT9UPUpTJlBBR0U9cmVmZXJlbmNlJkQ9ZW1lZDE1Jk5FV1M9TiZBTj03MTQ5NzE1NiIsImlzc3VlZCI6eyJkYXRlLXBhcnRzIjpbWzIwMTRdXX0sInBhZ2UiOiJTNDA5LSIsImFic3RyYWN0IjoiT2JqZWN0aXZlOiBUbyBpbnZlc3RpZ2F0ZSB0aGUgbmV1cmFsIGNvcnJlbGF0ZXMgb2YgdGljIGluaGliaXRpb24gaW4gR2lsbGVzIGRlIGxhIFRvdXJldHRlIHN5bmRyb21lIChHVFMpLiBCYWNrZ3JvdW5kKHMpOiBUaWNzIGluIEdUUyByZXNlbWJsZSBmcmFnbWVudHMgb2Ygbm9ybWFsIG1vdG9yIGJlaGF2aW9yIGJ1dCBhcHBlYXIgaW4gYW4gaW50cnVzaXZlLCByZXBldGl0aXZlIGFuZCBjb250ZXh0aW5hcHByb3ByaWF0ZSBtYW5uZXIuIEFsdGhvdWdoIHRpY3MgY2FuIGJlIHZvbHVudGFyaWx5IGluaGliaXRlZCBvbiBkZW1hbmQsIHRoZSBuZXVyYWwgcHJvcGVydGllcyBvZiB0aGlzIHByb2Nlc3MgcmVtYWluIHVuY2xlYXIuIE1ldGhvZChzKTogMTQgR1RTIGFkdWx0cyB3aXRob3V0IHJlbGV2YW50IGNvbW9yYmlkaXRpZXMgcGFydGljaXBhdGVkIGluIHRoaXMgc3R1ZHkuIEZpcnN0LCB0aWMgc2V2ZXJpdHkgYW5kIHZvbHVudGFyeSB0aWMgaW5oaWJpdG9yeSBjYXBhY2l0eSB3ZXJlIGV2YWx1YXRlZCBvdXRzaWRlIHRoZSBzY2FubmVyLiBTZWNvbmQsIHBhdGllbnRzIHdlcmUgZXhhbWluZWQgd2l0aCByZXN0aW5nIHN0YXRlIGZ1bmN0aW9uYWwgbWFnbmV0aWMgcmVzb25hbmNlIGltYWdpbmcgKFJTLWZNUkkpIGluIHR3byBzdGF0ZXMsIGZyZWUgdGljY2luZyBhbmQgdm9sdW50YXJ5IHRpYyBpbmhpYml0aW9uLiBMb2NhbCBzeW5jaHJvbml6YXRpb24gb2Ygc3BvbnRhbmVvdXMgZk1SSS1zaWduYWwgd2FzIGFuYWx5emVkIHdpdGggcmVnaW9uYWwgaG9tb2dlbmVpdHkgKFJlSG8pIGFuZCBkaWZmZXJlbmNlcyBiZXR3ZWVuIGJvdGggc3RhdGVzIChmcmVlIHRpY2Npbmc8dGljIGluaGliaXRpb24pIHdlcmUgY29udHJhc3RlZC4gQ2xpbmljYWwgY29ycmVsYXRpb25zIG9mIHRoZSByZXN1bHRpbmcgZGlmZmVyZW50aWFsIFJlSG8gcGFyYW1ldGVycyBiZXR3ZWVuIGJvdGggc3RhdGVzIGFuZCBjbGluaWNhbCBtZWFzdXJlcyBvZiB0aWMgZnJlcXVlbmN5LCB2b2x1bnRhcnkgdGljIGluaGliaXRpb24gYW5kIHByZW1vbml0b3J5IHVyZ2VzIHdlcmUgYWxzbyBwZXJmb3JtZWQuIFJlc3VsdChzKTogUmVIbyBvZiB0aGUgbGVmdCBpbmZlcmlvciBmcm9udGFsIGd5cnVzIChJRkcpIHdhcyBpbmNyZWFzZWQgZHVyaW5nIHZvbHVudGFyeSB0aWMgaW5oaWJpdGlvbiBjb21wYXJlZCB0byBmcmVlIHRpY2NpbmcuIFJlSG8gaW5jcmVhc2VzIHdlcmUgcG9zaXRpdmVseSBjb3JyZWxhdGVkIHdpdGggcGFydGljaXBhbnRzJyBhYmlsaXR5IHRvIGluaGliaXQgdGhlaXIgdGljcyBkdXJpbmcgc2Nhbm5pbmcgc2Vzc2lvbnMgYnV0IGFsc28gb3V0c2lkZSB0aGUgc2Nhbm5lci4gVGhlcmUgd2FzIG5vIGNvcnJlbGF0aW9uIHdpdGggcmF0aW5ncyBvZiBwcmVtb25pdG9yeSB1cmdlcy4gQ29uY2x1c2lvbihzKTogVm9sdW50YXJ5IHRpYyBpbmhpYml0aW9uIGlzIGFzc29jaWF0ZWQgd2l0aCBpbmNyZWFzZWQgUmVIbyBvZiB0aGUgbGVmdCBJRkcuIFByZW1vbml0b3J5IHVyZ2VzIGFyZSB1bnJlbGF0ZWQgdG8gdGhpcyBwcm9jZXNzLiIsImlzc3VlIjoiU1VQUEwuIDEiLCJ2b2x1bWUiOiIyOSIsImNvbnRhaW5lci10aXRsZS1zaG9ydCI6IiJ9LCJpc1RlbXBvcmFyeSI6ZmFsc2V9XX0=&quot;,&quot;citationItems&quot;:[{&quot;id&quot;:&quot;cd1fedbc-e601-38a5-b0fb-c605fd5316d7&quot;,&quot;itemData&quot;:{&quot;type&quot;:&quot;article-journal&quot;,&quot;id&quot;:&quot;cd1fedbc-e601-38a5-b0fb-c605fd5316d7&quot;,&quot;title&quot;:&quot;The neural correlates of tic inhibition in Gilles de la Tourette syndrome&quot;,&quot;groupId&quot;:&quot;07d62ac1-5aa8-39af-b49e-52d2088ac571&quot;,&quot;author&quot;:[{&quot;family&quot;:&quot;Ganos&quot;,&quot;given&quot;:&quot;C&quot;,&quot;parse-names&quot;:false,&quot;dropping-particle&quot;:&quot;&quot;,&quot;non-dropping-particle&quot;:&quot;&quot;},{&quot;family&quot;:&quot;Kahl&quot;,&quot;given&quot;:&quot;U&quot;,&quot;parse-names&quot;:false,&quot;dropping-particle&quot;:&quot;&quot;,&quot;non-dropping-particle&quot;:&quot;&quot;},{&quot;family&quot;:&quot;Brandt&quot;,&quot;given&quot;:&quot;V&quot;,&quot;parse-names&quot;:false,&quot;dropping-particle&quot;:&quot;&quot;,&quot;non-dropping-particle&quot;:&quot;&quot;},{&quot;family&quot;:&quot;Schunke&quot;,&quot;given&quot;:&quot;O&quot;,&quot;parse-names&quot;:false,&quot;dropping-particle&quot;:&quot;&quot;,&quot;non-dropping-particle&quot;:&quot;&quot;},{&quot;family&quot;:&quot;Baumer&quot;,&quot;given&quot;:&quot;T&quot;,&quot;parse-names&quot;:false,&quot;dropping-particle&quot;:&quot;&quot;,&quot;non-dropping-particle&quot;:&quot;&quot;},{&quot;family&quot;:&quot;Thomalla&quot;,&quot;given&quot;:&quot;G&quot;,&quot;parse-names&quot;:false,&quot;dropping-particle&quot;:&quot;&quot;,&quot;non-dropping-particle&quot;:&quot;&quot;},{&quot;family&quot;:&quot;Roessner&quot;,&quot;given&quot;:&quot;V&quot;,&quot;parse-names&quot;:false,&quot;dropping-particle&quot;:&quot;&quot;,&quot;non-dropping-particle&quot;:&quot;&quot;},{&quot;family&quot;:&quot;Haggard&quot;,&quot;given&quot;:&quot;P&quot;,&quot;parse-names&quot;:false,&quot;dropping-particle&quot;:&quot;&quot;,&quot;non-dropping-particle&quot;:&quot;&quot;},{&quot;family&quot;:&quot;Munchau&quot;,&quot;given&quot;:&quot;A&quot;,&quot;parse-names&quot;:false,&quot;dropping-particle&quot;:&quot;&quot;,&quot;non-dropping-particle&quot;:&quot;&quot;},{&quot;family&quot;:&quot;Kuhn&quot;,&quot;given&quot;:&quot;S&quot;,&quot;parse-names&quot;:false,&quot;dropping-particle&quot;:&quot;&quot;,&quot;non-dropping-particle&quot;:&quot;&quot;}],&quot;container-title&quot;:&quot;Movement Disorders&quot;,&quot;DOI&quot;:&quot;https://dx.doi.org/10.1002/mds.25914&quot;,&quot;URL&quot;:&quot;http://ovidsp.ovid.com/ovidweb.cgi?T=JS&amp;PAGE=reference&amp;D=emed15&amp;NEWS=N&amp;AN=71497156&quot;,&quot;issued&quot;:{&quot;date-parts&quot;:[[2014]]},&quot;page&quot;:&quot;S409-&quot;,&quot;abstract&quot;:&quot;Objective: To investigate the neural correlates of tic inhibition in Gilles de la Tourette syndrome (GTS). Background(s): Tics in GTS resemble fragments of normal motor behavior but appear in an intrusive, repetitive and contextinappropriate manner. Although tics can be voluntarily inhibited on demand, the neural properties of this process remain unclear. Method(s): 14 GTS adults without relevant comorbidities participated in this study. First, tic severity and voluntary tic inhibitory capacity were evaluated outside the scanner. Second, patients were examined with resting state functional magnetic resonance imaging (RS-fMRI) in two states, free ticcing and voluntary tic inhibition. Local synchronization of spontaneous fMRI-signal was analyzed with regional homogeneity (ReHo) and differences between both states (free ticcing&lt;tic inhibition) were contrasted. Clinical correlations of the resulting differential ReHo parameters between both states and clinical measures of tic frequency, voluntary tic inhibition and premonitory urges were also performed. Result(s): ReHo of the left inferior frontal gyrus (IFG) was increased during voluntary tic inhibition compared to free ticcing. ReHo increases were positively correlated with participants' ability to inhibit their tics during scanning sessions but also outside the scanner. There was no correlation with ratings of premonitory urges. Conclusion(s): Voluntary tic inhibition is associated with increased ReHo of the left IFG. Premonitory urges are unrelated to this process.&quot;,&quot;issue&quot;:&quot;SUPPL. 1&quot;,&quot;volume&quot;:&quot;29&quot;,&quot;container-title-short&quot;:&quot;&quot;},&quot;isTemporary&quot;:false}]},{&quot;citationID&quot;:&quot;MENDELEY_CITATION_ed049b94-fa27-45dd-82e3-7568ae52b85a&quot;,&quot;properties&quot;:{&quot;noteIndex&quot;:0},&quot;isEdited&quot;:false,&quot;manualOverride&quot;:{&quot;isManuallyOverridden&quot;:false,&quot;citeprocText&quot;:&quot;(96)&quot;,&quot;manualOverrideText&quot;:&quot;&quot;},&quot;citationTag&quot;:&quot;MENDELEY_CITATION_v3_eyJjaXRhdGlvbklEIjoiTUVOREVMRVlfQ0lUQVRJT05fZWQwNDliOTQtZmEyNy00NWRkLTgyZTMtNzU2OGFlNTJiODVhIiwicHJvcGVydGllcyI6eyJub3RlSW5kZXgiOjB9LCJpc0VkaXRlZCI6ZmFsc2UsIm1hbnVhbE92ZXJyaWRlIjp7ImlzTWFudWFsbHlPdmVycmlkZGVuIjpmYWxzZSwiY2l0ZXByb2NUZXh0IjoiKDk2KSIsIm1hbnVhbE92ZXJyaWRlVGV4dCI6IiJ9LCJjaXRhdGlvbkl0ZW1zIjpbeyJpZCI6ImJhNGQwZWJmLWQ5YmUtMzI4Yy05MGE0LTZlNGQ3MjAwYTFiMyIsIml0ZW1EYXRhIjp7InR5cGUiOiJhcnRpY2xlLWpvdXJuYWwiLCJpZCI6ImJhNGQwZWJmLWQ5YmUtMzI4Yy05MGE0LTZlNGQ3MjAwYTFiMyIsInRpdGxlIjoiRnJlcXVlbmN5IGFuZCBJbnRlbnNpdHkgb2YgUHJlbW9uaXRvcnkgVXJnZXMtdG8tVGljIGluIFRvdXJldHRlIFN5bmRyb21lIElzIEFzc29jaWF0ZWQgV2l0aCBTdXBwbGVtZW50YXJ5IE1vdG9yIEFyZWEgR0FCQSsgTGV2ZWxzIiwiZ3JvdXBJZCI6IjA3ZDYyYWMxLTVhYTgtMzlhZi1iNDllLTUyZDIwODhhYzU3MSIsImF1dGhvciI6W3siZmFtaWx5IjoiSGUiLCJnaXZlbiI6IkogTCIsInBhcnNlLW5hbWVzIjpmYWxzZSwiZHJvcHBpbmctcGFydGljbGUiOiIiLCJub24tZHJvcHBpbmctcGFydGljbGUiOiIifSx7ImZhbWlseSI6Ik1pa2tlbHNlbiIsImdpdmVuIjoiTSIsInBhcnNlLW5hbWVzIjpmYWxzZSwiZHJvcHBpbmctcGFydGljbGUiOiIiLCJub24tZHJvcHBpbmctcGFydGljbGUiOiIifSx7ImZhbWlseSI6Ikh1ZGRsZXN0b24iLCJnaXZlbiI6IkQgQSIsInBhcnNlLW5hbWVzIjpmYWxzZSwiZHJvcHBpbmctcGFydGljbGUiOiIiLCJub24tZHJvcHBpbmctcGFydGljbGUiOiIifSx7ImZhbWlseSI6IkNyb2NldHRpIiwiZ2l2ZW4iOiJEIiwicGFyc2UtbmFtZXMiOmZhbHNlLCJkcm9wcGluZy1wYXJ0aWNsZSI6IiIsIm5vbi1kcm9wcGluZy1wYXJ0aWNsZSI6IiJ9LHsiZmFtaWx5IjoiQ2VjaWwiLCJnaXZlbiI6IksgTSIsInBhcnNlLW5hbWVzIjpmYWxzZSwiZHJvcHBpbmctcGFydGljbGUiOiIiLCJub24tZHJvcHBpbmctcGFydGljbGUiOiIifSx7ImZhbWlseSI6IlNpbmdlciIsImdpdmVuIjoiSCBTIiwicGFyc2UtbmFtZXMiOmZhbHNlLCJkcm9wcGluZy1wYXJ0aWNsZSI6IiIsIm5vbi1kcm9wcGluZy1wYXJ0aWNsZSI6IiJ9LHsiZmFtaWx5IjoiRWRkZW4iLCJnaXZlbiI6IlIgQSBFIiwicGFyc2UtbmFtZXMiOmZhbHNlLCJkcm9wcGluZy1wYXJ0aWNsZSI6IiIsIm5vbi1kcm9wcGluZy1wYXJ0aWNsZSI6IiJ9LHsiZmFtaWx5IjoiR2lsYmVydCIsImdpdmVuIjoiRCBMIiwicGFyc2UtbmFtZXMiOmZhbHNlLCJkcm9wcGluZy1wYXJ0aWNsZSI6IiIsIm5vbi1kcm9wcGluZy1wYXJ0aWNsZSI6IiJ9LHsiZmFtaWx5IjoiTW9zdG9mc2t5IiwiZ2l2ZW4iOiJTIEgiLCJwYXJzZS1uYW1lcyI6ZmFsc2UsImRyb3BwaW5nLXBhcnRpY2xlIjoiIiwibm9uLWRyb3BwaW5nLXBhcnRpY2xlIjoiIn0seyJmYW1pbHkiOiJQdXRzIiwiZ2l2ZW4iOiJOIEEgSiIsInBhcnNlLW5hbWVzIjpmYWxzZSwiZHJvcHBpbmctcGFydGljbGUiOiIiLCJub24tZHJvcHBpbmctcGFydGljbGUiOiIifV0sImNvbnRhaW5lci10aXRsZSI6Ik1vdmVtZW50IERpc29yZGVycyIsIkRPSSI6Imh0dHBzOi8vZHguZG9pLm9yZy8xMC4xMDAyL21kcy4yODg2OCIsIlVSTCI6Imh0dHA6Ly9vbmxpbmVsaWJyYXJ5LndpbGV5LmNvbS9qb3VybmFsLzEwLjEwMDIvKElTU04pMTUzMS04MjU3aHR0cDovL292aWRzcC5vdmlkLmNvbS9vdmlkd2ViLmNnaT9UPUpTJlBBR0U9cmVmZXJlbmNlJkQ9ZW1leGEmTkVXUz1OJkFOPTIwMTQzNDU1MjkiLCJpc3N1ZWQiOnsiZGF0ZS1wYXJ0cyI6W1syMDIyXV19LCJwYWdlIjoiNTYzLTU3MyIsImFic3RyYWN0IjoiQmFja2dyb3VuZDogSW5kaXZpZHVhbHMgd2l0aCBUb3VyZXR0ZSBzeW5kcm9tZSAoVFMpIG9mdGVuIHJlcG9ydCB0aGF0IHRoZXkgZXhwcmVzcyB0aWNzIGFzIGEgbWVhbnMgb2YgYWxsZXZpYXRpbmcgdGhlIGV4cGVyaWVuY2Ugb2YgdW5wbGVhc2FudCBzZW5zYXRpb25zLiBUaGVzZSBzZW5zYXRpb25zIGFyZSBwZXJjZWl2ZWQgYXMgYW4gdXJnZSB0byBhY3QgYW5kIGFyZSByZWZlcnJlZCB0byBhcyBwcmVtb25pdG9yeSB1cmdlcy4gUHJlbW9uaXRvcnkgdXJnZXMgaGF2ZSBiZWVuIHRoZSBmb2N1cyBvZiByZWNlbnQgZWZmb3J0cyB0byBkZXZlbG9wIGludGVydmVudGlvbnMgdG8gcmVkdWNlIHRpYyBleHByZXNzaW9uIGluIHRob3NlIHdpdGggVFMuIE9iamVjdGl2ZShzKTogVGhlIGFpbSBvZiB0aGlzIHN0dWR5IHdhcyB0byBleGFtaW5lIHRoZSBjb250cmlidXRpb24gb2YgYnJhaW4gZ2FtbWEtYW1pbm9idXR5cmljIGFjaWQgKEdBQkEpIGFuZCBnbHV0YW1hdGUgbGV2ZWxzIG9mIHRoZSByaWdodCBwcmltYXJ5IHNlbnNvcmltb3RvciBjb3J0ZXggKFNNMSksIHN1cHBsZW1lbnRhcnkgbW90b3IgYXJlYSAoU01BKSwgYW5kIGluc3VsYXIgY29ydGV4IChpbnN1bGEpIHRvIHRpYyBhbmQgdXJnZSBzZXZlcml0eSBpbiBjaGlsZHJlbiB3aXRoIFRTLiBNZXRob2Qocyk6IEVkaXRlZCBtYWduZXRpYyByZXNvbmFuY2Ugc3BlY3Ryb3Njb3B5IHdhcyB1c2VkIHRvIGFzc2VzcyBHQUJBKyAoR0FCQSArIG1hY3JvbW9sZWN1bGVzKSBhbmQgR2x4IChnbHV0YW1hdGUgKyBnbHV0YW1pbmUpIG9mIHRoZSByaWdodCBTTTEsIFNNQSwgYW5kIGluc3VsYSBpbiA2OCBjaGlsZHJlbiB3aXRoIFRTIChNQWdlID0gMTAuNTksIFNEQWdlID0gMS4zMykgYW5kIDQxIHR5cGljYWxseSBkZXZlbG9waW5nIGNvbnRyb2wgc3ViamVjdHMgKE1BZ2UgPSAxMC4yNiwgU0RBZ2UgPSAyLjIxKS4gV2UgZmlyc3QgY29tcGFyZWQgR0FCQSsgYW5kIEdseCBsZXZlbHMgb2YgdGhlc2UgYnJhaW4gcmVnaW9ucyBiZXR3ZWVuIGdyb3Vwcy4gV2UgdGhlbiBleHBsb3JlZCB0aGUgYXNzb2NpYXRpb24gYmV0d2VlbiByZWdpb25hbCBHQUJBKyBhbmQgR2x4IGxldmVscyB3aXRoIHVyZ2UgYW5kIHRpYyBzZXZlcml0eS4gUmVzdWx0KHMpOiBHQUJBKyBhbmQgR2x4IG9mIHRoZSByaWdodCBTTTEsIFNNQSwgYW5kIGluc3VsYSB3ZXJlIGNvbXBhcmFibGUgYmV0d2VlbiB0aGUgY2hpbGRyZW4gd2l0aCBUUyBhbmQgdHlwaWNhbGx5IGRldmVsb3BpbmcgY29udHJvbCBzdWJqZWN0cy4gSW4gY2hpbGRyZW4gd2l0aCBUUywgbG93ZXIgbGV2ZWxzIG9mIFNNQSBHQUJBKyB3ZXJlIGFzc29jaWF0ZWQgd2l0aCBtb3JlIHNldmVyZSBhbmQgbW9yZSBmcmVxdWVudCBwcmVtb25pdG9yeSB1cmdlcy4gTmVpdGhlciBHQUJBKyBub3IgR2x4IGxldmVscyB3ZXJlIGFzc29jaWF0ZWQgd2l0aCB0aWMgc2V2ZXJpdHkuIENvbmNsdXNpb24ocyk6IFRoZXNlIHJlc3VsdHMgYnJvYWRseSBzdXBwb3J0IHRoZSByb2xlIG9mIEdBQkFlcmdpYyBuZXVyb3RyYW5zbWlzc2lvbiB3aXRoaW4gdGhlIFNNQSBpbiB0aGUgZXhwZXJpZW5jZSBvZiBwcmVtb25pdG9yeSB1cmdlcyBpbiBjaGlsZHJlbiB3aXRoIFRTLiDCqSAyMDIxIEludGVybmF0aW9uYWwgUGFya2luc29uIGFuZCBNb3ZlbWVudCBEaXNvcmRlciBTb2NpZXR5LiIsImlzc3VlIjoiMyIsInZvbHVtZSI6IjM3IiwiY29udGFpbmVyLXRpdGxlLXNob3J0IjoiIn0sImlzVGVtcG9yYXJ5IjpmYWxzZX1dfQ==&quot;,&quot;citationItems&quot;:[{&quot;id&quot;:&quot;ba4d0ebf-d9be-328c-90a4-6e4d7200a1b3&quot;,&quot;itemData&quot;:{&quot;type&quot;:&quot;article-journal&quot;,&quot;id&quot;:&quot;ba4d0ebf-d9be-328c-90a4-6e4d7200a1b3&quot;,&quot;title&quot;:&quot;Frequency and Intensity of Premonitory Urges-to-Tic in Tourette Syndrome Is Associated With Supplementary Motor Area GABA+ Levels&quot;,&quot;groupId&quot;:&quot;07d62ac1-5aa8-39af-b49e-52d2088ac571&quot;,&quot;author&quot;:[{&quot;family&quot;:&quot;He&quot;,&quot;given&quot;:&quot;J L&quot;,&quot;parse-names&quot;:false,&quot;dropping-particle&quot;:&quot;&quot;,&quot;non-dropping-particle&quot;:&quot;&quot;},{&quot;family&quot;:&quot;Mikkelsen&quot;,&quot;given&quot;:&quot;M&quot;,&quot;parse-names&quot;:false,&quot;dropping-particle&quot;:&quot;&quot;,&quot;non-dropping-particle&quot;:&quot;&quot;},{&quot;family&quot;:&quot;Huddleston&quot;,&quot;given&quot;:&quot;D A&quot;,&quot;parse-names&quot;:false,&quot;dropping-particle&quot;:&quot;&quot;,&quot;non-dropping-particle&quot;:&quot;&quot;},{&quot;family&quot;:&quot;Crocetti&quot;,&quot;given&quot;:&quot;D&quot;,&quot;parse-names&quot;:false,&quot;dropping-particle&quot;:&quot;&quot;,&quot;non-dropping-particle&quot;:&quot;&quot;},{&quot;family&quot;:&quot;Cecil&quot;,&quot;given&quot;:&quot;K M&quot;,&quot;parse-names&quot;:false,&quot;dropping-particle&quot;:&quot;&quot;,&quot;non-dropping-particle&quot;:&quot;&quot;},{&quot;family&quot;:&quot;Singer&quot;,&quot;given&quot;:&quot;H S&quot;,&quot;parse-names&quot;:false,&quot;dropping-particle&quot;:&quot;&quot;,&quot;non-dropping-particle&quot;:&quot;&quot;},{&quot;family&quot;:&quot;Edden&quot;,&quot;given&quot;:&quot;R A E&quot;,&quot;parse-names&quot;:false,&quot;dropping-particle&quot;:&quot;&quot;,&quot;non-dropping-particle&quot;:&quot;&quot;},{&quot;family&quot;:&quot;Gilbert&quot;,&quot;given&quot;:&quot;D L&quot;,&quot;parse-names&quot;:false,&quot;dropping-particle&quot;:&quot;&quot;,&quot;non-dropping-particle&quot;:&quot;&quot;},{&quot;family&quot;:&quot;Mostofsky&quot;,&quot;given&quot;:&quot;S H&quot;,&quot;parse-names&quot;:false,&quot;dropping-particle&quot;:&quot;&quot;,&quot;non-dropping-particle&quot;:&quot;&quot;},{&quot;family&quot;:&quot;Puts&quot;,&quot;given&quot;:&quot;N A J&quot;,&quot;parse-names&quot;:false,&quot;dropping-particle&quot;:&quot;&quot;,&quot;non-dropping-particle&quot;:&quot;&quot;}],&quot;container-title&quot;:&quot;Movement Disorders&quot;,&quot;DOI&quot;:&quot;https://dx.doi.org/10.1002/mds.28868&quot;,&quot;URL&quot;:&quot;http://onlinelibrary.wiley.com/journal/10.1002/(ISSN)1531-8257http://ovidsp.ovid.com/ovidweb.cgi?T=JS&amp;PAGE=reference&amp;D=emexa&amp;NEWS=N&amp;AN=2014345529&quot;,&quot;issued&quot;:{&quot;date-parts&quot;:[[2022]]},&quot;page&quot;:&quot;563-573&quot;,&quot;abstract&quot;:&quot;Background: Individuals with Tourette syndrome (TS) often report that they express tics as a means of alleviating the experience of unpleasant sensations. These sensations are perceived as an urge to act and are referred to as premonitory urges. Premonitory urges have been the focus of recent efforts to develop interventions to reduce tic expression in those with TS. Objective(s): The aim of this study was to examine the contribution of brain gamma-aminobutyric acid (GABA) and glutamate levels of the right primary sensorimotor cortex (SM1), supplementary motor area (SMA), and insular cortex (insula) to tic and urge severity in children with TS. Method(s): Edited magnetic resonance spectroscopy was used to assess GABA+ (GABA + macromolecules) and Glx (glutamate + glutamine) of the right SM1, SMA, and insula in 68 children with TS (MAge = 10.59, SDAge = 1.33) and 41 typically developing control subjects (MAge = 10.26, SDAge = 2.21). We first compared GABA+ and Glx levels of these brain regions between groups. We then explored the association between regional GABA+ and Glx levels with urge and tic severity. Result(s): GABA+ and Glx of the right SM1, SMA, and insula were comparable between the children with TS and typically developing control subjects. In children with TS, lower levels of SMA GABA+ were associated with more severe and more frequent premonitory urges. Neither GABA+ nor Glx levels were associated with tic severity. Conclusion(s): These results broadly support the role of GABAergic neurotransmission within the SMA in the experience of premonitory urges in children with TS. © 2021 International Parkinson and Movement Disorder Society.&quot;,&quot;issue&quot;:&quot;3&quot;,&quot;volume&quot;:&quot;37&quot;,&quot;container-title-short&quot;:&quot;&quot;},&quot;isTemporary&quot;:false}]},{&quot;citationID&quot;:&quot;MENDELEY_CITATION_4c75840c-d24b-44e2-823e-fd9145810c22&quot;,&quot;properties&quot;:{&quot;noteIndex&quot;:0},&quot;isEdited&quot;:false,&quot;manualOverride&quot;:{&quot;isManuallyOverridden&quot;:false,&quot;citeprocText&quot;:&quot;(97)&quot;,&quot;manualOverrideText&quot;:&quot;&quot;},&quot;citationTag&quot;:&quot;MENDELEY_CITATION_v3_eyJjaXRhdGlvbklEIjoiTUVOREVMRVlfQ0lUQVRJT05fNGM3NTg0MGMtZDI0Yi00NGUyLTgyM2UtZmQ5MTQ1ODEwYzIyIiwicHJvcGVydGllcyI6eyJub3RlSW5kZXgiOjB9LCJpc0VkaXRlZCI6ZmFsc2UsIm1hbnVhbE92ZXJyaWRlIjp7ImlzTWFudWFsbHlPdmVycmlkZGVuIjpmYWxzZSwiY2l0ZXByb2NUZXh0IjoiKDk3KSIsIm1hbnVhbE92ZXJyaWRlVGV4dCI6IiJ9LCJjaXRhdGlvbkl0ZW1zIjpbeyJpZCI6IjcwMjhlYzQ0LTM2ZGUtM2FlNC05N2EwLWE2OGY5NjAwY2RlOCIsIml0ZW1EYXRhIjp7InR5cGUiOiJhcnRpY2xlLWpvdXJuYWwiLCJpZCI6IjcwMjhlYzQ0LTM2ZGUtM2FlNC05N2EwLWE2OGY5NjAwY2RlOCIsInRpdGxlIjoiUGF0aG9sb2dpY2FsIGdsdXRhbWF0ZXJnaWMgbmV1cm90cmFuc21pc3Npb24gaW4gR2lsbGVzIGRlIGxhIFRvdXJldHRlIHN5bmRyb21lIiwiZ3JvdXBJZCI6IjA3ZDYyYWMxLTVhYTgtMzlhZi1iNDllLTUyZDIwODhhYzU3MSIsImF1dGhvciI6W3siZmFtaWx5IjoiS2FuYWFuIiwiZ2l2ZW4iOiJBIFMiLCJwYXJzZS1uYW1lcyI6ZmFsc2UsImRyb3BwaW5nLXBhcnRpY2xlIjoiIiwibm9uLWRyb3BwaW5nLXBhcnRpY2xlIjoiIn0seyJmYW1pbHkiOiJHZXJhc2NoIiwiZ2l2ZW4iOiJTIiwicGFyc2UtbmFtZXMiOmZhbHNlLCJkcm9wcGluZy1wYXJ0aWNsZSI6IiIsIm5vbi1kcm9wcGluZy1wYXJ0aWNsZSI6IiJ9LHsiZmFtaWx5IjoiR2FyY8OtYS1HYXJjw61hIiwiZ2l2ZW4iOiJJIiwicGFyc2UtbmFtZXMiOmZhbHNlLCJkcm9wcGluZy1wYXJ0aWNsZSI6IiIsIm5vbi1kcm9wcGluZy1wYXJ0aWNsZSI6IiJ9LHsiZmFtaWx5IjoiTGFtcGUiLCJnaXZlbiI6IkwiLCJwYXJzZS1uYW1lcyI6ZmFsc2UsImRyb3BwaW5nLXBhcnRpY2xlIjoiIiwibm9uLWRyb3BwaW5nLXBhcnRpY2xlIjoiIn0seyJmYW1pbHkiOiJQYW1wZWwiLCJnaXZlbiI6IkEiLCJwYXJzZS1uYW1lcyI6ZmFsc2UsImRyb3BwaW5nLXBhcnRpY2xlIjoiIiwibm9uLWRyb3BwaW5nLXBhcnRpY2xlIjoiIn0seyJmYW1pbHkiOiJBbndhbmRlciIsImdpdmVuIjoiQSIsInBhcnNlLW5hbWVzIjpmYWxzZSwiZHJvcHBpbmctcGFydGljbGUiOiIiLCJub24tZHJvcHBpbmctcGFydGljbGUiOiIifSx7ImZhbWlseSI6Ik5lYXIiLCJnaXZlbiI6IkoiLCJwYXJzZS1uYW1lcyI6ZmFsc2UsImRyb3BwaW5nLXBhcnRpY2xlIjoiIiwibm9uLWRyb3BwaW5nLXBhcnRpY2xlIjoiIn0seyJmYW1pbHkiOiJNw7ZsbGVyIiwiZ2l2ZW4iOiJIIEUiLCJwYXJzZS1uYW1lcyI6ZmFsc2UsImRyb3BwaW5nLXBhcnRpY2xlIjoiIiwibm9uLWRyb3BwaW5nLXBhcnRpY2xlIjoiIn0seyJmYW1pbHkiOiJNw7xsbGVyLVZhaGwiLCJnaXZlbiI6IksiLCJwYXJzZS1uYW1lcyI6ZmFsc2UsImRyb3BwaW5nLXBhcnRpY2xlIjoiIiwibm9uLWRyb3BwaW5nLXBhcnRpY2xlIjoiIn1dLCJjb250YWluZXItdGl0bGUiOiJCcmFpbiIsIkRPSSI6IjEwLjEwOTMvYnJhaW4vYXd3Mjg1IiwiUE1JRCI6IjI4MDA3OTk4IiwiVVJMIjoiaHR0cHM6Ly93YXRlcm1hcmsuc2lsdmVyY2hhaXIuY29tL2F3dzI4NS5wZGY/dG9rZW49QVFFQ0FIaTIwOEJFNDlPb2FuOWtraFdfRXJjeTdEbTNaTF85Q2YzcWZLQWM0ODV5c2dBQUFzWXdnZ0xDQmdrcWhraUc5dzBCQndhZ2dnS3pNSUlDcndJQkFEQ0NBcWdHQ1NxR1NJYjNEUUVIQVRBZUJnbGdoa2dCWlFNRUFTNHdFUVFNeFRuaE85M0kzMUpWYUJnb0FnRVFnSUlDZVh3d1RUUWRFY1lOMk81enU2aDJkVm1sdHFXSVJzNVljbmxBREFGMHNEbGIySGdhIiwiaXNzdWVkIjp7ImRhdGUtcGFydHMiOltbMjAxN11dfSwicGFnZSI6IjIxOC0yMzQiLCJhYnN0cmFjdCI6IkdpbGxlcyBkZSBsYSBUb3VyZXR0ZSBzeW5kcm9tZSBpcyBhIGhlcmVkaXRhcnksIG5ldXJvcHN5Y2hpYXRyaWMgbW92ZW1lbnQgZGlzb3JkZXIgd2l0aCByZXBvcnRlZCBhYm5vcm1hbGl0aWVzIGluIHRoZSBuZXVyb3RyYW5zbWlzc2lvbiBvZiBkb3BhbWluZSBhbmQgzrMtYW1pbm9idXR5cmljIGFjaWQgKEdBQkEpLiBTcGF0aWFsbHkgZm9jYWxpemVkIGFsdGVyYXRpb25zIGluIGV4Y2l0YXRvcnksIGluaGliaXRvcnkgYW5kIG1vZHVsYXRvcnkgbmV1cm9jaGVtaWNhbCByYXRpb3Mgd2l0aGluIHNwZWNpZmljIGZ1bmN0aW9uYWwgc3ViZGl2aXNpb25zIG9mIHRoZSBiYXNhbCBnYW5nbGlhLCBtYXkgbGVhZCB0byB0aGUgZXhwcmVzc2lvbiBvZiBkaXZlcnNlIG1vdG9yIGFuZCBub24tbW90b3IgZmVhdHVyZXMgYXMgbWFuaWZlc3RlZCBpbiBHaWxsZXMgZGUgbGEgVG91cmV0dGUgc3luZHJvbWUuIEN1cnJlbnQgdHJlYXRtZW50IHN0cmF0ZWdpZXMgYXJlIG9mdGVuIHVuc2F0aXNmYWN0b3J5IHRodXMgcHJvdm9raW5nIHRoZSBuZWVkIGZvciBmdXJ0aGVyIGVsdWNpZGF0aW9uIG9mIHRoZSB1bmRlcmx5aW5nIHBhdGhvcGh5c2lvbG9neS4gSW4gdmlldyBvZiAoaSkgdGhlIGNsb3NlIHNwYXRpby10ZW1wb3JhbCBzeW5lcmd5IGV4aGliaXRlZCBiZXR3ZWVuIGV4Y2l0YXRvcnksIGluaGliaXRvcnkgYW5kIG1vZHVsYXRvcnkgbmV1cm90cmFuc21pdHRlciBzeXN0ZW1zOyAoaWkpIHRoZSBjcnVjaWFsIHJvbGUgcGxheWVkIGJ5IGdsdXRhbWF0ZSAoR2x1KSBpbiB0b25pYy9waGFzaWMgZG9wYW1pbmVyZ2ljIHNpZ25hbGxpbmc7IGFuZCAoaWlpKSB0aGUgaW50ZXJkZXBlbmRlbnQgbWV0YWJvbGljIHJlbGF0aW9uc2hpcCBleGhpYml0ZWQgYmV0d2VlbiBHbHUgYW5kIEdBQkEgdmlhIGdsdXRhbWluZSAoR2xuKTsgd2UgcG9zdHVsYXRlZCB0aGF0IGdsdXRhbWF0ZXJnaWMgc2lnbmFsbGluZyBpcyByZWxhdGVkIHRvIHRoZSBwYXRob3BoeXNpb2xvZ3kgb2YgR2lsbGVzIGRlIGxhIFRvdXJldHRlIHN5bmRyb21lLiBBcyBzdWNoLCB3ZSBleGFtaW5lZCB0aGUgbmV1cm9jaGVtaWNhbCBwcm9maWxlIG9mIHRocmVlIGNvcnRpY28tc3RyaWF0by10aGFsYW1vLWNvcnRpY2FsIHJlZ2lvbnMgaW4gMzcgd2VsbC1jaGFyYWN0ZXJpemVkLCBkcnVnLWZyZWUgYWR1bHQgcGF0aWVudHMgYW5kIDM2IGFnZS9nZW5kZXItbWF0Y2hlZCBoZWFsdGh5IGNvbnRyb2wgc3ViamVjdHMgdmlhIG1hZ25ldGljIHJlc29uYW5jZSBzcGVjdHJvc2NvcHkgYXQgMyBULiBUbyBpbnRlcnJvZ2F0ZSB0aGUgaW5mbHVlbmNlIG9mIHRyZWF0bWVudCBvbiBtZXRhYm9saXRlIGNvbmNlbnRyYXRpb25zLCBzcGVjdHJhbCBkYXRhIHdlcmUgYWNxdWlyZWQgZnJvbSAxNSBwYXRpZW50cyB1bmRlcmdvaW5nIGEgNC13ZWVrIHRyZWF0bWVudCB3aXRoIGFyaXBpcHJhem9sZS4gVGVzdC1yZXRlc3QgcmVsaWFiaWxpdHkgbWVhc3VyZW1lbnRzIGluIDIzIGNvbnRyb2xzIGluZGljYXRlZCBoaWdoIHJlcGVhdGFiaWxpdHkgb2Ygdm94ZWwgbG9jYWxpemF0aW9uIGFuZCBtZXRhYm9saXRlIHF1YW50aXRhdGlvbi4gV2UgcmVwb3J0IHNpZ25pZmljYW50IHJlZHVjdGlvbnMgaW4gc3RyaWF0YWwgY29uY2VudHJhdGlvbnMgb2YgR2xuLCBHbHUgKyBHbG4gKEdseCkgYW5kIHRoZSBHbG46R2x1IHJhdGlvLCBhbmQgdGhhbGFtaWMgY29uY2VudHJhdGlvbnMgb2YgR2x4IGluIEdpbGxlcyBkZSBsYSBUb3VyZXR0ZSBzeW5kcm9tZSBpbiBjb21wYXJpc29uIHRvIGNvbnRyb2xzLiBPTi10cmVhdG1lbnQgcGF0aWVudHMgZXhoaWJpdGVkIG5vIHNpZ25pZmljYW50IG1ldGFib2xpdGUgZGlmZmVyZW5jZXMgd2hlbiBjb21wYXJlZCB0byBjb250cm9scyBidXQgc2lnbmlmaWNhbnQgaW5jcmVhc2VzIGluIHN0cmlhdGFsIEdsdSBhbmQgR2x4LCBhbmQgdHJlbmRzIGZvciBpbmNyZWFzZXMgaW4gc3RyaWF0YWwgR2xuIGFuZCB0aGFsYW1pYyBHbHggY29tcGFyZWQgdG8gYmFzZWxpbmUgbWVhc3VyZW1lbnRzLiBNdWx0aXBsZSByZWdyZXNzaW9uIGFuYWx5c2lzIHJldmVhbGVkIGEgc2lnbmlmaWNhbnQgbmVnYXRpdmUgY29ycmVsYXRpb24gYmV0d2VlbiAoaSkgc3RyaWF0YWwgR2xuIGFuZCBhY3R1YWwgdGljIHNldmVyaXR5OyBhbmQgKGlpKSB0aGFsYW1pYyBHbHUgYW5kIHByZW1vbml0b3J5IHVyZ2VzLiBPdXIgcmVzdWx0cyBpbmRpY2F0ZSB0aGF0IHBhdGllbnRzIHdpdGggR2lsbGVzIGRlIGxhIFRvdXJldHRlIHN5bmRyb21lIGV4aGliaXQgYW4gYWJub3JtYWxpdHkgaW4gdGhlIGZsdXggb2YgbWV0YWJvbGl0ZXMgaW4gdGhlIEdBQkEtR2x1LUdsbiBjeWNsZSwgdGh1cyBpbXBseWluZyBwZXJ0dXJiYXRpb25zIGluIGFzdHJvY3l0aWMtbmV1cm9uYWwgY291cGxpbmcgc3lzdGVtcyB0aGF0IG1haW50YWluIHRoZSBzdWJ0bGUgYmFsYW5jZSBiZXR3ZWVuIGV4Y2l0YXRvcnkgYW5kIGluaGliaXRvcnkgbmV1cm90cmFuc21pc3Npb24gd2l0aGluIHN1YmNvcnRpY2FsIG51Y2xlaS4iLCJpc3N1ZSI6IjEiLCJ2b2x1bWUiOiIxNDAiLCJjb250YWluZXItdGl0bGUtc2hvcnQiOiIifSwiaXNUZW1wb3JhcnkiOmZhbHNlfV19&quot;,&quot;citationItems&quot;:[{&quot;id&quot;:&quot;7028ec44-36de-3ae4-97a0-a68f9600cde8&quot;,&quot;itemData&quot;:{&quot;type&quot;:&quot;article-journal&quot;,&quot;id&quot;:&quot;7028ec44-36de-3ae4-97a0-a68f9600cde8&quot;,&quot;title&quot;:&quot;Pathological glutamatergic neurotransmission in Gilles de la Tourette syndrome&quot;,&quot;groupId&quot;:&quot;07d62ac1-5aa8-39af-b49e-52d2088ac571&quot;,&quot;author&quot;:[{&quot;family&quot;:&quot;Kanaan&quot;,&quot;given&quot;:&quot;A S&quot;,&quot;parse-names&quot;:false,&quot;dropping-particle&quot;:&quot;&quot;,&quot;non-dropping-particle&quot;:&quot;&quot;},{&quot;family&quot;:&quot;Gerasch&quot;,&quot;given&quot;:&quot;S&quot;,&quot;parse-names&quot;:false,&quot;dropping-particle&quot;:&quot;&quot;,&quot;non-dropping-particle&quot;:&quot;&quot;},{&quot;family&quot;:&quot;García-García&quot;,&quot;given&quot;:&quot;I&quot;,&quot;parse-names&quot;:false,&quot;dropping-particle&quot;:&quot;&quot;,&quot;non-dropping-particle&quot;:&quot;&quot;},{&quot;family&quot;:&quot;Lampe&quot;,&quot;given&quot;:&quot;L&quot;,&quot;parse-names&quot;:false,&quot;dropping-particle&quot;:&quot;&quot;,&quot;non-dropping-particle&quot;:&quot;&quot;},{&quot;family&quot;:&quot;Pampel&quot;,&quot;given&quot;:&quot;A&quot;,&quot;parse-names&quot;:false,&quot;dropping-particle&quot;:&quot;&quot;,&quot;non-dropping-particle&quot;:&quot;&quot;},{&quot;family&quot;:&quot;Anwander&quot;,&quot;given&quot;:&quot;A&quot;,&quot;parse-names&quot;:false,&quot;dropping-particle&quot;:&quot;&quot;,&quot;non-dropping-particle&quot;:&quot;&quot;},{&quot;family&quot;:&quot;Near&quot;,&quot;given&quot;:&quot;J&quot;,&quot;parse-names&quot;:false,&quot;dropping-particle&quot;:&quot;&quot;,&quot;non-dropping-particle&quot;:&quot;&quot;},{&quot;family&quot;:&quot;Möller&quot;,&quot;given&quot;:&quot;H E&quot;,&quot;parse-names&quot;:false,&quot;dropping-particle&quot;:&quot;&quot;,&quot;non-dropping-particle&quot;:&quot;&quot;},{&quot;family&quot;:&quot;Müller-Vahl&quot;,&quot;given&quot;:&quot;K&quot;,&quot;parse-names&quot;:false,&quot;dropping-particle&quot;:&quot;&quot;,&quot;non-dropping-particle&quot;:&quot;&quot;}],&quot;container-title&quot;:&quot;Brain&quot;,&quot;DOI&quot;:&quot;10.1093/brain/aww285&quot;,&quot;PMID&quot;:&quot;28007998&quot;,&quot;URL&quot;:&quot;https://watermark.silverchair.com/aww285.pdf?token=AQECAHi208BE49Ooan9kkhW_Ercy7Dm3ZL_9Cf3qfKAc485ysgAAAsYwggLCBgkqhkiG9w0BBwagggKzMIICrwIBADCCAqgGCSqGSIb3DQEHATAeBglghkgBZQMEAS4wEQQMxTnhO93I31JVaBgoAgEQgIICeXwwTTQdEcYN2O5zu6h2dVmltqWIRs5YcnlADAF0sDlb2Hga&quot;,&quot;issued&quot;:{&quot;date-parts&quot;:[[2017]]},&quot;page&quot;:&quot;218-234&quot;,&quot;abstract&quot;:&quot;Gilles de la Tourette syndrome is a hereditary, neuropsychiatric movement disorder with reported abnormalities in the neurotransmission of dopamine and γ-aminobutyric acid (GABA). Spatially focalized alterations in excitatory, inhibitory and modulatory neurochemical ratios within specific functional subdivisions of the basal ganglia, may lead to the expression of diverse motor and non-motor features as manifested in Gilles de la Tourette syndrome. Current treatment strategies are often unsatisfactory thus provoking the need for further elucidation of the underlying pathophysiology. In view of (i) the close spatio-temporal synergy exhibited between excitatory, inhibitory and modulatory neurotransmitter systems; (ii) the crucial role played by glutamate (Glu) in tonic/phasic dopaminergic signalling; and (iii) the interdependent metabolic relationship exhibited between Glu and GABA via glutamine (Gln); we postulated that glutamatergic signalling is related to the pathophysiology of Gilles de la Tourette syndrome. As such, we examined the neurochemical profile of three cortico-striato-thalamo-cortical regions in 37 well-characterized, drug-free adult patients and 36 age/gender-matched healthy control subjects via magnetic resonance spectroscopy at 3 T. To interrogate the influence of treatment on metabolite concentrations, spectral data were acquired from 15 patients undergoing a 4-week treatment with aripiprazole. Test-retest reliability measurements in 23 controls indicated high repeatability of voxel localization and metabolite quantitation. We report significant reductions in striatal concentrations of Gln, Glu + Gln (Glx) and the Gln:Glu ratio, and thalamic concentrations of Glx in Gilles de la Tourette syndrome in comparison to controls. ON-treatment patients exhibited no significant metabolite differences when compared to controls but significant increases in striatal Glu and Glx, and trends for increases in striatal Gln and thalamic Glx compared to baseline measurements. Multiple regression analysis revealed a significant negative correlation between (i) striatal Gln and actual tic severity; and (ii) thalamic Glu and premonitory urges. Our results indicate that patients with Gilles de la Tourette syndrome exhibit an abnormality in the flux of metabolites in the GABA-Glu-Gln cycle, thus implying perturbations in astrocytic-neuronal coupling systems that maintain the subtle balance between excitatory and inhibitory neurotransmission within subcortical nuclei.&quot;,&quot;issue&quot;:&quot;1&quot;,&quot;volume&quot;:&quot;140&quot;,&quot;container-title-short&quot;:&quot;&quot;},&quot;isTemporary&quot;:false}]},{&quot;citationID&quot;:&quot;MENDELEY_CITATION_2d5677b1-8bc3-4f2d-bad0-6b55f65234bb&quot;,&quot;properties&quot;:{&quot;noteIndex&quot;:0},&quot;isEdited&quot;:false,&quot;manualOverride&quot;:{&quot;isManuallyOverridden&quot;:false,&quot;citeprocText&quot;:&quot;(98)&quot;,&quot;manualOverrideText&quot;:&quot;&quot;},&quot;citationTag&quot;:&quot;MENDELEY_CITATION_v3_eyJjaXRhdGlvbklEIjoiTUVOREVMRVlfQ0lUQVRJT05fMmQ1Njc3YjEtOGJjMy00ZjJkLWJhZDAtNmI1NWY2NTIzNGJiIiwicHJvcGVydGllcyI6eyJub3RlSW5kZXgiOjB9LCJpc0VkaXRlZCI6ZmFsc2UsIm1hbnVhbE92ZXJyaWRlIjp7ImlzTWFudWFsbHlPdmVycmlkZGVuIjpmYWxzZSwiY2l0ZXByb2NUZXh0IjoiKDk4KSIsIm1hbnVhbE92ZXJyaWRlVGV4dCI6IiJ9LCJjaXRhdGlvbkl0ZW1zIjpbeyJpZCI6ImYyZjRiZDJkLTVhZDktM2MzOS04NTgxLWQ4MDAxMjJlMzM5MiIsIml0ZW1EYXRhIjp7InR5cGUiOiJhcnRpY2xlLWpvdXJuYWwiLCJpZCI6ImYyZjRiZDJkLTVhZDktM2MzOS04NTgxLWQ4MDAxMjJlMzM5MiIsInRpdGxlIjoiTXVsdGlzcGVjdHJhbCBicmFpbiBtb3JwaG9tZXRyeSBpbiBUb3VyZXR0ZSBzeW5kcm9tZSBwZXJzaXN0aW5nIGludG8gYWR1bHRob29kIiwiZ3JvdXBJZCI6IjA3ZDYyYWMxLTVhYTgtMzlhZi1iNDllLTUyZDIwODhhYzU3MSIsImF1dGhvciI6W3siZmFtaWx5IjoiRHJhZ2Fuc2tpIiwiZ2l2ZW4iOiJCIiwicGFyc2UtbmFtZXMiOmZhbHNlLCJkcm9wcGluZy1wYXJ0aWNsZSI6IiIsIm5vbi1kcm9wcGluZy1wYXJ0aWNsZSI6IiJ9LHsiZmFtaWx5IjoiTWFydGlubyIsImdpdmVuIjoiRCIsInBhcnNlLW5hbWVzIjpmYWxzZSwiZHJvcHBpbmctcGFydGljbGUiOiIiLCJub24tZHJvcHBpbmctcGFydGljbGUiOiIifSx7ImZhbWlseSI6IkNhdmFubmEiLCJnaXZlbiI6IkEgRSIsInBhcnNlLW5hbWVzIjpmYWxzZSwiZHJvcHBpbmctcGFydGljbGUiOiIiLCJub24tZHJvcHBpbmctcGFydGljbGUiOiIifSx7ImZhbWlseSI6Ikh1dHRvbiIsImdpdmVuIjoiQyIsInBhcnNlLW5hbWVzIjpmYWxzZSwiZHJvcHBpbmctcGFydGljbGUiOiIiLCJub24tZHJvcHBpbmctcGFydGljbGUiOiIifSx7ImZhbWlseSI6Ik9ydGgiLCJnaXZlbiI6Ik0iLCJwYXJzZS1uYW1lcyI6ZmFsc2UsImRyb3BwaW5nLXBhcnRpY2xlIjoiIiwibm9uLWRyb3BwaW5nLXBhcnRpY2xlIjoiIn0seyJmYW1pbHkiOiJSb2JlcnRzb24iLCJnaXZlbiI6Ik0gTSIsInBhcnNlLW5hbWVzIjpmYWxzZSwiZHJvcHBpbmctcGFydGljbGUiOiIiLCJub24tZHJvcHBpbmctcGFydGljbGUiOiIifSx7ImZhbWlseSI6IkNyaXRjaGxleSIsImdpdmVuIjoiSCBEIiwicGFyc2UtbmFtZXMiOmZhbHNlLCJkcm9wcGluZy1wYXJ0aWNsZSI6IiIsIm5vbi1kcm9wcGluZy1wYXJ0aWNsZSI6IiJ9LHsiZmFtaWx5IjoiRnJhY2tvd2lhayIsImdpdmVuIjoiUiBTIiwicGFyc2UtbmFtZXMiOmZhbHNlLCJkcm9wcGluZy1wYXJ0aWNsZSI6IiIsIm5vbi1kcm9wcGluZy1wYXJ0aWNsZSI6IiJ9XSwiY29udGFpbmVyLXRpdGxlIjoiQnJhaW4iLCJET0kiOiJodHRwczovL2R4LmRvaS5vcmcvMTAuMTA5My9icmFpbi9hd3EzMDAiLCJVUkwiOiJodHRwOi8vYnJhaW4ub3hmb3Jkam91cm5hbHMub3JnL2h0dHA6Ly9vdmlkc3Aub3ZpZC5jb20vb3ZpZHdlYi5jZ2k/VD1KUyZQQUdFPXJlZmVyZW5jZSZEPWVtZWQxMSZORVdTPU4mQU49MzYwMTA3NzY1IiwiaXNzdWVkIjp7ImRhdGUtcGFydHMiOltbMjAxMF1dfSwicGFnZSI6IjM2NjEtMzY3NSIsImFic3RyYWN0IjoiVG91cmV0dGUgc3luZHJvbWUgaXMgYSBjaGlsZGhvb2Qtb25zZXQgbmV1cm9wc3ljaGlhdHJpYyBkaXNvcmRlciB3aXRoIGEgaGlnaCBwcmV2YWxlbmNlIG9mIGF0dGVudGlvbiBkZWZpY2l0IGh5cGVyYWN0aXZpdHkgYW5kIG9ic2Vzc2l2ZS1jb21wdWxzaXZlIGRpc29yZGVyIGNvLW1vcmJpZGl0aWVzLiBTdHJ1Y3R1cmFsIGNoYW5nZXMgaGF2ZSBiZWVuIGZvdW5kIGluIGZyb250YWwgY29ydGV4IGFuZCBzdHJpYXR1bSBpbiBjaGlsZHJlbiBhbmQgYWRvbGVzY2VudHMuIEEgbGltaXRlZCBudW1iZXIgb2YgbW9ycGhvbWV0cmljIHN0dWRpZXMgaW4gVG91cmV0dGUgc3luZHJvbWUgcGVyc2lzdGluZyBpbnRvIGFkdWx0aG9vZCBzdWdnZXN0IG9uZ29pbmcgc3RydWN0dXJhbCBhbHRlcmF0aW9ucyBhZmZlY3RpbmcgZnJvbnRvc3RyaWF0YWwgY2lyY3VpdHMuIFVzaW5nIGNvcnRpY2FsIHRoaWNrbmVzcyBlc3RpbWF0aW9uIGFuZCB2b3hlbC1iYXNlZCBhbmFseXNpcyBvZiBUMS0gYW5kIGRpZmZ1c2lvbi13ZWlnaHRlZCBzdHJ1Y3R1cmFsIG1hZ25ldGljIHJlc29uYW5jZSBpbWFnZXMsIHdlIGV4YW1pbmVkIDQwIGFkdWx0cyB3aXRoIFRvdXJldHRlIHN5bmRyb21lIGluIGNvbXBhcmlzb24gd2l0aCA0MCBhZ2UtIGFuZCBnZW5kZXItbWF0Y2hlZCBoZWFsdGh5IGNvbnRyb2xzLiBQYXRpZW50cyB3aXRoIFRvdXJldHRlIHN5bmRyb21lIHNob3dlZCByZWxhdGl2ZSBncmV5IG1hdHRlciB2b2x1bWUgcmVkdWN0aW9uIGluIG9yYml0b2Zyb250YWwsIGFudGVyaW9yIGNpbmd1bGF0ZSBhbmQgdmVudHJvbGF0ZXJhbCBwcmVmcm9udGFsIGNvcnRpY2VzIGJpbGF0ZXJhbGx5LiBDb3J0aWNhbCB0aGlubmluZyBleHRlbmRlZCBpbnRvIHRoZSBsaW1iaWMgbWVzaWFsIHRlbXBvcmFsIGxvYmUuIFRoZSBncmV5IG1hdHRlciBjaGFuZ2VzIHdlcmUgbW9kdWxhdGVkIGFkZGl0aW9uYWxseSBieSB0aGUgcHJlc2VuY2Ugb2YgY28tbW9yYmlkaXRpZXMgYW5kIHN5bXB0b20gc2V2ZXJpdHkuIFByZWZyb250YWwgY29ydGljYWwgdGhpY2tuZXNzIHJlZHVjdGlvbiBjb3JyZWxhdGVkIG5lZ2F0aXZlbHkgd2l0aCB0aWMgc2V2ZXJpdHksIHdoaWxlIHZvbHVtZSBpbmNyZWFzZSBpbiBwcmltYXJ5IHNvbWF0b3NlbnNvcnkgY29ydGV4IGRlcGVuZGVkIG9uIHRoZSBpbnRlbnNpdHkgb2YgcHJlbW9uaXRvcnkgc2Vuc2F0aW9ucy4gT3JiaXRvZnJvbnRhbCBjb3J0ZXggdm9sdW1lIGNoYW5nZXMgd2VyZSBmdXJ0aGVyIGFzc29jaWF0ZWQgd2l0aCBhYm5vcm1hbCB3YXRlciBkaWZmdXNpdml0eSB3aXRoaW4gZ3JleSBtYXR0ZXIuIFdoaXRlIG1hdHRlciBhbmFseXNpcyByZXZlYWxlZCBjaGFuZ2VzIGluIGZpYnJlIGNvaGVyZW5jZSBpbiBwYXRpZW50cyB3aXRoIFRvdXJldHRlIHN5bmRyb21lIHdpdGhpbiBhbnRlcmlvciBwYXJ0cyBvZiB0aGUgY29ycHVzIGNhbGxvc3VtLiBUaGUgc2V2ZXJpdHkgb2YgbW90b3IgdGljcyBhbmQgcHJlbW9uaXRvcnkgdXJnZXMgaGFkIGFuIGltcGFjdCBvbiB0aGUgaW50ZWdyaXR5IG9mIHRyYWN0cyBjb3JyZXNwb25kaW5nIHRvIGNvcnRpY28tY29ydGljYWwgYW5kIGNvcnRpY28tc3ViY29ydGljYWwgY29ubmVjdGlvbnMuIE91ciByZXN1bHRzIHByb3ZpZGUgZW1waXJpY2FsIHN1cHBvcnQgZm9yIGEgcGF0aG8tYWV0aW9sb2dpY2FsIG1vZGVsIG9mIFRvdXJldHRlIHN5bmRyb21lIGJhc2VkIG9uIGRldmVsb3BtZW50YWwgYWJub3JtYWxpdGllcywgd2l0aCBwZXJ0dXJiYXRpb24gb2YgY29tcGVuc2F0b3J5IHN5c3RlbXMgbWFya2luZyBwZXJzaXN0ZW5jZSBvZiBzeW1wdG9tcyBpbnRvIGFkdWx0aG9vZC4gV2UgaW50ZXJwcmV0IHRoZSBzeW1wdG9tIHNldmVyaXR5IHJlbGF0ZWQgZ3JleSBtYXR0ZXIgdm9sdW1lIGluY3JlYXNlIGluIGRpc3RpbmN0IGZ1bmN0aW9uYWwgYnJhaW4gYXJlYXMgYXMgZXZpZGVuY2Ugb2Ygb25nb2luZyBzdHJ1Y3R1cmFsIHBsYXN0aWNpdHkuIFRoZSBjb252ZXJnZW5jZSBvZiBldmlkZW5jZSBmcm9tIHZvbHVtZSBhbmQgd2F0ZXIgZGlmZnVzaXZpdHkgaW1hZ2luZyBzdHJlbmd0aGVucyB0aGUgdmFsaWRpdHkgb2Ygb3VyIGZpbmRpbmdzIGFuZCBhdHRlc3RzIHRvIHRoZSB2YWx1ZSBvZiBhIG5vdmVsIG11bHRpbW9kYWwgY29tYmluYXRpb24gb2Ygdm9sdW1lIGFuZCBjb3J0aWNhbCB0aGlja25lc3MgZXN0aW1hdGlvbnMgdGhhdCBwcm92aWRlcyB1bmlxdWUgYW5kIGNvbXBsZW1lbnRhcnkgaW5mb3JtYXRpb24gYnkgZXhwbG9pdGluZyB0aGVpciBkaWZmZXJlbnRpYWwgc2Vuc2l0aXZpdHkgdG8gc3RydWN0dXJhbCBjaGFuZ2UuIMKpICgyMDEwKSBUaGUgQXV0aG9yLiIsImlzc3VlIjoiMTIiLCJ2b2x1bWUiOiIxMzMiLCJjb250YWluZXItdGl0bGUtc2hvcnQiOiIifSwiaXNUZW1wb3JhcnkiOmZhbHNlfV19&quot;,&quot;citationItems&quot;:[{&quot;id&quot;:&quot;f2f4bd2d-5ad9-3c39-8581-d800122e3392&quot;,&quot;itemData&quot;:{&quot;type&quot;:&quot;article-journal&quot;,&quot;id&quot;:&quot;f2f4bd2d-5ad9-3c39-8581-d800122e3392&quot;,&quot;title&quot;:&quot;Multispectral brain morphometry in Tourette syndrome persisting into adulthood&quot;,&quot;groupId&quot;:&quot;07d62ac1-5aa8-39af-b49e-52d2088ac571&quot;,&quot;author&quot;:[{&quot;family&quot;:&quot;Draganski&quot;,&quot;given&quot;:&quot;B&quot;,&quot;parse-names&quot;:false,&quot;dropping-particle&quot;:&quot;&quot;,&quot;non-dropping-particle&quot;:&quot;&quot;},{&quot;family&quot;:&quot;Martino&quot;,&quot;given&quot;:&quot;D&quot;,&quot;parse-names&quot;:false,&quot;dropping-particle&quot;:&quot;&quot;,&quot;non-dropping-particle&quot;:&quot;&quot;},{&quot;family&quot;:&quot;Cavanna&quot;,&quot;given&quot;:&quot;A E&quot;,&quot;parse-names&quot;:false,&quot;dropping-particle&quot;:&quot;&quot;,&quot;non-dropping-particle&quot;:&quot;&quot;},{&quot;family&quot;:&quot;Hutton&quot;,&quot;given&quot;:&quot;C&quot;,&quot;parse-names&quot;:false,&quot;dropping-particle&quot;:&quot;&quot;,&quot;non-dropping-particle&quot;:&quot;&quot;},{&quot;family&quot;:&quot;Orth&quot;,&quot;given&quot;:&quot;M&quot;,&quot;parse-names&quot;:false,&quot;dropping-particle&quot;:&quot;&quot;,&quot;non-dropping-particle&quot;:&quot;&quot;},{&quot;family&quot;:&quot;Robertson&quot;,&quot;given&quot;:&quot;M M&quot;,&quot;parse-names&quot;:false,&quot;dropping-particle&quot;:&quot;&quot;,&quot;non-dropping-particle&quot;:&quot;&quot;},{&quot;family&quot;:&quot;Critchley&quot;,&quot;given&quot;:&quot;H D&quot;,&quot;parse-names&quot;:false,&quot;dropping-particle&quot;:&quot;&quot;,&quot;non-dropping-particle&quot;:&quot;&quot;},{&quot;family&quot;:&quot;Frackowiak&quot;,&quot;given&quot;:&quot;R S&quot;,&quot;parse-names&quot;:false,&quot;dropping-particle&quot;:&quot;&quot;,&quot;non-dropping-particle&quot;:&quot;&quot;}],&quot;container-title&quot;:&quot;Brain&quot;,&quot;DOI&quot;:&quot;https://dx.doi.org/10.1093/brain/awq300&quot;,&quot;URL&quot;:&quot;http://brain.oxfordjournals.org/http://ovidsp.ovid.com/ovidweb.cgi?T=JS&amp;PAGE=reference&amp;D=emed11&amp;NEWS=N&amp;AN=360107765&quot;,&quot;issued&quot;:{&quot;date-parts&quot;:[[2010]]},&quot;page&quot;:&quot;3661-3675&quot;,&quot;abstract&quot;:&quot;Tourette syndrome is a childhood-onset neuropsychiatric disorder with a high prevalence of attention deficit hyperactivity and obsessive-compulsive disorder co-morbidities. Structural changes have been found in frontal cortex and striatum in children and adolescents. A limited number of morphometric studies in Tourette syndrome persisting into adulthood suggest ongoing structural alterations affecting frontostriatal circuits. Using cortical thickness estimation and voxel-based analysis of T1- and diffusion-weighted structural magnetic resonance images, we examined 40 adults with Tourette syndrome in comparison with 40 age- and gender-matched healthy controls. Patients with Tourette syndrome showed relative grey matter volume reduction in orbitofrontal, anterior cingulate and ventrolateral prefrontal cortices bilaterally. Cortical thinning extended into the limbic mesial temporal lobe. The grey matter changes were modulated additionally by the presence of co-morbidities and symptom severity. Prefrontal cortical thickness reduction correlated negatively with tic severity, while volume increase in primary somatosensory cortex depended on the intensity of premonitory sensations. Orbitofrontal cortex volume changes were further associated with abnormal water diffusivity within grey matter. White matter analysis revealed changes in fibre coherence in patients with Tourette syndrome within anterior parts of the corpus callosum. The severity of motor tics and premonitory urges had an impact on the integrity of tracts corresponding to cortico-cortical and cortico-subcortical connections. Our results provide empirical support for a patho-aetiological model of Tourette syndrome based on developmental abnormalities, with perturbation of compensatory systems marking persistence of symptoms into adulthood. We interpret the symptom severity related grey matter volume increase in distinct functional brain areas as evidence of ongoing structural plasticity. The convergence of evidence from volume and water diffusivity imaging strengthens the validity of our findings and attests to the value of a novel multimodal combination of volume and cortical thickness estimations that provides unique and complementary information by exploiting their differential sensitivity to structural change. © (2010) The Author.&quot;,&quot;issue&quot;:&quot;12&quot;,&quot;volume&quot;:&quot;133&quot;,&quot;container-title-short&quot;:&quot;&quot;},&quot;isTemporary&quot;:false}]},{&quot;citationID&quot;:&quot;MENDELEY_CITATION_6d8c9617-a07b-4782-9a3b-d27daf8d639d&quot;,&quot;properties&quot;:{&quot;noteIndex&quot;:0},&quot;isEdited&quot;:false,&quot;manualOverride&quot;:{&quot;isManuallyOverridden&quot;:false,&quot;citeprocText&quot;:&quot;(36)&quot;,&quot;manualOverrideText&quot;:&quot;&quot;},&quot;citationTag&quot;:&quot;MENDELEY_CITATION_v3_eyJjaXRhdGlvbklEIjoiTUVOREVMRVlfQ0lUQVRJT05fNmQ4Yzk2MTctYTA3Yi00NzgyLTlhM2ItZDI3ZGFmOGQ2MzlkIiwicHJvcGVydGllcyI6eyJub3RlSW5kZXgiOjB9LCJpc0VkaXRlZCI6ZmFsc2UsIm1hbnVhbE92ZXJyaWRlIjp7ImlzTWFudWFsbHlPdmVycmlkZGVuIjpmYWxzZSwiY2l0ZXByb2NUZXh0IjoiKDM2KSIsIm1hbnVhbE92ZXJyaWRlVGV4dCI6IiJ9LCJjaXRhdGlvbkl0ZW1zIjpbeyJpZCI6Ijg3NDcyNDBiLWY2MDItMzRiYi1hODQyLTI1MDFjNDY2M2VkZiIsIml0ZW1EYXRhIjp7InR5cGUiOiJhcnRpY2xlLWpvdXJuYWwiLCJpZCI6Ijg3NDcyNDBiLWY2MDItMzRiYi1hODQyLTI1MDFjNDY2M2VkZiIsInRpdGxlIjoiUHJlbW9uaXRvcnkgdXJnZXMgYXJlIGFzc29jaWF0ZWQgd2l0aCBkZWNyZWFzZWQgZ3JleSBtYXR0ZXIgdGhpY2tuZXNzIHdpdGhpbiB0aGUgaW5zdWxhIGFuZCBzZW5zb3JpbW90b3IgY29ydGV4IGluIHlvdW5nIHBlb3BsZSB3aXRoIFRvdXJldHRlIHN5bmRyb21lIiwiZ3JvdXBJZCI6IjA3ZDYyYWMxLTVhYTgtMzlhZi1iNDllLTUyZDIwODhhYzU3MSIsImF1dGhvciI6W3siZmFtaWx5IjoiRHJhcGVyIiwiZ2l2ZW4iOiJBIiwicGFyc2UtbmFtZXMiOmZhbHNlLCJkcm9wcGluZy1wYXJ0aWNsZSI6IiIsIm5vbi1kcm9wcGluZy1wYXJ0aWNsZSI6IiJ9LHsiZmFtaWx5IjoiSmFja3NvbiIsImdpdmVuIjoiRyBNIiwicGFyc2UtbmFtZXMiOmZhbHNlLCJkcm9wcGluZy1wYXJ0aWNsZSI6IiIsIm5vbi1kcm9wcGluZy1wYXJ0aWNsZSI6IiJ9LHsiZmFtaWx5IjoiTW9yZ2FuIiwiZ2l2ZW4iOiJQIFMiLCJwYXJzZS1uYW1lcyI6ZmFsc2UsImRyb3BwaW5nLXBhcnRpY2xlIjoiIiwibm9uLWRyb3BwaW5nLXBhcnRpY2xlIjoiIn0seyJmYW1pbHkiOiJKYWNrc29uIiwiZ2l2ZW4iOiJTIFIiLCJwYXJzZS1uYW1lcyI6ZmFsc2UsImRyb3BwaW5nLXBhcnRpY2xlIjoiIiwibm9uLWRyb3BwaW5nLXBhcnRpY2xlIjoiIn1dLCJjb250YWluZXItdGl0bGUiOiJKIE5ldXJvcHN5Y2hvbCIsIkRPSSI6IjEwLjExMTEvam5wLjEyMDg5IiwiUE1JRCI6IjI2NTM4Mjg5IiwiVVJMIjoiaHR0cHM6Ly9icHNwc3ljaHViLW9ubGluZWxpYnJhcnktd2lsZXktY29tLnByb3h5LmxpYnJhcnkudmFuZGVyYmlsdC5lZHUvZG9pL2Z1bGwvMTAuMTExMS9qbnAuMTIwODkiLCJpc3N1ZWQiOnsiZGF0ZS1wYXJ0cyI6W1syMDE2XV19LCJwYWdlIjoiMTQzLTE1MyIsImFic3RyYWN0IjoiVG91cmV0dGUgc3luZHJvbWUgKFRTKSBpcyBhIG5ldXJvbG9naWNhbCBkaXNvcmRlciBjaGFyYWN0ZXJpemVkIGJ5IHZvY2FsIGFuZCBtb3RvciB0aWNzIGFuZCBpcyBhc3NvY2lhdGVkIHdpdGggY29ydGljYWwtc3RyaWF0YWwtdGhhbGFtaWMtY29ydGljYWwgY2lyY3VpdCAoQ1NUQykgZHlzZnVuY3Rpb24gYW5kIGh5cGVyZXhjaXRhYmlsaXR5IG9mIGNvcnRpY2FsIGxpbWJpYyBhbmQgbW90b3IgcmVnaW9ucywgd2hpY2ggYXJlIHRob3VnaHQgdG8gbGVhZCB0byB0aGUgb2NjdXJyZW5jZSBvZiB0aWNzLiBJbXBvcnRhbnRseSwgaW5kaXZpZHVhbHMgd2l0aCBUUyBvZnRlbiByZXBvcnQgdGhhdCB0aGVpciB0aWNzIGFyZSBwcmVjZWRlZCBieSAncHJlbW9uaXRvcnkgc2Vuc29yeSBwaGVub21lbmEnIChQU1ApIHRoYXQgYXJlIGRlc2NyaWJlZCBhcyB1bmNvbWZvcnRhYmxlIGNvZ25pdGl2ZSBvciBib2RpbHkgc2Vuc2F0aW9ucyB0aGF0IHByZWNlZGUgdGhlIGV4ZWN1dGlvbiBvZiBhIHRpYywgYW5kIGFyZSBleHBlcmllbmNlZCBhcyBhIHN0cm9uZyB1cmdlIGZvciBtb3RvciBkaXNjaGFyZ2UuIFdoaWxlIHRoZSBwcmVjaXNlIHJvbGUgcGxheWVkIGJ5IFBTUCBpbiB0aGUgb2NjdXJyZW5jZSBvZiB0aWNzIGlzIGNvbnRyb3ZlcnNpYWwsIFBTUCBhcmUgbm9uZXRoZWxlc3Mgb2YgY29uc2lkZXJhYmxlIHRoZW9yZXRpY2FsIGFuZCBjbGluaWNhbCBpbXBvcnRhbmNlIGluIFRTLCBub3QgbGVhc3QgYmVjYXVzZSB0aGV5IGZvcm0gdGhlIGNvcmUgY29tcG9uZW50IGluIG1hbnkgb2YgdGhlIGJlaGF2aW91cmFsIHRoZXJhcGllcyB0aGF0IGFyZSBjdXJyZW50bHkgdXNlZCBpbiB0aGUgdHJlYXRtZW50IG9mIHRpYyBkaXNvcmRlcnMuIEluIHRoaXMgc3R1ZHksIHdlIGludmVzdGlnYXRlZCB0aGUgYnJhaW4gc3RydWN0dXJlIGNvcnJlbGF0ZXMgb2YgUFNQLiBTcGVjaWZpY2FsbHksIHdlIGNvbmR1Y3RlZCBhIHdob2xlLWJyYWluIGFuYWx5c2lzIG9mIGNvcnRpY2FsIChncmV5IG1hdHRlcikgdGhpY2tuZXNzIGluIDI5IGNoaWxkcmVuIGFuZCB5b3VuZyBhZHVsdHMgd2l0aCBUUyBhbmQgaW52ZXN0aWdhdGVkIHRoZSBhc3NvY2lhdGlvbiBiZXR3ZWVuIGdyZXkgbWF0dGVyIHRoaWNrbmVzcyBhbmQgUFNQLiBXZSBkZW1vbnN0cmF0ZSBmb3IgdGhlIGZpcnN0IHRpbWUgdGhhdCBQU1AgYXJlIGludmVyc2VseSBhc3NvY2lhdGVkIHdpdGggZ3JleSBtYXR0ZXIgdGhpY2tuZXNzIG1lYXN1cmVtZW50cyB3aXRoaW4gdGhlIGluc3VsYSBhbmQgc2Vuc29yaW1vdG9yIGNvcnRleC4gV2UgYWxzbyBkZW1vbnN0cmF0ZSB0aGF0IGdyZXkgbWF0dGVyIHRoaWNrbmVzcyBpcyBzaWduaWZpY2FudGx5IHJlZHVjZWQgaW4gdGhlc2UgYXJlYXMgaW4gaW5kaXZpZHVhbHMgd2l0aCBUUyByZWxhdGl2ZSB0byBhIGNsb3NlbHkgYWdlLSBhbmQgZ2VuZGVyLW1hdGNoZWQgZ3JvdXAgb2YgdHlwaWNhbGx5IGRldmVsb3BpbmcgaW5kaXZpZHVhbHMgYW5kIHRoYXQgUFNQIHJhdGluZ3MgYXJlIHNpZ25pZmljYW50bHkgY29ycmVsYXRlZCB3aXRoIHRpYyBzZXZlcml0eS4iLCJpc3N1ZSI6IjEiLCJ2b2x1bWUiOiIxMCIsImNvbnRhaW5lci10aXRsZS1zaG9ydCI6IiJ9LCJpc1RlbXBvcmFyeSI6ZmFsc2V9XX0=&quot;,&quot;citationItems&quot;:[{&quot;id&quot;:&quot;8747240b-f602-34bb-a842-2501c4663edf&quot;,&quot;itemData&quot;:{&quot;type&quot;:&quot;article-journal&quot;,&quot;id&quot;:&quot;8747240b-f602-34bb-a842-2501c4663edf&quot;,&quot;title&quot;:&quot;Premonitory urges are associated with decreased grey matter thickness within the insula and sensorimotor cortex in young people with Tourette syndrome&quot;,&quot;groupId&quot;:&quot;07d62ac1-5aa8-39af-b49e-52d2088ac571&quot;,&quot;author&quot;:[{&quot;family&quot;:&quot;Draper&quot;,&quot;given&quot;:&quot;A&quot;,&quot;parse-names&quot;:false,&quot;dropping-particle&quot;:&quot;&quot;,&quot;non-dropping-particle&quot;:&quot;&quot;},{&quot;family&quot;:&quot;Jackson&quot;,&quot;given&quot;:&quot;G M&quot;,&quot;parse-names&quot;:false,&quot;dropping-particle&quot;:&quot;&quot;,&quot;non-dropping-particle&quot;:&quot;&quot;},{&quot;family&quot;:&quot;Morgan&quot;,&quot;given&quot;:&quot;P S&quot;,&quot;parse-names&quot;:false,&quot;dropping-particle&quot;:&quot;&quot;,&quot;non-dropping-particle&quot;:&quot;&quot;},{&quot;family&quot;:&quot;Jackson&quot;,&quot;given&quot;:&quot;S R&quot;,&quot;parse-names&quot;:false,&quot;dropping-particle&quot;:&quot;&quot;,&quot;non-dropping-particle&quot;:&quot;&quot;}],&quot;container-title&quot;:&quot;J Neuropsychol&quot;,&quot;DOI&quot;:&quot;10.1111/jnp.12089&quot;,&quot;PMID&quot;:&quot;26538289&quot;,&quot;URL&quot;:&quot;https://bpspsychub-onlinelibrary-wiley-com.proxy.library.vanderbilt.edu/doi/full/10.1111/jnp.12089&quot;,&quot;issued&quot;:{&quot;date-parts&quot;:[[2016]]},&quot;page&quot;:&quot;143-153&quot;,&quot;abstract&quot;:&quot;Tourette syndrome (TS) is a neurological disorder characterized by vocal and motor tics and is associated with cortical-striatal-thalamic-cortical circuit (CSTC) dysfunction and hyperexcitability of cortical limbic and motor regions, which are thought to lead to the occurrence of tics. Importantly, individuals with TS often report that their tics are preceded by 'premonitory sensory phenomena' (PSP) that are described as uncomfortable cognitive or bodily sensations that precede the execution of a tic, and are experienced as a strong urge for motor discharge. While the precise role played by PSP in the occurrence of tics is controversial, PSP are nonetheless of considerable theoretical and clinical importance in TS, not least because they form the core component in many of the behavioural therapies that are currently used in the treatment of tic disorders. In this study, we investigated the brain structure correlates of PSP. Specifically, we conducted a whole-brain analysis of cortical (grey matter) thickness in 29 children and young adults with TS and investigated the association between grey matter thickness and PSP. We demonstrate for the first time that PSP are inversely associated with grey matter thickness measurements within the insula and sensorimotor cortex. We also demonstrate that grey matter thickness is significantly reduced in these areas in individuals with TS relative to a closely age- and gender-matched group of typically developing individuals and that PSP ratings are significantly correlated with tic severity.&quot;,&quot;issue&quot;:&quot;1&quot;,&quot;volume&quot;:&quot;10&quot;,&quot;container-title-short&quot;:&quot;&quot;},&quot;isTemporary&quot;:false}]},{&quot;citationID&quot;:&quot;MENDELEY_CITATION_5ec5d483-07b9-4a43-bcbd-a904e160d81f&quot;,&quot;properties&quot;:{&quot;noteIndex&quot;:0},&quot;isEdited&quot;:false,&quot;manualOverride&quot;:{&quot;isManuallyOverridden&quot;:false,&quot;citeprocText&quot;:&quot;(99)&quot;,&quot;manualOverrideText&quot;:&quot;&quot;},&quot;citationTag&quot;:&quot;MENDELEY_CITATION_v3_eyJjaXRhdGlvbklEIjoiTUVOREVMRVlfQ0lUQVRJT05fNWVjNWQ0ODMtMDdiOS00YTQzLWJjYmQtYTkwNGUxNjBkODFmIiwicHJvcGVydGllcyI6eyJub3RlSW5kZXgiOjB9LCJpc0VkaXRlZCI6ZmFsc2UsIm1hbnVhbE92ZXJyaWRlIjp7ImlzTWFudWFsbHlPdmVycmlkZGVuIjpmYWxzZSwiY2l0ZXByb2NUZXh0IjoiKDk5KSIsIm1hbnVhbE92ZXJyaWRlVGV4dCI6IiJ9LCJjaXRhdGlvbkl0ZW1zIjpbeyJpZCI6Ijc5YTA3NDM4LWYyYWEtMzg4NS05MWMzLTU4MWYyNmM2Y2QyOSIsIml0ZW1EYXRhIjp7InR5cGUiOiJhcnRpY2xlLWpvdXJuYWwiLCJpZCI6Ijc5YTA3NDM4LWYyYWEtMzg4NS05MWMzLTU4MWYyNmM2Y2QyOSIsInRpdGxlIjoiQWx0ZXJhdGlvbnMgaW4gdGhlIG1pY3Jvc3RydWN0dXJlIG9mIHdoaXRlIG1hdHRlciBpbiBjaGlsZHJlbiBhbmQgYWRvbGVzY2VudHMgd2l0aCBUb3VyZXR0ZSBzeW5kcm9tZSBtZWFzdXJlZCB1c2luZyB0cmFjdC1iYXNlZCBzcGF0aWFsIHN0YXRpc3RpY3MgYW5kIHByb2JhYmlsaXN0aWMgdHJhY3RvZ3JhcGh5IiwiZ3JvdXBJZCI6IjA3ZDYyYWMxLTVhYTgtMzlhZi1iNDllLTUyZDIwODhhYzU3MSIsImF1dGhvciI6W3siZmFtaWx5IjoiU2lndXJkc3NvbiIsImdpdmVuIjoiSCBQIiwicGFyc2UtbmFtZXMiOmZhbHNlLCJkcm9wcGluZy1wYXJ0aWNsZSI6IiIsIm5vbi1kcm9wcGluZy1wYXJ0aWNsZSI6IiJ9LHsiZmFtaWx5IjoiUMOpcMOpcyIsImdpdmVuIjoiUyBFIiwicGFyc2UtbmFtZXMiOmZhbHNlLCJkcm9wcGluZy1wYXJ0aWNsZSI6IiIsIm5vbi1kcm9wcGluZy1wYXJ0aWNsZSI6IiJ9LHsiZmFtaWx5IjoiSmFja3NvbiIsImdpdmVuIjoiRyBNIiwicGFyc2UtbmFtZXMiOmZhbHNlLCJkcm9wcGluZy1wYXJ0aWNsZSI6IiIsIm5vbi1kcm9wcGluZy1wYXJ0aWNsZSI6IiJ9LHsiZmFtaWx5IjoiRHJhcGVyIiwiZ2l2ZW4iOiJBIiwicGFyc2UtbmFtZXMiOmZhbHNlLCJkcm9wcGluZy1wYXJ0aWNsZSI6IiIsIm5vbi1kcm9wcGluZy1wYXJ0aWNsZSI6IiJ9LHsiZmFtaWx5IjoiTW9yZ2FuIiwiZ2l2ZW4iOiJQIFMiLCJwYXJzZS1uYW1lcyI6ZmFsc2UsImRyb3BwaW5nLXBhcnRpY2xlIjoiIiwibm9uLWRyb3BwaW5nLXBhcnRpY2xlIjoiIn0seyJmYW1pbHkiOiJKYWNrc29uIiwiZ2l2ZW4iOiJTIFIiLCJwYXJzZS1uYW1lcyI6ZmFsc2UsImRyb3BwaW5nLXBhcnRpY2xlIjoiIiwibm9uLWRyb3BwaW5nLXBhcnRpY2xlIjoiIn1dLCJjb250YWluZXItdGl0bGUiOiJDb3J0ZXgiLCJET0kiOiIxMC4xMDE2L2ouY29ydGV4LjIwMTguMDQuMDA0IiwiUE1JRCI6IjI5NzU4Mzc1IiwiaXNzdWVkIjp7ImRhdGUtcGFydHMiOltbMjAxOF1dfSwicGFnZSI6Ijc1LTg5IiwiYWJzdHJhY3QiOiJUb3VyZXR0ZSBzeW5kcm9tZSAoVFMpIGlzIGEgbmV1cm9kZXZlbG9wbWVudGFsIGRpc29yZGVyIGNoYXJhY3RlcmlzZWQgYnkgcmVwZXRpdGl2ZSBhbmQgaW50ZXJtaXR0ZW50IG1vdG9yIGFuZCB2b2NhbCB0aWNzLiBUUyBpcyB0aG91Z2h0IHRvIHJlZmxlY3QgZnJvbnRvLXN0cmlhdGFsIGR5c2Z1bmN0aW9uIGFuZCB0aGUgYWV0aW9sb2d5IG9mIHRoZSBkaXNvcmRlciBoYXMgYmVlbiBsaW5rZWQgdG8gd2lkZXNwcmVhZCBhbHRlcmF0aW9ucyBpbiB0aGUgZnVuY3Rpb25hbCBhbmQgc3RydWN0dXJhbCBpbnRlZ3JpdHkgb2YgdGhlIGJyYWluLiBUaGUgYWltIG9mIHRoaXMgc3R1ZHkgd2FzIHRvIGFzc2VzcyB3aGl0ZSBtYXR0ZXIgKFdNKSBhYm5vcm1hbGl0aWVzIGluIGEgbGFyZ2Ugc2FtcGxlIG9mIHlvdW5nIHBhdGllbnRzIHdpdGggVFMgaW4gY29tcGFyaXNvbiB0byBhIHNhbXBsZSBvZiBtYXRjaGVkIHR5cGljYWxseSBkZXZlbG9waW5nIGNvbnRyb2wgaW5kaXZpZHVhbHMgKENTKSB1c2luZyBkaWZmdXNpb24gTVJJLiBUaGUgc3R1ZHkgaW5jbHVkZWQgMzUgcGF0aWVudHMgd2l0aCBUUyAoMyBmZW1hbGVzOyBtZWFuIGFnZTogMTQuMMKgwrHCoDMuMykgYW5kIDM1IENTICgzIGZlbWFsZXM7IG1lYW4gYWdlOiAxMy45wqDCscKgMy4zKS4gRGlmZnVzaW9uIE1SSSBkYXRhIHdhcyBhbmFseXNlZCB1c2luZyB0cmFjdC1iYXNlZCBzcGF0aWFsIHN0YXRpc3RpY3MgKFRCU1MpIGFuZCBwcm9iYWJpbGlzdGljIHRyYWN0b2dyYXBoeS4gUGF0aWVudHMgd2l0aCBUUyBkZW1vbnN0cmF0ZWQgYm90aCBtYXJrZWQgYW5kIHdpZGVzcHJlYWQgZGVjcmVhc2VzIGluIGF4aWFsIGRpZmZ1c2l2aXR5IChBRCkgdG9nZXRoZXIgd2l0aCBhbHRlcmVkIFdNIGNvbm5lY3Rpdml0eS4gTW9yZW92ZXIsIHdlIHNob3dlZCB0aGF0IHRpYyBzZXZlcml0eSBhbmQgdGhlIGZyZXF1ZW5jeSBvZiBwcmVtb25pdG9yeSB1cmdlcyAoUFUpIHdlcmUgYXNzb2NpYXRlZCB3aXRoIGluY3JlYXNlZCBjb25uZWN0aXZpdHkgYmV0d2VlbiBwcmltYXJ5IG1vdG9yIGNvcnRleCAoTTEpIGFuZCB0aGUgY2F1ZGF0ZSBudWNsZWksIGFuZCBpbmNyZWFzZWQgaW5mb3JtYXRpb24gdHJhbnNmZXIgYmV0d2VlbiBNMSBhbmQgdGhlIGluc3VsYSwgcmVzcGVjdGl2ZWx5LiBUaGlzIGlzIHRvIG91ciBrbm93bGVkZ2UgdGhlIGZpcnN0IHN0dWR5IHRvIGVtcGxveSBib3RoIFRCU1MgYW5kIHByb2JhYmlsaXN0aWMgdHJhY3RvZ3JhcGh5IGluIGEgc2FtcGxlIG9mIHlvdW5nIHBhdGllbnRzIHdpdGggVFMuIE91ciByZXN1bHRzIGNvbnRyaWJ1dGUgdG8gdGhlIGxpbWl0ZWQgZXhpc3RpbmcgbGl0ZXJhdHVyZSBkZW1vbnN0cmF0aW5nIGFsdGVyZWQgY29ubmVjdGl2aXR5IGluIFRTIGFuZCBjb25maXJtIHByZXZpb3VzIHJlc3VsdHMgc3VnZ2VzdGluZyBpbiBwYXJ0aWN1bGFyLCB0aGF0IGFsdGVyZWQgaW5zdWxhciBmdW5jdGlvbiBjb250cmlidXRlcyB0byBpbmNyZWFzZWQgZnJlcXVlbmN5IG9mIFBVLiIsInZvbHVtZSI6IjEwNCIsImNvbnRhaW5lci10aXRsZS1zaG9ydCI6IiJ9LCJpc1RlbXBvcmFyeSI6ZmFsc2V9XX0=&quot;,&quot;citationItems&quot;:[{&quot;id&quot;:&quot;79a07438-f2aa-3885-91c3-581f26c6cd29&quot;,&quot;itemData&quot;:{&quot;type&quot;:&quot;article-journal&quot;,&quot;id&quot;:&quot;79a07438-f2aa-3885-91c3-581f26c6cd29&quot;,&quot;title&quot;:&quot;Alterations in the microstructure of white matter in children and adolescents with Tourette syndrome measured using tract-based spatial statistics and probabilistic tractography&quot;,&quot;groupId&quot;:&quot;07d62ac1-5aa8-39af-b49e-52d2088ac571&quot;,&quot;author&quot;:[{&quot;family&quot;:&quot;Sigurdsson&quot;,&quot;given&quot;:&quot;H P&quot;,&quot;parse-names&quot;:false,&quot;dropping-particle&quot;:&quot;&quot;,&quot;non-dropping-particle&quot;:&quot;&quot;},{&quot;family&quot;:&quot;Pépés&quot;,&quot;given&quot;:&quot;S E&quot;,&quot;parse-names&quot;:false,&quot;dropping-particle&quot;:&quot;&quot;,&quot;non-dropping-particle&quot;:&quot;&quot;},{&quot;family&quot;:&quot;Jackson&quot;,&quot;given&quot;:&quot;G M&quot;,&quot;parse-names&quot;:false,&quot;dropping-particle&quot;:&quot;&quot;,&quot;non-dropping-particle&quot;:&quot;&quot;},{&quot;family&quot;:&quot;Draper&quot;,&quot;given&quot;:&quot;A&quot;,&quot;parse-names&quot;:false,&quot;dropping-particle&quot;:&quot;&quot;,&quot;non-dropping-particle&quot;:&quot;&quot;},{&quot;family&quot;:&quot;Morgan&quot;,&quot;given&quot;:&quot;P S&quot;,&quot;parse-names&quot;:false,&quot;dropping-particle&quot;:&quot;&quot;,&quot;non-dropping-particle&quot;:&quot;&quot;},{&quot;family&quot;:&quot;Jackson&quot;,&quot;given&quot;:&quot;S R&quot;,&quot;parse-names&quot;:false,&quot;dropping-particle&quot;:&quot;&quot;,&quot;non-dropping-particle&quot;:&quot;&quot;}],&quot;container-title&quot;:&quot;Cortex&quot;,&quot;DOI&quot;:&quot;10.1016/j.cortex.2018.04.004&quot;,&quot;PMID&quot;:&quot;29758375&quot;,&quot;issued&quot;:{&quot;date-parts&quot;:[[2018]]},&quot;page&quot;:&quot;75-89&quot;,&quot;abstract&quot;:&quot;Tourette syndrome (TS) is a neurodevelopmental disorder characterised by repetitive and intermittent motor and vocal tics. TS is thought to reflect fronto-striatal dysfunction and the aetiology of the disorder has been linked to widespread alterations in the functional and structural integrity of the brain. The aim of this study was to assess white matter (WM) abnormalities in a large sample of young patients with TS in comparison to a sample of matched typically developing control individuals (CS) using diffusion MRI. The study included 35 patients with TS (3 females; mean age: 14.0 ± 3.3) and 35 CS (3 females; mean age: 13.9 ± 3.3). Diffusion MRI data was analysed using tract-based spatial statistics (TBSS) and probabilistic tractography. Patients with TS demonstrated both marked and widespread decreases in axial diffusivity (AD) together with altered WM connectivity. Moreover, we showed that tic severity and the frequency of premonitory urges (PU) were associated with increased connectivity between primary motor cortex (M1) and the caudate nuclei, and increased information transfer between M1 and the insula, respectively. This is to our knowledge the first study to employ both TBSS and probabilistic tractography in a sample of young patients with TS. Our results contribute to the limited existing literature demonstrating altered connectivity in TS and confirm previous results suggesting in particular, that altered insular function contributes to increased frequency of PU.&quot;,&quot;volume&quot;:&quot;104&quot;,&quot;container-title-short&quot;:&quot;&quot;},&quot;isTemporary&quot;:false}]},{&quot;citationID&quot;:&quot;MENDELEY_CITATION_7ab9f7ec-c113-4fdc-83de-d0f35ec3a319&quot;,&quot;properties&quot;:{&quot;noteIndex&quot;:0},&quot;isEdited&quot;:false,&quot;manualOverride&quot;:{&quot;isManuallyOverridden&quot;:false,&quot;citeprocText&quot;:&quot;(100)&quot;,&quot;manualOverrideText&quot;:&quot;&quot;},&quot;citationTag&quot;:&quot;MENDELEY_CITATION_v3_eyJjaXRhdGlvbklEIjoiTUVOREVMRVlfQ0lUQVRJT05fN2FiOWY3ZWMtYzExMy00ZmRjLTgzZGUtZDBmMzVlYzNhMzE5IiwicHJvcGVydGllcyI6eyJub3RlSW5kZXgiOjB9LCJpc0VkaXRlZCI6ZmFsc2UsIm1hbnVhbE92ZXJyaWRlIjp7ImlzTWFudWFsbHlPdmVycmlkZGVuIjpmYWxzZSwiY2l0ZXByb2NUZXh0IjoiKDEwMCkiLCJtYW51YWxPdmVycmlkZVRleHQiOiIifSwiY2l0YXRpb25JdGVtcyI6W3siaWQiOiI4NzEzMDIwYy05YTFkLTM1MWEtODNkOS0xYWQ1MzU4OWVhOGMiLCJpdGVtRGF0YSI6eyJ0eXBlIjoiYXJ0aWNsZS1qb3VybmFsIiwiaWQiOiI4NzEzMDIwYy05YTFkLTM1MWEtODNkOS0xYWQ1MzU4OWVhOGMiLCJ0aXRsZSI6IkFsdGVyYXRpb25zIGluIGNlcmViZWxsYXIgZ3JleSBtYXR0ZXIgc3RydWN0dXJlIGFuZCBjb3ZhcmlhbmNlIG5ldHdvcmtzIGluIHlvdW5nIHBlb3BsZSB3aXRoIFRvdXJldHRlIHN5bmRyb21lIiwiZ3JvdXBJZCI6IjA3ZDYyYWMxLTVhYTgtMzlhZi1iNDllLTUyZDIwODhhYzU3MSIsImF1dGhvciI6W3siZmFtaWx5IjoiU2lndXJkc3NvbiIsImdpdmVuIjoiSCBQIiwicGFyc2UtbmFtZXMiOmZhbHNlLCJkcm9wcGluZy1wYXJ0aWNsZSI6IiIsIm5vbi1kcm9wcGluZy1wYXJ0aWNsZSI6IiJ9LHsiZmFtaWx5IjoiSmFja3NvbiIsImdpdmVuIjoiUyBSIiwicGFyc2UtbmFtZXMiOmZhbHNlLCJkcm9wcGluZy1wYXJ0aWNsZSI6IiIsIm5vbi1kcm9wcGluZy1wYXJ0aWNsZSI6IiJ9LHsiZmFtaWx5IjoiSm9sbGV5IiwiZ2l2ZW4iOiJMIiwicGFyc2UtbmFtZXMiOmZhbHNlLCJkcm9wcGluZy1wYXJ0aWNsZSI6IiIsIm5vbi1kcm9wcGluZy1wYXJ0aWNsZSI6IiJ9LHsiZmFtaWx5IjoiTWl0Y2hlbGwiLCJnaXZlbiI6IkUiLCJwYXJzZS1uYW1lcyI6ZmFsc2UsImRyb3BwaW5nLXBhcnRpY2xlIjoiIiwibm9uLWRyb3BwaW5nLXBhcnRpY2xlIjoiIn0seyJmYW1pbHkiOiJKYWNrc29uIiwiZ2l2ZW4iOiJHIE0iLCJwYXJzZS1uYW1lcyI6ZmFsc2UsImRyb3BwaW5nLXBhcnRpY2xlIjoiIiwibm9uLWRyb3BwaW5nLXBhcnRpY2xlIjoiIn1dLCJjb250YWluZXItdGl0bGUiOiJDb3J0ZXgiLCJET0kiOiIxMC4xMDE2L2ouY29ydGV4LjIwMTkuMTIuMDIyIiwiUE1JRCI6IjMyMDYyMTM5IiwiaXNzdWVkIjp7ImRhdGUtcGFydHMiOltbMjAyMF1dfSwicGFnZSI6IjEtMTUiLCJhYnN0cmFjdCI6IlRvdXJldHRlIHN5bmRyb21lIChUUykgaXMgYSBjaGlsZGhvb2Qtb25zZXQgbmV1cm9sb2dpY2FsIGRpc29yZGVyIGNoYXJhY3RlcmlzZWQgYnkgdGhlIG9jY3VycmVuY2Ugb2YgbW90b3IgYW5kIHZvY2FsIHRpY3MgYW5kIHRoZSBwcmVzZW5jZSBvZiBwcmVtb25pdG9yeSBzZW5zb3J5L3VyZ2UgcGhlbm9tZW5hLiBGdW5jdGlvbmFsIG5ldXJvaW1hZ2luZyBzdHVkaWVzIGluIGh1bWFucywgYW5kIGV4cGVyaW1lbnRhbCBpbnZlc3RpZ2F0aW9ucyBpbiBhbmltYWxzLCBoYXZlIHNob3duIHRoYXQgdGhlIGdlbmVzaXMgb2YgdGljcyBpbiBUUyBpbnZvbHZlIGEgY29tcGxleCBpbnRlcmFjdGlvbiBiZXR3ZWVuIGNvcnRpY2FsLXN0cmlhdGFsLXRoYWxhbWljLWNvcnRpY2FsIGJyYWluIGNpcmN1aXRzIGFuZCBhZGRpdGlvbmFsbHkgYXBwZWFycyB0byBpbnZvbHZlIHRoZSBjZXJlYmVsbHVtLiBGdXJ0aGVybW9yZSwgc3RydWN0dXJhbCBicmFpbiBpbWFnaW5nIHN0dWRpZXMgaGF2ZSBkZW1vbnN0cmF0ZWQgYWx0ZXJhdGlvbnMgaW4gZ3JleSBtYXR0ZXIgKEdNKSB2b2x1bWUgaW4gVFMgYWNyb3NzIGEgd2lkZSByYW5nZSBvZiBicmFpbiBhcmVhcywgaW5jbHVkaW5nIGFsdGVyYXRpb25zIGluIEdNIHZvbHVtZSB3aXRoaW4gdGhlIGNlcmViZWxsdW0uIFVudGlsIG5vdywgbm8gc3R1ZHkgdG8gb3VyIGtub3dsZWRnZSBoYXMgeWV0IGludmVzdGlnYXRlZCBob3cgR00gc3RydWN0dXJhbCBjb3ZhcmlhbmNlIG5ldHdvcmtzIGxpbmtlZCB0byB0aGUgY2VyZWJlbGx1bSBtYXkgYmUgYWx0ZXJlZCBpbiBpbmRpdmlkdWFscyB3aXRoIFRTLiBJbiB0aGlzIHN0dWR5IHdlIGVtcGxveWVkIHZveGVsLWJhc2VkIG1vcnBob21ldHJ5LCBhbmQgYSAnc2VlZC10by12b3hlbCcgc3RydWN0dXJhbCBjb3ZhcmlhbmNlIG5ldHdvcmsgKFNDTikgbWFwcGluZyBhcHByb2FjaCwgdG8gaW52ZXN0aWdhdGUgYWx0ZXJhdGlvbnMgaW4gR00gY2VyZWJlbGxhciB2b2x1bWUgaW4gcGVvcGxlIHdpdGggVFMsIGFuZCBhbHRlcmF0aW9ucyBpbiBjZXJlYmVsbGFyIFNDTnMgYXNzb2NpYXRlZCB3aXRoIFRTLiBEYXRhIGZyb20gNjQgeW91bmcgcGFydGljaXBhbnRzIHdhcyBlbnRlcmVkIGluIHRoZSBmaW5hbCBhbmFseXNpcywgb2Ygd2hpY2ggMjggaGFkIFRTIHdoaWxlIDM2IHdlcmUgYWdlLWFuZCBzZXgtbWF0Y2hlZCBoZWFsdGh5IHZvbHVudGVlcnMuIFVzaW5nIHRoZSBzcGF0aWFsbHkgdW5iaWFzZWQgYXRsYXMgdGVtcGxhdGUgb2YgdGhlIGNlcmViZWxsdW0gYW5kIGJyYWluc3RlbSAoU1VJVCkgYXRsYXMsIHdlIGZvdW5kIHJlZHVjZWQgR00gdm9sdW1lIGluIGNlcmViZWxsYXIgbG9idWxlIGludm9sdmVkIGluIGhpZ2hlci1vcmRlciBjb2duaXRpdmUgZnVuY3Rpb25zIGFuZCBzZW5zb3JpbW90b3IgcHJvY2Vzc2luZywgaW4gcGF0aWVudHMuIEluIGFkZGl0aW9uLCB3ZSBmb3VuZCB0aGF0IHNldmVyYWwgYXJlYXMgbG9jYXRlZCBpbiBmcm9udGFsIGFuZCBjaW5ndWxhdGUgY29ydGljZXMgYW5kIHNlbnNvcmltb3RvciBuZXR3b3JrIGluIGFkZGl0aW9uIHRvIHN1YmNvcnRpY2FsIGFyZWFzIHNob3cgYWx0ZXJlZCBzdHJ1Y3R1cmFsIGNvdmFyaWFuY2Ugd2l0aCBvdXIgY2VyZWJlbGxhciBzZWVkIGNvbXBhcmVkIHRvIGFnZS1tYXRjaGVkIGNvbnRyb2xzLiBUaGVzZSByZXN1bHRzIGFkZCB0byB0aGUgaW5jcmVhc2luZyBldmlkZW5jZSB0aGF0IGNvcnRpY28tYmFzYWwgZ2FuZ2xpYS1jZXJlYmVsbGFyIGludGVyYWN0aW9ucyBwbGF5IGFuIGltcG9ydGFudCByb2xlIGluIHRpYyBzeW1wdG9tb2xvZ3kuIiwidm9sdW1lIjoiMTI2IiwiY29udGFpbmVyLXRpdGxlLXNob3J0IjoiIn0sImlzVGVtcG9yYXJ5IjpmYWxzZX1dfQ==&quot;,&quot;citationItems&quot;:[{&quot;id&quot;:&quot;8713020c-9a1d-351a-83d9-1ad53589ea8c&quot;,&quot;itemData&quot;:{&quot;type&quot;:&quot;article-journal&quot;,&quot;id&quot;:&quot;8713020c-9a1d-351a-83d9-1ad53589ea8c&quot;,&quot;title&quot;:&quot;Alterations in cerebellar grey matter structure and covariance networks in young people with Tourette syndrome&quot;,&quot;groupId&quot;:&quot;07d62ac1-5aa8-39af-b49e-52d2088ac571&quot;,&quot;author&quot;:[{&quot;family&quot;:&quot;Sigurdsson&quot;,&quot;given&quot;:&quot;H P&quot;,&quot;parse-names&quot;:false,&quot;dropping-particle&quot;:&quot;&quot;,&quot;non-dropping-particle&quot;:&quot;&quot;},{&quot;family&quot;:&quot;Jackson&quot;,&quot;given&quot;:&quot;S R&quot;,&quot;parse-names&quot;:false,&quot;dropping-particle&quot;:&quot;&quot;,&quot;non-dropping-particle&quot;:&quot;&quot;},{&quot;family&quot;:&quot;Jolley&quot;,&quot;given&quot;:&quot;L&quot;,&quot;parse-names&quot;:false,&quot;dropping-particle&quot;:&quot;&quot;,&quot;non-dropping-particle&quot;:&quot;&quot;},{&quot;family&quot;:&quot;Mitchell&quot;,&quot;given&quot;:&quot;E&quot;,&quot;parse-names&quot;:false,&quot;dropping-particle&quot;:&quot;&quot;,&quot;non-dropping-particle&quot;:&quot;&quot;},{&quot;family&quot;:&quot;Jackson&quot;,&quot;given&quot;:&quot;G M&quot;,&quot;parse-names&quot;:false,&quot;dropping-particle&quot;:&quot;&quot;,&quot;non-dropping-particle&quot;:&quot;&quot;}],&quot;container-title&quot;:&quot;Cortex&quot;,&quot;DOI&quot;:&quot;10.1016/j.cortex.2019.12.022&quot;,&quot;PMID&quot;:&quot;32062139&quot;,&quot;issued&quot;:{&quot;date-parts&quot;:[[2020]]},&quot;page&quot;:&quot;1-15&quot;,&quot;abstract&quot;:&quot;Tourette syndrome (TS) is a childhood-onset neurological disorder characterised by the occurrence of motor and vocal tics and the presence of premonitory sensory/urge phenomena. Functional neuroimaging studies in humans, and experimental investigations in animals, have shown that the genesis of tics in TS involve a complex interaction between cortical-striatal-thalamic-cortical brain circuits and additionally appears to involve the cerebellum. Furthermore, structural brain imaging studies have demonstrated alterations in grey matter (GM) volume in TS across a wide range of brain areas, including alterations in GM volume within the cerebellum. Until now, no study to our knowledge has yet investigated how GM structural covariance networks linked to the cerebellum may be altered in individuals with TS. In this study we employed voxel-based morphometry, and a 'seed-to-voxel' structural covariance network (SCN) mapping approach, to investigate alterations in GM cerebellar volume in people with TS, and alterations in cerebellar SCNs associated with TS. Data from 64 young participants was entered in the final analysis, of which 28 had TS while 36 were age-and sex-matched healthy volunteers. Using the spatially unbiased atlas template of the cerebellum and brainstem (SUIT) atlas, we found reduced GM volume in cerebellar lobule involved in higher-order cognitive functions and sensorimotor processing, in patients. In addition, we found that several areas located in frontal and cingulate cortices and sensorimotor network in addition to subcortical areas show altered structural covariance with our cerebellar seed compared to age-matched controls. These results add to the increasing evidence that cortico-basal ganglia-cerebellar interactions play an important role in tic symptomology.&quot;,&quot;volume&quot;:&quot;126&quot;,&quot;container-title-short&quot;:&quot;&quot;},&quot;isTemporary&quot;:false}]},{&quot;citationID&quot;:&quot;MENDELEY_CITATION_70577604-44cc-47d3-8c20-7ad584d8aef4&quot;,&quot;properties&quot;:{&quot;noteIndex&quot;:0},&quot;isEdited&quot;:false,&quot;manualOverride&quot;:{&quot;isManuallyOverridden&quot;:false,&quot;citeprocText&quot;:&quot;(101)&quot;,&quot;manualOverrideText&quot;:&quot;&quot;},&quot;citationTag&quot;:&quot;MENDELEY_CITATION_v3_eyJjaXRhdGlvbklEIjoiTUVOREVMRVlfQ0lUQVRJT05fNzA1Nzc2MDQtNDRjYy00N2QzLThjMjAtN2FkNTg0ZDhhZWY0IiwicHJvcGVydGllcyI6eyJub3RlSW5kZXgiOjB9LCJpc0VkaXRlZCI6ZmFsc2UsIm1hbnVhbE92ZXJyaWRlIjp7ImlzTWFudWFsbHlPdmVycmlkZGVuIjpmYWxzZSwiY2l0ZXByb2NUZXh0IjoiKDEwMSkiLCJtYW51YWxPdmVycmlkZVRleHQiOiIifSwiY2l0YXRpb25JdGVtcyI6W3siaWQiOiI5ZWJkMmZiMS00ODNkLTMzYTQtYjQ2Zi1iNjU4YzIzY2VmMDIiLCJpdGVtRGF0YSI6eyJ0eXBlIjoiYXJ0aWNsZS1qb3VybmFsIiwiaWQiOiI5ZWJkMmZiMS00ODNkLTMzYTQtYjQ2Zi1iNjU4YzIzY2VmMDIiLCJ0aXRsZSI6IkEgZmVhc2liaWxpdHkgc3R1ZHkgZm9yIHNvbWF0b21vdG9yIGNvcnRpY2FsIG1hcHBpbmcgaW4gVG91cmV0dGUgc3luZHJvbWUgdXNpbmcgbmV1cm9uYXZpZ2F0ZWQgdHJhbnNjcmFuaWFsIG1hZ25ldGljIHN0aW11bGF0aW9uIiwiZ3JvdXBJZCI6IjA3ZDYyYWMxLTVhYTgtMzlhZi1iNDllLTUyZDIwODhhYzU3MSIsImF1dGhvciI6W3siZmFtaWx5IjoiU2lndXJkc3NvbiIsImdpdmVuIjoiSCBQIiwicGFyc2UtbmFtZXMiOmZhbHNlLCJkcm9wcGluZy1wYXJ0aWNsZSI6IiIsIm5vbi1kcm9wcGluZy1wYXJ0aWNsZSI6IiJ9LHsiZmFtaWx5IjoiSmFja3NvbiIsImdpdmVuIjoiUyBSIiwicGFyc2UtbmFtZXMiOmZhbHNlLCJkcm9wcGluZy1wYXJ0aWNsZSI6IiIsIm5vbi1kcm9wcGluZy1wYXJ0aWNsZSI6IiJ9LHsiZmFtaWx5IjoiS2ltIiwiZ2l2ZW4iOiJTIiwicGFyc2UtbmFtZXMiOmZhbHNlLCJkcm9wcGluZy1wYXJ0aWNsZSI6IiIsIm5vbi1kcm9wcGluZy1wYXJ0aWNsZSI6IiJ9LHsiZmFtaWx5IjoiRHlrZSIsImdpdmVuIjoiSyIsInBhcnNlLW5hbWVzIjpmYWxzZSwiZHJvcHBpbmctcGFydGljbGUiOiIiLCJub24tZHJvcHBpbmctcGFydGljbGUiOiIifSx7ImZhbWlseSI6IkphY2tzb24iLCJnaXZlbiI6IkcgTSIsInBhcnNlLW5hbWVzIjpmYWxzZSwiZHJvcHBpbmctcGFydGljbGUiOiIiLCJub24tZHJvcHBpbmctcGFydGljbGUiOiIifV0sImNvbnRhaW5lci10aXRsZSI6IkNvcnRleCIsIkRPSSI6IjEwLjEwMTYvai5jb3J0ZXguMjAyMC4wNC4wMTQiLCJQTUlEIjoiMzI0NzQyOTEiLCJpc3N1ZWQiOnsiZGF0ZS1wYXJ0cyI6W1syMDIwXV19LCJwYWdlIjoiMTc1LTE4NyIsImFic3RyYWN0IjoiVG91cmV0dGUgc3luZHJvbWUgKFRTKSBpcyBhIGh5cGVya2luZXRpYyBtb3ZlbWVudCBkaXNvcmRlciBjaGFyYWN0ZXJpc2VkIGJ5IHRoZSBvY2N1cnJlbmNlIG9mIGNocm9uaWMgbW90b3IgYW5kIHZvY2FsIHRpY3MsIGFuZCBpcyBhc3NvY2lhdGVkIHdpdGggYWx0ZXJhdGlvbnMgaW4gdGhlIGJhbGFuY2Ugb2YgZXhjaXRhdG9yeSBhbmQgaW5oaWJpdG9yeSBzaWduYWxsaW5nIHdpdGhpbiBrZXkgYnJhaW4gbmV0d29ya3M7IGluIHBhcnRpY3VsYXIgdGhlIGNvcnRpY2FsLXN0cmlhdGFsLXRoYWxhbWljLWNvcnRpY2FsIChDU1RDKSBicmFpbiBjaXJjdWl0cyB0aGF0IGFyZSBpbXBsaWNhdGVkIGluIG1vdmVtZW50IHNlbGVjdGlvbiBhbmQgaGFiaXQgbGVhcm5pbmcuIENvbnZlcmdpbmcgZXZpZGVuY2UgaW5kaWNhdGVzIGFibm9ybWFsIGJyYWluIG5ldHdvcmsgZnVuY3Rpb24gaW4gVFMgbWF5IGJlIGxhcmdlbHkgZHVlIHRvIHRoZSBpbXBhaXJlZCBvcGVyYXRpb24gb2YgR0FCQSBzaWduYWxsaW5nIHdpdGhpbiB0aGUgc3RyaWF0dW0gYW5kIHdpdGhpbiBjb3J0aWNhbCBtb3RvciBhcmVhcywgbGVhZGluZyB0byB0aGUgb2NjdXJyZW5jZSBvZiB0aWNzLiBUUyBoYXMgYmVlbiBsaW5rZWQgdG8gYSBoZWlnaHRlbmVkIHNlbnNpdGl2aXR5IHRvIHNvbWF0aWMgc3RpbXVsYXRpb24gYW5kIGFsdGVyZWQgcHJvY2Vzc2luZyBvZiBzb21hdG9zZW5zb3J5IGluZm9ybWF0aW9uLCBhbmQgdGhlcmUgaXMgZXZpZGVuY2UgdG8gaW5kaWNhdGUgdGhhdCBhbHRlcmF0aW9ucyBpbiBHQUJBZXJnaWMgZnVuY3Rpb24gaXMgbGlrZWx5IHRvIGNvbnRyaWJ1dGUgdG8gYWx0ZXJlZCBzb21hdG9tb3RvciBmdW5jdGlvbi4gQmFzZWQgdXBvbiB0aGlzIGV2aWRlbmNlLCB3ZSBoeXBvdGhlc2lzZWQgdGhhdCB0aGUgc3BlY2lmaWNpdHkgb2Ygc29tYXRvbW90b3IgcmVwcmVzZW50YXRpb25zIGluIHByaW1hcnkgbW90b3IgY29ydGV4IHdvdWxkIGxpa2VseSBiZSByZWR1Y2VkIGluIGluZGl2aWR1YWxzIHdpdGggVFMuIFRvIHRlc3QgdGhpcywgd2UgdXNlZCBhIHJhcGlkIGFjcXVpc2l0aW9uIG1ldGhvZCB0b2dldGhlciB3aXRoIG5ldXJvbmF2aWdhdGVkIHRyYW5zY3JhbmlhbCBtYWduZXRpYyBzdGltdWxhdGlvbiAoblRNUykgdG8gbWVhc3VyZSB0aGUgY29ydGljYWwgcmVwcmVzZW50YXRpb24gb2YgYSBzZXZlcmFsIGRpZmZlcmVudCBtdXNjbGVzIGluIGEgZ3JvdXAgb2YgeW91bmcgYWR1bHRzIHdpdGggVFMgYW5kIGEgbWF0Y2hlZCBncm91cCBvZiB0eXBpY2FsbHkgZGV2ZWxvcGluZyBpbmRpdmlkdWFscy4iLCJ2b2x1bWUiOiIxMjkiLCJjb250YWluZXItdGl0bGUtc2hvcnQiOiIifSwiaXNUZW1wb3JhcnkiOmZhbHNlfV19&quot;,&quot;citationItems&quot;:[{&quot;id&quot;:&quot;9ebd2fb1-483d-33a4-b46f-b658c23cef02&quot;,&quot;itemData&quot;:{&quot;type&quot;:&quot;article-journal&quot;,&quot;id&quot;:&quot;9ebd2fb1-483d-33a4-b46f-b658c23cef02&quot;,&quot;title&quot;:&quot;A feasibility study for somatomotor cortical mapping in Tourette syndrome using neuronavigated transcranial magnetic stimulation&quot;,&quot;groupId&quot;:&quot;07d62ac1-5aa8-39af-b49e-52d2088ac571&quot;,&quot;author&quot;:[{&quot;family&quot;:&quot;Sigurdsson&quot;,&quot;given&quot;:&quot;H P&quot;,&quot;parse-names&quot;:false,&quot;dropping-particle&quot;:&quot;&quot;,&quot;non-dropping-particle&quot;:&quot;&quot;},{&quot;family&quot;:&quot;Jackson&quot;,&quot;given&quot;:&quot;S R&quot;,&quot;parse-names&quot;:false,&quot;dropping-particle&quot;:&quot;&quot;,&quot;non-dropping-particle&quot;:&quot;&quot;},{&quot;family&quot;:&quot;Kim&quot;,&quot;given&quot;:&quot;S&quot;,&quot;parse-names&quot;:false,&quot;dropping-particle&quot;:&quot;&quot;,&quot;non-dropping-particle&quot;:&quot;&quot;},{&quot;family&quot;:&quot;Dyke&quot;,&quot;given&quot;:&quot;K&quot;,&quot;parse-names&quot;:false,&quot;dropping-particle&quot;:&quot;&quot;,&quot;non-dropping-particle&quot;:&quot;&quot;},{&quot;family&quot;:&quot;Jackson&quot;,&quot;given&quot;:&quot;G M&quot;,&quot;parse-names&quot;:false,&quot;dropping-particle&quot;:&quot;&quot;,&quot;non-dropping-particle&quot;:&quot;&quot;}],&quot;container-title&quot;:&quot;Cortex&quot;,&quot;DOI&quot;:&quot;10.1016/j.cortex.2020.04.014&quot;,&quot;PMID&quot;:&quot;32474291&quot;,&quot;issued&quot;:{&quot;date-parts&quot;:[[2020]]},&quot;page&quot;:&quot;175-187&quot;,&quot;abstract&quot;:&quot;Tourette syndrome (TS) is a hyperkinetic movement disorder characterised by the occurrence of chronic motor and vocal tics, and is associated with alterations in the balance of excitatory and inhibitory signalling within key brain networks; in particular the cortical-striatal-thalamic-cortical (CSTC) brain circuits that are implicated in movement selection and habit learning. Converging evidence indicates abnormal brain network function in TS may be largely due to the impaired operation of GABA signalling within the striatum and within cortical motor areas, leading to the occurrence of tics. TS has been linked to a heightened sensitivity to somatic stimulation and altered processing of somatosensory information, and there is evidence to indicate that alterations in GABAergic function is likely to contribute to altered somatomotor function. Based upon this evidence, we hypothesised that the specificity of somatomotor representations in primary motor cortex would likely be reduced in individuals with TS. To test this, we used a rapid acquisition method together with neuronavigated transcranial magnetic stimulation (nTMS) to measure the cortical representation of a several different muscles in a group of young adults with TS and a matched group of typically developing individuals.&quot;,&quot;volume&quot;:&quot;129&quot;,&quot;container-title-short&quot;:&quot;&quot;},&quot;isTemporary&quot;:false}]},{&quot;citationID&quot;:&quot;MENDELEY_CITATION_62c9c7b5-9e0b-403c-8451-590d8c5699f8&quot;,&quot;properties&quot;:{&quot;noteIndex&quot;:0},&quot;isEdited&quot;:false,&quot;manualOverride&quot;:{&quot;isManuallyOverridden&quot;:false,&quot;citeprocText&quot;:&quot;(29)&quot;,&quot;manualOverrideText&quot;:&quot;&quot;},&quot;citationTag&quot;:&quot;MENDELEY_CITATION_v3_eyJjaXRhdGlvbklEIjoiTUVOREVMRVlfQ0lUQVRJT05fNjJjOWM3YjUtOWUwYi00MDNjLTg0NTEtNTkwZDhjNTY5OWY4IiwicHJvcGVydGllcyI6eyJub3RlSW5kZXgiOjB9LCJpc0VkaXRlZCI6ZmFsc2UsIm1hbnVhbE92ZXJyaWRlIjp7ImlzTWFudWFsbHlPdmVycmlkZGVuIjpmYWxzZSwiY2l0ZXByb2NUZXh0IjoiKDI5KSIsIm1hbnVhbE92ZXJyaWRlVGV4dCI6IiJ9LCJjaXRhdGlvbkl0ZW1zIjpbeyJpZCI6IjI3ZmFhYjg2LTNjMjctM2Q0My1hMDg1LWJiYWU0MjA2OGE0OSIsIml0ZW1EYXRhIjp7InR5cGUiOiJhcnRpY2xlLWpvdXJuYWwiLCJpZCI6IjI3ZmFhYjg2LTNjMjctM2Q0My1hMDg1LWJiYWU0MjA2OGE0OSIsInRpdGxlIjoiVGhlIHJvbGUgb2YgdGhlIGluc3VsYSBpbiB0aGUgZ2VuZXJhdGlvbiBvZiBtb3RvciB0aWNzIGFuZCB0aGUgZXhwZXJpZW5jZSBvZiB0aGUgcHJlbW9uaXRvcnkgdXJnZS10by10aWMgaW4gVG91cmV0dGUgc3luZHJvbWUiLCJncm91cElkIjoiMDdkNjJhYzEtNWFhOC0zOWFmLWI0OWUtNTJkMjA4OGFjNTcxIiwiYXV0aG9yIjpbeyJmYW1pbHkiOiJKYWNrc29uIiwiZ2l2ZW4iOiJTIFIiLCJwYXJzZS1uYW1lcyI6ZmFsc2UsImRyb3BwaW5nLXBhcnRpY2xlIjoiIiwibm9uLWRyb3BwaW5nLXBhcnRpY2xlIjoiIn0seyJmYW1pbHkiOiJMb2F5emEiLCJnaXZlbiI6IkoiLCJwYXJzZS1uYW1lcyI6ZmFsc2UsImRyb3BwaW5nLXBhcnRpY2xlIjoiIiwibm9uLWRyb3BwaW5nLXBhcnRpY2xlIjoiIn0seyJmYW1pbHkiOiJDcmlnaHRvbiIsImdpdmVuIjoiTSIsInBhcnNlLW5hbWVzIjpmYWxzZSwiZHJvcHBpbmctcGFydGljbGUiOiIiLCJub24tZHJvcHBpbmctcGFydGljbGUiOiIifSx7ImZhbWlseSI6IlNpZ3VyZHNzb24iLCJnaXZlbiI6IkggUCIsInBhcnNlLW5hbWVzIjpmYWxzZSwiZHJvcHBpbmctcGFydGljbGUiOiIiLCJub24tZHJvcHBpbmctcGFydGljbGUiOiIifSx7ImZhbWlseSI6IkR5a2UiLCJnaXZlbiI6IksiLCJwYXJzZS1uYW1lcyI6ZmFsc2UsImRyb3BwaW5nLXBhcnRpY2xlIjoiIiwibm9uLWRyb3BwaW5nLXBhcnRpY2xlIjoiIn0seyJmYW1pbHkiOiJKYWNrc29uIiwiZ2l2ZW4iOiJHIE0iLCJwYXJzZS1uYW1lcyI6ZmFsc2UsImRyb3BwaW5nLXBhcnRpY2xlIjoiIiwibm9uLWRyb3BwaW5nLXBhcnRpY2xlIjoiIn1dLCJjb250YWluZXItdGl0bGUiOiJDb3J0ZXgiLCJET0kiOiIxMC4xMDE2L2ouY29ydGV4LjIwMTkuMTIuMDIxIiwiUE1JRCI6IjMyMDcwODA5IiwiaXNzdWVkIjp7ImRhdGUtcGFydHMiOltbMjAyMF1dfSwicGFnZSI6IjExOS0xMzMiLCJhYnN0cmFjdCI6IlRvdXJldHRlIHN5bmRyb21lIChUUykgaXMgYSBuZXVyb2xvZ2ljYWwgZGlzb3JkZXIgb2YgY2hpbGRob29kIG9uc2V0IHRoYXQgaXMgY2hhcmFjdGVyaXNlZCBieSB0aGUgb2NjdXJyZW5jZSBvZiBtb3RvciBhbmQgdm9jYWwgdGljcy4gVFMgaXMgYXNzb2NpYXRlZCB3aXRoIGNvcnRpY2FsLXN0cmlhdGFsLXRoYWxhbWljLWNvcnRpY2FsIGNpcmN1aXQgW0NTVENdIGR5c2Z1bmN0aW9uIGFuZCBoeXBlci1leGNpdGFiaWxpdHkgb2YgY29ydGljYWwgbGltYmljIGFuZCBtb3RvciByZWdpb25zIHRoYXQgYXJlIHRob3VnaHQgdG8gbGVhZCB0byB0aGUgb2NjdXJyZW5jZSBvZiB0aWNzLiBJbXBvcnRhbnRseSwgaW5kaXZpZHVhbHMgd2l0aCBUUyBvZnRlbiByZXBvcnQgdGhhdCB0aGVpciB0aWNzIGFyZSBwcmVjZWRlZCBieSAncHJlbW9uaXRvcnkgc2Vuc29yeS91cmdlIHBoZW5vbWVuYScgKFBVKSB0aGF0IGFyZSBkZXNjcmliZWQgYXMgdW5jb21mb3J0YWJsZSBib2RpbHkgc2Vuc2F0aW9ucyB0aGF0IHByZWNlZGUgdGhlIGV4ZWN1dGlvbiBvZiBhIHRpYyBhbmQgYXJlIGV4cGVyaWVuY2VkIGFzIGEgc3Ryb25nIHVyZ2UgZm9yIG1vdG9yIGRpc2NoYXJnZS4gV2hpbGUgdGhlIHByZWNpc2Ugcm9sZSBwbGF5ZWQgYnkgUFUgaW4gdGhlIG9jY3VycmVuY2Ugb2YgdGljcyBpcyBsYXJnZWx5IHVua25vd24sIHRoZXkgYXJlIG5vbmV0aGVsZXNzIG9mIGNvbnNpZGVyYWJsZSB0aGVvcmV0aWNhbCBhbmQgY2xpbmljYWwgaW1wb3J0YW5jZSwgbm90IGxlYXN0IGJlY2F1c2UgdGhleSBmb3JtIHRoZSBjb3JlIGNvbXBvbmVudCBpbiBtYW55IGJlaGF2aW91cmFsIHRoZXJhcGllcyB1c2VkIGluIHRoZSB0cmVhdG1lbnQgb2YgdGljIGRpc29yZGVycy4gU2V2ZXJhbCBsaW5lcyBvZiBldmlkZW5jZSBpbmRpY2F0ZSB0aGF0IHRoZSBpbnN1bGFyIGNvcnRleCBtYXkgcGxheSBhIHBhcnRpY3VsYXJseSBpbXBvcnRhbnQgcm9sZSBpbiB0aGUgZ2VuZXJhdGlvbiBvZiBQVSBpbiBUUyBhbmQgJ3VyZ2VzLWZvci1hY3Rpb24nIG1vcmUgZ2VuZXJhbGx5LiBJbiB0aGUgY3VycmVudCBzdHVkeSB3ZSB1dGlsaXNlZCB2b3hlbC1iYXNlZCBtb3JwaG9tZXRyeSB0ZWNobmlxdWVzIHRvZ2V0aGVyIHdpdGggJ3NlZWQtdG8tdm94ZWwnIHN0cnVjdHVyYWwgY292YXJpYW5jZSBuZXR3b3JrIChTQ04pIG1hcHBpbmcgdG8gaW52ZXN0aWdhdGUgdGhlIHB1dGF0aXZlIHJvbGUgcGxheWVkIGJ5IHRoZSByaWdodCBpbnN1bGFyIGNvcnRleCBpbiB0aGUgZ2VuZXJhdGlvbiBvZiBtb3RvciB0aWNzIGFuZCB0aGUgZXhwZXJpZW5jZSBvZiBQVSBpbiBhIHJlbGF0aXZlbHkgbGFyZ2UgZ3JvdXAgb2YgeW91bmcgcGVvcGxlIFRTLiBXZSBkZW1vbnN0cmF0ZSB0aGF0IGNsaW5pY2FsIG1lYXN1cmVzIG9mIG1vdG9yIHRpYyBzZXZlcml0eSBhbmQgUFUgYXJlIHVuY29ycmVsYXRlZCB3aXRoIG9uZSBhbm90aGVyLCB0aGF0IG1vdG9yIHRpYyBzZXZlcml0eSBhbmQgUFUgc2NvcmVzIGFyZSBhc3NvY2lhdGVkIHdpdGggc2VwYXJhdGUgcmVnaW9ucyBvZiB0aGUgaW5zdWxhciBjb3J0ZXgsIGFuZCB0aGF0IHRoZSBpbnN1bGEgaXMgYXNzb2NpYXRlZCB3aXRoIGRpZmZlcmVudCBzdHJ1Y3R1cmFsIGNvdmFyaWFuY2UgbmV0d29ya3MgaW4gaW5kaXZpZHVhbHMgd2l0aCBUUyBjb21wYXJlZCB0byBhIG1hdGNoZWQgZ3JvdXAgb2YgdHlwaWNhbGx5IGRldmVsb3BpbmcgaW5kaXZpZHVhbHMuIiwidm9sdW1lIjoiMTI2IiwiY29udGFpbmVyLXRpdGxlLXNob3J0IjoiIn0sImlzVGVtcG9yYXJ5IjpmYWxzZX1dfQ==&quot;,&quot;citationItems&quot;:[{&quot;id&quot;:&quot;27faab86-3c27-3d43-a085-bbae42068a49&quot;,&quot;itemData&quot;:{&quot;type&quot;:&quot;article-journal&quot;,&quot;id&quot;:&quot;27faab86-3c27-3d43-a085-bbae42068a49&quot;,&quot;title&quot;:&quot;The role of the insula in the generation of motor tics and the experience of the premonitory urge-to-tic in Tourette syndrome&quot;,&quot;groupId&quot;:&quot;07d62ac1-5aa8-39af-b49e-52d2088ac571&quot;,&quot;author&quot;:[{&quot;family&quot;:&quot;Jackson&quot;,&quot;given&quot;:&quot;S R&quot;,&quot;parse-names&quot;:false,&quot;dropping-particle&quot;:&quot;&quot;,&quot;non-dropping-particle&quot;:&quot;&quot;},{&quot;family&quot;:&quot;Loayza&quot;,&quot;given&quot;:&quot;J&quot;,&quot;parse-names&quot;:false,&quot;dropping-particle&quot;:&quot;&quot;,&quot;non-dropping-particle&quot;:&quot;&quot;},{&quot;family&quot;:&quot;Crighton&quot;,&quot;given&quot;:&quot;M&quot;,&quot;parse-names&quot;:false,&quot;dropping-particle&quot;:&quot;&quot;,&quot;non-dropping-particle&quot;:&quot;&quot;},{&quot;family&quot;:&quot;Sigurdsson&quot;,&quot;given&quot;:&quot;H P&quot;,&quot;parse-names&quot;:false,&quot;dropping-particle&quot;:&quot;&quot;,&quot;non-dropping-particle&quot;:&quot;&quot;},{&quot;family&quot;:&quot;Dyke&quot;,&quot;given&quot;:&quot;K&quot;,&quot;parse-names&quot;:false,&quot;dropping-particle&quot;:&quot;&quot;,&quot;non-dropping-particle&quot;:&quot;&quot;},{&quot;family&quot;:&quot;Jackson&quot;,&quot;given&quot;:&quot;G M&quot;,&quot;parse-names&quot;:false,&quot;dropping-particle&quot;:&quot;&quot;,&quot;non-dropping-particle&quot;:&quot;&quot;}],&quot;container-title&quot;:&quot;Cortex&quot;,&quot;DOI&quot;:&quot;10.1016/j.cortex.2019.12.021&quot;,&quot;PMID&quot;:&quot;32070809&quot;,&quot;issued&quot;:{&quot;date-parts&quot;:[[2020]]},&quot;page&quot;:&quot;119-133&quot;,&quot;abstract&quot;:&quot;Tourette syndrome (TS) is a neurological disorder of childhood onset that is characterised by the occurrence of motor and vocal tics. TS is associated with cortical-striatal-thalamic-cortical circuit [CSTC] dysfunction and hyper-excitability of cortical limbic and motor regions that are thought to lead to the occurrence of tics. Importantly, individuals with TS often report that their tics are preceded by 'premonitory sensory/urge phenomena' (PU) that are described as uncomfortable bodily sensations that precede the execution of a tic and are experienced as a strong urge for motor discharge. While the precise role played by PU in the occurrence of tics is largely unknown, they are nonetheless of considerable theoretical and clinical importance, not least because they form the core component in many behavioural therapies used in the treatment of tic disorders. Several lines of evidence indicate that the insular cortex may play a particularly important role in the generation of PU in TS and 'urges-for-action' more generally. In the current study we utilised voxel-based morphometry techniques together with 'seed-to-voxel' structural covariance network (SCN) mapping to investigate the putative role played by the right insular cortex in the generation of motor tics and the experience of PU in a relatively large group of young people TS. We demonstrate that clinical measures of motor tic severity and PU are uncorrelated with one another, that motor tic severity and PU scores are associated with separate regions of the insular cortex, and that the insula is associated with different structural covariance networks in individuals with TS compared to a matched group of typically developing individuals.&quot;,&quot;volume&quot;:&quot;126&quot;,&quot;container-title-short&quot;:&quot;&quot;},&quot;isTemporary&quot;:false}]},{&quot;citationID&quot;:&quot;MENDELEY_CITATION_94330048-ecaa-4104-a76d-853ba7ab74ea&quot;,&quot;properties&quot;:{&quot;noteIndex&quot;:0},&quot;isEdited&quot;:false,&quot;manualOverride&quot;:{&quot;isManuallyOverridden&quot;:false,&quot;citeprocText&quot;:&quot;(102)&quot;,&quot;manualOverrideText&quot;:&quot;&quot;},&quot;citationTag&quot;:&quot;MENDELEY_CITATION_v3_eyJjaXRhdGlvbklEIjoiTUVOREVMRVlfQ0lUQVRJT05fOTQzMzAwNDgtZWNhYS00MTA0LWE3NmQtODUzYmE3YWI3NGVhIiwicHJvcGVydGllcyI6eyJub3RlSW5kZXgiOjB9LCJpc0VkaXRlZCI6ZmFsc2UsIm1hbnVhbE92ZXJyaWRlIjp7ImlzTWFudWFsbHlPdmVycmlkZGVuIjpmYWxzZSwiY2l0ZXByb2NUZXh0IjoiKDEwMikiLCJtYW51YWxPdmVycmlkZVRleHQiOiIifSwiY2l0YXRpb25JdGVtcyI6W3siaWQiOiIxYjEwNGI3YS1hMTZiLTNhYmMtYjk5NC03MTIwNjJlYWIyM2MiLCJpdGVtRGF0YSI6eyJ0eXBlIjoiYXJ0aWNsZS1qb3VybmFsIiwiaWQiOiIxYjEwNGI3YS1hMTZiLTNhYmMtYjk5NC03MTIwNjJlYWIyM2MiLCJ0aXRsZSI6IlRoZSByb2xlIG9mIHRoZSBjaW5ndWxhdGUgY29ydGV4IGluIHRoZSBnZW5lcmF0aW9uIG9mIG1vdG9yIHRpY3MgYW5kIHRoZSBleHBlcmllbmNlIG9mIHRoZSBwcmVtb25pdG9yeSB1cmdlLXRvLXRpYyBpbiBUb3VyZXR0ZSBzeW5kcm9tZSIsImdyb3VwSWQiOiIwN2Q2MmFjMS01YWE4LTM5YWYtYjQ5ZS01MmQyMDg4YWM1NzEiLCJhdXRob3IiOlt7ImZhbWlseSI6IkphY2tzb24iLCJnaXZlbiI6IlMgUiIsInBhcnNlLW5hbWVzIjpmYWxzZSwiZHJvcHBpbmctcGFydGljbGUiOiIiLCJub24tZHJvcHBpbmctcGFydGljbGUiOiIifSx7ImZhbWlseSI6IlNpZ3VyZHNzb24iLCJnaXZlbiI6IkggUCIsInBhcnNlLW5hbWVzIjpmYWxzZSwiZHJvcHBpbmctcGFydGljbGUiOiIiLCJub24tZHJvcHBpbmctcGFydGljbGUiOiIifSx7ImZhbWlseSI6IkR5a2UiLCJnaXZlbiI6IksiLCJwYXJzZS1uYW1lcyI6ZmFsc2UsImRyb3BwaW5nLXBhcnRpY2xlIjoiIiwibm9uLWRyb3BwaW5nLXBhcnRpY2xlIjoiIn0seyJmYW1pbHkiOiJDb25kb24iLCJnaXZlbiI6Ik0iLCJwYXJzZS1uYW1lcyI6ZmFsc2UsImRyb3BwaW5nLXBhcnRpY2xlIjoiIiwibm9uLWRyb3BwaW5nLXBhcnRpY2xlIjoiIn0seyJmYW1pbHkiOiJKYWNrc29uIiwiZ2l2ZW4iOiJHIE0iLCJwYXJzZS1uYW1lcyI6ZmFsc2UsImRyb3BwaW5nLXBhcnRpY2xlIjoiIiwibm9uLWRyb3BwaW5nLXBhcnRpY2xlIjoiIn1dLCJjb250YWluZXItdGl0bGUiOiJKIE5ldXJvcHN5Y2hvbCIsIkRPSSI6IjEwLjExMTEvam5wLjEyMjQyIiwiUE1JRCI6IjMzNzc0OTE5IiwiaXNzdWVkIjp7ImRhdGUtcGFydHMiOltbMjAyMV1dfSwicGFnZSI6IjM0MC0zNjIiLCJhYnN0cmFjdCI6IlRvdXJldHRlIHN5bmRyb21lIChUUykgaXMgYSBuZXVyb2xvZ2ljYWwgZGlzb3JkZXIgb2YgY2hpbGRob29kIG9uc2V0IHRoYXQgaXMgY2hhcmFjdGVyaXplZCBieSB0aGUgb2NjdXJyZW5jZSBvZiBtb3RvciBhbmQgdm9jYWwgdGljcy4gVFMgaXMgYXNzb2NpYXRlZCB3aXRoIGNvcnRpY2FsLXN0cmlhdGFsLXRoYWxhbWljLWNvcnRpY2FsIGNpcmN1aXQgW0NTVENdIGR5c2Z1bmN0aW9uIGFuZCBoeXBlci1leGNpdGFiaWxpdHkgb2YgY29ydGljYWwgbGltYmljIGFuZCBtb3RvciByZWdpb25zIHRoYXQgYXJlIHRob3VnaHQgdG8gbGVhZCB0byB0aGUgb2NjdXJyZW5jZSBvZiB0aWNzLiBJbmRpdmlkdWFscyB3aXRoIFRTIG9mdGVuIHJlcG9ydCB0aGF0IHRoZWlyIHRpY3MgYXJlIHByZWNlZGVkIGJ5ICdwcmVtb25pdG9yeSBzZW5zb3J5L3VyZ2UgcGhlbm9tZW5hJyAoUFUpIHRoYXQgYXJlIGRlc2NyaWJlZCBhcyB1bmNvbWZvcnRhYmxlIGJvZGlseSBzZW5zYXRpb25zIHRoYXQgcHJlY2VkZSB0aGUgZXhlY3V0aW9uIG9mIGEgdGljIGFuZCBhcmUgZXhwZXJpZW5jZWQgYXMgYSBzdHJvbmcgdXJnZSBmb3IgbW90b3IgZGlzY2hhcmdlLiBXaGlsZSB0aGUgcHJlY2lzZSByb2xlIHBsYXllZCBieSBQVSBpbiB0aGUgb2NjdXJyZW5jZSBvZiB0aWNzIGlzIGxhcmdlbHkgdW5rbm93biwgdGhleSBhcmUgbm9uZXRoZWxlc3Mgb2YgY29uc2lkZXJhYmxlIHRoZW9yZXRpY2FsIGFuZCBjbGluaWNhbCBpbXBvcnRhbmNlIGFzIHRoZXkgZm9ybSBhIGNvcmUgY29tcG9uZW50IG9mIG1hbnkgYmVoYXZpb3VyYWwgdGhlcmFwaWVzIHVzZWQgaW4gdGhlIHRyZWF0bWVudCBvZiB0aWMgZGlzb3JkZXJzLiBSZWNlbnQgZXZpZGVuY2UgaW5kaWNhdGVzIHRoYXQgdGhlIGNpbmd1bGF0ZSBjb3J0ZXggbWF5IHBsYXkgYW4gaW1wb3J0YW50IHJvbGUgaW4gdGhlIGdlbmVyYXRpb24gb2YgUFUgaW4gVFMsIGFuZCBpbiAndXJnZXMtZm9yLWFjdGlvbicgbW9yZSBnZW5lcmFsbHkuIEluIHRoZSBjdXJyZW50IHN0dWR5LCB3ZSB1dGlsaXplZCB2b3hlbC1iYXNlZCBtb3JwaG9tZXRyeSAoVkJNKSB0ZWNobmlxdWVzLCB0b2dldGhlciB3aXRoICdzZWVkLXRvLXZveGVsJyBzdHJ1Y3R1cmFsIGNvdmFyaWFuY2UgbmV0d29yayAoU0NOKSBtYXBwaW5nLCB0byBpbnZlc3RpZ2F0ZSB0aGUgcHV0YXRpdmUgcm9sZSBwbGF5ZWQgYnkgdGhlIGNpbmd1bGF0ZSBjb3J0ZXggaW4gdGhlIGdlbmVyYXRpb24gb2YgbW90b3IgdGljcyBhbmQgdGhlIGV4cGVyaWVuY2Ugb2YgUFUgaW4gYSByZWxhdGl2ZWx5IGxhcmdlIGdyb3VwIG9mIHlvdW5nIHBlb3BsZSB3aXRoIFRTLiBXaG9sZS1icmFpbiBWQk0gYW5hbHlzaXMgcmV2ZWFsZWQgdGhhdCBUUyB3YXMgYXNzb2NpYXRlZCB3aXRoIGNsdXN0ZXJzIG9mIHNpZ25pZmljYW50bHkgcmVkdWNlZCBncmV5IG1hdHRlciB2b2x1bWVzIGJpbGF0ZXJhbGx5IHdpdGhpbjogdGhlIG9yYml0by1mcm9udGFsIGNvcnRleDsgdGhlIGNlcmViZWxsdW07IGFuZCB0aGUgYW50ZXJpb3IgYW5kIG1pZC1jaW5ndWxhdGUgY29ydGV4LiBTaW1pbGFybHksIGFuYWx5c2lzIG9mIFNDTnMgYXNzb2NpYXRlZCB3aXRoIGJpbGF0ZXJhbCBtaWQtIGFuZCBhbnRlcmlvciBjaW5ndWxhdGUgJ3NlZWQnIHJlZ2lvbnMgZGVtb25zdHJhdGVkIHRoYXQgVFMgaXMgYXNzb2NpYXRlZCB3aXRoIGluY3JlYXNlZCBzdHJ1Y3R1cmFsIGNvdmFyaWFuY2UgcHJpbWFyaWx5IHdpdGggdGhlIGJpbGF0ZXJhbCBtb3RvciBjZXJlYmVsbHVtOyB0aGUgaW5mZXJpb3IgZnJvbnRhbCBjb3J0ZXg7IGFuZCB0aGUgcG9zdGVyaW9yIGNpbmd1bGF0ZSBjb3J0ZXguIiwiaXNzdWUiOiIzIiwidm9sdW1lIjoiMTUiLCJjb250YWluZXItdGl0bGUtc2hvcnQiOiIifSwiaXNUZW1wb3JhcnkiOmZhbHNlfV19&quot;,&quot;citationItems&quot;:[{&quot;id&quot;:&quot;1b104b7a-a16b-3abc-b994-712062eab23c&quot;,&quot;itemData&quot;:{&quot;type&quot;:&quot;article-journal&quot;,&quot;id&quot;:&quot;1b104b7a-a16b-3abc-b994-712062eab23c&quot;,&quot;title&quot;:&quot;The role of the cingulate cortex in the generation of motor tics and the experience of the premonitory urge-to-tic in Tourette syndrome&quot;,&quot;groupId&quot;:&quot;07d62ac1-5aa8-39af-b49e-52d2088ac571&quot;,&quot;author&quot;:[{&quot;family&quot;:&quot;Jackson&quot;,&quot;given&quot;:&quot;S R&quot;,&quot;parse-names&quot;:false,&quot;dropping-particle&quot;:&quot;&quot;,&quot;non-dropping-particle&quot;:&quot;&quot;},{&quot;family&quot;:&quot;Sigurdsson&quot;,&quot;given&quot;:&quot;H P&quot;,&quot;parse-names&quot;:false,&quot;dropping-particle&quot;:&quot;&quot;,&quot;non-dropping-particle&quot;:&quot;&quot;},{&quot;family&quot;:&quot;Dyke&quot;,&quot;given&quot;:&quot;K&quot;,&quot;parse-names&quot;:false,&quot;dropping-particle&quot;:&quot;&quot;,&quot;non-dropping-particle&quot;:&quot;&quot;},{&quot;family&quot;:&quot;Condon&quot;,&quot;given&quot;:&quot;M&quot;,&quot;parse-names&quot;:false,&quot;dropping-particle&quot;:&quot;&quot;,&quot;non-dropping-particle&quot;:&quot;&quot;},{&quot;family&quot;:&quot;Jackson&quot;,&quot;given&quot;:&quot;G M&quot;,&quot;parse-names&quot;:false,&quot;dropping-particle&quot;:&quot;&quot;,&quot;non-dropping-particle&quot;:&quot;&quot;}],&quot;container-title&quot;:&quot;J Neuropsychol&quot;,&quot;DOI&quot;:&quot;10.1111/jnp.12242&quot;,&quot;PMID&quot;:&quot;33774919&quot;,&quot;issued&quot;:{&quot;date-parts&quot;:[[2021]]},&quot;page&quot;:&quot;340-362&quot;,&quot;abstract&quot;:&quot;Tourette syndrome (TS) is a neurological disorder of childhood onset that is characterized by the occurrence of motor and vocal tics. TS is associated with cortical-striatal-thalamic-cortical circuit [CSTC] dysfunction and hyper-excitability of cortical limbic and motor regions that are thought to lead to the occurrence of tics. Individuals with TS often report that their tics are preceded by 'premonitory sensory/urge phenomena' (PU) that are described as uncomfortable bodily sensations that precede the execution of a tic and are experienced as a strong urge for motor discharge. While the precise role played by PU in the occurrence of tics is largely unknown, they are nonetheless of considerable theoretical and clinical importance as they form a core component of many behavioural therapies used in the treatment of tic disorders. Recent evidence indicates that the cingulate cortex may play an important role in the generation of PU in TS, and in 'urges-for-action' more generally. In the current study, we utilized voxel-based morphometry (VBM) techniques, together with 'seed-to-voxel' structural covariance network (SCN) mapping, to investigate the putative role played by the cingulate cortex in the generation of motor tics and the experience of PU in a relatively large group of young people with TS. Whole-brain VBM analysis revealed that TS was associated with clusters of significantly reduced grey matter volumes bilaterally within: the orbito-frontal cortex; the cerebellum; and the anterior and mid-cingulate cortex. Similarly, analysis of SCNs associated with bilateral mid- and anterior cingulate 'seed' regions demonstrated that TS is associated with increased structural covariance primarily with the bilateral motor cerebellum; the inferior frontal cortex; and the posterior cingulate cortex.&quot;,&quot;issue&quot;:&quot;3&quot;,&quot;volume&quot;:&quot;15&quot;,&quot;container-title-short&quot;:&quot;&quot;},&quot;isTemporary&quot;:false}]},{&quot;citationID&quot;:&quot;MENDELEY_CITATION_4bd2e215-a40f-4035-a611-5f01d69bdd19&quot;,&quot;properties&quot;:{&quot;noteIndex&quot;:0},&quot;isEdited&quot;:false,&quot;manualOverride&quot;:{&quot;isManuallyOverridden&quot;:false,&quot;citeprocText&quot;:&quot;(42)&quot;,&quot;manualOverrideText&quot;:&quot;&quot;},&quot;citationTag&quot;:&quot;MENDELEY_CITATION_v3_eyJjaXRhdGlvbklEIjoiTUVOREVMRVlfQ0lUQVRJT05fNGJkMmUyMTUtYTQwZi00MDM1LWE2MTEtNWYwMWQ2OWJkZDE5IiwicHJvcGVydGllcyI6eyJub3RlSW5kZXgiOjB9LCJpc0VkaXRlZCI6ZmFsc2UsIm1hbnVhbE92ZXJyaWRlIjp7ImlzTWFudWFsbHlPdmVycmlkZGVuIjpmYWxzZSwiY2l0ZXByb2NUZXh0IjoiKDQyKSIsIm1hbnVhbE92ZXJyaWRlVGV4dCI6IiJ9LCJjaXRhdGlvbkl0ZW1zIjpbeyJpZCI6IjZlZGZkMjczLWQ4NGQtMzQwYS05MzhhLTQ0M2MyZmI3NzIxYyIsIml0ZW1EYXRhIjp7InR5cGUiOiJhcnRpY2xlLWpvdXJuYWwiLCJpZCI6IjZlZGZkMjczLWQ4NGQtMzQwYS05MzhhLTQ0M2MyZmI3NzIxYyIsInRpdGxlIjoiQWx0ZXJlZCBzeW5hcHRpYyBwbGFzdGljaXR5IGluIFRvdXJldHRlJ3Mgc3luZHJvbWUgYW5kIGl0cyByZWxhdGlvbnNoaXAgdG8gbW90b3Igc2tpbGwgbGVhcm5pbmciLCJncm91cElkIjoiMDdkNjJhYzEtNWFhOC0zOWFmLWI0OWUtNTJkMjA4OGFjNTcxIiwiYXV0aG9yIjpbeyJmYW1pbHkiOiJCcmFuZHQiLCJnaXZlbiI6IlYgQyIsInBhcnNlLW5hbWVzIjpmYWxzZSwiZHJvcHBpbmctcGFydGljbGUiOiIiLCJub24tZHJvcHBpbmctcGFydGljbGUiOiIifSx7ImZhbWlseSI6Ik5pZXNzZW4iLCJnaXZlbiI6IkUiLCJwYXJzZS1uYW1lcyI6ZmFsc2UsImRyb3BwaW5nLXBhcnRpY2xlIjoiIiwibm9uLWRyb3BwaW5nLXBhcnRpY2xlIjoiIn0seyJmYW1pbHkiOiJHYW5vcyIsImdpdmVuIjoiQyIsInBhcnNlLW5hbWVzIjpmYWxzZSwiZHJvcHBpbmctcGFydGljbGUiOiIiLCJub24tZHJvcHBpbmctcGFydGljbGUiOiIifSx7ImZhbWlseSI6IkthaGwiLCJnaXZlbiI6IlUiLCJwYXJzZS1uYW1lcyI6ZmFsc2UsImRyb3BwaW5nLXBhcnRpY2xlIjoiIiwibm9uLWRyb3BwaW5nLXBhcnRpY2xlIjoiIn0seyJmYW1pbHkiOiJCw6R1bWVyIiwiZ2l2ZW4iOiJUIiwicGFyc2UtbmFtZXMiOmZhbHNlLCJkcm9wcGluZy1wYXJ0aWNsZSI6IiIsIm5vbi1kcm9wcGluZy1wYXJ0aWNsZSI6IiJ9LHsiZmFtaWx5IjoiTcO8bmNoYXUiLCJnaXZlbiI6IkEiLCJwYXJzZS1uYW1lcyI6ZmFsc2UsImRyb3BwaW5nLXBhcnRpY2xlIjoiIiwibm9uLWRyb3BwaW5nLXBhcnRpY2xlIjoiIn1dLCJjb250YWluZXItdGl0bGUiOiJQTG9TIE9uZSIsIkRPSSI6IjEwLjEzNzEvam91cm5hbC5wb25lLjAwOTg0MTciLCJQTUlEIjoiMjQ4Nzg2NjUiLCJpc3N1ZWQiOnsiZGF0ZS1wYXJ0cyI6W1syMDE0XV19LCJwYWdlIjoiZTk4NDE3LSIsImFic3RyYWN0IjoiR2lsbGVzIGRlIGxhIFRvdXJldHRlIHN5bmRyb21lIGlzIGEgbmV1cm9wc3ljaGlhdHJpYyBkaXNvcmRlciBjaGFyYWN0ZXJpemVkIGJ5IG1vdG9yIGFuZCBwaG9uaWMgdGljcyB0aGF0IGNhbiBiZSBjb25zaWRlcmVkIG1vdG9yIHJlc3BvbnNlcyB0byBwcmVjZWRpbmcgaW5uZXIgdXJnZXMuIEl0IGhhcyBiZWVuIHNob3duIHRoYXQgVG91cmV0dGUgcGF0aWVudHMgaGF2ZSBpbmZlcmlvciBwZXJmb3JtYW5jZSBpbiBzb21lIG1vdG9yIGxlYXJuaW5nIHRhc2tzIGFuZCByZWR1Y2VkIHN5bmFwdGljIHBsYXN0aWNpdHkgaW5kdWNlZCBieSB0cmFuc2NyYW5pYWwgbWFnbmV0aWMgc3RpbXVsYXRpb24uIEhvd2V2ZXIsIGl0IGhhcyBub3QgYmVlbiBpbnZlc3RpZ2F0ZWQgd2hldGhlciBhbHRlcmVkIHN5bmFwdGljIHBsYXN0aWNpdHkgaXMgZGlyZWN0bHkgbGlua2VkIHRvIGltcGFpcmVkIG1vdG9yIHNraWxsIGFjcXVpc2l0aW9uIGluIFRvdXJldHRlIHBhdGllbnRzLiBJbiB0aGlzIHN0dWR5LCBjb3J0aWNhbCBwbGFzdGljaXR5IHdhcyBhc3Nlc3NlZCBieSBtZWFzdXJpbmcgbW90b3ItZXZva2VkIHBvdGVudGlhbHMgYmVmb3JlIGFuZCBhZnRlciBwYWlyZWQgYXNzb2NpYXRpdmUgc3RpbXVsYXRpb24gaW4gMTQgVG91cmV0dGUgcGF0aWVudHMgKDEzIG1hbGU7IGFnZSAxOC0zOSkgYW5kIDE1IGhlYWx0aHkgY29udHJvbHMgKDEyIG1hbGU7IGFnZSAxOC0zMykuIFRpYyBhbmQgdXJnZSBzZXZlcml0eSB3ZXJlIGFzc2Vzc2VkIHVzaW5nIHRoZSBZYWxlIEdsb2JhbCBUaWMgU2V2ZXJpdHkgU2NhbGUgYW5kIHRoZSBQcmVtb25pdG9yeSBVcmdlcyBmb3IgVGljcyBTY2FsZS4gTW90b3IgbGVhcm5pbmcgd2FzIGFzc2Vzc2VkIDQ1IG1pbnV0ZXMgYWZ0ZXIgaW5kdWNpbmcgc3luYXB0aWMgcGxhc3RpY2l0eSBhbmQgOSBtb250aHMgbGF0ZXIsIHVzaW5nIHRoZSByb3RhcnkgcHVyc3VpdCB0YXNrLiBPbiBhdmVyYWdlLCBsb25nLXRlcm0gcG90ZW50aWF0aW9uLWxpa2UgZWZmZWN0cyBpbiByZXNwb25zZSB0byB0aGUgcGFpcmVkIGFzc29jaWF0aXZlIHN0aW11bGF0aW9uIHdlcmUgcHJlc2VudCBpbiBoZWFsdGh5IGNvbnRyb2xzIGJ1dCBub3QgaW4gcGF0aWVudHMuIEluIFRvdXJldHRlIHBhdGllbnRzLCBsb25nLXRlcm0gcG90ZW50aWF0aW9uLWxpa2UgZWZmZWN0cyB3ZXJlIGFzc29jaWF0ZWQgd2l0aCBtb3JlIGFuZCBsb25nLXRlcm0gZGVwcmVzc2lvbi1saWtlIGVmZmVjdHMgd2l0aCBsZXNzIHNldmVyZSB1cmdlcyBhbmQgdGljcy4gV2hpbGUgbW90b3IgbGVhcm5pbmcgZGlkIG5vdCBkaWZmZXIgYmV0d2VlbiBwYXRpZW50cyBhbmQgaGVhbHRoeSBjb250cm9scyA0NSBtaW51dGVzIGFmdGVyIGluZHVjaW5nIHN5bmFwdGljIHBsYXN0aWNpdHksIHRoZSBsZWFybmluZyBjdXJ2ZSBvZiB0aGUgaGVhbHRoeSBjb250cm9scyBzdGFydGVkIGF0IGEgc2lnbmlmaWNhbnRseSBoaWdoZXIgbGV2ZWwgdGhhbiB0aGUgVG91cmV0dGUgcGF0aWVudHMnIDkgbW9udGhzIGxhdGVyLiBJbmR1Y2VkIHN5bmFwdGljIHBsYXN0aWNpdHkgY29ycmVsYXRlZCBwb3NpdGl2ZWx5IHdpdGggbW90b3Igc2tpbGxzIGluIGhlYWx0aHkgY29udHJvbHMgOSBtb250aHMgbGF0ZXIuIFRoZSBwcmVzZW50IHN0dWR5IGNvbmZpcm1zIHByZXZpb3VzbHkgZm91bmQgbG9uZy10ZXJtIGltcHJvdmVtZW50IGluIG1vdG9yIHBlcmZvcm1hbmNlIGFmdGVyIHBhaXJlZCBhc3NvY2lhdGl2ZSBzdGltdWxhdGlvbiBpbiBoZWFsdGh5IGNvbnRyb2xzIGJ1dCBub3QgaW4gVG91cmV0dGUgcGF0aWVudHMuIFRvdXJldHRlIHBhdGllbnRzIGRpZCBub3Qgc2hvdyBsb25nLXRlcm0gcG90ZW50aWF0aW9uIGluIHJlc3BvbnNlIHRvIFBBUyBhbmQgYWxzbyBzaG93ZWQgcmVkdWNlZCBsZXZlbHMgb2YgbW90b3Igc2tpbGwgY29uc29saWRhdGlvbiBhZnRlciA5IG1vbnRocyBjb21wYXJlZCB0byBoZWFsdGh5IGNvbnRyb2xzLiBNb3Jlb3Zlciwgc3luYXB0aWMgcGxhc3RpY2l0eSBhcHBlYXJzIHRvIGJlIHJlbGF0ZWQgdG8gc3ltcHRvbSBzZXZlcml0eS4iLCJpc3N1ZSI6IjUiLCJ2b2x1bWUiOiI5IiwiY29udGFpbmVyLXRpdGxlLXNob3J0IjoiUExvUyBPbmUifSwiaXNUZW1wb3JhcnkiOmZhbHNlfV19&quot;,&quot;citationItems&quot;:[{&quot;id&quot;:&quot;6edfd273-d84d-340a-938a-443c2fb7721c&quot;,&quot;itemData&quot;:{&quot;type&quot;:&quot;article-journal&quot;,&quot;id&quot;:&quot;6edfd273-d84d-340a-938a-443c2fb7721c&quot;,&quot;title&quot;:&quot;Altered synaptic plasticity in Tourette's syndrome and its relationship to motor skill learning&quot;,&quot;groupId&quot;:&quot;07d62ac1-5aa8-39af-b49e-52d2088ac571&quot;,&quot;author&quot;:[{&quot;family&quot;:&quot;Brandt&quot;,&quot;given&quot;:&quot;V C&quot;,&quot;parse-names&quot;:false,&quot;dropping-particle&quot;:&quot;&quot;,&quot;non-dropping-particle&quot;:&quot;&quot;},{&quot;family&quot;:&quot;Niessen&quot;,&quot;given&quot;:&quot;E&quot;,&quot;parse-names&quot;:false,&quot;dropping-particle&quot;:&quot;&quot;,&quot;non-dropping-particle&quot;:&quot;&quot;},{&quot;family&quot;:&quot;Ganos&quot;,&quot;given&quot;:&quot;C&quot;,&quot;parse-names&quot;:false,&quot;dropping-particle&quot;:&quot;&quot;,&quot;non-dropping-particle&quot;:&quot;&quot;},{&quot;family&quot;:&quot;Kahl&quot;,&quot;given&quot;:&quot;U&quot;,&quot;parse-names&quot;:false,&quot;dropping-particle&quot;:&quot;&quot;,&quot;non-dropping-particle&quot;:&quot;&quot;},{&quot;family&quot;:&quot;Bäumer&quot;,&quot;given&quot;:&quot;T&quot;,&quot;parse-names&quot;:false,&quot;dropping-particle&quot;:&quot;&quot;,&quot;non-dropping-particle&quot;:&quot;&quot;},{&quot;family&quot;:&quot;Münchau&quot;,&quot;given&quot;:&quot;A&quot;,&quot;parse-names&quot;:false,&quot;dropping-particle&quot;:&quot;&quot;,&quot;non-dropping-particle&quot;:&quot;&quot;}],&quot;container-title&quot;:&quot;PLoS One&quot;,&quot;DOI&quot;:&quot;10.1371/journal.pone.0098417&quot;,&quot;PMID&quot;:&quot;24878665&quot;,&quot;issued&quot;:{&quot;date-parts&quot;:[[2014]]},&quot;page&quot;:&quot;e98417-&quot;,&quot;abstract&quot;:&quot;Gilles de la Tourette syndrome is a neuropsychiatric disorder characterized by motor and phonic tics that can be considered motor responses to preceding inner urges. It has been shown that Tourette patients have inferior performance in some motor learning tasks and reduced synaptic plasticity induced by transcranial magnetic stimulation. However, it has not been investigated whether altered synaptic plasticity is directly linked to impaired motor skill acquisition in Tourette patients. In this study, cortical plasticity was assessed by measuring motor-evoked potentials before and after paired associative stimulation in 14 Tourette patients (13 male; age 18-39) and 15 healthy controls (12 male; age 18-33). Tic and urge severity were assessed using the Yale Global Tic Severity Scale and the Premonitory Urges for Tics Scale. Motor learning was assessed 45 minutes after inducing synaptic plasticity and 9 months later, using the rotary pursuit task. On average, long-term potentiation-like effects in response to the paired associative stimulation were present in healthy controls but not in patients. In Tourette patients, long-term potentiation-like effects were associated with more and long-term depression-like effects with less severe urges and tics. While motor learning did not differ between patients and healthy controls 45 minutes after inducing synaptic plasticity, the learning curve of the healthy controls started at a significantly higher level than the Tourette patients' 9 months later. Induced synaptic plasticity correlated positively with motor skills in healthy controls 9 months later. The present study confirms previously found long-term improvement in motor performance after paired associative stimulation in healthy controls but not in Tourette patients. Tourette patients did not show long-term potentiation in response to PAS and also showed reduced levels of motor skill consolidation after 9 months compared to healthy controls. Moreover, synaptic plasticity appears to be related to symptom severity.&quot;,&quot;issue&quot;:&quot;5&quot;,&quot;volume&quot;:&quot;9&quot;,&quot;container-title-short&quot;:&quot;PLoS One&quot;},&quot;isTemporary&quot;:false}]},{&quot;citationID&quot;:&quot;MENDELEY_CITATION_07cc8ba6-397d-4780-aa41-2203b5fc818b&quot;,&quot;properties&quot;:{&quot;noteIndex&quot;:0},&quot;isEdited&quot;:false,&quot;manualOverride&quot;:{&quot;isManuallyOverridden&quot;:false,&quot;citeprocText&quot;:&quot;(44)&quot;,&quot;manualOverrideText&quot;:&quot;&quot;},&quot;citationTag&quot;:&quot;MENDELEY_CITATION_v3_eyJjaXRhdGlvbklEIjoiTUVOREVMRVlfQ0lUQVRJT05fMDdjYzhiYTYtMzk3ZC00NzgwLWFhNDEtMjIwM2I1ZmM4MThiIiwicHJvcGVydGllcyI6eyJub3RlSW5kZXgiOjB9LCJpc0VkaXRlZCI6ZmFsc2UsIm1hbnVhbE92ZXJyaWRlIjp7ImlzTWFudWFsbHlPdmVycmlkZGVuIjpmYWxzZSwiY2l0ZXByb2NUZXh0IjoiKDQ0KSIsIm1hbnVhbE92ZXJyaWRlVGV4dCI6IiJ9LCJjaXRhdGlvbkl0ZW1zIjpbeyJpZCI6ImExMjE0Nzc2LWNhNjktMzZmMi1hZjkyLTdiNWI3NmVhODQ5YiIsIml0ZW1EYXRhIjp7InR5cGUiOiJhcnRpY2xlLWpvdXJuYWwiLCJpZCI6ImExMjE0Nzc2LWNhNjktMzZmMi1hZjkyLTdiNWI3NmVhODQ5YiIsInRpdGxlIjoiRnJvbSB1cmdlcyB0byB0aWNzIGluIGNoaWxkcmVuIHdpdGggVG91cmV0dGUgc3luZHJvbWU6IGFzc29jaWF0aW9ucyB3aXRoIHN1cHBsZW1lbnRhcnkgbW90b3IgYXJlYSBHQUJBIGFuZCByaWdodCBtb3RvciBjb3J0ZXggcGh5c2lvbG9neSIsImdyb3VwSWQiOiIwN2Q2MmFjMS01YWE4LTM5YWYtYjQ5ZS01MmQyMDg4YWM1NzEiLCJhdXRob3IiOlt7ImZhbWlseSI6IkxhcnNoIiwiZ2l2ZW4iOiJUIFIiLCJwYXJzZS1uYW1lcyI6ZmFsc2UsImRyb3BwaW5nLXBhcnRpY2xlIjoiIiwibm9uLWRyb3BwaW5nLXBhcnRpY2xlIjoiIn0seyJmYW1pbHkiOiJIdWRkbGVzdG9uIiwiZ2l2ZW4iOiJEIEEiLCJwYXJzZS1uYW1lcyI6ZmFsc2UsImRyb3BwaW5nLXBhcnRpY2xlIjoiIiwibm9uLWRyb3BwaW5nLXBhcnRpY2xlIjoiIn0seyJmYW1pbHkiOiJIb3JuIiwiZ2l2ZW4iOiJQIFMiLCJwYXJzZS1uYW1lcyI6ZmFsc2UsImRyb3BwaW5nLXBhcnRpY2xlIjoiIiwibm9uLWRyb3BwaW5nLXBhcnRpY2xlIjoiIn0seyJmYW1pbHkiOiJXdSIsImdpdmVuIjoiUyBXIiwicGFyc2UtbmFtZXMiOmZhbHNlLCJkcm9wcGluZy1wYXJ0aWNsZSI6IiIsIm5vbi1kcm9wcGluZy1wYXJ0aWNsZSI6IiJ9LHsiZmFtaWx5IjoiQ2VjaWwiLCJnaXZlbiI6IksgTSIsInBhcnNlLW5hbWVzIjpmYWxzZSwiZHJvcHBpbmctcGFydGljbGUiOiIiLCJub24tZHJvcHBpbmctcGFydGljbGUiOiIifSx7ImZhbWlseSI6IkphY2tzb24iLCJnaXZlbiI6IkggUyIsInBhcnNlLW5hbWVzIjpmYWxzZSwiZHJvcHBpbmctcGFydGljbGUiOiIiLCJub24tZHJvcHBpbmctcGFydGljbGUiOiIifSx7ImZhbWlseSI6IkVkZGVuIiwiZ2l2ZW4iOiJSIEEgRSIsInBhcnNlLW5hbWVzIjpmYWxzZSwiZHJvcHBpbmctcGFydGljbGUiOiIiLCJub24tZHJvcHBpbmctcGFydGljbGUiOiIifSx7ImZhbWlseSI6Ik1vc3RvZnNreSIsImdpdmVuIjoiUyBIIiwicGFyc2UtbmFtZXMiOmZhbHNlLCJkcm9wcGluZy1wYXJ0aWNsZSI6IiIsIm5vbi1kcm9wcGluZy1wYXJ0aWNsZSI6IiJ9LHsiZmFtaWx5IjoiR2lsYmVydCIsImdpdmVuIjoiRCBMIiwicGFyc2UtbmFtZXMiOmZhbHNlLCJkcm9wcGluZy1wYXJ0aWNsZSI6IiIsIm5vbi1kcm9wcGluZy1wYXJ0aWNsZSI6IiJ9XSwiY29udGFpbmVyLXRpdGxlIjoiQ2VyZWJyYWwgY29ydGV4IChOZXcgWW9yaywgTi5ZLiA6IDE5OTEpIiwiRE9JIjoiaHR0cHM6Ly9keC5kb2kub3JnLzEwLjEwOTMvY2VyY29yL2JoYWMzMTYiLCJVUkwiOiJodHRwOi8vb3ZpZHNwLm92aWQuY29tL292aWR3ZWIuY2dpP1Q9SlMmUEFHRT1yZWZlcmVuY2UmRD1lbWV4YiZORVdTPU4mQU49NjM4NzYzNzcwIiwiaXNzdWVkIjp7ImRhdGUtcGFydHMiOltbMjAyMl1dfSwicGFnZSI6Ii0iLCJhYnN0cmFjdCI6IlRvdXJldHRlIHN5bmRyb21lIChUUykgaXMgYSBjaGlsZGhvb2Qtb25zZXQgZGlzb3JkZXIgaW4gd2hpY2ggdGljcyBhcmUgb2Z0ZW4gcHJlY2VkZWQgYnkgcHJlbW9uaXRvcnkgc2Vuc29yeSB1cmdlcy4gTW9yZSBzZXZlcmUgdXJnZXMgY29ycmVsYXRlIHdpdGggd29yc2UgdGljcyBhbmQgY2FuIHJlbmRlciBiZWhhdmlvcmFsIHRoZXJhcGllcyBsZXNzIGVmZmVjdGl2ZS4gVGhlIHN1cHBsZW1lbnRhcnkgbW90b3IgYXJlYSAoU01BKSBpcyBhIHByZWZyb250YWwgcmVnaW9uIGJlbGlldmVkIHRvIGluZmx1ZW5jZSB0aWMgcGVyZm9ybWFuY2UuIFRvIGRldGVybWluZSB3aGV0aGVyIGNvcnRpY2FsIHBoeXNpb2xvZ2ljYWwgcHJvcGVydGllcyBjb3JyZWxhdGUgd2l0aCB1cmdlcyBhbmQgdGljcywgd2UgZXZhbHVhdGVkLCBpbiA4LTEyLXllYXItb2xkIHJpZ2h0LWhhbmRlZCBUUyBjaGlsZHJlbiAobj0xNyksIGNvcnJlbGF0aW9ucyBvZiB1cmdlIGFuZCB0aWMgc2V2ZXJpdHkgc2NvcmVzIGFuZCBjb21wYXJlZCBib3RoIHRvIGNvcnRpY2FsIGV4Y2l0YWJpbGl0eSAoQ0UpIGFuZCBzaG9ydC0gYW5kIGxvbmctaW50ZXJ2YWwgY29ydGljYWwgaW5oaWJpdGlvbiAoU0lDSSBhbmQgTElDSSkgaW4gYm90aCBsZWZ0IGFuZCByaWdodCBNMS4gV2UgYWxzbyBtb2RlbGVkIHRoZXNlIE0xIHRyYW5zY3JhbmlhbCBtYWduZXRpYyBzdGltdWxhdGlvbiBtZWFzdXJlcyB3aXRoIFNNQSBnYW1tYS1hbWlubyBidXR5cmljIGFjaWQgKEdBQkEpIGxldmVscyBpbiBUUyBhbmQgdHlwaWNhbGx5IGRldmVsb3BpbmcgY29udHJvbCBjaGlsZHJlbiAobj0xNikuIFVyZ2UgaW50ZW5zaXR5IGNvcnJlbGF0ZWQgc3Ryb25nbHkgd2l0aCB0aWMgc2NvcmVzLiBNb3JlIHNldmVyZSB1cmdlcyBjb3JyZWxhdGVkIHdpdGggbG93ZXIgQ0UgYW5kIGxlc3MgTElDSSBpbiBib3RoIHJpZ2h0IGFuZCBsZWZ0IE0xLiBVbmV4cGVjdGVkbHksIGluIHJpZ2h0IE0xLCBsb3dlciBDRSBhbmQgbGVzcyBMSUNJIGNvcnJlbGF0ZWQgd2l0aCBsZXNzIHNldmVyZSB0aWNzLiBXZSBmb3VuZCB0aGF0IFNNQSBHQUJBIG1vZHVsYXRpb24gb2YgcmlnaHQsIGJ1dCBub3QgbGVmdCwgTTEgQ0UgYW5kIExJQ0kgZGlmZmVyZWQgaW4gVFMuIFdlIGNvbmNsdWRlIHRoYXQgaW4geW91bmcgY2hpbGRyZW4gd2l0aCBUUywgbG93ZXIgcmlnaHQgTTEgQ0UgYW5kIExJQ0ksIG1vZHVsYXRlZCBieSBTTUEgR0FCQSwgbWF5IHJlZmxlY3QgY29tcGVuc2F0b3J5IG1lY2hhbmlzbXMgdG8gZGltaW5pc2ggdGljcyBpbiByZXNwb25zZSB0byBwcmVtb25pdG9yeSB1cmdlcy5Db3B5cmlnaHQgwqkgVGhlIEF1dGhvcihzKSAyMDIyLiBQdWJsaXNoZWQgYnkgT3hmb3JkIFVuaXZlcnNpdHkgUHJlc3MuIEFsbCByaWdodHMgcmVzZXJ2ZWQuIEZvciBwZXJtaXNzaW9ucywgcGxlYXNlIGUtbWFpbDogam91cm5hbHMucGVybWlzc2lvbkBvdXAuY29tLiIsImNvbnRhaW5lci10aXRsZS1zaG9ydCI6IkNlcmViIENvcnRleCJ9LCJpc1RlbXBvcmFyeSI6ZmFsc2V9XX0=&quot;,&quot;citationItems&quot;:[{&quot;id&quot;:&quot;a1214776-ca69-36f2-af92-7b5b76ea849b&quot;,&quot;itemData&quot;:{&quot;type&quot;:&quot;article-journal&quot;,&quot;id&quot;:&quot;a1214776-ca69-36f2-af92-7b5b76ea849b&quot;,&quot;title&quot;:&quot;From urges to tics in children with Tourette syndrome: associations with supplementary motor area GABA and right motor cortex physiology&quot;,&quot;groupId&quot;:&quot;07d62ac1-5aa8-39af-b49e-52d2088ac571&quot;,&quot;author&quot;:[{&quot;family&quot;:&quot;Larsh&quot;,&quot;given&quot;:&quot;T R&quot;,&quot;parse-names&quot;:false,&quot;dropping-particle&quot;:&quot;&quot;,&quot;non-dropping-particle&quot;:&quot;&quot;},{&quot;family&quot;:&quot;Huddleston&quot;,&quot;given&quot;:&quot;D A&quot;,&quot;parse-names&quot;:false,&quot;dropping-particle&quot;:&quot;&quot;,&quot;non-dropping-particle&quot;:&quot;&quot;},{&quot;family&quot;:&quot;Horn&quot;,&quot;given&quot;:&quot;P S&quot;,&quot;parse-names&quot;:false,&quot;dropping-particle&quot;:&quot;&quot;,&quot;non-dropping-particle&quot;:&quot;&quot;},{&quot;family&quot;:&quot;Wu&quot;,&quot;given&quot;:&quot;S W&quot;,&quot;parse-names&quot;:false,&quot;dropping-particle&quot;:&quot;&quot;,&quot;non-dropping-particle&quot;:&quot;&quot;},{&quot;family&quot;:&quot;Cecil&quot;,&quot;given&quot;:&quot;K M&quot;,&quot;parse-names&quot;:false,&quot;dropping-particle&quot;:&quot;&quot;,&quot;non-dropping-particle&quot;:&quot;&quot;},{&quot;family&quot;:&quot;Jackson&quot;,&quot;given&quot;:&quot;H S&quot;,&quot;parse-names&quot;:false,&quot;dropping-particle&quot;:&quot;&quot;,&quot;non-dropping-particle&quot;:&quot;&quot;},{&quot;family&quot;:&quot;Edden&quot;,&quot;given&quot;:&quot;R A E&quot;,&quot;parse-names&quot;:false,&quot;dropping-particle&quot;:&quot;&quot;,&quot;non-dropping-particle&quot;:&quot;&quot;},{&quot;family&quot;:&quot;Mostofsky&quot;,&quot;given&quot;:&quot;S H&quot;,&quot;parse-names&quot;:false,&quot;dropping-particle&quot;:&quot;&quot;,&quot;non-dropping-particle&quot;:&quot;&quot;},{&quot;family&quot;:&quot;Gilbert&quot;,&quot;given&quot;:&quot;D L&quot;,&quot;parse-names&quot;:false,&quot;dropping-particle&quot;:&quot;&quot;,&quot;non-dropping-particle&quot;:&quot;&quot;}],&quot;container-title&quot;:&quot;Cerebral cortex (New York, N.Y. : 1991)&quot;,&quot;DOI&quot;:&quot;https://dx.doi.org/10.1093/cercor/bhac316&quot;,&quot;URL&quot;:&quot;http://ovidsp.ovid.com/ovidweb.cgi?T=JS&amp;PAGE=reference&amp;D=emexb&amp;NEWS=N&amp;AN=638763770&quot;,&quot;issued&quot;:{&quot;date-parts&quot;:[[2022]]},&quot;page&quot;:&quot;-&quot;,&quot;abstract&quot;:&quot;Tourette syndrome (TS) is a childhood-onset disorder in which tics are often preceded by premonitory sensory urges. More severe urges correlate with worse tics and can render behavioral therapies less effective. The supplementary motor area (SMA) is a prefrontal region believed to influence tic performance. To determine whether cortical physiological properties correlate with urges and tics, we evaluated, in 8-12-year-old right-handed TS children (n=17), correlations of urge and tic severity scores and compared both to cortical excitability (CE) and short- and long-interval cortical inhibition (SICI and LICI) in both left and right M1. We also modeled these M1 transcranial magnetic stimulation measures with SMA gamma-amino butyric acid (GABA) levels in TS and typically developing control children (n=16). Urge intensity correlated strongly with tic scores. More severe urges correlated with lower CE and less LICI in both right and left M1. Unexpectedly, in right M1, lower CE and less LICI correlated with less severe tics. We found that SMA GABA modulation of right, but not left, M1 CE and LICI differed in TS. We conclude that in young children with TS, lower right M1 CE and LICI, modulated by SMA GABA, may reflect compensatory mechanisms to diminish tics in response to premonitory urges.Copyright © The Author(s) 2022. Published by Oxford University Press. All rights reserved. For permissions, please e-mail: journals.permission@oup.com.&quot;,&quot;container-title-short&quot;:&quot;Cereb Cortex&quot;},&quot;isTemporary&quot;:false}]},{&quot;citationID&quot;:&quot;MENDELEY_CITATION_059f3a01-dc50-46a0-a15f-8f5544199376&quot;,&quot;properties&quot;:{&quot;noteIndex&quot;:0},&quot;isEdited&quot;:false,&quot;manualOverride&quot;:{&quot;isManuallyOverridden&quot;:false,&quot;citeprocText&quot;:&quot;(45)&quot;,&quot;manualOverrideText&quot;:&quot;&quot;},&quot;citationTag&quot;:&quot;MENDELEY_CITATION_v3_eyJjaXRhdGlvbklEIjoiTUVOREVMRVlfQ0lUQVRJT05fMDU5ZjNhMDEtZGM1MC00NmEwLWExNWYtOGY1NTQ0MTk5Mzc2IiwicHJvcGVydGllcyI6eyJub3RlSW5kZXgiOjB9LCJpc0VkaXRlZCI6ZmFsc2UsIm1hbnVhbE92ZXJyaWRlIjp7ImlzTWFudWFsbHlPdmVycmlkZGVuIjpmYWxzZSwiY2l0ZXByb2NUZXh0IjoiKDQ1KSIsIm1hbnVhbE92ZXJyaWRlVGV4dCI6IiJ9LCJjaXRhdGlvbkl0ZW1zIjpbeyJpZCI6ImE3ODBkMzEyLWJkMmItMzFmNi1iMzBlLTE4MmU1ZGQzNzAxZiIsIml0ZW1EYXRhIjp7InR5cGUiOiJhcnRpY2xlLWpvdXJuYWwiLCJpZCI6ImE3ODBkMzEyLWJkMmItMzFmNi1iMzBlLTE4MmU1ZGQzNzAxZiIsInRpdGxlIjoiQmlvbWFya2VycyBvZiB0aWMgc2V2ZXJpdHkgaW4gY2hpbGRyZW4gd2l0aCBUb3VyZXR0ZSBzeW5kcm9tZTogTW90b3IgY29ydGV4IGluaGliaXRpb24gbWVhc3VyZWQgd2l0aCB0cmFuc2NyYW5pYWwgbWFnbmV0aWMgc3RpbXVsYXRpb24iLCJncm91cElkIjoiMDdkNjJhYzEtNWFhOC0zOWFmLWI0OWUtNTJkMjA4OGFjNTcxIiwiYXV0aG9yIjpbeyJmYW1pbHkiOiJCYXRzY2hlbGV0dCIsImdpdmVuIjoiTSBBIiwicGFyc2UtbmFtZXMiOmZhbHNlLCJkcm9wcGluZy1wYXJ0aWNsZSI6IiIsIm5vbi1kcm9wcGluZy1wYXJ0aWNsZSI6IiJ9LHsiZmFtaWx5IjoiSHVkZGxlc3RvbiIsImdpdmVuIjoiRCBBIiwicGFyc2UtbmFtZXMiOmZhbHNlLCJkcm9wcGluZy1wYXJ0aWNsZSI6IiIsIm5vbi1kcm9wcGluZy1wYXJ0aWNsZSI6IiJ9LHsiZmFtaWx5IjoiQ3JvY2V0dGkiLCJnaXZlbiI6IkQiLCJwYXJzZS1uYW1lcyI6ZmFsc2UsImRyb3BwaW5nLXBhcnRpY2xlIjoiIiwibm9uLWRyb3BwaW5nLXBhcnRpY2xlIjoiIn0seyJmYW1pbHkiOiJIb3JuIiwiZ2l2ZW4iOiJQIFMiLCJwYXJzZS1uYW1lcyI6ZmFsc2UsImRyb3BwaW5nLXBhcnRpY2xlIjoiIiwibm9uLWRyb3BwaW5nLXBhcnRpY2xlIjoiIn0seyJmYW1pbHkiOiJNb3N0b2Zza3kiLCJnaXZlbiI6IlMgSCIsInBhcnNlLW5hbWVzIjpmYWxzZSwiZHJvcHBpbmctcGFydGljbGUiOiIiLCJub24tZHJvcHBpbmctcGFydGljbGUiOiIifSx7ImZhbWlseSI6IkdpbGJlcnQiLCJnaXZlbiI6IkQgTCIsInBhcnNlLW5hbWVzIjpmYWxzZSwiZHJvcHBpbmctcGFydGljbGUiOiIiLCJub24tZHJvcHBpbmctcGFydGljbGUiOiIifV0sImNvbnRhaW5lci10aXRsZSI6IkRldiBNZWQgQ2hpbGQgTmV1cm9sIiwiRE9JIjoiMTAuMTExMS9kbWNuLjE1NTc4IiwiUE1JRCI6IjM2OTM4Njk4IiwiaXNzdWVkIjp7ImRhdGUtcGFydHMiOltbMjAyM11dfSwicGFnZSI6IjEzMjEtMTMzMSIsImFic3RyYWN0IjoiQUlNOiBUbyBjb21wYXJlIHRyYW5zY3JhbmlhbCBtYWduZXRpYyBzdGltdWxhdGlvbiAoVE1TKS1kZXJpdmVkIG1lYXN1cmVzIG9mIHByaW1hcnkgbW90b3IgY29ydGV4IChNMSkgcGh5c2lvbG9neSBiZXR3ZWVuIGNoaWxkcmVuIHdpdGggYW5kIHdpdGhvdXQgVG91cmV0dGUgc3luZHJvbWUsIGFuZCB0byBkaW1lbnNpb25hbGx5IGFuYWx5emUgVE1TIG1lYXN1cmVzIHdpdGggVG91cmV0dGUgc3luZHJvbWUtcmVsYXRlZCBzeW1wdG9tIHNldmVyaXR5LiBNRVRIT0Q6IFdlIHVzZWQgYSBjcm9zcy1zZWN0aW9uYWwgZXhwZXJpbWVudGFsIGRlc2lnbi4gU2l4dHkgOC0gdG8gMTIteWVhci1vbGQgY2hpbGRyZW4gcGFydGljaXBhdGVkICgzMCB3aXRoIFRvdXJldHRlIHN5bmRyb21lOiB0aHJlZSBmZW1hbGVzLCBtZWFuIGFnZSAxMOKAiXllYXJzIDEw4oCJbW9udGhzLCBzdGFuZGFyZCBkZXZpYXRpb24gW1NEXSAxIHllYXIgMyBtb250aHM7IDMwIHR5cGljYWxseSBkZXZlbG9waW5nIGNoaWxkcmVuOiBzZXZlbiBmZW1hbGVzLCBtZWFuIGFnZSAxMOKAiXllYXJzIDfigIltb250aHMsIFNEIDEgeWVhciAzIG1vbnRocykuIEluIHRoZSBncm91cCB3aXRoIFRvdXJldHRlIHN5bmRyb21lLCAxNSAob25lIGZlbWFsZSwgbWVhbiBhZ2UgMTDigIl5ZWFycyAxMeKAiW1vbnRocywgU0QgMSB5ZWFyIDMgbW9udGhzKSBoYWQgY29tb3JiaWQgYXR0ZW50aW9uLWRlZmljaXQvaHlwZXJhY3Rpdml0eSBkaXNvcmRlciAoQURIRCksIHJhdGVkIHdpdGggdGhlIENvbm5lcnMsIFRoaXJkIEVkaXRpb24gYW5kIHRoZSBwYXJlbnQtcmVwb3J0ZWQgQURIRCByYXRpbmcgc2NhbGVzLiBUaWMgc2V2ZXJpdHkgd2FzIHJhdGVkIHdpdGggdGhlIFlhbGUgR2xvYmFsIFRpYyBTZXZlcml0eSBTY2FsZSBhbmQgdXJnZSBzZXZlcml0eSB3aXRoIHRoZSBJbmRpdmlkdWFsaXplZCBQcmVtb25pdG9yeSBVcmdlIGZvciBUaWNzIFNjYWxlLiBNMSBzaG9ydC1pbnRlcnZhbCBjb3J0aWNhbCBpbmhpYml0aW9uIChTSUNJKSBhbmQgaW50cmFjb3J0aWNhbCBmYWNpbGl0YXRpb24gd2VyZSBjb21wYXJlZCBiZXR3ZWVuIGRpYWdub3N0aWMgZ3JvdXBzIGFuZCwgd2l0aGluIHRoZSBncm91cCB3aXRoIFRvdXJldHRlIHN5bmRyb21lLCBjb3JyZWxhdGVkIHdpdGggc3ltcHRvbSBzZXZlcml0eSB1c2luZyBsaW5lYXIgbWl4ZWQtZWZmZWN0cyBtb2RlbHMgZm9yIHJlcGVhdGVkIG1lYXN1cmVzLiBSRVNVTFRTOiBBY2NvdW50aW5nIGZvciBBREhELCB3ZSBmb3VuZCBubyBkaWZmZXJlbmNlIGluIFNJQ0kgb3IgaW50cmFjb3J0aWNhbCBmYWNpbGl0YXRpb24gaW4gdGhvc2Ugd2l0aCBUb3VyZXR0ZSBzeW5kcm9tZSB2ZXJzdXMgdHlwaWNhbGx5IGRldmVsb3BpbmcgY2hpbGRyZW4gKHDigIk+4oCJMC4xKS4gSW4gdGhlIGdyb3VwIHdpdGggVG91cmV0dGUgc3luZHJvbWUsIHJlZHVjZWQgTTEgU0lDSSBwcmVkaWN0ZWQgZ3JlYXRlciB0b3RhbCAocMKgPcKgMC4wMTIpIGFuZCBnbG9iYWwgKHDCoD3CoDAuMDAyKSB0aWMgc2V2ZXJpdHkuIFRoZXJlIHdlcmUgbm8gYXNzb2NpYXRpb25zIHdpdGggdXJnZSBzZXZlcml0eSAocOKAiT7igIkwLjUpLiBJTlRFUlBSRVRBVElPTjogUmVkdWNlZCBNMSBTSUNJIGlzIHJvYnVzdGx5IGFzc29jaWF0ZWQgd2l0aCBpbmNyZWFzZWQgdGljLCBidXQgbm90IHVyZ2UsIHNldmVyaXR5LiBXSEFUIFRISVMgUEFQRVIgQUREUzogSW5jcmVhc2VkIHRpYyBzZXZlcml0eSBpcyBhc3NvY2lhdGVkIHdpdGggcmVkdWNlZCBtb3RvciBjb3J0ZXggc2hvcnQtaW50ZXJ2YWwgY29ydGljYWwgaW5oaWJpdGlvbiAoU0lDSSkuIENoaWxkcmVuIHdpdGggVG91cmV0dGUgc3luZHJvbWUgd2l0aCBpbmNyZWFzZWQgdXJnZSBzZXZlcml0eSBhbHNvIHNob3cgaW5jcmVhc2VkIHRpYyBzZXZlcml0eS4gSG93ZXZlciwgcmVkdWNlZCBtb3RvciBjb3J0ZXggU0lDSSBpcyBhc3NvY2lhdGVkIHdpdGggdGljLCBidXQgbm90IHVyZ2UsIHNldmVyaXR5LiIsImlzc3VlIjoiMTAiLCJ2b2x1bWUiOiI2NSIsImNvbnRhaW5lci10aXRsZS1zaG9ydCI6IiJ9LCJpc1RlbXBvcmFyeSI6ZmFsc2V9XX0=&quot;,&quot;citationItems&quot;:[{&quot;id&quot;:&quot;a780d312-bd2b-31f6-b30e-182e5dd3701f&quot;,&quot;itemData&quot;:{&quot;type&quot;:&quot;article-journal&quot;,&quot;id&quot;:&quot;a780d312-bd2b-31f6-b30e-182e5dd3701f&quot;,&quot;title&quot;:&quot;Biomarkers of tic severity in children with Tourette syndrome: Motor cortex inhibition measured with transcranial magnetic stimulation&quot;,&quot;groupId&quot;:&quot;07d62ac1-5aa8-39af-b49e-52d2088ac571&quot;,&quot;author&quot;:[{&quot;family&quot;:&quot;Batschelett&quot;,&quot;given&quot;:&quot;M A&quot;,&quot;parse-names&quot;:false,&quot;dropping-particle&quot;:&quot;&quot;,&quot;non-dropping-particle&quot;:&quot;&quot;},{&quot;family&quot;:&quot;Huddleston&quot;,&quot;given&quot;:&quot;D A&quot;,&quot;parse-names&quot;:false,&quot;dropping-particle&quot;:&quot;&quot;,&quot;non-dropping-particle&quot;:&quot;&quot;},{&quot;family&quot;:&quot;Crocetti&quot;,&quot;given&quot;:&quot;D&quot;,&quot;parse-names&quot;:false,&quot;dropping-particle&quot;:&quot;&quot;,&quot;non-dropping-particle&quot;:&quot;&quot;},{&quot;family&quot;:&quot;Horn&quot;,&quot;given&quot;:&quot;P S&quot;,&quot;parse-names&quot;:false,&quot;dropping-particle&quot;:&quot;&quot;,&quot;non-dropping-particle&quot;:&quot;&quot;},{&quot;family&quot;:&quot;Mostofsky&quot;,&quot;given&quot;:&quot;S H&quot;,&quot;parse-names&quot;:false,&quot;dropping-particle&quot;:&quot;&quot;,&quot;non-dropping-particle&quot;:&quot;&quot;},{&quot;family&quot;:&quot;Gilbert&quot;,&quot;given&quot;:&quot;D L&quot;,&quot;parse-names&quot;:false,&quot;dropping-particle&quot;:&quot;&quot;,&quot;non-dropping-particle&quot;:&quot;&quot;}],&quot;container-title&quot;:&quot;Dev Med Child Neurol&quot;,&quot;DOI&quot;:&quot;10.1111/dmcn.15578&quot;,&quot;PMID&quot;:&quot;36938698&quot;,&quot;issued&quot;:{&quot;date-parts&quot;:[[2023]]},&quot;page&quot;:&quot;1321-1331&quot;,&quot;abstract&quot;:&quot;AIM: To compare transcranial magnetic stimulation (TMS)-derived measures of primary motor cortex (M1) physiology between children with and without Tourette syndrome, and to dimensionally analyze TMS measures with Tourette syndrome-related symptom severity. METHOD: We used a cross-sectional experimental design. Sixty 8- to 12-year-old children participated (30 with Tourette syndrome: three females, mean age 10 years 10 months, standard deviation [SD] 1 year 3 months; 30 typically developing children: seven females, mean age 10 years 7 months, SD 1 year 3 months). In the group with Tourette syndrome, 15 (one female, mean age 10 years 11 months, SD 1 year 3 months) had comorbid attention-deficit/hyperactivity disorder (ADHD), rated with the Conners, Third Edition and the parent-reported ADHD rating scales. Tic severity was rated with the Yale Global Tic Severity Scale and urge severity with the Individualized Premonitory Urge for Tics Scale. M1 short-interval cortical inhibition (SICI) and intracortical facilitation were compared between diagnostic groups and, within the group with Tourette syndrome, correlated with symptom severity using linear mixed-effects models for repeated measures. RESULTS: Accounting for ADHD, we found no difference in SICI or intracortical facilitation in those with Tourette syndrome versus typically developing children (p &gt; 0.1). In the group with Tourette syndrome, reduced M1 SICI predicted greater total (p = 0.012) and global (p = 0.002) tic severity. There were no associations with urge severity (p &gt; 0.5). INTERPRETATION: Reduced M1 SICI is robustly associated with increased tic, but not urge, severity. WHAT THIS PAPER ADDS: Increased tic severity is associated with reduced motor cortex short-interval cortical inhibition (SICI). Children with Tourette syndrome with increased urge severity also show increased tic severity. However, reduced motor cortex SICI is associated with tic, but not urge, severity.&quot;,&quot;issue&quot;:&quot;10&quot;,&quot;volume&quot;:&quot;65&quot;,&quot;container-title-short&quot;:&quot;&quot;},&quot;isTemporary&quot;:false}]},{&quot;citationID&quot;:&quot;MENDELEY_CITATION_c792762d-50fd-4c0f-8dfd-fc611357c95f&quot;,&quot;properties&quot;:{&quot;noteIndex&quot;:0},&quot;isEdited&quot;:false,&quot;manualOverride&quot;:{&quot;isManuallyOverridden&quot;:false,&quot;citeprocText&quot;:&quot;(103)&quot;,&quot;manualOverrideText&quot;:&quot;&quot;},&quot;citationTag&quot;:&quot;MENDELEY_CITATION_v3_eyJjaXRhdGlvbklEIjoiTUVOREVMRVlfQ0lUQVRJT05fYzc5Mjc2MmQtNTBmZC00YzBmLThkZmQtZmM2MTEzNTdjOTVmIiwicHJvcGVydGllcyI6eyJub3RlSW5kZXgiOjB9LCJpc0VkaXRlZCI6ZmFsc2UsIm1hbnVhbE92ZXJyaWRlIjp7ImlzTWFudWFsbHlPdmVycmlkZGVuIjpmYWxzZSwiY2l0ZXByb2NUZXh0IjoiKDEwMykiLCJtYW51YWxPdmVycmlkZVRleHQiOiIifSwiY2l0YXRpb25JdGVtcyI6W3siaWQiOiJiNTQwODY5My01ZmRlLTNhMDQtOTEyYS01ZGFlYmQxOTFhMmUiLCJpdGVtRGF0YSI6eyJ0eXBlIjoiYXJ0aWNsZS1qb3VybmFsIiwiaWQiOiJiNTQwODY5My01ZmRlLTNhMDQtOTEyYS01ZGFlYmQxOTFhMmUiLCJ0aXRsZSI6IkJyYWluIGFyZWFzIGNvYWN0aXZhdGluZyB3aXRoIG1vdG9yIGNvcnRleCBkdXJpbmcgY2hyb25pYyBtb3RvciB0aWNzIGFuZCBpbnRlbnRpb25hbCBtb3ZlbWVudHMiLCJncm91cElkIjoiMDdkNjJhYzEtNWFhOC0zOWFmLWI0OWUtNTJkMjA4OGFjNTcxIiwiYXV0aG9yIjpbeyJmYW1pbHkiOiJIYW1wc29uIiwiZ2l2ZW4iOiJNIiwicGFyc2UtbmFtZXMiOmZhbHNlLCJkcm9wcGluZy1wYXJ0aWNsZSI6IiIsIm5vbi1kcm9wcGluZy1wYXJ0aWNsZSI6IiJ9LHsiZmFtaWx5IjoiVG9rb2dsdSIsImdpdmVuIjoiRiIsInBhcnNlLW5hbWVzIjpmYWxzZSwiZHJvcHBpbmctcGFydGljbGUiOiIiLCJub24tZHJvcHBpbmctcGFydGljbGUiOiIifSx7ImZhbWlseSI6IktpbmciLCJnaXZlbiI6IlIgQSIsInBhcnNlLW5hbWVzIjpmYWxzZSwiZHJvcHBpbmctcGFydGljbGUiOiIiLCJub24tZHJvcHBpbmctcGFydGljbGUiOiIifSx7ImZhbWlseSI6IkNvbnN0YWJsZSIsImdpdmVuIjoiUiBUIiwicGFyc2UtbmFtZXMiOmZhbHNlLCJkcm9wcGluZy1wYXJ0aWNsZSI6IiIsIm5vbi1kcm9wcGluZy1wYXJ0aWNsZSI6IiJ9LHsiZmFtaWx5IjoiTGVja21hbiIsImdpdmVuIjoiSiBGIiwicGFyc2UtbmFtZXMiOmZhbHNlLCJkcm9wcGluZy1wYXJ0aWNsZSI6IiIsIm5vbi1kcm9wcGluZy1wYXJ0aWNsZSI6IiJ9XSwiY29udGFpbmVyLXRpdGxlIjoiQmlvbCBQc3ljaGlhdHJ5IiwiRE9JIjoiMTAuMTAxNi9qLmJpb3BzeWNoLjIwMDguMTEuMDEyIiwiUE1JRCI6IjE5MTExMjgxIiwiVVJMIjoiaHR0cHM6Ly93d3cuYmlvbG9naWNhbHBzeWNoaWF0cnlqb3VybmFsLmNvbS9hcnRpY2xlL1MwMDA2LTMyMjMoMDgpMDE0MzUtMi9wZGYiLCJpc3N1ZWQiOnsiZGF0ZS1wYXJ0cyI6W1syMDA5XV19LCJwYWdlIjoiNTk0LTU5OSIsImFic3RyYWN0IjoiQkFDS0dST1VORDogQ2hyb25pYyB0aWMgZGlzb3JkZXJzIGFyZSBjaGFyYWN0ZXJpemVkIGJ5IG1vdG9yIHRpY3MgdGhhdCBhcmUgb2Z0ZW4gcHJlY2VkZWQgYnkgcHJlbW9uaXRvcnkgdXJnZXMgdG8gdGljLiBGdW5jdGlvbmFsIG5ldXJvaW1hZ2luZyBzdHVkaWVzIGhhdmUgZG9jdW1lbnRlZCBicmFpbiBhY3Rpdml0eSBwYXR0ZXJucyBwcmlvciB0byBhbmQgZHVyaW5nIHRpY3MsIGJ1dCB0aGVzZSBzdHVkaWVzIGhhdmUgbm90IGV4YW1pbmVkIHdoZXRoZXIgdGhlIGFjdGl2YXRpb24gcGF0dGVybnMgZGlmZmVyIGZyb20gdGhvc2Ugc2VlbiBpbiBub3JtYWwgY29udHJvbCBzdWJqZWN0cyBwZXJmb3JtaW5nIHNpbWlsYXIgYWN0cy4gTUVUSE9EUzogQSBub3ZlbCBtZXRob2Qgd2FzIHVzZWQgdG8gY29tcGFyZSBicmFpbiBwYXR0ZXJucyBkdXJpbmcgdGljcyBhbmQgaW50ZW50aW9uYWwgbW92ZW1lbnRzLiBGaXJzdCwgdGhlIHBhcnQgb2YgbW90b3IgY29ydGV4IHNwZWNpZmljIHRvIGVhY2ggcGF0aWVudCdzIHRpYyBtb3ZlbWVudCB3YXMgaWRlbnRpZmllZC4gVGhlIGJyYWluIGFyZWFzIGFjdGl2YXRpbmcgcHJpb3IgdG8sIGR1cmluZywgYW5kIGFmdGVyIHRoYXQgcGFydCBvZiBtb3RvciBjb3J0ZXggZHVyaW5nIHRpY3Mgd2VyZSB0aGVuIGlkZW50aWZpZWQgYnkgdGVtcG9yYWxseSBjcm9zcy1jb3JyZWxhdGluZyB0aGUgdGltZSBjb3Vyc2Ugb2YgdGhlIGxvY2FsaXplZCBtb3RvciByZWdpb24gd2l0aCBhY3Rpdml0eSBpbiBvdGhlciBicmFpbiBhcmVhcy4gR2l2ZW4gdGhhdCBtb3RvciBjb3J0ZXggd2FzIGFjdGl2ZSBkdXJpbmcgdGljIGV4ZWN1dGlvbiwgdGhpcyB5aWVsZGVkIGluZm9ybWF0aW9uIHJlZ2FyZGluZyB0aGUgYnJhaW4gYXJlYXMgYWN0aXZlIHByaW9yIHRvLCBkdXJpbmcsIGFuZCBhZnRlciB0aGUgbW92ZW1lbnRzLiBUaGUgc3BhdGlvdGVtcG9yYWwgcGF0dGVybiBvZiBjb2FjdGl2YXRpb24gd2l0aCBtb3RvciBjb3J0ZXggZHVyaW5nIHRpY3Mgd2FzIGNvbnRyYXN0ZWQgd2l0aCB0aGF0IHNlZW4gaW4gaGVhbHRoeSBjb250cm9sIHN1YmplY3RzIGR1cmluZyBpbnRlbnRpb25hbCB0aWMtbGlrZSBtb3ZlbWVudHMuIFJFU1VMVFM6IERhdGEgZnJvbSAxNiBhZHVsdCBzdWJqZWN0cyB3aXRoIHRpYyBkaXNvcmRlcnMgYW5kIDE2IG1hdGNoZWQgY29udHJvbCBzdWJqZWN0cywgd2hvIHBlcmZvcm1lZCBpbnRlbnRpb25hbCBtb3ZlbWVudHMgc2ltaWxhciB0byB0aGUgcGF0aWVudHMnIHRpY3MsIHJldmVhbGVkIG5lYXJseSBpZGVudGljYWwgcGF0dGVybnMgb2YgY3Jvc3MtY29ycmVsYXRpb24gdG8gbW90b3IgY29ydGV4IHRocm91Z2hvdXQgdGhlIGJyYWluIGluIHRoZSB0d28gZ3JvdXBzLiBIb3dldmVyLCB0aGUgc3VwcGxlbWVudGFyeSBtb3RvciBhcmVhIHNob3dlZCBhIHNpZ25pZmljYW50bHkgYnJvYWRlciBwcm9maWxlIG9mIGNyb3NzLWNvcnJlbGF0aW9uIHRvIG1vdG9yIGNvcnRleCBkdXJpbmcgdGljcyB0aGFuIGR1cmluZyBpbnRlbnRpb25hbCBtb3ZlbWVudHMuIENPTkNMVVNJT05TOiBUaGVzZSBmaW5kaW5ncyBoaWdobGlnaHQgdGhlIGltcG9ydGFuY2Ugb2YgdGhlIHN1cHBsZW1lbnRhcnkgbW90b3IgYXJlYSBpbiB0aWMgZ2VuZXJhdGlvbiBhbmQgbWF5IHBvaW50IHRvd2FyZCBub3ZlbCBpbnRlcnZlbnRpb24gc3RyYXRlZ2llcyBmb3IgaW5kaXZpZHVhbHMgc3VmZmVyaW5nIHdpdGggc2V2ZXJlIHRpY3MuIiwiaXNzdWUiOiI3Iiwidm9sdW1lIjoiNjUiLCJjb250YWluZXItdGl0bGUtc2hvcnQiOiIifSwiaXNUZW1wb3JhcnkiOmZhbHNlfV19&quot;,&quot;citationItems&quot;:[{&quot;id&quot;:&quot;b5408693-5fde-3a04-912a-5daebd191a2e&quot;,&quot;itemData&quot;:{&quot;type&quot;:&quot;article-journal&quot;,&quot;id&quot;:&quot;b5408693-5fde-3a04-912a-5daebd191a2e&quot;,&quot;title&quot;:&quot;Brain areas coactivating with motor cortex during chronic motor tics and intentional movements&quot;,&quot;groupId&quot;:&quot;07d62ac1-5aa8-39af-b49e-52d2088ac571&quot;,&quot;author&quot;:[{&quot;family&quot;:&quot;Hampson&quot;,&quot;given&quot;:&quot;M&quot;,&quot;parse-names&quot;:false,&quot;dropping-particle&quot;:&quot;&quot;,&quot;non-dropping-particle&quot;:&quot;&quot;},{&quot;family&quot;:&quot;Tokoglu&quot;,&quot;given&quot;:&quot;F&quot;,&quot;parse-names&quot;:false,&quot;dropping-particle&quot;:&quot;&quot;,&quot;non-dropping-particle&quot;:&quot;&quot;},{&quot;family&quot;:&quot;King&quot;,&quot;given&quot;:&quot;R A&quot;,&quot;parse-names&quot;:false,&quot;dropping-particle&quot;:&quot;&quot;,&quot;non-dropping-particle&quot;:&quot;&quot;},{&quot;family&quot;:&quot;Constable&quot;,&quot;given&quot;:&quot;R T&quot;,&quot;parse-names&quot;:false,&quot;dropping-particle&quot;:&quot;&quot;,&quot;non-dropping-particle&quot;:&quot;&quot;},{&quot;family&quot;:&quot;Leckman&quot;,&quot;given&quot;:&quot;J F&quot;,&quot;parse-names&quot;:false,&quot;dropping-particle&quot;:&quot;&quot;,&quot;non-dropping-particle&quot;:&quot;&quot;}],&quot;container-title&quot;:&quot;Biol Psychiatry&quot;,&quot;DOI&quot;:&quot;10.1016/j.biopsych.2008.11.012&quot;,&quot;PMID&quot;:&quot;19111281&quot;,&quot;URL&quot;:&quot;https://www.biologicalpsychiatryjournal.com/article/S0006-3223(08)01435-2/pdf&quot;,&quot;issued&quot;:{&quot;date-parts&quot;:[[2009]]},&quot;page&quot;:&quot;594-599&quot;,&quot;abstract&quot;:&quot;BACKGROUND: Chronic tic disorders are characterized by motor tics that are often preceded by premonitory urges to tic. Functional neuroimaging studies have documented brain activity patterns prior to and during tics, but these studies have not examined whether the activation patterns differ from those seen in normal control subjects performing similar acts. METHODS: A novel method was used to compare brain patterns during tics and intentional movements. First, the part of motor cortex specific to each patient's tic movement was identified. The brain areas activating prior to, during, and after that part of motor cortex during tics were then identified by temporally cross-correlating the time course of the localized motor region with activity in other brain areas. Given that motor cortex was active during tic execution, this yielded information regarding the brain areas active prior to, during, and after the movements. The spatiotemporal pattern of coactivation with motor cortex during tics was contrasted with that seen in healthy control subjects during intentional tic-like movements. RESULTS: Data from 16 adult subjects with tic disorders and 16 matched control subjects, who performed intentional movements similar to the patients' tics, revealed nearly identical patterns of cross-correlation to motor cortex throughout the brain in the two groups. However, the supplementary motor area showed a significantly broader profile of cross-correlation to motor cortex during tics than during intentional movements. CONCLUSIONS: These findings highlight the importance of the supplementary motor area in tic generation and may point toward novel intervention strategies for individuals suffering with severe tics.&quot;,&quot;issue&quot;:&quot;7&quot;,&quot;volume&quot;:&quot;65&quot;,&quot;container-title-short&quot;:&quot;&quot;},&quot;isTemporary&quot;:false}]},{&quot;citationID&quot;:&quot;MENDELEY_CITATION_9360a3d1-051c-4bcd-834d-f570b7b718fd&quot;,&quot;properties&quot;:{&quot;noteIndex&quot;:0},&quot;isEdited&quot;:false,&quot;manualOverride&quot;:{&quot;isManuallyOverridden&quot;:false,&quot;citeprocText&quot;:&quot;(104)&quot;,&quot;manualOverrideText&quot;:&quot;&quot;},&quot;citationTag&quot;:&quot;MENDELEY_CITATION_v3_eyJjaXRhdGlvbklEIjoiTUVOREVMRVlfQ0lUQVRJT05fOTM2MGEzZDEtMDUxYy00YmNkLTgzNGQtZjU3MGI3YjcxOGZkIiwicHJvcGVydGllcyI6eyJub3RlSW5kZXgiOjB9LCJpc0VkaXRlZCI6ZmFsc2UsIm1hbnVhbE92ZXJyaWRlIjp7ImlzTWFudWFsbHlPdmVycmlkZGVuIjpmYWxzZSwiY2l0ZXByb2NUZXh0IjoiKDEwNCkiLCJtYW51YWxPdmVycmlkZVRleHQiOiIifSwiY2l0YXRpb25JdGVtcyI6W3siaWQiOiJmNjMxNTU4Yi1mYTJlLTM0YTAtODhiMi1mYzdlYTQ2MmY1MzIiLCJpdGVtRGF0YSI6eyJ0eXBlIjoiYXJ0aWNsZS1qb3VybmFsIiwiaWQiOiJmNjMxNTU4Yi1mYTJlLTM0YTAtODhiMi1mYzdlYTQ2MmY1MzIiLCJ0aXRsZSI6Ik5ldXJhbCBjb3JyZWxhdGVzIG9mIHRpYyBnZW5lcmF0aW9uIGluIFRvdXJldHRlIHN5bmRyb21lOiBhbiBldmVudC1yZWxhdGVkIGZ1bmN0aW9uYWwgTVJJIHN0dWR5IiwiZ3JvdXBJZCI6IjA3ZDYyYWMxLTVhYTgtMzlhZi1iNDllLTUyZDIwODhhYzU3MSIsImF1dGhvciI6W3siZmFtaWx5IjoiQm9obGhhbHRlciIsImdpdmVuIjoiUyIsInBhcnNlLW5hbWVzIjpmYWxzZSwiZHJvcHBpbmctcGFydGljbGUiOiIiLCJub24tZHJvcHBpbmctcGFydGljbGUiOiIifSx7ImZhbWlseSI6IkdvbGRmaW5lIiwiZ2l2ZW4iOiJBIiwicGFyc2UtbmFtZXMiOmZhbHNlLCJkcm9wcGluZy1wYXJ0aWNsZSI6IiIsIm5vbi1kcm9wcGluZy1wYXJ0aWNsZSI6IiJ9LHsiZmFtaWx5IjoiTWF0dGVzb24iLCJnaXZlbiI6IlMiLCJwYXJzZS1uYW1lcyI6ZmFsc2UsImRyb3BwaW5nLXBhcnRpY2xlIjoiIiwibm9uLWRyb3BwaW5nLXBhcnRpY2xlIjoiIn0seyJmYW1pbHkiOiJHYXJyYXV4IiwiZ2l2ZW4iOiJHIiwicGFyc2UtbmFtZXMiOmZhbHNlLCJkcm9wcGluZy1wYXJ0aWNsZSI6IiIsIm5vbi1kcm9wcGluZy1wYXJ0aWNsZSI6IiJ9LHsiZmFtaWx5IjoiSGFuYWthd2EiLCJnaXZlbiI6IlQiLCJwYXJzZS1uYW1lcyI6ZmFsc2UsImRyb3BwaW5nLXBhcnRpY2xlIjoiIiwibm9uLWRyb3BwaW5nLXBhcnRpY2xlIjoiIn0seyJmYW1pbHkiOiJLYW5zYWt1IiwiZ2l2ZW4iOiJLIiwicGFyc2UtbmFtZXMiOmZhbHNlLCJkcm9wcGluZy1wYXJ0aWNsZSI6IiIsIm5vbi1kcm9wcGluZy1wYXJ0aWNsZSI6IiJ9LHsiZmFtaWx5IjoiV3Vyem1hbiIsImdpdmVuIjoiUiIsInBhcnNlLW5hbWVzIjpmYWxzZSwiZHJvcHBpbmctcGFydGljbGUiOiIiLCJub24tZHJvcHBpbmctcGFydGljbGUiOiIifSx7ImZhbWlseSI6IkhhbGxldHQiLCJnaXZlbiI6Ik0iLCJwYXJzZS1uYW1lcyI6ZmFsc2UsImRyb3BwaW5nLXBhcnRpY2xlIjoiIiwibm9uLWRyb3BwaW5nLXBhcnRpY2xlIjoiIn1dLCJjb250YWluZXItdGl0bGUiOiJCcmFpbiIsIkRPSSI6IjEwLjEwOTMvYnJhaW4vYXdsMDUwIiwiUE1JRCI6IjE2NTIwMzMwIiwiVVJMIjoiaHR0cHM6Ly93YXRlcm1hcmsuc2lsdmVyY2hhaXIuY29tL2F3bDA1MC5wZGY/dG9rZW49QVFFQ0FIaTIwOEJFNDlPb2FuOWtraFdfRXJjeTdEbTNaTF85Q2YzcWZLQWM0ODV5c2dBQUFzWXdnZ0xDQmdrcWhraUc5dzBCQndhZ2dnS3pNSUlDcndJQkFEQ0NBcWdHQ1NxR1NJYjNEUUVIQVRBZUJnbGdoa2dCWlFNRUFTNHdFUVFNVGt0MnppWTJsM2hvMFhOX0FnRVFnSUlDZVp1Z19jM2ZuYWltbm1DN1RiakJ6RGJRQWVXREotRFRJdlVobVZpVmlnUDhzbG81IiwiaXNzdWVkIjp7ImRhdGUtcGFydHMiOltbMjAwNl1dfSwicGFnZSI6IjIwMjktMjAzNyIsImFic3RyYWN0IjoiTGl0dGxlIGlzIGtub3duIGFib3V0IHRoZSBuZXVyYWwgY29ycmVsYXRlcyBvZiB0aWNzIGFuZCBhc3NvY2lhdGVkIHVyZ2VzLiBJbiB0aGUgcHJlc2VudCBzdHVkeSwgd2UgYWltZWQgdG8gZXhwbG9yZSB0aGUgbmV1cmFsIGJhc2lzIG9mIHRpY3MgaW4gcGF0aWVudHMgd2l0aCBUb3VyZXR0ZSBzeW5kcm9tZSBieSB1c2luZyBldmVudC1yZWxhdGVkIGZ1bmN0aW9uYWwgTVJJIChmTVJJKS4gVGVuIHBhdGllbnRzICg2IHdvbWVuLCA0IG1lbjsgYWdlOiBtZWFuICsvLSBTRCA9IDMxICsvLSAxMS4yKSB3ZXJlIHN0dWRpZWQgd2hpbGUgc3BvbnRhbmVvdXNseSBleGhpYml0aW5nIGEgdmFyaWV0eSBvZiBtb3RvciBhbmQgdm9jYWwgdGljcy4gT24gdGhlIGJhc2lzIG9mIHN5bmNocm9uaXplZCB2aWRlby9hdWRpbyByZWNvcmRpbmdzLCBmTVJJIGFjdGl2aXRpZXMgd2VyZSBhbmFseXNlZCAyIHMgYmVmb3JlIGFuZCBhdCB0aWMgb25zZXQgaXJyZXNwZWN0aXZlIG9mIHRoZSBjbGluaWNhbCBwaGVub21lbm9sb2d5LiBXZSBpZGVudGlmaWVkIGEgYnJhaW4gbmV0d29yayBvZiBwYXJhbGltYmljIGFyZWFzIHN1Y2ggYXMgYW50ZXJpb3IgY2luZ3VsYXRlIGFuZCBpbnN1bGFyIGNvcnRleCwgc3VwcGxlbWVudGFyeSBtb3RvciBhcmVhIChTTUEpIGFuZCBwYXJpZXRhbCBvcGVyY3VsdW0gKFBPKSBwcmVkb21pbmFudGx5IGFjdGl2YXRlZCBiZWZvcmUgdGljIG9uc2V0IChQIDwgMC4wNSwgY29ycmVjdGVkIGZvciBtdWx0aXBsZSBjb21wYXJpc29ucykuIEluIGNvbnRyYXN0LCBhdCB0aGUgYmVnaW5uaW5nIG9mIHRpYyBhY3Rpb24sIHNpZ25pZmljYW50IGZNUkkgYWN0aXZpdGllcyB3ZXJlIGZvdW5kIGluIHNlbnNvcmltb3RvciBhcmVhcyBpbmNsdWRpbmcgc3VwZXJpb3IgcGFyaWV0YWwgbG9idWxlIGJpbGF0ZXJhbGx5IGFuZCBjZXJlYmVsbHVtLiBUaGUgcmVzdWx0cyBvZiB0aGlzIHN0dWR5IGluZGljYXRlIHRoYXQgcGFyYWxpbWJpYyBhbmQgc2Vuc29yeSBhc3NvY2lhdGlvbiBhcmVhcyBhcmUgY3JpdGljYWxseSBpbXBsaWNhdGVkIGluIHRpYyBnZW5lcmF0aW9uLCBzaW1pbGFyIHRvIG1vdmVtZW50cyB0cmlnZ2VyZWQgaW50ZXJuYWxseSBieSB1bnBsZWFzYW50IHNlbnNhdGlvbnMsIGFzIGhhcyBiZWVuIHNob3duIGZvciBwYWluIG9yIGl0Y2hpbmcuIiwiaXNzdWUiOiJQdCA4Iiwidm9sdW1lIjoiMTI5IiwiY29udGFpbmVyLXRpdGxlLXNob3J0IjoiIn0sImlzVGVtcG9yYXJ5IjpmYWxzZX1dfQ==&quot;,&quot;citationItems&quot;:[{&quot;id&quot;:&quot;f631558b-fa2e-34a0-88b2-fc7ea462f532&quot;,&quot;itemData&quot;:{&quot;type&quot;:&quot;article-journal&quot;,&quot;id&quot;:&quot;f631558b-fa2e-34a0-88b2-fc7ea462f532&quot;,&quot;title&quot;:&quot;Neural correlates of tic generation in Tourette syndrome: an event-related functional MRI study&quot;,&quot;groupId&quot;:&quot;07d62ac1-5aa8-39af-b49e-52d2088ac571&quot;,&quot;author&quot;:[{&quot;family&quot;:&quot;Bohlhalter&quot;,&quot;given&quot;:&quot;S&quot;,&quot;parse-names&quot;:false,&quot;dropping-particle&quot;:&quot;&quot;,&quot;non-dropping-particle&quot;:&quot;&quot;},{&quot;family&quot;:&quot;Goldfine&quot;,&quot;given&quot;:&quot;A&quot;,&quot;parse-names&quot;:false,&quot;dropping-particle&quot;:&quot;&quot;,&quot;non-dropping-particle&quot;:&quot;&quot;},{&quot;family&quot;:&quot;Matteson&quot;,&quot;given&quot;:&quot;S&quot;,&quot;parse-names&quot;:false,&quot;dropping-particle&quot;:&quot;&quot;,&quot;non-dropping-particle&quot;:&quot;&quot;},{&quot;family&quot;:&quot;Garraux&quot;,&quot;given&quot;:&quot;G&quot;,&quot;parse-names&quot;:false,&quot;dropping-particle&quot;:&quot;&quot;,&quot;non-dropping-particle&quot;:&quot;&quot;},{&quot;family&quot;:&quot;Hanakawa&quot;,&quot;given&quot;:&quot;T&quot;,&quot;parse-names&quot;:false,&quot;dropping-particle&quot;:&quot;&quot;,&quot;non-dropping-particle&quot;:&quot;&quot;},{&quot;family&quot;:&quot;Kansaku&quot;,&quot;given&quot;:&quot;K&quot;,&quot;parse-names&quot;:false,&quot;dropping-particle&quot;:&quot;&quot;,&quot;non-dropping-particle&quot;:&quot;&quot;},{&quot;family&quot;:&quot;Wurzman&quot;,&quot;given&quot;:&quot;R&quot;,&quot;parse-names&quot;:false,&quot;dropping-particle&quot;:&quot;&quot;,&quot;non-dropping-particle&quot;:&quot;&quot;},{&quot;family&quot;:&quot;Hallett&quot;,&quot;given&quot;:&quot;M&quot;,&quot;parse-names&quot;:false,&quot;dropping-particle&quot;:&quot;&quot;,&quot;non-dropping-particle&quot;:&quot;&quot;}],&quot;container-title&quot;:&quot;Brain&quot;,&quot;DOI&quot;:&quot;10.1093/brain/awl050&quot;,&quot;PMID&quot;:&quot;16520330&quot;,&quot;URL&quot;:&quot;https://watermark.silverchair.com/awl050.pdf?token=AQECAHi208BE49Ooan9kkhW_Ercy7Dm3ZL_9Cf3qfKAc485ysgAAAsYwggLCBgkqhkiG9w0BBwagggKzMIICrwIBADCCAqgGCSqGSIb3DQEHATAeBglghkgBZQMEAS4wEQQMTkt2ziY2l3ho0XN_AgEQgIICeZug_c3fnaimnmC7TbjBzDbQAeWDJ-DTIvUhmViVigP8slo5&quot;,&quot;issued&quot;:{&quot;date-parts&quot;:[[2006]]},&quot;page&quot;:&quot;2029-2037&quot;,&quot;abstract&quot;:&quot;Little is known about the neural correlates of tics and associated urges. In the present study, we aimed to explore the neural basis of tics in patients with Tourette syndrome by using event-related functional MRI (fMRI). Ten patients (6 women, 4 men; age: mean +/- SD = 31 +/- 11.2) were studied while spontaneously exhibiting a variety of motor and vocal tics. On the basis of synchronized video/audio recordings, fMRI activities were analysed 2 s before and at tic onset irrespective of the clinical phenomenology. We identified a brain network of paralimbic areas such as anterior cingulate and insular cortex, supplementary motor area (SMA) and parietal operculum (PO) predominantly activated before tic onset (P &lt; 0.05, corrected for multiple comparisons). In contrast, at the beginning of tic action, significant fMRI activities were found in sensorimotor areas including superior parietal lobule bilaterally and cerebellum. The results of this study indicate that paralimbic and sensory association areas are critically implicated in tic generation, similar to movements triggered internally by unpleasant sensations, as has been shown for pain or itching.&quot;,&quot;issue&quot;:&quot;Pt 8&quot;,&quot;volume&quot;:&quot;129&quot;,&quot;container-title-short&quot;:&quot;&quot;},&quot;isTemporary&quot;:false}]},{&quot;citationID&quot;:&quot;MENDELEY_CITATION_41c5097b-8134-4a89-a475-5bff92160e16&quot;,&quot;properties&quot;:{&quot;noteIndex&quot;:0},&quot;isEdited&quot;:false,&quot;manualOverride&quot;:{&quot;isManuallyOverridden&quot;:false,&quot;citeprocText&quot;:&quot;(105)&quot;,&quot;manualOverrideText&quot;:&quot;&quot;},&quot;citationTag&quot;:&quot;MENDELEY_CITATION_v3_eyJjaXRhdGlvbklEIjoiTUVOREVMRVlfQ0lUQVRJT05fNDFjNTA5N2ItODEzNC00YTg5LWE0NzUtNWJmZjkyMTYwZTE2IiwicHJvcGVydGllcyI6eyJub3RlSW5kZXgiOjB9LCJpc0VkaXRlZCI6ZmFsc2UsIm1hbnVhbE92ZXJyaWRlIjp7ImlzTWFudWFsbHlPdmVycmlkZGVuIjpmYWxzZSwiY2l0ZXByb2NUZXh0IjoiKDEwNSkiLCJtYW51YWxPdmVycmlkZVRleHQiOiIifSwiY2l0YXRpb25JdGVtcyI6W3siaWQiOiIwNjIxMGUwNy04NjYzLTNiYzktOWFjOC0wNjVmNzkwMDQ4NzYiLCJpdGVtRGF0YSI6eyJ0eXBlIjoiYXJ0aWNsZS1qb3VybmFsIiwiaWQiOiIwNjIxMGUwNy04NjYzLTNiYzktOWFjOC0wNjVmNzkwMDQ4NzYiLCJ0aXRsZSI6IkJlcmVpdHNjaGFmdHNwb3RlbnRpYWwgaW4gdGljIGRpc29yZGVyczogYSBwcmVsaW1pbmFyeSBvYnNlcnZhdGlvbiIsImdyb3VwSWQiOiIwN2Q2MmFjMS01YWE4LTM5YWYtYjQ5ZS01MmQyMDg4YWM1NzEiLCJhdXRob3IiOlt7ImZhbWlseSI6IkR1Z2dhbCIsImdpdmVuIjoiSCBTIiwicGFyc2UtbmFtZXMiOmZhbHNlLCJkcm9wcGluZy1wYXJ0aWNsZSI6IiIsIm5vbi1kcm9wcGluZy1wYXJ0aWNsZSI6IiJ9LHsiZmFtaWx5IjoiTml6YW1pZSIsImdpdmVuIjoiUyBIIiwicGFyc2UtbmFtZXMiOmZhbHNlLCJkcm9wcGluZy1wYXJ0aWNsZSI6IiIsIm5vbi1kcm9wcGluZy1wYXJ0aWNsZSI6IiJ9XSwiY29udGFpbmVyLXRpdGxlIjoiTmV1cm9sIEluZGlhIiwiUE1JRCI6IjEyNTc3MTAzIiwiaXNzdWVkIjp7ImRhdGUtcGFydHMiOltbMjAwMl1dfSwicGFnZSI6IjQ4Ny00ODkiLCJhYnN0cmFjdCI6IlNlbnNvcnkgcGhlbm9tZW5hIGluIHRpYyBkaXNvcmRlcnMgc3VjaCBhcyBUb3VyZXR0ZSdzIHN5bmRyb21lIGFyZSBrbm93biBidXQgYXJlIHN1YnN0YW50aWF0ZWQgYnkgb25seSBhIGhhbmRmdWwgb2Ygc3R1ZGllcy4gSW4gdGhpcyBwcmVsaW1pbmFyeSByZXBvcnQsIHdlIHN0dWRpZWQgcHJlbW9uaXRvcnkgdXJnZSwgYSB0eXBlIG9mIHNlbnNvcnkgcGhlbm9tZW5vbiBpbiB0aHJlZSBwYXRpZW50cyBvZiB0aWMgZGlzb3JkZXJzLiBCZXJlaXRzY2hhZnRzcG90ZW50aWFsLCBhIG1vdmVtZW50LXJlbGF0ZWQgY29nbml0aXZlIHBvdGVudGlhbCBpbmRpY2F0aXZlIG9mIG1vdG9yIHByZXBhcmF0aW9uLCB3YXMgYXNzZXNzZWQgaW4gdGhlc2UgcGF0aWVudHMuIEFzIGJlcmVpdHNjaGFmdHNwb3RlbnRpYWwgd2FzIG9ic2VydmVkIGluIGFsbCBvdXIgY2FzZXMgcHJpb3IgdG8gb2NjdXJyZW5jZSBvZiB0aWNzLCBpdCBpcyBzcGVjdWxhdGVkIHRoYXQgdGljcyBhcmUgbm90IGVudGlyZWx5IGludm9sdW50YXJ5IGJ1dCBhcmUgcXVhc2ktdm9saXRpb25hbCBpbiBuYXR1cmUuIEJlcmVpdHNjaGFmdHNwb3RlbnRpYWwgbWF5IHRodXMgcmVwcmVzZW50IGEgbmV1cm9waHlzaW9sb2dpY2FsIG1hcmtlciBvZiBwcmVtb25pdG9yeSB1cmdlIGluIHRpYyBkaXNvcmRlcnMuIEltcGxpY2F0aW9ucyBvZiBleHBsb3JpbmcgdGhlIHZvbHVudGFyeSBuYXR1cmUgb2YgdGljcyBhcmUgZGlzY3Vzc2VkLiIsImlzc3VlIjoiNCIsInZvbHVtZSI6IjUwIiwiY29udGFpbmVyLXRpdGxlLXNob3J0IjoiIn0sImlzVGVtcG9yYXJ5IjpmYWxzZX1dfQ==&quot;,&quot;citationItems&quot;:[{&quot;id&quot;:&quot;06210e07-8663-3bc9-9ac8-065f79004876&quot;,&quot;itemData&quot;:{&quot;type&quot;:&quot;article-journal&quot;,&quot;id&quot;:&quot;06210e07-8663-3bc9-9ac8-065f79004876&quot;,&quot;title&quot;:&quot;Bereitschaftspotential in tic disorders: a preliminary observation&quot;,&quot;groupId&quot;:&quot;07d62ac1-5aa8-39af-b49e-52d2088ac571&quot;,&quot;author&quot;:[{&quot;family&quot;:&quot;Duggal&quot;,&quot;given&quot;:&quot;H S&quot;,&quot;parse-names&quot;:false,&quot;dropping-particle&quot;:&quot;&quot;,&quot;non-dropping-particle&quot;:&quot;&quot;},{&quot;family&quot;:&quot;Nizamie&quot;,&quot;given&quot;:&quot;S H&quot;,&quot;parse-names&quot;:false,&quot;dropping-particle&quot;:&quot;&quot;,&quot;non-dropping-particle&quot;:&quot;&quot;}],&quot;container-title&quot;:&quot;Neurol India&quot;,&quot;PMID&quot;:&quot;12577103&quot;,&quot;issued&quot;:{&quot;date-parts&quot;:[[2002]]},&quot;page&quot;:&quot;487-489&quot;,&quot;abstract&quot;:&quot;Sensory phenomena in tic disorders such as Tourette's syndrome are known but are substantiated by only a handful of studies. In this preliminary report, we studied premonitory urge, a type of sensory phenomenon in three patients of tic disorders. Bereitschaftspotential, a movement-related cognitive potential indicative of motor preparation, was assessed in these patients. As bereitschaftspotential was observed in all our cases prior to occurrence of tics, it is speculated that tics are not entirely involuntary but are quasi-volitional in nature. Bereitschaftspotential may thus represent a neurophysiological marker of premonitory urge in tic disorders. Implications of exploring the voluntary nature of tics are discussed.&quot;,&quot;issue&quot;:&quot;4&quot;,&quot;volume&quot;:&quot;50&quot;,&quot;container-title-short&quot;:&quot;&quot;},&quot;isTemporary&quot;:false}]},{&quot;citationID&quot;:&quot;MENDELEY_CITATION_2e13966a-41cd-4d1a-9a58-158a09b42cea&quot;,&quot;properties&quot;:{&quot;noteIndex&quot;:0},&quot;isEdited&quot;:false,&quot;manualOverride&quot;:{&quot;isManuallyOverridden&quot;:false,&quot;citeprocText&quot;:&quot;(106)&quot;,&quot;manualOverrideText&quot;:&quot;&quot;},&quot;citationTag&quot;:&quot;MENDELEY_CITATION_v3_eyJjaXRhdGlvbklEIjoiTUVOREVMRVlfQ0lUQVRJT05fMmUxMzk2NmEtNDFjZC00ZDFhLTlhNTgtMTU4YTA5YjQyY2VhIiwicHJvcGVydGllcyI6eyJub3RlSW5kZXgiOjB9LCJpc0VkaXRlZCI6ZmFsc2UsIm1hbnVhbE92ZXJyaWRlIjp7ImlzTWFudWFsbHlPdmVycmlkZGVuIjpmYWxzZSwiY2l0ZXByb2NUZXh0IjoiKDEwNikiLCJtYW51YWxPdmVycmlkZVRleHQiOiIifSwiY2l0YXRpb25JdGVtcyI6W3siaWQiOiI1NzJkNmZlMi04YjcxLTM4NDctYTc1OS0zOWYwNGM5MWJmNjYiLCJpdGVtRGF0YSI6eyJ0eXBlIjoiYXJ0aWNsZS1qb3VybmFsIiwiaWQiOiI1NzJkNmZlMi04YjcxLTM4NDctYTc1OS0zOWYwNGM5MWJmNjYiLCJ0aXRsZSI6IkV4YW1pbmluZyB0aGUgbmV1cmFsIGFudGVjZWRlbnRzIG9mIHRpY3MgaW4gVG91cmV0dGUgc3luZHJvbWUgdXNpbmcgZWxlY3Ryb2VuY2VwaGFsb2dyYXBoeSIsImdyb3VwSWQiOiIwN2Q2MmFjMS01YWE4LTM5YWYtYjQ5ZS01MmQyMDg4YWM1NzEiLCJhdXRob3IiOlt7ImZhbWlseSI6Ik1vcmVyYSBNYWlxdWV6IiwiZ2l2ZW4iOiJCIiwicGFyc2UtbmFtZXMiOmZhbHNlLCJkcm9wcGluZy1wYXJ0aWNsZSI6IiIsIm5vbi1kcm9wcGluZy1wYXJ0aWNsZSI6IiJ9LHsiZmFtaWx5IjoiSmFja3NvbiIsImdpdmVuIjoiRyBNIiwicGFyc2UtbmFtZXMiOmZhbHNlLCJkcm9wcGluZy1wYXJ0aWNsZSI6IiIsIm5vbi1kcm9wcGluZy1wYXJ0aWNsZSI6IiJ9LHsiZmFtaWx5IjoiSmFja3NvbiIsImdpdmVuIjoiUyBSIiwicGFyc2UtbmFtZXMiOmZhbHNlLCJkcm9wcGluZy1wYXJ0aWNsZSI6IiIsIm5vbi1kcm9wcGluZy1wYXJ0aWNsZSI6IiJ9XSwiY29udGFpbmVyLXRpdGxlIjoiSiBOZXVyb3BzeWNob2wiLCJET0kiOiIxMC4xMTExL2pucC4xMjI0NSIsIlBNSUQiOiIzMzk0OTc3OSIsIlVSTCI6Imh0dHBzOi8vYnBzcHN5Y2h1Yi1vbmxpbmVsaWJyYXJ5LXdpbGV5LWNvbS5wcm94eS5saWJyYXJ5LnZhbmRlcmJpbHQuZWR1L2RvaS9mdWxsLzEwLjExMTEvam5wLjEyMjQ1IiwiaXNzdWVkIjp7ImRhdGUtcGFydHMiOltbMjAyMl1dfSwicGFnZSI6IjEtMjAiLCJhYnN0cmFjdCI6IlRvdXJldHRlIHN5bmRyb21lIChUUykgaXMgYSBuZXVyb2RldmVsb3BtZW50YWwgZGlzb3JkZXIgY2hhcmFjdGVyaXplZCBieSB0aGUgb2NjdXJyZW5jZSBvZiBtb3RvciBhbmQgdm9jYWwgdGljcy4gVFMgaXMgYXNzb2NpYXRlZCB3aXRoIGNvcnRpY2FsLXN0cmlhdGFsLXRoYWxhbWljLWNvcnRpY2FsIGNpcmN1aXQgZHlzZnVuY3Rpb24gYW5kIGh5cGVyLWV4Y2l0YWJpbGl0eSBvZiBjb3J0aWNhbCBsaW1iaWMgYW5kIG1vdG9yIHJlZ2lvbnMgdGhhdCBsZWFkIHRvIHRoZSBvY2N1cnJlbmNlIG9mIHRpY3MuIEltcG9ydGFudGx5LCBpbmRpdmlkdWFscyB3aXRoIFRTIG9mdGVuIHJlcG9ydCB0aGF0IHRoZWlyIHRpY3MgYXJlIHByZWNlZGVkIGJ5IHByZW1vbml0b3J5IHNlbnNvcnkvdXJnZSBwaGVub21lbmEgKFBVKSB0aGF0IGFyZSBkZXNjcmliZWQgYXMgdW5jb21mb3J0YWJsZSBib2RpbHkgc2Vuc2F0aW9ucyB0aGF0IHByZWNlZGUgdGhlIGV4ZWN1dGlvbiBvZiBhIHRpYyBhbmQgYXJlIGV4cGVyaWVuY2VkIGFzIGFuIHVyZ2UgZm9yIG1vdG9yIGRpc2NoYXJnZS4gV2hpbGUgdGljcyBhcmUgbW9zdCBvZnRlbiByZWZlcnJlZCB0byBhcyBpbnZvbHVudGFyeSBtb3ZlbWVudHMsIGl0IGhhcyBiZWVuIGFyZ3VlZCBieSBzb21lIHRoYXQgdGljcyBzaG91bGQgYmUgdmlld2VkIGFzIHZvbHVudGFyeSBtb3ZlbWVudHMgdGhhdCBhcmUgZXhlY3V0ZWQgaW4gcmVzcG9uc2UgdG8gdGhlIHByZXNlbmNlIG9mIFBVLiBUbyBpbnZlc3RpZ2F0ZSB0aGlzIGlzc3VlIGZ1cnRoZXIsIHdlIGNvbmR1Y3RlZCBhIHN0dWR5IHVzaW5nIGVsZWN0cm9lbmNlcGhhbG9ncmFwaHkgKEVFRykuIFdlIHJlY29yZGVkIG1vdmVtZW50LXJlbGF0ZWQgRUVHIChtdS0gYW5kIGJldGEtYmFuZCBvc2NpbGxhdGlvbnMpIGR1cmluZyAoMSkgdGhlIGltbWVkaWF0ZSBwZXJpb2QgbGVhZGluZyB1cCB0byB0aGUgZXhlY3V0aW9uIG9mIHZvbHVudGFyeSBtb3ZlbWVudHMgYnkgYSBncm91cCBvZiBpbmRpdmlkdWFscyB3aXRoIFRTIGFuZCBhIGdyb3VwIG9mIG1hdGNoZWQgaGVhbHRoeSBjb250cm9sIHBhcnRpY2lwYW50cywgYW5kICgyKSB0aGUgaW1tZWRpYXRlIHBlcmlvZCBsZWFkaW5nIHVwIHRvIHRoZSBleGVjdXRpb24gb2YgYSB0aWMgaW4gYSBncm91cCBvZiBpbmRpdmlkdWFscyB3aXRoIFRTLiBXZSBkZW1vbnN0cmF0ZSB0aGF0IG1vdmVtZW50LXJlbGF0ZWQgbXUgYW5kIGJldGEgb3NjaWxsYXRpb25zIGFyZSBub3QgcmVsaWFibHkgb2JzZXJ2ZWQgcHJpb3IgdG8gdGljcyBpbiBpbmRpdmlkdWFscyB3aXRoIFRTLiBXZSBpbnRlcnByZXQgdGhpcyBlZmZlY3QgYXMgcmVmbGVjdGluZyB0aGUgZ3JlYXRlciBpbnZvbHZlbWVudCBvZiBhIG5ldHdvcmsgb2YgYnJhaW4gYXJlYXMsIGluY2x1ZGluZyB0aGUgaW5zdWxhciBhbmQgY2luZ3VsYXRlIGNvcnRpY2VzLCB0aGUgYmFzYWwgZ2FuZ2xpYSBhbmQgdGhlIGNlcmViZWxsdW0sIGluIHRoZSBnZW5lcmF0aW9uIG9mIHRpY3MgaW4gVFMuIFdlIGFsc28gc2hvdyB0aGF0IGJldGEtYmFuZCBkZXN5bmNocm9uaXphdGlvbiBkb2VzIG9jY3VyIHdoZW4gaW5kaXZpZHVhbHMgd2l0aCBUUyBpbml0aWF0ZSB2b2x1bnRhcnkgbW92ZW1lbnRzLCBidXQsIGluIGNvbnRyYXN0IHRvIGhlYWx0aHkgY29udHJvbHMsIGRlc3luY2hyb25pemF0aW9uIG9mIG11LWJhbmQgb3NjaWxsYXRpb25zIGlzIG5vdCBvYnNlcnZlZCBkdXJpbmcgdGhlIGV4ZWN1dGlvbiBvZiB2b2x1bnRhcnkgbW92ZW1lbnRzIGZvciBpbmRpdmlkdWFscyB3aXRoIFRTLiBXZSBpbnRlcnByZXQgdGhpcyBmaW5kaW5nIGFzIHJlZmxlY3RpbmcgYSBkeXNmdW5jdGlvbiBvZiBwaHlzaW9sb2dpY2FsIGluaGliaXRpb24gaW4gVFMsIHRoZXJlYnkgY29udHJpYnV0aW5nIHRvIGFuIGltcGFpcmVkIGFiaWxpdHkgdG8gc3VwcHJlc3MgbmV1cm9uYWwgcG9wdWxhdGlvbnMgdGhhdCBtYXkgY29tcGV0ZSB3aXRoIG1vdmVtZW50IHByZXBhcmF0aW9uIHByb2Nlc3Nlcy4iLCJpc3N1ZSI6IjEiLCJ2b2x1bWUiOiIxNiIsImNvbnRhaW5lci10aXRsZS1zaG9ydCI6IiJ9LCJpc1RlbXBvcmFyeSI6ZmFsc2V9XX0=&quot;,&quot;citationItems&quot;:[{&quot;id&quot;:&quot;572d6fe2-8b71-3847-a759-39f04c91bf66&quot;,&quot;itemData&quot;:{&quot;type&quot;:&quot;article-journal&quot;,&quot;id&quot;:&quot;572d6fe2-8b71-3847-a759-39f04c91bf66&quot;,&quot;title&quot;:&quot;Examining the neural antecedents of tics in Tourette syndrome using electroencephalography&quot;,&quot;groupId&quot;:&quot;07d62ac1-5aa8-39af-b49e-52d2088ac571&quot;,&quot;author&quot;:[{&quot;family&quot;:&quot;Morera Maiquez&quot;,&quot;given&quot;:&quot;B&quot;,&quot;parse-names&quot;:false,&quot;dropping-particle&quot;:&quot;&quot;,&quot;non-dropping-particle&quot;:&quot;&quot;},{&quot;family&quot;:&quot;Jackson&quot;,&quot;given&quot;:&quot;G M&quot;,&quot;parse-names&quot;:false,&quot;dropping-particle&quot;:&quot;&quot;,&quot;non-dropping-particle&quot;:&quot;&quot;},{&quot;family&quot;:&quot;Jackson&quot;,&quot;given&quot;:&quot;S R&quot;,&quot;parse-names&quot;:false,&quot;dropping-particle&quot;:&quot;&quot;,&quot;non-dropping-particle&quot;:&quot;&quot;}],&quot;container-title&quot;:&quot;J Neuropsychol&quot;,&quot;DOI&quot;:&quot;10.1111/jnp.12245&quot;,&quot;PMID&quot;:&quot;33949779&quot;,&quot;URL&quot;:&quot;https://bpspsychub-onlinelibrary-wiley-com.proxy.library.vanderbilt.edu/doi/full/10.1111/jnp.12245&quot;,&quot;issued&quot;:{&quot;date-parts&quot;:[[2022]]},&quot;page&quot;:&quot;1-20&quot;,&quot;abstract&quot;:&quot;Tourette syndrome (TS) is a neurodevelopmental disorder characterized by the occurrence of motor and vocal tics. TS is associated with cortical-striatal-thalamic-cortical circuit dysfunction and hyper-excitability of cortical limbic and motor regions that lead to the occurrence of tics. Importantly, individuals with TS often report that their tics are preceded by premonitory sensory/urge phenomena (PU) that are described as uncomfortable bodily sensations that precede the execution of a tic and are experienced as an urge for motor discharge. While tics are most often referred to as involuntary movements, it has been argued by some that tics should be viewed as voluntary movements that are executed in response to the presence of PU. To investigate this issue further, we conducted a study using electroencephalography (EEG). We recorded movement-related EEG (mu- and beta-band oscillations) during (1) the immediate period leading up to the execution of voluntary movements by a group of individuals with TS and a group of matched healthy control participants, and (2) the immediate period leading up to the execution of a tic in a group of individuals with TS. We demonstrate that movement-related mu and beta oscillations are not reliably observed prior to tics in individuals with TS. We interpret this effect as reflecting the greater involvement of a network of brain areas, including the insular and cingulate cortices, the basal ganglia and the cerebellum, in the generation of tics in TS. We also show that beta-band desynchronization does occur when individuals with TS initiate voluntary movements, but, in contrast to healthy controls, desynchronization of mu-band oscillations is not observed during the execution of voluntary movements for individuals with TS. We interpret this finding as reflecting a dysfunction of physiological inhibition in TS, thereby contributing to an impaired ability to suppress neuronal populations that may compete with movement preparation processes.&quot;,&quot;issue&quot;:&quot;1&quot;,&quot;volume&quot;:&quot;16&quot;,&quot;container-title-short&quot;:&quot;&quot;},&quot;isTemporary&quot;:false}]},{&quot;citationID&quot;:&quot;MENDELEY_CITATION_a6eee77e-fde6-44de-8bbf-0a5918d5e1ee&quot;,&quot;properties&quot;:{&quot;noteIndex&quot;:0},&quot;isEdited&quot;:false,&quot;manualOverride&quot;:{&quot;isManuallyOverridden&quot;:false,&quot;citeprocText&quot;:&quot;(107)&quot;,&quot;manualOverrideText&quot;:&quot;&quot;},&quot;citationTag&quot;:&quot;MENDELEY_CITATION_v3_eyJjaXRhdGlvbklEIjoiTUVOREVMRVlfQ0lUQVRJT05fYTZlZWU3N2UtZmRlNi00NGRlLThiYmYtMGE1OTE4ZDVlMWVlIiwicHJvcGVydGllcyI6eyJub3RlSW5kZXgiOjB9LCJpc0VkaXRlZCI6ZmFsc2UsIm1hbnVhbE92ZXJyaWRlIjp7ImlzTWFudWFsbHlPdmVycmlkZGVuIjpmYWxzZSwiY2l0ZXByb2NUZXh0IjoiKDEwNykiLCJtYW51YWxPdmVycmlkZVRleHQiOiIifSwiY2l0YXRpb25JdGVtcyI6W3siaWQiOiIwMjU1YWEwNC00M2EwLTM1YTUtYjU2ZC0wNWM5MGVjNTYzYmUiLCJpdGVtRGF0YSI6eyJ0eXBlIjoiYXJ0aWNsZS1qb3VybmFsIiwiaWQiOiIwMjU1YWEwNC00M2EwLTM1YTUtYjU2ZC0wNWM5MGVjNTYzYmUiLCJ0aXRsZSI6Ik1hcHBpbmcgR2lsbGVzIGRlIGxhIFRvdXJldHRlIHN5bmRyb21lIHRocm91Z2ggdGhlIGRpc3RyZXNzIGFuZCByZWxpZWYgYXNzb2NpYXRlZCB3aXRoIHRpYy1yZWxhdGVkIGJlaGF2aW9yczogYW4gZk1SSSBzdHVkeSIsImdyb3VwSWQiOiIwN2Q2MmFjMS01YWE4LTM5YWYtYjQ5ZS01MmQyMDg4YWM1NzEiLCJhdXRob3IiOlt7ImZhbWlseSI6IlphcHBhcm9saSIsImdpdmVuIjoiTCIsInBhcnNlLW5hbWVzIjpmYWxzZSwiZHJvcHBpbmctcGFydGljbGUiOiIiLCJub24tZHJvcHBpbmctcGFydGljbGUiOiIifSx7ImZhbWlseSI6IkRldm90byIsImdpdmVuIjoiRiIsInBhcnNlLW5hbWVzIjpmYWxzZSwiZHJvcHBpbmctcGFydGljbGUiOiIiLCJub24tZHJvcHBpbmctcGFydGljbGUiOiIifSx7ImZhbWlseSI6Ik1hcmlhbm8iLCJnaXZlbiI6Ik0iLCJwYXJzZS1uYW1lcyI6ZmFsc2UsImRyb3BwaW5nLXBhcnRpY2xlIjoiIiwibm9uLWRyb3BwaW5nLXBhcnRpY2xlIjoiIn0seyJmYW1pbHkiOiJTZWdoZXp6aSIsImdpdmVuIjoiUyIsInBhcnNlLW5hbWVzIjpmYWxzZSwiZHJvcHBpbmctcGFydGljbGUiOiIiLCJub24tZHJvcHBpbmctcGFydGljbGUiOiIifSx7ImZhbWlseSI6IlNlcnZlbGxvIiwiZ2l2ZW4iOiJEIiwicGFyc2UtbmFtZXMiOmZhbHNlLCJkcm9wcGluZy1wYXJ0aWNsZSI6IiIsIm5vbi1kcm9wcGluZy1wYXJ0aWNsZSI6IiJ9LHsiZmFtaWx5IjoiUG9ydGEiLCJnaXZlbiI6Ik0iLCJwYXJzZS1uYW1lcyI6ZmFsc2UsImRyb3BwaW5nLXBhcnRpY2xlIjoiIiwibm9uLWRyb3BwaW5nLXBhcnRpY2xlIjoiIn0seyJmYW1pbHkiOiJQYXVsZXN1IiwiZ2l2ZW4iOiJFIiwicGFyc2UtbmFtZXMiOmZhbHNlLCJkcm9wcGluZy1wYXJ0aWNsZSI6IiIsIm5vbi1kcm9wcGluZy1wYXJ0aWNsZSI6IiJ9XSwiY29udGFpbmVyLXRpdGxlIjoiVHJhbnNsIFBzeWNoaWF0cnkiLCJET0kiOiIxMC4xMDM4L3M0MTM5OC0wMjMtMDI3MTEteiIsIlBNSUQiOiIzODE5MTQ3NSIsImlzc3VlZCI6eyJkYXRlLXBhcnRzIjpbWzIwMjRdXX0sInBhZ2UiOiI3IiwiYWJzdHJhY3QiOiJQZXJzb25hbCBkaXN0cmVzcyBhc3NvY2lhdGVkIHdpdGggdGljIHVyZ2VzIG9yIGluaGliaXRpb24gYW5kIHJlbGllZiBhc3NvY2lhdGVkIHdpdGggdGljIHByb2R1Y3Rpb24gYXJlIGRlZmluaW5nIGZlYXR1cmVzIG9mIHRoZSBwZXJzb25hbCBleHBlcmllbmNlIGluIEdpbGxlcyBkZSBsYSBUb3VyZXR0ZSBzeW5kcm9tZSAoR1RTKS4gVGhlc2UgYWZmZWN0aXZlIHBoZW5vbWVuYSBoYXZlIG5vdCBiZWVuIHN0dWRpZWQgdXNpbmcgZk1SSSwgaGluZGVyaW5nIG91ciB1bmRlcnN0YW5kaW5nIG9mIEdUUyBwYXRob3BoeXNpb2xvZ3kgYW5kIHBvc3NpYmxlIHRyZWF0bWVudHMuIEhlcmUsIHdlIHByZXNlbnQgYSBub3ZlbCBjcm9zcy1zZWN0aW9uYWwgZk1SSSBzdHVkeSBkZXNpZ25lZCB0byBtYXAgdGljLXJlbGF0ZWQgcGhlbm9tZW5vbG9neSB1c2luZyBkaXN0cmVzcyBhbmQgcmVsaWVmIGFzIHByZWRpY3RpbmcgdmFyaWFibGVzLiBXZSBhZG9wdGVkIGEgbWVudGFsIGltYWdlcnkgYXBwcm9hY2ggYW5kIGRpc3NlY3RlZCB0aGUgYnJhaW4gYWN0aXZpdHkgYXNzb2NpYXRlZCB3aXRoIGRpZmZlcmVudCBwaGFzZXMgb2YgdGljIGJlaGF2aW9ycywgcHJlbW9uaXRvcnkgdXJnZXMsIGFuZCB0aGUgZW5zdWluZyB0aWMgZXhlY3V0aW9uIG9yIGluaGliaXRpb246IHRoZXNlIHdlcmUgY29tcGFyZWQgd2l0aCB0aGUgbWVudGFsIHNpbXVsYXRpb24gb2YgXCJyZWxheGVkIHNpdHVhdGlvbnNcIiBhbmQgcHJlLWRldGVybWluZWQgc3RlcmVvdHlwZWQgbW90b3IgYmVoYXZpb3JzLiBXZSB0aGVuIGV4cGxvcmVkIHdoZXRoZXIgdGhlIGVuc3VpbmcgYnJhaW4gcGF0dGVybnMgY29ycmVsYXRlZCB3aXRoIHRoZSBkaXN0cmVzcyBvciByZWxpZWYgcGVyY2VpdmVkIGZvciB0aGUgZGlmZmVyZW50IHBoYXNlcyBvZiB0aGUgdGFza3MuIFBhdGllbnRzIGV4cGVyaWVuY2VkIGEgaGlnaGVyIGxldmVsIG9mIGRpc3RyZXNzIGR1cmluZyB0aGUgaW1hZ2VyeSBvZiB0aWMtdHJpZ2dlcmluZyBzY2VuYXJpb3MgYW5kIG5vIHJlbGllZiBkdXJpbmcgdGljIGluaGliaXRpb24uIE9uIHRoZSBvdGhlciBoYW5kLCBwYXRpZW50cyBleHBlcmllbmNlZCBzaWduaWZpY2FudCByZWxpZWYgZHVyaW5nIHRpYyBpbWFnZXJ5LiBEaXN0cmVzcyBkdXJpbmcgdGljLXRyaWdnZXJpbmcgc2NlbmFyaW9zIGFuZCByZWxpZWYgZHVyaW5nIHRpYyBpbWFnZXJ5IHdlcmUgc2lnbmlmaWNhbnRseSBjb3JyZWxhdGVkLiBUaGUgZGlzdHJlc3MgcGVyY2VpdmVkIGR1cmluZyB1cmdlcyBjb3JyZWxhdGVkIHdpdGggaW5jcmVhc2VkIGFjdGl2YXRpb24gaW4gY29ydGljYWwgc2Vuc29yaW1vdG9yIGFyZWFzLCBzdWdnZXN0aW5nIGEgbW90b3IgYWxhcm0uIENvbnZlcnNlbHksIHJlbGllZiBkdXJpbmcgdGljIGV4ZWN1dGlvbiB3YXMgcG9zaXRpdmVseSBhc3NvY2lhdGVkIHdpdGggdGhlIGFjdGl2aXR5IG9mIGEgc3ViY29ydGljYWwgbmV0d29yay4gVGhlIGFjdGl2aXR5IG9mIHRoZSBwdXRhbWVuIHdhcyBhc3NvY2lhdGVkIHdpdGggYm90aCBkaXN0cmVzcyBkdXJpbmcgdXJnZXMgYW5kIHJlbGllZiBkdXJpbmcgdGljIGV4ZWN1dGlvbi4gVGhlc2UgZmluZGluZ3MgaGlnaGxpZ2h0IHRoZSBpbXBvcnRhbmNlIG9mIGFzc2Vzc2luZyB0aGUgYWZmZWN0aXZlIGNvbXBvbmVudCBvZiB0aWMtcmVsYXRlZCBwaGVub21lbm9sb2d5LiBTdWJjb3J0aWNhbCBzdHJ1Y3R1cmVzIG1heSBiZSBjYXVzYWxseSBpbnZvbHZlZCBpbiB0aGUgYWZmZWN0aXZlIGNvbXBvbmVudCBvZiB0aWMgcGF0aG9waHlzaW9sb2d5LCB3aXRoIHRoZSBwdXRhbWVuIHBsYXlpbmcgYSBjZW50cmFsIHJvbGUgaW4gYm90aCB0aWMgdXJnZSBhbmQgZ2VuZXJhdGlvbi4gV2UgYmVsaWV2ZSB0aGF0IG91ciByZXN1bHRzIGNhbiBiZSByZWFkaWx5IHRyYW5zbGF0ZWQgaW50byBjbGluaWNhbCBwcmFjdGljZSBmb3IgdGhlIGRldmVsb3BtZW50IG9mIHBlcnNvbmFsaXplZCB0cmVhdG1lbnQgcGxhbnMgdGFpbG9yZWQgdG8gZWFjaCBwYXRpZW50J3MgdW5pcXVlIG5lZWRzLiIsImlzc3VlIjoiMSIsInZvbHVtZSI6IjE0IiwiY29udGFpbmVyLXRpdGxlLXNob3J0IjoiIn0sImlzVGVtcG9yYXJ5IjpmYWxzZX1dfQ==&quot;,&quot;citationItems&quot;:[{&quot;id&quot;:&quot;0255aa04-43a0-35a5-b56d-05c90ec563be&quot;,&quot;itemData&quot;:{&quot;type&quot;:&quot;article-journal&quot;,&quot;id&quot;:&quot;0255aa04-43a0-35a5-b56d-05c90ec563be&quot;,&quot;title&quot;:&quot;Mapping Gilles de la Tourette syndrome through the distress and relief associated with tic-related behaviors: an fMRI study&quot;,&quot;groupId&quot;:&quot;07d62ac1-5aa8-39af-b49e-52d2088ac571&quot;,&quot;author&quot;:[{&quot;family&quot;:&quot;Zapparoli&quot;,&quot;given&quot;:&quot;L&quot;,&quot;parse-names&quot;:false,&quot;dropping-particle&quot;:&quot;&quot;,&quot;non-dropping-particle&quot;:&quot;&quot;},{&quot;family&quot;:&quot;Devoto&quot;,&quot;given&quot;:&quot;F&quot;,&quot;parse-names&quot;:false,&quot;dropping-particle&quot;:&quot;&quot;,&quot;non-dropping-particle&quot;:&quot;&quot;},{&quot;family&quot;:&quot;Mariano&quot;,&quot;given&quot;:&quot;M&quot;,&quot;parse-names&quot;:false,&quot;dropping-particle&quot;:&quot;&quot;,&quot;non-dropping-particle&quot;:&quot;&quot;},{&quot;family&quot;:&quot;Seghezzi&quot;,&quot;given&quot;:&quot;S&quot;,&quot;parse-names&quot;:false,&quot;dropping-particle&quot;:&quot;&quot;,&quot;non-dropping-particle&quot;:&quot;&quot;},{&quot;family&quot;:&quot;Servello&quot;,&quot;given&quot;:&quot;D&quot;,&quot;parse-names&quot;:false,&quot;dropping-particle&quot;:&quot;&quot;,&quot;non-dropping-particle&quot;:&quot;&quot;},{&quot;family&quot;:&quot;Porta&quot;,&quot;given&quot;:&quot;M&quot;,&quot;parse-names&quot;:false,&quot;dropping-particle&quot;:&quot;&quot;,&quot;non-dropping-particle&quot;:&quot;&quot;},{&quot;family&quot;:&quot;Paulesu&quot;,&quot;given&quot;:&quot;E&quot;,&quot;parse-names&quot;:false,&quot;dropping-particle&quot;:&quot;&quot;,&quot;non-dropping-particle&quot;:&quot;&quot;}],&quot;container-title&quot;:&quot;Transl Psychiatry&quot;,&quot;DOI&quot;:&quot;10.1038/s41398-023-02711-z&quot;,&quot;PMID&quot;:&quot;38191475&quot;,&quot;issued&quot;:{&quot;date-parts&quot;:[[2024]]},&quot;page&quot;:&quot;7&quot;,&quot;abstract&quot;:&quot;Personal distress associated with tic urges or inhibition and relief associated with tic production are defining features of the personal experience in Gilles de la Tourette syndrome (GTS). These affective phenomena have not been studied using fMRI, hindering our understanding of GTS pathophysiology and possible treatments. Here, we present a novel cross-sectional fMRI study designed to map tic-related phenomenology using distress and relief as predicting variables. We adopted a mental imagery approach and dissected the brain activity associated with different phases of tic behaviors, premonitory urges, and the ensuing tic execution or inhibition: these were compared with the mental simulation of \&quot;relaxed situations\&quot; and pre-determined stereotyped motor behaviors. We then explored whether the ensuing brain patterns correlated with the distress or relief perceived for the different phases of the tasks. Patients experienced a higher level of distress during the imagery of tic-triggering scenarios and no relief during tic inhibition. On the other hand, patients experienced significant relief during tic imagery. Distress during tic-triggering scenarios and relief during tic imagery were significantly correlated. The distress perceived during urges correlated with increased activation in cortical sensorimotor areas, suggesting a motor alarm. Conversely, relief during tic execution was positively associated with the activity of a subcortical network. The activity of the putamen was associated with both distress during urges and relief during tic execution. These findings highlight the importance of assessing the affective component of tic-related phenomenology. Subcortical structures may be causally involved in the affective component of tic pathophysiology, with the putamen playing a central role in both tic urge and generation. We believe that our results can be readily translated into clinical practice for the development of personalized treatment plans tailored to each patient's unique needs.&quot;,&quot;issue&quot;:&quot;1&quot;,&quot;volume&quot;:&quot;14&quot;,&quot;container-title-short&quot;:&quot;&quot;},&quot;isTemporary&quot;:false}]}]"/>
    <we:property name="MENDELEY_CITATIONS_LOCALE_CODE" value="&quot;en-US&quot;"/>
    <we:property name="MENDELEY_CITATIONS_STYLE" value="{&quot;id&quot;:&quot;https://www.zotero.org/styles/frontiers-in-psychiatry&quot;,&quot;title&quot;:&quot;Frontiers in Psychiatr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1</TotalTime>
  <Pages>42</Pages>
  <Words>16468</Words>
  <Characters>93870</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Isaacs, David A</cp:lastModifiedBy>
  <cp:revision>3</cp:revision>
  <cp:lastPrinted>2013-10-03T12:51:00Z</cp:lastPrinted>
  <dcterms:created xsi:type="dcterms:W3CDTF">2025-01-16T03:55:00Z</dcterms:created>
  <dcterms:modified xsi:type="dcterms:W3CDTF">2025-01-16T03:56:00Z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SIP_Label_792c8cef-6f2b-4af1-b4ac-d815ff795cd6_Enabled">
    <vt:lpwstr>true</vt:lpwstr>
  </property>
  <property fmtid="{D5CDD505-2E9C-101B-9397-08002B2CF9AE}" pid="11" name="MSIP_Label_792c8cef-6f2b-4af1-b4ac-d815ff795cd6_SetDate">
    <vt:lpwstr>2024-11-26T11:54:02Z</vt:lpwstr>
  </property>
  <property fmtid="{D5CDD505-2E9C-101B-9397-08002B2CF9AE}" pid="12" name="MSIP_Label_792c8cef-6f2b-4af1-b4ac-d815ff795cd6_Method">
    <vt:lpwstr>Standard</vt:lpwstr>
  </property>
  <property fmtid="{D5CDD505-2E9C-101B-9397-08002B2CF9AE}" pid="13" name="MSIP_Label_792c8cef-6f2b-4af1-b4ac-d815ff795cd6_Name">
    <vt:lpwstr>VUMC General</vt:lpwstr>
  </property>
  <property fmtid="{D5CDD505-2E9C-101B-9397-08002B2CF9AE}" pid="14" name="MSIP_Label_792c8cef-6f2b-4af1-b4ac-d815ff795cd6_SiteId">
    <vt:lpwstr>ef575030-1424-4ed8-b83c-12c533d879ab</vt:lpwstr>
  </property>
  <property fmtid="{D5CDD505-2E9C-101B-9397-08002B2CF9AE}" pid="15" name="MSIP_Label_792c8cef-6f2b-4af1-b4ac-d815ff795cd6_ActionId">
    <vt:lpwstr>cd8b5e96-08aa-4bfb-a953-229d3665347d</vt:lpwstr>
  </property>
  <property fmtid="{D5CDD505-2E9C-101B-9397-08002B2CF9AE}" pid="16" name="MSIP_Label_792c8cef-6f2b-4af1-b4ac-d815ff795cd6_ContentBits">
    <vt:lpwstr>0</vt:lpwstr>
  </property>
</Properties>
</file>