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9D094AE" w14:textId="1355A781" w:rsidR="00464897" w:rsidRPr="00464897" w:rsidRDefault="00464897" w:rsidP="00464897">
      <w:pPr>
        <w:pStyle w:val="1"/>
      </w:pPr>
      <w:r w:rsidRPr="00464897">
        <w:t>The method of Ultra-high-performance liquid chromatography with tandem mass spectrometry conditions for direct oral anticoagulant concentration measurement</w:t>
      </w:r>
    </w:p>
    <w:p w14:paraId="51E4CCFF" w14:textId="5F08EA3B" w:rsidR="00464897" w:rsidRDefault="00464897" w:rsidP="00464897">
      <w:pPr>
        <w:rPr>
          <w:rFonts w:cs="Times New Roman"/>
        </w:rPr>
      </w:pPr>
      <w:r w:rsidRPr="000C3ADF">
        <w:rPr>
          <w:rFonts w:cs="Times New Roman"/>
        </w:rPr>
        <w:t>Blood samples were collected through venous puncturing and stored in tubes containing K2EDTA (BD Vacutainer®</w:t>
      </w:r>
      <w:proofErr w:type="gramStart"/>
      <w:r w:rsidRPr="000C3ADF">
        <w:rPr>
          <w:rFonts w:cs="Times New Roman"/>
        </w:rPr>
        <w:t>), and</w:t>
      </w:r>
      <w:proofErr w:type="gramEnd"/>
      <w:r w:rsidRPr="000C3ADF">
        <w:rPr>
          <w:rFonts w:cs="Times New Roman"/>
        </w:rPr>
        <w:t xml:space="preserve"> were centrifuged with a standard procedure to obtain plasma and stored in −80°C until use. Plasma NOAC concentration was measured by using ultra-high performance liquid chromatography with tandem mass spectrometry (UHPLC-MS/MS). In total, 100 µL of each plasma sample was deproteinized by adding 800 </w:t>
      </w:r>
      <w:proofErr w:type="spellStart"/>
      <w:r w:rsidRPr="000C3ADF">
        <w:rPr>
          <w:rFonts w:cs="Times New Roman"/>
        </w:rPr>
        <w:t>μL</w:t>
      </w:r>
      <w:proofErr w:type="spellEnd"/>
      <w:r w:rsidRPr="000C3ADF">
        <w:rPr>
          <w:rFonts w:cs="Times New Roman"/>
        </w:rPr>
        <w:t xml:space="preserve"> of 100% MeOH and homogenized at 1000 rpm for 2 min in a Geno/Grinder 2010 (SPEX </w:t>
      </w:r>
      <w:proofErr w:type="spellStart"/>
      <w:r w:rsidRPr="000C3ADF">
        <w:rPr>
          <w:rFonts w:cs="Times New Roman"/>
        </w:rPr>
        <w:t>SamplePrep</w:t>
      </w:r>
      <w:proofErr w:type="spellEnd"/>
      <w:r w:rsidRPr="000C3ADF">
        <w:rPr>
          <w:rFonts w:cs="Times New Roman"/>
        </w:rPr>
        <w:t>; Metuchen, NJ, USA), followed by centrifugation at 15,000 rpm for 5 min. Thereafter, 400 µL of the supernatant was transferred to a new Eppendorf tube. The plasma extracts were dried with a centrifugal vaporizer (</w:t>
      </w:r>
      <w:proofErr w:type="spellStart"/>
      <w:r w:rsidRPr="000C3ADF">
        <w:rPr>
          <w:rFonts w:cs="Times New Roman"/>
        </w:rPr>
        <w:t>Thermo</w:t>
      </w:r>
      <w:proofErr w:type="spellEnd"/>
      <w:r w:rsidRPr="000C3ADF">
        <w:rPr>
          <w:rFonts w:cs="Times New Roman"/>
        </w:rPr>
        <w:t xml:space="preserve"> </w:t>
      </w:r>
      <w:proofErr w:type="spellStart"/>
      <w:r w:rsidRPr="000C3ADF">
        <w:rPr>
          <w:rFonts w:cs="Times New Roman"/>
        </w:rPr>
        <w:t>SpeedVac</w:t>
      </w:r>
      <w:proofErr w:type="spellEnd"/>
      <w:r w:rsidRPr="000C3ADF">
        <w:rPr>
          <w:rFonts w:cs="Times New Roman"/>
        </w:rPr>
        <w:t xml:space="preserve">® Savant SPD111V; </w:t>
      </w:r>
      <w:proofErr w:type="spellStart"/>
      <w:r w:rsidRPr="000C3ADF">
        <w:rPr>
          <w:rFonts w:cs="Times New Roman"/>
        </w:rPr>
        <w:t>Thermo</w:t>
      </w:r>
      <w:proofErr w:type="spellEnd"/>
      <w:r w:rsidRPr="000C3ADF">
        <w:rPr>
          <w:rFonts w:cs="Times New Roman"/>
        </w:rPr>
        <w:t xml:space="preserve"> Fisher Scientific, Waltham, MA, USA), followed by reconstitution of the sample in 200 </w:t>
      </w:r>
      <w:proofErr w:type="spellStart"/>
      <w:r w:rsidRPr="000C3ADF">
        <w:rPr>
          <w:rFonts w:cs="Times New Roman"/>
        </w:rPr>
        <w:t>μL</w:t>
      </w:r>
      <w:proofErr w:type="spellEnd"/>
      <w:r w:rsidRPr="000C3ADF">
        <w:rPr>
          <w:rFonts w:cs="Times New Roman"/>
        </w:rPr>
        <w:t xml:space="preserve"> of MeOH. The reconstituted sample was then filtered through a 0.22-μm polypropylene membrane filter (RC-4; Sartorius, Göttingen, Germany) for injection into a system for ultra-high performance liquid chromatography with tandem mass spectrometry (UHPLC-MS/MS). </w:t>
      </w:r>
      <w:bookmarkStart w:id="0" w:name="_Hlk131580739"/>
      <w:r w:rsidRPr="000C3ADF">
        <w:rPr>
          <w:rFonts w:cs="Times New Roman"/>
        </w:rPr>
        <w:t xml:space="preserve">The instrument used was an Agilent 1290 UHPLC system coupled with an Agilent 6460 triple quadrupole mass spectrometer (Agilent Technologies, Santa Clara, CA, USA). A </w:t>
      </w:r>
      <w:proofErr w:type="spellStart"/>
      <w:r w:rsidRPr="000C3ADF">
        <w:rPr>
          <w:rFonts w:cs="Times New Roman"/>
        </w:rPr>
        <w:t>Kinetex</w:t>
      </w:r>
      <w:proofErr w:type="spellEnd"/>
      <w:r w:rsidRPr="000C3ADF">
        <w:rPr>
          <w:rFonts w:cs="Times New Roman"/>
        </w:rPr>
        <w:t xml:space="preserve"> reversed-phase core-shell C18 column (2.1 × 50 mm, 2.6 µm, 100 Å; Phenomenex, Torrance, CA, USA) was used for separation. The mobile phase consisted of 0.1% formic acid and 10 mM ammonium acetate in water (solvent A), and 0.1% formic acid and 10 mM ammonium acetate in isopropanol and ACN (9:1, v/v) (solvent B). The flow rate was 0.35 mL min-1. The gradient profile started with 0% B for 0.5 min, then changed to 6% B in 0.1 min and remained at 6% B for 0.6 min, subsequently increased to 25% B in 0.5 min, 27.5% B in 0.5 min, and 50% B in 0.5 min, and was maintained 50% B for 1 min. Finally, the column was re-equilibrated to 0% B for 2 min until the next injection. The temperature of the sample reservoir was maintained at 4°C, and the column oven temperature was set to 55°C. The injection volume was 3 µL. A </w:t>
      </w:r>
      <w:proofErr w:type="spellStart"/>
      <w:r w:rsidRPr="000C3ADF">
        <w:rPr>
          <w:rFonts w:cs="Times New Roman"/>
        </w:rPr>
        <w:t>JetStream</w:t>
      </w:r>
      <w:proofErr w:type="spellEnd"/>
      <w:r w:rsidRPr="000C3ADF">
        <w:rPr>
          <w:rFonts w:cs="Times New Roman"/>
        </w:rPr>
        <w:t xml:space="preserve"> electrospray ionizer was employed as the ion source. The MS parameters were set as follows: a 350°C drying gas temperature, 10 L/min drying gas flow rate, 45-psi nebulizer pressure, 350°C sheath gas temperature, an 11-L/min sheath gas flow rate, a 3500-V capillary voltage, and a 500-V nozzle voltage. Mass spectrometry (MS) data acquisition was executed in multiple reaction monitoring mode, and the mass transitions were 472.2→289, 472.2→144 for dabigatran, 478.2→295.1, 478.2→144 for [13C6]-dabigatran, 436.1→144.9, 436.1→72.9 for rivaroxaban, 442.1→144.9, 442.1→72.9 for [13C6]-rivaroxaban, 460.2→443.1, 460.2→199 for apixaban, 464.2→447.1, 464.2→203.1 for [13C, d3]-apixaban, 548.1→366.1, 548.1→152 for </w:t>
      </w:r>
      <w:proofErr w:type="spellStart"/>
      <w:r w:rsidRPr="000C3ADF">
        <w:rPr>
          <w:rFonts w:cs="Times New Roman"/>
        </w:rPr>
        <w:t>edoxaban</w:t>
      </w:r>
      <w:proofErr w:type="spellEnd"/>
      <w:r w:rsidRPr="000C3ADF">
        <w:rPr>
          <w:rFonts w:cs="Times New Roman"/>
        </w:rPr>
        <w:t>, 554.1→372.1, 554.1, 158.1 [d6]-</w:t>
      </w:r>
      <w:proofErr w:type="spellStart"/>
      <w:r w:rsidRPr="000C3ADF">
        <w:rPr>
          <w:rFonts w:cs="Times New Roman"/>
        </w:rPr>
        <w:t>edoxaban</w:t>
      </w:r>
      <w:proofErr w:type="spellEnd"/>
      <w:r w:rsidRPr="000C3ADF">
        <w:rPr>
          <w:rFonts w:cs="Times New Roman"/>
        </w:rPr>
        <w:t>.</w:t>
      </w:r>
      <w:bookmarkEnd w:id="0"/>
    </w:p>
    <w:p w14:paraId="740EC8A0" w14:textId="77777777" w:rsidR="00464897" w:rsidRDefault="00464897">
      <w:pPr>
        <w:spacing w:before="0"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4B8F527A" w14:textId="02C96AF8" w:rsidR="00464897" w:rsidRPr="00464897" w:rsidRDefault="00654E8F" w:rsidP="00464897">
      <w:pPr>
        <w:pStyle w:val="1"/>
        <w:rPr>
          <w:rFonts w:hint="eastAsia"/>
        </w:rPr>
      </w:pPr>
      <w:r w:rsidRPr="00994A3D">
        <w:lastRenderedPageBreak/>
        <w:t>Supplementary Tables</w:t>
      </w:r>
    </w:p>
    <w:p w14:paraId="2D291582" w14:textId="2E45EC84" w:rsidR="00464897" w:rsidRPr="00464897" w:rsidRDefault="00464897" w:rsidP="00464897">
      <w:pPr>
        <w:rPr>
          <w:rFonts w:eastAsia="Times New Roman" w:cs="Times New Roman"/>
          <w:szCs w:val="24"/>
        </w:rPr>
      </w:pPr>
      <w:r w:rsidRPr="00464897">
        <w:rPr>
          <w:rFonts w:eastAsia="Times New Roman" w:cs="Times New Roman"/>
          <w:b/>
          <w:szCs w:val="24"/>
        </w:rPr>
        <w:t>Table S1.</w:t>
      </w:r>
      <w:r w:rsidRPr="00464897">
        <w:rPr>
          <w:rFonts w:eastAsia="Times New Roman" w:cs="Times New Roman"/>
          <w:szCs w:val="24"/>
        </w:rPr>
        <w:t xml:space="preserve"> Factors associated with out-of-expected-range trough level.  </w:t>
      </w:r>
    </w:p>
    <w:tbl>
      <w:tblPr>
        <w:tblStyle w:val="aff4"/>
        <w:tblW w:w="5000" w:type="pct"/>
        <w:tblLayout w:type="fixed"/>
        <w:tblLook w:val="04A0" w:firstRow="1" w:lastRow="0" w:firstColumn="1" w:lastColumn="0" w:noHBand="0" w:noVBand="1"/>
      </w:tblPr>
      <w:tblGrid>
        <w:gridCol w:w="3349"/>
        <w:gridCol w:w="2055"/>
        <w:gridCol w:w="1194"/>
        <w:gridCol w:w="2149"/>
        <w:gridCol w:w="1020"/>
      </w:tblGrid>
      <w:tr w:rsidR="00464897" w:rsidRPr="00464897" w14:paraId="327A690A" w14:textId="77777777" w:rsidTr="001912C5">
        <w:tc>
          <w:tcPr>
            <w:tcW w:w="5000" w:type="pct"/>
            <w:gridSpan w:val="5"/>
            <w:shd w:val="clear" w:color="auto" w:fill="E1EBF7" w:themeFill="text2" w:themeFillTint="1A"/>
            <w:vAlign w:val="center"/>
          </w:tcPr>
          <w:p w14:paraId="1C2AD6AD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464897">
              <w:rPr>
                <w:rFonts w:cs="Times New Roman"/>
                <w:b/>
                <w:szCs w:val="24"/>
              </w:rPr>
              <w:t>Trough lower than expected range</w:t>
            </w:r>
          </w:p>
        </w:tc>
      </w:tr>
      <w:tr w:rsidR="00464897" w:rsidRPr="00464897" w14:paraId="01E7033B" w14:textId="77777777" w:rsidTr="001912C5">
        <w:tc>
          <w:tcPr>
            <w:tcW w:w="1715" w:type="pct"/>
            <w:vMerge w:val="restart"/>
            <w:shd w:val="clear" w:color="auto" w:fill="E1EBF7" w:themeFill="text2" w:themeFillTint="1A"/>
            <w:vAlign w:val="center"/>
          </w:tcPr>
          <w:p w14:paraId="1D1C7555" w14:textId="77777777" w:rsidR="00464897" w:rsidRPr="00464897" w:rsidRDefault="00464897" w:rsidP="00464897">
            <w:pPr>
              <w:spacing w:before="0" w:after="0"/>
              <w:jc w:val="both"/>
              <w:rPr>
                <w:rFonts w:eastAsia="Times New Roman" w:cs="Times New Roman"/>
                <w:b/>
                <w:szCs w:val="24"/>
              </w:rPr>
            </w:pPr>
            <w:r w:rsidRPr="00464897">
              <w:rPr>
                <w:rFonts w:cs="Times New Roman"/>
                <w:b/>
                <w:szCs w:val="24"/>
              </w:rPr>
              <w:t>Factor</w:t>
            </w:r>
          </w:p>
        </w:tc>
        <w:tc>
          <w:tcPr>
            <w:tcW w:w="1663" w:type="pct"/>
            <w:gridSpan w:val="2"/>
            <w:shd w:val="clear" w:color="auto" w:fill="E1EBF7" w:themeFill="text2" w:themeFillTint="1A"/>
          </w:tcPr>
          <w:p w14:paraId="67CE0968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b/>
                <w:szCs w:val="24"/>
              </w:rPr>
            </w:pPr>
            <w:r w:rsidRPr="00464897">
              <w:rPr>
                <w:rFonts w:cs="Times New Roman"/>
                <w:b/>
                <w:szCs w:val="24"/>
              </w:rPr>
              <w:t>Univariable analysis</w:t>
            </w:r>
          </w:p>
        </w:tc>
        <w:tc>
          <w:tcPr>
            <w:tcW w:w="1622" w:type="pct"/>
            <w:gridSpan w:val="2"/>
            <w:shd w:val="clear" w:color="auto" w:fill="E1EBF7" w:themeFill="text2" w:themeFillTint="1A"/>
          </w:tcPr>
          <w:p w14:paraId="664BB837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b/>
                <w:szCs w:val="24"/>
                <w:vertAlign w:val="superscript"/>
              </w:rPr>
            </w:pPr>
            <w:r w:rsidRPr="00464897">
              <w:rPr>
                <w:rFonts w:cs="Times New Roman"/>
                <w:b/>
                <w:szCs w:val="24"/>
              </w:rPr>
              <w:t>Multivariable analysis</w:t>
            </w:r>
          </w:p>
        </w:tc>
      </w:tr>
      <w:tr w:rsidR="00464897" w:rsidRPr="00464897" w14:paraId="45647DCA" w14:textId="77777777" w:rsidTr="001912C5">
        <w:tc>
          <w:tcPr>
            <w:tcW w:w="1715" w:type="pct"/>
            <w:vMerge/>
            <w:shd w:val="clear" w:color="auto" w:fill="E1EBF7" w:themeFill="text2" w:themeFillTint="1A"/>
          </w:tcPr>
          <w:p w14:paraId="16739B78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1052" w:type="pct"/>
            <w:shd w:val="clear" w:color="auto" w:fill="E1EBF7" w:themeFill="text2" w:themeFillTint="1A"/>
          </w:tcPr>
          <w:p w14:paraId="6C200470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464897">
              <w:rPr>
                <w:rFonts w:cs="Times New Roman"/>
                <w:b/>
                <w:szCs w:val="24"/>
              </w:rPr>
              <w:t>Odds ratio</w:t>
            </w:r>
          </w:p>
        </w:tc>
        <w:tc>
          <w:tcPr>
            <w:tcW w:w="611" w:type="pct"/>
            <w:shd w:val="clear" w:color="auto" w:fill="E1EBF7" w:themeFill="text2" w:themeFillTint="1A"/>
          </w:tcPr>
          <w:p w14:paraId="23573639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464897">
              <w:rPr>
                <w:rFonts w:cs="Times New Roman"/>
                <w:b/>
                <w:szCs w:val="24"/>
              </w:rPr>
              <w:t>P-value</w:t>
            </w:r>
          </w:p>
        </w:tc>
        <w:tc>
          <w:tcPr>
            <w:tcW w:w="1100" w:type="pct"/>
            <w:shd w:val="clear" w:color="auto" w:fill="E1EBF7" w:themeFill="text2" w:themeFillTint="1A"/>
          </w:tcPr>
          <w:p w14:paraId="63C7F428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464897">
              <w:rPr>
                <w:rFonts w:cs="Times New Roman"/>
                <w:b/>
                <w:szCs w:val="24"/>
              </w:rPr>
              <w:t>Odds ratio</w:t>
            </w:r>
          </w:p>
        </w:tc>
        <w:tc>
          <w:tcPr>
            <w:tcW w:w="522" w:type="pct"/>
            <w:shd w:val="clear" w:color="auto" w:fill="E1EBF7" w:themeFill="text2" w:themeFillTint="1A"/>
          </w:tcPr>
          <w:p w14:paraId="08EE9F5E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464897">
              <w:rPr>
                <w:rFonts w:cs="Times New Roman"/>
                <w:b/>
                <w:szCs w:val="24"/>
              </w:rPr>
              <w:t>P-value</w:t>
            </w:r>
          </w:p>
        </w:tc>
      </w:tr>
      <w:tr w:rsidR="00464897" w:rsidRPr="00464897" w14:paraId="01FA254B" w14:textId="77777777" w:rsidTr="001912C5">
        <w:tc>
          <w:tcPr>
            <w:tcW w:w="1715" w:type="pct"/>
            <w:vAlign w:val="center"/>
          </w:tcPr>
          <w:p w14:paraId="3B3A8167" w14:textId="77777777" w:rsidR="00464897" w:rsidRPr="00464897" w:rsidRDefault="00464897" w:rsidP="00464897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464897">
              <w:rPr>
                <w:rFonts w:cs="Times New Roman"/>
                <w:color w:val="000000"/>
                <w:szCs w:val="24"/>
              </w:rPr>
              <w:t>Age (year)</w:t>
            </w:r>
          </w:p>
        </w:tc>
        <w:tc>
          <w:tcPr>
            <w:tcW w:w="1052" w:type="pct"/>
            <w:vAlign w:val="center"/>
          </w:tcPr>
          <w:p w14:paraId="4E833026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0.92 (0.85, 1.01)</w:t>
            </w:r>
          </w:p>
        </w:tc>
        <w:tc>
          <w:tcPr>
            <w:tcW w:w="611" w:type="pct"/>
            <w:vAlign w:val="center"/>
          </w:tcPr>
          <w:p w14:paraId="19DAF294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464897">
              <w:rPr>
                <w:rFonts w:cs="Times New Roman"/>
                <w:b/>
                <w:szCs w:val="24"/>
              </w:rPr>
              <w:t>0.08</w:t>
            </w:r>
          </w:p>
        </w:tc>
        <w:tc>
          <w:tcPr>
            <w:tcW w:w="1100" w:type="pct"/>
            <w:vAlign w:val="center"/>
          </w:tcPr>
          <w:p w14:paraId="7F98EA42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0.95 (0.86, 1.06)</w:t>
            </w:r>
          </w:p>
        </w:tc>
        <w:tc>
          <w:tcPr>
            <w:tcW w:w="522" w:type="pct"/>
            <w:vAlign w:val="center"/>
          </w:tcPr>
          <w:p w14:paraId="285FE5A8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0.33</w:t>
            </w:r>
          </w:p>
        </w:tc>
      </w:tr>
      <w:tr w:rsidR="00464897" w:rsidRPr="00464897" w14:paraId="1DECB4F8" w14:textId="77777777" w:rsidTr="001912C5">
        <w:tc>
          <w:tcPr>
            <w:tcW w:w="1715" w:type="pct"/>
            <w:vAlign w:val="center"/>
          </w:tcPr>
          <w:p w14:paraId="747557C1" w14:textId="77777777" w:rsidR="00464897" w:rsidRPr="00464897" w:rsidRDefault="00464897" w:rsidP="00464897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464897">
              <w:rPr>
                <w:rFonts w:cs="Times New Roman"/>
                <w:szCs w:val="24"/>
              </w:rPr>
              <w:t>Male sex</w:t>
            </w:r>
          </w:p>
        </w:tc>
        <w:tc>
          <w:tcPr>
            <w:tcW w:w="1052" w:type="pct"/>
            <w:vAlign w:val="center"/>
          </w:tcPr>
          <w:p w14:paraId="54B47915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szCs w:val="24"/>
              </w:rPr>
              <w:t>1.13 (0.34, 3.79)</w:t>
            </w:r>
          </w:p>
        </w:tc>
        <w:tc>
          <w:tcPr>
            <w:tcW w:w="611" w:type="pct"/>
            <w:vAlign w:val="center"/>
          </w:tcPr>
          <w:p w14:paraId="2A95EFAD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0.85</w:t>
            </w:r>
          </w:p>
        </w:tc>
        <w:tc>
          <w:tcPr>
            <w:tcW w:w="1100" w:type="pct"/>
            <w:vAlign w:val="center"/>
          </w:tcPr>
          <w:p w14:paraId="5518798B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26FB9E18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</w:tr>
      <w:tr w:rsidR="00464897" w:rsidRPr="00464897" w14:paraId="0CF93EBD" w14:textId="77777777" w:rsidTr="001912C5">
        <w:tc>
          <w:tcPr>
            <w:tcW w:w="1715" w:type="pct"/>
            <w:vAlign w:val="center"/>
          </w:tcPr>
          <w:p w14:paraId="1CE7550E" w14:textId="77777777" w:rsidR="00464897" w:rsidRPr="00464897" w:rsidRDefault="00464897" w:rsidP="00464897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proofErr w:type="spellStart"/>
            <w:r w:rsidRPr="00464897">
              <w:rPr>
                <w:rFonts w:cs="Times New Roman"/>
                <w:color w:val="000000"/>
                <w:szCs w:val="24"/>
              </w:rPr>
              <w:t>CrCl</w:t>
            </w:r>
            <w:proofErr w:type="spellEnd"/>
            <w:r w:rsidRPr="00464897">
              <w:rPr>
                <w:rFonts w:cs="Times New Roman"/>
                <w:color w:val="000000"/>
                <w:szCs w:val="24"/>
              </w:rPr>
              <w:t xml:space="preserve"> (mL/min)</w:t>
            </w:r>
          </w:p>
        </w:tc>
        <w:tc>
          <w:tcPr>
            <w:tcW w:w="1052" w:type="pct"/>
            <w:vAlign w:val="center"/>
          </w:tcPr>
          <w:p w14:paraId="71B6AE15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szCs w:val="24"/>
              </w:rPr>
              <w:t>1.03 (1.00, 1.06)</w:t>
            </w:r>
          </w:p>
        </w:tc>
        <w:tc>
          <w:tcPr>
            <w:tcW w:w="611" w:type="pct"/>
            <w:vAlign w:val="center"/>
          </w:tcPr>
          <w:p w14:paraId="08415E15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464897">
              <w:rPr>
                <w:rFonts w:cs="Times New Roman"/>
                <w:b/>
                <w:szCs w:val="24"/>
              </w:rPr>
              <w:t>0.04</w:t>
            </w:r>
          </w:p>
        </w:tc>
        <w:tc>
          <w:tcPr>
            <w:tcW w:w="1100" w:type="pct"/>
            <w:vAlign w:val="center"/>
          </w:tcPr>
          <w:p w14:paraId="4EC3083F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szCs w:val="24"/>
              </w:rPr>
              <w:t>1.02 (0.98, 1.05)</w:t>
            </w:r>
          </w:p>
        </w:tc>
        <w:tc>
          <w:tcPr>
            <w:tcW w:w="522" w:type="pct"/>
            <w:vAlign w:val="center"/>
          </w:tcPr>
          <w:p w14:paraId="2B2030B4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0.30</w:t>
            </w:r>
          </w:p>
        </w:tc>
      </w:tr>
      <w:tr w:rsidR="00464897" w:rsidRPr="00464897" w14:paraId="0F947FBF" w14:textId="77777777" w:rsidTr="001912C5">
        <w:tc>
          <w:tcPr>
            <w:tcW w:w="1715" w:type="pct"/>
            <w:vAlign w:val="center"/>
          </w:tcPr>
          <w:p w14:paraId="50E887DD" w14:textId="77777777" w:rsidR="00464897" w:rsidRPr="00464897" w:rsidRDefault="00464897" w:rsidP="00464897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464897">
              <w:rPr>
                <w:rFonts w:cs="Times New Roman"/>
                <w:color w:val="000000"/>
                <w:szCs w:val="24"/>
              </w:rPr>
              <w:t>CHA</w:t>
            </w:r>
            <w:r w:rsidRPr="00464897">
              <w:rPr>
                <w:rFonts w:cs="Times New Roman"/>
                <w:color w:val="000000"/>
                <w:szCs w:val="24"/>
                <w:vertAlign w:val="subscript"/>
              </w:rPr>
              <w:t>2</w:t>
            </w:r>
            <w:r w:rsidRPr="00464897">
              <w:rPr>
                <w:rFonts w:cs="Times New Roman"/>
                <w:color w:val="000000"/>
                <w:szCs w:val="24"/>
              </w:rPr>
              <w:t>DS</w:t>
            </w:r>
            <w:r w:rsidRPr="00464897">
              <w:rPr>
                <w:rFonts w:cs="Times New Roman"/>
                <w:color w:val="000000"/>
                <w:szCs w:val="24"/>
                <w:vertAlign w:val="subscript"/>
              </w:rPr>
              <w:t>2</w:t>
            </w:r>
            <w:r w:rsidRPr="00464897">
              <w:rPr>
                <w:rFonts w:cs="Times New Roman"/>
                <w:color w:val="000000"/>
                <w:szCs w:val="24"/>
              </w:rPr>
              <w:t>-VASc score</w:t>
            </w:r>
          </w:p>
        </w:tc>
        <w:tc>
          <w:tcPr>
            <w:tcW w:w="1052" w:type="pct"/>
            <w:vAlign w:val="center"/>
          </w:tcPr>
          <w:p w14:paraId="03B113C3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szCs w:val="24"/>
              </w:rPr>
              <w:t>0.90 (0.60, 1.36)</w:t>
            </w:r>
          </w:p>
        </w:tc>
        <w:tc>
          <w:tcPr>
            <w:tcW w:w="611" w:type="pct"/>
            <w:vAlign w:val="center"/>
          </w:tcPr>
          <w:p w14:paraId="3B4FD796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0.62</w:t>
            </w:r>
          </w:p>
        </w:tc>
        <w:tc>
          <w:tcPr>
            <w:tcW w:w="1100" w:type="pct"/>
            <w:vAlign w:val="center"/>
          </w:tcPr>
          <w:p w14:paraId="010E74BB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22A0D83E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</w:tr>
      <w:tr w:rsidR="00464897" w:rsidRPr="00464897" w14:paraId="4AB368B7" w14:textId="77777777" w:rsidTr="001912C5">
        <w:tc>
          <w:tcPr>
            <w:tcW w:w="1715" w:type="pct"/>
          </w:tcPr>
          <w:p w14:paraId="4EF56A5C" w14:textId="77777777" w:rsidR="00464897" w:rsidRPr="00464897" w:rsidRDefault="00464897" w:rsidP="00464897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464897">
              <w:rPr>
                <w:rFonts w:cs="Times New Roman"/>
                <w:iCs/>
                <w:szCs w:val="24"/>
              </w:rPr>
              <w:t>HAS-BLED score</w:t>
            </w:r>
          </w:p>
        </w:tc>
        <w:tc>
          <w:tcPr>
            <w:tcW w:w="1052" w:type="pct"/>
            <w:vAlign w:val="center"/>
          </w:tcPr>
          <w:p w14:paraId="37FE34CF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szCs w:val="24"/>
              </w:rPr>
              <w:t>1.31 (0.60, 2.87)</w:t>
            </w:r>
          </w:p>
        </w:tc>
        <w:tc>
          <w:tcPr>
            <w:tcW w:w="611" w:type="pct"/>
            <w:vAlign w:val="center"/>
          </w:tcPr>
          <w:p w14:paraId="2E3CC237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0.50</w:t>
            </w:r>
          </w:p>
        </w:tc>
        <w:tc>
          <w:tcPr>
            <w:tcW w:w="1100" w:type="pct"/>
            <w:vAlign w:val="center"/>
          </w:tcPr>
          <w:p w14:paraId="6BF389BA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78F784ED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</w:tr>
      <w:tr w:rsidR="00464897" w:rsidRPr="00464897" w14:paraId="6CA37A8B" w14:textId="77777777" w:rsidTr="001912C5">
        <w:tc>
          <w:tcPr>
            <w:tcW w:w="1715" w:type="pct"/>
          </w:tcPr>
          <w:p w14:paraId="5FC50E9E" w14:textId="77777777" w:rsidR="00464897" w:rsidRPr="00464897" w:rsidRDefault="00464897" w:rsidP="00464897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464897">
              <w:rPr>
                <w:rFonts w:cs="Times New Roman"/>
                <w:iCs/>
                <w:szCs w:val="24"/>
              </w:rPr>
              <w:t>Ischemic stroke / TIA history</w:t>
            </w:r>
          </w:p>
        </w:tc>
        <w:tc>
          <w:tcPr>
            <w:tcW w:w="1052" w:type="pct"/>
            <w:vAlign w:val="center"/>
          </w:tcPr>
          <w:p w14:paraId="25CEB0F2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szCs w:val="24"/>
              </w:rPr>
              <w:t>1.08 (0.32, 3.61)</w:t>
            </w:r>
          </w:p>
        </w:tc>
        <w:tc>
          <w:tcPr>
            <w:tcW w:w="611" w:type="pct"/>
            <w:vAlign w:val="center"/>
          </w:tcPr>
          <w:p w14:paraId="0566FCD3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0.91</w:t>
            </w:r>
          </w:p>
        </w:tc>
        <w:tc>
          <w:tcPr>
            <w:tcW w:w="1100" w:type="pct"/>
            <w:vAlign w:val="center"/>
          </w:tcPr>
          <w:p w14:paraId="5AFDD403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56BB5B1E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</w:tr>
      <w:tr w:rsidR="00464897" w:rsidRPr="00464897" w14:paraId="413BF7D7" w14:textId="77777777" w:rsidTr="001912C5">
        <w:tc>
          <w:tcPr>
            <w:tcW w:w="1715" w:type="pct"/>
          </w:tcPr>
          <w:p w14:paraId="56A10EDF" w14:textId="77777777" w:rsidR="00464897" w:rsidRPr="00464897" w:rsidRDefault="00464897" w:rsidP="00464897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464897">
              <w:rPr>
                <w:rFonts w:cs="Times New Roman"/>
                <w:iCs/>
                <w:szCs w:val="24"/>
              </w:rPr>
              <w:t>Hypertension</w:t>
            </w:r>
          </w:p>
        </w:tc>
        <w:tc>
          <w:tcPr>
            <w:tcW w:w="1052" w:type="pct"/>
            <w:vAlign w:val="center"/>
          </w:tcPr>
          <w:p w14:paraId="7BC45BE5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szCs w:val="24"/>
              </w:rPr>
              <w:t>0.55 (0.15, 2.05)</w:t>
            </w:r>
          </w:p>
        </w:tc>
        <w:tc>
          <w:tcPr>
            <w:tcW w:w="611" w:type="pct"/>
            <w:vAlign w:val="center"/>
          </w:tcPr>
          <w:p w14:paraId="37066D0F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464897">
              <w:rPr>
                <w:rFonts w:cs="Times New Roman"/>
                <w:szCs w:val="24"/>
              </w:rPr>
              <w:t>0.38</w:t>
            </w:r>
          </w:p>
        </w:tc>
        <w:tc>
          <w:tcPr>
            <w:tcW w:w="1100" w:type="pct"/>
            <w:vAlign w:val="center"/>
          </w:tcPr>
          <w:p w14:paraId="0C929E83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6FD7B4B2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</w:tr>
      <w:tr w:rsidR="00464897" w:rsidRPr="00464897" w14:paraId="2557E702" w14:textId="77777777" w:rsidTr="001912C5">
        <w:tc>
          <w:tcPr>
            <w:tcW w:w="1715" w:type="pct"/>
          </w:tcPr>
          <w:p w14:paraId="349FD197" w14:textId="77777777" w:rsidR="00464897" w:rsidRPr="00464897" w:rsidRDefault="00464897" w:rsidP="00464897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464897">
              <w:rPr>
                <w:rFonts w:cs="Times New Roman"/>
                <w:iCs/>
                <w:szCs w:val="24"/>
              </w:rPr>
              <w:t>Diabetic mellitus</w:t>
            </w:r>
          </w:p>
        </w:tc>
        <w:tc>
          <w:tcPr>
            <w:tcW w:w="1052" w:type="pct"/>
            <w:vAlign w:val="center"/>
          </w:tcPr>
          <w:p w14:paraId="72386991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szCs w:val="24"/>
              </w:rPr>
              <w:t>1.98 (0.57, 6.89)</w:t>
            </w:r>
          </w:p>
        </w:tc>
        <w:tc>
          <w:tcPr>
            <w:tcW w:w="611" w:type="pct"/>
            <w:vAlign w:val="center"/>
          </w:tcPr>
          <w:p w14:paraId="7936C619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0.28</w:t>
            </w:r>
          </w:p>
        </w:tc>
        <w:tc>
          <w:tcPr>
            <w:tcW w:w="1100" w:type="pct"/>
            <w:vAlign w:val="center"/>
          </w:tcPr>
          <w:p w14:paraId="455AB8F9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44770717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</w:tr>
      <w:tr w:rsidR="00464897" w:rsidRPr="00464897" w14:paraId="359A769C" w14:textId="77777777" w:rsidTr="001912C5">
        <w:tc>
          <w:tcPr>
            <w:tcW w:w="1715" w:type="pct"/>
          </w:tcPr>
          <w:p w14:paraId="3845EF8D" w14:textId="77777777" w:rsidR="00464897" w:rsidRPr="00464897" w:rsidRDefault="00464897" w:rsidP="00464897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464897">
              <w:rPr>
                <w:rFonts w:cs="Times New Roman"/>
                <w:iCs/>
                <w:szCs w:val="24"/>
              </w:rPr>
              <w:t>Congestive heart failure</w:t>
            </w:r>
          </w:p>
        </w:tc>
        <w:tc>
          <w:tcPr>
            <w:tcW w:w="1052" w:type="pct"/>
            <w:vAlign w:val="center"/>
          </w:tcPr>
          <w:p w14:paraId="6E03B40F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szCs w:val="24"/>
              </w:rPr>
              <w:t>0.35 (0.04, 2.93)</w:t>
            </w:r>
          </w:p>
        </w:tc>
        <w:tc>
          <w:tcPr>
            <w:tcW w:w="611" w:type="pct"/>
            <w:vAlign w:val="center"/>
          </w:tcPr>
          <w:p w14:paraId="1F1F9A5D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0.34</w:t>
            </w:r>
          </w:p>
        </w:tc>
        <w:tc>
          <w:tcPr>
            <w:tcW w:w="1100" w:type="pct"/>
            <w:vAlign w:val="center"/>
          </w:tcPr>
          <w:p w14:paraId="1A719F74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13FEEB6D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</w:tr>
      <w:tr w:rsidR="00464897" w:rsidRPr="00464897" w14:paraId="0DE20FB9" w14:textId="77777777" w:rsidTr="001912C5">
        <w:tc>
          <w:tcPr>
            <w:tcW w:w="1715" w:type="pct"/>
          </w:tcPr>
          <w:p w14:paraId="01C5197D" w14:textId="77777777" w:rsidR="00464897" w:rsidRPr="00464897" w:rsidRDefault="00464897" w:rsidP="00464897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464897">
              <w:rPr>
                <w:rFonts w:cs="Times New Roman"/>
                <w:bCs/>
                <w:iCs/>
                <w:szCs w:val="24"/>
              </w:rPr>
              <w:t>Standard dose regimen</w:t>
            </w:r>
            <w:r w:rsidRPr="00464897">
              <w:rPr>
                <w:rFonts w:cs="Times New Roman"/>
                <w:bCs/>
                <w:iCs/>
                <w:szCs w:val="24"/>
                <w:vertAlign w:val="superscript"/>
              </w:rPr>
              <w:t>1</w:t>
            </w:r>
          </w:p>
        </w:tc>
        <w:tc>
          <w:tcPr>
            <w:tcW w:w="1052" w:type="pct"/>
            <w:vAlign w:val="center"/>
          </w:tcPr>
          <w:p w14:paraId="016F8996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szCs w:val="24"/>
              </w:rPr>
              <w:t>0.80 (0.22, 2.86)</w:t>
            </w:r>
          </w:p>
        </w:tc>
        <w:tc>
          <w:tcPr>
            <w:tcW w:w="611" w:type="pct"/>
            <w:vAlign w:val="center"/>
          </w:tcPr>
          <w:p w14:paraId="2EFDE350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0.73</w:t>
            </w:r>
          </w:p>
        </w:tc>
        <w:tc>
          <w:tcPr>
            <w:tcW w:w="1100" w:type="pct"/>
            <w:vAlign w:val="center"/>
          </w:tcPr>
          <w:p w14:paraId="5D0637CA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5297353C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</w:tr>
      <w:tr w:rsidR="00464897" w:rsidRPr="00464897" w14:paraId="233BF7AD" w14:textId="77777777" w:rsidTr="001912C5">
        <w:tc>
          <w:tcPr>
            <w:tcW w:w="1715" w:type="pct"/>
          </w:tcPr>
          <w:p w14:paraId="3481E647" w14:textId="77777777" w:rsidR="00464897" w:rsidRPr="00464897" w:rsidRDefault="00464897" w:rsidP="00464897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464897">
              <w:rPr>
                <w:rFonts w:cs="Times New Roman"/>
                <w:szCs w:val="24"/>
              </w:rPr>
              <w:t>Levetiracetam</w:t>
            </w:r>
          </w:p>
        </w:tc>
        <w:tc>
          <w:tcPr>
            <w:tcW w:w="1052" w:type="pct"/>
            <w:vAlign w:val="center"/>
          </w:tcPr>
          <w:p w14:paraId="766C02DD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szCs w:val="24"/>
              </w:rPr>
              <w:t>0.33 (0.04, 2.72)</w:t>
            </w:r>
          </w:p>
        </w:tc>
        <w:tc>
          <w:tcPr>
            <w:tcW w:w="611" w:type="pct"/>
            <w:vAlign w:val="center"/>
          </w:tcPr>
          <w:p w14:paraId="28B6C6A8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0.30</w:t>
            </w:r>
          </w:p>
        </w:tc>
        <w:tc>
          <w:tcPr>
            <w:tcW w:w="1100" w:type="pct"/>
            <w:vAlign w:val="center"/>
          </w:tcPr>
          <w:p w14:paraId="06EFE3F1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szCs w:val="24"/>
              </w:rPr>
              <w:t>0.36 (0.04, 3.01)</w:t>
            </w:r>
          </w:p>
        </w:tc>
        <w:tc>
          <w:tcPr>
            <w:tcW w:w="522" w:type="pct"/>
            <w:vAlign w:val="center"/>
          </w:tcPr>
          <w:p w14:paraId="3C083DE9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0.34</w:t>
            </w:r>
          </w:p>
        </w:tc>
      </w:tr>
      <w:tr w:rsidR="00464897" w:rsidRPr="00464897" w14:paraId="62140E5C" w14:textId="77777777" w:rsidTr="001912C5">
        <w:tc>
          <w:tcPr>
            <w:tcW w:w="1715" w:type="pct"/>
          </w:tcPr>
          <w:p w14:paraId="4E996E21" w14:textId="77777777" w:rsidR="00464897" w:rsidRPr="00464897" w:rsidRDefault="00464897" w:rsidP="00464897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464897">
              <w:rPr>
                <w:rFonts w:cs="Times New Roman"/>
                <w:szCs w:val="24"/>
              </w:rPr>
              <w:t>Amiodarone</w:t>
            </w:r>
          </w:p>
        </w:tc>
        <w:tc>
          <w:tcPr>
            <w:tcW w:w="1052" w:type="pct"/>
            <w:vAlign w:val="center"/>
          </w:tcPr>
          <w:p w14:paraId="6F22D05C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szCs w:val="24"/>
              </w:rPr>
              <w:t>0.45 (0.05, 3.76)</w:t>
            </w:r>
          </w:p>
        </w:tc>
        <w:tc>
          <w:tcPr>
            <w:tcW w:w="611" w:type="pct"/>
            <w:vAlign w:val="center"/>
          </w:tcPr>
          <w:p w14:paraId="25A05A9A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0.46</w:t>
            </w:r>
          </w:p>
        </w:tc>
        <w:tc>
          <w:tcPr>
            <w:tcW w:w="1100" w:type="pct"/>
            <w:vAlign w:val="center"/>
          </w:tcPr>
          <w:p w14:paraId="13C07F1E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5AD96C13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</w:tr>
      <w:tr w:rsidR="00464897" w:rsidRPr="00464897" w14:paraId="46AD59DA" w14:textId="77777777" w:rsidTr="001912C5">
        <w:tc>
          <w:tcPr>
            <w:tcW w:w="1715" w:type="pct"/>
            <w:vAlign w:val="center"/>
          </w:tcPr>
          <w:p w14:paraId="3677CA1F" w14:textId="77777777" w:rsidR="00464897" w:rsidRPr="00464897" w:rsidRDefault="00464897" w:rsidP="00464897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464897">
              <w:rPr>
                <w:rFonts w:cs="Times New Roman"/>
                <w:szCs w:val="24"/>
              </w:rPr>
              <w:t>Dronedarone</w:t>
            </w:r>
          </w:p>
        </w:tc>
        <w:tc>
          <w:tcPr>
            <w:tcW w:w="1052" w:type="pct"/>
            <w:vAlign w:val="center"/>
          </w:tcPr>
          <w:p w14:paraId="2C91D3EA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szCs w:val="24"/>
              </w:rPr>
              <w:t>2.57 (0.46, 14.49)</w:t>
            </w:r>
          </w:p>
        </w:tc>
        <w:tc>
          <w:tcPr>
            <w:tcW w:w="611" w:type="pct"/>
            <w:vAlign w:val="center"/>
          </w:tcPr>
          <w:p w14:paraId="717B8AE0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0.29</w:t>
            </w:r>
          </w:p>
        </w:tc>
        <w:tc>
          <w:tcPr>
            <w:tcW w:w="1100" w:type="pct"/>
            <w:vAlign w:val="center"/>
          </w:tcPr>
          <w:p w14:paraId="2B8BAF88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28D9CD7F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</w:tr>
      <w:tr w:rsidR="00464897" w:rsidRPr="00464897" w14:paraId="3256C86B" w14:textId="77777777" w:rsidTr="001912C5">
        <w:tc>
          <w:tcPr>
            <w:tcW w:w="1715" w:type="pct"/>
            <w:vAlign w:val="center"/>
          </w:tcPr>
          <w:p w14:paraId="035CDC70" w14:textId="77777777" w:rsidR="00464897" w:rsidRPr="00464897" w:rsidRDefault="00464897" w:rsidP="00464897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464897">
              <w:rPr>
                <w:rFonts w:cs="Times New Roman"/>
                <w:szCs w:val="24"/>
              </w:rPr>
              <w:t>Antiplatelet agent</w:t>
            </w:r>
            <w:r w:rsidRPr="00464897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1052" w:type="pct"/>
            <w:vAlign w:val="center"/>
          </w:tcPr>
          <w:p w14:paraId="1C8158CE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szCs w:val="24"/>
              </w:rPr>
              <w:t>Non-applicable</w:t>
            </w:r>
          </w:p>
        </w:tc>
        <w:tc>
          <w:tcPr>
            <w:tcW w:w="611" w:type="pct"/>
            <w:vAlign w:val="center"/>
          </w:tcPr>
          <w:p w14:paraId="29389F71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1100" w:type="pct"/>
            <w:vAlign w:val="center"/>
          </w:tcPr>
          <w:p w14:paraId="7C498C43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2C96DADB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</w:tr>
      <w:tr w:rsidR="00464897" w:rsidRPr="00464897" w14:paraId="0D92DE94" w14:textId="77777777" w:rsidTr="001912C5">
        <w:tc>
          <w:tcPr>
            <w:tcW w:w="5000" w:type="pct"/>
            <w:gridSpan w:val="5"/>
            <w:shd w:val="clear" w:color="auto" w:fill="E1EBF7" w:themeFill="text2" w:themeFillTint="1A"/>
            <w:vAlign w:val="center"/>
          </w:tcPr>
          <w:p w14:paraId="465387F0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/>
                <w:szCs w:val="24"/>
              </w:rPr>
              <w:t>Trough higher than expected range</w:t>
            </w:r>
          </w:p>
        </w:tc>
      </w:tr>
      <w:tr w:rsidR="00464897" w:rsidRPr="00464897" w14:paraId="597D5BF5" w14:textId="77777777" w:rsidTr="001912C5">
        <w:tc>
          <w:tcPr>
            <w:tcW w:w="1715" w:type="pct"/>
            <w:vMerge w:val="restart"/>
            <w:shd w:val="clear" w:color="auto" w:fill="E1EBF7" w:themeFill="text2" w:themeFillTint="1A"/>
            <w:vAlign w:val="center"/>
          </w:tcPr>
          <w:p w14:paraId="567185D1" w14:textId="77777777" w:rsidR="00464897" w:rsidRPr="00464897" w:rsidRDefault="00464897" w:rsidP="00464897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464897">
              <w:rPr>
                <w:rFonts w:cs="Times New Roman"/>
                <w:b/>
                <w:szCs w:val="24"/>
              </w:rPr>
              <w:t>Factor</w:t>
            </w:r>
          </w:p>
        </w:tc>
        <w:tc>
          <w:tcPr>
            <w:tcW w:w="1663" w:type="pct"/>
            <w:gridSpan w:val="2"/>
            <w:shd w:val="clear" w:color="auto" w:fill="E1EBF7" w:themeFill="text2" w:themeFillTint="1A"/>
          </w:tcPr>
          <w:p w14:paraId="5C2789A7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464897">
              <w:rPr>
                <w:rFonts w:cs="Times New Roman"/>
                <w:b/>
                <w:szCs w:val="24"/>
              </w:rPr>
              <w:t>Univariable analysis</w:t>
            </w:r>
          </w:p>
        </w:tc>
        <w:tc>
          <w:tcPr>
            <w:tcW w:w="1622" w:type="pct"/>
            <w:gridSpan w:val="2"/>
            <w:shd w:val="clear" w:color="auto" w:fill="E1EBF7" w:themeFill="text2" w:themeFillTint="1A"/>
            <w:vAlign w:val="center"/>
          </w:tcPr>
          <w:p w14:paraId="73D8A6A1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/>
                <w:szCs w:val="24"/>
              </w:rPr>
              <w:t>Multivariable analysis</w:t>
            </w:r>
          </w:p>
        </w:tc>
      </w:tr>
      <w:tr w:rsidR="00464897" w:rsidRPr="00464897" w14:paraId="771A43E5" w14:textId="77777777" w:rsidTr="001912C5">
        <w:tc>
          <w:tcPr>
            <w:tcW w:w="1715" w:type="pct"/>
            <w:vMerge/>
            <w:shd w:val="clear" w:color="auto" w:fill="E1EBF7" w:themeFill="text2" w:themeFillTint="1A"/>
          </w:tcPr>
          <w:p w14:paraId="393DAE61" w14:textId="77777777" w:rsidR="00464897" w:rsidRPr="00464897" w:rsidRDefault="00464897" w:rsidP="00464897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2" w:type="pct"/>
            <w:shd w:val="clear" w:color="auto" w:fill="E1EBF7" w:themeFill="text2" w:themeFillTint="1A"/>
          </w:tcPr>
          <w:p w14:paraId="0E579A0E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/>
                <w:szCs w:val="24"/>
              </w:rPr>
              <w:t>Odds ratio</w:t>
            </w:r>
          </w:p>
        </w:tc>
        <w:tc>
          <w:tcPr>
            <w:tcW w:w="611" w:type="pct"/>
            <w:shd w:val="clear" w:color="auto" w:fill="E1EBF7" w:themeFill="text2" w:themeFillTint="1A"/>
          </w:tcPr>
          <w:p w14:paraId="51BDC441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464897">
              <w:rPr>
                <w:rFonts w:cs="Times New Roman"/>
                <w:b/>
                <w:szCs w:val="24"/>
              </w:rPr>
              <w:t>P-value</w:t>
            </w:r>
          </w:p>
        </w:tc>
        <w:tc>
          <w:tcPr>
            <w:tcW w:w="1100" w:type="pct"/>
            <w:shd w:val="clear" w:color="auto" w:fill="E1EBF7" w:themeFill="text2" w:themeFillTint="1A"/>
          </w:tcPr>
          <w:p w14:paraId="781EE227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/>
                <w:szCs w:val="24"/>
              </w:rPr>
              <w:t>Odds ratio</w:t>
            </w:r>
          </w:p>
        </w:tc>
        <w:tc>
          <w:tcPr>
            <w:tcW w:w="522" w:type="pct"/>
            <w:shd w:val="clear" w:color="auto" w:fill="E1EBF7" w:themeFill="text2" w:themeFillTint="1A"/>
          </w:tcPr>
          <w:p w14:paraId="53D6EBA0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/>
                <w:szCs w:val="24"/>
              </w:rPr>
              <w:t>P-value</w:t>
            </w:r>
          </w:p>
        </w:tc>
      </w:tr>
      <w:tr w:rsidR="00464897" w:rsidRPr="00464897" w14:paraId="0D6F5547" w14:textId="77777777" w:rsidTr="001912C5">
        <w:tc>
          <w:tcPr>
            <w:tcW w:w="1715" w:type="pct"/>
            <w:vAlign w:val="center"/>
          </w:tcPr>
          <w:p w14:paraId="45ABA22D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464897">
              <w:rPr>
                <w:rFonts w:cs="Times New Roman"/>
                <w:color w:val="000000"/>
                <w:szCs w:val="24"/>
              </w:rPr>
              <w:t>Age (year)</w:t>
            </w:r>
          </w:p>
        </w:tc>
        <w:tc>
          <w:tcPr>
            <w:tcW w:w="1052" w:type="pct"/>
            <w:vAlign w:val="center"/>
          </w:tcPr>
          <w:p w14:paraId="64796718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0.90 (0.81, 1.00)</w:t>
            </w:r>
          </w:p>
        </w:tc>
        <w:tc>
          <w:tcPr>
            <w:tcW w:w="611" w:type="pct"/>
            <w:vAlign w:val="center"/>
          </w:tcPr>
          <w:p w14:paraId="20750040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464897">
              <w:rPr>
                <w:rFonts w:cs="Times New Roman"/>
                <w:b/>
                <w:szCs w:val="24"/>
              </w:rPr>
              <w:t>0.04</w:t>
            </w:r>
          </w:p>
        </w:tc>
        <w:tc>
          <w:tcPr>
            <w:tcW w:w="1100" w:type="pct"/>
            <w:vAlign w:val="center"/>
          </w:tcPr>
          <w:p w14:paraId="43976CBE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0.93 (0.82, 1.05)</w:t>
            </w:r>
          </w:p>
        </w:tc>
        <w:tc>
          <w:tcPr>
            <w:tcW w:w="522" w:type="pct"/>
            <w:vAlign w:val="center"/>
          </w:tcPr>
          <w:p w14:paraId="23339888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0.25</w:t>
            </w:r>
          </w:p>
        </w:tc>
      </w:tr>
      <w:tr w:rsidR="00464897" w:rsidRPr="00464897" w14:paraId="0B1DF7CB" w14:textId="77777777" w:rsidTr="001912C5">
        <w:tc>
          <w:tcPr>
            <w:tcW w:w="1715" w:type="pct"/>
            <w:vAlign w:val="center"/>
          </w:tcPr>
          <w:p w14:paraId="03273D4B" w14:textId="77777777" w:rsidR="00464897" w:rsidRPr="00464897" w:rsidRDefault="00464897" w:rsidP="00464897">
            <w:pPr>
              <w:spacing w:before="0" w:after="0"/>
              <w:rPr>
                <w:rFonts w:cs="Times New Roman"/>
                <w:szCs w:val="24"/>
              </w:rPr>
            </w:pPr>
            <w:r w:rsidRPr="00464897">
              <w:rPr>
                <w:rFonts w:cs="Times New Roman"/>
                <w:szCs w:val="24"/>
              </w:rPr>
              <w:t>Male sex</w:t>
            </w:r>
          </w:p>
        </w:tc>
        <w:tc>
          <w:tcPr>
            <w:tcW w:w="1052" w:type="pct"/>
            <w:vAlign w:val="center"/>
          </w:tcPr>
          <w:p w14:paraId="13671814" w14:textId="77777777" w:rsidR="00464897" w:rsidRPr="00464897" w:rsidRDefault="00464897" w:rsidP="00464897">
            <w:pPr>
              <w:spacing w:before="0" w:after="0"/>
              <w:rPr>
                <w:rFonts w:cs="Times New Roman"/>
                <w:szCs w:val="24"/>
              </w:rPr>
            </w:pPr>
            <w:r w:rsidRPr="00464897">
              <w:rPr>
                <w:rFonts w:cs="Times New Roman"/>
                <w:szCs w:val="24"/>
              </w:rPr>
              <w:t>0.92 (0.26, 3.24)</w:t>
            </w:r>
          </w:p>
        </w:tc>
        <w:tc>
          <w:tcPr>
            <w:tcW w:w="611" w:type="pct"/>
            <w:vAlign w:val="center"/>
          </w:tcPr>
          <w:p w14:paraId="751362B9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0.89</w:t>
            </w:r>
          </w:p>
        </w:tc>
        <w:tc>
          <w:tcPr>
            <w:tcW w:w="1100" w:type="pct"/>
            <w:vAlign w:val="center"/>
          </w:tcPr>
          <w:p w14:paraId="03BF518A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5DA7D833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464897" w:rsidRPr="00464897" w14:paraId="234CBA5D" w14:textId="77777777" w:rsidTr="001912C5">
        <w:tc>
          <w:tcPr>
            <w:tcW w:w="1715" w:type="pct"/>
            <w:vAlign w:val="center"/>
          </w:tcPr>
          <w:p w14:paraId="17B7E35E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szCs w:val="24"/>
                <w:vertAlign w:val="superscript"/>
              </w:rPr>
            </w:pPr>
            <w:proofErr w:type="spellStart"/>
            <w:r w:rsidRPr="00464897">
              <w:rPr>
                <w:rFonts w:cs="Times New Roman"/>
                <w:color w:val="000000"/>
                <w:szCs w:val="24"/>
              </w:rPr>
              <w:t>CrCl</w:t>
            </w:r>
            <w:proofErr w:type="spellEnd"/>
            <w:r w:rsidRPr="00464897">
              <w:rPr>
                <w:rFonts w:cs="Times New Roman"/>
                <w:color w:val="000000"/>
                <w:szCs w:val="24"/>
              </w:rPr>
              <w:t xml:space="preserve"> (mL/min)</w:t>
            </w:r>
          </w:p>
        </w:tc>
        <w:tc>
          <w:tcPr>
            <w:tcW w:w="1052" w:type="pct"/>
            <w:vAlign w:val="center"/>
          </w:tcPr>
          <w:p w14:paraId="049A3E9B" w14:textId="77777777" w:rsidR="00464897" w:rsidRPr="00464897" w:rsidRDefault="00464897" w:rsidP="00464897">
            <w:pPr>
              <w:spacing w:before="0" w:after="0"/>
              <w:rPr>
                <w:rFonts w:cs="Times New Roman"/>
                <w:szCs w:val="24"/>
              </w:rPr>
            </w:pPr>
            <w:r w:rsidRPr="00464897">
              <w:rPr>
                <w:rFonts w:cs="Times New Roman"/>
                <w:szCs w:val="24"/>
              </w:rPr>
              <w:t>1.02 (0.99, 1.05)</w:t>
            </w:r>
          </w:p>
        </w:tc>
        <w:tc>
          <w:tcPr>
            <w:tcW w:w="611" w:type="pct"/>
            <w:vAlign w:val="center"/>
          </w:tcPr>
          <w:p w14:paraId="2C606F4A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0.27</w:t>
            </w:r>
          </w:p>
        </w:tc>
        <w:tc>
          <w:tcPr>
            <w:tcW w:w="1100" w:type="pct"/>
            <w:vAlign w:val="center"/>
          </w:tcPr>
          <w:p w14:paraId="0A9A3F74" w14:textId="77777777" w:rsidR="00464897" w:rsidRPr="00464897" w:rsidRDefault="00464897" w:rsidP="00464897">
            <w:pPr>
              <w:spacing w:before="0" w:after="0"/>
              <w:rPr>
                <w:rFonts w:cs="Times New Roman"/>
                <w:szCs w:val="24"/>
              </w:rPr>
            </w:pPr>
            <w:r w:rsidRPr="00464897">
              <w:rPr>
                <w:rFonts w:cs="Times New Roman"/>
                <w:szCs w:val="24"/>
              </w:rPr>
              <w:t>0.99 (0.96, 1.03)</w:t>
            </w:r>
          </w:p>
        </w:tc>
        <w:tc>
          <w:tcPr>
            <w:tcW w:w="522" w:type="pct"/>
            <w:vAlign w:val="center"/>
          </w:tcPr>
          <w:p w14:paraId="5A810940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0.76</w:t>
            </w:r>
          </w:p>
        </w:tc>
      </w:tr>
      <w:tr w:rsidR="00464897" w:rsidRPr="00464897" w14:paraId="47D5494C" w14:textId="77777777" w:rsidTr="001912C5">
        <w:tc>
          <w:tcPr>
            <w:tcW w:w="1715" w:type="pct"/>
            <w:vAlign w:val="center"/>
          </w:tcPr>
          <w:p w14:paraId="51963AA8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464897">
              <w:rPr>
                <w:rFonts w:cs="Times New Roman"/>
                <w:color w:val="000000"/>
                <w:szCs w:val="24"/>
              </w:rPr>
              <w:t>CHA</w:t>
            </w:r>
            <w:r w:rsidRPr="00464897">
              <w:rPr>
                <w:rFonts w:cs="Times New Roman"/>
                <w:color w:val="000000"/>
                <w:szCs w:val="24"/>
                <w:vertAlign w:val="subscript"/>
              </w:rPr>
              <w:t>2</w:t>
            </w:r>
            <w:r w:rsidRPr="00464897">
              <w:rPr>
                <w:rFonts w:cs="Times New Roman"/>
                <w:color w:val="000000"/>
                <w:szCs w:val="24"/>
              </w:rPr>
              <w:t>DS</w:t>
            </w:r>
            <w:r w:rsidRPr="00464897">
              <w:rPr>
                <w:rFonts w:cs="Times New Roman"/>
                <w:color w:val="000000"/>
                <w:szCs w:val="24"/>
                <w:vertAlign w:val="subscript"/>
              </w:rPr>
              <w:t>2</w:t>
            </w:r>
            <w:r w:rsidRPr="00464897">
              <w:rPr>
                <w:rFonts w:cs="Times New Roman"/>
                <w:color w:val="000000"/>
                <w:szCs w:val="24"/>
              </w:rPr>
              <w:t>-VASc score</w:t>
            </w:r>
          </w:p>
        </w:tc>
        <w:tc>
          <w:tcPr>
            <w:tcW w:w="1052" w:type="pct"/>
            <w:vAlign w:val="center"/>
          </w:tcPr>
          <w:p w14:paraId="0B5513B4" w14:textId="77777777" w:rsidR="00464897" w:rsidRPr="00464897" w:rsidRDefault="00464897" w:rsidP="00464897">
            <w:pPr>
              <w:spacing w:before="0" w:after="0"/>
              <w:rPr>
                <w:rFonts w:cs="Times New Roman"/>
                <w:szCs w:val="24"/>
              </w:rPr>
            </w:pPr>
            <w:r w:rsidRPr="00464897">
              <w:rPr>
                <w:rFonts w:cs="Times New Roman"/>
                <w:szCs w:val="24"/>
              </w:rPr>
              <w:t>0.83 (0.54, 1.28)</w:t>
            </w:r>
          </w:p>
        </w:tc>
        <w:tc>
          <w:tcPr>
            <w:tcW w:w="611" w:type="pct"/>
            <w:vAlign w:val="center"/>
          </w:tcPr>
          <w:p w14:paraId="59E19D9B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0.40</w:t>
            </w:r>
          </w:p>
        </w:tc>
        <w:tc>
          <w:tcPr>
            <w:tcW w:w="1100" w:type="pct"/>
            <w:vAlign w:val="center"/>
          </w:tcPr>
          <w:p w14:paraId="3F682C82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1A8051F8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464897" w:rsidRPr="00464897" w14:paraId="65BCEDB1" w14:textId="77777777" w:rsidTr="001912C5">
        <w:tc>
          <w:tcPr>
            <w:tcW w:w="1715" w:type="pct"/>
          </w:tcPr>
          <w:p w14:paraId="5C69B6E8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szCs w:val="24"/>
                <w:vertAlign w:val="superscript"/>
              </w:rPr>
            </w:pPr>
            <w:r w:rsidRPr="00464897">
              <w:rPr>
                <w:rFonts w:cs="Times New Roman"/>
                <w:iCs/>
                <w:szCs w:val="24"/>
              </w:rPr>
              <w:t>HAS-BLED score</w:t>
            </w:r>
          </w:p>
        </w:tc>
        <w:tc>
          <w:tcPr>
            <w:tcW w:w="1052" w:type="pct"/>
            <w:vAlign w:val="center"/>
          </w:tcPr>
          <w:p w14:paraId="5E9ADB5D" w14:textId="77777777" w:rsidR="00464897" w:rsidRPr="00464897" w:rsidRDefault="00464897" w:rsidP="00464897">
            <w:pPr>
              <w:spacing w:before="0" w:after="0"/>
              <w:rPr>
                <w:rFonts w:cs="Times New Roman"/>
                <w:szCs w:val="24"/>
              </w:rPr>
            </w:pPr>
            <w:r w:rsidRPr="00464897">
              <w:rPr>
                <w:rFonts w:cs="Times New Roman"/>
                <w:szCs w:val="24"/>
              </w:rPr>
              <w:t>0.61 (0.27 1.40)</w:t>
            </w:r>
          </w:p>
        </w:tc>
        <w:tc>
          <w:tcPr>
            <w:tcW w:w="611" w:type="pct"/>
            <w:vAlign w:val="center"/>
          </w:tcPr>
          <w:p w14:paraId="75DE6D00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0.24</w:t>
            </w:r>
          </w:p>
        </w:tc>
        <w:tc>
          <w:tcPr>
            <w:tcW w:w="1100" w:type="pct"/>
            <w:vAlign w:val="center"/>
          </w:tcPr>
          <w:p w14:paraId="7108A09E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7306C4E8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464897" w:rsidRPr="00464897" w14:paraId="1A523919" w14:textId="77777777" w:rsidTr="001912C5">
        <w:tc>
          <w:tcPr>
            <w:tcW w:w="1715" w:type="pct"/>
          </w:tcPr>
          <w:p w14:paraId="1BF7916B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464897">
              <w:rPr>
                <w:rFonts w:cs="Times New Roman"/>
                <w:iCs/>
                <w:szCs w:val="24"/>
              </w:rPr>
              <w:t>Ischemic stroke / TIA history</w:t>
            </w:r>
          </w:p>
        </w:tc>
        <w:tc>
          <w:tcPr>
            <w:tcW w:w="1052" w:type="pct"/>
            <w:vAlign w:val="center"/>
          </w:tcPr>
          <w:p w14:paraId="039281DA" w14:textId="77777777" w:rsidR="00464897" w:rsidRPr="00464897" w:rsidRDefault="00464897" w:rsidP="00464897">
            <w:pPr>
              <w:spacing w:before="0" w:after="0"/>
              <w:rPr>
                <w:rFonts w:cs="Times New Roman"/>
                <w:szCs w:val="24"/>
              </w:rPr>
            </w:pPr>
            <w:r w:rsidRPr="00464897">
              <w:rPr>
                <w:rFonts w:cs="Times New Roman"/>
                <w:szCs w:val="24"/>
              </w:rPr>
              <w:t>0.87 (0.25, 3.09)</w:t>
            </w:r>
          </w:p>
        </w:tc>
        <w:tc>
          <w:tcPr>
            <w:tcW w:w="611" w:type="pct"/>
            <w:vAlign w:val="center"/>
          </w:tcPr>
          <w:p w14:paraId="268C42B7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0.83</w:t>
            </w:r>
          </w:p>
        </w:tc>
        <w:tc>
          <w:tcPr>
            <w:tcW w:w="1100" w:type="pct"/>
            <w:vAlign w:val="center"/>
          </w:tcPr>
          <w:p w14:paraId="6DE83AFF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012C44A6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464897" w:rsidRPr="00464897" w14:paraId="424AB7BF" w14:textId="77777777" w:rsidTr="001912C5">
        <w:tc>
          <w:tcPr>
            <w:tcW w:w="1715" w:type="pct"/>
          </w:tcPr>
          <w:p w14:paraId="5F652EAD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464897">
              <w:rPr>
                <w:rFonts w:cs="Times New Roman"/>
                <w:iCs/>
                <w:szCs w:val="24"/>
              </w:rPr>
              <w:t>Hypertension</w:t>
            </w:r>
          </w:p>
        </w:tc>
        <w:tc>
          <w:tcPr>
            <w:tcW w:w="1052" w:type="pct"/>
            <w:vAlign w:val="center"/>
          </w:tcPr>
          <w:p w14:paraId="47BC89D6" w14:textId="77777777" w:rsidR="00464897" w:rsidRPr="00464897" w:rsidRDefault="00464897" w:rsidP="00464897">
            <w:pPr>
              <w:spacing w:before="0" w:after="0"/>
              <w:rPr>
                <w:rFonts w:cs="Times New Roman"/>
                <w:szCs w:val="24"/>
              </w:rPr>
            </w:pPr>
            <w:r w:rsidRPr="00464897">
              <w:rPr>
                <w:rFonts w:cs="Times New Roman"/>
                <w:szCs w:val="24"/>
              </w:rPr>
              <w:t>0.48 (0.13, 1.81)</w:t>
            </w:r>
          </w:p>
        </w:tc>
        <w:tc>
          <w:tcPr>
            <w:tcW w:w="611" w:type="pct"/>
            <w:vAlign w:val="center"/>
          </w:tcPr>
          <w:p w14:paraId="2700B6F4" w14:textId="77777777" w:rsidR="00464897" w:rsidRPr="00464897" w:rsidRDefault="00464897" w:rsidP="00464897">
            <w:pPr>
              <w:spacing w:before="0" w:after="0"/>
              <w:rPr>
                <w:rFonts w:cs="Times New Roman"/>
                <w:szCs w:val="24"/>
              </w:rPr>
            </w:pPr>
            <w:r w:rsidRPr="00464897">
              <w:rPr>
                <w:rFonts w:cs="Times New Roman"/>
                <w:szCs w:val="24"/>
              </w:rPr>
              <w:t>0.28</w:t>
            </w:r>
          </w:p>
        </w:tc>
        <w:tc>
          <w:tcPr>
            <w:tcW w:w="1100" w:type="pct"/>
            <w:vAlign w:val="center"/>
          </w:tcPr>
          <w:p w14:paraId="61776ACE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3D495B92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464897" w:rsidRPr="00464897" w14:paraId="3D6EE9D7" w14:textId="77777777" w:rsidTr="001912C5">
        <w:tc>
          <w:tcPr>
            <w:tcW w:w="1715" w:type="pct"/>
          </w:tcPr>
          <w:p w14:paraId="4777EDB5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464897">
              <w:rPr>
                <w:rFonts w:cs="Times New Roman"/>
                <w:iCs/>
                <w:szCs w:val="24"/>
              </w:rPr>
              <w:t>Diabetic mellitus</w:t>
            </w:r>
          </w:p>
        </w:tc>
        <w:tc>
          <w:tcPr>
            <w:tcW w:w="1052" w:type="pct"/>
            <w:vAlign w:val="center"/>
          </w:tcPr>
          <w:p w14:paraId="5EE711FE" w14:textId="77777777" w:rsidR="00464897" w:rsidRPr="00464897" w:rsidRDefault="00464897" w:rsidP="00464897">
            <w:pPr>
              <w:spacing w:before="0" w:after="0"/>
              <w:rPr>
                <w:rFonts w:cs="Times New Roman"/>
                <w:szCs w:val="24"/>
              </w:rPr>
            </w:pPr>
            <w:r w:rsidRPr="00464897">
              <w:rPr>
                <w:rFonts w:cs="Times New Roman"/>
                <w:szCs w:val="24"/>
              </w:rPr>
              <w:t>1.52 (0.41, 5.67)</w:t>
            </w:r>
          </w:p>
        </w:tc>
        <w:tc>
          <w:tcPr>
            <w:tcW w:w="611" w:type="pct"/>
            <w:vAlign w:val="center"/>
          </w:tcPr>
          <w:p w14:paraId="61AA23EC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0.54</w:t>
            </w:r>
          </w:p>
        </w:tc>
        <w:tc>
          <w:tcPr>
            <w:tcW w:w="1100" w:type="pct"/>
            <w:vAlign w:val="center"/>
          </w:tcPr>
          <w:p w14:paraId="57310F17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101CD6F3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464897" w:rsidRPr="00464897" w14:paraId="18B56B22" w14:textId="77777777" w:rsidTr="001912C5">
        <w:tc>
          <w:tcPr>
            <w:tcW w:w="1715" w:type="pct"/>
          </w:tcPr>
          <w:p w14:paraId="630DB478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464897">
              <w:rPr>
                <w:rFonts w:cs="Times New Roman"/>
                <w:iCs/>
                <w:szCs w:val="24"/>
              </w:rPr>
              <w:t>Congestive heart failure</w:t>
            </w:r>
          </w:p>
        </w:tc>
        <w:tc>
          <w:tcPr>
            <w:tcW w:w="1052" w:type="pct"/>
            <w:vAlign w:val="center"/>
          </w:tcPr>
          <w:p w14:paraId="1FD157DB" w14:textId="77777777" w:rsidR="00464897" w:rsidRPr="00464897" w:rsidRDefault="00464897" w:rsidP="00464897">
            <w:pPr>
              <w:spacing w:before="0" w:after="0"/>
              <w:rPr>
                <w:rFonts w:cs="Times New Roman"/>
                <w:szCs w:val="24"/>
              </w:rPr>
            </w:pPr>
            <w:r w:rsidRPr="00464897">
              <w:rPr>
                <w:rFonts w:cs="Times New Roman"/>
                <w:szCs w:val="24"/>
              </w:rPr>
              <w:t>2.86 (0.74, 11.09)</w:t>
            </w:r>
          </w:p>
        </w:tc>
        <w:tc>
          <w:tcPr>
            <w:tcW w:w="611" w:type="pct"/>
            <w:vAlign w:val="center"/>
          </w:tcPr>
          <w:p w14:paraId="3D24347E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0.13</w:t>
            </w:r>
          </w:p>
        </w:tc>
        <w:tc>
          <w:tcPr>
            <w:tcW w:w="1100" w:type="pct"/>
            <w:vAlign w:val="center"/>
          </w:tcPr>
          <w:p w14:paraId="30FE87A3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2FA64518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464897" w:rsidRPr="00464897" w14:paraId="5FC05B4A" w14:textId="77777777" w:rsidTr="001912C5">
        <w:tc>
          <w:tcPr>
            <w:tcW w:w="1715" w:type="pct"/>
          </w:tcPr>
          <w:p w14:paraId="02DBC0C9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bCs/>
                <w:szCs w:val="24"/>
              </w:rPr>
            </w:pPr>
            <w:r w:rsidRPr="00464897">
              <w:rPr>
                <w:rFonts w:cs="Times New Roman"/>
                <w:bCs/>
                <w:iCs/>
                <w:szCs w:val="24"/>
              </w:rPr>
              <w:t>Standard dose regimen</w:t>
            </w:r>
            <w:r w:rsidRPr="00464897">
              <w:rPr>
                <w:rFonts w:cs="Times New Roman"/>
                <w:bCs/>
                <w:iCs/>
                <w:szCs w:val="24"/>
                <w:vertAlign w:val="superscript"/>
              </w:rPr>
              <w:t>1</w:t>
            </w:r>
          </w:p>
        </w:tc>
        <w:tc>
          <w:tcPr>
            <w:tcW w:w="1052" w:type="pct"/>
            <w:vAlign w:val="center"/>
          </w:tcPr>
          <w:p w14:paraId="437F92CC" w14:textId="77777777" w:rsidR="00464897" w:rsidRPr="00464897" w:rsidRDefault="00464897" w:rsidP="00464897">
            <w:pPr>
              <w:spacing w:before="0" w:after="0"/>
              <w:rPr>
                <w:rFonts w:cs="Times New Roman"/>
                <w:szCs w:val="24"/>
              </w:rPr>
            </w:pPr>
            <w:r w:rsidRPr="00464897">
              <w:rPr>
                <w:rFonts w:cs="Times New Roman"/>
                <w:szCs w:val="24"/>
              </w:rPr>
              <w:t>5.33 (1.31, 21.68)</w:t>
            </w:r>
          </w:p>
        </w:tc>
        <w:tc>
          <w:tcPr>
            <w:tcW w:w="611" w:type="pct"/>
            <w:vAlign w:val="center"/>
          </w:tcPr>
          <w:p w14:paraId="102F634C" w14:textId="77777777" w:rsidR="00464897" w:rsidRPr="00464897" w:rsidRDefault="00464897" w:rsidP="00464897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464897">
              <w:rPr>
                <w:rFonts w:cs="Times New Roman"/>
                <w:b/>
                <w:szCs w:val="24"/>
              </w:rPr>
              <w:t>0.02</w:t>
            </w:r>
          </w:p>
        </w:tc>
        <w:tc>
          <w:tcPr>
            <w:tcW w:w="1100" w:type="pct"/>
            <w:vAlign w:val="center"/>
          </w:tcPr>
          <w:p w14:paraId="05011429" w14:textId="77777777" w:rsidR="00464897" w:rsidRPr="00464897" w:rsidRDefault="00464897" w:rsidP="00464897">
            <w:pPr>
              <w:spacing w:before="0" w:after="0"/>
              <w:rPr>
                <w:rFonts w:cs="Times New Roman"/>
                <w:szCs w:val="24"/>
              </w:rPr>
            </w:pPr>
            <w:r w:rsidRPr="00464897">
              <w:rPr>
                <w:rFonts w:cs="Times New Roman"/>
                <w:szCs w:val="24"/>
              </w:rPr>
              <w:t>3.35 (0.64, 17.60)</w:t>
            </w:r>
          </w:p>
        </w:tc>
        <w:tc>
          <w:tcPr>
            <w:tcW w:w="522" w:type="pct"/>
            <w:vAlign w:val="center"/>
          </w:tcPr>
          <w:p w14:paraId="156F0931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0.15</w:t>
            </w:r>
          </w:p>
        </w:tc>
      </w:tr>
      <w:tr w:rsidR="00464897" w:rsidRPr="00464897" w14:paraId="3CA1E5E3" w14:textId="77777777" w:rsidTr="001912C5">
        <w:tc>
          <w:tcPr>
            <w:tcW w:w="1715" w:type="pct"/>
          </w:tcPr>
          <w:p w14:paraId="717B1274" w14:textId="77777777" w:rsidR="00464897" w:rsidRPr="00464897" w:rsidRDefault="00464897" w:rsidP="00464897">
            <w:pPr>
              <w:spacing w:before="0" w:after="0"/>
              <w:rPr>
                <w:rFonts w:cs="Times New Roman"/>
                <w:szCs w:val="24"/>
              </w:rPr>
            </w:pPr>
            <w:r w:rsidRPr="00464897">
              <w:rPr>
                <w:rFonts w:cs="Times New Roman"/>
                <w:szCs w:val="24"/>
              </w:rPr>
              <w:t>Levetiracetam</w:t>
            </w:r>
          </w:p>
        </w:tc>
        <w:tc>
          <w:tcPr>
            <w:tcW w:w="1052" w:type="pct"/>
            <w:vAlign w:val="center"/>
          </w:tcPr>
          <w:p w14:paraId="197FCD8D" w14:textId="77777777" w:rsidR="00464897" w:rsidRPr="00464897" w:rsidRDefault="00464897" w:rsidP="00464897">
            <w:pPr>
              <w:spacing w:before="0" w:after="0"/>
              <w:rPr>
                <w:rFonts w:cs="Times New Roman"/>
                <w:szCs w:val="24"/>
              </w:rPr>
            </w:pPr>
            <w:r w:rsidRPr="00464897">
              <w:rPr>
                <w:rFonts w:cs="Times New Roman"/>
                <w:szCs w:val="24"/>
              </w:rPr>
              <w:t>0.88 (0.17, 4.43)</w:t>
            </w:r>
          </w:p>
        </w:tc>
        <w:tc>
          <w:tcPr>
            <w:tcW w:w="611" w:type="pct"/>
            <w:vAlign w:val="center"/>
          </w:tcPr>
          <w:p w14:paraId="56FD52CB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0.87</w:t>
            </w:r>
          </w:p>
        </w:tc>
        <w:tc>
          <w:tcPr>
            <w:tcW w:w="1100" w:type="pct"/>
            <w:vAlign w:val="center"/>
          </w:tcPr>
          <w:p w14:paraId="4F5E14E8" w14:textId="77777777" w:rsidR="00464897" w:rsidRPr="00464897" w:rsidRDefault="00464897" w:rsidP="00464897">
            <w:pPr>
              <w:spacing w:before="0" w:after="0"/>
              <w:rPr>
                <w:rFonts w:cs="Times New Roman"/>
                <w:szCs w:val="24"/>
              </w:rPr>
            </w:pPr>
            <w:r w:rsidRPr="00464897">
              <w:rPr>
                <w:rFonts w:cs="Times New Roman"/>
                <w:szCs w:val="24"/>
              </w:rPr>
              <w:t>1.18 (0.20, 6.96)</w:t>
            </w:r>
          </w:p>
        </w:tc>
        <w:tc>
          <w:tcPr>
            <w:tcW w:w="522" w:type="pct"/>
            <w:vAlign w:val="center"/>
          </w:tcPr>
          <w:p w14:paraId="6754D5FB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0.85</w:t>
            </w:r>
          </w:p>
        </w:tc>
      </w:tr>
      <w:tr w:rsidR="00464897" w:rsidRPr="00464897" w14:paraId="0C42DD69" w14:textId="77777777" w:rsidTr="001912C5">
        <w:tc>
          <w:tcPr>
            <w:tcW w:w="1715" w:type="pct"/>
          </w:tcPr>
          <w:p w14:paraId="29FCF7EE" w14:textId="77777777" w:rsidR="00464897" w:rsidRPr="00464897" w:rsidRDefault="00464897" w:rsidP="00464897">
            <w:pPr>
              <w:spacing w:before="0" w:after="0"/>
              <w:rPr>
                <w:rFonts w:cs="Times New Roman"/>
                <w:szCs w:val="24"/>
              </w:rPr>
            </w:pPr>
            <w:r w:rsidRPr="00464897">
              <w:rPr>
                <w:rFonts w:cs="Times New Roman"/>
                <w:szCs w:val="24"/>
              </w:rPr>
              <w:t>Amiodarone</w:t>
            </w:r>
          </w:p>
        </w:tc>
        <w:tc>
          <w:tcPr>
            <w:tcW w:w="1052" w:type="pct"/>
            <w:vAlign w:val="center"/>
          </w:tcPr>
          <w:p w14:paraId="68C01D5B" w14:textId="77777777" w:rsidR="00464897" w:rsidRPr="00464897" w:rsidRDefault="00464897" w:rsidP="00464897">
            <w:pPr>
              <w:spacing w:before="0" w:after="0"/>
              <w:rPr>
                <w:rFonts w:cs="Times New Roman"/>
                <w:szCs w:val="24"/>
              </w:rPr>
            </w:pPr>
            <w:r w:rsidRPr="00464897">
              <w:rPr>
                <w:rFonts w:cs="Times New Roman"/>
                <w:szCs w:val="24"/>
              </w:rPr>
              <w:t>0.50 (0.06, 4.23)</w:t>
            </w:r>
          </w:p>
        </w:tc>
        <w:tc>
          <w:tcPr>
            <w:tcW w:w="611" w:type="pct"/>
            <w:vAlign w:val="center"/>
          </w:tcPr>
          <w:p w14:paraId="2D33193B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0.52</w:t>
            </w:r>
          </w:p>
        </w:tc>
        <w:tc>
          <w:tcPr>
            <w:tcW w:w="1100" w:type="pct"/>
            <w:vAlign w:val="center"/>
          </w:tcPr>
          <w:p w14:paraId="1C5BB8DD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05CFB441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464897" w:rsidRPr="00464897" w14:paraId="12749861" w14:textId="77777777" w:rsidTr="001912C5">
        <w:tc>
          <w:tcPr>
            <w:tcW w:w="1715" w:type="pct"/>
            <w:vAlign w:val="center"/>
          </w:tcPr>
          <w:p w14:paraId="7C34B6AB" w14:textId="77777777" w:rsidR="00464897" w:rsidRPr="00464897" w:rsidRDefault="00464897" w:rsidP="00464897">
            <w:pPr>
              <w:spacing w:before="0" w:after="0"/>
              <w:rPr>
                <w:rFonts w:cs="Times New Roman"/>
                <w:szCs w:val="24"/>
              </w:rPr>
            </w:pPr>
            <w:r w:rsidRPr="00464897">
              <w:rPr>
                <w:rFonts w:cs="Times New Roman"/>
                <w:szCs w:val="24"/>
              </w:rPr>
              <w:t>Dronedarone</w:t>
            </w:r>
          </w:p>
        </w:tc>
        <w:tc>
          <w:tcPr>
            <w:tcW w:w="1052" w:type="pct"/>
            <w:vAlign w:val="center"/>
          </w:tcPr>
          <w:p w14:paraId="0D50C0CD" w14:textId="77777777" w:rsidR="00464897" w:rsidRPr="00464897" w:rsidRDefault="00464897" w:rsidP="00464897">
            <w:pPr>
              <w:spacing w:before="0" w:after="0"/>
              <w:rPr>
                <w:rFonts w:cs="Times New Roman"/>
                <w:szCs w:val="24"/>
              </w:rPr>
            </w:pPr>
            <w:r w:rsidRPr="00464897">
              <w:rPr>
                <w:rFonts w:cs="Times New Roman"/>
                <w:szCs w:val="24"/>
              </w:rPr>
              <w:t>1.10 (0.12, 9.89)</w:t>
            </w:r>
          </w:p>
        </w:tc>
        <w:tc>
          <w:tcPr>
            <w:tcW w:w="611" w:type="pct"/>
            <w:vAlign w:val="center"/>
          </w:tcPr>
          <w:p w14:paraId="6E01238E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0.93</w:t>
            </w:r>
          </w:p>
        </w:tc>
        <w:tc>
          <w:tcPr>
            <w:tcW w:w="1100" w:type="pct"/>
            <w:vAlign w:val="center"/>
          </w:tcPr>
          <w:p w14:paraId="3CBDE96F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5CB12210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464897" w:rsidRPr="00464897" w14:paraId="5FB660D1" w14:textId="77777777" w:rsidTr="001912C5">
        <w:tc>
          <w:tcPr>
            <w:tcW w:w="1715" w:type="pct"/>
            <w:vAlign w:val="center"/>
          </w:tcPr>
          <w:p w14:paraId="1E068F8A" w14:textId="77777777" w:rsidR="00464897" w:rsidRPr="00464897" w:rsidRDefault="00464897" w:rsidP="00464897">
            <w:pPr>
              <w:spacing w:before="0" w:after="0"/>
              <w:rPr>
                <w:rFonts w:cs="Times New Roman"/>
                <w:szCs w:val="24"/>
              </w:rPr>
            </w:pPr>
            <w:r w:rsidRPr="00464897">
              <w:rPr>
                <w:rFonts w:cs="Times New Roman"/>
                <w:szCs w:val="24"/>
              </w:rPr>
              <w:t>Antiplatelet agent</w:t>
            </w:r>
          </w:p>
        </w:tc>
        <w:tc>
          <w:tcPr>
            <w:tcW w:w="1052" w:type="pct"/>
            <w:vAlign w:val="center"/>
          </w:tcPr>
          <w:p w14:paraId="7CBD73DA" w14:textId="77777777" w:rsidR="00464897" w:rsidRPr="00464897" w:rsidRDefault="00464897" w:rsidP="00464897">
            <w:pPr>
              <w:spacing w:before="0" w:after="0"/>
              <w:rPr>
                <w:rFonts w:cs="Times New Roman"/>
                <w:szCs w:val="24"/>
              </w:rPr>
            </w:pPr>
            <w:r w:rsidRPr="00464897">
              <w:rPr>
                <w:rFonts w:cs="Times New Roman"/>
                <w:szCs w:val="24"/>
              </w:rPr>
              <w:t>8.30 (0.48, 143.26)</w:t>
            </w:r>
          </w:p>
        </w:tc>
        <w:tc>
          <w:tcPr>
            <w:tcW w:w="611" w:type="pct"/>
            <w:vAlign w:val="center"/>
          </w:tcPr>
          <w:p w14:paraId="0B12606B" w14:textId="77777777" w:rsidR="00464897" w:rsidRPr="00464897" w:rsidRDefault="00464897" w:rsidP="00464897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64897">
              <w:rPr>
                <w:rFonts w:cs="Times New Roman"/>
                <w:bCs/>
                <w:szCs w:val="24"/>
              </w:rPr>
              <w:t>0.15</w:t>
            </w:r>
          </w:p>
        </w:tc>
        <w:tc>
          <w:tcPr>
            <w:tcW w:w="1100" w:type="pct"/>
            <w:vAlign w:val="center"/>
          </w:tcPr>
          <w:p w14:paraId="5B09A3D7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1BDF4713" w14:textId="77777777" w:rsidR="00464897" w:rsidRPr="00464897" w:rsidRDefault="00464897" w:rsidP="00464897">
            <w:pPr>
              <w:spacing w:before="0" w:after="0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72AD259D" w14:textId="77777777" w:rsidR="00464897" w:rsidRPr="000C3ADF" w:rsidRDefault="00464897" w:rsidP="00464897">
      <w:pPr>
        <w:rPr>
          <w:rFonts w:cs="Times New Roman"/>
          <w:bCs/>
          <w:sz w:val="20"/>
          <w:szCs w:val="20"/>
        </w:rPr>
      </w:pPr>
      <w:r w:rsidRPr="000C3ADF">
        <w:rPr>
          <w:rFonts w:cs="Times New Roman"/>
          <w:bCs/>
          <w:sz w:val="20"/>
          <w:szCs w:val="20"/>
          <w:vertAlign w:val="superscript"/>
        </w:rPr>
        <w:t>1</w:t>
      </w:r>
      <w:r w:rsidRPr="000C3ADF">
        <w:rPr>
          <w:rFonts w:cs="Times New Roman"/>
          <w:bCs/>
          <w:sz w:val="20"/>
          <w:szCs w:val="20"/>
        </w:rPr>
        <w:t xml:space="preserve">Standard dose regimen: dabigatran 150 mg twice daily, rivaroxaban 15 mg daily, apixaban 5 mg twice daily, or </w:t>
      </w:r>
      <w:proofErr w:type="spellStart"/>
      <w:r w:rsidRPr="000C3ADF">
        <w:rPr>
          <w:rFonts w:cs="Times New Roman"/>
          <w:bCs/>
          <w:sz w:val="20"/>
          <w:szCs w:val="20"/>
        </w:rPr>
        <w:t>edoxaban</w:t>
      </w:r>
      <w:proofErr w:type="spellEnd"/>
      <w:r w:rsidRPr="000C3ADF">
        <w:rPr>
          <w:rFonts w:cs="Times New Roman"/>
          <w:bCs/>
          <w:sz w:val="20"/>
          <w:szCs w:val="20"/>
        </w:rPr>
        <w:t xml:space="preserve"> 60 mg daily. Any dose regimen lower than the standard dose regimen is the reduced dose regimen. In our hospital, </w:t>
      </w:r>
      <w:proofErr w:type="spellStart"/>
      <w:r w:rsidRPr="000C3ADF">
        <w:rPr>
          <w:rFonts w:cs="Times New Roman"/>
          <w:bCs/>
          <w:sz w:val="20"/>
          <w:szCs w:val="20"/>
        </w:rPr>
        <w:t>rivaroxban</w:t>
      </w:r>
      <w:proofErr w:type="spellEnd"/>
      <w:r w:rsidRPr="000C3ADF">
        <w:rPr>
          <w:rFonts w:cs="Times New Roman"/>
          <w:bCs/>
          <w:sz w:val="20"/>
          <w:szCs w:val="20"/>
        </w:rPr>
        <w:t xml:space="preserve"> 20 mg tablet was not available, hence all participants used rivaroxaban according to the J-ROCKET AF dosing regimen. The low dose regimen group is the reference group.</w:t>
      </w:r>
    </w:p>
    <w:p w14:paraId="7788E341" w14:textId="77777777" w:rsidR="00464897" w:rsidRPr="000C3ADF" w:rsidRDefault="00464897" w:rsidP="00464897">
      <w:pPr>
        <w:rPr>
          <w:rFonts w:eastAsia="Times New Roman" w:cs="Times New Roman"/>
          <w:sz w:val="20"/>
          <w:szCs w:val="20"/>
        </w:rPr>
      </w:pPr>
      <w:r w:rsidRPr="000C3ADF">
        <w:rPr>
          <w:rFonts w:eastAsia="Times New Roman" w:cs="Times New Roman"/>
          <w:b/>
          <w:sz w:val="20"/>
          <w:szCs w:val="20"/>
        </w:rPr>
        <w:t>Abbreviations:</w:t>
      </w:r>
      <w:r w:rsidRPr="000C3ADF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0C3ADF">
        <w:rPr>
          <w:rFonts w:eastAsia="Times New Roman" w:cs="Times New Roman"/>
          <w:sz w:val="20"/>
          <w:szCs w:val="20"/>
        </w:rPr>
        <w:t>CrCL</w:t>
      </w:r>
      <w:proofErr w:type="spellEnd"/>
      <w:r w:rsidRPr="000C3ADF">
        <w:rPr>
          <w:rFonts w:eastAsia="Times New Roman" w:cs="Times New Roman"/>
          <w:sz w:val="20"/>
          <w:szCs w:val="20"/>
        </w:rPr>
        <w:t xml:space="preserve">, creatinine clearance; TIA, transient ischemic attack. </w:t>
      </w:r>
    </w:p>
    <w:p w14:paraId="0208F845" w14:textId="77777777" w:rsidR="00464897" w:rsidRDefault="00464897" w:rsidP="002B4A57"/>
    <w:p w14:paraId="1D8DF1F8" w14:textId="77777777" w:rsidR="00464897" w:rsidRPr="000C3ADF" w:rsidRDefault="00464897" w:rsidP="00464897">
      <w:pPr>
        <w:spacing w:before="0" w:after="0"/>
        <w:rPr>
          <w:rFonts w:cs="Times New Roman"/>
        </w:rPr>
      </w:pPr>
      <w:r w:rsidRPr="000C3ADF">
        <w:rPr>
          <w:rFonts w:cs="Times New Roman"/>
          <w:b/>
          <w:bCs/>
        </w:rPr>
        <w:lastRenderedPageBreak/>
        <w:t>Table S2.</w:t>
      </w:r>
      <w:r w:rsidRPr="000C3ADF">
        <w:rPr>
          <w:rFonts w:cs="Times New Roman"/>
        </w:rPr>
        <w:t xml:space="preserve"> The incidence of primary and secondary outcomes.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316"/>
        <w:gridCol w:w="1569"/>
        <w:gridCol w:w="2429"/>
        <w:gridCol w:w="2069"/>
      </w:tblGrid>
      <w:tr w:rsidR="00464897" w:rsidRPr="000C3ADF" w14:paraId="76931D95" w14:textId="77777777" w:rsidTr="001912C5">
        <w:tc>
          <w:tcPr>
            <w:tcW w:w="0" w:type="auto"/>
            <w:shd w:val="clear" w:color="auto" w:fill="E1EBF7" w:themeFill="text2" w:themeFillTint="1A"/>
          </w:tcPr>
          <w:p w14:paraId="698879A1" w14:textId="77777777" w:rsidR="00464897" w:rsidRPr="000C3ADF" w:rsidRDefault="00464897" w:rsidP="00464897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E1EBF7" w:themeFill="text2" w:themeFillTint="1A"/>
          </w:tcPr>
          <w:p w14:paraId="33AF091B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  <w:r w:rsidRPr="000C3ADF">
              <w:rPr>
                <w:rFonts w:cs="Times New Roman"/>
              </w:rPr>
              <w:t>Event number</w:t>
            </w:r>
          </w:p>
        </w:tc>
        <w:tc>
          <w:tcPr>
            <w:tcW w:w="0" w:type="auto"/>
            <w:shd w:val="clear" w:color="auto" w:fill="E1EBF7" w:themeFill="text2" w:themeFillTint="1A"/>
          </w:tcPr>
          <w:p w14:paraId="5CFD0EB3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  <w:r w:rsidRPr="000C3ADF">
              <w:rPr>
                <w:rFonts w:cs="Times New Roman"/>
              </w:rPr>
              <w:t>Incidence</w:t>
            </w:r>
          </w:p>
          <w:p w14:paraId="7329C436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  <w:r w:rsidRPr="000C3ADF">
              <w:rPr>
                <w:rFonts w:cs="Times New Roman"/>
              </w:rPr>
              <w:t>(per-100-person-years)</w:t>
            </w:r>
          </w:p>
        </w:tc>
        <w:tc>
          <w:tcPr>
            <w:tcW w:w="0" w:type="auto"/>
            <w:shd w:val="clear" w:color="auto" w:fill="E1EBF7" w:themeFill="text2" w:themeFillTint="1A"/>
          </w:tcPr>
          <w:p w14:paraId="24594DFF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  <w:r w:rsidRPr="000C3ADF">
              <w:rPr>
                <w:rFonts w:cs="Times New Roman"/>
              </w:rPr>
              <w:t xml:space="preserve">Incidence rate ratio </w:t>
            </w:r>
          </w:p>
          <w:p w14:paraId="1111E537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  <w:r w:rsidRPr="000C3ADF">
              <w:rPr>
                <w:rFonts w:cs="Times New Roman"/>
              </w:rPr>
              <w:t>(95% CI)</w:t>
            </w:r>
          </w:p>
        </w:tc>
      </w:tr>
      <w:tr w:rsidR="00464897" w:rsidRPr="000C3ADF" w14:paraId="72BC1A9A" w14:textId="77777777" w:rsidTr="001912C5">
        <w:tc>
          <w:tcPr>
            <w:tcW w:w="0" w:type="auto"/>
          </w:tcPr>
          <w:p w14:paraId="04E2DC96" w14:textId="77777777" w:rsidR="00464897" w:rsidRPr="000C3ADF" w:rsidRDefault="00464897" w:rsidP="00464897">
            <w:pPr>
              <w:spacing w:before="0" w:after="0"/>
              <w:rPr>
                <w:rFonts w:cs="Times New Roman"/>
                <w:b/>
                <w:bCs/>
              </w:rPr>
            </w:pPr>
            <w:r w:rsidRPr="000C3ADF">
              <w:rPr>
                <w:rFonts w:cs="Times New Roman"/>
                <w:b/>
                <w:bCs/>
              </w:rPr>
              <w:t>Primary outcome</w:t>
            </w:r>
          </w:p>
        </w:tc>
        <w:tc>
          <w:tcPr>
            <w:tcW w:w="0" w:type="auto"/>
          </w:tcPr>
          <w:p w14:paraId="0E3518EC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2609D294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61E03E1F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="00464897" w:rsidRPr="000C3ADF" w14:paraId="68C9186D" w14:textId="77777777" w:rsidTr="001912C5">
        <w:tc>
          <w:tcPr>
            <w:tcW w:w="0" w:type="auto"/>
          </w:tcPr>
          <w:p w14:paraId="35558300" w14:textId="77777777" w:rsidR="00464897" w:rsidRPr="000C3ADF" w:rsidRDefault="00464897" w:rsidP="00464897">
            <w:pPr>
              <w:spacing w:before="0" w:after="0"/>
              <w:rPr>
                <w:rFonts w:cs="Times New Roman"/>
                <w:b/>
                <w:bCs/>
              </w:rPr>
            </w:pPr>
            <w:r w:rsidRPr="000C3ADF">
              <w:rPr>
                <w:rFonts w:cs="Times New Roman"/>
                <w:b/>
                <w:bCs/>
              </w:rPr>
              <w:t>IS/TIA</w:t>
            </w:r>
          </w:p>
        </w:tc>
        <w:tc>
          <w:tcPr>
            <w:tcW w:w="0" w:type="auto"/>
          </w:tcPr>
          <w:p w14:paraId="2C8F76FC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16D46F2D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6EB9CBB7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="00464897" w:rsidRPr="000C3ADF" w14:paraId="1A3B4DAC" w14:textId="77777777" w:rsidTr="001912C5">
        <w:tc>
          <w:tcPr>
            <w:tcW w:w="0" w:type="auto"/>
          </w:tcPr>
          <w:p w14:paraId="05BAEBA3" w14:textId="77777777" w:rsidR="00464897" w:rsidRPr="000C3ADF" w:rsidRDefault="00464897" w:rsidP="00464897">
            <w:pPr>
              <w:spacing w:before="0" w:after="0"/>
              <w:ind w:firstLineChars="100" w:firstLine="240"/>
              <w:rPr>
                <w:rFonts w:cs="Times New Roman"/>
              </w:rPr>
            </w:pPr>
            <w:r w:rsidRPr="000C3ADF">
              <w:rPr>
                <w:rFonts w:cs="Times New Roman"/>
              </w:rPr>
              <w:t>LEV-users</w:t>
            </w:r>
          </w:p>
        </w:tc>
        <w:tc>
          <w:tcPr>
            <w:tcW w:w="0" w:type="auto"/>
          </w:tcPr>
          <w:p w14:paraId="6EEE7E1D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  <w:r w:rsidRPr="000C3ADF">
              <w:rPr>
                <w:rFonts w:cs="Times New Roman"/>
              </w:rPr>
              <w:t>1</w:t>
            </w:r>
          </w:p>
        </w:tc>
        <w:tc>
          <w:tcPr>
            <w:tcW w:w="0" w:type="auto"/>
          </w:tcPr>
          <w:p w14:paraId="4E691DB0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  <w:r w:rsidRPr="000C3ADF">
              <w:rPr>
                <w:rFonts w:cs="Times New Roman"/>
              </w:rPr>
              <w:t>1.74</w:t>
            </w:r>
          </w:p>
        </w:tc>
        <w:tc>
          <w:tcPr>
            <w:tcW w:w="0" w:type="auto"/>
            <w:vMerge w:val="restart"/>
            <w:vAlign w:val="center"/>
          </w:tcPr>
          <w:p w14:paraId="31A4CC38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  <w:r w:rsidRPr="000C3ADF">
              <w:rPr>
                <w:rFonts w:cs="Times New Roman"/>
              </w:rPr>
              <w:t>1.06 (0.02, 13.19)</w:t>
            </w:r>
          </w:p>
        </w:tc>
      </w:tr>
      <w:tr w:rsidR="00464897" w:rsidRPr="000C3ADF" w14:paraId="195224ED" w14:textId="77777777" w:rsidTr="001912C5">
        <w:tc>
          <w:tcPr>
            <w:tcW w:w="0" w:type="auto"/>
          </w:tcPr>
          <w:p w14:paraId="701F8457" w14:textId="77777777" w:rsidR="00464897" w:rsidRPr="000C3ADF" w:rsidRDefault="00464897" w:rsidP="00464897">
            <w:pPr>
              <w:spacing w:before="0" w:after="0"/>
              <w:ind w:firstLineChars="100" w:firstLine="240"/>
              <w:rPr>
                <w:rFonts w:cs="Times New Roman"/>
              </w:rPr>
            </w:pPr>
            <w:r w:rsidRPr="000C3ADF">
              <w:rPr>
                <w:rFonts w:cs="Times New Roman"/>
              </w:rPr>
              <w:t>LEV-non-users</w:t>
            </w:r>
          </w:p>
        </w:tc>
        <w:tc>
          <w:tcPr>
            <w:tcW w:w="0" w:type="auto"/>
          </w:tcPr>
          <w:p w14:paraId="0424FB0A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  <w:r w:rsidRPr="000C3ADF">
              <w:rPr>
                <w:rFonts w:cs="Times New Roman"/>
              </w:rPr>
              <w:t>3</w:t>
            </w:r>
          </w:p>
        </w:tc>
        <w:tc>
          <w:tcPr>
            <w:tcW w:w="0" w:type="auto"/>
          </w:tcPr>
          <w:p w14:paraId="19BF64CF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  <w:r w:rsidRPr="000C3ADF">
              <w:rPr>
                <w:rFonts w:cs="Times New Roman"/>
              </w:rPr>
              <w:t>1.64</w:t>
            </w:r>
          </w:p>
        </w:tc>
        <w:tc>
          <w:tcPr>
            <w:tcW w:w="0" w:type="auto"/>
            <w:vMerge/>
          </w:tcPr>
          <w:p w14:paraId="5E8B1930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="00464897" w:rsidRPr="000C3ADF" w14:paraId="0C6498D4" w14:textId="77777777" w:rsidTr="001912C5">
        <w:tc>
          <w:tcPr>
            <w:tcW w:w="0" w:type="auto"/>
          </w:tcPr>
          <w:p w14:paraId="7F5F4D71" w14:textId="77777777" w:rsidR="00464897" w:rsidRPr="000C3ADF" w:rsidRDefault="00464897" w:rsidP="00464897">
            <w:pPr>
              <w:spacing w:before="0" w:after="0"/>
              <w:rPr>
                <w:rFonts w:cs="Times New Roman"/>
                <w:b/>
                <w:bCs/>
              </w:rPr>
            </w:pPr>
            <w:r w:rsidRPr="000C3ADF">
              <w:rPr>
                <w:rFonts w:cs="Times New Roman"/>
                <w:b/>
                <w:bCs/>
              </w:rPr>
              <w:t>Secondary outcomes</w:t>
            </w:r>
          </w:p>
        </w:tc>
        <w:tc>
          <w:tcPr>
            <w:tcW w:w="0" w:type="auto"/>
          </w:tcPr>
          <w:p w14:paraId="062AF4D8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38FFC1A2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46B44269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="00464897" w:rsidRPr="000C3ADF" w14:paraId="68A2E800" w14:textId="77777777" w:rsidTr="001912C5">
        <w:tc>
          <w:tcPr>
            <w:tcW w:w="0" w:type="auto"/>
          </w:tcPr>
          <w:p w14:paraId="0A47B8F6" w14:textId="77777777" w:rsidR="00464897" w:rsidRPr="000C3ADF" w:rsidRDefault="00464897" w:rsidP="00464897">
            <w:pPr>
              <w:spacing w:before="0" w:after="0"/>
              <w:rPr>
                <w:rFonts w:cs="Times New Roman"/>
                <w:b/>
                <w:bCs/>
              </w:rPr>
            </w:pPr>
            <w:r w:rsidRPr="000C3ADF">
              <w:rPr>
                <w:rFonts w:cs="Times New Roman"/>
                <w:b/>
                <w:bCs/>
              </w:rPr>
              <w:t>STE</w:t>
            </w:r>
          </w:p>
        </w:tc>
        <w:tc>
          <w:tcPr>
            <w:tcW w:w="0" w:type="auto"/>
          </w:tcPr>
          <w:p w14:paraId="7C8F74D4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2681E373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5FFF851F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="00464897" w:rsidRPr="000C3ADF" w14:paraId="10031462" w14:textId="77777777" w:rsidTr="001912C5">
        <w:tc>
          <w:tcPr>
            <w:tcW w:w="0" w:type="auto"/>
          </w:tcPr>
          <w:p w14:paraId="4CAB3DDD" w14:textId="77777777" w:rsidR="00464897" w:rsidRPr="000C3ADF" w:rsidRDefault="00464897" w:rsidP="00464897">
            <w:pPr>
              <w:spacing w:before="0" w:after="0"/>
              <w:ind w:firstLineChars="100" w:firstLine="240"/>
              <w:rPr>
                <w:rFonts w:cs="Times New Roman"/>
              </w:rPr>
            </w:pPr>
            <w:r w:rsidRPr="000C3ADF">
              <w:rPr>
                <w:rFonts w:cs="Times New Roman"/>
              </w:rPr>
              <w:t>LEV-users</w:t>
            </w:r>
          </w:p>
        </w:tc>
        <w:tc>
          <w:tcPr>
            <w:tcW w:w="0" w:type="auto"/>
          </w:tcPr>
          <w:p w14:paraId="60711668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  <w:r w:rsidRPr="000C3ADF">
              <w:rPr>
                <w:rFonts w:cs="Times New Roman"/>
              </w:rPr>
              <w:t>1</w:t>
            </w:r>
          </w:p>
        </w:tc>
        <w:tc>
          <w:tcPr>
            <w:tcW w:w="0" w:type="auto"/>
          </w:tcPr>
          <w:p w14:paraId="6D758CCA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  <w:r w:rsidRPr="000C3ADF">
              <w:rPr>
                <w:rFonts w:cs="Times New Roman"/>
              </w:rPr>
              <w:t>1.74</w:t>
            </w:r>
          </w:p>
        </w:tc>
        <w:tc>
          <w:tcPr>
            <w:tcW w:w="0" w:type="auto"/>
            <w:vMerge w:val="restart"/>
            <w:vAlign w:val="center"/>
          </w:tcPr>
          <w:p w14:paraId="51A708A2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  <w:r w:rsidRPr="000C3ADF">
              <w:rPr>
                <w:rFonts w:cs="Times New Roman"/>
              </w:rPr>
              <w:t>0.79 (0.02, 7.94)</w:t>
            </w:r>
          </w:p>
        </w:tc>
      </w:tr>
      <w:tr w:rsidR="00464897" w:rsidRPr="000C3ADF" w14:paraId="622BC259" w14:textId="77777777" w:rsidTr="001912C5">
        <w:tc>
          <w:tcPr>
            <w:tcW w:w="0" w:type="auto"/>
          </w:tcPr>
          <w:p w14:paraId="6131ABCC" w14:textId="77777777" w:rsidR="00464897" w:rsidRPr="000C3ADF" w:rsidRDefault="00464897" w:rsidP="00464897">
            <w:pPr>
              <w:spacing w:before="0" w:after="0"/>
              <w:ind w:firstLineChars="100" w:firstLine="240"/>
              <w:rPr>
                <w:rFonts w:cs="Times New Roman"/>
              </w:rPr>
            </w:pPr>
            <w:r w:rsidRPr="000C3ADF">
              <w:rPr>
                <w:rFonts w:cs="Times New Roman"/>
              </w:rPr>
              <w:t>LEV-non-users</w:t>
            </w:r>
          </w:p>
        </w:tc>
        <w:tc>
          <w:tcPr>
            <w:tcW w:w="0" w:type="auto"/>
          </w:tcPr>
          <w:p w14:paraId="499893CA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  <w:r w:rsidRPr="000C3ADF">
              <w:rPr>
                <w:rFonts w:cs="Times New Roman"/>
              </w:rPr>
              <w:t>4</w:t>
            </w:r>
          </w:p>
        </w:tc>
        <w:tc>
          <w:tcPr>
            <w:tcW w:w="0" w:type="auto"/>
          </w:tcPr>
          <w:p w14:paraId="7D6A8EAF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  <w:r w:rsidRPr="000C3ADF">
              <w:rPr>
                <w:rFonts w:cs="Times New Roman"/>
              </w:rPr>
              <w:t>2.22</w:t>
            </w:r>
          </w:p>
        </w:tc>
        <w:tc>
          <w:tcPr>
            <w:tcW w:w="0" w:type="auto"/>
            <w:vMerge/>
          </w:tcPr>
          <w:p w14:paraId="7BF0DBC3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="00464897" w:rsidRPr="000C3ADF" w14:paraId="318E158A" w14:textId="77777777" w:rsidTr="001912C5">
        <w:tc>
          <w:tcPr>
            <w:tcW w:w="0" w:type="auto"/>
          </w:tcPr>
          <w:p w14:paraId="43CBA992" w14:textId="77777777" w:rsidR="00464897" w:rsidRPr="000C3ADF" w:rsidRDefault="00464897" w:rsidP="00464897">
            <w:pPr>
              <w:spacing w:before="0" w:after="0"/>
              <w:rPr>
                <w:rFonts w:cs="Times New Roman"/>
                <w:b/>
                <w:bCs/>
              </w:rPr>
            </w:pPr>
            <w:r w:rsidRPr="000C3ADF">
              <w:rPr>
                <w:rFonts w:cs="Times New Roman"/>
                <w:b/>
                <w:bCs/>
              </w:rPr>
              <w:t>Major bleeding</w:t>
            </w:r>
          </w:p>
        </w:tc>
        <w:tc>
          <w:tcPr>
            <w:tcW w:w="0" w:type="auto"/>
          </w:tcPr>
          <w:p w14:paraId="77352CB0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4E00564B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7DFB6CE9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="00464897" w:rsidRPr="000C3ADF" w14:paraId="4EB4E883" w14:textId="77777777" w:rsidTr="001912C5">
        <w:tc>
          <w:tcPr>
            <w:tcW w:w="0" w:type="auto"/>
          </w:tcPr>
          <w:p w14:paraId="32DD2261" w14:textId="77777777" w:rsidR="00464897" w:rsidRPr="000C3ADF" w:rsidRDefault="00464897" w:rsidP="00464897">
            <w:pPr>
              <w:spacing w:before="0" w:after="0"/>
              <w:ind w:firstLineChars="100" w:firstLine="240"/>
              <w:rPr>
                <w:rFonts w:cs="Times New Roman"/>
              </w:rPr>
            </w:pPr>
            <w:r w:rsidRPr="000C3ADF">
              <w:rPr>
                <w:rFonts w:cs="Times New Roman"/>
              </w:rPr>
              <w:t>LEV-users</w:t>
            </w:r>
          </w:p>
        </w:tc>
        <w:tc>
          <w:tcPr>
            <w:tcW w:w="0" w:type="auto"/>
          </w:tcPr>
          <w:p w14:paraId="687CB582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  <w:r w:rsidRPr="000C3ADF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14:paraId="134C2701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  <w:r w:rsidRPr="000C3ADF">
              <w:rPr>
                <w:rFonts w:cs="Times New Roman"/>
              </w:rPr>
              <w:t>3.49</w:t>
            </w:r>
          </w:p>
        </w:tc>
        <w:tc>
          <w:tcPr>
            <w:tcW w:w="0" w:type="auto"/>
            <w:vMerge w:val="restart"/>
            <w:vAlign w:val="center"/>
          </w:tcPr>
          <w:p w14:paraId="6B80FE9E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  <w:r w:rsidRPr="000C3ADF">
              <w:rPr>
                <w:rFonts w:cs="Times New Roman"/>
              </w:rPr>
              <w:t>0.90 (0.09, 4.71)</w:t>
            </w:r>
          </w:p>
        </w:tc>
      </w:tr>
      <w:tr w:rsidR="00464897" w:rsidRPr="000C3ADF" w14:paraId="75F4BBCA" w14:textId="77777777" w:rsidTr="001912C5">
        <w:tc>
          <w:tcPr>
            <w:tcW w:w="0" w:type="auto"/>
          </w:tcPr>
          <w:p w14:paraId="0D48BFD6" w14:textId="77777777" w:rsidR="00464897" w:rsidRPr="000C3ADF" w:rsidRDefault="00464897" w:rsidP="00464897">
            <w:pPr>
              <w:spacing w:before="0" w:after="0"/>
              <w:ind w:firstLineChars="100" w:firstLine="240"/>
              <w:rPr>
                <w:rFonts w:cs="Times New Roman"/>
              </w:rPr>
            </w:pPr>
            <w:r w:rsidRPr="000C3ADF">
              <w:rPr>
                <w:rFonts w:cs="Times New Roman"/>
              </w:rPr>
              <w:t>LEV-non-users</w:t>
            </w:r>
          </w:p>
        </w:tc>
        <w:tc>
          <w:tcPr>
            <w:tcW w:w="0" w:type="auto"/>
          </w:tcPr>
          <w:p w14:paraId="3AF42AD7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  <w:r w:rsidRPr="000C3ADF">
              <w:rPr>
                <w:rFonts w:cs="Times New Roman"/>
              </w:rPr>
              <w:t>7</w:t>
            </w:r>
          </w:p>
        </w:tc>
        <w:tc>
          <w:tcPr>
            <w:tcW w:w="0" w:type="auto"/>
          </w:tcPr>
          <w:p w14:paraId="441C597D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  <w:r w:rsidRPr="000C3ADF">
              <w:rPr>
                <w:rFonts w:cs="Times New Roman"/>
              </w:rPr>
              <w:t>3.89</w:t>
            </w:r>
          </w:p>
        </w:tc>
        <w:tc>
          <w:tcPr>
            <w:tcW w:w="0" w:type="auto"/>
            <w:vMerge/>
          </w:tcPr>
          <w:p w14:paraId="0EA1F305" w14:textId="77777777" w:rsidR="00464897" w:rsidRPr="000C3ADF" w:rsidRDefault="00464897" w:rsidP="00464897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</w:tbl>
    <w:p w14:paraId="48D51E55" w14:textId="77777777" w:rsidR="00464897" w:rsidRPr="000C3ADF" w:rsidRDefault="00464897" w:rsidP="00464897">
      <w:pPr>
        <w:spacing w:before="0" w:after="0"/>
        <w:rPr>
          <w:rFonts w:cs="Times New Roman"/>
          <w:sz w:val="20"/>
          <w:szCs w:val="20"/>
        </w:rPr>
      </w:pPr>
      <w:r w:rsidRPr="000C3ADF">
        <w:rPr>
          <w:rFonts w:cs="Times New Roman"/>
          <w:sz w:val="20"/>
          <w:szCs w:val="20"/>
        </w:rPr>
        <w:t>Abbreviations: CI, confidence interval; LEV, levetiracetam.</w:t>
      </w:r>
    </w:p>
    <w:p w14:paraId="32F976BA" w14:textId="51A11FC4" w:rsidR="00464897" w:rsidRDefault="00464897">
      <w:pPr>
        <w:spacing w:before="0"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3DA4D3E4" w14:textId="77777777" w:rsidR="00464897" w:rsidRPr="000C3ADF" w:rsidRDefault="00464897" w:rsidP="00464897">
      <w:pPr>
        <w:rPr>
          <w:rFonts w:cs="Times New Roman"/>
          <w:b/>
          <w:bCs/>
        </w:rPr>
      </w:pPr>
      <w:r w:rsidRPr="000C3ADF">
        <w:rPr>
          <w:rFonts w:cs="Times New Roman"/>
          <w:noProof/>
        </w:rPr>
        <w:lastRenderedPageBreak/>
        <w:drawing>
          <wp:inline distT="0" distB="0" distL="0" distR="0" wp14:anchorId="75B956AF" wp14:editId="623F633F">
            <wp:extent cx="5114925" cy="3129251"/>
            <wp:effectExtent l="0" t="0" r="0" b="0"/>
            <wp:docPr id="191436577" name="圖片 1" descr="一張含有 文字, 螢幕擷取畫面, 行, 圖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36577" name="圖片 1" descr="一張含有 文字, 螢幕擷取畫面, 行, 圖表 的圖片&#10;&#10;自動產生的描述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0119" cy="313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195B6" w14:textId="77777777" w:rsidR="00464897" w:rsidRPr="000C3ADF" w:rsidRDefault="00464897" w:rsidP="00464897">
      <w:pPr>
        <w:rPr>
          <w:rFonts w:cs="Times New Roman"/>
          <w:b/>
          <w:bCs/>
        </w:rPr>
      </w:pPr>
      <w:r w:rsidRPr="000C3ADF">
        <w:rPr>
          <w:rFonts w:cs="Times New Roman"/>
          <w:b/>
          <w:bCs/>
        </w:rPr>
        <w:t xml:space="preserve">Figure S1. </w:t>
      </w:r>
      <w:r w:rsidRPr="000C3ADF">
        <w:rPr>
          <w:rFonts w:cs="Times New Roman"/>
        </w:rPr>
        <w:t>The diagraph of follow up duration between levetiracetam users and nonusers.</w:t>
      </w:r>
    </w:p>
    <w:sectPr w:rsidR="00464897" w:rsidRPr="000C3ADF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0C2BC" w14:textId="77777777" w:rsidR="00DB5DBD" w:rsidRDefault="00DB5DBD" w:rsidP="00117666">
      <w:pPr>
        <w:spacing w:after="0"/>
      </w:pPr>
      <w:r>
        <w:separator/>
      </w:r>
    </w:p>
  </w:endnote>
  <w:endnote w:type="continuationSeparator" w:id="0">
    <w:p w14:paraId="518711E2" w14:textId="77777777" w:rsidR="00DB5DBD" w:rsidRDefault="00DB5DB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E93FC" w14:textId="77777777" w:rsidR="00DB5DBD" w:rsidRDefault="00DB5DBD" w:rsidP="00117666">
      <w:pPr>
        <w:spacing w:after="0"/>
      </w:pPr>
      <w:r>
        <w:separator/>
      </w:r>
    </w:p>
  </w:footnote>
  <w:footnote w:type="continuationSeparator" w:id="0">
    <w:p w14:paraId="3F32CCF3" w14:textId="77777777" w:rsidR="00DB5DBD" w:rsidRDefault="00DB5DB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64897"/>
    <w:rsid w:val="004735C8"/>
    <w:rsid w:val="004961FF"/>
    <w:rsid w:val="00517A89"/>
    <w:rsid w:val="005250F2"/>
    <w:rsid w:val="00593EEA"/>
    <w:rsid w:val="005A5EEE"/>
    <w:rsid w:val="005D0431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AF6E72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B5DBD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標題 2 字元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標題 字元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註解方塊文字 字元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註解文字 字元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章節附註文字 字元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頁尾 字元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註腳文字 字元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頁首 字元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標題 3 字元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標題 4 字元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標題 5 字元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0">
    <w:name w:val="Quote"/>
    <w:basedOn w:val="a0"/>
    <w:next w:val="a0"/>
    <w:link w:val="aff1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引文 字元"/>
    <w:basedOn w:val="a1"/>
    <w:link w:val="aff0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2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3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4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itle"/>
    <w:basedOn w:val="a0"/>
    <w:next w:val="a0"/>
    <w:link w:val="aff6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6">
    <w:name w:val="標題 字元"/>
    <w:basedOn w:val="a1"/>
    <w:link w:val="aff5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5"/>
    <w:next w:val="aff5"/>
    <w:qFormat/>
    <w:rsid w:val="0001436A"/>
    <w:pPr>
      <w:spacing w:after="120"/>
    </w:pPr>
    <w:rPr>
      <w:i/>
    </w:rPr>
  </w:style>
  <w:style w:type="paragraph" w:styleId="aff7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Shin Yi Lin</cp:lastModifiedBy>
  <cp:revision>5</cp:revision>
  <cp:lastPrinted>2013-10-03T12:51:00Z</cp:lastPrinted>
  <dcterms:created xsi:type="dcterms:W3CDTF">2022-11-17T16:58:00Z</dcterms:created>
  <dcterms:modified xsi:type="dcterms:W3CDTF">2024-10-03T09:12:00Z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