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B4B6" w14:textId="0F1FA1C9" w:rsidR="00E04262" w:rsidRPr="005E6836" w:rsidRDefault="006A31F6">
      <w:pPr>
        <w:rPr>
          <w:rFonts w:ascii="Times New Roman" w:hAnsi="Times New Roman" w:cs="Times New Roman"/>
        </w:rPr>
      </w:pPr>
      <w:r>
        <w:rPr>
          <w:rFonts w:ascii="Times New Roman" w:hAnsi="Times New Roman" w:cs="Times New Roman"/>
        </w:rPr>
        <w:t xml:space="preserve">Supplemental </w:t>
      </w:r>
      <w:r w:rsidR="00E04262" w:rsidRPr="005E6836">
        <w:rPr>
          <w:rFonts w:ascii="Times New Roman" w:hAnsi="Times New Roman" w:cs="Times New Roman"/>
        </w:rPr>
        <w:t>F</w:t>
      </w:r>
      <w:r>
        <w:rPr>
          <w:rFonts w:ascii="Times New Roman" w:hAnsi="Times New Roman" w:cs="Times New Roman"/>
        </w:rPr>
        <w:t>igure</w:t>
      </w:r>
      <w:r w:rsidR="00E04262" w:rsidRPr="005E6836">
        <w:rPr>
          <w:rFonts w:ascii="Times New Roman" w:hAnsi="Times New Roman" w:cs="Times New Roman"/>
        </w:rPr>
        <w:t xml:space="preserve"> 1</w:t>
      </w:r>
    </w:p>
    <w:p w14:paraId="551C3CC2" w14:textId="6EB1E4ED" w:rsidR="00E04262" w:rsidRDefault="00745C9A" w:rsidP="00717919">
      <w:pPr>
        <w:spacing w:after="0" w:line="240" w:lineRule="auto"/>
        <w:ind w:left="490"/>
      </w:pPr>
      <w:r>
        <w:rPr>
          <w:rFonts w:asciiTheme="majorHAnsi" w:hAnsiTheme="majorHAnsi" w:cs="Arial" w:hint="eastAsia"/>
          <w:b/>
          <w:bCs/>
        </w:rPr>
        <w:t xml:space="preserve">                          </w:t>
      </w:r>
      <w:r w:rsidR="00AE2E24">
        <w:t xml:space="preserve">                                                                      </w:t>
      </w:r>
      <w:r w:rsidR="003E7F0E">
        <w:t xml:space="preserve">            </w:t>
      </w:r>
    </w:p>
    <w:p w14:paraId="5090A296" w14:textId="727C2F42" w:rsidR="00AE2E24" w:rsidRDefault="000A1C6F">
      <w:r>
        <w:t xml:space="preserve">         </w:t>
      </w:r>
      <w:r w:rsidR="003E7F0E">
        <w:t xml:space="preserve">       </w:t>
      </w:r>
      <w:r w:rsidR="006A31F6">
        <w:t xml:space="preserve">           </w:t>
      </w:r>
      <w:r w:rsidR="003E7F0E">
        <w:t xml:space="preserve">     </w:t>
      </w:r>
      <w:r w:rsidR="00AE2E24">
        <w:t xml:space="preserve">  </w:t>
      </w:r>
      <w:r w:rsidR="00745C9A">
        <w:rPr>
          <w:noProof/>
        </w:rPr>
        <w:drawing>
          <wp:inline distT="0" distB="0" distL="0" distR="0" wp14:anchorId="212DE2A7" wp14:editId="74F5B6DD">
            <wp:extent cx="2749891" cy="2743200"/>
            <wp:effectExtent l="0" t="0" r="0" b="0"/>
            <wp:docPr id="12" name="图片 11" descr="图表&#10;&#10;描述已自动生成">
              <a:extLst xmlns:a="http://schemas.openxmlformats.org/drawingml/2006/main">
                <a:ext uri="{FF2B5EF4-FFF2-40B4-BE49-F238E27FC236}">
                  <a16:creationId xmlns:a16="http://schemas.microsoft.com/office/drawing/2014/main" id="{5576AB32-994C-2125-C3C4-26F8ACDA2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图表&#10;&#10;描述已自动生成">
                      <a:extLst>
                        <a:ext uri="{FF2B5EF4-FFF2-40B4-BE49-F238E27FC236}">
                          <a16:creationId xmlns:a16="http://schemas.microsoft.com/office/drawing/2014/main" id="{5576AB32-994C-2125-C3C4-26F8ACDA2DD3}"/>
                        </a:ext>
                      </a:extLst>
                    </pic:cNvPr>
                    <pic:cNvPicPr>
                      <a:picLocks noChangeAspect="1"/>
                    </pic:cNvPicPr>
                  </pic:nvPicPr>
                  <pic:blipFill>
                    <a:blip r:embed="rId7"/>
                    <a:stretch>
                      <a:fillRect/>
                    </a:stretch>
                  </pic:blipFill>
                  <pic:spPr>
                    <a:xfrm>
                      <a:off x="0" y="0"/>
                      <a:ext cx="2749891" cy="2743200"/>
                    </a:xfrm>
                    <a:prstGeom prst="rect">
                      <a:avLst/>
                    </a:prstGeom>
                  </pic:spPr>
                </pic:pic>
              </a:graphicData>
            </a:graphic>
          </wp:inline>
        </w:drawing>
      </w:r>
    </w:p>
    <w:p w14:paraId="078F4709" w14:textId="0708FEF6" w:rsidR="00873334" w:rsidRPr="00D05B4C" w:rsidRDefault="00AE2E24" w:rsidP="00717919">
      <w:pPr>
        <w:spacing w:before="240" w:after="0" w:line="240" w:lineRule="auto"/>
        <w:rPr>
          <w:b/>
          <w:bCs/>
        </w:rPr>
      </w:pPr>
      <w:r>
        <w:t xml:space="preserve">       </w:t>
      </w:r>
      <w:r w:rsidR="005E6836">
        <w:t xml:space="preserve"> </w:t>
      </w:r>
    </w:p>
    <w:p w14:paraId="1F4F0350" w14:textId="77777777" w:rsidR="00745C9A" w:rsidRPr="00745C9A" w:rsidRDefault="00745C9A" w:rsidP="00745C9A">
      <w:pPr>
        <w:rPr>
          <w:rFonts w:ascii="Times New Roman" w:hAnsi="Times New Roman" w:cs="Times New Roman"/>
        </w:rPr>
      </w:pPr>
      <w:r w:rsidRPr="00745C9A">
        <w:rPr>
          <w:rFonts w:ascii="Times New Roman" w:hAnsi="Times New Roman" w:cs="Times New Roman"/>
          <w:b/>
          <w:bCs/>
        </w:rPr>
        <w:t xml:space="preserve">Supplementary Figure 1. Correlation of eGR ratio with TGI </w:t>
      </w:r>
    </w:p>
    <w:p w14:paraId="353ED447" w14:textId="67F82D85" w:rsidR="002225BC" w:rsidRDefault="00745C9A" w:rsidP="00745C9A">
      <w:pPr>
        <w:rPr>
          <w:rFonts w:ascii="Times New Roman" w:hAnsi="Times New Roman" w:cs="Times New Roman"/>
        </w:rPr>
      </w:pPr>
      <w:r w:rsidRPr="00745C9A">
        <w:rPr>
          <w:rFonts w:ascii="Times New Roman" w:hAnsi="Times New Roman" w:cs="Times New Roman"/>
        </w:rPr>
        <w:t xml:space="preserve">The correlation between the two anti-tumor efficacy </w:t>
      </w:r>
      <w:r w:rsidRPr="00AD14E0">
        <w:rPr>
          <w:rFonts w:ascii="Times New Roman" w:hAnsi="Times New Roman" w:cs="Times New Roman"/>
        </w:rPr>
        <w:t>endpoints – the eGR ratio and TGI – across 23 CDX models was tested. The calculations for the two endpoints were detailed in the method</w:t>
      </w:r>
      <w:r w:rsidR="00586946">
        <w:rPr>
          <w:rFonts w:ascii="Times New Roman" w:hAnsi="Times New Roman" w:cs="Times New Roman"/>
        </w:rPr>
        <w:t>s</w:t>
      </w:r>
      <w:r w:rsidRPr="00AD14E0">
        <w:rPr>
          <w:rFonts w:ascii="Times New Roman" w:hAnsi="Times New Roman" w:cs="Times New Roman"/>
        </w:rPr>
        <w:t xml:space="preserve"> section. The x-axis represented the values of the median eGR ratio and the y axis represented the TGI values for each model. Each model was represented by a specific color for better separation. A significant inverse correlation was evident, with a Spearman correlation coefficient of -0.94 (</w:t>
      </w:r>
      <w:r w:rsidRPr="00AD14E0">
        <w:rPr>
          <w:rFonts w:ascii="Times New Roman" w:hAnsi="Times New Roman" w:cs="Times New Roman"/>
          <w:i/>
          <w:iCs/>
        </w:rPr>
        <w:t>p</w:t>
      </w:r>
      <w:r w:rsidRPr="00AD14E0">
        <w:rPr>
          <w:rFonts w:ascii="Times New Roman" w:hAnsi="Times New Roman" w:cs="Times New Roman"/>
        </w:rPr>
        <w:t xml:space="preserve"> &lt; 0.0001), indicating a strong negative association between the two endpoints. The abbreviations were: eGR, exponential growth rate; TGI, tumor growth inhibition; CDX, cell line-derived</w:t>
      </w:r>
      <w:r w:rsidRPr="00745C9A">
        <w:rPr>
          <w:rFonts w:ascii="Times New Roman" w:hAnsi="Times New Roman" w:cs="Times New Roman"/>
        </w:rPr>
        <w:t xml:space="preserve"> xenograft.</w:t>
      </w:r>
    </w:p>
    <w:p w14:paraId="031336CD" w14:textId="77777777" w:rsidR="002225BC" w:rsidRDefault="002225BC">
      <w:pPr>
        <w:rPr>
          <w:rFonts w:ascii="Times New Roman" w:hAnsi="Times New Roman" w:cs="Times New Roman"/>
        </w:rPr>
      </w:pPr>
      <w:r>
        <w:rPr>
          <w:rFonts w:ascii="Times New Roman" w:hAnsi="Times New Roman" w:cs="Times New Roman"/>
        </w:rPr>
        <w:br w:type="page"/>
      </w:r>
    </w:p>
    <w:p w14:paraId="71A47B8A" w14:textId="6A0BF53D" w:rsidR="002225BC" w:rsidRDefault="002225BC" w:rsidP="002225BC">
      <w:pPr>
        <w:rPr>
          <w:rFonts w:ascii="Times New Roman" w:hAnsi="Times New Roman" w:cs="Times New Roman"/>
        </w:rPr>
      </w:pPr>
      <w:r>
        <w:rPr>
          <w:rFonts w:ascii="Times New Roman" w:hAnsi="Times New Roman" w:cs="Times New Roman"/>
        </w:rPr>
        <w:lastRenderedPageBreak/>
        <w:t xml:space="preserve">Supplemental </w:t>
      </w:r>
      <w:r w:rsidRPr="005E6836">
        <w:rPr>
          <w:rFonts w:ascii="Times New Roman" w:hAnsi="Times New Roman" w:cs="Times New Roman"/>
        </w:rPr>
        <w:t>F</w:t>
      </w:r>
      <w:r>
        <w:rPr>
          <w:rFonts w:ascii="Times New Roman" w:hAnsi="Times New Roman" w:cs="Times New Roman"/>
        </w:rPr>
        <w:t>igure</w:t>
      </w:r>
      <w:r w:rsidRPr="005E6836">
        <w:rPr>
          <w:rFonts w:ascii="Times New Roman" w:hAnsi="Times New Roman" w:cs="Times New Roman"/>
        </w:rPr>
        <w:t xml:space="preserve"> </w:t>
      </w:r>
      <w:r w:rsidR="007223E4">
        <w:rPr>
          <w:rFonts w:ascii="Times New Roman" w:hAnsi="Times New Roman" w:cs="Times New Roman" w:hint="eastAsia"/>
        </w:rPr>
        <w:t>2</w:t>
      </w:r>
    </w:p>
    <w:p w14:paraId="2F568BBF" w14:textId="1006A4FF" w:rsidR="00CE6261" w:rsidRPr="00E82F1C" w:rsidRDefault="00CE6261" w:rsidP="002225BC">
      <w:pPr>
        <w:rPr>
          <w:rFonts w:ascii="Times New Roman" w:hAnsi="Times New Roman" w:cs="Times New Roman"/>
          <w:b/>
          <w:bCs/>
        </w:rPr>
      </w:pPr>
      <w:r w:rsidRPr="00E82F1C">
        <w:rPr>
          <w:rFonts w:ascii="Times New Roman" w:hAnsi="Times New Roman" w:cs="Times New Roman" w:hint="eastAsia"/>
          <w:b/>
          <w:bCs/>
        </w:rPr>
        <w:t>A</w:t>
      </w:r>
    </w:p>
    <w:p w14:paraId="36A5C8EB" w14:textId="54B9A122" w:rsidR="002225BC" w:rsidRPr="00B14375" w:rsidRDefault="002225BC">
      <w:pPr>
        <w:rPr>
          <w:rFonts w:ascii="Times New Roman" w:hAnsi="Times New Roman" w:cs="Times New Roman"/>
        </w:rPr>
      </w:pPr>
      <w:r>
        <w:rPr>
          <w:noProof/>
        </w:rPr>
        <w:drawing>
          <wp:inline distT="0" distB="0" distL="0" distR="0" wp14:anchorId="671C0866" wp14:editId="4E243F83">
            <wp:extent cx="5943600" cy="2122805"/>
            <wp:effectExtent l="0" t="0" r="0" b="0"/>
            <wp:docPr id="2019464765" name="图片 1"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4765" name="图片 1" descr="图表, 散点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22805"/>
                    </a:xfrm>
                    <a:prstGeom prst="rect">
                      <a:avLst/>
                    </a:prstGeom>
                    <a:noFill/>
                    <a:ln>
                      <a:noFill/>
                    </a:ln>
                  </pic:spPr>
                </pic:pic>
              </a:graphicData>
            </a:graphic>
          </wp:inline>
        </w:drawing>
      </w:r>
    </w:p>
    <w:p w14:paraId="62943BD8" w14:textId="6BC8C07B" w:rsidR="00CE6261" w:rsidRDefault="00CE6261" w:rsidP="00DC482C">
      <w:pPr>
        <w:tabs>
          <w:tab w:val="left" w:pos="4170"/>
        </w:tabs>
        <w:rPr>
          <w:rFonts w:ascii="Times New Roman" w:hAnsi="Times New Roman" w:cs="Times New Roman"/>
          <w:b/>
          <w:bCs/>
        </w:rPr>
      </w:pPr>
      <w:r>
        <w:rPr>
          <w:rFonts w:ascii="Times New Roman" w:hAnsi="Times New Roman" w:cs="Times New Roman" w:hint="eastAsia"/>
          <w:b/>
          <w:bCs/>
        </w:rPr>
        <w:t>B</w:t>
      </w:r>
    </w:p>
    <w:p w14:paraId="2FF4C17D" w14:textId="236818F8" w:rsidR="00CE6261" w:rsidRDefault="00CE6261" w:rsidP="00CE6261">
      <w:pPr>
        <w:tabs>
          <w:tab w:val="left" w:pos="4170"/>
        </w:tabs>
        <w:jc w:val="center"/>
        <w:rPr>
          <w:rFonts w:ascii="Times New Roman" w:hAnsi="Times New Roman" w:cs="Times New Roman"/>
          <w:b/>
          <w:bCs/>
        </w:rPr>
      </w:pPr>
      <w:r>
        <w:rPr>
          <w:noProof/>
        </w:rPr>
        <w:drawing>
          <wp:inline distT="0" distB="0" distL="0" distR="0" wp14:anchorId="6B92B077" wp14:editId="1B054555">
            <wp:extent cx="3291840" cy="2743200"/>
            <wp:effectExtent l="0" t="0" r="3810" b="0"/>
            <wp:docPr id="1352282513"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82513" name="图片 1" descr="图表, 条形图&#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2743200"/>
                    </a:xfrm>
                    <a:prstGeom prst="rect">
                      <a:avLst/>
                    </a:prstGeom>
                    <a:noFill/>
                    <a:ln>
                      <a:noFill/>
                    </a:ln>
                  </pic:spPr>
                </pic:pic>
              </a:graphicData>
            </a:graphic>
          </wp:inline>
        </w:drawing>
      </w:r>
    </w:p>
    <w:p w14:paraId="53F773FF" w14:textId="7F2314B6" w:rsidR="00DC482C" w:rsidRDefault="00DC482C" w:rsidP="00DC482C">
      <w:pPr>
        <w:tabs>
          <w:tab w:val="left" w:pos="4170"/>
        </w:tabs>
        <w:rPr>
          <w:rFonts w:ascii="Times New Roman" w:hAnsi="Times New Roman" w:cs="Times New Roman"/>
        </w:rPr>
      </w:pPr>
      <w:r w:rsidRPr="00086AC2">
        <w:rPr>
          <w:rFonts w:ascii="Times New Roman" w:hAnsi="Times New Roman" w:cs="Times New Roman"/>
          <w:b/>
          <w:bCs/>
        </w:rPr>
        <w:t xml:space="preserve">Supplementary Figure </w:t>
      </w:r>
      <w:r w:rsidR="00B67817">
        <w:rPr>
          <w:rFonts w:ascii="Times New Roman" w:hAnsi="Times New Roman" w:cs="Times New Roman" w:hint="eastAsia"/>
          <w:b/>
          <w:bCs/>
        </w:rPr>
        <w:t>2</w:t>
      </w:r>
      <w:r w:rsidRPr="00086AC2">
        <w:rPr>
          <w:rFonts w:ascii="Times New Roman" w:hAnsi="Times New Roman" w:cs="Times New Roman"/>
          <w:b/>
          <w:bCs/>
        </w:rPr>
        <w:t xml:space="preserve">. </w:t>
      </w:r>
      <w:r>
        <w:rPr>
          <w:rFonts w:ascii="Times New Roman" w:hAnsi="Times New Roman" w:cs="Times New Roman" w:hint="eastAsia"/>
          <w:b/>
          <w:bCs/>
        </w:rPr>
        <w:t>The e</w:t>
      </w:r>
      <w:r w:rsidRPr="00FC66F0">
        <w:rPr>
          <w:rFonts w:ascii="Times New Roman" w:hAnsi="Times New Roman" w:cs="Times New Roman"/>
          <w:b/>
          <w:bCs/>
        </w:rPr>
        <w:t xml:space="preserve">xpression </w:t>
      </w:r>
      <w:r>
        <w:rPr>
          <w:rFonts w:ascii="Times New Roman" w:hAnsi="Times New Roman" w:cs="Times New Roman" w:hint="eastAsia"/>
          <w:b/>
          <w:bCs/>
        </w:rPr>
        <w:t>l</w:t>
      </w:r>
      <w:r w:rsidRPr="00FC66F0">
        <w:rPr>
          <w:rFonts w:ascii="Times New Roman" w:hAnsi="Times New Roman" w:cs="Times New Roman"/>
          <w:b/>
          <w:bCs/>
        </w:rPr>
        <w:t xml:space="preserve">evels </w:t>
      </w:r>
      <w:r w:rsidR="00E936F2">
        <w:rPr>
          <w:rFonts w:ascii="Times New Roman" w:hAnsi="Times New Roman" w:cs="Times New Roman" w:hint="eastAsia"/>
          <w:b/>
          <w:bCs/>
        </w:rPr>
        <w:t xml:space="preserve">and weight </w:t>
      </w:r>
      <w:r w:rsidRPr="00FC66F0">
        <w:rPr>
          <w:rFonts w:ascii="Times New Roman" w:hAnsi="Times New Roman" w:cs="Times New Roman"/>
          <w:b/>
          <w:bCs/>
        </w:rPr>
        <w:t xml:space="preserve">of </w:t>
      </w:r>
      <w:r>
        <w:rPr>
          <w:rFonts w:ascii="Times New Roman" w:hAnsi="Times New Roman" w:cs="Times New Roman" w:hint="eastAsia"/>
          <w:b/>
          <w:bCs/>
        </w:rPr>
        <w:t>p</w:t>
      </w:r>
      <w:r w:rsidRPr="00FC66F0">
        <w:rPr>
          <w:rFonts w:ascii="Times New Roman" w:hAnsi="Times New Roman" w:cs="Times New Roman"/>
          <w:b/>
          <w:bCs/>
        </w:rPr>
        <w:t xml:space="preserve">redictor </w:t>
      </w:r>
      <w:r>
        <w:rPr>
          <w:rFonts w:ascii="Times New Roman" w:hAnsi="Times New Roman" w:cs="Times New Roman" w:hint="eastAsia"/>
          <w:b/>
          <w:bCs/>
        </w:rPr>
        <w:t>g</w:t>
      </w:r>
      <w:r w:rsidRPr="00FC66F0">
        <w:rPr>
          <w:rFonts w:ascii="Times New Roman" w:hAnsi="Times New Roman" w:cs="Times New Roman"/>
          <w:b/>
          <w:bCs/>
        </w:rPr>
        <w:t xml:space="preserve">enes </w:t>
      </w:r>
      <w:r w:rsidR="00E936F2">
        <w:rPr>
          <w:rFonts w:ascii="Times New Roman" w:hAnsi="Times New Roman" w:cs="Times New Roman" w:hint="eastAsia"/>
          <w:b/>
          <w:bCs/>
        </w:rPr>
        <w:t xml:space="preserve">in LPS </w:t>
      </w:r>
      <w:r w:rsidRPr="00FC66F0">
        <w:rPr>
          <w:rFonts w:ascii="Times New Roman" w:hAnsi="Times New Roman" w:cs="Times New Roman"/>
          <w:b/>
          <w:bCs/>
        </w:rPr>
        <w:t xml:space="preserve">for </w:t>
      </w:r>
      <w:r>
        <w:rPr>
          <w:rFonts w:ascii="Times New Roman" w:hAnsi="Times New Roman" w:cs="Times New Roman" w:hint="eastAsia"/>
          <w:b/>
          <w:bCs/>
        </w:rPr>
        <w:t>t</w:t>
      </w:r>
      <w:r w:rsidRPr="00FC66F0">
        <w:rPr>
          <w:rFonts w:ascii="Times New Roman" w:hAnsi="Times New Roman" w:cs="Times New Roman"/>
          <w:b/>
          <w:bCs/>
        </w:rPr>
        <w:t xml:space="preserve">raining CDX </w:t>
      </w:r>
      <w:r>
        <w:rPr>
          <w:rFonts w:ascii="Times New Roman" w:hAnsi="Times New Roman" w:cs="Times New Roman" w:hint="eastAsia"/>
          <w:b/>
          <w:bCs/>
        </w:rPr>
        <w:t>m</w:t>
      </w:r>
      <w:r w:rsidRPr="00FC66F0">
        <w:rPr>
          <w:rFonts w:ascii="Times New Roman" w:hAnsi="Times New Roman" w:cs="Times New Roman"/>
          <w:b/>
          <w:bCs/>
        </w:rPr>
        <w:t>odels</w:t>
      </w:r>
    </w:p>
    <w:p w14:paraId="5729ED6E" w14:textId="49B4E0F6" w:rsidR="00DC482C" w:rsidRPr="00CA6250" w:rsidRDefault="00A748ED" w:rsidP="00DC482C">
      <w:pPr>
        <w:spacing w:after="0" w:line="240" w:lineRule="auto"/>
        <w:rPr>
          <w:rFonts w:ascii="Times New Roman" w:hAnsi="Times New Roman" w:cs="Times New Roman"/>
        </w:rPr>
      </w:pPr>
      <w:r w:rsidRPr="00A748ED">
        <w:rPr>
          <w:rFonts w:ascii="Times New Roman" w:hAnsi="Times New Roman" w:cs="Times New Roman" w:hint="eastAsia"/>
          <w:b/>
          <w:bCs/>
        </w:rPr>
        <w:t>A.</w:t>
      </w:r>
      <w:r>
        <w:rPr>
          <w:rFonts w:ascii="Times New Roman" w:hAnsi="Times New Roman" w:cs="Times New Roman" w:hint="eastAsia"/>
        </w:rPr>
        <w:t xml:space="preserve"> </w:t>
      </w:r>
      <w:r w:rsidR="00DC482C" w:rsidRPr="006176AB">
        <w:rPr>
          <w:rFonts w:ascii="Times New Roman" w:hAnsi="Times New Roman" w:cs="Times New Roman"/>
        </w:rPr>
        <w:t xml:space="preserve">Boxplot </w:t>
      </w:r>
      <w:r w:rsidR="00DC482C" w:rsidRPr="00AD14E0">
        <w:rPr>
          <w:rFonts w:ascii="Times New Roman" w:hAnsi="Times New Roman" w:cs="Times New Roman"/>
        </w:rPr>
        <w:t>of the expression level of each predictor genes in the unit of log</w:t>
      </w:r>
      <w:r w:rsidR="00DC482C" w:rsidRPr="00AD14E0">
        <w:rPr>
          <w:rFonts w:ascii="Times New Roman" w:hAnsi="Times New Roman" w:cs="Times New Roman"/>
          <w:vertAlign w:val="subscript"/>
        </w:rPr>
        <w:t>2</w:t>
      </w:r>
      <w:r w:rsidR="00DC482C" w:rsidRPr="00AD14E0">
        <w:rPr>
          <w:rFonts w:ascii="Times New Roman" w:hAnsi="Times New Roman" w:cs="Times New Roman"/>
        </w:rPr>
        <w:t xml:space="preserve"> TPM in the training samples, separated by response class.</w:t>
      </w:r>
      <w:r w:rsidR="00DC482C" w:rsidRPr="00AD14E0">
        <w:rPr>
          <w:rFonts w:ascii="Times New Roman" w:hAnsi="Times New Roman" w:cs="Times New Roman"/>
          <w:b/>
          <w:bCs/>
        </w:rPr>
        <w:t xml:space="preserve"> </w:t>
      </w:r>
      <w:r w:rsidRPr="00AD14E0">
        <w:rPr>
          <w:rFonts w:ascii="Times New Roman" w:hAnsi="Times New Roman" w:cs="Times New Roman" w:hint="eastAsia"/>
          <w:b/>
          <w:bCs/>
        </w:rPr>
        <w:t xml:space="preserve">B. </w:t>
      </w:r>
      <w:r w:rsidRPr="00AD14E0">
        <w:rPr>
          <w:rFonts w:ascii="Times New Roman" w:hAnsi="Times New Roman" w:cs="Times New Roman"/>
        </w:rPr>
        <w:t>Bar plot of the weights of each predictor genes, ordered by decreasing value</w:t>
      </w:r>
      <w:r w:rsidRPr="00AD14E0">
        <w:rPr>
          <w:rFonts w:ascii="Times New Roman" w:hAnsi="Times New Roman" w:cs="Times New Roman" w:hint="eastAsia"/>
        </w:rPr>
        <w:t>, in the LPS model</w:t>
      </w:r>
      <w:r w:rsidRPr="00AD14E0">
        <w:rPr>
          <w:rFonts w:ascii="Times New Roman" w:hAnsi="Times New Roman" w:cs="Times New Roman"/>
        </w:rPr>
        <w:t xml:space="preserve">. </w:t>
      </w:r>
      <w:r w:rsidR="00DC482C" w:rsidRPr="00AD14E0">
        <w:rPr>
          <w:rFonts w:ascii="Times New Roman" w:hAnsi="Times New Roman" w:cs="Times New Roman"/>
        </w:rPr>
        <w:t xml:space="preserve">The abbreviations were: </w:t>
      </w:r>
      <w:r w:rsidR="00B726B5" w:rsidRPr="00AD14E0">
        <w:rPr>
          <w:rFonts w:ascii="Times New Roman" w:hAnsi="Times New Roman" w:cs="Times New Roman"/>
        </w:rPr>
        <w:t xml:space="preserve">LPS, linear prediction score; </w:t>
      </w:r>
      <w:r w:rsidR="00DC482C" w:rsidRPr="00AD14E0">
        <w:rPr>
          <w:rFonts w:ascii="Times New Roman" w:hAnsi="Times New Roman" w:cs="Times New Roman"/>
        </w:rPr>
        <w:t>CDX, cell line-derived xenograft</w:t>
      </w:r>
      <w:r w:rsidR="00DC482C" w:rsidRPr="00AD14E0">
        <w:rPr>
          <w:rFonts w:ascii="Times New Roman" w:hAnsi="Times New Roman" w:cs="Times New Roman" w:hint="eastAsia"/>
        </w:rPr>
        <w:t xml:space="preserve">; R: responsive models; PR, partial-responsive models; NR: non-responsive models; </w:t>
      </w:r>
      <w:r w:rsidR="00DC482C" w:rsidRPr="00AD14E0">
        <w:rPr>
          <w:rFonts w:ascii="Times New Roman" w:hAnsi="Times New Roman" w:cs="Times New Roman"/>
        </w:rPr>
        <w:t>The abbreviations for the genes</w:t>
      </w:r>
      <w:r w:rsidR="00DC482C" w:rsidRPr="00D451A5">
        <w:rPr>
          <w:rFonts w:ascii="Times New Roman" w:hAnsi="Times New Roman" w:cs="Times New Roman"/>
        </w:rPr>
        <w:t xml:space="preserve">: </w:t>
      </w:r>
      <w:r w:rsidR="00DC482C" w:rsidRPr="00D451A5">
        <w:rPr>
          <w:rFonts w:ascii="Times New Roman" w:hAnsi="Times New Roman" w:cs="Times New Roman"/>
          <w:i/>
          <w:iCs/>
        </w:rPr>
        <w:t xml:space="preserve">VEGFA, </w:t>
      </w:r>
      <w:r w:rsidR="00DC482C" w:rsidRPr="00D451A5">
        <w:rPr>
          <w:rFonts w:ascii="Times New Roman" w:hAnsi="Times New Roman" w:cs="Times New Roman"/>
        </w:rPr>
        <w:t>Vascular Endothelial Growth Factor A gene</w:t>
      </w:r>
      <w:r w:rsidR="00DC482C" w:rsidRPr="00D451A5">
        <w:rPr>
          <w:rFonts w:ascii="Times New Roman" w:hAnsi="Times New Roman" w:cs="Times New Roman"/>
          <w:i/>
          <w:iCs/>
        </w:rPr>
        <w:t xml:space="preserve">; EGFR, </w:t>
      </w:r>
      <w:r w:rsidR="00DC482C" w:rsidRPr="00D451A5">
        <w:rPr>
          <w:rFonts w:ascii="Times New Roman" w:hAnsi="Times New Roman" w:cs="Times New Roman"/>
        </w:rPr>
        <w:t>Epidermal Growth Factor Receptor gene</w:t>
      </w:r>
      <w:r w:rsidR="00DC482C" w:rsidRPr="00D451A5">
        <w:rPr>
          <w:rFonts w:ascii="Times New Roman" w:hAnsi="Times New Roman" w:cs="Times New Roman"/>
          <w:i/>
          <w:iCs/>
        </w:rPr>
        <w:t xml:space="preserve">; CEP290, </w:t>
      </w:r>
      <w:r w:rsidR="00DC482C" w:rsidRPr="00D451A5">
        <w:rPr>
          <w:rFonts w:ascii="Times New Roman" w:hAnsi="Times New Roman" w:cs="Times New Roman"/>
        </w:rPr>
        <w:t>Centrosomal Protein 290 gene</w:t>
      </w:r>
      <w:r w:rsidR="00DC482C" w:rsidRPr="00D451A5">
        <w:rPr>
          <w:rFonts w:ascii="Times New Roman" w:hAnsi="Times New Roman" w:cs="Times New Roman"/>
          <w:i/>
          <w:iCs/>
        </w:rPr>
        <w:t xml:space="preserve">;  IGF1R, </w:t>
      </w:r>
      <w:r w:rsidR="00DC482C" w:rsidRPr="00D451A5">
        <w:rPr>
          <w:rFonts w:ascii="Times New Roman" w:hAnsi="Times New Roman" w:cs="Times New Roman"/>
        </w:rPr>
        <w:t>Insulin-Like Growth Factor 1 Receptor gene</w:t>
      </w:r>
      <w:r w:rsidR="00DC482C" w:rsidRPr="00D451A5">
        <w:rPr>
          <w:rFonts w:ascii="Times New Roman" w:hAnsi="Times New Roman" w:cs="Times New Roman"/>
          <w:i/>
          <w:iCs/>
        </w:rPr>
        <w:t>;</w:t>
      </w:r>
      <w:r w:rsidR="00DC482C" w:rsidRPr="00D451A5">
        <w:rPr>
          <w:rFonts w:ascii="Times New Roman" w:hAnsi="Times New Roman" w:cs="Times New Roman"/>
        </w:rPr>
        <w:t xml:space="preserve"> </w:t>
      </w:r>
      <w:r w:rsidR="00DC482C" w:rsidRPr="00D451A5">
        <w:rPr>
          <w:rFonts w:ascii="Times New Roman" w:hAnsi="Times New Roman" w:cs="Times New Roman"/>
          <w:i/>
          <w:iCs/>
        </w:rPr>
        <w:t xml:space="preserve">OSMR, </w:t>
      </w:r>
      <w:r w:rsidR="00DC482C" w:rsidRPr="00D451A5">
        <w:rPr>
          <w:rFonts w:ascii="Times New Roman" w:hAnsi="Times New Roman" w:cs="Times New Roman"/>
        </w:rPr>
        <w:t>oncostatin M receptor gene</w:t>
      </w:r>
      <w:r w:rsidR="00DC482C" w:rsidRPr="00D451A5">
        <w:rPr>
          <w:rFonts w:ascii="Times New Roman" w:hAnsi="Times New Roman" w:cs="Times New Roman"/>
          <w:i/>
          <w:iCs/>
        </w:rPr>
        <w:t xml:space="preserve">; AREG, </w:t>
      </w:r>
      <w:r w:rsidR="00DC482C" w:rsidRPr="00D451A5">
        <w:rPr>
          <w:rFonts w:ascii="Times New Roman" w:hAnsi="Times New Roman" w:cs="Times New Roman"/>
        </w:rPr>
        <w:t>Amphiregulin gene</w:t>
      </w:r>
      <w:r w:rsidR="00DC482C" w:rsidRPr="00D451A5">
        <w:rPr>
          <w:rFonts w:ascii="Times New Roman" w:hAnsi="Times New Roman" w:cs="Times New Roman"/>
          <w:i/>
          <w:iCs/>
        </w:rPr>
        <w:t xml:space="preserve">; FN1, </w:t>
      </w:r>
      <w:r w:rsidR="00DC482C" w:rsidRPr="00D451A5">
        <w:rPr>
          <w:rFonts w:ascii="Times New Roman" w:hAnsi="Times New Roman" w:cs="Times New Roman"/>
        </w:rPr>
        <w:t>Fibronectin 1 gene</w:t>
      </w:r>
      <w:r w:rsidR="00DC482C" w:rsidRPr="00D451A5">
        <w:rPr>
          <w:rFonts w:ascii="Times New Roman" w:hAnsi="Times New Roman" w:cs="Times New Roman"/>
          <w:i/>
          <w:iCs/>
        </w:rPr>
        <w:t xml:space="preserve">; ITGA5, </w:t>
      </w:r>
      <w:r w:rsidR="00DC482C" w:rsidRPr="00D451A5">
        <w:rPr>
          <w:rFonts w:ascii="Times New Roman" w:hAnsi="Times New Roman" w:cs="Times New Roman"/>
        </w:rPr>
        <w:t>Integrin Subunit Alpha 5 gene</w:t>
      </w:r>
      <w:r w:rsidR="00DC482C" w:rsidRPr="00D451A5">
        <w:rPr>
          <w:rFonts w:ascii="Times New Roman" w:hAnsi="Times New Roman" w:cs="Times New Roman"/>
          <w:i/>
          <w:iCs/>
        </w:rPr>
        <w:t xml:space="preserve">; </w:t>
      </w:r>
      <w:r w:rsidR="00DC482C" w:rsidRPr="00D451A5">
        <w:rPr>
          <w:rFonts w:ascii="Times New Roman" w:hAnsi="Times New Roman" w:cs="Times New Roman"/>
          <w:i/>
          <w:iCs/>
          <w:lang w:val="pt-BR"/>
        </w:rPr>
        <w:t xml:space="preserve">ICAM-1, </w:t>
      </w:r>
      <w:r w:rsidR="00DC482C" w:rsidRPr="00D451A5">
        <w:rPr>
          <w:rFonts w:ascii="Times New Roman" w:hAnsi="Times New Roman" w:cs="Times New Roman"/>
          <w:lang w:val="pt-BR"/>
        </w:rPr>
        <w:t>Intracellular adhesion molecule-1 gene</w:t>
      </w:r>
      <w:r w:rsidR="00DC482C" w:rsidRPr="00D451A5">
        <w:rPr>
          <w:rFonts w:ascii="Times New Roman" w:hAnsi="Times New Roman" w:cs="Times New Roman"/>
          <w:i/>
          <w:iCs/>
        </w:rPr>
        <w:t xml:space="preserve">; RUNX1, </w:t>
      </w:r>
      <w:r w:rsidR="00DC482C" w:rsidRPr="00D451A5">
        <w:rPr>
          <w:rFonts w:ascii="Times New Roman" w:hAnsi="Times New Roman" w:cs="Times New Roman"/>
        </w:rPr>
        <w:t xml:space="preserve">Runt-related transcription factor </w:t>
      </w:r>
      <w:r w:rsidR="00DC482C" w:rsidRPr="00D451A5">
        <w:rPr>
          <w:rFonts w:ascii="Times New Roman" w:hAnsi="Times New Roman" w:cs="Times New Roman"/>
        </w:rPr>
        <w:lastRenderedPageBreak/>
        <w:t>1</w:t>
      </w:r>
      <w:r w:rsidR="00DC482C" w:rsidRPr="00D451A5">
        <w:rPr>
          <w:rFonts w:ascii="Times New Roman" w:hAnsi="Times New Roman" w:cs="Times New Roman"/>
          <w:i/>
          <w:iCs/>
        </w:rPr>
        <w:t xml:space="preserve"> </w:t>
      </w:r>
      <w:r w:rsidR="00DC482C" w:rsidRPr="00D451A5">
        <w:rPr>
          <w:rFonts w:ascii="Times New Roman" w:hAnsi="Times New Roman" w:cs="Times New Roman"/>
        </w:rPr>
        <w:t>gene</w:t>
      </w:r>
      <w:r w:rsidR="00DC482C">
        <w:rPr>
          <w:rFonts w:ascii="Times New Roman" w:hAnsi="Times New Roman" w:cs="Times New Roman" w:hint="eastAsia"/>
        </w:rPr>
        <w:t>;</w:t>
      </w:r>
      <w:r w:rsidR="00DC482C" w:rsidRPr="003221E8">
        <w:rPr>
          <w:rFonts w:ascii="Times New Roman" w:hAnsi="Times New Roman" w:cs="Times New Roman"/>
          <w:i/>
          <w:iCs/>
        </w:rPr>
        <w:t xml:space="preserve"> </w:t>
      </w:r>
      <w:r w:rsidR="00DC482C" w:rsidRPr="00CA6250">
        <w:rPr>
          <w:rFonts w:ascii="Times New Roman" w:hAnsi="Times New Roman" w:cs="Times New Roman"/>
          <w:i/>
          <w:iCs/>
        </w:rPr>
        <w:t xml:space="preserve">FGFR1, </w:t>
      </w:r>
      <w:r w:rsidR="00DC482C" w:rsidRPr="00CA6250">
        <w:rPr>
          <w:rFonts w:ascii="Times New Roman" w:hAnsi="Times New Roman" w:cs="Times New Roman"/>
        </w:rPr>
        <w:t>Fibroblast Growth Factor Receptor 1 gene</w:t>
      </w:r>
      <w:r w:rsidR="00DC482C" w:rsidRPr="00CA6250">
        <w:rPr>
          <w:rFonts w:ascii="Times New Roman" w:hAnsi="Times New Roman" w:cs="Times New Roman"/>
          <w:i/>
          <w:iCs/>
        </w:rPr>
        <w:t xml:space="preserve">; PTK2, </w:t>
      </w:r>
      <w:r w:rsidR="00DC482C" w:rsidRPr="00CA6250">
        <w:rPr>
          <w:rFonts w:ascii="Times New Roman" w:hAnsi="Times New Roman" w:cs="Times New Roman"/>
        </w:rPr>
        <w:t>nonreceptor protein tyrosine kinase 2 gene</w:t>
      </w:r>
      <w:r w:rsidR="00DC482C" w:rsidRPr="00CA6250">
        <w:rPr>
          <w:rFonts w:ascii="Times New Roman" w:hAnsi="Times New Roman" w:cs="Times New Roman"/>
          <w:i/>
          <w:iCs/>
        </w:rPr>
        <w:t xml:space="preserve">; STMN1, </w:t>
      </w:r>
      <w:r w:rsidR="00DC482C" w:rsidRPr="00CA6250">
        <w:rPr>
          <w:rFonts w:ascii="Times New Roman" w:hAnsi="Times New Roman" w:cs="Times New Roman"/>
        </w:rPr>
        <w:t>Stathmin 1 gene</w:t>
      </w:r>
      <w:r w:rsidR="00DC482C" w:rsidRPr="00CA6250">
        <w:rPr>
          <w:rFonts w:ascii="Times New Roman" w:hAnsi="Times New Roman" w:cs="Times New Roman"/>
          <w:i/>
          <w:iCs/>
        </w:rPr>
        <w:t xml:space="preserve">; GAB2, </w:t>
      </w:r>
      <w:r w:rsidR="00DC482C" w:rsidRPr="00CA6250">
        <w:rPr>
          <w:rFonts w:ascii="Times New Roman" w:hAnsi="Times New Roman" w:cs="Times New Roman"/>
        </w:rPr>
        <w:t>GRB2 Associated Binding Protein 2 gene</w:t>
      </w:r>
      <w:r w:rsidR="00DC482C" w:rsidRPr="00CA6250">
        <w:rPr>
          <w:rFonts w:ascii="Times New Roman" w:hAnsi="Times New Roman" w:cs="Times New Roman"/>
          <w:i/>
          <w:iCs/>
        </w:rPr>
        <w:t xml:space="preserve">; ITGB8, </w:t>
      </w:r>
      <w:r w:rsidR="00DC482C" w:rsidRPr="00CA6250">
        <w:rPr>
          <w:rFonts w:ascii="Times New Roman" w:hAnsi="Times New Roman" w:cs="Times New Roman"/>
        </w:rPr>
        <w:t>Integrin Subunit Beta 8 gene</w:t>
      </w:r>
      <w:r w:rsidR="00DC482C" w:rsidRPr="00CA6250">
        <w:rPr>
          <w:rFonts w:ascii="Times New Roman" w:hAnsi="Times New Roman" w:cs="Times New Roman"/>
          <w:i/>
          <w:iCs/>
        </w:rPr>
        <w:t xml:space="preserve">; PEBP1, </w:t>
      </w:r>
      <w:r w:rsidR="00DC482C" w:rsidRPr="00CA6250">
        <w:rPr>
          <w:rFonts w:ascii="Times New Roman" w:hAnsi="Times New Roman" w:cs="Times New Roman"/>
        </w:rPr>
        <w:t>Phosphatidylethanolamine-binding protein 1 gene</w:t>
      </w:r>
      <w:r w:rsidR="00DC482C" w:rsidRPr="00CA6250">
        <w:rPr>
          <w:rFonts w:ascii="Times New Roman" w:hAnsi="Times New Roman" w:cs="Times New Roman"/>
          <w:i/>
          <w:iCs/>
        </w:rPr>
        <w:t xml:space="preserve">; PPP1CC, </w:t>
      </w:r>
      <w:r w:rsidR="00DC482C" w:rsidRPr="00CA6250">
        <w:rPr>
          <w:rFonts w:ascii="Times New Roman" w:hAnsi="Times New Roman" w:cs="Times New Roman"/>
        </w:rPr>
        <w:t>serine/threonine-protein phosphatase PP1-gamma catalytic subunit gene</w:t>
      </w:r>
      <w:r w:rsidR="00DC482C" w:rsidRPr="00CA6250">
        <w:rPr>
          <w:rFonts w:ascii="Times New Roman" w:hAnsi="Times New Roman" w:cs="Times New Roman"/>
          <w:i/>
          <w:iCs/>
        </w:rPr>
        <w:t xml:space="preserve">; TFEB, </w:t>
      </w:r>
      <w:r w:rsidR="00DC482C" w:rsidRPr="00CA6250">
        <w:rPr>
          <w:rFonts w:ascii="Times New Roman" w:hAnsi="Times New Roman" w:cs="Times New Roman"/>
        </w:rPr>
        <w:t>Transcription factor EB gene</w:t>
      </w:r>
      <w:r w:rsidR="00DC482C" w:rsidRPr="00CA6250">
        <w:rPr>
          <w:rFonts w:ascii="Times New Roman" w:hAnsi="Times New Roman" w:cs="Times New Roman"/>
          <w:i/>
          <w:iCs/>
        </w:rPr>
        <w:t xml:space="preserve">; IGFBP3, </w:t>
      </w:r>
      <w:r w:rsidR="00DC482C" w:rsidRPr="00CA6250">
        <w:rPr>
          <w:rFonts w:ascii="Times New Roman" w:hAnsi="Times New Roman" w:cs="Times New Roman"/>
        </w:rPr>
        <w:t>Insulin Like Growth Factor Binding Protein 3 gene</w:t>
      </w:r>
      <w:r w:rsidR="00DC482C" w:rsidRPr="00CA6250">
        <w:rPr>
          <w:rFonts w:ascii="Times New Roman" w:hAnsi="Times New Roman" w:cs="Times New Roman"/>
          <w:i/>
          <w:iCs/>
        </w:rPr>
        <w:t xml:space="preserve">; c-Met, </w:t>
      </w:r>
      <w:r w:rsidR="00DC482C" w:rsidRPr="00CA6250">
        <w:rPr>
          <w:rFonts w:ascii="Times New Roman" w:hAnsi="Times New Roman" w:cs="Times New Roman"/>
        </w:rPr>
        <w:t>MET Proto-Oncogene</w:t>
      </w:r>
      <w:r w:rsidR="00DC482C" w:rsidRPr="00CA6250">
        <w:rPr>
          <w:rFonts w:ascii="Times New Roman" w:hAnsi="Times New Roman" w:cs="Times New Roman"/>
          <w:i/>
          <w:iCs/>
        </w:rPr>
        <w:t xml:space="preserve"> </w:t>
      </w:r>
      <w:r w:rsidR="00DC482C" w:rsidRPr="00CA6250">
        <w:rPr>
          <w:rFonts w:ascii="Times New Roman" w:hAnsi="Times New Roman" w:cs="Times New Roman"/>
        </w:rPr>
        <w:t>gene.</w:t>
      </w:r>
    </w:p>
    <w:p w14:paraId="05820B13" w14:textId="7E866F19" w:rsidR="000D6A79" w:rsidRDefault="000D6A79">
      <w:pPr>
        <w:rPr>
          <w:rFonts w:ascii="Times New Roman" w:hAnsi="Times New Roman" w:cs="Times New Roman"/>
        </w:rPr>
      </w:pPr>
    </w:p>
    <w:p w14:paraId="1D8C6864" w14:textId="77777777" w:rsidR="00A90D73" w:rsidRDefault="00A90D73">
      <w:pPr>
        <w:rPr>
          <w:rFonts w:ascii="Times New Roman" w:hAnsi="Times New Roman" w:cs="Times New Roman"/>
        </w:rPr>
      </w:pPr>
      <w:r>
        <w:rPr>
          <w:rFonts w:ascii="Times New Roman" w:hAnsi="Times New Roman" w:cs="Times New Roman"/>
        </w:rPr>
        <w:br w:type="page"/>
      </w:r>
    </w:p>
    <w:p w14:paraId="1B990616" w14:textId="77777777" w:rsidR="00FB121C" w:rsidRPr="000D6A79" w:rsidRDefault="00FB121C" w:rsidP="00FB121C">
      <w:pPr>
        <w:rPr>
          <w:rFonts w:ascii="Times New Roman" w:hAnsi="Times New Roman" w:cs="Times New Roman"/>
        </w:rPr>
      </w:pPr>
      <w:r>
        <w:rPr>
          <w:rFonts w:ascii="Times New Roman" w:hAnsi="Times New Roman" w:cs="Times New Roman"/>
        </w:rPr>
        <w:lastRenderedPageBreak/>
        <w:t xml:space="preserve">Supplemental </w:t>
      </w:r>
      <w:r w:rsidRPr="005E6836">
        <w:rPr>
          <w:rFonts w:ascii="Times New Roman" w:hAnsi="Times New Roman" w:cs="Times New Roman"/>
        </w:rPr>
        <w:t>F</w:t>
      </w:r>
      <w:r>
        <w:rPr>
          <w:rFonts w:ascii="Times New Roman" w:hAnsi="Times New Roman" w:cs="Times New Roman"/>
        </w:rPr>
        <w:t>igure</w:t>
      </w:r>
      <w:r w:rsidRPr="005E6836">
        <w:rPr>
          <w:rFonts w:ascii="Times New Roman" w:hAnsi="Times New Roman" w:cs="Times New Roman"/>
        </w:rPr>
        <w:t xml:space="preserve"> </w:t>
      </w:r>
      <w:r>
        <w:rPr>
          <w:rFonts w:ascii="Times New Roman" w:hAnsi="Times New Roman" w:cs="Times New Roman" w:hint="eastAsia"/>
        </w:rPr>
        <w:t>3</w:t>
      </w:r>
      <w:r>
        <w:t xml:space="preserve">                             </w:t>
      </w:r>
    </w:p>
    <w:p w14:paraId="588B2812" w14:textId="77777777" w:rsidR="00FB121C" w:rsidRDefault="00FB121C" w:rsidP="00FB121C">
      <w:pPr>
        <w:spacing w:after="0" w:line="240" w:lineRule="auto"/>
        <w:ind w:left="490"/>
      </w:pPr>
      <w:r>
        <w:t xml:space="preserve">                                                   </w:t>
      </w:r>
    </w:p>
    <w:p w14:paraId="6D8D2F93" w14:textId="77777777" w:rsidR="00FB121C" w:rsidRDefault="00FB121C" w:rsidP="00FB121C">
      <w:pPr>
        <w:jc w:val="center"/>
      </w:pPr>
      <w:r>
        <w:rPr>
          <w:noProof/>
        </w:rPr>
        <w:drawing>
          <wp:inline distT="0" distB="0" distL="0" distR="0" wp14:anchorId="7CACC5B9" wp14:editId="0B2A3E0D">
            <wp:extent cx="2756680" cy="2743200"/>
            <wp:effectExtent l="0" t="0" r="5715" b="0"/>
            <wp:docPr id="3" name="图片 2" descr="图表, 散点图&#10;&#10;描述已自动生成">
              <a:extLst xmlns:a="http://schemas.openxmlformats.org/drawingml/2006/main">
                <a:ext uri="{FF2B5EF4-FFF2-40B4-BE49-F238E27FC236}">
                  <a16:creationId xmlns:a16="http://schemas.microsoft.com/office/drawing/2014/main" id="{2B21E991-D7E2-F0FC-61A4-7F2D033F3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表, 散点图&#10;&#10;描述已自动生成">
                      <a:extLst>
                        <a:ext uri="{FF2B5EF4-FFF2-40B4-BE49-F238E27FC236}">
                          <a16:creationId xmlns:a16="http://schemas.microsoft.com/office/drawing/2014/main" id="{2B21E991-D7E2-F0FC-61A4-7F2D033F3E39}"/>
                        </a:ext>
                      </a:extLst>
                    </pic:cNvPr>
                    <pic:cNvPicPr>
                      <a:picLocks noChangeAspect="1"/>
                    </pic:cNvPicPr>
                  </pic:nvPicPr>
                  <pic:blipFill>
                    <a:blip r:embed="rId10"/>
                    <a:stretch>
                      <a:fillRect/>
                    </a:stretch>
                  </pic:blipFill>
                  <pic:spPr>
                    <a:xfrm>
                      <a:off x="0" y="0"/>
                      <a:ext cx="2756680" cy="2743200"/>
                    </a:xfrm>
                    <a:prstGeom prst="rect">
                      <a:avLst/>
                    </a:prstGeom>
                  </pic:spPr>
                </pic:pic>
              </a:graphicData>
            </a:graphic>
          </wp:inline>
        </w:drawing>
      </w:r>
    </w:p>
    <w:p w14:paraId="5C670FF7" w14:textId="77777777" w:rsidR="00FB121C" w:rsidRDefault="00FB121C" w:rsidP="00FB121C">
      <w:pPr>
        <w:spacing w:after="0" w:line="240" w:lineRule="auto"/>
        <w:ind w:left="490"/>
      </w:pPr>
      <w:r>
        <w:t xml:space="preserve">                                                                                </w:t>
      </w:r>
    </w:p>
    <w:p w14:paraId="78DC506B" w14:textId="77777777" w:rsidR="00FB121C" w:rsidRPr="00086AC2" w:rsidRDefault="00FB121C" w:rsidP="00FB121C">
      <w:pPr>
        <w:rPr>
          <w:rFonts w:ascii="Times New Roman" w:hAnsi="Times New Roman" w:cs="Times New Roman"/>
        </w:rPr>
      </w:pPr>
      <w:r w:rsidRPr="00086AC2">
        <w:rPr>
          <w:rFonts w:ascii="Times New Roman" w:hAnsi="Times New Roman" w:cs="Times New Roman"/>
          <w:b/>
          <w:bCs/>
        </w:rPr>
        <w:t xml:space="preserve">Supplementary Figure </w:t>
      </w:r>
      <w:r>
        <w:rPr>
          <w:rFonts w:ascii="Times New Roman" w:hAnsi="Times New Roman" w:cs="Times New Roman" w:hint="eastAsia"/>
          <w:b/>
          <w:bCs/>
        </w:rPr>
        <w:t>3</w:t>
      </w:r>
      <w:r w:rsidRPr="00086AC2">
        <w:rPr>
          <w:rFonts w:ascii="Times New Roman" w:hAnsi="Times New Roman" w:cs="Times New Roman"/>
          <w:b/>
          <w:bCs/>
        </w:rPr>
        <w:t>. Correlation of eGR ratio with LPS values</w:t>
      </w:r>
    </w:p>
    <w:p w14:paraId="370602F8" w14:textId="77777777" w:rsidR="00FB121C" w:rsidRDefault="00FB121C" w:rsidP="00FB121C">
      <w:pPr>
        <w:rPr>
          <w:rFonts w:ascii="Times New Roman" w:hAnsi="Times New Roman" w:cs="Times New Roman"/>
        </w:rPr>
      </w:pPr>
      <w:r w:rsidRPr="00086AC2">
        <w:rPr>
          <w:rFonts w:ascii="Times New Roman" w:hAnsi="Times New Roman" w:cs="Times New Roman"/>
        </w:rPr>
        <w:t>The correlation between the eGR ratio and LPS across 23 CDX models was tested. The calculations for these parameters were detailed in the method section. The x-axis represented the LPS values and y-axis represented the eGR ratio for each model. Each model was represented by a specific color for better separation. A significant inverse correlation was evident, with a Spearman correlation coefficient of -0.79 (</w:t>
      </w:r>
      <w:r w:rsidRPr="00086AC2">
        <w:rPr>
          <w:rFonts w:ascii="Times New Roman" w:hAnsi="Times New Roman" w:cs="Times New Roman"/>
          <w:i/>
          <w:iCs/>
        </w:rPr>
        <w:t>p</w:t>
      </w:r>
      <w:r w:rsidRPr="00086AC2">
        <w:rPr>
          <w:rFonts w:ascii="Times New Roman" w:hAnsi="Times New Roman" w:cs="Times New Roman"/>
        </w:rPr>
        <w:t xml:space="preserve"> &lt; 0.0001), indicating a significant negative association between the LPS value and efficacy endpoint. The abbreviations were: eGR, exponential growth rate; LPS, linear prediction score; CDX, cell line-derived xenograft</w:t>
      </w:r>
    </w:p>
    <w:p w14:paraId="6E92510B" w14:textId="77777777" w:rsidR="004751E6" w:rsidRDefault="004751E6">
      <w:pPr>
        <w:rPr>
          <w:rFonts w:ascii="Times New Roman" w:hAnsi="Times New Roman" w:cs="Times New Roman"/>
        </w:rPr>
      </w:pPr>
    </w:p>
    <w:p w14:paraId="46E3DDDF" w14:textId="77777777" w:rsidR="00C760D1" w:rsidRDefault="00C760D1">
      <w:pPr>
        <w:rPr>
          <w:rFonts w:ascii="Times New Roman" w:hAnsi="Times New Roman" w:cs="Times New Roman"/>
        </w:rPr>
      </w:pPr>
      <w:r>
        <w:rPr>
          <w:rFonts w:ascii="Times New Roman" w:hAnsi="Times New Roman" w:cs="Times New Roman"/>
        </w:rPr>
        <w:br w:type="page"/>
      </w:r>
    </w:p>
    <w:p w14:paraId="3818255C" w14:textId="390DEBA5" w:rsidR="00FC43DD" w:rsidRDefault="00FC43DD">
      <w:pPr>
        <w:rPr>
          <w:rFonts w:ascii="Times New Roman" w:hAnsi="Times New Roman" w:cs="Times New Roman"/>
        </w:rPr>
      </w:pPr>
      <w:r>
        <w:rPr>
          <w:rFonts w:ascii="Times New Roman" w:hAnsi="Times New Roman" w:cs="Times New Roman"/>
        </w:rPr>
        <w:lastRenderedPageBreak/>
        <w:t>Supplementary Table 1</w:t>
      </w:r>
    </w:p>
    <w:tbl>
      <w:tblPr>
        <w:tblW w:w="8299" w:type="dxa"/>
        <w:jc w:val="center"/>
        <w:tblCellMar>
          <w:left w:w="0" w:type="dxa"/>
          <w:right w:w="0" w:type="dxa"/>
        </w:tblCellMar>
        <w:tblLook w:val="04A0" w:firstRow="1" w:lastRow="0" w:firstColumn="1" w:lastColumn="0" w:noHBand="0" w:noVBand="1"/>
      </w:tblPr>
      <w:tblGrid>
        <w:gridCol w:w="1224"/>
        <w:gridCol w:w="1095"/>
        <w:gridCol w:w="1894"/>
        <w:gridCol w:w="2173"/>
        <w:gridCol w:w="743"/>
        <w:gridCol w:w="1170"/>
      </w:tblGrid>
      <w:tr w:rsidR="002505CF" w:rsidRPr="00B36BBD" w14:paraId="08121266" w14:textId="77777777" w:rsidTr="002505CF">
        <w:trPr>
          <w:trHeight w:val="643"/>
          <w:jc w:val="center"/>
        </w:trPr>
        <w:tc>
          <w:tcPr>
            <w:tcW w:w="1224" w:type="dxa"/>
            <w:tcBorders>
              <w:top w:val="single" w:sz="8" w:space="0" w:color="FFFFFF"/>
              <w:left w:val="single" w:sz="8" w:space="0" w:color="FFFFFF"/>
              <w:bottom w:val="single" w:sz="24" w:space="0" w:color="FFFFFF"/>
              <w:right w:val="single" w:sz="8" w:space="0" w:color="FFFFFF"/>
            </w:tcBorders>
            <w:shd w:val="clear" w:color="auto" w:fill="4472C4"/>
            <w:tcMar>
              <w:top w:w="10" w:type="dxa"/>
              <w:left w:w="10" w:type="dxa"/>
              <w:bottom w:w="0" w:type="dxa"/>
              <w:right w:w="10" w:type="dxa"/>
            </w:tcMar>
            <w:vAlign w:val="center"/>
            <w:hideMark/>
          </w:tcPr>
          <w:p w14:paraId="5BE78BCB" w14:textId="77777777" w:rsidR="00B36BBD" w:rsidRPr="00B36BBD" w:rsidRDefault="00B36BBD" w:rsidP="007C56DD">
            <w:pPr>
              <w:spacing w:after="0" w:line="240" w:lineRule="auto"/>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CDX Model</w:t>
            </w:r>
          </w:p>
        </w:tc>
        <w:tc>
          <w:tcPr>
            <w:tcW w:w="1095" w:type="dxa"/>
            <w:tcBorders>
              <w:top w:val="single" w:sz="8" w:space="0" w:color="FFFFFF"/>
              <w:left w:val="single" w:sz="8" w:space="0" w:color="FFFFFF"/>
              <w:bottom w:val="single" w:sz="24" w:space="0" w:color="FFFFFF"/>
              <w:right w:val="single" w:sz="8" w:space="0" w:color="FFFFFF"/>
            </w:tcBorders>
            <w:shd w:val="clear" w:color="auto" w:fill="4472C4"/>
            <w:tcMar>
              <w:top w:w="10" w:type="dxa"/>
              <w:left w:w="10" w:type="dxa"/>
              <w:bottom w:w="0" w:type="dxa"/>
              <w:right w:w="10" w:type="dxa"/>
            </w:tcMar>
            <w:vAlign w:val="center"/>
            <w:hideMark/>
          </w:tcPr>
          <w:p w14:paraId="5CEAD9C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Cancer type</w:t>
            </w:r>
          </w:p>
        </w:tc>
        <w:tc>
          <w:tcPr>
            <w:tcW w:w="189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38B1FB91"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 xml:space="preserve">EGFR </w:t>
            </w:r>
            <w:r w:rsidRPr="00B36BBD">
              <w:rPr>
                <w:rFonts w:ascii="Arial" w:eastAsia="Times New Roman" w:hAnsi="Arial" w:cs="Arial"/>
                <w:b/>
                <w:bCs/>
                <w:color w:val="FFFFFF"/>
                <w:kern w:val="24"/>
                <w:sz w:val="18"/>
                <w:szCs w:val="18"/>
                <w14:ligatures w14:val="none"/>
              </w:rPr>
              <w:t>genetic status</w:t>
            </w:r>
          </w:p>
        </w:tc>
        <w:tc>
          <w:tcPr>
            <w:tcW w:w="217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1F0CB3B5"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 xml:space="preserve">c-Met </w:t>
            </w:r>
            <w:r w:rsidRPr="00B36BBD">
              <w:rPr>
                <w:rFonts w:ascii="Arial" w:eastAsia="Times New Roman" w:hAnsi="Arial" w:cs="Arial"/>
                <w:b/>
                <w:bCs/>
                <w:color w:val="FFFFFF"/>
                <w:kern w:val="24"/>
                <w:sz w:val="18"/>
                <w:szCs w:val="18"/>
                <w14:ligatures w14:val="none"/>
              </w:rPr>
              <w:t>genetic status</w:t>
            </w:r>
          </w:p>
        </w:tc>
        <w:tc>
          <w:tcPr>
            <w:tcW w:w="743" w:type="dxa"/>
            <w:tcBorders>
              <w:top w:val="single" w:sz="8" w:space="0" w:color="FFFFFF"/>
              <w:left w:val="single" w:sz="8" w:space="0" w:color="FFFFFF"/>
              <w:bottom w:val="single" w:sz="24" w:space="0" w:color="FFFFFF"/>
              <w:right w:val="single" w:sz="8" w:space="0" w:color="FFFFFF"/>
            </w:tcBorders>
            <w:shd w:val="clear" w:color="auto" w:fill="4472C4"/>
            <w:tcMar>
              <w:top w:w="10" w:type="dxa"/>
              <w:left w:w="10" w:type="dxa"/>
              <w:bottom w:w="0" w:type="dxa"/>
              <w:right w:w="10" w:type="dxa"/>
            </w:tcMar>
            <w:vAlign w:val="center"/>
            <w:hideMark/>
          </w:tcPr>
          <w:p w14:paraId="4556EBEA" w14:textId="198A03D4"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TGI</w:t>
            </w:r>
            <w:r w:rsidR="007C56DD">
              <w:rPr>
                <w:rFonts w:ascii="Arial" w:hAnsi="Arial" w:cs="Arial" w:hint="eastAsia"/>
                <w:b/>
                <w:bCs/>
                <w:color w:val="F2F2F2"/>
                <w:kern w:val="24"/>
                <w:sz w:val="18"/>
                <w:szCs w:val="18"/>
                <w14:ligatures w14:val="none"/>
              </w:rPr>
              <w:t xml:space="preserve"> </w:t>
            </w:r>
            <w:r w:rsidRPr="00B36BBD">
              <w:rPr>
                <w:rFonts w:ascii="Arial" w:eastAsia="Times New Roman" w:hAnsi="Arial" w:cs="Arial"/>
                <w:b/>
                <w:bCs/>
                <w:color w:val="F2F2F2"/>
                <w:kern w:val="24"/>
                <w:sz w:val="18"/>
                <w:szCs w:val="18"/>
                <w14:ligatures w14:val="none"/>
              </w:rPr>
              <w:t>(%)</w:t>
            </w:r>
          </w:p>
        </w:tc>
        <w:tc>
          <w:tcPr>
            <w:tcW w:w="1170" w:type="dxa"/>
            <w:tcBorders>
              <w:top w:val="single" w:sz="8" w:space="0" w:color="FFFFFF"/>
              <w:left w:val="single" w:sz="8" w:space="0" w:color="FFFFFF"/>
              <w:bottom w:val="single" w:sz="24" w:space="0" w:color="FFFFFF"/>
              <w:right w:val="single" w:sz="8" w:space="0" w:color="FFFFFF"/>
            </w:tcBorders>
            <w:shd w:val="clear" w:color="auto" w:fill="4472C4"/>
            <w:tcMar>
              <w:top w:w="10" w:type="dxa"/>
              <w:left w:w="10" w:type="dxa"/>
              <w:bottom w:w="0" w:type="dxa"/>
              <w:right w:w="10" w:type="dxa"/>
            </w:tcMar>
            <w:vAlign w:val="center"/>
            <w:hideMark/>
          </w:tcPr>
          <w:p w14:paraId="32A53C9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Response to TAVO412</w:t>
            </w:r>
          </w:p>
        </w:tc>
      </w:tr>
      <w:tr w:rsidR="002505CF" w:rsidRPr="00B36BBD" w14:paraId="59836BAE" w14:textId="77777777" w:rsidTr="002505CF">
        <w:trPr>
          <w:trHeight w:val="397"/>
          <w:jc w:val="center"/>
        </w:trPr>
        <w:tc>
          <w:tcPr>
            <w:tcW w:w="1224" w:type="dxa"/>
            <w:tcBorders>
              <w:top w:val="single" w:sz="24"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3858869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NCI-H596</w:t>
            </w:r>
          </w:p>
        </w:tc>
        <w:tc>
          <w:tcPr>
            <w:tcW w:w="1095"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730C0F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24"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6466FF8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24"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5E666C7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A5BB31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98</w:t>
            </w:r>
          </w:p>
        </w:tc>
        <w:tc>
          <w:tcPr>
            <w:tcW w:w="117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AF2A3D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677B2555"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21C6DB7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FADU</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64DF05C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HNSCC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AEC918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098E9A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xml:space="preserve"> WT  </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5476E5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95</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60603FC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7F69794A"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7A5413A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HCC827</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681FAF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43853908"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Exon19 Del; AMP</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68E9D24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D35D17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94</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4B218A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465A2F15"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C5F00E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NCIH1975</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3B32D1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7BD5662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Exon21 L858R; Exon 20 T790M</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44BDCD9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0854D2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94</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4EDEAE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3F08BDBB"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CCD202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NCIH292</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4585F9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3D58571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0111AD0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E289F3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94</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77001F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64DF6901"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D63925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NCI-H358</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7FF1652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6AC24B5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3AD0BE57"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7522EDD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89</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80C247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28E3CE50"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69CC36A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KYSE150</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A59CF6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ESCC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277873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E8B94D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BDA9F2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83</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D177B5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2FBBF430"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66EA9C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SCC4</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E73310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HNSCC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42C79D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794AEB98"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3D12C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82</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406B0D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25DAB899"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5893B07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BXPC3</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4E6066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PDAC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79034D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249233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AD96E9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80</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2738C5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R</w:t>
            </w:r>
          </w:p>
        </w:tc>
      </w:tr>
      <w:tr w:rsidR="002505CF" w:rsidRPr="00B36BBD" w14:paraId="7FDFB5C9"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52E88FC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SKHEP1</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EE015F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HCC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5B679D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46C3AC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717440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66</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29882D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4A759294"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44DD7C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MDA-MB-231</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95AEB2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TNBC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FFBB0B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5B791B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E5E9BA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62</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E875FD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2CBC93F7"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1B8503D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DMS79</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8F050C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657B2B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D6F065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67523F58"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58</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954FEB7"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67F3E449"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59852A4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BT20</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4B3741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TNBC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379FDE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AMP</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A0DAB4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970BD6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56</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51DEC0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63C50B88"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1289C36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A2780</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19013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OC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C50251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69ABF79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xml:space="preserve"> WT </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5453418"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54</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EC3BF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159A3222"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19583EF8"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NCIH226</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9746C6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26FDA7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81C539C"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 WT </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1C0356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46</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5CC9C7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001F45A1"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5781F3B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NCIH1299</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F701B4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7AD47F6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4527E31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63EBE7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43</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01CE8E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268A4483"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ABED9F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TOV21G</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6BC1C6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OC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499AEE4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57B385C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D205D1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38</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DA10D5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1602CB97"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2173112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NCI-H460</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66614E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253BE46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05B686D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65F686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36</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5360FA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PR</w:t>
            </w:r>
          </w:p>
        </w:tc>
      </w:tr>
      <w:tr w:rsidR="002505CF" w:rsidRPr="00B36BBD" w14:paraId="4F2E3C73"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4491E8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HCC1806</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423C24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TNBC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6AE11D5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592EB27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F81A425"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28</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B8317A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NR</w:t>
            </w:r>
          </w:p>
        </w:tc>
      </w:tr>
      <w:tr w:rsidR="002505CF" w:rsidRPr="00B36BBD" w14:paraId="09F6550C"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3BD1F42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HCC70</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08F3C2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TNBC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120282E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056575C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063EA5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26</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421A65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NR</w:t>
            </w:r>
          </w:p>
        </w:tc>
      </w:tr>
      <w:tr w:rsidR="002505CF" w:rsidRPr="00B36BBD" w14:paraId="328B90C4"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A29607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ASPC1</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067D3F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PDAC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A3CB65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62C76E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2DB794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8C96DF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NR</w:t>
            </w:r>
          </w:p>
        </w:tc>
      </w:tr>
      <w:tr w:rsidR="002505CF" w:rsidRPr="00B36BBD" w14:paraId="3E40423A"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2F3D7D5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NCI-H1048</w:t>
            </w:r>
          </w:p>
        </w:tc>
        <w:tc>
          <w:tcPr>
            <w:tcW w:w="1095"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64FED0D7" w14:textId="2085BB15"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SCLC</w:t>
            </w:r>
          </w:p>
        </w:tc>
        <w:tc>
          <w:tcPr>
            <w:tcW w:w="1894"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1E9EBE9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E9EBF5"/>
            <w:tcMar>
              <w:top w:w="8" w:type="dxa"/>
              <w:left w:w="8" w:type="dxa"/>
              <w:bottom w:w="0" w:type="dxa"/>
              <w:right w:w="8" w:type="dxa"/>
            </w:tcMar>
            <w:vAlign w:val="center"/>
            <w:hideMark/>
          </w:tcPr>
          <w:p w14:paraId="4B01A12F"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743"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891601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C2122C9"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NR</w:t>
            </w:r>
          </w:p>
        </w:tc>
      </w:tr>
      <w:tr w:rsidR="002505CF" w:rsidRPr="00B36BBD" w14:paraId="6130E886" w14:textId="77777777" w:rsidTr="002505CF">
        <w:trPr>
          <w:trHeight w:val="397"/>
          <w:jc w:val="center"/>
        </w:trPr>
        <w:tc>
          <w:tcPr>
            <w:tcW w:w="1224"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239704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8"/>
                <w:szCs w:val="18"/>
                <w14:ligatures w14:val="none"/>
              </w:rPr>
              <w:t>EBC1</w:t>
            </w:r>
          </w:p>
        </w:tc>
        <w:tc>
          <w:tcPr>
            <w:tcW w:w="1095"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09633E2"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NSCLC</w:t>
            </w:r>
          </w:p>
        </w:tc>
        <w:tc>
          <w:tcPr>
            <w:tcW w:w="1894"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0D512CE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w:t>
            </w:r>
          </w:p>
        </w:tc>
        <w:tc>
          <w:tcPr>
            <w:tcW w:w="2173" w:type="dxa"/>
            <w:tcBorders>
              <w:top w:val="single" w:sz="8" w:space="0" w:color="FFFFFF"/>
              <w:left w:val="single" w:sz="8" w:space="0" w:color="FFFFFF"/>
              <w:bottom w:val="single" w:sz="8" w:space="0" w:color="FFFFFF"/>
              <w:right w:val="single" w:sz="8" w:space="0" w:color="FFFFFF"/>
            </w:tcBorders>
            <w:shd w:val="clear" w:color="auto" w:fill="CFD5EA"/>
            <w:tcMar>
              <w:top w:w="8" w:type="dxa"/>
              <w:left w:w="8" w:type="dxa"/>
              <w:bottom w:w="0" w:type="dxa"/>
              <w:right w:w="8" w:type="dxa"/>
            </w:tcMar>
            <w:vAlign w:val="center"/>
            <w:hideMark/>
          </w:tcPr>
          <w:p w14:paraId="7E33B46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WT; AMP</w:t>
            </w:r>
          </w:p>
        </w:tc>
        <w:tc>
          <w:tcPr>
            <w:tcW w:w="743"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09C357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-17</w:t>
            </w:r>
          </w:p>
        </w:tc>
        <w:tc>
          <w:tcPr>
            <w:tcW w:w="117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3BB3D7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8"/>
                <w:szCs w:val="18"/>
                <w14:ligatures w14:val="none"/>
              </w:rPr>
              <w:t>NR</w:t>
            </w:r>
          </w:p>
        </w:tc>
      </w:tr>
    </w:tbl>
    <w:p w14:paraId="1BB36265" w14:textId="77777777" w:rsidR="00ED31C6" w:rsidRPr="00ED31C6" w:rsidRDefault="00ED31C6" w:rsidP="00ED31C6">
      <w:pPr>
        <w:spacing w:before="240" w:after="0" w:line="240" w:lineRule="auto"/>
        <w:rPr>
          <w:rFonts w:ascii="Times New Roman" w:hAnsi="Times New Roman" w:cs="Times New Roman"/>
          <w:b/>
          <w:bCs/>
        </w:rPr>
      </w:pPr>
      <w:r w:rsidRPr="00ED31C6">
        <w:rPr>
          <w:rFonts w:ascii="Times New Roman" w:hAnsi="Times New Roman" w:cs="Times New Roman"/>
          <w:b/>
          <w:bCs/>
        </w:rPr>
        <w:t>Supplementary Table 1: Summary of TGI values of TAVO412 across 23 CDX models</w:t>
      </w:r>
    </w:p>
    <w:p w14:paraId="4A609626" w14:textId="17225A11" w:rsidR="0096750A" w:rsidRDefault="00ED31C6" w:rsidP="00821CC8">
      <w:pPr>
        <w:spacing w:after="0" w:line="240" w:lineRule="auto"/>
        <w:rPr>
          <w:rFonts w:ascii="Times New Roman" w:hAnsi="Times New Roman" w:cs="Times New Roman"/>
        </w:rPr>
      </w:pPr>
      <w:r w:rsidRPr="00ED31C6">
        <w:rPr>
          <w:rFonts w:ascii="Times New Roman" w:hAnsi="Times New Roman" w:cs="Times New Roman"/>
        </w:rPr>
        <w:t xml:space="preserve">The cancer types and </w:t>
      </w:r>
      <w:r w:rsidRPr="00AD14E0">
        <w:rPr>
          <w:rFonts w:ascii="Times New Roman" w:hAnsi="Times New Roman" w:cs="Times New Roman"/>
        </w:rPr>
        <w:t>genetic profiles of EGFR and c-Met</w:t>
      </w:r>
      <w:r w:rsidR="0038256E" w:rsidRPr="00AD14E0">
        <w:rPr>
          <w:rFonts w:ascii="Times New Roman" w:hAnsi="Times New Roman" w:cs="Times New Roman" w:hint="eastAsia"/>
        </w:rPr>
        <w:t xml:space="preserve"> (</w:t>
      </w:r>
      <w:r w:rsidR="0038256E" w:rsidRPr="00AD14E0">
        <w:rPr>
          <w:rFonts w:ascii="Times New Roman" w:hAnsi="Times New Roman" w:cs="Times New Roman"/>
        </w:rPr>
        <w:t>Cancer Cell Line Encyclopedia</w:t>
      </w:r>
      <w:r w:rsidR="0038256E" w:rsidRPr="00AD14E0">
        <w:rPr>
          <w:rFonts w:ascii="Times New Roman" w:hAnsi="Times New Roman" w:cs="Times New Roman" w:hint="eastAsia"/>
        </w:rPr>
        <w:t xml:space="preserve">: </w:t>
      </w:r>
      <w:hyperlink r:id="rId11" w:history="1">
        <w:r w:rsidR="0038256E" w:rsidRPr="00F816B3">
          <w:rPr>
            <w:rStyle w:val="Hyperlink"/>
            <w:rFonts w:ascii="Times New Roman" w:hAnsi="Times New Roman" w:cs="Times New Roman"/>
          </w:rPr>
          <w:t>https://depmap.org/portal</w:t>
        </w:r>
      </w:hyperlink>
      <w:r w:rsidR="0038256E" w:rsidRPr="00AD14E0">
        <w:rPr>
          <w:rFonts w:ascii="Times New Roman" w:hAnsi="Times New Roman" w:cs="Times New Roman" w:hint="eastAsia"/>
        </w:rPr>
        <w:t>)</w:t>
      </w:r>
      <w:r w:rsidRPr="00AD14E0">
        <w:rPr>
          <w:rFonts w:ascii="Times New Roman" w:hAnsi="Times New Roman" w:cs="Times New Roman"/>
        </w:rPr>
        <w:t xml:space="preserve"> w</w:t>
      </w:r>
      <w:r w:rsidR="00063A59">
        <w:rPr>
          <w:rFonts w:ascii="Times New Roman" w:hAnsi="Times New Roman" w:cs="Times New Roman"/>
        </w:rPr>
        <w:t>ere</w:t>
      </w:r>
      <w:r w:rsidRPr="00AD14E0">
        <w:rPr>
          <w:rFonts w:ascii="Times New Roman" w:hAnsi="Times New Roman" w:cs="Times New Roman"/>
        </w:rPr>
        <w:t xml:space="preserve"> summarized for each of the 23 CDX </w:t>
      </w:r>
      <w:r w:rsidRPr="00ED31C6">
        <w:rPr>
          <w:rFonts w:ascii="Times New Roman" w:hAnsi="Times New Roman" w:cs="Times New Roman"/>
        </w:rPr>
        <w:t>models. The TGI values and the corresponding response types to TAVO412 w</w:t>
      </w:r>
      <w:r w:rsidR="00063A59">
        <w:rPr>
          <w:rFonts w:ascii="Times New Roman" w:hAnsi="Times New Roman" w:cs="Times New Roman"/>
        </w:rPr>
        <w:t>ere</w:t>
      </w:r>
      <w:r w:rsidRPr="00ED31C6">
        <w:rPr>
          <w:rFonts w:ascii="Times New Roman" w:hAnsi="Times New Roman" w:cs="Times New Roman"/>
        </w:rPr>
        <w:t xml:space="preserve"> also listed in the table. The TGI value was calculated with the data of the last observ</w:t>
      </w:r>
      <w:r w:rsidRPr="00ED31C6">
        <w:rPr>
          <w:rFonts w:ascii="Times New Roman" w:hAnsi="Times New Roman" w:cs="Times New Roman" w:hint="eastAsia"/>
        </w:rPr>
        <w:t xml:space="preserve">ation day for each model. Based on the response to </w:t>
      </w:r>
      <w:r w:rsidRPr="00ED31C6">
        <w:rPr>
          <w:rFonts w:ascii="Times New Roman" w:hAnsi="Times New Roman" w:cs="Times New Roman" w:hint="eastAsia"/>
        </w:rPr>
        <w:lastRenderedPageBreak/>
        <w:t xml:space="preserve">TAVO412, the models were categorized into 3 classes - R: responsive models (TGI </w:t>
      </w:r>
      <w:r w:rsidRPr="00ED31C6">
        <w:rPr>
          <w:rFonts w:ascii="Times New Roman" w:hAnsi="Times New Roman" w:cs="Times New Roman" w:hint="eastAsia"/>
        </w:rPr>
        <w:t>≥</w:t>
      </w:r>
      <w:r w:rsidRPr="00ED31C6">
        <w:rPr>
          <w:rFonts w:ascii="Times New Roman" w:hAnsi="Times New Roman" w:cs="Times New Roman" w:hint="eastAsia"/>
        </w:rPr>
        <w:t xml:space="preserve"> 70%); PR, partial-responsive models (30% </w:t>
      </w:r>
      <w:r w:rsidRPr="00ED31C6">
        <w:rPr>
          <w:rFonts w:ascii="Times New Roman" w:hAnsi="Times New Roman" w:cs="Times New Roman" w:hint="eastAsia"/>
        </w:rPr>
        <w:t>≤</w:t>
      </w:r>
      <w:r w:rsidRPr="00ED31C6">
        <w:rPr>
          <w:rFonts w:ascii="Times New Roman" w:hAnsi="Times New Roman" w:cs="Times New Roman" w:hint="eastAsia"/>
        </w:rPr>
        <w:t xml:space="preserve"> TGI &lt; 70%); NR: non-responsive models (TGI &lt; 30%). The abbreviations were: CDX, </w:t>
      </w:r>
      <w:r w:rsidRPr="00ED31C6">
        <w:rPr>
          <w:rFonts w:ascii="Times New Roman" w:hAnsi="Times New Roman" w:cs="Times New Roman"/>
        </w:rPr>
        <w:t>cell line-derived xenograft; TGI, tumor growth inhibition; NSCLC, non-small cell lung cancer; HNSCC, head and neck squamous cell carcinoma; ESCC, esophageal squamous cell carcinoma; HCC, hepatocellular carcinoma; SCLC, small-cell lung cancer; OC, ovarian cancer; PDAC, pancreatic ductal adenocarcinoma; TNBC, triple negative breast cancer; WT, wild type; AMP, amplification</w:t>
      </w:r>
    </w:p>
    <w:p w14:paraId="7CA5D9D3" w14:textId="77777777" w:rsidR="009A7820" w:rsidRDefault="009A7820">
      <w:pPr>
        <w:rPr>
          <w:rFonts w:ascii="Times New Roman" w:hAnsi="Times New Roman" w:cs="Times New Roman"/>
        </w:rPr>
      </w:pPr>
      <w:r>
        <w:rPr>
          <w:rFonts w:ascii="Times New Roman" w:hAnsi="Times New Roman" w:cs="Times New Roman"/>
        </w:rPr>
        <w:br w:type="page"/>
      </w:r>
    </w:p>
    <w:p w14:paraId="731B33CF" w14:textId="02507A65" w:rsidR="00FC43DD" w:rsidRDefault="00FC43DD" w:rsidP="00FC43DD">
      <w:pPr>
        <w:rPr>
          <w:rFonts w:ascii="Times New Roman" w:hAnsi="Times New Roman" w:cs="Times New Roman"/>
        </w:rPr>
      </w:pPr>
      <w:r>
        <w:rPr>
          <w:rFonts w:ascii="Times New Roman" w:hAnsi="Times New Roman" w:cs="Times New Roman"/>
        </w:rPr>
        <w:lastRenderedPageBreak/>
        <w:t>Supplementary Table 2</w:t>
      </w:r>
    </w:p>
    <w:p w14:paraId="16500599" w14:textId="77777777" w:rsidR="00711BFE" w:rsidRDefault="00711BFE" w:rsidP="00711BFE">
      <w:pPr>
        <w:spacing w:after="0" w:line="240" w:lineRule="auto"/>
        <w:rPr>
          <w:rFonts w:ascii="Times New Roman" w:hAnsi="Times New Roman" w:cs="Times New Roman"/>
        </w:rPr>
      </w:pPr>
    </w:p>
    <w:tbl>
      <w:tblPr>
        <w:tblW w:w="9040" w:type="dxa"/>
        <w:tblCellMar>
          <w:left w:w="0" w:type="dxa"/>
          <w:right w:w="0" w:type="dxa"/>
        </w:tblCellMar>
        <w:tblLook w:val="04A0" w:firstRow="1" w:lastRow="0" w:firstColumn="1" w:lastColumn="0" w:noHBand="0" w:noVBand="1"/>
      </w:tblPr>
      <w:tblGrid>
        <w:gridCol w:w="1303"/>
        <w:gridCol w:w="742"/>
        <w:gridCol w:w="1824"/>
        <w:gridCol w:w="1844"/>
        <w:gridCol w:w="1042"/>
        <w:gridCol w:w="1243"/>
        <w:gridCol w:w="1042"/>
      </w:tblGrid>
      <w:tr w:rsidR="00B36BBD" w:rsidRPr="00B36BBD" w14:paraId="2FA407EC" w14:textId="77777777" w:rsidTr="00B36BBD">
        <w:trPr>
          <w:trHeight w:val="675"/>
        </w:trPr>
        <w:tc>
          <w:tcPr>
            <w:tcW w:w="13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6DEF74D2"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PDX model</w:t>
            </w:r>
          </w:p>
        </w:tc>
        <w:tc>
          <w:tcPr>
            <w:tcW w:w="7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16618065"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Cancer</w:t>
            </w:r>
          </w:p>
        </w:tc>
        <w:tc>
          <w:tcPr>
            <w:tcW w:w="18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35876FF2"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 xml:space="preserve">EGFR </w:t>
            </w:r>
            <w:r w:rsidRPr="00B36BBD">
              <w:rPr>
                <w:rFonts w:ascii="Arial" w:eastAsia="Times New Roman" w:hAnsi="Arial" w:cs="Arial"/>
                <w:b/>
                <w:bCs/>
                <w:color w:val="FFFFFF"/>
                <w:kern w:val="24"/>
                <w:sz w:val="16"/>
                <w:szCs w:val="16"/>
                <w14:ligatures w14:val="none"/>
              </w:rPr>
              <w:t>genetic status</w:t>
            </w:r>
          </w:p>
        </w:tc>
        <w:tc>
          <w:tcPr>
            <w:tcW w:w="18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27DE54CE"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c-Met</w:t>
            </w:r>
          </w:p>
          <w:p w14:paraId="17683E07"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FFFFF"/>
                <w:kern w:val="24"/>
                <w:sz w:val="16"/>
                <w:szCs w:val="16"/>
                <w14:ligatures w14:val="none"/>
              </w:rPr>
              <w:t>genetic status</w:t>
            </w:r>
          </w:p>
        </w:tc>
        <w:tc>
          <w:tcPr>
            <w:tcW w:w="10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15204832"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TAVO412</w:t>
            </w:r>
          </w:p>
          <w:p w14:paraId="127E5BBE"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TGI (%)</w:t>
            </w:r>
          </w:p>
        </w:tc>
        <w:tc>
          <w:tcPr>
            <w:tcW w:w="12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95" w:type="dxa"/>
              <w:bottom w:w="0" w:type="dxa"/>
              <w:right w:w="95" w:type="dxa"/>
            </w:tcMar>
            <w:vAlign w:val="center"/>
            <w:hideMark/>
          </w:tcPr>
          <w:p w14:paraId="149236A2"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Amivantamab</w:t>
            </w:r>
          </w:p>
          <w:p w14:paraId="48469794" w14:textId="77777777" w:rsidR="00B36BBD" w:rsidRPr="00B36BBD" w:rsidRDefault="00B36BBD" w:rsidP="00B36BBD">
            <w:pPr>
              <w:spacing w:after="0" w:line="256" w:lineRule="auto"/>
              <w:jc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TGI (%)</w:t>
            </w:r>
          </w:p>
        </w:tc>
        <w:tc>
          <w:tcPr>
            <w:tcW w:w="1040" w:type="dxa"/>
            <w:tcBorders>
              <w:top w:val="single" w:sz="8" w:space="0" w:color="FFFFFF"/>
              <w:left w:val="single" w:sz="8" w:space="0" w:color="FFFFFF"/>
              <w:bottom w:val="single" w:sz="24" w:space="0" w:color="FFFFFF"/>
              <w:right w:val="single" w:sz="8" w:space="0" w:color="FFFFFF"/>
            </w:tcBorders>
            <w:shd w:val="clear" w:color="auto" w:fill="4472C4"/>
            <w:tcMar>
              <w:top w:w="10" w:type="dxa"/>
              <w:left w:w="10" w:type="dxa"/>
              <w:bottom w:w="0" w:type="dxa"/>
              <w:right w:w="10" w:type="dxa"/>
            </w:tcMar>
            <w:vAlign w:val="center"/>
            <w:hideMark/>
          </w:tcPr>
          <w:p w14:paraId="5731E17B"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Response to TAVO412</w:t>
            </w:r>
          </w:p>
        </w:tc>
      </w:tr>
      <w:tr w:rsidR="00B36BBD" w:rsidRPr="00B36BBD" w14:paraId="07382666" w14:textId="77777777" w:rsidTr="00B36BBD">
        <w:trPr>
          <w:trHeight w:val="549"/>
        </w:trPr>
        <w:tc>
          <w:tcPr>
            <w:tcW w:w="1300" w:type="dxa"/>
            <w:tcBorders>
              <w:top w:val="single" w:sz="24"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42D0B337"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LU2503</w:t>
            </w:r>
          </w:p>
        </w:tc>
        <w:tc>
          <w:tcPr>
            <w:tcW w:w="74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B780D96"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7AE0DB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WT</w:t>
            </w:r>
          </w:p>
        </w:tc>
        <w:tc>
          <w:tcPr>
            <w:tcW w:w="184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B50A6E7"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lang w:val="nl-NL"/>
                <w14:ligatures w14:val="none"/>
              </w:rPr>
              <w:t xml:space="preserve">Exon-14 skipping; </w:t>
            </w:r>
          </w:p>
          <w:p w14:paraId="401FD711"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lang w:val="nl-NL"/>
                <w14:ligatures w14:val="none"/>
              </w:rPr>
              <w:t>Amplification</w:t>
            </w:r>
          </w:p>
        </w:tc>
        <w:tc>
          <w:tcPr>
            <w:tcW w:w="104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08A7747"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99</w:t>
            </w:r>
          </w:p>
        </w:tc>
        <w:tc>
          <w:tcPr>
            <w:tcW w:w="124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B0E98EF"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100</w:t>
            </w:r>
          </w:p>
        </w:tc>
        <w:tc>
          <w:tcPr>
            <w:tcW w:w="1040" w:type="dxa"/>
            <w:tcBorders>
              <w:top w:val="single" w:sz="24"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A0E073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5AB34C67"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1025C0F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LU-01-1377</w:t>
            </w: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367A5A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SCLC</w:t>
            </w:r>
          </w:p>
        </w:tc>
        <w:tc>
          <w:tcPr>
            <w:tcW w:w="182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A4A07A7"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 21: L858R</w:t>
            </w:r>
          </w:p>
        </w:tc>
        <w:tc>
          <w:tcPr>
            <w:tcW w:w="18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514564D"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Over-expression</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83FB08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99</w:t>
            </w:r>
          </w:p>
        </w:tc>
        <w:tc>
          <w:tcPr>
            <w:tcW w:w="12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E62E0E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0</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25A3BC3"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05B85805"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2B86FDD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LU1901</w:t>
            </w:r>
          </w:p>
        </w:tc>
        <w:tc>
          <w:tcPr>
            <w:tcW w:w="7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4C4D33B"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DE86C21"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Exon18: G719A</w:t>
            </w:r>
          </w:p>
        </w:tc>
        <w:tc>
          <w:tcPr>
            <w:tcW w:w="18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88904D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lang w:val="nl-NL"/>
                <w14:ligatures w14:val="none"/>
              </w:rPr>
              <w:t>Amplification</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B8B26DC"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85</w:t>
            </w:r>
          </w:p>
        </w:tc>
        <w:tc>
          <w:tcPr>
            <w:tcW w:w="12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045EAAB4"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35</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EC77AA1"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1529ADB7"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C157004"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LU-01-1623</w:t>
            </w: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D7705C6"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2538DF"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Exon19 Del</w:t>
            </w:r>
          </w:p>
        </w:tc>
        <w:tc>
          <w:tcPr>
            <w:tcW w:w="18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103A8D8"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F569L</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5471142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84</w:t>
            </w:r>
          </w:p>
        </w:tc>
        <w:tc>
          <w:tcPr>
            <w:tcW w:w="12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11FD48C"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53</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D29BC4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5726F6CE"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7AFA13DA"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LU-01-0506</w:t>
            </w:r>
          </w:p>
        </w:tc>
        <w:tc>
          <w:tcPr>
            <w:tcW w:w="7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6D8923F"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1D6F6510"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Exon18: E709A; G719A</w:t>
            </w:r>
          </w:p>
        </w:tc>
        <w:tc>
          <w:tcPr>
            <w:tcW w:w="18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584D90C"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Amplification</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487911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83</w:t>
            </w:r>
          </w:p>
        </w:tc>
        <w:tc>
          <w:tcPr>
            <w:tcW w:w="12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3FD57F70"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37</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C86B6FD"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71A80103"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CD7101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LU5381</w:t>
            </w: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190C7E7"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1A51AD5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WT</w:t>
            </w:r>
          </w:p>
        </w:tc>
        <w:tc>
          <w:tcPr>
            <w:tcW w:w="18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73432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lang w:val="nl-NL"/>
                <w14:ligatures w14:val="none"/>
              </w:rPr>
              <w:t xml:space="preserve">Exon-14 skipping; </w:t>
            </w:r>
          </w:p>
          <w:p w14:paraId="42E36477"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lang w:val="nl-NL"/>
                <w14:ligatures w14:val="none"/>
              </w:rPr>
              <w:t>Amplification</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2891FF66"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75</w:t>
            </w:r>
          </w:p>
        </w:tc>
        <w:tc>
          <w:tcPr>
            <w:tcW w:w="12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3FFC18D"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62</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5B0FB5E"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1E24D975"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553BD550"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LU-01-1649</w:t>
            </w:r>
          </w:p>
        </w:tc>
        <w:tc>
          <w:tcPr>
            <w:tcW w:w="7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3733666"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5FAED2E"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 21: L858R</w:t>
            </w:r>
          </w:p>
        </w:tc>
        <w:tc>
          <w:tcPr>
            <w:tcW w:w="18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669B69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L1195V (Alias: L1213V)</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08E46CC"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75</w:t>
            </w:r>
          </w:p>
        </w:tc>
        <w:tc>
          <w:tcPr>
            <w:tcW w:w="12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D3EE3B1"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82</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0B1C02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R</w:t>
            </w:r>
          </w:p>
        </w:tc>
      </w:tr>
      <w:tr w:rsidR="00B36BBD" w:rsidRPr="00B36BBD" w14:paraId="22E7E7E3"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06B70FB6"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LDI-0015200717</w:t>
            </w:r>
          </w:p>
        </w:tc>
        <w:tc>
          <w:tcPr>
            <w:tcW w:w="7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7E2610E"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02B228D0"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 xml:space="preserve">Exon19 Del, </w:t>
            </w:r>
          </w:p>
          <w:p w14:paraId="07D4550F"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 20: T790M; C797S</w:t>
            </w:r>
          </w:p>
        </w:tc>
        <w:tc>
          <w:tcPr>
            <w:tcW w:w="18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77CFDB58"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WT</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7C1EA6F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51</w:t>
            </w:r>
          </w:p>
        </w:tc>
        <w:tc>
          <w:tcPr>
            <w:tcW w:w="12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3EF7FA91"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-3</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10" w:type="dxa"/>
              <w:left w:w="10" w:type="dxa"/>
              <w:bottom w:w="0" w:type="dxa"/>
              <w:right w:w="10" w:type="dxa"/>
            </w:tcMar>
            <w:vAlign w:val="center"/>
            <w:hideMark/>
          </w:tcPr>
          <w:p w14:paraId="4A54665D"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PR</w:t>
            </w:r>
          </w:p>
        </w:tc>
      </w:tr>
      <w:tr w:rsidR="00B36BBD" w:rsidRPr="00B36BBD" w14:paraId="3F16C4BF" w14:textId="77777777" w:rsidTr="00B36BBD">
        <w:trPr>
          <w:trHeight w:val="549"/>
        </w:trPr>
        <w:tc>
          <w:tcPr>
            <w:tcW w:w="1300" w:type="dxa"/>
            <w:tcBorders>
              <w:top w:val="single" w:sz="8" w:space="0" w:color="FFFFFF"/>
              <w:left w:val="single" w:sz="8" w:space="0" w:color="FFFFFF"/>
              <w:bottom w:val="single" w:sz="8" w:space="0" w:color="FFFFFF"/>
              <w:right w:val="single" w:sz="8" w:space="0" w:color="FFFFFF"/>
            </w:tcBorders>
            <w:shd w:val="clear" w:color="auto" w:fill="4472C4"/>
            <w:tcMar>
              <w:top w:w="10" w:type="dxa"/>
              <w:left w:w="10" w:type="dxa"/>
              <w:bottom w:w="0" w:type="dxa"/>
              <w:right w:w="10" w:type="dxa"/>
            </w:tcMar>
            <w:vAlign w:val="center"/>
            <w:hideMark/>
          </w:tcPr>
          <w:p w14:paraId="35B7AABC" w14:textId="77777777" w:rsidR="00B36BBD" w:rsidRPr="00B36BBD" w:rsidRDefault="00B36BBD" w:rsidP="00B36BBD">
            <w:pPr>
              <w:spacing w:after="0" w:line="240" w:lineRule="auto"/>
              <w:jc w:val="center"/>
              <w:textAlignment w:val="center"/>
              <w:rPr>
                <w:rFonts w:ascii="Arial" w:eastAsia="Times New Roman" w:hAnsi="Arial" w:cs="Arial"/>
                <w:kern w:val="0"/>
                <w:sz w:val="36"/>
                <w:szCs w:val="36"/>
                <w14:ligatures w14:val="none"/>
              </w:rPr>
            </w:pPr>
            <w:r w:rsidRPr="00B36BBD">
              <w:rPr>
                <w:rFonts w:ascii="Arial" w:eastAsia="Times New Roman" w:hAnsi="Arial" w:cs="Arial"/>
                <w:b/>
                <w:bCs/>
                <w:color w:val="F2F2F2"/>
                <w:kern w:val="24"/>
                <w:sz w:val="16"/>
                <w:szCs w:val="16"/>
                <w14:ligatures w14:val="none"/>
              </w:rPr>
              <w:t>LU3075</w:t>
            </w:r>
          </w:p>
        </w:tc>
        <w:tc>
          <w:tcPr>
            <w:tcW w:w="7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621DBBC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NSCLC</w:t>
            </w:r>
          </w:p>
        </w:tc>
        <w:tc>
          <w:tcPr>
            <w:tcW w:w="182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29B96DBA"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Exon-20 insertions</w:t>
            </w:r>
          </w:p>
          <w:p w14:paraId="49B34765"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(P772_H773insDNP)</w:t>
            </w:r>
          </w:p>
        </w:tc>
        <w:tc>
          <w:tcPr>
            <w:tcW w:w="18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DC6CAD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WT</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4E5FF863"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49</w:t>
            </w:r>
          </w:p>
        </w:tc>
        <w:tc>
          <w:tcPr>
            <w:tcW w:w="12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52C8D1FE"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44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10" w:type="dxa"/>
              <w:left w:w="10" w:type="dxa"/>
              <w:bottom w:w="0" w:type="dxa"/>
              <w:right w:w="10" w:type="dxa"/>
            </w:tcMar>
            <w:vAlign w:val="center"/>
            <w:hideMark/>
          </w:tcPr>
          <w:p w14:paraId="7D2CE9EB" w14:textId="77777777" w:rsidR="00B36BBD" w:rsidRPr="00B36BBD" w:rsidRDefault="00B36BBD" w:rsidP="00B36BBD">
            <w:pPr>
              <w:spacing w:after="0" w:line="240" w:lineRule="auto"/>
              <w:jc w:val="center"/>
              <w:textAlignment w:val="bottom"/>
              <w:rPr>
                <w:rFonts w:ascii="Arial" w:eastAsia="Times New Roman" w:hAnsi="Arial" w:cs="Arial"/>
                <w:kern w:val="0"/>
                <w:sz w:val="36"/>
                <w:szCs w:val="36"/>
                <w14:ligatures w14:val="none"/>
              </w:rPr>
            </w:pPr>
            <w:r w:rsidRPr="00B36BBD">
              <w:rPr>
                <w:rFonts w:ascii="Arial" w:eastAsia="Times New Roman" w:hAnsi="Arial" w:cs="Arial"/>
                <w:color w:val="000000"/>
                <w:kern w:val="24"/>
                <w:sz w:val="16"/>
                <w:szCs w:val="16"/>
                <w14:ligatures w14:val="none"/>
              </w:rPr>
              <w:t>PR</w:t>
            </w:r>
          </w:p>
        </w:tc>
      </w:tr>
    </w:tbl>
    <w:p w14:paraId="6366B044" w14:textId="77777777" w:rsidR="00F34638" w:rsidRPr="00F34638" w:rsidRDefault="00F34638" w:rsidP="00F34638">
      <w:pPr>
        <w:spacing w:before="240" w:after="0" w:line="240" w:lineRule="auto"/>
        <w:rPr>
          <w:rFonts w:ascii="Times New Roman" w:hAnsi="Times New Roman" w:cs="Times New Roman"/>
        </w:rPr>
      </w:pPr>
      <w:r w:rsidRPr="00F34638">
        <w:rPr>
          <w:rFonts w:ascii="Times New Roman" w:hAnsi="Times New Roman" w:cs="Times New Roman"/>
          <w:b/>
          <w:bCs/>
        </w:rPr>
        <w:t>Supplementary Table 2: Summary of TGI values across 9 PDX models</w:t>
      </w:r>
    </w:p>
    <w:p w14:paraId="75850CD2" w14:textId="1FB4FA34" w:rsidR="00F34638" w:rsidRPr="00F34638" w:rsidRDefault="00F34638" w:rsidP="000B51C7">
      <w:pPr>
        <w:spacing w:after="0" w:line="240" w:lineRule="auto"/>
        <w:rPr>
          <w:rFonts w:ascii="Times New Roman" w:hAnsi="Times New Roman" w:cs="Times New Roman"/>
        </w:rPr>
      </w:pPr>
      <w:r w:rsidRPr="00F34638">
        <w:rPr>
          <w:rFonts w:ascii="Times New Roman" w:hAnsi="Times New Roman" w:cs="Times New Roman"/>
        </w:rPr>
        <w:t>The cancer types and genetic profiles of EGFR and c</w:t>
      </w:r>
      <w:r w:rsidRPr="0050558B">
        <w:rPr>
          <w:rFonts w:ascii="Times New Roman" w:hAnsi="Times New Roman" w:cs="Times New Roman"/>
        </w:rPr>
        <w:t>-Met</w:t>
      </w:r>
      <w:r w:rsidR="00D54A4B" w:rsidRPr="0050558B">
        <w:rPr>
          <w:rFonts w:ascii="Times New Roman" w:hAnsi="Times New Roman" w:cs="Times New Roman" w:hint="eastAsia"/>
        </w:rPr>
        <w:t xml:space="preserve"> (provided by Crownbio and Wuxi</w:t>
      </w:r>
      <w:r w:rsidR="002F076D" w:rsidRPr="0050558B">
        <w:rPr>
          <w:rFonts w:ascii="Times New Roman" w:hAnsi="Times New Roman" w:cs="Times New Roman" w:hint="eastAsia"/>
        </w:rPr>
        <w:t xml:space="preserve"> through next-generation sequencing</w:t>
      </w:r>
      <w:r w:rsidR="00D54A4B" w:rsidRPr="0050558B">
        <w:rPr>
          <w:rFonts w:ascii="Times New Roman" w:hAnsi="Times New Roman" w:cs="Times New Roman" w:hint="eastAsia"/>
        </w:rPr>
        <w:t>)</w:t>
      </w:r>
      <w:r w:rsidRPr="0050558B">
        <w:rPr>
          <w:rFonts w:ascii="Times New Roman" w:hAnsi="Times New Roman" w:cs="Times New Roman"/>
        </w:rPr>
        <w:t xml:space="preserve"> w</w:t>
      </w:r>
      <w:r w:rsidR="00063A59">
        <w:rPr>
          <w:rFonts w:ascii="Times New Roman" w:hAnsi="Times New Roman" w:cs="Times New Roman"/>
        </w:rPr>
        <w:t>ere</w:t>
      </w:r>
      <w:r w:rsidRPr="0050558B">
        <w:rPr>
          <w:rFonts w:ascii="Times New Roman" w:hAnsi="Times New Roman" w:cs="Times New Roman"/>
        </w:rPr>
        <w:t xml:space="preserve"> summarized for each of the </w:t>
      </w:r>
      <w:r w:rsidRPr="00F34638">
        <w:rPr>
          <w:rFonts w:ascii="Times New Roman" w:hAnsi="Times New Roman" w:cs="Times New Roman"/>
        </w:rPr>
        <w:t>9 PDX models. The TGI values and the corresponding response types to TAVO412 w</w:t>
      </w:r>
      <w:r w:rsidR="00063A59">
        <w:rPr>
          <w:rFonts w:ascii="Times New Roman" w:hAnsi="Times New Roman" w:cs="Times New Roman"/>
        </w:rPr>
        <w:t>ere</w:t>
      </w:r>
      <w:r w:rsidRPr="00F34638">
        <w:rPr>
          <w:rFonts w:ascii="Times New Roman" w:hAnsi="Times New Roman" w:cs="Times New Roman"/>
        </w:rPr>
        <w:t xml:space="preserve"> also listed in the table. The TGI value was calculated with the data of the last observation day for each model. Based on the response to TAVO412, the models were categorized into 2 classes - R: responsive models (TGI ≥ 70%); PR, partial-responsive models (30% ≤ TGI &lt; 70%). The abbreviations were: PDX, patient-derived xenograft; TGI, tumor growth inhibition; NSCLC, non-small cell lung cancer; SCLC, small cell lung cancer; WT, wild type</w:t>
      </w:r>
    </w:p>
    <w:p w14:paraId="75480D88" w14:textId="77777777" w:rsidR="007372B2" w:rsidRDefault="007372B2" w:rsidP="00F34638">
      <w:pPr>
        <w:spacing w:before="240" w:after="0" w:line="240" w:lineRule="auto"/>
        <w:rPr>
          <w:rFonts w:ascii="Times New Roman" w:hAnsi="Times New Roman" w:cs="Times New Roman"/>
        </w:rPr>
      </w:pPr>
    </w:p>
    <w:p w14:paraId="3BAAD092" w14:textId="77777777" w:rsidR="00CA2A33" w:rsidRDefault="00CA2A33" w:rsidP="00F34638">
      <w:pPr>
        <w:spacing w:before="240" w:after="0" w:line="240" w:lineRule="auto"/>
        <w:rPr>
          <w:rFonts w:ascii="Times New Roman" w:hAnsi="Times New Roman" w:cs="Times New Roman"/>
        </w:rPr>
      </w:pPr>
    </w:p>
    <w:p w14:paraId="41E798FD" w14:textId="77777777" w:rsidR="00CA2A33" w:rsidRDefault="00CA2A33" w:rsidP="00F34638">
      <w:pPr>
        <w:spacing w:before="240" w:after="0" w:line="240" w:lineRule="auto"/>
        <w:rPr>
          <w:rFonts w:ascii="Times New Roman" w:hAnsi="Times New Roman" w:cs="Times New Roman"/>
        </w:rPr>
      </w:pPr>
    </w:p>
    <w:p w14:paraId="4E29E26A" w14:textId="77777777" w:rsidR="009A7820" w:rsidRDefault="009A7820">
      <w:pPr>
        <w:rPr>
          <w:rFonts w:ascii="Times New Roman" w:hAnsi="Times New Roman" w:cs="Times New Roman"/>
        </w:rPr>
      </w:pPr>
      <w:r>
        <w:rPr>
          <w:rFonts w:ascii="Times New Roman" w:hAnsi="Times New Roman" w:cs="Times New Roman"/>
        </w:rPr>
        <w:br w:type="page"/>
      </w:r>
    </w:p>
    <w:p w14:paraId="64743966" w14:textId="59080F7D" w:rsidR="00FC43DD" w:rsidRDefault="00FC43DD" w:rsidP="00FC43DD">
      <w:pPr>
        <w:rPr>
          <w:rFonts w:ascii="Times New Roman" w:hAnsi="Times New Roman" w:cs="Times New Roman"/>
        </w:rPr>
      </w:pPr>
      <w:r>
        <w:rPr>
          <w:rFonts w:ascii="Times New Roman" w:hAnsi="Times New Roman" w:cs="Times New Roman"/>
        </w:rPr>
        <w:lastRenderedPageBreak/>
        <w:t>Supplementary Table 3</w:t>
      </w:r>
    </w:p>
    <w:p w14:paraId="018A321F" w14:textId="77777777" w:rsidR="00764DA6" w:rsidRDefault="00764DA6" w:rsidP="00764DA6">
      <w:pPr>
        <w:spacing w:after="0" w:line="240" w:lineRule="auto"/>
        <w:rPr>
          <w:rFonts w:ascii="Times New Roman" w:hAnsi="Times New Roman" w:cs="Times New Roman"/>
        </w:rPr>
      </w:pPr>
    </w:p>
    <w:tbl>
      <w:tblPr>
        <w:tblW w:w="9120" w:type="dxa"/>
        <w:tblCellMar>
          <w:left w:w="0" w:type="dxa"/>
          <w:right w:w="0" w:type="dxa"/>
        </w:tblCellMar>
        <w:tblLook w:val="04A0" w:firstRow="1" w:lastRow="0" w:firstColumn="1" w:lastColumn="0" w:noHBand="0" w:noVBand="1"/>
      </w:tblPr>
      <w:tblGrid>
        <w:gridCol w:w="780"/>
        <w:gridCol w:w="581"/>
        <w:gridCol w:w="6768"/>
        <w:gridCol w:w="991"/>
      </w:tblGrid>
      <w:tr w:rsidR="000C6CCB" w:rsidRPr="00F34638" w14:paraId="36B3AC39" w14:textId="77777777" w:rsidTr="000C6CCB">
        <w:trPr>
          <w:trHeight w:val="932"/>
        </w:trPr>
        <w:tc>
          <w:tcPr>
            <w:tcW w:w="779"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44501A06"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color w:val="F2F2F2"/>
                <w:kern w:val="24"/>
                <w:sz w:val="18"/>
                <w:szCs w:val="18"/>
                <w14:ligatures w14:val="none"/>
              </w:rPr>
              <w:t>Genes</w:t>
            </w:r>
          </w:p>
        </w:tc>
        <w:tc>
          <w:tcPr>
            <w:tcW w:w="582"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50031FBC"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color w:val="F2F2F2"/>
                <w:kern w:val="24"/>
                <w:sz w:val="18"/>
                <w:szCs w:val="18"/>
                <w14:ligatures w14:val="none"/>
              </w:rPr>
              <w:t>Type</w:t>
            </w:r>
          </w:p>
        </w:tc>
        <w:tc>
          <w:tcPr>
            <w:tcW w:w="6808"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22E55B0C"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color w:val="F2F2F2"/>
                <w:kern w:val="24"/>
                <w:sz w:val="18"/>
                <w:szCs w:val="18"/>
                <w14:ligatures w14:val="none"/>
              </w:rPr>
              <w:t>Association of Encoded Protein with Signal Pathways/Functions</w:t>
            </w:r>
          </w:p>
        </w:tc>
        <w:tc>
          <w:tcPr>
            <w:tcW w:w="951"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53E2967A"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color w:val="F2F2F2"/>
                <w:kern w:val="24"/>
                <w:sz w:val="18"/>
                <w:szCs w:val="18"/>
                <w14:ligatures w14:val="none"/>
              </w:rPr>
              <w:t>References</w:t>
            </w:r>
          </w:p>
        </w:tc>
      </w:tr>
      <w:tr w:rsidR="000C6CCB" w:rsidRPr="00F34638" w14:paraId="38736AE6" w14:textId="77777777" w:rsidTr="000C6CCB">
        <w:trPr>
          <w:trHeight w:val="545"/>
        </w:trPr>
        <w:tc>
          <w:tcPr>
            <w:tcW w:w="779" w:type="dxa"/>
            <w:tcBorders>
              <w:top w:val="single" w:sz="24"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25E2E1BF"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VEGFA</w:t>
            </w:r>
          </w:p>
        </w:tc>
        <w:tc>
          <w:tcPr>
            <w:tcW w:w="582"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BFB2A77"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3D98D50C"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Circulating VEGF-A level is a predictive biomarker for bevacizumab in breast, pancreatic, and gastric cancers</w:t>
            </w:r>
          </w:p>
        </w:tc>
        <w:tc>
          <w:tcPr>
            <w:tcW w:w="951"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2B320195" w14:textId="38D87230" w:rsidR="00F34638" w:rsidRPr="00055139" w:rsidRDefault="00966911" w:rsidP="00F34638">
            <w:pPr>
              <w:spacing w:after="0" w:line="240" w:lineRule="auto"/>
              <w:jc w:val="center"/>
              <w:textAlignment w:val="bottom"/>
              <w:rPr>
                <w:rFonts w:ascii="Arial" w:hAnsi="Arial" w:cs="Arial"/>
                <w:kern w:val="0"/>
                <w:sz w:val="36"/>
                <w:szCs w:val="36"/>
                <w14:ligatures w14:val="none"/>
              </w:rPr>
            </w:pPr>
            <w:r w:rsidRPr="00055139">
              <w:rPr>
                <w:rFonts w:ascii="Arial" w:hAnsi="Arial" w:cs="Arial"/>
                <w:color w:val="000000"/>
                <w:kern w:val="24"/>
                <w:sz w:val="18"/>
                <w:szCs w:val="18"/>
                <w14:ligatures w14:val="none"/>
              </w:rPr>
              <w:t>33</w:t>
            </w:r>
          </w:p>
        </w:tc>
      </w:tr>
      <w:tr w:rsidR="000C6CCB" w:rsidRPr="00F34638" w14:paraId="5BF9E0A4" w14:textId="77777777" w:rsidTr="000C6CCB">
        <w:trPr>
          <w:trHeight w:val="552"/>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3ED8D51E"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EGFR</w:t>
            </w:r>
          </w:p>
        </w:tc>
        <w:tc>
          <w:tcPr>
            <w:tcW w:w="58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F74B864"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BD29BA9"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The expression, amplification and mutations (e.g., T790M) are predictive biomarkers for cetuximab and EGFR-TKIs</w:t>
            </w:r>
          </w:p>
        </w:tc>
        <w:tc>
          <w:tcPr>
            <w:tcW w:w="951"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39AA793D" w14:textId="32FAED7F" w:rsidR="00F34638" w:rsidRPr="00055139" w:rsidRDefault="00F34638" w:rsidP="00F34638">
            <w:pPr>
              <w:spacing w:after="0" w:line="240" w:lineRule="auto"/>
              <w:jc w:val="center"/>
              <w:textAlignment w:val="bottom"/>
              <w:rPr>
                <w:rFonts w:ascii="Arial" w:hAnsi="Arial" w:cs="Arial"/>
                <w:kern w:val="0"/>
                <w:sz w:val="36"/>
                <w:szCs w:val="36"/>
                <w14:ligatures w14:val="none"/>
              </w:rPr>
            </w:pPr>
            <w:r w:rsidRPr="00055139">
              <w:rPr>
                <w:rFonts w:ascii="Arial" w:eastAsia="Times New Roman" w:hAnsi="Arial" w:cs="Arial"/>
                <w:color w:val="000000"/>
                <w:kern w:val="24"/>
                <w:sz w:val="18"/>
                <w:szCs w:val="18"/>
                <w14:ligatures w14:val="none"/>
              </w:rPr>
              <w:t>20,3</w:t>
            </w:r>
            <w:r w:rsidR="00966911" w:rsidRPr="00055139">
              <w:rPr>
                <w:rFonts w:ascii="Arial" w:hAnsi="Arial" w:cs="Arial"/>
                <w:color w:val="000000"/>
                <w:kern w:val="24"/>
                <w:sz w:val="18"/>
                <w:szCs w:val="18"/>
                <w14:ligatures w14:val="none"/>
              </w:rPr>
              <w:t>4</w:t>
            </w:r>
            <w:r w:rsidRPr="00055139">
              <w:rPr>
                <w:rFonts w:ascii="Arial" w:eastAsia="Times New Roman" w:hAnsi="Arial" w:cs="Arial"/>
                <w:color w:val="000000"/>
                <w:kern w:val="24"/>
                <w:sz w:val="18"/>
                <w:szCs w:val="18"/>
                <w14:ligatures w14:val="none"/>
              </w:rPr>
              <w:t>,3</w:t>
            </w:r>
            <w:r w:rsidR="00966911" w:rsidRPr="00055139">
              <w:rPr>
                <w:rFonts w:ascii="Arial" w:hAnsi="Arial" w:cs="Arial"/>
                <w:color w:val="000000"/>
                <w:kern w:val="24"/>
                <w:sz w:val="18"/>
                <w:szCs w:val="18"/>
                <w14:ligatures w14:val="none"/>
              </w:rPr>
              <w:t>5</w:t>
            </w:r>
          </w:p>
        </w:tc>
      </w:tr>
      <w:tr w:rsidR="000C6CCB" w:rsidRPr="00F34638" w14:paraId="7257E3ED" w14:textId="77777777" w:rsidTr="000C6CCB">
        <w:trPr>
          <w:trHeight w:val="620"/>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1C2BD85C"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EGFR mutation</w:t>
            </w:r>
          </w:p>
        </w:tc>
        <w:tc>
          <w:tcPr>
            <w:tcW w:w="58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91800A9"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8DE38ED"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EGFR driver mutations are valuable biomarkers for predicting response to tyrosine kinase inhibitors (TKIs) in patients with metastatic lung adenocarcinoma</w:t>
            </w:r>
          </w:p>
        </w:tc>
        <w:tc>
          <w:tcPr>
            <w:tcW w:w="951"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03A944B" w14:textId="48BD61F0" w:rsidR="00F34638" w:rsidRPr="00055139" w:rsidRDefault="00F34638" w:rsidP="00F34638">
            <w:pPr>
              <w:spacing w:after="0" w:line="240" w:lineRule="auto"/>
              <w:jc w:val="center"/>
              <w:textAlignment w:val="bottom"/>
              <w:rPr>
                <w:rFonts w:ascii="Arial" w:hAnsi="Arial" w:cs="Arial"/>
                <w:kern w:val="0"/>
                <w:sz w:val="36"/>
                <w:szCs w:val="36"/>
                <w14:ligatures w14:val="none"/>
              </w:rPr>
            </w:pPr>
            <w:r w:rsidRPr="00055139">
              <w:rPr>
                <w:rFonts w:ascii="Arial" w:eastAsia="Times New Roman" w:hAnsi="Arial" w:cs="Arial"/>
                <w:color w:val="000000"/>
                <w:kern w:val="24"/>
                <w:sz w:val="18"/>
                <w:szCs w:val="18"/>
                <w14:ligatures w14:val="none"/>
              </w:rPr>
              <w:t>3</w:t>
            </w:r>
            <w:r w:rsidR="00966911" w:rsidRPr="00055139">
              <w:rPr>
                <w:rFonts w:ascii="Arial" w:hAnsi="Arial" w:cs="Arial"/>
                <w:color w:val="000000"/>
                <w:kern w:val="24"/>
                <w:sz w:val="18"/>
                <w:szCs w:val="18"/>
                <w14:ligatures w14:val="none"/>
              </w:rPr>
              <w:t>5</w:t>
            </w:r>
          </w:p>
        </w:tc>
      </w:tr>
      <w:tr w:rsidR="000C6CCB" w:rsidRPr="00F34638" w14:paraId="4E67DF9F" w14:textId="77777777" w:rsidTr="000C6CCB">
        <w:trPr>
          <w:trHeight w:val="843"/>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30CFDD68"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CEP290</w:t>
            </w:r>
          </w:p>
          <w:p w14:paraId="316D9E3F"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mutation</w:t>
            </w:r>
          </w:p>
        </w:tc>
        <w:tc>
          <w:tcPr>
            <w:tcW w:w="58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55CAAF5"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F174B33" w14:textId="77777777" w:rsidR="00F34638" w:rsidRPr="00F34638" w:rsidRDefault="00F34638" w:rsidP="00F34638">
            <w:pPr>
              <w:spacing w:before="120" w:after="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Involved in ciliary assembly and trafficking; CEP290 was expressed in hepatocellular carcinoma (HCC) tissues and various liver cancer cell lines, and play crucial roles in the proliferation, migration, infiltration, and ferroptosis of HCC cells.</w:t>
            </w:r>
          </w:p>
        </w:tc>
        <w:tc>
          <w:tcPr>
            <w:tcW w:w="951"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BACC756" w14:textId="5022A8D6" w:rsidR="00F34638" w:rsidRPr="00055139" w:rsidRDefault="00055139" w:rsidP="00F34638">
            <w:pPr>
              <w:spacing w:after="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43</w:t>
            </w:r>
          </w:p>
        </w:tc>
      </w:tr>
      <w:tr w:rsidR="000C6CCB" w:rsidRPr="00F34638" w14:paraId="789DD740" w14:textId="77777777" w:rsidTr="000C6CCB">
        <w:trPr>
          <w:trHeight w:val="685"/>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01FAA524"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IGF1R</w:t>
            </w:r>
          </w:p>
        </w:tc>
        <w:tc>
          <w:tcPr>
            <w:tcW w:w="58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79E0968"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4DB9E85" w14:textId="77777777" w:rsidR="00F34638" w:rsidRPr="00F34638" w:rsidRDefault="00F34638" w:rsidP="00F34638">
            <w:pPr>
              <w:spacing w:after="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 xml:space="preserve">Links </w:t>
            </w:r>
            <w:r w:rsidRPr="00F34638">
              <w:rPr>
                <w:rFonts w:ascii="Arial" w:eastAsia="DengXian" w:hAnsi="Arial" w:cs="Arial"/>
                <w:color w:val="000000"/>
                <w:kern w:val="24"/>
                <w:sz w:val="18"/>
                <w:szCs w:val="18"/>
                <w14:ligatures w14:val="none"/>
              </w:rPr>
              <w:t xml:space="preserve">to EGFR over-expression as </w:t>
            </w:r>
            <w:r w:rsidRPr="00F34638">
              <w:rPr>
                <w:rFonts w:ascii="Arial" w:eastAsia="Times New Roman" w:hAnsi="Arial" w:cs="Arial"/>
                <w:color w:val="000000"/>
                <w:kern w:val="24"/>
                <w:sz w:val="18"/>
                <w:szCs w:val="18"/>
                <w14:ligatures w14:val="none"/>
              </w:rPr>
              <w:t xml:space="preserve">commonly co-expressed; IGF signaling confers EGFR-TKI resistance due to the activation of MAPK and PI3K-AKT signaling pathways. </w:t>
            </w:r>
          </w:p>
        </w:tc>
        <w:tc>
          <w:tcPr>
            <w:tcW w:w="951"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85D2695" w14:textId="61DEE322" w:rsidR="00F34638" w:rsidRPr="00055139" w:rsidRDefault="00F34638" w:rsidP="00F34638">
            <w:pPr>
              <w:spacing w:after="0" w:line="240" w:lineRule="auto"/>
              <w:jc w:val="center"/>
              <w:textAlignment w:val="bottom"/>
              <w:rPr>
                <w:rFonts w:ascii="Arial" w:eastAsia="Times New Roman" w:hAnsi="Arial" w:cs="Arial"/>
                <w:kern w:val="0"/>
                <w:sz w:val="36"/>
                <w:szCs w:val="36"/>
                <w14:ligatures w14:val="none"/>
              </w:rPr>
            </w:pPr>
            <w:r w:rsidRPr="00055139">
              <w:rPr>
                <w:rFonts w:ascii="Arial" w:eastAsia="Times New Roman" w:hAnsi="Arial" w:cs="Arial"/>
                <w:color w:val="000000"/>
                <w:kern w:val="24"/>
                <w:sz w:val="18"/>
                <w:szCs w:val="18"/>
                <w14:ligatures w14:val="none"/>
              </w:rPr>
              <w:t>3</w:t>
            </w:r>
            <w:r w:rsidR="00055139" w:rsidRPr="00055139">
              <w:rPr>
                <w:rFonts w:ascii="Arial" w:hAnsi="Arial" w:cs="Arial"/>
                <w:color w:val="000000"/>
                <w:kern w:val="24"/>
                <w:sz w:val="18"/>
                <w:szCs w:val="18"/>
                <w14:ligatures w14:val="none"/>
              </w:rPr>
              <w:t>6</w:t>
            </w:r>
            <w:r w:rsidRPr="00055139">
              <w:rPr>
                <w:rFonts w:ascii="Arial" w:eastAsia="Times New Roman" w:hAnsi="Arial" w:cs="Arial"/>
                <w:color w:val="000000"/>
                <w:kern w:val="24"/>
                <w:sz w:val="18"/>
                <w:szCs w:val="18"/>
                <w14:ligatures w14:val="none"/>
              </w:rPr>
              <w:t>,3</w:t>
            </w:r>
            <w:r w:rsidR="00055139" w:rsidRPr="00055139">
              <w:rPr>
                <w:rFonts w:ascii="Arial" w:hAnsi="Arial" w:cs="Arial"/>
                <w:color w:val="000000"/>
                <w:kern w:val="24"/>
                <w:sz w:val="18"/>
                <w:szCs w:val="18"/>
                <w14:ligatures w14:val="none"/>
              </w:rPr>
              <w:t>7</w:t>
            </w:r>
          </w:p>
        </w:tc>
      </w:tr>
      <w:tr w:rsidR="000C6CCB" w:rsidRPr="00F34638" w14:paraId="3382092F" w14:textId="77777777" w:rsidTr="000C6CCB">
        <w:trPr>
          <w:trHeight w:val="783"/>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5A57AA22"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OSMR</w:t>
            </w:r>
          </w:p>
        </w:tc>
        <w:tc>
          <w:tcPr>
            <w:tcW w:w="58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7026CC2A"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B736417"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It contributes to the regulation of local immune response and extracellular matrix processes in glioblastoma multiforme; OSMR is a co-receptor for EGFR, and has been shown to enhance EGFR signaling in glioblastoma</w:t>
            </w:r>
          </w:p>
        </w:tc>
        <w:tc>
          <w:tcPr>
            <w:tcW w:w="951"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34D39182" w14:textId="5EB5EC01" w:rsidR="00F34638" w:rsidRPr="00055139" w:rsidRDefault="00F34638" w:rsidP="00F34638">
            <w:pPr>
              <w:spacing w:after="0" w:line="240" w:lineRule="auto"/>
              <w:jc w:val="center"/>
              <w:textAlignment w:val="bottom"/>
              <w:rPr>
                <w:rFonts w:ascii="Arial" w:hAnsi="Arial" w:cs="Arial"/>
                <w:kern w:val="0"/>
                <w:sz w:val="36"/>
                <w:szCs w:val="36"/>
                <w14:ligatures w14:val="none"/>
              </w:rPr>
            </w:pPr>
            <w:r w:rsidRPr="00055139">
              <w:rPr>
                <w:rFonts w:ascii="Arial" w:eastAsia="Times New Roman" w:hAnsi="Arial" w:cs="Arial"/>
                <w:color w:val="000000"/>
                <w:kern w:val="24"/>
                <w:sz w:val="18"/>
                <w:szCs w:val="18"/>
                <w14:ligatures w14:val="none"/>
              </w:rPr>
              <w:t>3</w:t>
            </w:r>
            <w:r w:rsidR="00055139" w:rsidRPr="00055139">
              <w:rPr>
                <w:rFonts w:ascii="Arial" w:hAnsi="Arial" w:cs="Arial"/>
                <w:color w:val="000000"/>
                <w:kern w:val="24"/>
                <w:sz w:val="18"/>
                <w:szCs w:val="18"/>
                <w14:ligatures w14:val="none"/>
              </w:rPr>
              <w:t>8</w:t>
            </w:r>
          </w:p>
        </w:tc>
      </w:tr>
      <w:tr w:rsidR="000C6CCB" w:rsidRPr="00F34638" w14:paraId="1CBD2EDB" w14:textId="77777777" w:rsidTr="000C6CCB">
        <w:trPr>
          <w:trHeight w:val="837"/>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1EA72B90"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AREG</w:t>
            </w:r>
          </w:p>
        </w:tc>
        <w:tc>
          <w:tcPr>
            <w:tcW w:w="58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E3F04D6"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22A95132" w14:textId="77777777" w:rsidR="00F34638" w:rsidRPr="00F34638" w:rsidRDefault="00F34638" w:rsidP="00F34638">
            <w:pPr>
              <w:spacing w:after="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One of the major ligands of EGFR;  EGFR activation has a longer half</w:t>
            </w:r>
            <w:r w:rsidRPr="00F34638">
              <w:rPr>
                <w:rFonts w:ascii="Times New Roman" w:eastAsia="Times New Roman" w:hAnsi="Times New Roman" w:cs="Times New Roman"/>
                <w:color w:val="000000"/>
                <w:kern w:val="24"/>
                <w:sz w:val="18"/>
                <w:szCs w:val="18"/>
                <w14:ligatures w14:val="none"/>
              </w:rPr>
              <w:t>‐</w:t>
            </w:r>
            <w:r w:rsidRPr="00F34638">
              <w:rPr>
                <w:rFonts w:ascii="Arial" w:eastAsia="Times New Roman" w:hAnsi="Arial" w:cs="Arial"/>
                <w:color w:val="000000"/>
                <w:kern w:val="24"/>
                <w:sz w:val="18"/>
                <w:szCs w:val="18"/>
                <w14:ligatures w14:val="none"/>
              </w:rPr>
              <w:t>life stimulated by AREG than by EGF, and is either stabilized or recycled to the cell surface, resulting in overexpression of EGFR at the protein level</w:t>
            </w:r>
          </w:p>
        </w:tc>
        <w:tc>
          <w:tcPr>
            <w:tcW w:w="951"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49CC1A1" w14:textId="6576F057" w:rsidR="00F34638" w:rsidRPr="00055139" w:rsidRDefault="00055139" w:rsidP="00F34638">
            <w:pPr>
              <w:spacing w:after="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39</w:t>
            </w:r>
          </w:p>
        </w:tc>
      </w:tr>
      <w:tr w:rsidR="000C6CCB" w:rsidRPr="00F34638" w14:paraId="52124E64" w14:textId="77777777" w:rsidTr="000C6CCB">
        <w:trPr>
          <w:trHeight w:val="611"/>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20BB5A95"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FN1</w:t>
            </w:r>
          </w:p>
        </w:tc>
        <w:tc>
          <w:tcPr>
            <w:tcW w:w="58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4E8EC37F"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5EEAFE9"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One of the key genes upregulated by the AREG-EGFR axis; high levels of FN1 mRNA and protein were observed in breast cancer cell lines that also express high levels of AREG</w:t>
            </w:r>
          </w:p>
        </w:tc>
        <w:tc>
          <w:tcPr>
            <w:tcW w:w="951"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40DF5024" w14:textId="76683EDA" w:rsidR="00F34638" w:rsidRPr="00055139" w:rsidRDefault="00055139" w:rsidP="00F34638">
            <w:pPr>
              <w:spacing w:before="120" w:after="12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40</w:t>
            </w:r>
          </w:p>
        </w:tc>
      </w:tr>
      <w:tr w:rsidR="000C6CCB" w:rsidRPr="00F34638" w14:paraId="1E31C438" w14:textId="77777777" w:rsidTr="000C6CCB">
        <w:trPr>
          <w:trHeight w:val="650"/>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23563FF3"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ITGA5</w:t>
            </w:r>
          </w:p>
        </w:tc>
        <w:tc>
          <w:tcPr>
            <w:tcW w:w="58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3EE01D27"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36CB2CC6" w14:textId="77777777" w:rsidR="00F34638" w:rsidRPr="00F34638" w:rsidRDefault="00F34638" w:rsidP="00F34638">
            <w:pPr>
              <w:spacing w:before="120" w:after="12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Encodes integrin subunit α5, which combined with ITGB1 to form Integrin α5β1, a receptor for FN1</w:t>
            </w:r>
          </w:p>
        </w:tc>
        <w:tc>
          <w:tcPr>
            <w:tcW w:w="951"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2B8165F9" w14:textId="4BA2CFFD" w:rsidR="00F34638" w:rsidRPr="00055139" w:rsidRDefault="00055139" w:rsidP="00F34638">
            <w:pPr>
              <w:spacing w:before="120" w:after="12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40</w:t>
            </w:r>
          </w:p>
        </w:tc>
      </w:tr>
      <w:tr w:rsidR="000C6CCB" w:rsidRPr="00F34638" w14:paraId="1B75B513" w14:textId="77777777" w:rsidTr="000C6CCB">
        <w:trPr>
          <w:trHeight w:val="702"/>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76416C1C"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ICAM1</w:t>
            </w:r>
          </w:p>
        </w:tc>
        <w:tc>
          <w:tcPr>
            <w:tcW w:w="58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46DD7139"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384D65B5" w14:textId="77777777" w:rsidR="00F34638" w:rsidRPr="00F34638" w:rsidRDefault="00F34638" w:rsidP="00F34638">
            <w:pPr>
              <w:spacing w:after="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lang w:val="pt-BR"/>
                <w14:ligatures w14:val="none"/>
              </w:rPr>
              <w:t xml:space="preserve">A downstream molecule of EGFR pathway, which is </w:t>
            </w:r>
            <w:r w:rsidRPr="00F34638">
              <w:rPr>
                <w:rFonts w:ascii="Arial" w:eastAsia="Times New Roman" w:hAnsi="Arial" w:cs="Arial"/>
                <w:color w:val="000000"/>
                <w:kern w:val="24"/>
                <w:sz w:val="18"/>
                <w:szCs w:val="18"/>
                <w14:ligatures w14:val="none"/>
              </w:rPr>
              <w:t xml:space="preserve">up-regulated by PI3K/Akt signaling through the activation of EGFR by the ligand AREG; ICAM1 overexpression is associated with tumor metastasis. </w:t>
            </w:r>
          </w:p>
        </w:tc>
        <w:tc>
          <w:tcPr>
            <w:tcW w:w="951"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C43ADF8" w14:textId="018CB5E0" w:rsidR="00F34638" w:rsidRPr="00055139" w:rsidRDefault="00055139" w:rsidP="00F34638">
            <w:pPr>
              <w:spacing w:after="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41</w:t>
            </w:r>
          </w:p>
        </w:tc>
      </w:tr>
      <w:tr w:rsidR="000C6CCB" w:rsidRPr="00F34638" w14:paraId="3CA7F80A" w14:textId="77777777" w:rsidTr="000C6CCB">
        <w:trPr>
          <w:trHeight w:val="728"/>
        </w:trPr>
        <w:tc>
          <w:tcPr>
            <w:tcW w:w="779"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0DB0534D" w14:textId="77777777" w:rsidR="00F34638" w:rsidRPr="00F34638" w:rsidRDefault="00F34638" w:rsidP="00F34638">
            <w:pPr>
              <w:spacing w:after="0" w:line="240" w:lineRule="auto"/>
              <w:jc w:val="center"/>
              <w:textAlignment w:val="center"/>
              <w:rPr>
                <w:rFonts w:ascii="Arial" w:eastAsia="Times New Roman" w:hAnsi="Arial" w:cs="Arial"/>
                <w:kern w:val="0"/>
                <w:sz w:val="36"/>
                <w:szCs w:val="36"/>
                <w14:ligatures w14:val="none"/>
              </w:rPr>
            </w:pPr>
            <w:r w:rsidRPr="00F34638">
              <w:rPr>
                <w:rFonts w:ascii="Arial" w:eastAsia="Times New Roman" w:hAnsi="Arial" w:cs="Arial"/>
                <w:b/>
                <w:bCs/>
                <w:i/>
                <w:iCs/>
                <w:color w:val="F2F2F2"/>
                <w:kern w:val="24"/>
                <w:sz w:val="18"/>
                <w:szCs w:val="18"/>
                <w14:ligatures w14:val="none"/>
              </w:rPr>
              <w:t>RUNX1</w:t>
            </w:r>
          </w:p>
        </w:tc>
        <w:tc>
          <w:tcPr>
            <w:tcW w:w="58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407869B2" w14:textId="77777777" w:rsidR="00F34638" w:rsidRPr="00F34638" w:rsidRDefault="00F34638" w:rsidP="00F34638">
            <w:pPr>
              <w:spacing w:after="0" w:line="240" w:lineRule="auto"/>
              <w:jc w:val="center"/>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w:t>
            </w:r>
          </w:p>
        </w:tc>
        <w:tc>
          <w:tcPr>
            <w:tcW w:w="6808"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667B9865" w14:textId="385BA7C9" w:rsidR="00F34638" w:rsidRPr="00F34638" w:rsidRDefault="00F34638" w:rsidP="00F34638">
            <w:pPr>
              <w:spacing w:after="0" w:line="240" w:lineRule="auto"/>
              <w:textAlignment w:val="bottom"/>
              <w:rPr>
                <w:rFonts w:ascii="Arial" w:eastAsia="Times New Roman" w:hAnsi="Arial" w:cs="Arial"/>
                <w:kern w:val="0"/>
                <w:sz w:val="36"/>
                <w:szCs w:val="36"/>
                <w14:ligatures w14:val="none"/>
              </w:rPr>
            </w:pPr>
            <w:r w:rsidRPr="00F34638">
              <w:rPr>
                <w:rFonts w:ascii="Arial" w:eastAsia="Times New Roman" w:hAnsi="Arial" w:cs="Arial"/>
                <w:color w:val="000000"/>
                <w:kern w:val="24"/>
                <w:sz w:val="18"/>
                <w:szCs w:val="18"/>
                <w14:ligatures w14:val="none"/>
              </w:rPr>
              <w:t xml:space="preserve">Promotes phosphorylated form of </w:t>
            </w:r>
            <w:r w:rsidR="00352462" w:rsidRPr="00F34638">
              <w:rPr>
                <w:rFonts w:ascii="Arial" w:eastAsia="Times New Roman" w:hAnsi="Arial" w:cs="Arial"/>
                <w:color w:val="000000"/>
                <w:kern w:val="24"/>
                <w:sz w:val="18"/>
                <w:szCs w:val="18"/>
                <w14:ligatures w14:val="none"/>
              </w:rPr>
              <w:t>EGFR and</w:t>
            </w:r>
            <w:r w:rsidRPr="00F34638">
              <w:rPr>
                <w:rFonts w:ascii="Arial" w:eastAsia="Times New Roman" w:hAnsi="Arial" w:cs="Arial"/>
                <w:color w:val="000000"/>
                <w:kern w:val="24"/>
                <w:sz w:val="18"/>
                <w:szCs w:val="18"/>
                <w14:ligatures w14:val="none"/>
              </w:rPr>
              <w:t xml:space="preserve"> upregulates EGFR at the transcriptional level by directly binding to the promoter of the EGFR gene</w:t>
            </w:r>
          </w:p>
        </w:tc>
        <w:tc>
          <w:tcPr>
            <w:tcW w:w="951"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2E924684" w14:textId="28F52ABD" w:rsidR="00F34638" w:rsidRPr="00055139" w:rsidRDefault="00055139" w:rsidP="00F34638">
            <w:pPr>
              <w:spacing w:after="0" w:line="240" w:lineRule="auto"/>
              <w:jc w:val="center"/>
              <w:textAlignment w:val="bottom"/>
              <w:rPr>
                <w:rFonts w:ascii="Arial" w:eastAsia="Times New Roman" w:hAnsi="Arial" w:cs="Arial"/>
                <w:kern w:val="0"/>
                <w:sz w:val="36"/>
                <w:szCs w:val="36"/>
                <w14:ligatures w14:val="none"/>
              </w:rPr>
            </w:pPr>
            <w:r w:rsidRPr="00055139">
              <w:rPr>
                <w:rFonts w:ascii="Arial" w:hAnsi="Arial" w:cs="Arial"/>
                <w:color w:val="000000"/>
                <w:kern w:val="24"/>
                <w:sz w:val="18"/>
                <w:szCs w:val="18"/>
                <w14:ligatures w14:val="none"/>
              </w:rPr>
              <w:t>42</w:t>
            </w:r>
          </w:p>
        </w:tc>
      </w:tr>
    </w:tbl>
    <w:p w14:paraId="6F09BD0C" w14:textId="77777777" w:rsidR="00D451A5" w:rsidRPr="00D451A5" w:rsidRDefault="00D451A5" w:rsidP="00D451A5">
      <w:pPr>
        <w:spacing w:before="240" w:after="0" w:line="240" w:lineRule="auto"/>
        <w:rPr>
          <w:rFonts w:ascii="Times New Roman" w:hAnsi="Times New Roman" w:cs="Times New Roman"/>
        </w:rPr>
      </w:pPr>
      <w:r w:rsidRPr="00D451A5">
        <w:rPr>
          <w:rFonts w:ascii="Times New Roman" w:hAnsi="Times New Roman" w:cs="Times New Roman"/>
          <w:b/>
          <w:bCs/>
        </w:rPr>
        <w:t>Supplementary Table 3: Functions of genes positively predicting the efficacy of TAVO412</w:t>
      </w:r>
    </w:p>
    <w:p w14:paraId="6694C028" w14:textId="5B312D8B" w:rsidR="00D451A5" w:rsidRDefault="00D451A5" w:rsidP="0081061B">
      <w:pPr>
        <w:spacing w:after="0" w:line="240" w:lineRule="auto"/>
        <w:rPr>
          <w:rFonts w:ascii="Times New Roman" w:hAnsi="Times New Roman" w:cs="Times New Roman"/>
        </w:rPr>
      </w:pPr>
      <w:r w:rsidRPr="00D451A5">
        <w:rPr>
          <w:rFonts w:ascii="Times New Roman" w:hAnsi="Times New Roman" w:cs="Times New Roman"/>
        </w:rPr>
        <w:t>The genes that positively (+) predict</w:t>
      </w:r>
      <w:r w:rsidR="00063A59">
        <w:rPr>
          <w:rFonts w:ascii="Times New Roman" w:hAnsi="Times New Roman" w:cs="Times New Roman"/>
        </w:rPr>
        <w:t>ed</w:t>
      </w:r>
      <w:r w:rsidRPr="00D451A5">
        <w:rPr>
          <w:rFonts w:ascii="Times New Roman" w:hAnsi="Times New Roman" w:cs="Times New Roman"/>
        </w:rPr>
        <w:t xml:space="preserve"> TAVO412 efficacy w</w:t>
      </w:r>
      <w:r w:rsidR="00063A59">
        <w:rPr>
          <w:rFonts w:ascii="Times New Roman" w:hAnsi="Times New Roman" w:cs="Times New Roman"/>
        </w:rPr>
        <w:t>ere</w:t>
      </w:r>
      <w:r w:rsidRPr="00D451A5">
        <w:rPr>
          <w:rFonts w:ascii="Times New Roman" w:hAnsi="Times New Roman" w:cs="Times New Roman"/>
        </w:rPr>
        <w:t xml:space="preserve"> listed. The association between the proteins encoded by these genes and the signal pathways/functions related to TAVO412 targets w</w:t>
      </w:r>
      <w:r w:rsidR="00063A59">
        <w:rPr>
          <w:rFonts w:ascii="Times New Roman" w:hAnsi="Times New Roman" w:cs="Times New Roman"/>
        </w:rPr>
        <w:t>ere</w:t>
      </w:r>
      <w:r w:rsidRPr="00D451A5">
        <w:rPr>
          <w:rFonts w:ascii="Times New Roman" w:hAnsi="Times New Roman" w:cs="Times New Roman"/>
        </w:rPr>
        <w:t xml:space="preserve"> summarized. For TAVO412 targets, the potential to be biomarkers was illustrated. The abbreviations for the genes: </w:t>
      </w:r>
      <w:r w:rsidRPr="00D451A5">
        <w:rPr>
          <w:rFonts w:ascii="Times New Roman" w:hAnsi="Times New Roman" w:cs="Times New Roman"/>
          <w:i/>
          <w:iCs/>
        </w:rPr>
        <w:t xml:space="preserve">VEGFA, </w:t>
      </w:r>
      <w:r w:rsidRPr="00D451A5">
        <w:rPr>
          <w:rFonts w:ascii="Times New Roman" w:hAnsi="Times New Roman" w:cs="Times New Roman"/>
        </w:rPr>
        <w:t>Vascular Endothelial Growth Factor A gene</w:t>
      </w:r>
      <w:r w:rsidRPr="00D451A5">
        <w:rPr>
          <w:rFonts w:ascii="Times New Roman" w:hAnsi="Times New Roman" w:cs="Times New Roman"/>
          <w:i/>
          <w:iCs/>
        </w:rPr>
        <w:t xml:space="preserve">; EGFR, </w:t>
      </w:r>
      <w:r w:rsidRPr="00D451A5">
        <w:rPr>
          <w:rFonts w:ascii="Times New Roman" w:hAnsi="Times New Roman" w:cs="Times New Roman"/>
        </w:rPr>
        <w:t>Epidermal Growth Factor Receptor gene</w:t>
      </w:r>
      <w:r w:rsidRPr="00D451A5">
        <w:rPr>
          <w:rFonts w:ascii="Times New Roman" w:hAnsi="Times New Roman" w:cs="Times New Roman"/>
          <w:i/>
          <w:iCs/>
        </w:rPr>
        <w:t xml:space="preserve">; CEP290, </w:t>
      </w:r>
      <w:r w:rsidRPr="00D451A5">
        <w:rPr>
          <w:rFonts w:ascii="Times New Roman" w:hAnsi="Times New Roman" w:cs="Times New Roman"/>
        </w:rPr>
        <w:t>Centrosomal Protein 290 gene</w:t>
      </w:r>
      <w:r w:rsidRPr="00D451A5">
        <w:rPr>
          <w:rFonts w:ascii="Times New Roman" w:hAnsi="Times New Roman" w:cs="Times New Roman"/>
          <w:i/>
          <w:iCs/>
        </w:rPr>
        <w:t xml:space="preserve">;  IGF1R, </w:t>
      </w:r>
      <w:r w:rsidRPr="00D451A5">
        <w:rPr>
          <w:rFonts w:ascii="Times New Roman" w:hAnsi="Times New Roman" w:cs="Times New Roman"/>
        </w:rPr>
        <w:t>Insulin-Like Growth Factor 1 Receptor gene</w:t>
      </w:r>
      <w:r w:rsidRPr="00D451A5">
        <w:rPr>
          <w:rFonts w:ascii="Times New Roman" w:hAnsi="Times New Roman" w:cs="Times New Roman"/>
          <w:i/>
          <w:iCs/>
        </w:rPr>
        <w:t>;</w:t>
      </w:r>
      <w:r w:rsidRPr="00D451A5">
        <w:rPr>
          <w:rFonts w:ascii="Times New Roman" w:hAnsi="Times New Roman" w:cs="Times New Roman"/>
        </w:rPr>
        <w:t xml:space="preserve"> </w:t>
      </w:r>
      <w:r w:rsidRPr="00D451A5">
        <w:rPr>
          <w:rFonts w:ascii="Times New Roman" w:hAnsi="Times New Roman" w:cs="Times New Roman"/>
          <w:i/>
          <w:iCs/>
        </w:rPr>
        <w:t xml:space="preserve">OSMR, </w:t>
      </w:r>
      <w:r w:rsidRPr="00D451A5">
        <w:rPr>
          <w:rFonts w:ascii="Times New Roman" w:hAnsi="Times New Roman" w:cs="Times New Roman"/>
        </w:rPr>
        <w:t>oncostatin M receptor gene</w:t>
      </w:r>
      <w:r w:rsidRPr="00D451A5">
        <w:rPr>
          <w:rFonts w:ascii="Times New Roman" w:hAnsi="Times New Roman" w:cs="Times New Roman"/>
          <w:i/>
          <w:iCs/>
        </w:rPr>
        <w:t xml:space="preserve">; AREG, </w:t>
      </w:r>
      <w:r w:rsidRPr="00D451A5">
        <w:rPr>
          <w:rFonts w:ascii="Times New Roman" w:hAnsi="Times New Roman" w:cs="Times New Roman"/>
        </w:rPr>
        <w:t>Amphiregulin gene</w:t>
      </w:r>
      <w:r w:rsidRPr="00D451A5">
        <w:rPr>
          <w:rFonts w:ascii="Times New Roman" w:hAnsi="Times New Roman" w:cs="Times New Roman"/>
          <w:i/>
          <w:iCs/>
        </w:rPr>
        <w:t xml:space="preserve">; FN1, </w:t>
      </w:r>
      <w:r w:rsidRPr="00D451A5">
        <w:rPr>
          <w:rFonts w:ascii="Times New Roman" w:hAnsi="Times New Roman" w:cs="Times New Roman"/>
        </w:rPr>
        <w:t>Fibronectin 1 gene</w:t>
      </w:r>
      <w:r w:rsidRPr="00D451A5">
        <w:rPr>
          <w:rFonts w:ascii="Times New Roman" w:hAnsi="Times New Roman" w:cs="Times New Roman"/>
          <w:i/>
          <w:iCs/>
        </w:rPr>
        <w:t xml:space="preserve">; ITGA5, </w:t>
      </w:r>
      <w:r w:rsidRPr="00D451A5">
        <w:rPr>
          <w:rFonts w:ascii="Times New Roman" w:hAnsi="Times New Roman" w:cs="Times New Roman"/>
        </w:rPr>
        <w:t>Integrin Subunit Alpha 5 gene</w:t>
      </w:r>
      <w:r w:rsidRPr="00D451A5">
        <w:rPr>
          <w:rFonts w:ascii="Times New Roman" w:hAnsi="Times New Roman" w:cs="Times New Roman"/>
          <w:i/>
          <w:iCs/>
        </w:rPr>
        <w:t xml:space="preserve">; </w:t>
      </w:r>
      <w:r w:rsidRPr="00D451A5">
        <w:rPr>
          <w:rFonts w:ascii="Times New Roman" w:hAnsi="Times New Roman" w:cs="Times New Roman"/>
          <w:i/>
          <w:iCs/>
          <w:lang w:val="pt-BR"/>
        </w:rPr>
        <w:t xml:space="preserve">ICAM-1, </w:t>
      </w:r>
      <w:r w:rsidRPr="00D451A5">
        <w:rPr>
          <w:rFonts w:ascii="Times New Roman" w:hAnsi="Times New Roman" w:cs="Times New Roman"/>
          <w:lang w:val="pt-BR"/>
        </w:rPr>
        <w:t>Intracellular adhesion molecule-1 gene</w:t>
      </w:r>
      <w:r w:rsidRPr="00D451A5">
        <w:rPr>
          <w:rFonts w:ascii="Times New Roman" w:hAnsi="Times New Roman" w:cs="Times New Roman"/>
          <w:i/>
          <w:iCs/>
        </w:rPr>
        <w:t xml:space="preserve">; RUNX1, </w:t>
      </w:r>
      <w:r w:rsidRPr="00D451A5">
        <w:rPr>
          <w:rFonts w:ascii="Times New Roman" w:hAnsi="Times New Roman" w:cs="Times New Roman"/>
        </w:rPr>
        <w:t>Runt-related transcription factor 1</w:t>
      </w:r>
      <w:r w:rsidRPr="00D451A5">
        <w:rPr>
          <w:rFonts w:ascii="Times New Roman" w:hAnsi="Times New Roman" w:cs="Times New Roman"/>
          <w:i/>
          <w:iCs/>
        </w:rPr>
        <w:t xml:space="preserve"> </w:t>
      </w:r>
      <w:r w:rsidRPr="00D451A5">
        <w:rPr>
          <w:rFonts w:ascii="Times New Roman" w:hAnsi="Times New Roman" w:cs="Times New Roman"/>
        </w:rPr>
        <w:t>gene.</w:t>
      </w:r>
    </w:p>
    <w:p w14:paraId="25472360" w14:textId="6303038B" w:rsidR="00FC43DD" w:rsidRDefault="00FC43DD" w:rsidP="00FC43DD">
      <w:pPr>
        <w:rPr>
          <w:rFonts w:ascii="Times New Roman" w:hAnsi="Times New Roman" w:cs="Times New Roman"/>
        </w:rPr>
      </w:pPr>
      <w:r>
        <w:rPr>
          <w:rFonts w:ascii="Times New Roman" w:hAnsi="Times New Roman" w:cs="Times New Roman"/>
        </w:rPr>
        <w:lastRenderedPageBreak/>
        <w:t>Supplementary Table 4</w:t>
      </w:r>
    </w:p>
    <w:p w14:paraId="0EEC85AD" w14:textId="77777777" w:rsidR="008B4404" w:rsidRDefault="008B4404" w:rsidP="008B4404">
      <w:pPr>
        <w:spacing w:after="0" w:line="240" w:lineRule="auto"/>
        <w:rPr>
          <w:rFonts w:ascii="Times New Roman" w:hAnsi="Times New Roman" w:cs="Times New Roman"/>
        </w:rPr>
      </w:pPr>
    </w:p>
    <w:tbl>
      <w:tblPr>
        <w:tblW w:w="9260" w:type="dxa"/>
        <w:tblCellMar>
          <w:left w:w="0" w:type="dxa"/>
          <w:right w:w="0" w:type="dxa"/>
        </w:tblCellMar>
        <w:tblLook w:val="04A0" w:firstRow="1" w:lastRow="0" w:firstColumn="1" w:lastColumn="0" w:noHBand="0" w:noVBand="1"/>
      </w:tblPr>
      <w:tblGrid>
        <w:gridCol w:w="938"/>
        <w:gridCol w:w="594"/>
        <w:gridCol w:w="6406"/>
        <w:gridCol w:w="1322"/>
      </w:tblGrid>
      <w:tr w:rsidR="0004158A" w:rsidRPr="00D451A5" w14:paraId="1455FBBC" w14:textId="77777777" w:rsidTr="003D654D">
        <w:trPr>
          <w:trHeight w:val="720"/>
        </w:trPr>
        <w:tc>
          <w:tcPr>
            <w:tcW w:w="938"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6E1E1018" w14:textId="77777777" w:rsidR="00D451A5" w:rsidRPr="00D451A5" w:rsidRDefault="00D451A5" w:rsidP="0004158A">
            <w:pPr>
              <w:spacing w:after="0" w:line="240" w:lineRule="auto"/>
              <w:jc w:val="center"/>
              <w:textAlignment w:val="center"/>
              <w:rPr>
                <w:rFonts w:ascii="Arial" w:eastAsia="Times New Roman" w:hAnsi="Arial" w:cs="Arial"/>
                <w:b/>
                <w:bCs/>
                <w:color w:val="F2F2F2"/>
                <w:kern w:val="24"/>
                <w:sz w:val="18"/>
                <w:szCs w:val="18"/>
                <w14:ligatures w14:val="none"/>
              </w:rPr>
            </w:pPr>
            <w:r w:rsidRPr="00D451A5">
              <w:rPr>
                <w:rFonts w:ascii="Arial" w:eastAsia="Times New Roman" w:hAnsi="Arial" w:cs="Arial"/>
                <w:b/>
                <w:bCs/>
                <w:color w:val="F2F2F2"/>
                <w:kern w:val="24"/>
                <w:sz w:val="18"/>
                <w:szCs w:val="18"/>
                <w14:ligatures w14:val="none"/>
              </w:rPr>
              <w:t>Genes</w:t>
            </w:r>
          </w:p>
        </w:tc>
        <w:tc>
          <w:tcPr>
            <w:tcW w:w="594"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125C5285" w14:textId="77777777" w:rsidR="00D451A5" w:rsidRPr="00D451A5" w:rsidRDefault="00D451A5" w:rsidP="003D654D">
            <w:pPr>
              <w:spacing w:after="0" w:line="240" w:lineRule="auto"/>
              <w:jc w:val="center"/>
              <w:textAlignment w:val="center"/>
              <w:rPr>
                <w:rFonts w:ascii="Arial" w:eastAsia="Times New Roman" w:hAnsi="Arial" w:cs="Arial"/>
                <w:b/>
                <w:bCs/>
                <w:color w:val="F2F2F2"/>
                <w:kern w:val="24"/>
                <w:sz w:val="18"/>
                <w:szCs w:val="18"/>
                <w14:ligatures w14:val="none"/>
              </w:rPr>
            </w:pPr>
            <w:r w:rsidRPr="00D451A5">
              <w:rPr>
                <w:rFonts w:ascii="Arial" w:eastAsia="Times New Roman" w:hAnsi="Arial" w:cs="Arial"/>
                <w:b/>
                <w:bCs/>
                <w:color w:val="F2F2F2"/>
                <w:kern w:val="24"/>
                <w:sz w:val="18"/>
                <w:szCs w:val="18"/>
                <w14:ligatures w14:val="none"/>
              </w:rPr>
              <w:t>Type</w:t>
            </w:r>
          </w:p>
        </w:tc>
        <w:tc>
          <w:tcPr>
            <w:tcW w:w="6406"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vAlign w:val="center"/>
            <w:hideMark/>
          </w:tcPr>
          <w:p w14:paraId="7AD67E12" w14:textId="77777777" w:rsidR="00D451A5" w:rsidRPr="00D451A5" w:rsidRDefault="00D451A5" w:rsidP="003D654D">
            <w:pPr>
              <w:spacing w:after="0" w:line="240" w:lineRule="auto"/>
              <w:jc w:val="center"/>
              <w:textAlignment w:val="center"/>
              <w:rPr>
                <w:rFonts w:ascii="Arial" w:eastAsia="Times New Roman" w:hAnsi="Arial" w:cs="Arial"/>
                <w:b/>
                <w:bCs/>
                <w:color w:val="F2F2F2"/>
                <w:kern w:val="24"/>
                <w:sz w:val="18"/>
                <w:szCs w:val="18"/>
                <w14:ligatures w14:val="none"/>
              </w:rPr>
            </w:pPr>
            <w:r w:rsidRPr="00D451A5">
              <w:rPr>
                <w:rFonts w:ascii="Arial" w:eastAsia="Times New Roman" w:hAnsi="Arial" w:cs="Arial"/>
                <w:b/>
                <w:bCs/>
                <w:color w:val="F2F2F2"/>
                <w:kern w:val="24"/>
                <w:sz w:val="18"/>
                <w:szCs w:val="18"/>
                <w14:ligatures w14:val="none"/>
              </w:rPr>
              <w:t>Association of Encoded Protein with Signal Pathways/Functions</w:t>
            </w:r>
          </w:p>
        </w:tc>
        <w:tc>
          <w:tcPr>
            <w:tcW w:w="1322" w:type="dxa"/>
            <w:tcBorders>
              <w:top w:val="single" w:sz="8" w:space="0" w:color="FFFFFF"/>
              <w:left w:val="single" w:sz="8" w:space="0" w:color="FFFFFF"/>
              <w:bottom w:val="single" w:sz="24" w:space="0" w:color="FFFFFF"/>
              <w:right w:val="single" w:sz="8" w:space="0" w:color="FFFFFF"/>
            </w:tcBorders>
            <w:shd w:val="clear" w:color="auto" w:fill="4472C4"/>
            <w:tcMar>
              <w:top w:w="9" w:type="dxa"/>
              <w:left w:w="9" w:type="dxa"/>
              <w:bottom w:w="0" w:type="dxa"/>
              <w:right w:w="9" w:type="dxa"/>
            </w:tcMar>
            <w:hideMark/>
          </w:tcPr>
          <w:p w14:paraId="11AF7CDE" w14:textId="77777777" w:rsidR="00D451A5" w:rsidRPr="00D451A5" w:rsidRDefault="00D451A5" w:rsidP="003D654D">
            <w:pPr>
              <w:spacing w:before="240" w:after="0" w:line="240" w:lineRule="auto"/>
              <w:jc w:val="center"/>
              <w:rPr>
                <w:rFonts w:ascii="Arial" w:eastAsia="Times New Roman" w:hAnsi="Arial" w:cs="Arial"/>
                <w:b/>
                <w:bCs/>
                <w:color w:val="F2F2F2"/>
                <w:kern w:val="24"/>
                <w:sz w:val="18"/>
                <w:szCs w:val="18"/>
                <w14:ligatures w14:val="none"/>
              </w:rPr>
            </w:pPr>
            <w:r w:rsidRPr="00D451A5">
              <w:rPr>
                <w:rFonts w:ascii="Arial" w:eastAsia="Times New Roman" w:hAnsi="Arial" w:cs="Arial"/>
                <w:b/>
                <w:bCs/>
                <w:color w:val="F2F2F2"/>
                <w:kern w:val="24"/>
                <w:sz w:val="18"/>
                <w:szCs w:val="18"/>
                <w14:ligatures w14:val="none"/>
              </w:rPr>
              <w:t>References</w:t>
            </w:r>
          </w:p>
        </w:tc>
      </w:tr>
      <w:tr w:rsidR="00D451A5" w:rsidRPr="00D451A5" w14:paraId="1D08011C" w14:textId="77777777" w:rsidTr="007E0E8F">
        <w:trPr>
          <w:trHeight w:val="761"/>
        </w:trPr>
        <w:tc>
          <w:tcPr>
            <w:tcW w:w="938" w:type="dxa"/>
            <w:tcBorders>
              <w:top w:val="single" w:sz="24"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41A71FC8"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FGFR1</w:t>
            </w:r>
          </w:p>
        </w:tc>
        <w:tc>
          <w:tcPr>
            <w:tcW w:w="594"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437B163F"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64113983"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Responsible for acquired resistance to afatinib and AZD9291; aberrant activations of bFGF/FGFR are also essential alternative angiogenic pathways that induce drug resistance to anti-VEGFR therapy</w:t>
            </w:r>
          </w:p>
        </w:tc>
        <w:tc>
          <w:tcPr>
            <w:tcW w:w="1322" w:type="dxa"/>
            <w:tcBorders>
              <w:top w:val="single" w:sz="24"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3D85380" w14:textId="587825C7"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3</w:t>
            </w:r>
            <w:r w:rsidR="00513FEA">
              <w:rPr>
                <w:rFonts w:ascii="Arial" w:hAnsi="Arial" w:cs="Arial" w:hint="eastAsia"/>
                <w:color w:val="000000"/>
                <w:kern w:val="24"/>
                <w:sz w:val="18"/>
                <w:szCs w:val="18"/>
                <w14:ligatures w14:val="none"/>
              </w:rPr>
              <w:t>5</w:t>
            </w: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4</w:t>
            </w:r>
          </w:p>
        </w:tc>
      </w:tr>
      <w:tr w:rsidR="00D451A5" w:rsidRPr="00D451A5" w14:paraId="065E6B6D" w14:textId="77777777" w:rsidTr="007E0E8F">
        <w:trPr>
          <w:trHeight w:val="589"/>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571F5E12"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PTK2</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968BCA4"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7219D331"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The hyperphosphorylation of PTK2 occurs in various EGFR-TKI-resistant NSCLCs</w:t>
            </w:r>
          </w:p>
        </w:tc>
        <w:tc>
          <w:tcPr>
            <w:tcW w:w="132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3C7E30E" w14:textId="1336793C"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5</w:t>
            </w:r>
          </w:p>
        </w:tc>
      </w:tr>
      <w:tr w:rsidR="00D451A5" w:rsidRPr="00D451A5" w14:paraId="5AE7B56F" w14:textId="77777777" w:rsidTr="007E0E8F">
        <w:trPr>
          <w:trHeight w:val="680"/>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6F4BF82E"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STMN1</w:t>
            </w:r>
          </w:p>
        </w:tc>
        <w:tc>
          <w:tcPr>
            <w:tcW w:w="594"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07CF6C5"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6513B95B"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Encodes oncoprotein 18, which is a cytosolic phosphoprotein and a key regulator of cell division; overexpression of STMN1  confers EGFR-TKI resistance through the AKT/FOXM1/STMN1 pathway</w:t>
            </w:r>
          </w:p>
        </w:tc>
        <w:tc>
          <w:tcPr>
            <w:tcW w:w="132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40BAD770" w14:textId="3F2D5388"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6</w:t>
            </w:r>
          </w:p>
        </w:tc>
      </w:tr>
      <w:tr w:rsidR="00D451A5" w:rsidRPr="00D451A5" w14:paraId="42B35517" w14:textId="77777777" w:rsidTr="007E0E8F">
        <w:trPr>
          <w:trHeight w:val="711"/>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062843B0"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GAB2</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1B95AAD"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4ED89156"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This scaffolding protein serves as a critical signaling amplifier downstream of tyrosine kinase receptors; GAB2 was shown to be one of the key proteins conferring EGFR-TKI resistance</w:t>
            </w:r>
          </w:p>
        </w:tc>
        <w:tc>
          <w:tcPr>
            <w:tcW w:w="132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54C7F0F" w14:textId="630159F8"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7</w:t>
            </w:r>
          </w:p>
        </w:tc>
      </w:tr>
      <w:tr w:rsidR="00D451A5" w:rsidRPr="00D451A5" w14:paraId="1E159F8C" w14:textId="77777777" w:rsidTr="007E0E8F">
        <w:trPr>
          <w:trHeight w:val="829"/>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74D429BF"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ITGB8</w:t>
            </w:r>
          </w:p>
        </w:tc>
        <w:tc>
          <w:tcPr>
            <w:tcW w:w="594"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A526ECA"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1770EC2A"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 xml:space="preserve">ITGB8 encodes the β subunit of integrin (Integrin beta-8), which is upregulated in some types of cancer. Its overexpression was shown to be responsible for gefitinib resistance in hepatic cancer in a preclinical setting </w:t>
            </w:r>
          </w:p>
        </w:tc>
        <w:tc>
          <w:tcPr>
            <w:tcW w:w="132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6220C43F" w14:textId="0F65A2E4"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8</w:t>
            </w:r>
          </w:p>
        </w:tc>
      </w:tr>
      <w:tr w:rsidR="00D451A5" w:rsidRPr="00D451A5" w14:paraId="3BB55839" w14:textId="77777777" w:rsidTr="007E0E8F">
        <w:trPr>
          <w:trHeight w:val="869"/>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3E967E99"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PEBP1</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E838B06"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7793E0C"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Also know as Raf kinase inhibitor protein (RKIP), which is an endogenous inhibitor of Raf and it negatively regulates the Raf/MEK/ERK-signaling cascade. PEBP1 is a well-established metastasis suppressor, and the downregulation was associated with tumor progression</w:t>
            </w:r>
          </w:p>
        </w:tc>
        <w:tc>
          <w:tcPr>
            <w:tcW w:w="132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14E162B" w14:textId="6C4E6775" w:rsidR="00D451A5" w:rsidRPr="00513FEA" w:rsidRDefault="00D451A5" w:rsidP="007B31BA">
            <w:pPr>
              <w:spacing w:after="0" w:line="240" w:lineRule="auto"/>
              <w:jc w:val="center"/>
              <w:textAlignment w:val="bottom"/>
              <w:rPr>
                <w:rFonts w:ascii="Arial"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4</w:t>
            </w:r>
            <w:r w:rsidR="00513FEA">
              <w:rPr>
                <w:rFonts w:ascii="Arial" w:hAnsi="Arial" w:cs="Arial" w:hint="eastAsia"/>
                <w:color w:val="000000"/>
                <w:kern w:val="24"/>
                <w:sz w:val="18"/>
                <w:szCs w:val="18"/>
                <w14:ligatures w14:val="none"/>
              </w:rPr>
              <w:t>9</w:t>
            </w:r>
          </w:p>
        </w:tc>
      </w:tr>
      <w:tr w:rsidR="00D451A5" w:rsidRPr="00D451A5" w14:paraId="61091BD0" w14:textId="77777777" w:rsidTr="007E0E8F">
        <w:trPr>
          <w:trHeight w:val="593"/>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37064C10"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PPP1CC</w:t>
            </w:r>
          </w:p>
        </w:tc>
        <w:tc>
          <w:tcPr>
            <w:tcW w:w="594"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07A0D4FD"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401792DA"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 xml:space="preserve">PPP1CC gene encodes serine/threonine-protein phosphatase PP1-gamma catalytic subunit (PP1γ), which is aberrantly expressed in various cancers </w:t>
            </w:r>
          </w:p>
        </w:tc>
        <w:tc>
          <w:tcPr>
            <w:tcW w:w="132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63697DB9" w14:textId="3C8389E0" w:rsidR="00D451A5" w:rsidRPr="00513FEA" w:rsidRDefault="00513FEA" w:rsidP="007B31BA">
            <w:pPr>
              <w:spacing w:after="0" w:line="240" w:lineRule="auto"/>
              <w:jc w:val="center"/>
              <w:textAlignment w:val="bottom"/>
              <w:rPr>
                <w:rFonts w:ascii="Arial" w:hAnsi="Arial" w:cs="Arial"/>
                <w:color w:val="000000"/>
                <w:kern w:val="24"/>
                <w:sz w:val="18"/>
                <w:szCs w:val="18"/>
                <w14:ligatures w14:val="none"/>
              </w:rPr>
            </w:pPr>
            <w:r>
              <w:rPr>
                <w:rFonts w:ascii="Arial" w:hAnsi="Arial" w:cs="Arial" w:hint="eastAsia"/>
                <w:color w:val="000000"/>
                <w:kern w:val="24"/>
                <w:sz w:val="18"/>
                <w:szCs w:val="18"/>
                <w14:ligatures w14:val="none"/>
              </w:rPr>
              <w:t>50</w:t>
            </w:r>
          </w:p>
        </w:tc>
      </w:tr>
      <w:tr w:rsidR="00D451A5" w:rsidRPr="00D451A5" w14:paraId="114CEC73" w14:textId="77777777" w:rsidTr="007E0E8F">
        <w:trPr>
          <w:trHeight w:val="593"/>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357CF333"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MET</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58AAFF1"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48C5DD0"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MET gene amplification and exon 14 skipping mutations are clinically recognized biomarkers for MET targeted therapies, whereas the clinical utility of c-Met overexpression as a biomarker has not been definitively established</w:t>
            </w:r>
          </w:p>
        </w:tc>
        <w:tc>
          <w:tcPr>
            <w:tcW w:w="132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7F79CF4" w14:textId="7A3FF52B" w:rsidR="00D451A5" w:rsidRPr="00513FEA" w:rsidRDefault="00513FEA" w:rsidP="007B31BA">
            <w:pPr>
              <w:spacing w:after="0" w:line="240" w:lineRule="auto"/>
              <w:jc w:val="center"/>
              <w:textAlignment w:val="bottom"/>
              <w:rPr>
                <w:rFonts w:ascii="Arial" w:hAnsi="Arial" w:cs="Arial"/>
                <w:color w:val="000000"/>
                <w:kern w:val="24"/>
                <w:sz w:val="18"/>
                <w:szCs w:val="18"/>
                <w14:ligatures w14:val="none"/>
              </w:rPr>
            </w:pPr>
            <w:r>
              <w:rPr>
                <w:rFonts w:ascii="Arial" w:hAnsi="Arial" w:cs="Arial" w:hint="eastAsia"/>
                <w:color w:val="000000"/>
                <w:kern w:val="24"/>
                <w:sz w:val="18"/>
                <w:szCs w:val="18"/>
                <w14:ligatures w14:val="none"/>
              </w:rPr>
              <w:t>51</w:t>
            </w:r>
          </w:p>
        </w:tc>
      </w:tr>
      <w:tr w:rsidR="00D451A5" w:rsidRPr="00D451A5" w14:paraId="58BD7A83" w14:textId="77777777" w:rsidTr="007E0E8F">
        <w:trPr>
          <w:trHeight w:val="859"/>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4F17A6E8"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TFEB</w:t>
            </w:r>
          </w:p>
        </w:tc>
        <w:tc>
          <w:tcPr>
            <w:tcW w:w="594"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96AF5C9"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7764023F"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 xml:space="preserve">Encodes transcription factor EB, a master regulator of lysosomal function where EGFR proteolysis occurs. Hypoxia reduced mTORc1 activity and its ability to activate TFEB, thus preventing EGFR degradation. </w:t>
            </w:r>
          </w:p>
        </w:tc>
        <w:tc>
          <w:tcPr>
            <w:tcW w:w="1322" w:type="dxa"/>
            <w:tcBorders>
              <w:top w:val="single" w:sz="8" w:space="0" w:color="FFFFFF"/>
              <w:left w:val="single" w:sz="8" w:space="0" w:color="FFFFFF"/>
              <w:bottom w:val="single" w:sz="8" w:space="0" w:color="FFFFFF"/>
              <w:right w:val="single" w:sz="8" w:space="0" w:color="FFFFFF"/>
            </w:tcBorders>
            <w:shd w:val="clear" w:color="auto" w:fill="CFD5EA"/>
            <w:tcMar>
              <w:top w:w="9" w:type="dxa"/>
              <w:left w:w="9" w:type="dxa"/>
              <w:bottom w:w="0" w:type="dxa"/>
              <w:right w:w="9" w:type="dxa"/>
            </w:tcMar>
            <w:vAlign w:val="center"/>
            <w:hideMark/>
          </w:tcPr>
          <w:p w14:paraId="52B7301C" w14:textId="1ED2546E" w:rsidR="00D451A5" w:rsidRPr="00513FEA" w:rsidRDefault="00513FEA" w:rsidP="007B31BA">
            <w:pPr>
              <w:spacing w:after="0" w:line="240" w:lineRule="auto"/>
              <w:jc w:val="center"/>
              <w:textAlignment w:val="bottom"/>
              <w:rPr>
                <w:rFonts w:ascii="Arial" w:hAnsi="Arial" w:cs="Arial"/>
                <w:color w:val="000000"/>
                <w:kern w:val="24"/>
                <w:sz w:val="18"/>
                <w:szCs w:val="18"/>
                <w14:ligatures w14:val="none"/>
              </w:rPr>
            </w:pPr>
            <w:r>
              <w:rPr>
                <w:rFonts w:ascii="Arial" w:hAnsi="Arial" w:cs="Arial" w:hint="eastAsia"/>
                <w:color w:val="000000"/>
                <w:kern w:val="24"/>
                <w:sz w:val="18"/>
                <w:szCs w:val="18"/>
                <w14:ligatures w14:val="none"/>
              </w:rPr>
              <w:t>52</w:t>
            </w:r>
          </w:p>
        </w:tc>
      </w:tr>
      <w:tr w:rsidR="00D451A5" w:rsidRPr="00D451A5" w14:paraId="7F2D278A" w14:textId="77777777" w:rsidTr="007E0E8F">
        <w:trPr>
          <w:trHeight w:val="815"/>
        </w:trPr>
        <w:tc>
          <w:tcPr>
            <w:tcW w:w="938" w:type="dxa"/>
            <w:tcBorders>
              <w:top w:val="single" w:sz="8" w:space="0" w:color="FFFFFF"/>
              <w:left w:val="single" w:sz="8" w:space="0" w:color="FFFFFF"/>
              <w:bottom w:val="single" w:sz="8" w:space="0" w:color="FFFFFF"/>
              <w:right w:val="single" w:sz="8" w:space="0" w:color="FFFFFF"/>
            </w:tcBorders>
            <w:shd w:val="clear" w:color="auto" w:fill="4472C4"/>
            <w:tcMar>
              <w:top w:w="9" w:type="dxa"/>
              <w:left w:w="9" w:type="dxa"/>
              <w:bottom w:w="0" w:type="dxa"/>
              <w:right w:w="9" w:type="dxa"/>
            </w:tcMar>
            <w:vAlign w:val="center"/>
            <w:hideMark/>
          </w:tcPr>
          <w:p w14:paraId="7811D358" w14:textId="77777777" w:rsidR="00D451A5" w:rsidRPr="00D451A5" w:rsidRDefault="00D451A5" w:rsidP="007E0E8F">
            <w:pPr>
              <w:spacing w:after="0" w:line="240" w:lineRule="auto"/>
              <w:jc w:val="center"/>
              <w:textAlignment w:val="center"/>
              <w:rPr>
                <w:rFonts w:ascii="Arial" w:eastAsia="Times New Roman" w:hAnsi="Arial" w:cs="Arial"/>
                <w:b/>
                <w:bCs/>
                <w:i/>
                <w:iCs/>
                <w:color w:val="F2F2F2"/>
                <w:kern w:val="24"/>
                <w:sz w:val="18"/>
                <w:szCs w:val="18"/>
                <w14:ligatures w14:val="none"/>
              </w:rPr>
            </w:pPr>
            <w:r w:rsidRPr="00D451A5">
              <w:rPr>
                <w:rFonts w:ascii="Arial" w:eastAsia="Times New Roman" w:hAnsi="Arial" w:cs="Arial"/>
                <w:b/>
                <w:bCs/>
                <w:i/>
                <w:iCs/>
                <w:color w:val="F2F2F2"/>
                <w:kern w:val="24"/>
                <w:sz w:val="18"/>
                <w:szCs w:val="18"/>
                <w14:ligatures w14:val="none"/>
              </w:rPr>
              <w:t>IGFBP3</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EE5DC6A" w14:textId="77777777" w:rsidR="00D451A5" w:rsidRPr="00D451A5" w:rsidRDefault="00D451A5" w:rsidP="007E0E8F">
            <w:pPr>
              <w:spacing w:after="0" w:line="240" w:lineRule="auto"/>
              <w:jc w:val="center"/>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w:t>
            </w:r>
          </w:p>
        </w:tc>
        <w:tc>
          <w:tcPr>
            <w:tcW w:w="6406"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3345BBAE" w14:textId="77777777" w:rsidR="00D451A5" w:rsidRPr="00D451A5" w:rsidRDefault="00D451A5" w:rsidP="007E0E8F">
            <w:pPr>
              <w:spacing w:before="120" w:after="120" w:line="240" w:lineRule="auto"/>
              <w:textAlignment w:val="bottom"/>
              <w:rPr>
                <w:rFonts w:ascii="Arial" w:eastAsia="Times New Roman" w:hAnsi="Arial" w:cs="Arial"/>
                <w:color w:val="000000"/>
                <w:kern w:val="24"/>
                <w:sz w:val="18"/>
                <w:szCs w:val="18"/>
                <w14:ligatures w14:val="none"/>
              </w:rPr>
            </w:pPr>
            <w:r w:rsidRPr="00D451A5">
              <w:rPr>
                <w:rFonts w:ascii="Arial" w:eastAsia="Times New Roman" w:hAnsi="Arial" w:cs="Arial"/>
                <w:color w:val="000000"/>
                <w:kern w:val="24"/>
                <w:sz w:val="18"/>
                <w:szCs w:val="18"/>
                <w14:ligatures w14:val="none"/>
              </w:rPr>
              <w:t>IGF binding protein 3 (IGFBP3) usually functions as a negative regulator of IGF1R signaling by binding to the ligands, so the downregulation of IGFBP3 is related to EGFR-TKI resistance, although not significant</w:t>
            </w:r>
          </w:p>
        </w:tc>
        <w:tc>
          <w:tcPr>
            <w:tcW w:w="1322"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53DCEA4" w14:textId="76C68DE9" w:rsidR="00D451A5" w:rsidRPr="00513FEA" w:rsidRDefault="00513FEA" w:rsidP="007B31BA">
            <w:pPr>
              <w:spacing w:after="0" w:line="240" w:lineRule="auto"/>
              <w:jc w:val="center"/>
              <w:textAlignment w:val="bottom"/>
              <w:rPr>
                <w:rFonts w:ascii="Arial" w:hAnsi="Arial" w:cs="Arial"/>
                <w:color w:val="000000"/>
                <w:kern w:val="24"/>
                <w:sz w:val="18"/>
                <w:szCs w:val="18"/>
                <w14:ligatures w14:val="none"/>
              </w:rPr>
            </w:pPr>
            <w:r>
              <w:rPr>
                <w:rFonts w:ascii="Arial" w:hAnsi="Arial" w:cs="Arial" w:hint="eastAsia"/>
                <w:color w:val="000000"/>
                <w:kern w:val="24"/>
                <w:sz w:val="18"/>
                <w:szCs w:val="18"/>
                <w14:ligatures w14:val="none"/>
              </w:rPr>
              <w:t>53</w:t>
            </w:r>
            <w:r w:rsidR="00D451A5" w:rsidRPr="00D451A5">
              <w:rPr>
                <w:rFonts w:ascii="Arial" w:eastAsia="Times New Roman" w:hAnsi="Arial" w:cs="Arial"/>
                <w:color w:val="000000"/>
                <w:kern w:val="24"/>
                <w:sz w:val="18"/>
                <w:szCs w:val="18"/>
                <w14:ligatures w14:val="none"/>
              </w:rPr>
              <w:t>,5</w:t>
            </w:r>
            <w:r>
              <w:rPr>
                <w:rFonts w:ascii="Arial" w:hAnsi="Arial" w:cs="Arial" w:hint="eastAsia"/>
                <w:color w:val="000000"/>
                <w:kern w:val="24"/>
                <w:sz w:val="18"/>
                <w:szCs w:val="18"/>
                <w14:ligatures w14:val="none"/>
              </w:rPr>
              <w:t>4</w:t>
            </w:r>
          </w:p>
        </w:tc>
      </w:tr>
    </w:tbl>
    <w:p w14:paraId="5682112E" w14:textId="77777777" w:rsidR="00CA6250" w:rsidRPr="00CA6250" w:rsidRDefault="00CA6250" w:rsidP="00CA6250">
      <w:pPr>
        <w:spacing w:before="240" w:after="0" w:line="240" w:lineRule="auto"/>
        <w:rPr>
          <w:rFonts w:ascii="Times New Roman" w:hAnsi="Times New Roman" w:cs="Times New Roman"/>
        </w:rPr>
      </w:pPr>
      <w:r w:rsidRPr="00CA6250">
        <w:rPr>
          <w:rFonts w:ascii="Times New Roman" w:hAnsi="Times New Roman" w:cs="Times New Roman"/>
          <w:b/>
          <w:bCs/>
        </w:rPr>
        <w:t>Supplementary Table 4: Functions of genes negatively predicting the efficacy of TAVO412</w:t>
      </w:r>
    </w:p>
    <w:p w14:paraId="56D9E614" w14:textId="64F10099" w:rsidR="00CA6250" w:rsidRPr="00CA6250" w:rsidRDefault="00CA6250" w:rsidP="00157577">
      <w:pPr>
        <w:spacing w:after="0" w:line="240" w:lineRule="auto"/>
        <w:rPr>
          <w:rFonts w:ascii="Times New Roman" w:hAnsi="Times New Roman" w:cs="Times New Roman"/>
        </w:rPr>
      </w:pPr>
      <w:r w:rsidRPr="00CA6250">
        <w:rPr>
          <w:rFonts w:ascii="Times New Roman" w:hAnsi="Times New Roman" w:cs="Times New Roman"/>
        </w:rPr>
        <w:t>The genes that negatively (-) predict</w:t>
      </w:r>
      <w:r w:rsidR="008F5B66">
        <w:rPr>
          <w:rFonts w:ascii="Times New Roman" w:hAnsi="Times New Roman" w:cs="Times New Roman"/>
        </w:rPr>
        <w:t xml:space="preserve">ed </w:t>
      </w:r>
      <w:r w:rsidRPr="00CA6250">
        <w:rPr>
          <w:rFonts w:ascii="Times New Roman" w:hAnsi="Times New Roman" w:cs="Times New Roman"/>
        </w:rPr>
        <w:t>TAVO412 efficacy w</w:t>
      </w:r>
      <w:r w:rsidR="008F5B66">
        <w:rPr>
          <w:rFonts w:ascii="Times New Roman" w:hAnsi="Times New Roman" w:cs="Times New Roman"/>
        </w:rPr>
        <w:t>ere</w:t>
      </w:r>
      <w:r w:rsidRPr="00CA6250">
        <w:rPr>
          <w:rFonts w:ascii="Times New Roman" w:hAnsi="Times New Roman" w:cs="Times New Roman"/>
        </w:rPr>
        <w:t xml:space="preserve"> listed. The association between the proteins encoded by these genes and the signal pathways/functions related to TAVO412 targets w</w:t>
      </w:r>
      <w:r w:rsidR="008F5B66">
        <w:rPr>
          <w:rFonts w:ascii="Times New Roman" w:hAnsi="Times New Roman" w:cs="Times New Roman"/>
        </w:rPr>
        <w:t>ere</w:t>
      </w:r>
      <w:r w:rsidRPr="00CA6250">
        <w:rPr>
          <w:rFonts w:ascii="Times New Roman" w:hAnsi="Times New Roman" w:cs="Times New Roman"/>
        </w:rPr>
        <w:t xml:space="preserve"> summarized if published reports are available, otherwise the major function of the genes in cancer progression were listed. For TAVO412 targets, the potential to be biomarkers was illustrated. The abbreviations were for the genes: </w:t>
      </w:r>
      <w:r w:rsidRPr="00CA6250">
        <w:rPr>
          <w:rFonts w:ascii="Times New Roman" w:hAnsi="Times New Roman" w:cs="Times New Roman"/>
          <w:i/>
          <w:iCs/>
        </w:rPr>
        <w:t xml:space="preserve">FGFR1, </w:t>
      </w:r>
      <w:r w:rsidRPr="00CA6250">
        <w:rPr>
          <w:rFonts w:ascii="Times New Roman" w:hAnsi="Times New Roman" w:cs="Times New Roman"/>
        </w:rPr>
        <w:t>Fibroblast Growth Factor Receptor 1 gene</w:t>
      </w:r>
      <w:r w:rsidRPr="00CA6250">
        <w:rPr>
          <w:rFonts w:ascii="Times New Roman" w:hAnsi="Times New Roman" w:cs="Times New Roman"/>
          <w:i/>
          <w:iCs/>
        </w:rPr>
        <w:t xml:space="preserve">; PTK2, </w:t>
      </w:r>
      <w:r w:rsidRPr="00CA6250">
        <w:rPr>
          <w:rFonts w:ascii="Times New Roman" w:hAnsi="Times New Roman" w:cs="Times New Roman"/>
        </w:rPr>
        <w:t>nonreceptor protein tyrosine kinase 2 gene</w:t>
      </w:r>
      <w:r w:rsidRPr="00CA6250">
        <w:rPr>
          <w:rFonts w:ascii="Times New Roman" w:hAnsi="Times New Roman" w:cs="Times New Roman"/>
          <w:i/>
          <w:iCs/>
        </w:rPr>
        <w:t xml:space="preserve">; STMN1, </w:t>
      </w:r>
      <w:r w:rsidRPr="00CA6250">
        <w:rPr>
          <w:rFonts w:ascii="Times New Roman" w:hAnsi="Times New Roman" w:cs="Times New Roman"/>
        </w:rPr>
        <w:t>Stathmin 1 gene</w:t>
      </w:r>
      <w:r w:rsidRPr="00CA6250">
        <w:rPr>
          <w:rFonts w:ascii="Times New Roman" w:hAnsi="Times New Roman" w:cs="Times New Roman"/>
          <w:i/>
          <w:iCs/>
        </w:rPr>
        <w:t xml:space="preserve">; GAB2, </w:t>
      </w:r>
      <w:r w:rsidRPr="00CA6250">
        <w:rPr>
          <w:rFonts w:ascii="Times New Roman" w:hAnsi="Times New Roman" w:cs="Times New Roman"/>
        </w:rPr>
        <w:t>GRB2 Associated Binding Protein 2 gene</w:t>
      </w:r>
      <w:r w:rsidRPr="00CA6250">
        <w:rPr>
          <w:rFonts w:ascii="Times New Roman" w:hAnsi="Times New Roman" w:cs="Times New Roman"/>
          <w:i/>
          <w:iCs/>
        </w:rPr>
        <w:t xml:space="preserve">; ITGB8, </w:t>
      </w:r>
      <w:r w:rsidRPr="00CA6250">
        <w:rPr>
          <w:rFonts w:ascii="Times New Roman" w:hAnsi="Times New Roman" w:cs="Times New Roman"/>
        </w:rPr>
        <w:t>Integrin Subunit Beta 8 gene</w:t>
      </w:r>
      <w:r w:rsidRPr="00CA6250">
        <w:rPr>
          <w:rFonts w:ascii="Times New Roman" w:hAnsi="Times New Roman" w:cs="Times New Roman"/>
          <w:i/>
          <w:iCs/>
        </w:rPr>
        <w:t xml:space="preserve">; PEBP1, </w:t>
      </w:r>
      <w:r w:rsidRPr="00CA6250">
        <w:rPr>
          <w:rFonts w:ascii="Times New Roman" w:hAnsi="Times New Roman" w:cs="Times New Roman"/>
        </w:rPr>
        <w:lastRenderedPageBreak/>
        <w:t>Phosphatidylethanolamine-binding protein 1 gene</w:t>
      </w:r>
      <w:r w:rsidRPr="00CA6250">
        <w:rPr>
          <w:rFonts w:ascii="Times New Roman" w:hAnsi="Times New Roman" w:cs="Times New Roman"/>
          <w:i/>
          <w:iCs/>
        </w:rPr>
        <w:t xml:space="preserve">; PPP1CC, </w:t>
      </w:r>
      <w:r w:rsidRPr="00CA6250">
        <w:rPr>
          <w:rFonts w:ascii="Times New Roman" w:hAnsi="Times New Roman" w:cs="Times New Roman"/>
        </w:rPr>
        <w:t>serine/threonine-protein phosphatase PP1-gamma catalytic subunit gene</w:t>
      </w:r>
      <w:r w:rsidRPr="00CA6250">
        <w:rPr>
          <w:rFonts w:ascii="Times New Roman" w:hAnsi="Times New Roman" w:cs="Times New Roman"/>
          <w:i/>
          <w:iCs/>
        </w:rPr>
        <w:t xml:space="preserve">; TFEB, </w:t>
      </w:r>
      <w:r w:rsidRPr="00CA6250">
        <w:rPr>
          <w:rFonts w:ascii="Times New Roman" w:hAnsi="Times New Roman" w:cs="Times New Roman"/>
        </w:rPr>
        <w:t>Transcription factor EB gene</w:t>
      </w:r>
      <w:r w:rsidRPr="00CA6250">
        <w:rPr>
          <w:rFonts w:ascii="Times New Roman" w:hAnsi="Times New Roman" w:cs="Times New Roman"/>
          <w:i/>
          <w:iCs/>
        </w:rPr>
        <w:t xml:space="preserve">; IGFBP3, </w:t>
      </w:r>
      <w:r w:rsidRPr="00CA6250">
        <w:rPr>
          <w:rFonts w:ascii="Times New Roman" w:hAnsi="Times New Roman" w:cs="Times New Roman"/>
        </w:rPr>
        <w:t>Insulin Like Growth Factor Binding Protein 3 gene</w:t>
      </w:r>
      <w:r w:rsidRPr="00CA6250">
        <w:rPr>
          <w:rFonts w:ascii="Times New Roman" w:hAnsi="Times New Roman" w:cs="Times New Roman"/>
          <w:i/>
          <w:iCs/>
        </w:rPr>
        <w:t xml:space="preserve">; c-Met, </w:t>
      </w:r>
      <w:r w:rsidRPr="00CA6250">
        <w:rPr>
          <w:rFonts w:ascii="Times New Roman" w:hAnsi="Times New Roman" w:cs="Times New Roman"/>
        </w:rPr>
        <w:t>MET Proto-Oncogene</w:t>
      </w:r>
      <w:r w:rsidRPr="00CA6250">
        <w:rPr>
          <w:rFonts w:ascii="Times New Roman" w:hAnsi="Times New Roman" w:cs="Times New Roman"/>
          <w:i/>
          <w:iCs/>
        </w:rPr>
        <w:t xml:space="preserve"> </w:t>
      </w:r>
      <w:r w:rsidRPr="00CA6250">
        <w:rPr>
          <w:rFonts w:ascii="Times New Roman" w:hAnsi="Times New Roman" w:cs="Times New Roman"/>
        </w:rPr>
        <w:t>gene.</w:t>
      </w:r>
    </w:p>
    <w:sectPr w:rsidR="00CA6250" w:rsidRPr="00CA625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59F1" w14:textId="77777777" w:rsidR="003813C0" w:rsidRDefault="003813C0" w:rsidP="00E04262">
      <w:pPr>
        <w:spacing w:after="0" w:line="240" w:lineRule="auto"/>
      </w:pPr>
      <w:r>
        <w:separator/>
      </w:r>
    </w:p>
  </w:endnote>
  <w:endnote w:type="continuationSeparator" w:id="0">
    <w:p w14:paraId="2996890A" w14:textId="77777777" w:rsidR="003813C0" w:rsidRDefault="003813C0" w:rsidP="00E0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30776"/>
      <w:docPartObj>
        <w:docPartGallery w:val="Page Numbers (Bottom of Page)"/>
        <w:docPartUnique/>
      </w:docPartObj>
    </w:sdtPr>
    <w:sdtEndPr>
      <w:rPr>
        <w:rFonts w:ascii="Arial" w:hAnsi="Arial" w:cs="Arial"/>
        <w:noProof/>
        <w:sz w:val="20"/>
        <w:szCs w:val="20"/>
      </w:rPr>
    </w:sdtEndPr>
    <w:sdtContent>
      <w:p w14:paraId="40C74A78" w14:textId="4B85AFA0" w:rsidR="00062042" w:rsidRPr="00062042" w:rsidRDefault="00062042">
        <w:pPr>
          <w:pStyle w:val="Footer"/>
          <w:jc w:val="center"/>
          <w:rPr>
            <w:rFonts w:ascii="Arial" w:hAnsi="Arial" w:cs="Arial"/>
            <w:sz w:val="20"/>
            <w:szCs w:val="20"/>
          </w:rPr>
        </w:pPr>
        <w:r w:rsidRPr="00062042">
          <w:rPr>
            <w:rFonts w:ascii="Arial" w:hAnsi="Arial" w:cs="Arial"/>
            <w:sz w:val="20"/>
            <w:szCs w:val="20"/>
          </w:rPr>
          <w:fldChar w:fldCharType="begin"/>
        </w:r>
        <w:r w:rsidRPr="00062042">
          <w:rPr>
            <w:rFonts w:ascii="Arial" w:hAnsi="Arial" w:cs="Arial"/>
            <w:sz w:val="20"/>
            <w:szCs w:val="20"/>
          </w:rPr>
          <w:instrText xml:space="preserve"> PAGE   \* MERGEFORMAT </w:instrText>
        </w:r>
        <w:r w:rsidRPr="00062042">
          <w:rPr>
            <w:rFonts w:ascii="Arial" w:hAnsi="Arial" w:cs="Arial"/>
            <w:sz w:val="20"/>
            <w:szCs w:val="20"/>
          </w:rPr>
          <w:fldChar w:fldCharType="separate"/>
        </w:r>
        <w:r w:rsidRPr="00062042">
          <w:rPr>
            <w:rFonts w:ascii="Arial" w:hAnsi="Arial" w:cs="Arial"/>
            <w:noProof/>
            <w:sz w:val="20"/>
            <w:szCs w:val="20"/>
          </w:rPr>
          <w:t>2</w:t>
        </w:r>
        <w:r w:rsidRPr="00062042">
          <w:rPr>
            <w:rFonts w:ascii="Arial" w:hAnsi="Arial" w:cs="Arial"/>
            <w:noProof/>
            <w:sz w:val="20"/>
            <w:szCs w:val="20"/>
          </w:rPr>
          <w:fldChar w:fldCharType="end"/>
        </w:r>
      </w:p>
    </w:sdtContent>
  </w:sdt>
  <w:p w14:paraId="35DE4212" w14:textId="77777777" w:rsidR="00062042" w:rsidRDefault="00062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8E9A4" w14:textId="77777777" w:rsidR="003813C0" w:rsidRDefault="003813C0" w:rsidP="00E04262">
      <w:pPr>
        <w:spacing w:after="0" w:line="240" w:lineRule="auto"/>
      </w:pPr>
      <w:r>
        <w:separator/>
      </w:r>
    </w:p>
  </w:footnote>
  <w:footnote w:type="continuationSeparator" w:id="0">
    <w:p w14:paraId="25C9A0C7" w14:textId="77777777" w:rsidR="003813C0" w:rsidRDefault="003813C0" w:rsidP="00E04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05EFD"/>
    <w:multiLevelType w:val="hybridMultilevel"/>
    <w:tmpl w:val="3F225FBC"/>
    <w:lvl w:ilvl="0" w:tplc="5BF412E6">
      <w:start w:val="1"/>
      <w:numFmt w:val="upp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num w:numId="1" w16cid:durableId="55994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62"/>
    <w:rsid w:val="00014A38"/>
    <w:rsid w:val="0004158A"/>
    <w:rsid w:val="000473E2"/>
    <w:rsid w:val="00055139"/>
    <w:rsid w:val="00062042"/>
    <w:rsid w:val="00063A59"/>
    <w:rsid w:val="000650C7"/>
    <w:rsid w:val="00086AC2"/>
    <w:rsid w:val="0009140D"/>
    <w:rsid w:val="00097E11"/>
    <w:rsid w:val="000A1C6F"/>
    <w:rsid w:val="000B51C7"/>
    <w:rsid w:val="000C1A11"/>
    <w:rsid w:val="000C4809"/>
    <w:rsid w:val="000C6CCB"/>
    <w:rsid w:val="000D6A79"/>
    <w:rsid w:val="000F14B3"/>
    <w:rsid w:val="000F459C"/>
    <w:rsid w:val="00121B2B"/>
    <w:rsid w:val="0013187D"/>
    <w:rsid w:val="00157577"/>
    <w:rsid w:val="00160884"/>
    <w:rsid w:val="00172A0D"/>
    <w:rsid w:val="00185224"/>
    <w:rsid w:val="00187297"/>
    <w:rsid w:val="001A2C5C"/>
    <w:rsid w:val="001B11E4"/>
    <w:rsid w:val="001B51D2"/>
    <w:rsid w:val="001C2A8A"/>
    <w:rsid w:val="001D48F9"/>
    <w:rsid w:val="001F02CE"/>
    <w:rsid w:val="00202FD5"/>
    <w:rsid w:val="00214FA2"/>
    <w:rsid w:val="00216803"/>
    <w:rsid w:val="002225BC"/>
    <w:rsid w:val="002329C7"/>
    <w:rsid w:val="002444D2"/>
    <w:rsid w:val="002505CF"/>
    <w:rsid w:val="00251768"/>
    <w:rsid w:val="00251F19"/>
    <w:rsid w:val="00256483"/>
    <w:rsid w:val="00265996"/>
    <w:rsid w:val="00284579"/>
    <w:rsid w:val="002970C3"/>
    <w:rsid w:val="002C0AC0"/>
    <w:rsid w:val="002E1B17"/>
    <w:rsid w:val="002F076D"/>
    <w:rsid w:val="00316EAD"/>
    <w:rsid w:val="003221E8"/>
    <w:rsid w:val="00342EBB"/>
    <w:rsid w:val="00347AD4"/>
    <w:rsid w:val="00352462"/>
    <w:rsid w:val="00357C13"/>
    <w:rsid w:val="003813C0"/>
    <w:rsid w:val="0038256E"/>
    <w:rsid w:val="00394B55"/>
    <w:rsid w:val="003A31AF"/>
    <w:rsid w:val="003A3BAD"/>
    <w:rsid w:val="003B2DAD"/>
    <w:rsid w:val="003B548D"/>
    <w:rsid w:val="003D654D"/>
    <w:rsid w:val="003E349C"/>
    <w:rsid w:val="003E7F0E"/>
    <w:rsid w:val="00415B8D"/>
    <w:rsid w:val="004238C9"/>
    <w:rsid w:val="00426793"/>
    <w:rsid w:val="004621DA"/>
    <w:rsid w:val="004751E6"/>
    <w:rsid w:val="0047669F"/>
    <w:rsid w:val="00491556"/>
    <w:rsid w:val="004B04C4"/>
    <w:rsid w:val="004B3D3B"/>
    <w:rsid w:val="004D61DE"/>
    <w:rsid w:val="004D7564"/>
    <w:rsid w:val="0050558B"/>
    <w:rsid w:val="0050586F"/>
    <w:rsid w:val="00513FEA"/>
    <w:rsid w:val="00515EB6"/>
    <w:rsid w:val="00536CD3"/>
    <w:rsid w:val="005429C0"/>
    <w:rsid w:val="00563AD3"/>
    <w:rsid w:val="00570DF4"/>
    <w:rsid w:val="005825CE"/>
    <w:rsid w:val="00583857"/>
    <w:rsid w:val="00583C02"/>
    <w:rsid w:val="00586946"/>
    <w:rsid w:val="00595F4D"/>
    <w:rsid w:val="005A42C6"/>
    <w:rsid w:val="005A7C9A"/>
    <w:rsid w:val="005B369B"/>
    <w:rsid w:val="005C6573"/>
    <w:rsid w:val="005E549B"/>
    <w:rsid w:val="005E6836"/>
    <w:rsid w:val="006176AB"/>
    <w:rsid w:val="0062313A"/>
    <w:rsid w:val="0063129C"/>
    <w:rsid w:val="006440A8"/>
    <w:rsid w:val="00652A8E"/>
    <w:rsid w:val="00672C00"/>
    <w:rsid w:val="00685F31"/>
    <w:rsid w:val="00690C16"/>
    <w:rsid w:val="00690FBA"/>
    <w:rsid w:val="006A31F6"/>
    <w:rsid w:val="006B10E1"/>
    <w:rsid w:val="006C6103"/>
    <w:rsid w:val="006D7E08"/>
    <w:rsid w:val="006E2CC1"/>
    <w:rsid w:val="006F2682"/>
    <w:rsid w:val="006F70E6"/>
    <w:rsid w:val="00706B0C"/>
    <w:rsid w:val="00711BFE"/>
    <w:rsid w:val="00716C5B"/>
    <w:rsid w:val="00717919"/>
    <w:rsid w:val="0072028A"/>
    <w:rsid w:val="007223E4"/>
    <w:rsid w:val="00734324"/>
    <w:rsid w:val="007372B2"/>
    <w:rsid w:val="00745C9A"/>
    <w:rsid w:val="00755568"/>
    <w:rsid w:val="00764DA6"/>
    <w:rsid w:val="00783113"/>
    <w:rsid w:val="007B1291"/>
    <w:rsid w:val="007B31BA"/>
    <w:rsid w:val="007C56DD"/>
    <w:rsid w:val="007E0E8F"/>
    <w:rsid w:val="007E11AC"/>
    <w:rsid w:val="007E4971"/>
    <w:rsid w:val="007F316B"/>
    <w:rsid w:val="007F45C4"/>
    <w:rsid w:val="0081061B"/>
    <w:rsid w:val="00821CC8"/>
    <w:rsid w:val="00825069"/>
    <w:rsid w:val="00873334"/>
    <w:rsid w:val="008766E5"/>
    <w:rsid w:val="00886313"/>
    <w:rsid w:val="008A4387"/>
    <w:rsid w:val="008B4404"/>
    <w:rsid w:val="008B56EB"/>
    <w:rsid w:val="008B793E"/>
    <w:rsid w:val="008E58BF"/>
    <w:rsid w:val="008F5B66"/>
    <w:rsid w:val="00916ABC"/>
    <w:rsid w:val="00921347"/>
    <w:rsid w:val="00921CF1"/>
    <w:rsid w:val="00925049"/>
    <w:rsid w:val="00932375"/>
    <w:rsid w:val="00943C5B"/>
    <w:rsid w:val="00946871"/>
    <w:rsid w:val="00947CFE"/>
    <w:rsid w:val="0095241A"/>
    <w:rsid w:val="009600E9"/>
    <w:rsid w:val="00966911"/>
    <w:rsid w:val="0096750A"/>
    <w:rsid w:val="009A7820"/>
    <w:rsid w:val="009B227D"/>
    <w:rsid w:val="009B2FED"/>
    <w:rsid w:val="009B42B4"/>
    <w:rsid w:val="009B489D"/>
    <w:rsid w:val="009B551F"/>
    <w:rsid w:val="009C3E52"/>
    <w:rsid w:val="009D27C3"/>
    <w:rsid w:val="009D5BB5"/>
    <w:rsid w:val="00A00906"/>
    <w:rsid w:val="00A00FDB"/>
    <w:rsid w:val="00A052E7"/>
    <w:rsid w:val="00A320B8"/>
    <w:rsid w:val="00A748ED"/>
    <w:rsid w:val="00A90D73"/>
    <w:rsid w:val="00AA66AE"/>
    <w:rsid w:val="00AC3702"/>
    <w:rsid w:val="00AD14E0"/>
    <w:rsid w:val="00AE2E24"/>
    <w:rsid w:val="00AE727A"/>
    <w:rsid w:val="00AF3299"/>
    <w:rsid w:val="00B02AAC"/>
    <w:rsid w:val="00B071DF"/>
    <w:rsid w:val="00B14375"/>
    <w:rsid w:val="00B1682F"/>
    <w:rsid w:val="00B17667"/>
    <w:rsid w:val="00B17B00"/>
    <w:rsid w:val="00B2737C"/>
    <w:rsid w:val="00B303B0"/>
    <w:rsid w:val="00B32576"/>
    <w:rsid w:val="00B34FA4"/>
    <w:rsid w:val="00B36BBD"/>
    <w:rsid w:val="00B55847"/>
    <w:rsid w:val="00B67817"/>
    <w:rsid w:val="00B7148A"/>
    <w:rsid w:val="00B726B5"/>
    <w:rsid w:val="00B95BE9"/>
    <w:rsid w:val="00B9636F"/>
    <w:rsid w:val="00BC403D"/>
    <w:rsid w:val="00BC6F01"/>
    <w:rsid w:val="00BD2065"/>
    <w:rsid w:val="00BD2CF2"/>
    <w:rsid w:val="00BD4952"/>
    <w:rsid w:val="00BE44F9"/>
    <w:rsid w:val="00BE6A34"/>
    <w:rsid w:val="00C0335D"/>
    <w:rsid w:val="00C17AFA"/>
    <w:rsid w:val="00C23033"/>
    <w:rsid w:val="00C30CD1"/>
    <w:rsid w:val="00C373F0"/>
    <w:rsid w:val="00C6561C"/>
    <w:rsid w:val="00C70E2F"/>
    <w:rsid w:val="00C760D1"/>
    <w:rsid w:val="00C95948"/>
    <w:rsid w:val="00CA2A33"/>
    <w:rsid w:val="00CA6250"/>
    <w:rsid w:val="00CC2280"/>
    <w:rsid w:val="00CC23DD"/>
    <w:rsid w:val="00CC436C"/>
    <w:rsid w:val="00CE6261"/>
    <w:rsid w:val="00D01299"/>
    <w:rsid w:val="00D0308C"/>
    <w:rsid w:val="00D05B4C"/>
    <w:rsid w:val="00D23F8F"/>
    <w:rsid w:val="00D24028"/>
    <w:rsid w:val="00D451A5"/>
    <w:rsid w:val="00D54A4B"/>
    <w:rsid w:val="00DC482C"/>
    <w:rsid w:val="00DD7DCA"/>
    <w:rsid w:val="00DE23FE"/>
    <w:rsid w:val="00E04262"/>
    <w:rsid w:val="00E105F4"/>
    <w:rsid w:val="00E15FA9"/>
    <w:rsid w:val="00E2430C"/>
    <w:rsid w:val="00E403CF"/>
    <w:rsid w:val="00E46B2D"/>
    <w:rsid w:val="00E7004D"/>
    <w:rsid w:val="00E82F1C"/>
    <w:rsid w:val="00E91526"/>
    <w:rsid w:val="00E936F2"/>
    <w:rsid w:val="00E938F7"/>
    <w:rsid w:val="00E94186"/>
    <w:rsid w:val="00EA55E7"/>
    <w:rsid w:val="00EC4F3A"/>
    <w:rsid w:val="00EC5EE4"/>
    <w:rsid w:val="00ED31C6"/>
    <w:rsid w:val="00EF452D"/>
    <w:rsid w:val="00EF509F"/>
    <w:rsid w:val="00F02391"/>
    <w:rsid w:val="00F02B1B"/>
    <w:rsid w:val="00F03E23"/>
    <w:rsid w:val="00F30D1A"/>
    <w:rsid w:val="00F31AC5"/>
    <w:rsid w:val="00F34638"/>
    <w:rsid w:val="00F436C1"/>
    <w:rsid w:val="00F54673"/>
    <w:rsid w:val="00F624ED"/>
    <w:rsid w:val="00F62A7C"/>
    <w:rsid w:val="00F816B3"/>
    <w:rsid w:val="00F9370F"/>
    <w:rsid w:val="00F944D8"/>
    <w:rsid w:val="00F974B7"/>
    <w:rsid w:val="00FB121C"/>
    <w:rsid w:val="00FC43DD"/>
    <w:rsid w:val="00FC66F0"/>
    <w:rsid w:val="00FD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CABB0"/>
  <w15:chartTrackingRefBased/>
  <w15:docId w15:val="{A21EAC1A-6252-411F-8001-5305CA05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262"/>
    <w:rPr>
      <w:rFonts w:eastAsiaTheme="majorEastAsia" w:cstheme="majorBidi"/>
      <w:color w:val="272727" w:themeColor="text1" w:themeTint="D8"/>
    </w:rPr>
  </w:style>
  <w:style w:type="paragraph" w:styleId="Title">
    <w:name w:val="Title"/>
    <w:basedOn w:val="Normal"/>
    <w:next w:val="Normal"/>
    <w:link w:val="TitleChar"/>
    <w:uiPriority w:val="10"/>
    <w:qFormat/>
    <w:rsid w:val="00E04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262"/>
    <w:pPr>
      <w:spacing w:before="160"/>
      <w:jc w:val="center"/>
    </w:pPr>
    <w:rPr>
      <w:i/>
      <w:iCs/>
      <w:color w:val="404040" w:themeColor="text1" w:themeTint="BF"/>
    </w:rPr>
  </w:style>
  <w:style w:type="character" w:customStyle="1" w:styleId="QuoteChar">
    <w:name w:val="Quote Char"/>
    <w:basedOn w:val="DefaultParagraphFont"/>
    <w:link w:val="Quote"/>
    <w:uiPriority w:val="29"/>
    <w:rsid w:val="00E04262"/>
    <w:rPr>
      <w:i/>
      <w:iCs/>
      <w:color w:val="404040" w:themeColor="text1" w:themeTint="BF"/>
    </w:rPr>
  </w:style>
  <w:style w:type="paragraph" w:styleId="ListParagraph">
    <w:name w:val="List Paragraph"/>
    <w:basedOn w:val="Normal"/>
    <w:uiPriority w:val="34"/>
    <w:qFormat/>
    <w:rsid w:val="00E04262"/>
    <w:pPr>
      <w:ind w:left="720"/>
      <w:contextualSpacing/>
    </w:pPr>
  </w:style>
  <w:style w:type="character" w:styleId="IntenseEmphasis">
    <w:name w:val="Intense Emphasis"/>
    <w:basedOn w:val="DefaultParagraphFont"/>
    <w:uiPriority w:val="21"/>
    <w:qFormat/>
    <w:rsid w:val="00E04262"/>
    <w:rPr>
      <w:i/>
      <w:iCs/>
      <w:color w:val="0F4761" w:themeColor="accent1" w:themeShade="BF"/>
    </w:rPr>
  </w:style>
  <w:style w:type="paragraph" w:styleId="IntenseQuote">
    <w:name w:val="Intense Quote"/>
    <w:basedOn w:val="Normal"/>
    <w:next w:val="Normal"/>
    <w:link w:val="IntenseQuoteChar"/>
    <w:uiPriority w:val="30"/>
    <w:qFormat/>
    <w:rsid w:val="00E04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262"/>
    <w:rPr>
      <w:i/>
      <w:iCs/>
      <w:color w:val="0F4761" w:themeColor="accent1" w:themeShade="BF"/>
    </w:rPr>
  </w:style>
  <w:style w:type="character" w:styleId="IntenseReference">
    <w:name w:val="Intense Reference"/>
    <w:basedOn w:val="DefaultParagraphFont"/>
    <w:uiPriority w:val="32"/>
    <w:qFormat/>
    <w:rsid w:val="00E04262"/>
    <w:rPr>
      <w:b/>
      <w:bCs/>
      <w:smallCaps/>
      <w:color w:val="0F4761" w:themeColor="accent1" w:themeShade="BF"/>
      <w:spacing w:val="5"/>
    </w:rPr>
  </w:style>
  <w:style w:type="paragraph" w:styleId="Header">
    <w:name w:val="header"/>
    <w:basedOn w:val="Normal"/>
    <w:link w:val="HeaderChar"/>
    <w:uiPriority w:val="99"/>
    <w:unhideWhenUsed/>
    <w:rsid w:val="00E04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62"/>
  </w:style>
  <w:style w:type="paragraph" w:styleId="Footer">
    <w:name w:val="footer"/>
    <w:basedOn w:val="Normal"/>
    <w:link w:val="FooterChar"/>
    <w:uiPriority w:val="99"/>
    <w:unhideWhenUsed/>
    <w:rsid w:val="00E0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62"/>
  </w:style>
  <w:style w:type="table" w:styleId="TableGrid">
    <w:name w:val="Table Grid"/>
    <w:basedOn w:val="TableNormal"/>
    <w:uiPriority w:val="59"/>
    <w:qFormat/>
    <w:rsid w:val="00185224"/>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B17B00"/>
    <w:pPr>
      <w:adjustRightInd w:val="0"/>
      <w:snapToGrid w:val="0"/>
      <w:spacing w:before="60" w:after="60" w:line="360" w:lineRule="auto"/>
      <w:ind w:firstLine="720"/>
    </w:pPr>
    <w:rPr>
      <w:rFonts w:ascii="Times New Roman" w:eastAsia="Calibri" w:hAnsi="Times New Roman" w:cs="Times New Roman"/>
      <w:kern w:val="0"/>
      <w:lang w:val="en-GB" w:eastAsia="en-US"/>
      <w14:ligatures w14:val="none"/>
    </w:rPr>
  </w:style>
  <w:style w:type="character" w:customStyle="1" w:styleId="Text1Char">
    <w:name w:val="Text 1 Char"/>
    <w:basedOn w:val="DefaultParagraphFont"/>
    <w:link w:val="Text1"/>
    <w:rsid w:val="00B17B00"/>
    <w:rPr>
      <w:rFonts w:ascii="Times New Roman" w:eastAsia="Calibri" w:hAnsi="Times New Roman" w:cs="Times New Roman"/>
      <w:kern w:val="0"/>
      <w:lang w:val="en-GB" w:eastAsia="en-US"/>
      <w14:ligatures w14:val="none"/>
    </w:rPr>
  </w:style>
  <w:style w:type="character" w:styleId="CommentReference">
    <w:name w:val="annotation reference"/>
    <w:basedOn w:val="DefaultParagraphFont"/>
    <w:uiPriority w:val="99"/>
    <w:semiHidden/>
    <w:unhideWhenUsed/>
    <w:rsid w:val="0095241A"/>
    <w:rPr>
      <w:sz w:val="21"/>
      <w:szCs w:val="21"/>
    </w:rPr>
  </w:style>
  <w:style w:type="paragraph" w:styleId="CommentText">
    <w:name w:val="annotation text"/>
    <w:basedOn w:val="Normal"/>
    <w:link w:val="CommentTextChar"/>
    <w:uiPriority w:val="99"/>
    <w:unhideWhenUsed/>
    <w:rsid w:val="0095241A"/>
  </w:style>
  <w:style w:type="character" w:customStyle="1" w:styleId="CommentTextChar">
    <w:name w:val="Comment Text Char"/>
    <w:basedOn w:val="DefaultParagraphFont"/>
    <w:link w:val="CommentText"/>
    <w:uiPriority w:val="99"/>
    <w:rsid w:val="0095241A"/>
  </w:style>
  <w:style w:type="paragraph" w:styleId="CommentSubject">
    <w:name w:val="annotation subject"/>
    <w:basedOn w:val="CommentText"/>
    <w:next w:val="CommentText"/>
    <w:link w:val="CommentSubjectChar"/>
    <w:uiPriority w:val="99"/>
    <w:semiHidden/>
    <w:unhideWhenUsed/>
    <w:rsid w:val="0095241A"/>
    <w:rPr>
      <w:b/>
      <w:bCs/>
    </w:rPr>
  </w:style>
  <w:style w:type="character" w:customStyle="1" w:styleId="CommentSubjectChar">
    <w:name w:val="Comment Subject Char"/>
    <w:basedOn w:val="CommentTextChar"/>
    <w:link w:val="CommentSubject"/>
    <w:uiPriority w:val="99"/>
    <w:semiHidden/>
    <w:rsid w:val="0095241A"/>
    <w:rPr>
      <w:b/>
      <w:bCs/>
    </w:rPr>
  </w:style>
  <w:style w:type="character" w:styleId="Hyperlink">
    <w:name w:val="Hyperlink"/>
    <w:basedOn w:val="DefaultParagraphFont"/>
    <w:uiPriority w:val="99"/>
    <w:unhideWhenUsed/>
    <w:rsid w:val="00F816B3"/>
    <w:rPr>
      <w:color w:val="467886" w:themeColor="hyperlink"/>
      <w:u w:val="single"/>
    </w:rPr>
  </w:style>
  <w:style w:type="character" w:styleId="UnresolvedMention">
    <w:name w:val="Unresolved Mention"/>
    <w:basedOn w:val="DefaultParagraphFont"/>
    <w:uiPriority w:val="99"/>
    <w:semiHidden/>
    <w:unhideWhenUsed/>
    <w:rsid w:val="00F8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6008">
      <w:bodyDiv w:val="1"/>
      <w:marLeft w:val="0"/>
      <w:marRight w:val="0"/>
      <w:marTop w:val="0"/>
      <w:marBottom w:val="0"/>
      <w:divBdr>
        <w:top w:val="none" w:sz="0" w:space="0" w:color="auto"/>
        <w:left w:val="none" w:sz="0" w:space="0" w:color="auto"/>
        <w:bottom w:val="none" w:sz="0" w:space="0" w:color="auto"/>
        <w:right w:val="none" w:sz="0" w:space="0" w:color="auto"/>
      </w:divBdr>
    </w:div>
    <w:div w:id="291178845">
      <w:bodyDiv w:val="1"/>
      <w:marLeft w:val="0"/>
      <w:marRight w:val="0"/>
      <w:marTop w:val="0"/>
      <w:marBottom w:val="0"/>
      <w:divBdr>
        <w:top w:val="none" w:sz="0" w:space="0" w:color="auto"/>
        <w:left w:val="none" w:sz="0" w:space="0" w:color="auto"/>
        <w:bottom w:val="none" w:sz="0" w:space="0" w:color="auto"/>
        <w:right w:val="none" w:sz="0" w:space="0" w:color="auto"/>
      </w:divBdr>
    </w:div>
    <w:div w:id="329258340">
      <w:bodyDiv w:val="1"/>
      <w:marLeft w:val="0"/>
      <w:marRight w:val="0"/>
      <w:marTop w:val="0"/>
      <w:marBottom w:val="0"/>
      <w:divBdr>
        <w:top w:val="none" w:sz="0" w:space="0" w:color="auto"/>
        <w:left w:val="none" w:sz="0" w:space="0" w:color="auto"/>
        <w:bottom w:val="none" w:sz="0" w:space="0" w:color="auto"/>
        <w:right w:val="none" w:sz="0" w:space="0" w:color="auto"/>
      </w:divBdr>
    </w:div>
    <w:div w:id="358744211">
      <w:bodyDiv w:val="1"/>
      <w:marLeft w:val="0"/>
      <w:marRight w:val="0"/>
      <w:marTop w:val="0"/>
      <w:marBottom w:val="0"/>
      <w:divBdr>
        <w:top w:val="none" w:sz="0" w:space="0" w:color="auto"/>
        <w:left w:val="none" w:sz="0" w:space="0" w:color="auto"/>
        <w:bottom w:val="none" w:sz="0" w:space="0" w:color="auto"/>
        <w:right w:val="none" w:sz="0" w:space="0" w:color="auto"/>
      </w:divBdr>
    </w:div>
    <w:div w:id="426195943">
      <w:bodyDiv w:val="1"/>
      <w:marLeft w:val="0"/>
      <w:marRight w:val="0"/>
      <w:marTop w:val="0"/>
      <w:marBottom w:val="0"/>
      <w:divBdr>
        <w:top w:val="none" w:sz="0" w:space="0" w:color="auto"/>
        <w:left w:val="none" w:sz="0" w:space="0" w:color="auto"/>
        <w:bottom w:val="none" w:sz="0" w:space="0" w:color="auto"/>
        <w:right w:val="none" w:sz="0" w:space="0" w:color="auto"/>
      </w:divBdr>
    </w:div>
    <w:div w:id="525750570">
      <w:bodyDiv w:val="1"/>
      <w:marLeft w:val="0"/>
      <w:marRight w:val="0"/>
      <w:marTop w:val="0"/>
      <w:marBottom w:val="0"/>
      <w:divBdr>
        <w:top w:val="none" w:sz="0" w:space="0" w:color="auto"/>
        <w:left w:val="none" w:sz="0" w:space="0" w:color="auto"/>
        <w:bottom w:val="none" w:sz="0" w:space="0" w:color="auto"/>
        <w:right w:val="none" w:sz="0" w:space="0" w:color="auto"/>
      </w:divBdr>
    </w:div>
    <w:div w:id="555361710">
      <w:bodyDiv w:val="1"/>
      <w:marLeft w:val="0"/>
      <w:marRight w:val="0"/>
      <w:marTop w:val="0"/>
      <w:marBottom w:val="0"/>
      <w:divBdr>
        <w:top w:val="none" w:sz="0" w:space="0" w:color="auto"/>
        <w:left w:val="none" w:sz="0" w:space="0" w:color="auto"/>
        <w:bottom w:val="none" w:sz="0" w:space="0" w:color="auto"/>
        <w:right w:val="none" w:sz="0" w:space="0" w:color="auto"/>
      </w:divBdr>
    </w:div>
    <w:div w:id="601306962">
      <w:bodyDiv w:val="1"/>
      <w:marLeft w:val="0"/>
      <w:marRight w:val="0"/>
      <w:marTop w:val="0"/>
      <w:marBottom w:val="0"/>
      <w:divBdr>
        <w:top w:val="none" w:sz="0" w:space="0" w:color="auto"/>
        <w:left w:val="none" w:sz="0" w:space="0" w:color="auto"/>
        <w:bottom w:val="none" w:sz="0" w:space="0" w:color="auto"/>
        <w:right w:val="none" w:sz="0" w:space="0" w:color="auto"/>
      </w:divBdr>
    </w:div>
    <w:div w:id="767428524">
      <w:bodyDiv w:val="1"/>
      <w:marLeft w:val="0"/>
      <w:marRight w:val="0"/>
      <w:marTop w:val="0"/>
      <w:marBottom w:val="0"/>
      <w:divBdr>
        <w:top w:val="none" w:sz="0" w:space="0" w:color="auto"/>
        <w:left w:val="none" w:sz="0" w:space="0" w:color="auto"/>
        <w:bottom w:val="none" w:sz="0" w:space="0" w:color="auto"/>
        <w:right w:val="none" w:sz="0" w:space="0" w:color="auto"/>
      </w:divBdr>
    </w:div>
    <w:div w:id="923030735">
      <w:bodyDiv w:val="1"/>
      <w:marLeft w:val="0"/>
      <w:marRight w:val="0"/>
      <w:marTop w:val="0"/>
      <w:marBottom w:val="0"/>
      <w:divBdr>
        <w:top w:val="none" w:sz="0" w:space="0" w:color="auto"/>
        <w:left w:val="none" w:sz="0" w:space="0" w:color="auto"/>
        <w:bottom w:val="none" w:sz="0" w:space="0" w:color="auto"/>
        <w:right w:val="none" w:sz="0" w:space="0" w:color="auto"/>
      </w:divBdr>
    </w:div>
    <w:div w:id="928389377">
      <w:bodyDiv w:val="1"/>
      <w:marLeft w:val="0"/>
      <w:marRight w:val="0"/>
      <w:marTop w:val="0"/>
      <w:marBottom w:val="0"/>
      <w:divBdr>
        <w:top w:val="none" w:sz="0" w:space="0" w:color="auto"/>
        <w:left w:val="none" w:sz="0" w:space="0" w:color="auto"/>
        <w:bottom w:val="none" w:sz="0" w:space="0" w:color="auto"/>
        <w:right w:val="none" w:sz="0" w:space="0" w:color="auto"/>
      </w:divBdr>
    </w:div>
    <w:div w:id="1036010080">
      <w:bodyDiv w:val="1"/>
      <w:marLeft w:val="0"/>
      <w:marRight w:val="0"/>
      <w:marTop w:val="0"/>
      <w:marBottom w:val="0"/>
      <w:divBdr>
        <w:top w:val="none" w:sz="0" w:space="0" w:color="auto"/>
        <w:left w:val="none" w:sz="0" w:space="0" w:color="auto"/>
        <w:bottom w:val="none" w:sz="0" w:space="0" w:color="auto"/>
        <w:right w:val="none" w:sz="0" w:space="0" w:color="auto"/>
      </w:divBdr>
    </w:div>
    <w:div w:id="1040125919">
      <w:bodyDiv w:val="1"/>
      <w:marLeft w:val="0"/>
      <w:marRight w:val="0"/>
      <w:marTop w:val="0"/>
      <w:marBottom w:val="0"/>
      <w:divBdr>
        <w:top w:val="none" w:sz="0" w:space="0" w:color="auto"/>
        <w:left w:val="none" w:sz="0" w:space="0" w:color="auto"/>
        <w:bottom w:val="none" w:sz="0" w:space="0" w:color="auto"/>
        <w:right w:val="none" w:sz="0" w:space="0" w:color="auto"/>
      </w:divBdr>
    </w:div>
    <w:div w:id="1139691368">
      <w:bodyDiv w:val="1"/>
      <w:marLeft w:val="0"/>
      <w:marRight w:val="0"/>
      <w:marTop w:val="0"/>
      <w:marBottom w:val="0"/>
      <w:divBdr>
        <w:top w:val="none" w:sz="0" w:space="0" w:color="auto"/>
        <w:left w:val="none" w:sz="0" w:space="0" w:color="auto"/>
        <w:bottom w:val="none" w:sz="0" w:space="0" w:color="auto"/>
        <w:right w:val="none" w:sz="0" w:space="0" w:color="auto"/>
      </w:divBdr>
    </w:div>
    <w:div w:id="1179008262">
      <w:bodyDiv w:val="1"/>
      <w:marLeft w:val="0"/>
      <w:marRight w:val="0"/>
      <w:marTop w:val="0"/>
      <w:marBottom w:val="0"/>
      <w:divBdr>
        <w:top w:val="none" w:sz="0" w:space="0" w:color="auto"/>
        <w:left w:val="none" w:sz="0" w:space="0" w:color="auto"/>
        <w:bottom w:val="none" w:sz="0" w:space="0" w:color="auto"/>
        <w:right w:val="none" w:sz="0" w:space="0" w:color="auto"/>
      </w:divBdr>
    </w:div>
    <w:div w:id="1946576170">
      <w:bodyDiv w:val="1"/>
      <w:marLeft w:val="0"/>
      <w:marRight w:val="0"/>
      <w:marTop w:val="0"/>
      <w:marBottom w:val="0"/>
      <w:divBdr>
        <w:top w:val="none" w:sz="0" w:space="0" w:color="auto"/>
        <w:left w:val="none" w:sz="0" w:space="0" w:color="auto"/>
        <w:bottom w:val="none" w:sz="0" w:space="0" w:color="auto"/>
        <w:right w:val="none" w:sz="0" w:space="0" w:color="auto"/>
      </w:divBdr>
    </w:div>
    <w:div w:id="2089495909">
      <w:bodyDiv w:val="1"/>
      <w:marLeft w:val="0"/>
      <w:marRight w:val="0"/>
      <w:marTop w:val="0"/>
      <w:marBottom w:val="0"/>
      <w:divBdr>
        <w:top w:val="none" w:sz="0" w:space="0" w:color="auto"/>
        <w:left w:val="none" w:sz="0" w:space="0" w:color="auto"/>
        <w:bottom w:val="none" w:sz="0" w:space="0" w:color="auto"/>
        <w:right w:val="none" w:sz="0" w:space="0" w:color="auto"/>
      </w:divBdr>
    </w:div>
    <w:div w:id="21143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map.org/porta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Di</dc:creator>
  <cp:keywords/>
  <dc:description/>
  <cp:lastModifiedBy>mark chiu</cp:lastModifiedBy>
  <cp:revision>5</cp:revision>
  <cp:lastPrinted>2024-04-25T14:18:00Z</cp:lastPrinted>
  <dcterms:created xsi:type="dcterms:W3CDTF">2025-01-23T16:49:00Z</dcterms:created>
  <dcterms:modified xsi:type="dcterms:W3CDTF">2025-01-23T17:01:00Z</dcterms:modified>
</cp:coreProperties>
</file>