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7777777" w:rsidR="00654E8F" w:rsidRPr="001549D3" w:rsidRDefault="00654E8F" w:rsidP="0001436A">
      <w:pPr>
        <w:pStyle w:val="SupplementaryMaterial"/>
        <w:rPr>
          <w:b w:val="0"/>
        </w:rPr>
      </w:pPr>
      <w:r w:rsidRPr="001549D3">
        <w:t>Supplementary Material</w:t>
      </w:r>
    </w:p>
    <w:p w14:paraId="2F61CFC7" w14:textId="77777777" w:rsidR="00E0007C" w:rsidRDefault="00E0007C" w:rsidP="00E0007C">
      <w:pPr>
        <w:pStyle w:val="Heading1"/>
        <w:numPr>
          <w:ilvl w:val="0"/>
          <w:numId w:val="20"/>
        </w:numPr>
      </w:pPr>
      <w:r>
        <w:t xml:space="preserve">Materials and Methods </w:t>
      </w:r>
    </w:p>
    <w:p w14:paraId="566CCBF3" w14:textId="77777777" w:rsidR="00E0007C" w:rsidRDefault="00E0007C" w:rsidP="00E0007C">
      <w:pPr>
        <w:pStyle w:val="Heading2"/>
        <w:numPr>
          <w:ilvl w:val="1"/>
          <w:numId w:val="20"/>
        </w:numPr>
      </w:pPr>
      <w:r>
        <w:t>Methodological Overview</w:t>
      </w:r>
    </w:p>
    <w:p w14:paraId="5AA5EDD8" w14:textId="6B5ABE2E" w:rsidR="00E0007C" w:rsidRPr="00E0007C" w:rsidRDefault="00E0007C" w:rsidP="00E0007C">
      <w:pPr>
        <w:rPr>
          <w:rFonts w:eastAsia="Times New Roman" w:cs="Times New Roman"/>
        </w:rPr>
      </w:pPr>
      <w:r w:rsidRPr="001C6555">
        <w:rPr>
          <w:rFonts w:eastAsia="Times New Roman" w:cs="Times New Roman"/>
        </w:rPr>
        <w:t xml:space="preserve">We aim to quantify the carbon implications of restoring resilience to high fire risk forests in the American River watershed using the Forest Vegetation Simulator and statistical modeling to capture the cumulative probability of fire. To ground this analysis in ex-post observations, we apply remote sensing techniques to determine the annual rates of fire extent and severity from 2010 to 2020 within a reference region ecologically </w:t>
      </w:r>
      <w:proofErr w:type="gramStart"/>
      <w:r w:rsidRPr="001C6555">
        <w:rPr>
          <w:rFonts w:eastAsia="Times New Roman" w:cs="Times New Roman"/>
        </w:rPr>
        <w:t>similar to</w:t>
      </w:r>
      <w:proofErr w:type="gramEnd"/>
      <w:r w:rsidRPr="001C6555">
        <w:rPr>
          <w:rFonts w:eastAsia="Times New Roman" w:cs="Times New Roman"/>
        </w:rPr>
        <w:t xml:space="preserve"> the treatment area. Using these fire statistics, we simulate various fire scenarios, each weighted by the cumulative probability of fire, to quantify carbon dynamics under both treatment and no-treatment conditions. The same stands are used to model the treatment and no-treatment scenarios. Over 25 years, we calculate the annual carbon balance of the treatment scenario, focusing on aboveground live carbon, and compare carbon outcomes to the no-treatment scenario and pre-treatment carbon levels. When carbon benefits are quantified, we estimate potential revenues by monetizing carbon benefits from reduced wildfire emissions – evidenced by improved aboveground live carbon stocks – and various biomass utilization strategies</w:t>
      </w:r>
      <w:r>
        <w:rPr>
          <w:rFonts w:eastAsia="Times New Roman" w:cs="Times New Roman"/>
        </w:rPr>
        <w:t xml:space="preserve"> (see Figure S1)</w:t>
      </w:r>
      <w:r w:rsidRPr="001C6555">
        <w:rPr>
          <w:rFonts w:eastAsia="Times New Roman" w:cs="Times New Roman"/>
        </w:rPr>
        <w:t xml:space="preserve">. </w:t>
      </w:r>
    </w:p>
    <w:p w14:paraId="0334F8C7" w14:textId="690C1834" w:rsidR="00E0007C" w:rsidRDefault="00E0007C" w:rsidP="00E0007C">
      <w:pPr>
        <w:pStyle w:val="Heading2"/>
        <w:numPr>
          <w:ilvl w:val="1"/>
          <w:numId w:val="20"/>
        </w:numPr>
      </w:pPr>
      <w:r>
        <w:t xml:space="preserve">Treatment area, reference region, and fire statistics </w:t>
      </w:r>
    </w:p>
    <w:p w14:paraId="3C80FEEC" w14:textId="306344FF" w:rsidR="00E0007C" w:rsidRPr="001C6555" w:rsidRDefault="00E0007C" w:rsidP="00E0007C">
      <w:pPr>
        <w:rPr>
          <w:rFonts w:eastAsia="Times New Roman" w:cs="Times New Roman"/>
        </w:rPr>
      </w:pPr>
      <w:r w:rsidRPr="001C6555">
        <w:rPr>
          <w:rFonts w:eastAsia="Times New Roman" w:cs="Times New Roman"/>
        </w:rPr>
        <w:t xml:space="preserve">For our study, we determined the treatment area by identifying high-risk forest stands suitable for treatment within the American River watershed's Folsom Dam drainage. Selection was based on the dam's drainage area, a Wildfire Hazard Potential (WHP) score of ‘high’ or ‘very high’ (4 or 5) in 2020 </w:t>
      </w:r>
      <w:r w:rsidRPr="001C6555">
        <w:rPr>
          <w:rFonts w:eastAsia="Times New Roman" w:cs="Times New Roman"/>
        </w:rPr>
        <w:fldChar w:fldCharType="begin"/>
      </w:r>
      <w:r w:rsidRPr="001C6555">
        <w:rPr>
          <w:rFonts w:eastAsia="Times New Roman" w:cs="Times New Roman"/>
        </w:rPr>
        <w:instrText xml:space="preserve"> ADDIN ZOTERO_ITEM CSL_CITATION {"citationID":"x6WgrN10","properties":{"formattedCitation":"(1)","plainCitation":"(1)","noteIndex":0},"citationItems":[{"id":41,"uris":["http://zotero.org/users/5377231/items/P75DITAV"],"itemData":{"id":41,"type":"dataset","DOI":"10.2737/RDS-2015-0047-3","language":"en","source":"DOI.org (Crossref)","title":"Wildfire Hazard Potential for the United States (270-m), version 2020","URL":"https://www.fs.usda.gov/rds/archive/Catalog/RDS-2015-0047-3","author":[{"family":"Dillon","given":"Gregory K."},{"family":"Gilbertson-Day","given":"Julie W."}],"accessed":{"date-parts":[["2023",2,9]]}}}],"schema":"https://github.com/citation-style-language/schema/raw/master/csl-citation.json"} </w:instrText>
      </w:r>
      <w:r w:rsidRPr="001C6555">
        <w:rPr>
          <w:rFonts w:eastAsia="Times New Roman" w:cs="Times New Roman"/>
        </w:rPr>
        <w:fldChar w:fldCharType="separate"/>
      </w:r>
      <w:r w:rsidRPr="001C6555">
        <w:rPr>
          <w:rFonts w:eastAsia="Times New Roman" w:cs="Times New Roman"/>
          <w:noProof/>
        </w:rPr>
        <w:t>(1)</w:t>
      </w:r>
      <w:r w:rsidRPr="001C6555">
        <w:rPr>
          <w:rFonts w:eastAsia="Times New Roman" w:cs="Times New Roman"/>
        </w:rPr>
        <w:fldChar w:fldCharType="end"/>
      </w:r>
      <w:r w:rsidRPr="001C6555">
        <w:rPr>
          <w:rFonts w:eastAsia="Times New Roman" w:cs="Times New Roman"/>
        </w:rPr>
        <w:t xml:space="preserve">, vegetation cover over 10% in 2020 </w:t>
      </w:r>
      <w:sdt>
        <w:sdtPr>
          <w:rPr>
            <w:rFonts w:cs="Times New Roman"/>
          </w:rPr>
          <w:tag w:val="goog_rdk_0"/>
          <w:id w:val="-960960903"/>
        </w:sdtPr>
        <w:sdtContent>
          <w:r w:rsidRPr="001C6555">
            <w:rPr>
              <w:rFonts w:cs="Times New Roman"/>
            </w:rPr>
            <w:fldChar w:fldCharType="begin"/>
          </w:r>
          <w:r w:rsidRPr="001C6555">
            <w:rPr>
              <w:rFonts w:cs="Times New Roman"/>
            </w:rPr>
            <w:instrText xml:space="preserve"> ADDIN ZOTERO_ITEM CSL_CITATION {"citationID":"i0BwZFkX","properties":{"formattedCitation":"(2)","plainCitation":"(2)","noteIndex":0},"citationItems":[{"id":3768,"uris":["http://zotero.org/users/5377231/items/32QU9GU9"],"itemData":{"id":3768,"type":"webpage","title":"LANDFIRE Program: Data Products - Vegetation - Existing Vegetation Cover","URL":"https://www.landfire.gov/evc.php","accessed":{"date-parts":[["2024",3,12]]}}}],"schema":"https://github.com/citation-style-language/schema/raw/master/csl-citation.json"} </w:instrText>
          </w:r>
          <w:r w:rsidRPr="001C6555">
            <w:rPr>
              <w:rFonts w:cs="Times New Roman"/>
            </w:rPr>
            <w:fldChar w:fldCharType="separate"/>
          </w:r>
          <w:r w:rsidRPr="001C6555">
            <w:rPr>
              <w:rFonts w:cs="Times New Roman"/>
              <w:noProof/>
            </w:rPr>
            <w:t>(2)</w:t>
          </w:r>
          <w:r w:rsidRPr="001C6555">
            <w:rPr>
              <w:rFonts w:cs="Times New Roman"/>
            </w:rPr>
            <w:fldChar w:fldCharType="end"/>
          </w:r>
        </w:sdtContent>
      </w:sdt>
      <w:r w:rsidRPr="001C6555">
        <w:rPr>
          <w:rFonts w:eastAsia="Times New Roman" w:cs="Times New Roman"/>
        </w:rPr>
        <w:t xml:space="preserve">, accessibility for mechanical treatment </w:t>
      </w:r>
      <w:r w:rsidRPr="001C6555">
        <w:rPr>
          <w:rFonts w:eastAsia="Times New Roman" w:cs="Times New Roman"/>
        </w:rPr>
        <w:fldChar w:fldCharType="begin"/>
      </w:r>
      <w:r w:rsidRPr="001C6555">
        <w:rPr>
          <w:rFonts w:eastAsia="Times New Roman" w:cs="Times New Roman"/>
        </w:rPr>
        <w:instrText xml:space="preserve"> ADDIN ZOTERO_ITEM CSL_CITATION {"citationID":"nb9ZlXGz","properties":{"formattedCitation":"(3,4)","plainCitation":"(3,4)","noteIndex":0},"citationItems":[{"id":20,"uris":["http://zotero.org/users/5377231/items/DZRRR24G"],"itemData":{"id":20,"type":"report","abstract":"Kelsey, R., E. Smith, T. Biswas, C. McColl, K. Wilson, D. Cameron. 2017. Regional Prioritization of Forest Restoration\nacross California’s Sierra Nevada. Unpublished report of The Nature Conservancy. Sacramento, California. 16 pp.","page":"16","title":"Regional Prioritization of Forest Restoration across California’s Sierra Nevada","URL":"https://www.scienceforconservation.org/assets/downloads/tnc_Prioritizing_Forest_Restoration_hr.pdf","author":[{"family":"Kelsey","given":"R."},{"family":"Smith","given":"E."},{"family":"Biswas","given":"T."},{"family":"McColl","given":"C."},{"family":"Wilson","given":"K."},{"family":"Wilson","given":"D."}],"accessed":{"date-parts":[["2023",7,12]]},"issued":{"date-parts":[["2017"]]}}},{"id":18,"uris":["http://zotero.org/users/5377231/items/XZ483PSH"],"itemData":{"id":18,"type":"article-journal","abstract":"With air quality, liability, and safety concerns, prescribed burning and managed wildfire are often considered impractical treatments for extensive fuels reduction in western US forests. For California's Sierra Nevada forests, we evaluated the alternative and analyzed the amount and distribution of constraints on mechanical fuels treatments on USDA Forest Service land. With the use of current standards and guides, feedback from practicing silviculturists, and GIS databases, we developed a hierarchy of biological (i.e., nonproductive forest), legal (i.e., wilderness), operational (i.e., equipment access), and administrative (i.e., sensitive species and riparian areas) constraints. Of the Sierra Nevada Bioregion's 10.7 million acres in USDA Forest Service ownership, 58% contains productive forest and 25% is available to mechanical treatment. National forests in the southern Sierra Nevada have higher levels of constraint due to more wilderness and steeper, more remote terrain. We evaluated different levels of operational constraints and found that increasing road building and operating on steeper slopes had less effect on increasing mechanical access than removing economic considerations (i.e., accessing sites regardless of timber volume). Constraints due to sensitive species habitat and riparian areas only reduced productive forest access by 8%. We divided the Sierra Nevada Bioregion into 710 subwatersheds (mean size of 22,800 acres) with &amp;gt;25% Forest Service ownership as an approximation of a relevant management planning unit for fire or “fireshed.” Only 20% of these subwatersheds had enough unconstrained acreage to effectively contain or suppress wildfire with mechanical treatment alone. Analysis suggests mechanical treatment in most subwatersheds could be more effective if it established a fuel-reduced “anchor” from which prescribed and managed fire could be strategically expanded. With potential future increases in wildfire size and severity, fire policy and forest restoration might benefit if mechanical thinning is more widely used to leverage and complement managed fire.","container-title":"Journal of Forestry","DOI":"10.5849/jof.14-058","ISSN":"0022-1201","issue":"1","journalAbbreviation":"Journal of Forestry","page":"40-48","source":"Silverchair","title":"Constraints on Mechanized Treatment Significantly Limit Mechanical Fuels Reduction Extent in the Sierra Nevada","volume":"113","author":[{"family":"North","given":"Malcolm"},{"family":"Brough","given":"April"},{"family":"Long","given":"Jonathan"},{"family":"Collins","given":"Brandon"},{"family":"Bowden","given":"Phil"},{"family":"Yasuda","given":"Don"},{"family":"Miller","given":"Jay"},{"family":"Sugihara","given":"Neil"}],"issued":{"date-parts":[["2015",1,1]]}}}],"schema":"https://github.com/citation-style-language/schema/raw/master/csl-citation.json"} </w:instrText>
      </w:r>
      <w:r w:rsidRPr="001C6555">
        <w:rPr>
          <w:rFonts w:eastAsia="Times New Roman" w:cs="Times New Roman"/>
        </w:rPr>
        <w:fldChar w:fldCharType="separate"/>
      </w:r>
      <w:r w:rsidRPr="001C6555">
        <w:rPr>
          <w:rFonts w:eastAsia="Times New Roman" w:cs="Times New Roman"/>
          <w:noProof/>
        </w:rPr>
        <w:t>(3,4)</w:t>
      </w:r>
      <w:r w:rsidRPr="001C6555">
        <w:rPr>
          <w:rFonts w:eastAsia="Times New Roman" w:cs="Times New Roman"/>
        </w:rPr>
        <w:fldChar w:fldCharType="end"/>
      </w:r>
      <w:r w:rsidRPr="001C6555">
        <w:rPr>
          <w:rFonts w:eastAsia="Times New Roman" w:cs="Times New Roman"/>
        </w:rPr>
        <w:t xml:space="preserve">, and all Ecomap ecoregions encompassing more than 5% of the project area while  excluding oak woodlands </w:t>
      </w:r>
      <w:r w:rsidRPr="001C6555">
        <w:rPr>
          <w:rFonts w:eastAsia="Times New Roman" w:cs="Times New Roman"/>
        </w:rPr>
        <w:fldChar w:fldCharType="begin"/>
      </w:r>
      <w:r w:rsidRPr="001C6555">
        <w:rPr>
          <w:rFonts w:eastAsia="Times New Roman" w:cs="Times New Roman"/>
        </w:rPr>
        <w:instrText xml:space="preserve"> ADDIN ZOTERO_ITEM CSL_CITATION {"citationID":"GSeCAN8D","properties":{"formattedCitation":"(5)","plainCitation":"(5)","noteIndex":0},"citationItems":[{"id":3882,"uris":["http://zotero.org/users/5377231/items/NXH5SRSY"],"itemData":{"id":3882,"type":"webpage","container-title":"EcoMap Provinces","title":"EcoMap Provinces","URL":"https://data.fs.usda.gov/geodata/edw/edw_resources/meta/S_USA.EcoMapProvinces.xml","accessed":{"date-parts":[["2024",3,17]]}}}],"schema":"https://github.com/citation-style-language/schema/raw/master/csl-citation.json"} </w:instrText>
      </w:r>
      <w:r w:rsidRPr="001C6555">
        <w:rPr>
          <w:rFonts w:eastAsia="Times New Roman" w:cs="Times New Roman"/>
        </w:rPr>
        <w:fldChar w:fldCharType="separate"/>
      </w:r>
      <w:r w:rsidRPr="001C6555">
        <w:rPr>
          <w:rFonts w:eastAsia="Times New Roman" w:cs="Times New Roman"/>
          <w:noProof/>
        </w:rPr>
        <w:t>(5)</w:t>
      </w:r>
      <w:r w:rsidRPr="001C6555">
        <w:rPr>
          <w:rFonts w:eastAsia="Times New Roman" w:cs="Times New Roman"/>
        </w:rPr>
        <w:fldChar w:fldCharType="end"/>
      </w:r>
      <w:r w:rsidRPr="001C6555">
        <w:rPr>
          <w:rFonts w:eastAsia="Times New Roman" w:cs="Times New Roman"/>
        </w:rPr>
        <w:t xml:space="preserve">. Ecomap is a resource management map encompassing ecological regions, geology, and soils of the conterminous U.S. with level 4 divisions representing the finest scale units </w:t>
      </w:r>
      <w:r w:rsidRPr="001C6555">
        <w:rPr>
          <w:rFonts w:eastAsia="Times New Roman" w:cs="Times New Roman"/>
        </w:rPr>
        <w:fldChar w:fldCharType="begin"/>
      </w:r>
      <w:r w:rsidRPr="001C6555">
        <w:rPr>
          <w:rFonts w:eastAsia="Times New Roman" w:cs="Times New Roman"/>
        </w:rPr>
        <w:instrText xml:space="preserve"> ADDIN ZOTERO_ITEM CSL_CITATION {"citationID":"439GDUtK","properties":{"formattedCitation":"(6)","plainCitation":"(6)","noteIndex":0},"citationItems":[{"id":3956,"uris":["http://zotero.org/users/5377231/items/UPSQX3EH"],"itemData":{"id":3956,"type":"article-journal","abstract":"A map of ecological regions of the conterminous United States, first published in 1987, has been greatly refined and expanded into a hierarchical spatial framework in response to user needs, particularly by state resource management agencies. In collaboration with scientists and resource managers from numerous agencies and institutions in the United States, Mexico, and Canada, the framework has been expanded to cover North America, and the original ecoregions (now termed Level III) have been refined, subdivided, and aggregated to identify coarser as well as more detailed spatial units. The most generalized units (Level I) define 10 ecoregions in the conterminous U.S., while the finest-scale units (Level IV) identify 967 ecoregions. In this paper, we explain the logic underpinning the approach, discuss the evolution of the regional mapping process, and provide examples of how the ecoregions were distinguished at each hierarchical level. The variety of applications of the ecoregion framework illustrates its utility in resource assessment and management.","container-title":"Environmental Management","DOI":"10.1007/s00267-014-0364-1","ISSN":"1432-1009","issue":"6","journalAbbreviation":"Environmental Management","language":"en","page":"1249-1266","source":"Springer Link","title":"Ecoregions of the Conterminous United States: Evolution of a Hierarchical Spatial Framework","title-short":"Ecoregions of the Conterminous United States","volume":"54","author":[{"family":"Omernik","given":"James M."},{"family":"Griffith","given":"Glenn E."}],"issued":{"date-parts":[["2014",12,1]]}}}],"schema":"https://github.com/citation-style-language/schema/raw/master/csl-citation.json"} </w:instrText>
      </w:r>
      <w:r w:rsidRPr="001C6555">
        <w:rPr>
          <w:rFonts w:eastAsia="Times New Roman" w:cs="Times New Roman"/>
        </w:rPr>
        <w:fldChar w:fldCharType="separate"/>
      </w:r>
      <w:r w:rsidRPr="001C6555">
        <w:rPr>
          <w:rFonts w:eastAsia="Times New Roman" w:cs="Times New Roman"/>
          <w:noProof/>
        </w:rPr>
        <w:t>(6)</w:t>
      </w:r>
      <w:r w:rsidRPr="001C6555">
        <w:rPr>
          <w:rFonts w:eastAsia="Times New Roman" w:cs="Times New Roman"/>
        </w:rPr>
        <w:fldChar w:fldCharType="end"/>
      </w:r>
      <w:r w:rsidRPr="001C6555">
        <w:rPr>
          <w:rFonts w:eastAsia="Times New Roman" w:cs="Times New Roman"/>
        </w:rPr>
        <w:t xml:space="preserve">. </w:t>
      </w:r>
    </w:p>
    <w:p w14:paraId="6CEC1D73" w14:textId="4347CC29" w:rsidR="00E0007C" w:rsidRPr="001C6555" w:rsidRDefault="00E0007C" w:rsidP="00E0007C">
      <w:pPr>
        <w:rPr>
          <w:rFonts w:eastAsia="Times New Roman" w:cs="Times New Roman"/>
        </w:rPr>
      </w:pPr>
      <w:r w:rsidRPr="001C6555">
        <w:rPr>
          <w:rFonts w:eastAsia="Times New Roman" w:cs="Times New Roman"/>
        </w:rPr>
        <w:t>The treatment area consists of 287,021 acres within the 1,189,689-acre watershed between the American River's North and South Fork</w:t>
      </w:r>
      <w:r>
        <w:rPr>
          <w:rFonts w:eastAsia="Times New Roman" w:cs="Times New Roman"/>
        </w:rPr>
        <w:t xml:space="preserve"> (see Table S1)</w:t>
      </w:r>
      <w:r w:rsidRPr="001C6555">
        <w:rPr>
          <w:rFonts w:eastAsia="Times New Roman" w:cs="Times New Roman"/>
        </w:rPr>
        <w:t>. It is largely composed of mixed conifer and softwoods (69%), with sections of white fir (14%), lodgepole pine (8%), and ponderosa pine (4%), plus some juniper woodland and western white pine. This area includes several Ecomap Level 4 divisions: northern Sierra subalpine, upper montane, mid-montane forests, central Sierra lower and mid-montane forests, and Sierra alpine forests.</w:t>
      </w:r>
    </w:p>
    <w:p w14:paraId="5E589893" w14:textId="042DBC58" w:rsidR="00E0007C" w:rsidRPr="001C6555" w:rsidRDefault="00E0007C" w:rsidP="00E0007C">
      <w:pPr>
        <w:rPr>
          <w:rFonts w:eastAsia="Times New Roman" w:cs="Times New Roman"/>
        </w:rPr>
      </w:pPr>
      <w:r w:rsidRPr="001C6555">
        <w:rPr>
          <w:rFonts w:eastAsia="Times New Roman" w:cs="Times New Roman"/>
        </w:rPr>
        <w:t xml:space="preserve">To increase the robustness of fire extent and severity used in the model, we created a statistically representative reference region to match treatment area based on ecology and vulnerability criteria. The reference region included the Ecomap level 4 divisions which encompassed more than 5% of the treatment area, had Wildfire Hazard Potential score of 4 or 5 in 2012, and vegetation cover greater than 10% in 2012. Fire severity was analyzed annually between 2010 – 2020 following the methods of Parks et al. </w:t>
      </w:r>
      <w:r w:rsidRPr="001C6555">
        <w:rPr>
          <w:rFonts w:eastAsia="Times New Roman" w:cs="Times New Roman"/>
        </w:rPr>
        <w:fldChar w:fldCharType="begin"/>
      </w:r>
      <w:r w:rsidR="000D1D07">
        <w:rPr>
          <w:rFonts w:eastAsia="Times New Roman" w:cs="Times New Roman"/>
        </w:rPr>
        <w:instrText xml:space="preserve"> ADDIN ZOTERO_ITEM CSL_CITATION {"citationID":"U3ijT7cm","properties":{"formattedCitation":"(7)","plainCitation":"(7)","noteIndex":0},"citationItems":[{"id":17,"uris":["http://zotero.org/users/5377231/items/BNRQ5TLA"],"itemData":{"id":17,"type":"article-journal","abstract":"Satellite-inferred burn severity data have become increasingly popular over the last decade for management and research purposes. These data typically quantify spectral change between pre-and post-fire satellite images (usually Landsat). There is an active debate regarding which of the two main equations, the delta normalized burn ratio (dNBR) and its relativized form (RdNBR), is most suitable for quantifying burn severity; each has its critics. In this study, we propose and evaluate a new Landsat-based burn severity metric, the relativized burn ratio (RBR), that provides an alternative to dNBR and RdNBR. For 18 fires in the western US, we compared the performance of RBR to both dNBR and RdNBR by evaluating the agreement of these metrics with field-based burn severity measurements. Specifically, we evaluated (1) the correspondence between each metric and a continuous measure of burn severity (the composite burn index) and (2) the overall accuracy of each metric when classifying into discrete burn severity classes (i.e., unchanged, low, moderate, and high). Results indicate that RBR corresponds better to field-based measurements (average R2 among 18 fires = 0.786) than both dNBR (R2 = 0.761) and RdNBR  (R2 = 0.766). Furthermore, the overall classification accuracy achieved with RBR (average among 18 fires = 70.5%) was higher than both dNBR (68.4%) and RdNBR (69.2%). Consequently, we recommend RBR as a robust alternative to both dNBR and RdNBR for measuring and classifying burn severity.","container-title":"Remote Sensing","DOI":"10.3390/rs6031827","ISSN":"2072-4292","issue":"3","language":"en","license":"http://creativecommons.org/licenses/by/3.0/","note":"number: 3\npublisher: Multidisciplinary Digital Publishing Institute","page":"1827-1844","source":"www.mdpi.com","title":"A New Metric for Quantifying Burn Severity: The Relativized Burn Ratio","title-short":"A New Metric for Quantifying Burn Severity","volume":"6","author":[{"family":"Parks","given":"Sean A."},{"family":"Dillon","given":"Gregory K."},{"family":"Miller","given":"Carol"}],"issued":{"date-parts":[["2014",3]]}}}],"schema":"https://github.com/citation-style-language/schema/raw/master/csl-citation.json"} </w:instrText>
      </w:r>
      <w:r w:rsidRPr="001C6555">
        <w:rPr>
          <w:rFonts w:eastAsia="Times New Roman" w:cs="Times New Roman"/>
        </w:rPr>
        <w:fldChar w:fldCharType="separate"/>
      </w:r>
      <w:r w:rsidR="000D1D07">
        <w:rPr>
          <w:rFonts w:eastAsia="Times New Roman" w:cs="Times New Roman"/>
          <w:noProof/>
        </w:rPr>
        <w:t>(7)</w:t>
      </w:r>
      <w:r w:rsidRPr="001C6555">
        <w:rPr>
          <w:rFonts w:eastAsia="Times New Roman" w:cs="Times New Roman"/>
        </w:rPr>
        <w:fldChar w:fldCharType="end"/>
      </w:r>
      <w:r w:rsidRPr="001C6555">
        <w:rPr>
          <w:rFonts w:eastAsia="Times New Roman" w:cs="Times New Roman"/>
        </w:rPr>
        <w:t xml:space="preserve"> to construct a pixel level Composite Burn Index (CBI) for fire perimeters </w:t>
      </w:r>
      <w:r w:rsidRPr="001C6555">
        <w:rPr>
          <w:rFonts w:eastAsia="Times New Roman" w:cs="Times New Roman"/>
        </w:rPr>
        <w:fldChar w:fldCharType="begin"/>
      </w:r>
      <w:r w:rsidR="000D1D07">
        <w:rPr>
          <w:rFonts w:eastAsia="Times New Roman" w:cs="Times New Roman"/>
        </w:rPr>
        <w:instrText xml:space="preserve"> ADDIN ZOTERO_ITEM CSL_CITATION {"citationID":"xbzVG8AP","properties":{"formattedCitation":"(8)","plainCitation":"(8)","noteIndex":0},"citationItems":[{"id":3941,"uris":["http://zotero.org/users/5377231/items/QN4DXH6L"],"itemData":{"id":3941,"type":"webpage","title":"Fire Perimeters | CAL FIRE","URL":"https://www.fire.ca.gov/what-we-do/fire-resource-assessment-program/fire-perimeters","author":[{"family":"CalFire","given":""}],"accessed":{"date-parts":[["2024",3,24]]},"issued":{"date-parts":[["2024"]]}}}],"schema":"https://github.com/citation-style-language/schema/raw/master/csl-citation.json"} </w:instrText>
      </w:r>
      <w:r w:rsidRPr="001C6555">
        <w:rPr>
          <w:rFonts w:eastAsia="Times New Roman" w:cs="Times New Roman"/>
        </w:rPr>
        <w:fldChar w:fldCharType="separate"/>
      </w:r>
      <w:r w:rsidR="000D1D07">
        <w:rPr>
          <w:rFonts w:eastAsia="Times New Roman" w:cs="Times New Roman"/>
          <w:noProof/>
        </w:rPr>
        <w:t>(8)</w:t>
      </w:r>
      <w:r w:rsidRPr="001C6555">
        <w:rPr>
          <w:rFonts w:eastAsia="Times New Roman" w:cs="Times New Roman"/>
        </w:rPr>
        <w:fldChar w:fldCharType="end"/>
      </w:r>
      <w:r w:rsidRPr="001C6555">
        <w:rPr>
          <w:rFonts w:eastAsia="Times New Roman" w:cs="Times New Roman"/>
        </w:rPr>
        <w:t xml:space="preserve"> within the reference region. High-severity burns had a CBI over 2.25 </w:t>
      </w:r>
      <w:r w:rsidRPr="001C6555">
        <w:rPr>
          <w:rFonts w:eastAsia="Times New Roman" w:cs="Times New Roman"/>
        </w:rPr>
        <w:fldChar w:fldCharType="begin"/>
      </w:r>
      <w:r w:rsidR="000D1D07">
        <w:rPr>
          <w:rFonts w:eastAsia="Times New Roman" w:cs="Times New Roman"/>
        </w:rPr>
        <w:instrText xml:space="preserve"> ADDIN ZOTERO_ITEM CSL_CITATION {"citationID":"lvnM5sKb","properties":{"formattedCitation":"(9)","plainCitation":"(9)","noteIndex":0},"citationItems":[{"id":968,"uris":["http://zotero.org/users/5377231/items/8GIKW67U"],"itemData":{"id":968,"type":"article-journal","abstract":"Recent research has concluded that forest wildfires in the western United States are becoming larger and more frequent. A more significant question may be whether the ecosystem impacts of wildfire are also increasing. We show that a large area (approximately 120000 km2) of California and western Nevada experienced a notable increase in the extent of forest stand-replacing (“high severity”) fire between 1984 and 2006. High severity forest fire is closely linked to forest fragmentation, wildlife habitat availability, erosion rates and sedimentation, post-fire seedling recruitment, carbon sequestration, and various other ecosystem properties and processes. Mean and maximum fire size, and the area burned annually have also all risen substantially since the beginning of the 1980s, and are now at or above values from the decades preceding the 1940s, when fire suppression became national policy. These trends are occurring in concert with a regional rise in temperature and a long-term increase in annual precipitation. A close examination of the climate–fire relationship and other evidence suggests that forest fuels are no longer limiting fire occurrence and behavior across much of the study region. We conclude that current trends in forest fire severity necessitate a re-examination of the implications of all-out fire suppression and its ecological impacts.","container-title":"Ecosystems","DOI":"10.1007/s10021-008-9201-9","ISSN":"1435-0629","issue":"1","journalAbbreviation":"Ecosystems","language":"en","page":"16-32","source":"Springer Link","title":"Quantitative Evidence for Increasing Forest Fire Severity in the Sierra Nevada and Southern Cascade Mountains, California and Nevada, USA","volume":"12","author":[{"family":"Miller","given":"J. D."},{"family":"Safford","given":"H. D."},{"family":"Crimmins","given":"M."},{"family":"Thode","given":"A. E."}],"issued":{"date-parts":[["2009",2,1]]}}}],"schema":"https://github.com/citation-style-language/schema/raw/master/csl-citation.json"} </w:instrText>
      </w:r>
      <w:r w:rsidRPr="001C6555">
        <w:rPr>
          <w:rFonts w:eastAsia="Times New Roman" w:cs="Times New Roman"/>
        </w:rPr>
        <w:fldChar w:fldCharType="separate"/>
      </w:r>
      <w:r w:rsidR="000D1D07">
        <w:rPr>
          <w:rFonts w:eastAsia="Times New Roman" w:cs="Times New Roman"/>
          <w:noProof/>
        </w:rPr>
        <w:t>(9)</w:t>
      </w:r>
      <w:r w:rsidRPr="001C6555">
        <w:rPr>
          <w:rFonts w:eastAsia="Times New Roman" w:cs="Times New Roman"/>
        </w:rPr>
        <w:fldChar w:fldCharType="end"/>
      </w:r>
      <w:r w:rsidRPr="001C6555">
        <w:rPr>
          <w:rFonts w:eastAsia="Times New Roman" w:cs="Times New Roman"/>
        </w:rPr>
        <w:t xml:space="preserve">. </w:t>
      </w:r>
    </w:p>
    <w:p w14:paraId="56F72CE6" w14:textId="6D1223D8" w:rsidR="00E0007C" w:rsidRPr="00E0007C" w:rsidRDefault="00E0007C" w:rsidP="00E0007C">
      <w:pPr>
        <w:rPr>
          <w:rFonts w:eastAsia="Times New Roman" w:cs="Times New Roman"/>
        </w:rPr>
      </w:pPr>
      <w:r w:rsidRPr="001C6555">
        <w:rPr>
          <w:rFonts w:eastAsia="Times New Roman" w:cs="Times New Roman"/>
        </w:rPr>
        <w:lastRenderedPageBreak/>
        <w:t xml:space="preserve">The reference region, covering 2,860,418 acres across northern and southern Sierra Nevada landmarks, recorded 174 fires from 2010 to 2020. Annually, a mean of 5.12% of the landscape burned, with a range between 0.05% and 14.86% which was used to parametrize the Monte Carlo simulations. 32% of burned acres were high-severity, which was the percent high severity used to parametrize the no-treatment fire scenarios modeled in Forest Vegetation Simulator (FVS) using the </w:t>
      </w:r>
      <w:proofErr w:type="spellStart"/>
      <w:r w:rsidRPr="001C6555">
        <w:rPr>
          <w:rFonts w:eastAsia="Times New Roman" w:cs="Times New Roman"/>
        </w:rPr>
        <w:t>PotFPAB</w:t>
      </w:r>
      <w:proofErr w:type="spellEnd"/>
      <w:r w:rsidRPr="001C6555">
        <w:rPr>
          <w:rFonts w:eastAsia="Times New Roman" w:cs="Times New Roman"/>
        </w:rPr>
        <w:t xml:space="preserve"> function which predetermines the portion of each stand that FVS burned with high or moderate-severity.</w:t>
      </w:r>
    </w:p>
    <w:p w14:paraId="7BD07DB4" w14:textId="38CA1E13" w:rsidR="00E0007C" w:rsidRDefault="00E0007C" w:rsidP="00E0007C">
      <w:pPr>
        <w:pStyle w:val="Heading2"/>
        <w:numPr>
          <w:ilvl w:val="1"/>
          <w:numId w:val="20"/>
        </w:numPr>
      </w:pPr>
      <w:r>
        <w:t>Forest modeling – Forest Vegetation Simulator (FVS)</w:t>
      </w:r>
    </w:p>
    <w:p w14:paraId="375873AE" w14:textId="20547232" w:rsidR="00E0007C" w:rsidRPr="001C6555" w:rsidRDefault="00E0007C" w:rsidP="00E0007C">
      <w:pPr>
        <w:rPr>
          <w:rFonts w:eastAsia="Times New Roman" w:cs="Times New Roman"/>
        </w:rPr>
      </w:pPr>
      <w:r w:rsidRPr="001C6555">
        <w:rPr>
          <w:rFonts w:eastAsia="Times New Roman" w:cs="Times New Roman"/>
        </w:rPr>
        <w:t xml:space="preserve">We employ the Forest Vegetation Simulator (FVS) to assess the impacts of forest management and fire on carbon stocks and flows within the treatment area. FVS is an individual-tree forest growth model widely used in the U.S. to support decision making (Crookston and Dixon 2005) which includes region specific model variants developed on local data, allows for incorporation of specific management scenarios including thinning and fuel treatments, and includes the Fire and Fuels Extension which was developed to assess risk, behaviors, and impact of fire in forest ecosystems </w:t>
      </w:r>
      <w:r w:rsidRPr="001C6555">
        <w:rPr>
          <w:rFonts w:eastAsia="Times New Roman" w:cs="Times New Roman"/>
        </w:rPr>
        <w:fldChar w:fldCharType="begin"/>
      </w:r>
      <w:r w:rsidR="000D1D07">
        <w:rPr>
          <w:rFonts w:eastAsia="Times New Roman" w:cs="Times New Roman"/>
        </w:rPr>
        <w:instrText xml:space="preserve"> ADDIN ZOTERO_ITEM CSL_CITATION {"citationID":"dc0frl4k","properties":{"formattedCitation":"(10)","plainCitation":"(10)","noteIndex":0},"citationItems":[{"id":3960,"uris":["http://zotero.org/users/5377231/items/3PDBBIBM"],"itemData":{"id":3960,"type":"article-journal","abstract":"The Fire and Fuels Extension to the Forest Vegetation Simulator: Updated Model Documentation. Internal Rep. Fort Collins, CO: U. S. Department of Agriculture, Forest Service, Forest Management Service Center. 409p.","language":"en","source":"Zotero","title":"The Fire and Fuels Extension to the Forest Vegetation Simulator: Updated Model Documentation","author":[{"family":"Rebain","given":"Stephanie"},{"family":"Reinhardt","given":"Elizabeth"},{"family":"Crookston","given":"Nicholas"},{"family":"Beukema","given":"Sarah"},{"family":"Kurz","given":"Werner"},{"family":"Greenough","given":"Julee"},{"family":"Robinson","given":"Donald"},{"family":"Lutes","given":"Duncan"}],"issued":{"date-parts":[["2022"]]}}}],"schema":"https://github.com/citation-style-language/schema/raw/master/csl-citation.json"} </w:instrText>
      </w:r>
      <w:r w:rsidRPr="001C6555">
        <w:rPr>
          <w:rFonts w:eastAsia="Times New Roman" w:cs="Times New Roman"/>
        </w:rPr>
        <w:fldChar w:fldCharType="separate"/>
      </w:r>
      <w:r w:rsidR="000D1D07">
        <w:rPr>
          <w:rFonts w:eastAsia="Times New Roman" w:cs="Times New Roman"/>
          <w:noProof/>
        </w:rPr>
        <w:t>(10)</w:t>
      </w:r>
      <w:r w:rsidRPr="001C6555">
        <w:rPr>
          <w:rFonts w:eastAsia="Times New Roman" w:cs="Times New Roman"/>
        </w:rPr>
        <w:fldChar w:fldCharType="end"/>
      </w:r>
      <w:r w:rsidRPr="001C6555">
        <w:rPr>
          <w:rFonts w:eastAsia="Times New Roman" w:cs="Times New Roman"/>
        </w:rPr>
        <w:t xml:space="preserve">. Extensive forest thinning is modeled for the treatment scenario in the fifth simulation year on 287,021 acres within a 1,189,689-acre footprint, followed by prescribed fire in the ninth year to estimate model carbon dynamics over time. Forest thinning target a resilient Stand Density Index (SDI) of 175. A no-treatment scenario is also modeled which includes forest growth but no management intervention. We simulate both treatment and no-treatment scenarios across seven different fire scenarios: no fire, and fire in years 1, 5, 10, 15, 20, or 25, culminating in a total of 14 FVS runs ending in year 25 which assume thinning and prescribed fire with no re-treatment in the treatment scenario and no management in the no-treatment scenario. In the no-treatment scenario the proportion of high severity is fixed at 32% using the </w:t>
      </w:r>
      <w:proofErr w:type="spellStart"/>
      <w:r w:rsidRPr="001C6555">
        <w:rPr>
          <w:rFonts w:eastAsia="Times New Roman" w:cs="Times New Roman"/>
        </w:rPr>
        <w:t>PotPFAB</w:t>
      </w:r>
      <w:proofErr w:type="spellEnd"/>
      <w:r w:rsidRPr="001C6555">
        <w:rPr>
          <w:rFonts w:eastAsia="Times New Roman" w:cs="Times New Roman"/>
        </w:rPr>
        <w:t xml:space="preserve"> function in FVS based on observed fire history in the reference region. In the treatment scenario, we allow FVS to predict fire severity given that forest treatment is fundamentally altering forest structure, which is a key factor in determining fire severity. </w:t>
      </w:r>
    </w:p>
    <w:p w14:paraId="575ABD44" w14:textId="75B5ACA4" w:rsidR="00E0007C" w:rsidRPr="001C6555" w:rsidRDefault="00E0007C" w:rsidP="00E0007C">
      <w:pPr>
        <w:rPr>
          <w:rFonts w:eastAsia="Times New Roman" w:cs="Times New Roman"/>
        </w:rPr>
      </w:pPr>
      <w:r w:rsidRPr="001C6555">
        <w:rPr>
          <w:rFonts w:eastAsia="Times New Roman" w:cs="Times New Roman"/>
        </w:rPr>
        <w:t xml:space="preserve">Utilizing data from </w:t>
      </w:r>
      <w:sdt>
        <w:sdtPr>
          <w:rPr>
            <w:rFonts w:cs="Times New Roman"/>
          </w:rPr>
          <w:tag w:val="goog_rdk_1"/>
          <w:id w:val="-1821565978"/>
        </w:sdtPr>
        <w:sdtContent/>
      </w:sdt>
      <w:proofErr w:type="spellStart"/>
      <w:r w:rsidRPr="001C6555">
        <w:rPr>
          <w:rFonts w:eastAsia="Times New Roman" w:cs="Times New Roman"/>
        </w:rPr>
        <w:t>TreeMap</w:t>
      </w:r>
      <w:proofErr w:type="spellEnd"/>
      <w:r w:rsidRPr="001C6555">
        <w:rPr>
          <w:rFonts w:eastAsia="Times New Roman" w:cs="Times New Roman"/>
        </w:rPr>
        <w:t xml:space="preserve"> </w:t>
      </w:r>
      <w:r w:rsidRPr="001C6555">
        <w:rPr>
          <w:rFonts w:eastAsia="Times New Roman" w:cs="Times New Roman"/>
        </w:rPr>
        <w:fldChar w:fldCharType="begin"/>
      </w:r>
      <w:r w:rsidR="000D1D07">
        <w:rPr>
          <w:rFonts w:eastAsia="Times New Roman" w:cs="Times New Roman"/>
        </w:rPr>
        <w:instrText xml:space="preserve"> ADDIN ZOTERO_ITEM CSL_CITATION {"citationID":"tiHQc3aA","properties":{"formattedCitation":"(11)","plainCitation":"(11)","noteIndex":0},"citationItems":[{"id":22,"uris":["http://zotero.org/users/5377231/items/EB55S2G4"],"itemData":{"id":22,"type":"article-journal","abstract":"A 30 × 30m-resolution gridded dataset of forest plot identifiers was developed for the conterminous United States (CONUS) using a random forests machine-learning imputation approach. Forest plots from the US Forest Service Forest Inventory and Analysis program (FIA) were imputed to gridded c2014 landscape data provided by the LANDFIRE project using topographic, biophysical, and disturbance variables. The output consisted of a raster map of plot identifiers. From the plot identifiers, users of the dataset can link to a number of tree- and plot-level attributes stored in the accompanying tables and in the publicly available FIA DataMart, and then produce maps of any of these attributes, including number of trees per acre, tree species, and forest type. Of 67,141 FIA plots available, 62,758 of these (93.5%) were utilized at least once in imputation to 2,841,601,981 forested pixels in CONUS. Continuous high-resolution forest structure data at a national scale will be invaluable for analyzing carbon dynamics, habitat distributions, and fire effects.","container-title":"Scientific Data","DOI":"10.1038/s41597-020-00782-x","ISSN":"2052-4463","issue":"1","journalAbbreviation":"Sci Data","language":"en","license":"2021 This is a U.S. government work and not under copyright protection in the U.S.; foreign copyright protection may apply","note":"number: 1\npublisher: Nature Publishing Group","page":"11","source":"www.nature.com","title":"TreeMap, a tree-level model of conterminous US forests circa 2014 produced by imputation of FIA plot data","volume":"8","author":[{"family":"Riley","given":"Karin L."},{"family":"Grenfell","given":"Isaac C."},{"family":"Finney","given":"Mark A."},{"family":"Wiener","given":"Jason M."}],"issued":{"date-parts":[["2021",1,15]]}}}],"schema":"https://github.com/citation-style-language/schema/raw/master/csl-citation.json"} </w:instrText>
      </w:r>
      <w:r w:rsidRPr="001C6555">
        <w:rPr>
          <w:rFonts w:eastAsia="Times New Roman" w:cs="Times New Roman"/>
        </w:rPr>
        <w:fldChar w:fldCharType="separate"/>
      </w:r>
      <w:r w:rsidR="000D1D07">
        <w:rPr>
          <w:rFonts w:eastAsia="Times New Roman" w:cs="Times New Roman"/>
          <w:noProof/>
        </w:rPr>
        <w:t>(11)</w:t>
      </w:r>
      <w:r w:rsidRPr="001C6555">
        <w:rPr>
          <w:rFonts w:eastAsia="Times New Roman" w:cs="Times New Roman"/>
        </w:rPr>
        <w:fldChar w:fldCharType="end"/>
      </w:r>
      <w:r w:rsidRPr="001C6555">
        <w:rPr>
          <w:rFonts w:eastAsia="Times New Roman" w:cs="Times New Roman"/>
        </w:rPr>
        <w:t xml:space="preserve">, clipped to the polygon representing the treatment area, we identify forest plots for FVS modeling. </w:t>
      </w:r>
      <w:proofErr w:type="spellStart"/>
      <w:r w:rsidRPr="001C6555">
        <w:rPr>
          <w:rFonts w:eastAsia="Times New Roman" w:cs="Times New Roman"/>
        </w:rPr>
        <w:t>TreeMap</w:t>
      </w:r>
      <w:proofErr w:type="spellEnd"/>
      <w:r w:rsidRPr="001C6555">
        <w:rPr>
          <w:rFonts w:eastAsia="Times New Roman" w:cs="Times New Roman"/>
        </w:rPr>
        <w:t xml:space="preserve"> data represents</w:t>
      </w:r>
      <w:sdt>
        <w:sdtPr>
          <w:rPr>
            <w:rFonts w:cs="Times New Roman"/>
          </w:rPr>
          <w:tag w:val="goog_rdk_2"/>
          <w:id w:val="-1568025580"/>
        </w:sdtPr>
        <w:sdtContent/>
      </w:sdt>
      <w:r w:rsidRPr="001C6555">
        <w:rPr>
          <w:rFonts w:eastAsia="Times New Roman" w:cs="Times New Roman"/>
        </w:rPr>
        <w:t xml:space="preserve"> Forest Inventory and Analysis (FIA) that are extrapolated into the landscape to estimate inventory at large scales. We run a </w:t>
      </w:r>
      <w:proofErr w:type="gramStart"/>
      <w:r w:rsidRPr="001C6555">
        <w:rPr>
          <w:rFonts w:eastAsia="Times New Roman" w:cs="Times New Roman"/>
        </w:rPr>
        <w:t>25 year</w:t>
      </w:r>
      <w:proofErr w:type="gramEnd"/>
      <w:r w:rsidRPr="001C6555">
        <w:rPr>
          <w:rFonts w:eastAsia="Times New Roman" w:cs="Times New Roman"/>
        </w:rPr>
        <w:t xml:space="preserve"> simulation starting in 2016 (the most recent release of </w:t>
      </w:r>
      <w:proofErr w:type="spellStart"/>
      <w:r w:rsidRPr="001C6555">
        <w:rPr>
          <w:rFonts w:eastAsia="Times New Roman" w:cs="Times New Roman"/>
        </w:rPr>
        <w:t>TreeMap</w:t>
      </w:r>
      <w:proofErr w:type="spellEnd"/>
      <w:r w:rsidRPr="001C6555">
        <w:rPr>
          <w:rFonts w:eastAsia="Times New Roman" w:cs="Times New Roman"/>
        </w:rPr>
        <w:t xml:space="preserve">) for the identified forest stands in both treatment and no-treatment scenarios. In the treatment scenario, we perform forest thinning in the fifth year aiming to achieve a Stand Density Index (SDI) of 175 without removing trees exceeding 30” diameter at breast height (DBH). This SDI corresponds to 30% of the maximum SDI of mixed conifer forest in the Western Sierra and is indicative of a resilient forest structure </w:t>
      </w:r>
      <w:r w:rsidRPr="001C6555">
        <w:rPr>
          <w:rFonts w:eastAsia="Times New Roman" w:cs="Times New Roman"/>
        </w:rPr>
        <w:fldChar w:fldCharType="begin"/>
      </w:r>
      <w:r w:rsidRPr="001C6555">
        <w:rPr>
          <w:rFonts w:eastAsia="Times New Roman" w:cs="Times New Roman"/>
        </w:rPr>
        <w:instrText xml:space="preserve"> ADDIN ZOTERO_ITEM CSL_CITATION {"citationID":"jVbrKJkA","properties":{"formattedCitation":"(12)","plainCitation":"(12)","noteIndex":0},"citationItems":[{"id":903,"uris":["http://zotero.org/users/5377231/items/GQBMPJ9X"],"itemData":{"id":903,"type":"article-journal","abstract":"With the increasing frequency and severity of altered disturbance regimes in dry, western U.S. forests, treatments promoting resilience have become a management objective but have been difficult to define or operationalize. Many reconstruction studies of these forests when they had active fire regimes have documented very low tree densities before the onset of fire suppression. Building on ecological theory and recent studies, we suggest that this historic forest structure promoted resilience by minimizing competition which in turn supported vigorous tree growth. To assess these historic conditions for management practices, we calculated a widely-used measure of competition, relative stand density index (SDI), for two extensive historical datasets and compared those to contemporary forest conditions. Between 1911 and 2011, tree densities on average increased by six to seven fold while average tree size was reduced by 50%. Relative SDI for historical forests was 23–28% of maximum, in the ranges considered ‘free of’ (&lt;25%) to ‘low’ competition (25–34%). In contrast, most (82–95%) contemporary stands were in the range of ‘full competition’ (35–59%) or ‘imminent mortality’ (≥60%). Historical relative SDI values suggest that treatments for restoring forest resilience may need to be much more intensive then the current focus on fuels reduction. With the contemporary increase in compounding stresses such as drought, bark beetles, and high-severity wildfire, resilience in frequent-fire forests may hinge on creating stands with signifi­ cantly lower densities and minimal competition. Current management practices often prescribe conditions that maintain full competition to guide development of desired forest conditions. Creating stands largely free of competition would require a fundamental rethinking of how frequent-fire forests can be managed for resilience.","container-title":"Forest Ecology and Management","DOI":"10.1016/j.foreco.2021.120004","ISSN":"03781127","journalAbbreviation":"Forest Ecology and Management","language":"en","page":"120004","source":"DOI.org (Crossref)","title":"Operational resilience in western US frequent-fire forests","volume":"507","author":[{"family":"North","given":"Malcolm P."},{"family":"Tompkins","given":"Ryan E."},{"family":"Bernal","given":"Alexis A."},{"family":"Collins","given":"Brandon M."},{"family":"Stephens","given":"Scott L."},{"family":"York","given":"Robert A."}],"issued":{"date-parts":[["2022",3]]}}}],"schema":"https://github.com/citation-style-language/schema/raw/master/csl-citation.json"} </w:instrText>
      </w:r>
      <w:r w:rsidRPr="001C6555">
        <w:rPr>
          <w:rFonts w:eastAsia="Times New Roman" w:cs="Times New Roman"/>
        </w:rPr>
        <w:fldChar w:fldCharType="separate"/>
      </w:r>
      <w:r w:rsidRPr="001C6555">
        <w:rPr>
          <w:rFonts w:eastAsia="Times New Roman" w:cs="Times New Roman"/>
          <w:noProof/>
        </w:rPr>
        <w:t>(12)</w:t>
      </w:r>
      <w:r w:rsidRPr="001C6555">
        <w:rPr>
          <w:rFonts w:eastAsia="Times New Roman" w:cs="Times New Roman"/>
        </w:rPr>
        <w:fldChar w:fldCharType="end"/>
      </w:r>
      <w:r w:rsidRPr="001C6555">
        <w:rPr>
          <w:rFonts w:eastAsia="Times New Roman" w:cs="Times New Roman"/>
        </w:rPr>
        <w:t xml:space="preserve">. We also implement prescribed fire in the ninth year, covering all treated stands, and use </w:t>
      </w:r>
      <w:proofErr w:type="spellStart"/>
      <w:r w:rsidRPr="001C6555">
        <w:rPr>
          <w:rFonts w:eastAsia="Times New Roman" w:cs="Times New Roman"/>
        </w:rPr>
        <w:t>FlamAdj</w:t>
      </w:r>
      <w:proofErr w:type="spellEnd"/>
      <w:r w:rsidRPr="001C6555">
        <w:rPr>
          <w:rFonts w:eastAsia="Times New Roman" w:cs="Times New Roman"/>
        </w:rPr>
        <w:t xml:space="preserve"> to limit the flame length of the prescribed fire to two feet which assumes that no prescribed fires escalate to crown fires. In the no-treatment scenario, we utilize </w:t>
      </w:r>
      <w:proofErr w:type="spellStart"/>
      <w:r w:rsidRPr="001C6555">
        <w:rPr>
          <w:rFonts w:eastAsia="Times New Roman" w:cs="Times New Roman"/>
        </w:rPr>
        <w:t>FireSim</w:t>
      </w:r>
      <w:proofErr w:type="spellEnd"/>
      <w:r w:rsidRPr="001C6555">
        <w:rPr>
          <w:rFonts w:eastAsia="Times New Roman" w:cs="Times New Roman"/>
        </w:rPr>
        <w:t xml:space="preserve"> to constrain the model by setting the proportion of the fire considered high severity to 32%, reflecting the observed fire severity in the reference region between 2010 and 2020. Each fire scenario run in FVS assumes 100% of each stand burns, allowing for secondary outputs to be calculated in R which weight the relative impact of fire on forest carbon based on the occurrence of fire (see </w:t>
      </w:r>
      <w:r w:rsidRPr="001C6555">
        <w:rPr>
          <w:rFonts w:eastAsia="Times New Roman" w:cs="Times New Roman"/>
          <w:i/>
        </w:rPr>
        <w:t>Predicting Carbon Dynamics and Fire Impact</w:t>
      </w:r>
      <w:r w:rsidRPr="001C6555">
        <w:rPr>
          <w:rFonts w:eastAsia="Times New Roman" w:cs="Times New Roman"/>
        </w:rPr>
        <w:t xml:space="preserve"> section). Scaling from stand level to watershed scale involves counting unique stand identifiers in </w:t>
      </w:r>
      <w:proofErr w:type="spellStart"/>
      <w:r w:rsidRPr="001C6555">
        <w:rPr>
          <w:rFonts w:eastAsia="Times New Roman" w:cs="Times New Roman"/>
        </w:rPr>
        <w:t>TreeMap</w:t>
      </w:r>
      <w:proofErr w:type="spellEnd"/>
      <w:r w:rsidRPr="001C6555">
        <w:rPr>
          <w:rFonts w:eastAsia="Times New Roman" w:cs="Times New Roman"/>
        </w:rPr>
        <w:t xml:space="preserve"> on the treatment landscape and replicating FVS outputs based on the observed frequency. </w:t>
      </w:r>
    </w:p>
    <w:p w14:paraId="3F259DC4" w14:textId="77777777" w:rsidR="00E0007C" w:rsidRPr="00E0007C" w:rsidRDefault="00E0007C" w:rsidP="00E0007C"/>
    <w:p w14:paraId="2694F1FD" w14:textId="082BFCC2" w:rsidR="00E0007C" w:rsidRDefault="00E0007C" w:rsidP="00E0007C">
      <w:pPr>
        <w:pStyle w:val="Heading2"/>
        <w:numPr>
          <w:ilvl w:val="1"/>
          <w:numId w:val="20"/>
        </w:numPr>
      </w:pPr>
      <w:r>
        <w:lastRenderedPageBreak/>
        <w:t xml:space="preserve">Predicting carbon dynamics and fire impact </w:t>
      </w:r>
    </w:p>
    <w:p w14:paraId="0D16913B" w14:textId="3B9CB253" w:rsidR="00E0007C" w:rsidRPr="00E0007C" w:rsidRDefault="00E0007C" w:rsidP="00E0007C">
      <w:pPr>
        <w:pBdr>
          <w:top w:val="nil"/>
          <w:left w:val="nil"/>
          <w:bottom w:val="nil"/>
          <w:right w:val="nil"/>
          <w:between w:val="nil"/>
        </w:pBdr>
        <w:rPr>
          <w:rFonts w:eastAsia="Times New Roman" w:cs="Times New Roman"/>
          <w:color w:val="000000"/>
        </w:rPr>
      </w:pPr>
      <w:r w:rsidRPr="001C6555">
        <w:rPr>
          <w:rFonts w:eastAsia="Times New Roman" w:cs="Times New Roman"/>
          <w:color w:val="000000"/>
          <w:szCs w:val="24"/>
        </w:rPr>
        <w:t xml:space="preserve">Once FVS simulations are complete, outputs </w:t>
      </w:r>
      <w:r w:rsidRPr="001C6555">
        <w:rPr>
          <w:rFonts w:eastAsia="Times New Roman" w:cs="Times New Roman"/>
        </w:rPr>
        <w:t>are</w:t>
      </w:r>
      <w:r w:rsidRPr="001C6555">
        <w:rPr>
          <w:rFonts w:eastAsia="Times New Roman" w:cs="Times New Roman"/>
          <w:color w:val="000000"/>
          <w:szCs w:val="24"/>
        </w:rPr>
        <w:t xml:space="preserve"> exported to R for reorganization and weighting. We use observations from 2010 – 2020 for annual wildfire extent and severity to create a cumulative probability density function demonstrating the cumulative likelihood of fire over a 20-year stewardship contract period. This approach helps us statistically propagate the cumulative impact of fire over time by considering both the annual extent of the fire and its frequency in the simulation</w:t>
      </w:r>
      <w:r w:rsidRPr="001C6555">
        <w:rPr>
          <w:rFonts w:eastAsia="Times New Roman" w:cs="Times New Roman"/>
          <w:color w:val="000000"/>
        </w:rPr>
        <w:t xml:space="preserve"> </w:t>
      </w:r>
      <w:r w:rsidRPr="001C6555">
        <w:rPr>
          <w:rFonts w:eastAsia="Times New Roman" w:cs="Times New Roman"/>
          <w:color w:val="000000"/>
        </w:rPr>
        <w:fldChar w:fldCharType="begin"/>
      </w:r>
      <w:r w:rsidRPr="001C6555">
        <w:rPr>
          <w:rFonts w:eastAsia="Times New Roman" w:cs="Times New Roman"/>
          <w:color w:val="000000"/>
        </w:rPr>
        <w:instrText xml:space="preserve"> ADDIN ZOTERO_ITEM CSL_CITATION {"citationID":"n6eIXK6D","properties":{"formattedCitation":"(13,14)","plainCitation":"(13,14)","noteIndex":0},"citationItems":[{"id":3950,"uris":["http://zotero.org/users/5377231/items/PF3MJU2F"],"itemData":{"id":3950,"type":"article-journal","container-title":"The Bark Beetles, Fuels, and Fire Bibliography","journalAbbreviation":"The Bark Beetles, Fuels, and Fire Bibliography","source":"ResearchGate","title":"Fire Ecology of Pacific Northwest Forests","author":[{"family":"Agee","given":"James"}],"issued":{"date-parts":[["1996",1,1]]}}},{"id":3947,"uris":["http://zotero.org/users/5377231/items/5WJNYBJA"],"itemData":{"id":3947,"type":"article-journal","abstract":"Statistical characterization of past fire regimes is important for both the ecology and management of fire-prone ecosystems. Survival analysis—or fire frequency analysis as it is often called in the fire literature—has increasingly been used over the last few decades to examine fire interval distributions. These distributions can be generated from a variety of sources (e.g., tree rings and stand age patterns), and analysis typically involves fitting the Weibull model. Given the widespread use of fire frequency analysis and the increasing availability of mapped fire history data, our goal has been to review and to examine some of the issues faced in applying these methods in a spatially explicit context. In particular, through a case study on the massive Cedar Fire in 2003 in southern California, we examine sensitivities of parameter estimates to the spatial resolution of sampling, point- and area-based methods for assigning sample values, current age surfaces versus historical intervals in generating distributions, and the inclusion of censored (i.e., incomplete) observations. Weibull parameter estimates were found to be roughly consistent with previous fire frequency analyses for shrublands (i.e., median age at burning of ~30–50 years and relatively low age dependency). Results indicate, however, that the inclusion or omission of censored observations can have a substantial effect on parameter estimates, far more than other decisions about specifics of sampling.","container-title":"Environmental and Ecological Statistics","DOI":"10.1007/s10651-007-0088-y","ISSN":"1573-3009","issue":"2","journalAbbreviation":"Environ Ecol Stat","language":"en","page":"271-289","source":"Springer Link","title":"The fire frequency analysis branch of the pyrostatistics tree: sampling decisions and censoring in fire interval data","title-short":"The fire frequency analysis branch of the pyrostatistics tree","volume":"16","author":[{"family":"Moritz","given":"Max A."},{"family":"Moody","given":"Tadashi J."},{"family":"Miles","given":"Lori J."},{"family":"Smith","given":"Matthew M."},{"family":"Valpine","given":"Perry","non-dropping-particle":"de"}],"issued":{"date-parts":[["2009",6,1]]}}}],"schema":"https://github.com/citation-style-language/schema/raw/master/csl-citation.json"} </w:instrText>
      </w:r>
      <w:r w:rsidRPr="001C6555">
        <w:rPr>
          <w:rFonts w:eastAsia="Times New Roman" w:cs="Times New Roman"/>
          <w:color w:val="000000"/>
        </w:rPr>
        <w:fldChar w:fldCharType="separate"/>
      </w:r>
      <w:r w:rsidRPr="001C6555">
        <w:rPr>
          <w:rFonts w:eastAsia="Times New Roman" w:cs="Times New Roman"/>
          <w:noProof/>
          <w:color w:val="000000"/>
        </w:rPr>
        <w:t>(13,14)</w:t>
      </w:r>
      <w:r w:rsidRPr="001C6555">
        <w:rPr>
          <w:rFonts w:eastAsia="Times New Roman" w:cs="Times New Roman"/>
          <w:color w:val="000000"/>
        </w:rPr>
        <w:fldChar w:fldCharType="end"/>
      </w:r>
      <w:r w:rsidRPr="001C6555">
        <w:rPr>
          <w:rFonts w:eastAsia="Times New Roman" w:cs="Times New Roman"/>
          <w:color w:val="000000"/>
          <w:szCs w:val="24"/>
        </w:rPr>
        <w:t xml:space="preserve">. Each year, we calculate a cumulative sum that represents the predicted cumulative extent of fire, based on the annual fire extent and a multiplier representing the fire year. This cumulative sum, capped at 1, indicates the proportion of the landscape predicted to have experienced fire up to that year. </w:t>
      </w:r>
    </w:p>
    <w:p w14:paraId="35CE4818" w14:textId="77777777" w:rsidR="00E0007C" w:rsidRPr="001C6555" w:rsidRDefault="00E0007C" w:rsidP="00E0007C">
      <w:pPr>
        <w:rPr>
          <w:rFonts w:eastAsia="Times New Roman" w:cs="Times New Roman"/>
        </w:rPr>
      </w:pPr>
      <w:r w:rsidRPr="001C6555">
        <w:rPr>
          <w:rFonts w:eastAsia="Times New Roman" w:cs="Times New Roman"/>
        </w:rPr>
        <w:t>For years when the simulation year is greater than or equal to the fire year, the cumulative extent is calculated as:</w:t>
      </w:r>
    </w:p>
    <w:p w14:paraId="29895DFF" w14:textId="77777777" w:rsidR="00D9306F" w:rsidRPr="00933A95" w:rsidRDefault="00D9306F" w:rsidP="00D9306F">
      <w:pPr>
        <w:rPr>
          <w:rFonts w:cs="Times New Roman"/>
          <w:i/>
          <w:iCs/>
        </w:rPr>
      </w:pPr>
      <w:r w:rsidRPr="00933A95">
        <w:rPr>
          <w:rFonts w:cs="Times New Roman"/>
          <w:i/>
          <w:iCs/>
        </w:rPr>
        <w:t xml:space="preserve">Cumulative Wildfire Extent </w:t>
      </w:r>
    </w:p>
    <w:p w14:paraId="15E7CF4A" w14:textId="77777777" w:rsidR="00D9306F" w:rsidRPr="007E5DF0" w:rsidRDefault="00D9306F" w:rsidP="00D9306F">
      <w:pPr>
        <w:rPr>
          <w:rFonts w:cs="Times New Roman"/>
        </w:rPr>
      </w:pPr>
      <m:oMathPara>
        <m:oMath>
          <m:r>
            <w:rPr>
              <w:rFonts w:ascii="Cambria Math" w:hAnsi="Cambria Math" w:cs="Times New Roman"/>
            </w:rPr>
            <m:t>CWE=1-(1-AE)^n</m:t>
          </m:r>
        </m:oMath>
      </m:oMathPara>
    </w:p>
    <w:p w14:paraId="79080094" w14:textId="77777777" w:rsidR="00D9306F" w:rsidRDefault="00D9306F" w:rsidP="00D9306F">
      <w:r>
        <w:t xml:space="preserve">Where: </w:t>
      </w:r>
    </w:p>
    <w:p w14:paraId="430B1E88" w14:textId="77777777" w:rsidR="00D9306F" w:rsidRPr="007E5DF0" w:rsidRDefault="00D9306F" w:rsidP="00D9306F">
      <w:pPr>
        <w:rPr>
          <w:rFonts w:cs="Times New Roman"/>
        </w:rPr>
      </w:pPr>
      <w:r w:rsidRPr="007E5DF0">
        <w:rPr>
          <w:rFonts w:cs="Times New Roman"/>
        </w:rPr>
        <w:t>AE = observed annual extent of fire</w:t>
      </w:r>
    </w:p>
    <w:p w14:paraId="6F81CC5B" w14:textId="3E7CC002" w:rsidR="00D9306F" w:rsidRDefault="00D9306F" w:rsidP="00D9306F">
      <w:pPr>
        <w:rPr>
          <w:rFonts w:cs="Times New Roman"/>
        </w:rPr>
      </w:pPr>
      <w:r w:rsidRPr="007E5DF0">
        <w:rPr>
          <w:rFonts w:cs="Times New Roman"/>
        </w:rPr>
        <w:t>n = number of years</w:t>
      </w:r>
    </w:p>
    <w:p w14:paraId="7AF170BA" w14:textId="52DECF43" w:rsidR="00D9306F" w:rsidRPr="00D9306F" w:rsidRDefault="00D9306F" w:rsidP="00D9306F">
      <w:pPr>
        <w:rPr>
          <w:rFonts w:eastAsia="Times New Roman" w:cs="Times New Roman"/>
        </w:rPr>
      </w:pPr>
      <w:r w:rsidRPr="001C6555">
        <w:rPr>
          <w:rFonts w:eastAsia="Times New Roman" w:cs="Times New Roman"/>
        </w:rPr>
        <w:t xml:space="preserve">Using this cumulative extent of fire, we integrate the FVS outputs from the fire and no fire scenarios based on the year of assumed fire for both the treatment and no-treatment scenario. This results in 12 integrated and weighted model outputs for both treatment and no-treatment scenarios (no fire, fire year 1, 5, 10, 15, and 20). For instance, if the mean 5-year cumulative extent of fire in the reference region is 25%, we calculate the aboveground live carbon (AGLC) for the treatment scenario in year t &gt;= 5, when t &gt;= </w:t>
      </w:r>
      <w:proofErr w:type="spellStart"/>
      <w:r w:rsidRPr="001C6555">
        <w:rPr>
          <w:rFonts w:eastAsia="Times New Roman" w:cs="Times New Roman"/>
        </w:rPr>
        <w:t>FireYear</w:t>
      </w:r>
      <w:proofErr w:type="spellEnd"/>
      <w:r w:rsidRPr="001C6555">
        <w:rPr>
          <w:rFonts w:eastAsia="Times New Roman" w:cs="Times New Roman"/>
        </w:rPr>
        <w:t>, as:</w:t>
      </w:r>
    </w:p>
    <w:p w14:paraId="21ED66FD" w14:textId="77777777" w:rsidR="00D9306F" w:rsidRDefault="00D9306F" w:rsidP="00D9306F"/>
    <w:p w14:paraId="2B94C191" w14:textId="77777777" w:rsidR="00D9306F" w:rsidRPr="00CA1267" w:rsidRDefault="00D9306F" w:rsidP="00D9306F">
      <w:pPr>
        <w:rPr>
          <w:i/>
          <w:iCs/>
        </w:rPr>
      </w:pPr>
      <w:r w:rsidRPr="00CA1267">
        <w:rPr>
          <w:i/>
          <w:iCs/>
        </w:rPr>
        <w:t>Net Carbon (tCO</w:t>
      </w:r>
      <w:r w:rsidRPr="00CA1267">
        <w:rPr>
          <w:i/>
          <w:iCs/>
          <w:vertAlign w:val="subscript"/>
        </w:rPr>
        <w:t>2</w:t>
      </w:r>
      <w:r w:rsidRPr="00CA1267">
        <w:rPr>
          <w:i/>
          <w:iCs/>
        </w:rPr>
        <w:t>e per acre)</w:t>
      </w:r>
    </w:p>
    <w:p w14:paraId="04D2A05C" w14:textId="77777777" w:rsidR="00D9306F" w:rsidRPr="00CA1267" w:rsidRDefault="00D9306F" w:rsidP="00D9306F">
      <w:pPr>
        <w:rPr>
          <w:rFonts w:eastAsiaTheme="minorEastAsia"/>
        </w:rPr>
      </w:pPr>
      <m:oMathPara>
        <m:oMath>
          <m:r>
            <w:rPr>
              <w:rFonts w:ascii="Cambria Math" w:hAnsi="Cambria Math"/>
            </w:rPr>
            <m:t>NetCarbon=</m:t>
          </m:r>
          <m:d>
            <m:dPr>
              <m:ctrlPr>
                <w:rPr>
                  <w:rFonts w:ascii="Cambria Math" w:hAnsi="Cambria Math"/>
                  <w:i/>
                </w:rPr>
              </m:ctrlPr>
            </m:dPr>
            <m:e>
              <m:sSub>
                <m:sSubPr>
                  <m:ctrlPr>
                    <w:rPr>
                      <w:rFonts w:ascii="Cambria Math" w:hAnsi="Cambria Math"/>
                    </w:rPr>
                  </m:ctrlPr>
                </m:sSubPr>
                <m:e>
                  <m:r>
                    <w:rPr>
                      <w:rFonts w:ascii="Cambria Math" w:eastAsia="Cambria Math" w:hAnsi="Cambria Math"/>
                    </w:rPr>
                    <m:t>C</m:t>
                  </m:r>
                </m:e>
                <m:sub>
                  <m:r>
                    <w:rPr>
                      <w:rFonts w:ascii="Cambria Math" w:eastAsia="Cambria Math" w:hAnsi="Cambria Math"/>
                    </w:rPr>
                    <m:t>firej,t</m:t>
                  </m:r>
                </m:sub>
              </m:sSub>
              <m:r>
                <w:rPr>
                  <w:rFonts w:ascii="Cambria Math" w:hAnsi="Cambria Math"/>
                </w:rPr>
                <m:t>*</m:t>
              </m:r>
              <m:sSub>
                <m:sSubPr>
                  <m:ctrlPr>
                    <w:rPr>
                      <w:rFonts w:ascii="Cambria Math" w:hAnsi="Cambria Math"/>
                    </w:rPr>
                  </m:ctrlPr>
                </m:sSubPr>
                <m:e>
                  <m:r>
                    <w:rPr>
                      <w:rFonts w:ascii="Cambria Math" w:eastAsia="Cambria Math" w:hAnsi="Cambria Math"/>
                    </w:rPr>
                    <m:t>CWE</m:t>
                  </m:r>
                </m:e>
                <m:sub>
                  <m:r>
                    <w:rPr>
                      <w:rFonts w:ascii="Cambria Math" w:eastAsia="Cambria Math" w:hAnsi="Cambria Math"/>
                    </w:rPr>
                    <m:t>t</m:t>
                  </m:r>
                </m:sub>
              </m:sSub>
            </m:e>
          </m:d>
          <m:r>
            <w:rPr>
              <w:rFonts w:ascii="Cambria Math" w:hAnsi="Cambria Math"/>
            </w:rPr>
            <m:t>+(</m:t>
          </m:r>
          <m:sSub>
            <m:sSubPr>
              <m:ctrlPr>
                <w:rPr>
                  <w:rFonts w:ascii="Cambria Math" w:hAnsi="Cambria Math"/>
                </w:rPr>
              </m:ctrlPr>
            </m:sSubPr>
            <m:e>
              <m:r>
                <w:rPr>
                  <w:rFonts w:ascii="Cambria Math" w:eastAsia="Cambria Math" w:hAnsi="Cambria Math"/>
                </w:rPr>
                <m:t>C</m:t>
              </m:r>
            </m:e>
            <m:sub>
              <m:r>
                <w:rPr>
                  <w:rFonts w:ascii="Cambria Math" w:eastAsia="Cambria Math" w:hAnsi="Cambria Math"/>
                </w:rPr>
                <m:t>no-fire,t</m:t>
              </m:r>
            </m:sub>
          </m:sSub>
          <m:r>
            <w:rPr>
              <w:rFonts w:ascii="Cambria Math" w:hAnsi="Cambria Math"/>
            </w:rPr>
            <m:t>*1-</m:t>
          </m:r>
          <m:sSub>
            <m:sSubPr>
              <m:ctrlPr>
                <w:rPr>
                  <w:rFonts w:ascii="Cambria Math" w:hAnsi="Cambria Math"/>
                </w:rPr>
              </m:ctrlPr>
            </m:sSubPr>
            <m:e>
              <m:r>
                <w:rPr>
                  <w:rFonts w:ascii="Cambria Math" w:eastAsia="Cambria Math" w:hAnsi="Cambria Math"/>
                </w:rPr>
                <m:t>C</m:t>
              </m:r>
              <m:r>
                <w:rPr>
                  <w:rFonts w:ascii="Cambria Math" w:eastAsia="Cambria Math" w:hAnsi="Cambria Math"/>
                </w:rPr>
                <m:t>WE</m:t>
              </m:r>
            </m:e>
            <m:sub>
              <m:r>
                <w:rPr>
                  <w:rFonts w:ascii="Cambria Math" w:eastAsia="Cambria Math" w:hAnsi="Cambria Math"/>
                </w:rPr>
                <m:t>t</m:t>
              </m:r>
            </m:sub>
          </m:sSub>
          <m:r>
            <w:rPr>
              <w:rFonts w:ascii="Cambria Math" w:hAnsi="Cambria Math"/>
            </w:rPr>
            <m:t>)</m:t>
          </m:r>
        </m:oMath>
      </m:oMathPara>
    </w:p>
    <w:p w14:paraId="1F5EA43E" w14:textId="77777777" w:rsidR="00D9306F" w:rsidRDefault="00D9306F" w:rsidP="00D9306F">
      <w:pPr>
        <w:rPr>
          <w:rFonts w:eastAsiaTheme="minorEastAsia"/>
        </w:rPr>
      </w:pPr>
      <w:r>
        <w:rPr>
          <w:rFonts w:eastAsiaTheme="minorEastAsia"/>
        </w:rPr>
        <w:t xml:space="preserve">Where: </w:t>
      </w:r>
    </w:p>
    <w:p w14:paraId="0CCFA88E" w14:textId="77777777" w:rsidR="00D9306F" w:rsidRDefault="00D9306F" w:rsidP="00D9306F">
      <w:pPr>
        <w:rPr>
          <w:rFonts w:cs="Times New Roman"/>
        </w:rPr>
      </w:pPr>
      <m:oMath>
        <m:sSub>
          <m:sSubPr>
            <m:ctrlPr>
              <w:rPr>
                <w:rFonts w:ascii="Cambria Math" w:hAnsi="Cambria Math"/>
              </w:rPr>
            </m:ctrlPr>
          </m:sSubPr>
          <m:e>
            <m:r>
              <w:rPr>
                <w:rFonts w:ascii="Cambria Math" w:eastAsia="Cambria Math" w:hAnsi="Cambria Math"/>
              </w:rPr>
              <m:t>C</m:t>
            </m:r>
          </m:e>
          <m:sub>
            <m:r>
              <w:rPr>
                <w:rFonts w:ascii="Cambria Math" w:eastAsia="Cambria Math" w:hAnsi="Cambria Math"/>
              </w:rPr>
              <m:t>firej,t</m:t>
            </m:r>
          </m:sub>
        </m:sSub>
        <m:r>
          <w:rPr>
            <w:rFonts w:ascii="Cambria Math" w:hAnsi="Cambria Math"/>
          </w:rPr>
          <m:t xml:space="preserve"> </m:t>
        </m:r>
      </m:oMath>
      <w:r w:rsidRPr="007E5DF0">
        <w:rPr>
          <w:rFonts w:cs="Times New Roman"/>
        </w:rPr>
        <w:t>represents carbon under fire scenario j at time t</w:t>
      </w:r>
    </w:p>
    <w:p w14:paraId="158214BF" w14:textId="77777777" w:rsidR="00D9306F" w:rsidRPr="007E5DF0" w:rsidRDefault="00D9306F" w:rsidP="00D9306F">
      <w:pPr>
        <w:rPr>
          <w:rFonts w:cs="Times New Roman"/>
        </w:rPr>
      </w:pPr>
      <m:oMath>
        <m:sSub>
          <m:sSubPr>
            <m:ctrlPr>
              <w:rPr>
                <w:rFonts w:ascii="Cambria Math" w:hAnsi="Cambria Math"/>
              </w:rPr>
            </m:ctrlPr>
          </m:sSubPr>
          <m:e>
            <m:r>
              <w:rPr>
                <w:rFonts w:ascii="Cambria Math" w:eastAsia="Cambria Math" w:hAnsi="Cambria Math"/>
              </w:rPr>
              <m:t>C</m:t>
            </m:r>
          </m:e>
          <m:sub>
            <m:r>
              <w:rPr>
                <w:rFonts w:ascii="Cambria Math" w:eastAsia="Cambria Math" w:hAnsi="Cambria Math"/>
              </w:rPr>
              <m:t>no-fire,t</m:t>
            </m:r>
          </m:sub>
        </m:sSub>
        <m:r>
          <w:rPr>
            <w:rFonts w:ascii="Cambria Math" w:hAnsi="Cambria Math"/>
          </w:rPr>
          <m:t xml:space="preserve"> </m:t>
        </m:r>
      </m:oMath>
      <w:r>
        <w:rPr>
          <w:rFonts w:cs="Times New Roman"/>
        </w:rPr>
        <w:t>r</w:t>
      </w:r>
      <w:proofErr w:type="spellStart"/>
      <w:r>
        <w:rPr>
          <w:rFonts w:cs="Times New Roman"/>
        </w:rPr>
        <w:t>epresents</w:t>
      </w:r>
      <w:proofErr w:type="spellEnd"/>
      <w:r>
        <w:rPr>
          <w:rFonts w:cs="Times New Roman"/>
        </w:rPr>
        <w:t xml:space="preserve"> carbon under no fire scenario at time t</w:t>
      </w:r>
    </w:p>
    <w:p w14:paraId="3A62AFF7" w14:textId="77777777" w:rsidR="00D9306F" w:rsidRPr="007E5DF0" w:rsidRDefault="00D9306F" w:rsidP="00D9306F">
      <w:pPr>
        <w:rPr>
          <w:rFonts w:cs="Times New Roman"/>
        </w:rPr>
      </w:pPr>
      <w:r w:rsidRPr="007E5DF0">
        <w:rPr>
          <w:rFonts w:cs="Times New Roman"/>
        </w:rPr>
        <w:t>j represents fire occurrence timestep 1, 5, 10, 15, 20, 25</w:t>
      </w:r>
    </w:p>
    <w:p w14:paraId="770562A1" w14:textId="77777777" w:rsidR="00D9306F" w:rsidRPr="007E5DF0" w:rsidRDefault="00D9306F" w:rsidP="00D9306F">
      <w:pPr>
        <w:rPr>
          <w:rFonts w:cs="Times New Roman"/>
        </w:rPr>
      </w:pPr>
      <w:r w:rsidRPr="007E5DF0">
        <w:rPr>
          <w:rFonts w:cs="Times New Roman"/>
        </w:rPr>
        <w:t>CWE represents the cumulative probability that wildfire has occurred</w:t>
      </w:r>
    </w:p>
    <w:p w14:paraId="24A5BAC4" w14:textId="77777777" w:rsidR="00D9306F" w:rsidRDefault="00D9306F" w:rsidP="00D9306F"/>
    <w:p w14:paraId="14E92D58" w14:textId="77777777" w:rsidR="00D9306F" w:rsidRPr="001C6555" w:rsidRDefault="00D9306F" w:rsidP="00D9306F">
      <w:pPr>
        <w:rPr>
          <w:rFonts w:eastAsia="Times New Roman" w:cs="Times New Roman"/>
        </w:rPr>
      </w:pPr>
      <w:r w:rsidRPr="001C6555">
        <w:rPr>
          <w:rFonts w:eastAsia="Times New Roman" w:cs="Times New Roman"/>
        </w:rPr>
        <w:lastRenderedPageBreak/>
        <w:t xml:space="preserve">For years when the simulation year t is less than the fire year, we apply the </w:t>
      </w:r>
      <w:proofErr w:type="spellStart"/>
      <w:r w:rsidRPr="001C6555">
        <w:rPr>
          <w:rFonts w:eastAsia="Times New Roman" w:cs="Times New Roman"/>
        </w:rPr>
        <w:t>NoFire</w:t>
      </w:r>
      <w:proofErr w:type="spellEnd"/>
      <w:r w:rsidRPr="001C6555">
        <w:rPr>
          <w:rFonts w:eastAsia="Times New Roman" w:cs="Times New Roman"/>
        </w:rPr>
        <w:t xml:space="preserve"> scenario value, and no weighting occurs. In simple terms, we use values from the no-fire scenario up until the year of the modeled fire. Once the fire occurs, the outputs are weighted to reflect the cumulative extent of the landscape that would have burned.</w:t>
      </w:r>
    </w:p>
    <w:p w14:paraId="548BDEA4" w14:textId="77777777" w:rsidR="00D9306F" w:rsidRDefault="00D9306F" w:rsidP="00D9306F"/>
    <w:p w14:paraId="03A32A28" w14:textId="77777777" w:rsidR="00D9306F" w:rsidRPr="001C6555" w:rsidRDefault="00D9306F" w:rsidP="00D9306F">
      <w:pPr>
        <w:rPr>
          <w:rFonts w:eastAsia="Times New Roman" w:cs="Times New Roman"/>
        </w:rPr>
      </w:pPr>
      <w:r w:rsidRPr="001C6555">
        <w:rPr>
          <w:rFonts w:eastAsia="Times New Roman" w:cs="Times New Roman"/>
        </w:rPr>
        <w:t xml:space="preserve">To address uncertainty in fire extent, we conduct a Monte Carlo simulation with 100 iterations. For each iteration, we sample a random value for the annual fire extent from a normal distribution reflecting the observed annual fire </w:t>
      </w:r>
      <w:proofErr w:type="gramStart"/>
      <w:r w:rsidRPr="001C6555">
        <w:rPr>
          <w:rFonts w:eastAsia="Times New Roman" w:cs="Times New Roman"/>
        </w:rPr>
        <w:t>extents  in</w:t>
      </w:r>
      <w:proofErr w:type="gramEnd"/>
      <w:r w:rsidRPr="001C6555">
        <w:rPr>
          <w:rFonts w:eastAsia="Times New Roman" w:cs="Times New Roman"/>
        </w:rPr>
        <w:t xml:space="preserve"> the reference region. The minimum annual fire extent used is 0.05%, the maximum 14.86%, and the mean 5.12% which represents the observed fire extent statistics in the reference region between 2010 – 2020. We use this random fire extent in the cumulative weighting model to calculate adjusted aboveground live carbon and wildfire emissions. When the predicted cumulative extent of the fire is 100%, only outputs from the fire FVS run are included. No stands are assumed to burn more than once. The Monte Carlo simulation generates a distribution of outcomes, providing a broad understanding of potential variability in carbon dynamics based on variations in annual fire extent.</w:t>
      </w:r>
    </w:p>
    <w:p w14:paraId="39A108E4" w14:textId="77777777" w:rsidR="00E0007C" w:rsidRPr="00E0007C" w:rsidRDefault="00E0007C" w:rsidP="00E0007C"/>
    <w:p w14:paraId="14A0EA46" w14:textId="4F84D63B" w:rsidR="00E0007C" w:rsidRDefault="00E0007C" w:rsidP="00E0007C">
      <w:pPr>
        <w:pStyle w:val="Heading2"/>
        <w:numPr>
          <w:ilvl w:val="1"/>
          <w:numId w:val="20"/>
        </w:numPr>
      </w:pPr>
      <w:r>
        <w:t xml:space="preserve">Sawtimber, low-value biomass, and carbon benefits of biomass utilization </w:t>
      </w:r>
    </w:p>
    <w:p w14:paraId="0D088D29" w14:textId="2CF8B33D" w:rsidR="00D9306F" w:rsidRPr="001C6555" w:rsidRDefault="00D9306F" w:rsidP="00D9306F">
      <w:pPr>
        <w:rPr>
          <w:rFonts w:eastAsia="Times New Roman" w:cs="Times New Roman"/>
        </w:rPr>
      </w:pPr>
      <w:r w:rsidRPr="001C6555">
        <w:rPr>
          <w:rFonts w:eastAsia="Times New Roman" w:cs="Times New Roman"/>
        </w:rPr>
        <w:t xml:space="preserve">To understand the carbon benefits of different biomass utilization options in the treatment scenario, we categorize biomass by size (DBH) and species. In the treatment scenario, we differentiate between merchantable saw-timber and low-value biomass based on the species and DBH of the trees removed. We consider species like true fir, </w:t>
      </w:r>
      <w:proofErr w:type="spellStart"/>
      <w:r w:rsidRPr="001C6555">
        <w:rPr>
          <w:rFonts w:eastAsia="Times New Roman" w:cs="Times New Roman"/>
        </w:rPr>
        <w:t>douglas</w:t>
      </w:r>
      <w:proofErr w:type="spellEnd"/>
      <w:r w:rsidRPr="001C6555">
        <w:rPr>
          <w:rFonts w:eastAsia="Times New Roman" w:cs="Times New Roman"/>
        </w:rPr>
        <w:t xml:space="preserve"> fir, ponderosa pine, and other softwoods accepted by the Sierra Pacific Industries sawmill in Lincoln, CA, as merchantable wood. Trees not exceeding 12” DBH and belonging to one of these merchantable species are classified as </w:t>
      </w:r>
      <w:proofErr w:type="gramStart"/>
      <w:r w:rsidRPr="001C6555">
        <w:rPr>
          <w:rFonts w:eastAsia="Times New Roman" w:cs="Times New Roman"/>
        </w:rPr>
        <w:t>low-value</w:t>
      </w:r>
      <w:proofErr w:type="gramEnd"/>
      <w:r w:rsidRPr="001C6555">
        <w:rPr>
          <w:rFonts w:eastAsia="Times New Roman" w:cs="Times New Roman"/>
        </w:rPr>
        <w:t xml:space="preserve">, along with logging slash and bushes. We subtract the total carbon in merchantable saw logs from the total removed carbon, treating the remaining carbon as </w:t>
      </w:r>
      <w:proofErr w:type="gramStart"/>
      <w:r w:rsidRPr="001C6555">
        <w:rPr>
          <w:rFonts w:eastAsia="Times New Roman" w:cs="Times New Roman"/>
        </w:rPr>
        <w:t>low-value</w:t>
      </w:r>
      <w:proofErr w:type="gramEnd"/>
      <w:r w:rsidRPr="001C6555">
        <w:rPr>
          <w:rFonts w:eastAsia="Times New Roman" w:cs="Times New Roman"/>
        </w:rPr>
        <w:t>.</w:t>
      </w:r>
    </w:p>
    <w:p w14:paraId="1C1C205C" w14:textId="77777777" w:rsidR="00D9306F" w:rsidRPr="001C6555" w:rsidRDefault="00D9306F" w:rsidP="00D9306F">
      <w:pPr>
        <w:rPr>
          <w:rFonts w:eastAsia="Times New Roman" w:cs="Times New Roman"/>
        </w:rPr>
      </w:pPr>
      <w:r w:rsidRPr="001C6555">
        <w:rPr>
          <w:rFonts w:eastAsia="Times New Roman" w:cs="Times New Roman"/>
        </w:rPr>
        <w:t xml:space="preserve">We derive the carbon benefits of utilizing low-value biomass for fuels with carbon capture and sequestration (CCS), biochar, and traditional wood products in California from existing literature </w:t>
      </w:r>
      <w:r w:rsidRPr="001C6555">
        <w:rPr>
          <w:rFonts w:eastAsia="Times New Roman" w:cs="Times New Roman"/>
        </w:rPr>
        <w:fldChar w:fldCharType="begin"/>
      </w:r>
      <w:r w:rsidRPr="001C6555">
        <w:rPr>
          <w:rFonts w:eastAsia="Times New Roman" w:cs="Times New Roman"/>
        </w:rPr>
        <w:instrText xml:space="preserve"> ADDIN ZOTERO_ITEM CSL_CITATION {"citationID":"hk8KjoE2","properties":{"formattedCitation":"(15,16)","plainCitation":"(15,16)","noteIndex":0},"citationItems":[{"id":16,"uris":["http://zotero.org/users/5377231/items/5XDH8H9L"],"itemData":{"id":16,"type":"article-journal","abstract":"Traditional funding strategies of grants, congressional appropriations, and income from timber sales are insufficient to complete the level of forest restoration necessary throughout California. Stimulating investment into markets for low-value biomass—such as tops and branches of trees, small trees, and dead trees—will add value to forest raw materials and provide additional revenue streams to pay for forest restoration. We evaluate the investment potential of products made from low-value biomass using a discounted cash-flow analysis of several possible forest products including fuels and nonfuels under various climate policy and market scenarios. We demonstrate the carbon benefits provided by these products, attributed to their substitution for fossil-fuel feedstocks and long-term carbon storage. Our work finds that there is an opportunity to develop several highly profitable products, most notably fuels, many of which are eligible for energy and climate policy programs such as California's Low Carbon Fuel Standard and the federal Renewable Fuel Standard. Nonfuel products have an average internal rate of return (IRR) of 13 percent, whereas fuels have an average IRR of 19 percent in our baseline scenario. Although products ineligible for government incentives are generally less profitable, income from the voluntary carbon market greatly increases the IRR. Fostering investment into these products can encourage critically needed funding for forest management while developing a high-impact carbon removal solution enabled by state, federal, and voluntary climate initiatives. On this basis, we conclude that climate policy can support forest restoration in California.","container-title":"Forest Products Journal","DOI":"10.13073/FPJ-D-22-00049","ISSN":"0015-7473","issue":"1","journalAbbreviation":"Forest Products Journal","page":"31-42","source":"Silverchair","title":"Financial Analysis of Innovative Wood Products and Carbon Finance to Support Forest Restoration in California","volume":"73","author":[{"family":"Elias","given":"Micah"},{"family":"Dees","given":"John"},{"family":"Cabiyo","given":"Bodie"},{"family":"Saksa","given":"Phil"},{"family":"Sanchez","given":"Daniel L."}],"issued":{"date-parts":[["2023",2,8]]}}},{"id":3744,"uris":["http://zotero.org/users/5377231/items/HYCGPXLL"],"itemData":{"id":3744,"type":"article-journal","abstract":"Significance\n            Natural carbon sinks can help mitigate climate change, but climate risks—like increased wildfire—threaten forests’ capacity to store carbon. California has recently set ambitious forest management goals to reduce these risks. However, management can incur carbon losses because wood residues are often burnt or left to decay. This study applies a systems approach to assess climate change mitigation potential and wildfire outcomes across forest management scenarios and several wood products. We find that innovative use of wood residues supports extensive wildfire hazard reduction and maximizes carbon benefits. Long-lived products that displace carbon-intensive alternatives have the greatest benefits, including wood building products. Our results suggest a low-cost pathway to reduce carbon emissions and support climate adaptation in temperate forests.\n          , \n            \n              Responsible stewardship of temperate forests can address key challenges posed by climate change through sequestering carbon, producing low-carbon products, and mitigating climate risks. Forest thinning and fuel reduction can mitigate climate-related risks like catastrophic wildfire. These treatments are often cost prohibitive, though, in part because of low demand for low-value wood “residues.” Where treatment occurs, this low-value wood is often burned or left to decay, releasing carbon. In this study, we demonstrate that innovative use of low-value wood, with improved potential revenues and carbon benefits, can support economical, carbon-beneficial forest management outcomes in California. With increased demand for wood residues, forest health–oriented thinning could produce up to 7.3 million (M) oven-dry tonnes of forest residues per year, an eightfold increase over current levels. Increased management and wood use could yield net climate benefits between 6.4 and 16.9 million tonnes of carbon dioxide equivalent (M tCO\n              2\n              e\n              ) per year when considering impacts from management, wildfire, carbon storage in products, and displacement of fossil carbon-intensive alternatives over a 40-y period. We find that products with durable carbon storage confer the greatest benefits, as well as products that reduce emissions in hard-to-decarbonize sectors like industrial heat. Concurrently, treatment could reduce wildfire hazard on 4.9 M ha (12.1 M ac), a quarter of which could experience stand-replacing effects without treatment. Our results suggest that innovative wood use can support widespread fire hazard mitigation and reduce net CO\n              2\n              emissions in California.","container-title":"Proceedings of the National Academy of Sciences","DOI":"10.1073/pnas.2019073118","ISSN":"0027-8424, 1091-6490","issue":"49","journalAbbreviation":"Proc. Natl. Acad. Sci. U.S.A.","language":"en","page":"e2019073118","source":"DOI.org (Crossref)","title":"Innovative wood use can enable carbon-beneficial forest management in California SUPPLEMENTAL INFO","volume":"118","author":[{"family":"Cabiyo","given":"Bodie"},{"family":"Fried","given":"Jeremy S."},{"family":"Collins","given":"Brandon M."},{"family":"Stewart","given":"William"},{"family":"Wong","given":"Jun"},{"family":"Sanchez","given":"Daniel L."}],"issued":{"date-parts":[["2021",12,7]]}}}],"schema":"https://github.com/citation-style-language/schema/raw/master/csl-citation.json"} </w:instrText>
      </w:r>
      <w:r w:rsidRPr="001C6555">
        <w:rPr>
          <w:rFonts w:eastAsia="Times New Roman" w:cs="Times New Roman"/>
        </w:rPr>
        <w:fldChar w:fldCharType="separate"/>
      </w:r>
      <w:r w:rsidRPr="001C6555">
        <w:rPr>
          <w:rFonts w:eastAsia="Times New Roman" w:cs="Times New Roman"/>
          <w:noProof/>
        </w:rPr>
        <w:t>(15,16)</w:t>
      </w:r>
      <w:r w:rsidRPr="001C6555">
        <w:rPr>
          <w:rFonts w:eastAsia="Times New Roman" w:cs="Times New Roman"/>
        </w:rPr>
        <w:fldChar w:fldCharType="end"/>
      </w:r>
      <w:r w:rsidRPr="001C6555">
        <w:rPr>
          <w:rFonts w:eastAsia="Times New Roman" w:cs="Times New Roman"/>
        </w:rPr>
        <w:t xml:space="preserve">. For each product, we consider emissions from processing, and benefits associated with substitution and storage. For storing low-value material in wood vaults, a methodology for carbon removal that stores wood to prevent decomposition and thus sequesters carbon, we base benefits on the lower end of carbon benefits from wood vault purchasing applications to Frontier </w:t>
      </w:r>
      <w:r w:rsidRPr="001C6555">
        <w:rPr>
          <w:rFonts w:eastAsia="Times New Roman" w:cs="Times New Roman"/>
        </w:rPr>
        <w:fldChar w:fldCharType="begin"/>
      </w:r>
      <w:r w:rsidRPr="001C6555">
        <w:rPr>
          <w:rFonts w:eastAsia="Times New Roman" w:cs="Times New Roman"/>
        </w:rPr>
        <w:instrText xml:space="preserve"> ADDIN ZOTERO_ITEM CSL_CITATION {"citationID":"9bajeR8i","properties":{"formattedCitation":"(17)","plainCitation":"(17)","noteIndex":0},"citationItems":[{"id":3863,"uris":["http://zotero.org/users/5377231/items/G97GZWM3"],"itemData":{"id":3863,"type":"webpage","abstract":"Source materials supporting Frontier carbon removal purchases - frontierclimate/carbon-removal-source-materials","container-title":"GitHub","language":"en","title":"carbon-removal-source-materials/Project Applications at main · frontierclimate/carbon-removal-source-materials","URL":"https://github.com/frontierclimate/carbon-removal-source-materials/tree/main/Project%20Applications","author":[{"family":"Github","given":""}],"accessed":{"date-parts":[["2024",3,17]]}}}],"schema":"https://github.com/citation-style-language/schema/raw/master/csl-citation.json"} </w:instrText>
      </w:r>
      <w:r w:rsidRPr="001C6555">
        <w:rPr>
          <w:rFonts w:eastAsia="Times New Roman" w:cs="Times New Roman"/>
        </w:rPr>
        <w:fldChar w:fldCharType="separate"/>
      </w:r>
      <w:r w:rsidRPr="001C6555">
        <w:rPr>
          <w:rFonts w:eastAsia="Times New Roman" w:cs="Times New Roman"/>
          <w:noProof/>
        </w:rPr>
        <w:t>(17)</w:t>
      </w:r>
      <w:r w:rsidRPr="001C6555">
        <w:rPr>
          <w:rFonts w:eastAsia="Times New Roman" w:cs="Times New Roman"/>
        </w:rPr>
        <w:fldChar w:fldCharType="end"/>
      </w:r>
      <w:r w:rsidRPr="001C6555">
        <w:rPr>
          <w:rFonts w:eastAsia="Times New Roman" w:cs="Times New Roman"/>
        </w:rPr>
        <w:t xml:space="preserve">. We assume that all carbon benefits for each biomass utilization scenario accrue in the year the biomass is removed from the landscape, except for traditional wood products, which we assume have an economic half-life of 38 years. After this period, we assume 58% of the carbon becomes inert in a landfill, with the remainder released to the atmosphere </w:t>
      </w:r>
      <w:r w:rsidRPr="001C6555">
        <w:rPr>
          <w:rFonts w:eastAsia="Times New Roman" w:cs="Times New Roman"/>
        </w:rPr>
        <w:fldChar w:fldCharType="begin"/>
      </w:r>
      <w:r w:rsidRPr="001C6555">
        <w:rPr>
          <w:rFonts w:eastAsia="Times New Roman" w:cs="Times New Roman"/>
        </w:rPr>
        <w:instrText xml:space="preserve"> ADDIN ZOTERO_ITEM CSL_CITATION {"citationID":"7RkhiMuJ","properties":{"formattedCitation":"(18)","plainCitation":"(18)","noteIndex":0},"citationItems":[{"id":3866,"uris":["http://zotero.org/users/5377231/items/GN53IPWH"],"itemData":{"id":3866,"type":"article-journal","abstract":"The Intergovernmental Panel on Climate Change (IPCC) provides guidelines for countries to report greenhouse gas removals by sinks and emissions from sources. These guidelines allow use of several accounting approaches when reporting the contri­ bution of harvested wood products (HWP) under the United Nations Framework Convention on Climate Change. Using exten­ sions of methods suggested by the IPCC and a software model called WOODCARB II in Microsoft Excel�, this paper presents estimates of the U.S. HWP contribution to annual greenhouse gas removals in the agriculture, forestry, land use, and land use change sector. In 2005, the contribution to removals was 30 Tg (million metric tons) C (carbon) and 31 Tg C for the Production and Atmospheric Flow Approaches, respectively, and 44 Tg C for the Stock Change Approach. This range is 17 to 25 percent of C removals by forests, or would offset 42 percent to 61 percent of residential natural gas C emissions in 2005. The contribution has declined under the Production and Atmospheric Flow Approaches since 1990 and has increased under the Stock Change Approach. The Stock Change estimate has increased because it explicitly includes C in increasing net imports of wood and paper products. The contribution estimates were validated by adjusting the half-life of products in use in order to match independent estimates of carbon in housing in 2001 and annual wood and paper discards to solid-waste disposal sites (SWDS) during 1990 to 2001. Estimates of methane emissions from wood and paper in landfills were also checked against independent estimates of total landfill methane emissions. A Monte-Carlo simulation used to assess the effect of uncertainty in inputs suggests the 90 percent confidence interval for removal contribution estimates under the three approaches is within –23% to +19%.","container-title":"FOREST PRODUCTS JOURNAL","issue":"6","language":"en","source":"Zotero","title":"Sequestration of carbon in harvested wood products for the United States","volume":"58","author":[{"family":"Skog","given":"Kenneth E"}],"issued":{"date-parts":[["2008"]]}}}],"schema":"https://github.com/citation-style-language/schema/raw/master/csl-citation.json"} </w:instrText>
      </w:r>
      <w:r w:rsidRPr="001C6555">
        <w:rPr>
          <w:rFonts w:eastAsia="Times New Roman" w:cs="Times New Roman"/>
        </w:rPr>
        <w:fldChar w:fldCharType="separate"/>
      </w:r>
      <w:r w:rsidRPr="001C6555">
        <w:rPr>
          <w:rFonts w:eastAsia="Times New Roman" w:cs="Times New Roman"/>
          <w:noProof/>
        </w:rPr>
        <w:t>(18)</w:t>
      </w:r>
      <w:r w:rsidRPr="001C6555">
        <w:rPr>
          <w:rFonts w:eastAsia="Times New Roman" w:cs="Times New Roman"/>
        </w:rPr>
        <w:fldChar w:fldCharType="end"/>
      </w:r>
      <w:r w:rsidRPr="001C6555">
        <w:rPr>
          <w:rFonts w:eastAsia="Times New Roman" w:cs="Times New Roman"/>
        </w:rPr>
        <w:t xml:space="preserve">. We largely base our selection of products for analysis on profitability, as outlined in Elias et al. </w:t>
      </w:r>
      <w:r w:rsidRPr="001C6555">
        <w:rPr>
          <w:rFonts w:eastAsia="Times New Roman" w:cs="Times New Roman"/>
        </w:rPr>
        <w:fldChar w:fldCharType="begin"/>
      </w:r>
      <w:r w:rsidRPr="001C6555">
        <w:rPr>
          <w:rFonts w:eastAsia="Times New Roman" w:cs="Times New Roman"/>
        </w:rPr>
        <w:instrText xml:space="preserve"> ADDIN ZOTERO_ITEM CSL_CITATION {"citationID":"B57o8lVV","properties":{"formattedCitation":"(15)","plainCitation":"(15)","noteIndex":0},"citationItems":[{"id":16,"uris":["http://zotero.org/users/5377231/items/5XDH8H9L"],"itemData":{"id":16,"type":"article-journal","abstract":"Traditional funding strategies of grants, congressional appropriations, and income from timber sales are insufficient to complete the level of forest restoration necessary throughout California. Stimulating investment into markets for low-value biomass—such as tops and branches of trees, small trees, and dead trees—will add value to forest raw materials and provide additional revenue streams to pay for forest restoration. We evaluate the investment potential of products made from low-value biomass using a discounted cash-flow analysis of several possible forest products including fuels and nonfuels under various climate policy and market scenarios. We demonstrate the carbon benefits provided by these products, attributed to their substitution for fossil-fuel feedstocks and long-term carbon storage. Our work finds that there is an opportunity to develop several highly profitable products, most notably fuels, many of which are eligible for energy and climate policy programs such as California's Low Carbon Fuel Standard and the federal Renewable Fuel Standard. Nonfuel products have an average internal rate of return (IRR) of 13 percent, whereas fuels have an average IRR of 19 percent in our baseline scenario. Although products ineligible for government incentives are generally less profitable, income from the voluntary carbon market greatly increases the IRR. Fostering investment into these products can encourage critically needed funding for forest management while developing a high-impact carbon removal solution enabled by state, federal, and voluntary climate initiatives. On this basis, we conclude that climate policy can support forest restoration in California.","container-title":"Forest Products Journal","DOI":"10.13073/FPJ-D-22-00049","ISSN":"0015-7473","issue":"1","journalAbbreviation":"Forest Products Journal","page":"31-42","source":"Silverchair","title":"Financial Analysis of Innovative Wood Products and Carbon Finance to Support Forest Restoration in California","volume":"73","author":[{"family":"Elias","given":"Micah"},{"family":"Dees","given":"John"},{"family":"Cabiyo","given":"Bodie"},{"family":"Saksa","given":"Phil"},{"family":"Sanchez","given":"Daniel L."}],"issued":{"date-parts":[["2023",2,8]]}}}],"schema":"https://github.com/citation-style-language/schema/raw/master/csl-citation.json"} </w:instrText>
      </w:r>
      <w:r w:rsidRPr="001C6555">
        <w:rPr>
          <w:rFonts w:eastAsia="Times New Roman" w:cs="Times New Roman"/>
        </w:rPr>
        <w:fldChar w:fldCharType="separate"/>
      </w:r>
      <w:r w:rsidRPr="001C6555">
        <w:rPr>
          <w:rFonts w:eastAsia="Times New Roman" w:cs="Times New Roman"/>
          <w:noProof/>
        </w:rPr>
        <w:t>(15)</w:t>
      </w:r>
      <w:r w:rsidRPr="001C6555">
        <w:rPr>
          <w:rFonts w:eastAsia="Times New Roman" w:cs="Times New Roman"/>
        </w:rPr>
        <w:fldChar w:fldCharType="end"/>
      </w:r>
      <w:r w:rsidRPr="001C6555">
        <w:rPr>
          <w:rFonts w:eastAsia="Times New Roman" w:cs="Times New Roman"/>
        </w:rPr>
        <w:t xml:space="preserve">. We consider several product types and average carbon benefits of each product type for carbon dynamics and carbon finance calculations: three fuel products with CCS, two fuel products without CCS, two biochar production technologies, two wood vault designs, traditional building materials, biopower, and pile burning. </w:t>
      </w:r>
    </w:p>
    <w:p w14:paraId="5933ACFD" w14:textId="77777777" w:rsidR="00D9306F" w:rsidRPr="00D9306F" w:rsidRDefault="00D9306F" w:rsidP="00D9306F"/>
    <w:p w14:paraId="2BB16538" w14:textId="618D2C27" w:rsidR="00E0007C" w:rsidRDefault="00E0007C" w:rsidP="00E0007C">
      <w:pPr>
        <w:pStyle w:val="Heading2"/>
        <w:numPr>
          <w:ilvl w:val="1"/>
          <w:numId w:val="20"/>
        </w:numPr>
      </w:pPr>
      <w:r>
        <w:lastRenderedPageBreak/>
        <w:t xml:space="preserve">Carbon economics </w:t>
      </w:r>
    </w:p>
    <w:p w14:paraId="5B8A2D5F" w14:textId="77777777" w:rsidR="00D9306F" w:rsidRPr="001C6555" w:rsidRDefault="00D9306F" w:rsidP="00D9306F">
      <w:pPr>
        <w:rPr>
          <w:rFonts w:eastAsia="Times New Roman" w:cs="Times New Roman"/>
        </w:rPr>
      </w:pPr>
      <w:r w:rsidRPr="001C6555">
        <w:rPr>
          <w:rFonts w:eastAsia="Times New Roman" w:cs="Times New Roman"/>
        </w:rPr>
        <w:t xml:space="preserve">We incorporate potential revenue from the voluntary carbon market from modeled increases in forest carbon stocks in the treatment scenario measured against the no-treatment counterfactual. We also include several pathways for monetizing the carbon benefits of biomass utilization via voluntary carbon markets for products like biochar and wood as well as policy incentives such as the Low Carbon Fuel Standard (LCFS), the Renewable Fuel Standard (RFS), and 45Q tax incentives for Carbon Capture and Sequestration (CCS). Prices used in the analysis are aligned with current market prices.  Fuels produced with low-value biomass that incorporate CCS are assumed to generate $100 (low) or $150 (high) per </w:t>
      </w:r>
      <w:r w:rsidRPr="001C6555">
        <w:rPr>
          <w:rFonts w:cs="Times New Roman"/>
        </w:rPr>
        <w:t>tCO</w:t>
      </w:r>
      <w:r w:rsidRPr="001C6555">
        <w:rPr>
          <w:rFonts w:cs="Times New Roman"/>
          <w:vertAlign w:val="subscript"/>
        </w:rPr>
        <w:t>2</w:t>
      </w:r>
      <w:r w:rsidRPr="001C6555">
        <w:rPr>
          <w:rFonts w:cs="Times New Roman"/>
        </w:rPr>
        <w:t>e</w:t>
      </w:r>
      <w:r w:rsidRPr="001C6555">
        <w:rPr>
          <w:rFonts w:eastAsia="Times New Roman" w:cs="Times New Roman"/>
        </w:rPr>
        <w:t xml:space="preserve"> benefit, while fuels without CCS are estimated to generate $50 (low) or $100 (high) per </w:t>
      </w:r>
      <w:r w:rsidRPr="001C6555">
        <w:rPr>
          <w:rFonts w:cs="Times New Roman"/>
        </w:rPr>
        <w:t>tCO</w:t>
      </w:r>
      <w:r w:rsidRPr="001C6555">
        <w:rPr>
          <w:rFonts w:cs="Times New Roman"/>
          <w:vertAlign w:val="subscript"/>
        </w:rPr>
        <w:t>2</w:t>
      </w:r>
      <w:r w:rsidRPr="001C6555">
        <w:rPr>
          <w:rFonts w:cs="Times New Roman"/>
        </w:rPr>
        <w:t>e</w:t>
      </w:r>
      <w:r w:rsidRPr="001C6555">
        <w:rPr>
          <w:rFonts w:eastAsia="Times New Roman" w:cs="Times New Roman"/>
        </w:rPr>
        <w:t xml:space="preserve"> benefit, based on California's LCFS prices and 45Q tax incentives. We estimate wood vaults and biochar to generate $100 (low) or $150 (high) per </w:t>
      </w:r>
      <w:r w:rsidRPr="001C6555">
        <w:rPr>
          <w:rFonts w:cs="Times New Roman"/>
        </w:rPr>
        <w:t>tCO</w:t>
      </w:r>
      <w:r w:rsidRPr="001C6555">
        <w:rPr>
          <w:rFonts w:cs="Times New Roman"/>
          <w:vertAlign w:val="subscript"/>
        </w:rPr>
        <w:t>2</w:t>
      </w:r>
      <w:r w:rsidRPr="001C6555">
        <w:rPr>
          <w:rFonts w:cs="Times New Roman"/>
        </w:rPr>
        <w:t>e</w:t>
      </w:r>
      <w:r w:rsidRPr="001C6555">
        <w:rPr>
          <w:rFonts w:eastAsia="Times New Roman" w:cs="Times New Roman"/>
        </w:rPr>
        <w:t xml:space="preserve"> benefit, reflecting current prices in the voluntary market (“Nasdaq Carbon Removal Marketplace and Technologies,” n.d.). We assume that increases in aboveground live biomass in the treatment scenario, compared to the no-treatment scenario, will generate carbon credits at $35 (low) or $75 (high) per </w:t>
      </w:r>
      <w:r w:rsidRPr="001C6555">
        <w:rPr>
          <w:rFonts w:cs="Times New Roman"/>
        </w:rPr>
        <w:t>tCO</w:t>
      </w:r>
      <w:r w:rsidRPr="001C6555">
        <w:rPr>
          <w:rFonts w:cs="Times New Roman"/>
          <w:vertAlign w:val="subscript"/>
        </w:rPr>
        <w:t>2</w:t>
      </w:r>
      <w:r w:rsidRPr="001C6555">
        <w:rPr>
          <w:rFonts w:cs="Times New Roman"/>
        </w:rPr>
        <w:t>e</w:t>
      </w:r>
      <w:r w:rsidRPr="001C6555">
        <w:rPr>
          <w:rFonts w:eastAsia="Times New Roman" w:cs="Times New Roman"/>
        </w:rPr>
        <w:t xml:space="preserve"> based on current market prices. These carbon prices are used to generate the value of avoided wildfire emissions over the lifetime of the project. </w:t>
      </w:r>
    </w:p>
    <w:p w14:paraId="1DEE56F1" w14:textId="77777777" w:rsidR="00D9306F" w:rsidRPr="00D9306F" w:rsidRDefault="00D9306F" w:rsidP="00D9306F"/>
    <w:p w14:paraId="0AB51FAF" w14:textId="66792070" w:rsidR="00E0007C" w:rsidRDefault="00E0007C" w:rsidP="00E0007C">
      <w:pPr>
        <w:pStyle w:val="Heading1"/>
        <w:numPr>
          <w:ilvl w:val="0"/>
          <w:numId w:val="20"/>
        </w:numPr>
      </w:pPr>
      <w:r>
        <w:t>Supplementary figures and tables</w:t>
      </w:r>
    </w:p>
    <w:p w14:paraId="1CEDB153" w14:textId="77777777" w:rsidR="00D9306F" w:rsidRDefault="00D9306F" w:rsidP="00D9306F"/>
    <w:p w14:paraId="75A8CB67" w14:textId="77777777" w:rsidR="00D9306F" w:rsidRPr="001C6555" w:rsidRDefault="00D9306F" w:rsidP="00D9306F">
      <w:pPr>
        <w:rPr>
          <w:rFonts w:eastAsia="Times New Roman" w:cs="Times New Roman"/>
        </w:rPr>
      </w:pPr>
      <w:r w:rsidRPr="001C6555">
        <w:rPr>
          <w:rFonts w:eastAsia="Times New Roman" w:cs="Times New Roman"/>
        </w:rPr>
        <w:t>Figure S1: Detailed depiction of the workflow</w:t>
      </w:r>
    </w:p>
    <w:p w14:paraId="6790276D" w14:textId="77777777" w:rsidR="00D9306F" w:rsidRPr="001C6555" w:rsidRDefault="00D9306F" w:rsidP="00D9306F">
      <w:pPr>
        <w:ind w:left="-1080"/>
        <w:rPr>
          <w:rFonts w:eastAsia="Times New Roman" w:cs="Times New Roman"/>
          <w:sz w:val="22"/>
        </w:rPr>
      </w:pPr>
      <w:r w:rsidRPr="001C6555">
        <w:rPr>
          <w:rFonts w:eastAsia="Times New Roman" w:cs="Times New Roman"/>
          <w:noProof/>
          <w:sz w:val="22"/>
        </w:rPr>
        <w:drawing>
          <wp:inline distT="114300" distB="114300" distL="114300" distR="114300" wp14:anchorId="21B0B515" wp14:editId="131FB322">
            <wp:extent cx="7315388" cy="3989338"/>
            <wp:effectExtent l="0" t="0" r="0" b="0"/>
            <wp:docPr id="21202730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7315388" cy="3989338"/>
                    </a:xfrm>
                    <a:prstGeom prst="rect">
                      <a:avLst/>
                    </a:prstGeom>
                    <a:ln/>
                  </pic:spPr>
                </pic:pic>
              </a:graphicData>
            </a:graphic>
          </wp:inline>
        </w:drawing>
      </w:r>
    </w:p>
    <w:p w14:paraId="204567ED" w14:textId="77777777" w:rsidR="00D9306F" w:rsidRPr="001C6555" w:rsidRDefault="00D9306F" w:rsidP="00D9306F">
      <w:pPr>
        <w:rPr>
          <w:rFonts w:eastAsia="Times New Roman" w:cs="Times New Roman"/>
          <w:sz w:val="22"/>
        </w:rPr>
      </w:pPr>
    </w:p>
    <w:p w14:paraId="67FD5D22" w14:textId="0BE3FBA1" w:rsidR="00D9306F" w:rsidRPr="001C6555" w:rsidRDefault="00D9306F" w:rsidP="00D9306F">
      <w:pPr>
        <w:rPr>
          <w:rFonts w:eastAsia="Times New Roman" w:cs="Times New Roman"/>
        </w:rPr>
      </w:pPr>
      <w:r w:rsidRPr="001C6555">
        <w:rPr>
          <w:rFonts w:eastAsia="Times New Roman" w:cs="Times New Roman"/>
        </w:rPr>
        <w:t xml:space="preserve">Table S1: The initial spatial characteristics of the treatment area per acre captured at the start of the simulation before any fire events of treatment interventions </w:t>
      </w:r>
      <w:r w:rsidRPr="001C6555">
        <w:rPr>
          <w:rFonts w:eastAsia="Times New Roman" w:cs="Times New Roman"/>
        </w:rPr>
        <w:fldChar w:fldCharType="begin"/>
      </w:r>
      <w:r w:rsidR="000D1D07">
        <w:rPr>
          <w:rFonts w:eastAsia="Times New Roman" w:cs="Times New Roman"/>
        </w:rPr>
        <w:instrText xml:space="preserve"> ADDIN ZOTERO_ITEM CSL_CITATION {"citationID":"4sKErNee","properties":{"formattedCitation":"(11)","plainCitation":"(11)","noteIndex":0},"citationItems":[{"id":22,"uris":["http://zotero.org/users/5377231/items/EB55S2G4"],"itemData":{"id":22,"type":"article-journal","abstract":"A 30 × 30m-resolution gridded dataset of forest plot identifiers was developed for the conterminous United States (CONUS) using a random forests machine-learning imputation approach. Forest plots from the US Forest Service Forest Inventory and Analysis program (FIA) were imputed to gridded c2014 landscape data provided by the LANDFIRE project using topographic, biophysical, and disturbance variables. The output consisted of a raster map of plot identifiers. From the plot identifiers, users of the dataset can link to a number of tree- and plot-level attributes stored in the accompanying tables and in the publicly available FIA DataMart, and then produce maps of any of these attributes, including number of trees per acre, tree species, and forest type. Of 67,141 FIA plots available, 62,758 of these (93.5%) were utilized at least once in imputation to 2,841,601,981 forested pixels in CONUS. Continuous high-resolution forest structure data at a national scale will be invaluable for analyzing carbon dynamics, habitat distributions, and fire effects.","container-title":"Scientific Data","DOI":"10.1038/s41597-020-00782-x","ISSN":"2052-4463","issue":"1","journalAbbreviation":"Sci Data","language":"en","license":"2021 This is a U.S. government work and not under copyright protection in the U.S.; foreign copyright protection may apply","note":"number: 1\npublisher: Nature Publishing Group","page":"11","source":"www.nature.com","title":"TreeMap, a tree-level model of conterminous US forests circa 2014 produced by imputation of FIA plot data","volume":"8","author":[{"family":"Riley","given":"Karin L."},{"family":"Grenfell","given":"Isaac C."},{"family":"Finney","given":"Mark A."},{"family":"Wiener","given":"Jason M."}],"issued":{"date-parts":[["2021",1,15]]}}}],"schema":"https://github.com/citation-style-language/schema/raw/master/csl-citation.json"} </w:instrText>
      </w:r>
      <w:r w:rsidRPr="001C6555">
        <w:rPr>
          <w:rFonts w:eastAsia="Times New Roman" w:cs="Times New Roman"/>
        </w:rPr>
        <w:fldChar w:fldCharType="separate"/>
      </w:r>
      <w:r w:rsidR="000D1D07">
        <w:rPr>
          <w:rFonts w:eastAsia="Times New Roman" w:cs="Times New Roman"/>
          <w:noProof/>
        </w:rPr>
        <w:t>(11)</w:t>
      </w:r>
      <w:r w:rsidRPr="001C6555">
        <w:rPr>
          <w:rFonts w:eastAsia="Times New Roman" w:cs="Times New Roman"/>
        </w:rPr>
        <w:fldChar w:fldCharType="end"/>
      </w:r>
      <w:r w:rsidRPr="001C6555">
        <w:rPr>
          <w:rFonts w:eastAsia="Times New Roman" w:cs="Times New Roman"/>
        </w:rPr>
        <w:t>.</w:t>
      </w:r>
    </w:p>
    <w:p w14:paraId="7DEAD663" w14:textId="77777777" w:rsidR="00D9306F" w:rsidRPr="001C6555" w:rsidRDefault="00D9306F" w:rsidP="00D9306F">
      <w:pPr>
        <w:rPr>
          <w:rFonts w:eastAsia="Times New Roman" w:cs="Times New Roman"/>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1891"/>
        <w:gridCol w:w="2785"/>
      </w:tblGrid>
      <w:tr w:rsidR="00D9306F" w:rsidRPr="001C6555" w14:paraId="29BE6CAF" w14:textId="77777777" w:rsidTr="0006513A">
        <w:trPr>
          <w:trHeight w:val="288"/>
        </w:trPr>
        <w:tc>
          <w:tcPr>
            <w:tcW w:w="2337" w:type="dxa"/>
            <w:vAlign w:val="center"/>
          </w:tcPr>
          <w:p w14:paraId="352F8987" w14:textId="77777777" w:rsidR="00D9306F" w:rsidRPr="001C6555" w:rsidRDefault="00D9306F" w:rsidP="0006513A">
            <w:pPr>
              <w:rPr>
                <w:rFonts w:eastAsia="Times New Roman" w:cs="Times New Roman"/>
              </w:rPr>
            </w:pPr>
            <w:r w:rsidRPr="001C6555">
              <w:rPr>
                <w:rFonts w:eastAsia="Times New Roman" w:cs="Times New Roman"/>
              </w:rPr>
              <w:t xml:space="preserve">Statistic </w:t>
            </w:r>
          </w:p>
        </w:tc>
        <w:tc>
          <w:tcPr>
            <w:tcW w:w="2337" w:type="dxa"/>
            <w:vAlign w:val="center"/>
          </w:tcPr>
          <w:p w14:paraId="7BBBD9BB" w14:textId="77777777" w:rsidR="00D9306F" w:rsidRPr="001C6555" w:rsidRDefault="00D9306F" w:rsidP="0006513A">
            <w:pPr>
              <w:rPr>
                <w:rFonts w:eastAsia="Times New Roman" w:cs="Times New Roman"/>
              </w:rPr>
            </w:pPr>
            <w:r w:rsidRPr="001C6555">
              <w:rPr>
                <w:rFonts w:eastAsia="Times New Roman" w:cs="Times New Roman"/>
              </w:rPr>
              <w:t>Stand Density Index (SDI)</w:t>
            </w:r>
          </w:p>
        </w:tc>
        <w:tc>
          <w:tcPr>
            <w:tcW w:w="1891" w:type="dxa"/>
            <w:vAlign w:val="center"/>
          </w:tcPr>
          <w:p w14:paraId="709CC508" w14:textId="77777777" w:rsidR="00D9306F" w:rsidRPr="001C6555" w:rsidRDefault="00D9306F" w:rsidP="0006513A">
            <w:pPr>
              <w:rPr>
                <w:rFonts w:eastAsia="Times New Roman" w:cs="Times New Roman"/>
              </w:rPr>
            </w:pPr>
            <w:r w:rsidRPr="001C6555">
              <w:rPr>
                <w:rFonts w:eastAsia="Times New Roman" w:cs="Times New Roman"/>
              </w:rPr>
              <w:t>Trees per Acre</w:t>
            </w:r>
          </w:p>
        </w:tc>
        <w:tc>
          <w:tcPr>
            <w:tcW w:w="2785" w:type="dxa"/>
            <w:vAlign w:val="center"/>
          </w:tcPr>
          <w:p w14:paraId="493FA58A" w14:textId="77777777" w:rsidR="00D9306F" w:rsidRPr="001C6555" w:rsidRDefault="00D9306F" w:rsidP="0006513A">
            <w:pPr>
              <w:rPr>
                <w:rFonts w:eastAsia="Times New Roman" w:cs="Times New Roman"/>
              </w:rPr>
            </w:pPr>
            <w:r w:rsidRPr="001C6555">
              <w:rPr>
                <w:rFonts w:eastAsia="Times New Roman" w:cs="Times New Roman"/>
              </w:rPr>
              <w:t>Aboveground Live Carbon (</w:t>
            </w:r>
            <w:proofErr w:type="spellStart"/>
            <w:r w:rsidRPr="001C6555">
              <w:rPr>
                <w:rFonts w:eastAsia="Times New Roman" w:cs="Times New Roman"/>
              </w:rPr>
              <w:t>tC</w:t>
            </w:r>
            <w:proofErr w:type="spellEnd"/>
            <w:r w:rsidRPr="001C6555">
              <w:rPr>
                <w:rFonts w:eastAsia="Times New Roman" w:cs="Times New Roman"/>
              </w:rPr>
              <w:t>)</w:t>
            </w:r>
          </w:p>
        </w:tc>
      </w:tr>
      <w:tr w:rsidR="00D9306F" w:rsidRPr="001C6555" w14:paraId="7443F2DD" w14:textId="77777777" w:rsidTr="0006513A">
        <w:trPr>
          <w:trHeight w:val="288"/>
        </w:trPr>
        <w:tc>
          <w:tcPr>
            <w:tcW w:w="2337" w:type="dxa"/>
            <w:vAlign w:val="center"/>
          </w:tcPr>
          <w:p w14:paraId="095C4F58" w14:textId="77777777" w:rsidR="00D9306F" w:rsidRPr="001C6555" w:rsidRDefault="00D9306F" w:rsidP="0006513A">
            <w:pPr>
              <w:rPr>
                <w:rFonts w:eastAsia="Times New Roman" w:cs="Times New Roman"/>
              </w:rPr>
            </w:pPr>
            <w:r w:rsidRPr="001C6555">
              <w:rPr>
                <w:rFonts w:eastAsia="Times New Roman" w:cs="Times New Roman"/>
              </w:rPr>
              <w:t>Mean</w:t>
            </w:r>
          </w:p>
        </w:tc>
        <w:tc>
          <w:tcPr>
            <w:tcW w:w="2337" w:type="dxa"/>
            <w:vAlign w:val="center"/>
          </w:tcPr>
          <w:p w14:paraId="355C874F" w14:textId="77777777" w:rsidR="00D9306F" w:rsidRPr="001C6555" w:rsidRDefault="00D9306F" w:rsidP="0006513A">
            <w:pPr>
              <w:rPr>
                <w:rFonts w:eastAsia="Times New Roman" w:cs="Times New Roman"/>
              </w:rPr>
            </w:pPr>
            <w:r w:rsidRPr="001C6555">
              <w:rPr>
                <w:rFonts w:eastAsia="Times New Roman" w:cs="Times New Roman"/>
              </w:rPr>
              <w:t>198</w:t>
            </w:r>
          </w:p>
        </w:tc>
        <w:tc>
          <w:tcPr>
            <w:tcW w:w="1891" w:type="dxa"/>
            <w:vAlign w:val="center"/>
          </w:tcPr>
          <w:p w14:paraId="39BFBF36" w14:textId="77777777" w:rsidR="00D9306F" w:rsidRPr="001C6555" w:rsidRDefault="00D9306F" w:rsidP="0006513A">
            <w:pPr>
              <w:rPr>
                <w:rFonts w:eastAsia="Times New Roman" w:cs="Times New Roman"/>
              </w:rPr>
            </w:pPr>
            <w:r w:rsidRPr="001C6555">
              <w:rPr>
                <w:rFonts w:eastAsia="Times New Roman" w:cs="Times New Roman"/>
              </w:rPr>
              <w:t>267</w:t>
            </w:r>
          </w:p>
        </w:tc>
        <w:tc>
          <w:tcPr>
            <w:tcW w:w="2785" w:type="dxa"/>
            <w:vAlign w:val="center"/>
          </w:tcPr>
          <w:p w14:paraId="0C174879" w14:textId="77777777" w:rsidR="00D9306F" w:rsidRPr="001C6555" w:rsidRDefault="00D9306F" w:rsidP="0006513A">
            <w:pPr>
              <w:rPr>
                <w:rFonts w:eastAsia="Times New Roman" w:cs="Times New Roman"/>
              </w:rPr>
            </w:pPr>
            <w:r w:rsidRPr="001C6555">
              <w:rPr>
                <w:rFonts w:eastAsia="Times New Roman" w:cs="Times New Roman"/>
              </w:rPr>
              <w:t>34</w:t>
            </w:r>
          </w:p>
        </w:tc>
      </w:tr>
      <w:tr w:rsidR="00D9306F" w:rsidRPr="001C6555" w14:paraId="701CF90D" w14:textId="77777777" w:rsidTr="0006513A">
        <w:trPr>
          <w:trHeight w:val="288"/>
        </w:trPr>
        <w:tc>
          <w:tcPr>
            <w:tcW w:w="2337" w:type="dxa"/>
            <w:vAlign w:val="center"/>
          </w:tcPr>
          <w:p w14:paraId="6DC90F3B" w14:textId="77777777" w:rsidR="00D9306F" w:rsidRPr="001C6555" w:rsidRDefault="00D9306F" w:rsidP="0006513A">
            <w:pPr>
              <w:rPr>
                <w:rFonts w:eastAsia="Times New Roman" w:cs="Times New Roman"/>
              </w:rPr>
            </w:pPr>
            <w:r w:rsidRPr="001C6555">
              <w:rPr>
                <w:rFonts w:eastAsia="Times New Roman" w:cs="Times New Roman"/>
              </w:rPr>
              <w:t xml:space="preserve">Standard Deviation </w:t>
            </w:r>
          </w:p>
        </w:tc>
        <w:tc>
          <w:tcPr>
            <w:tcW w:w="2337" w:type="dxa"/>
            <w:vAlign w:val="center"/>
          </w:tcPr>
          <w:p w14:paraId="555A2984" w14:textId="77777777" w:rsidR="00D9306F" w:rsidRPr="001C6555" w:rsidRDefault="00D9306F" w:rsidP="0006513A">
            <w:pPr>
              <w:rPr>
                <w:rFonts w:eastAsia="Times New Roman" w:cs="Times New Roman"/>
              </w:rPr>
            </w:pPr>
            <w:r w:rsidRPr="001C6555">
              <w:rPr>
                <w:rFonts w:eastAsia="Times New Roman" w:cs="Times New Roman"/>
              </w:rPr>
              <w:t>66</w:t>
            </w:r>
          </w:p>
        </w:tc>
        <w:tc>
          <w:tcPr>
            <w:tcW w:w="1891" w:type="dxa"/>
            <w:vAlign w:val="center"/>
          </w:tcPr>
          <w:p w14:paraId="7EF79A1F" w14:textId="77777777" w:rsidR="00D9306F" w:rsidRPr="001C6555" w:rsidRDefault="00D9306F" w:rsidP="0006513A">
            <w:pPr>
              <w:rPr>
                <w:rFonts w:eastAsia="Times New Roman" w:cs="Times New Roman"/>
              </w:rPr>
            </w:pPr>
            <w:r w:rsidRPr="001C6555">
              <w:rPr>
                <w:rFonts w:eastAsia="Times New Roman" w:cs="Times New Roman"/>
              </w:rPr>
              <w:t>228</w:t>
            </w:r>
          </w:p>
        </w:tc>
        <w:tc>
          <w:tcPr>
            <w:tcW w:w="2785" w:type="dxa"/>
            <w:vAlign w:val="center"/>
          </w:tcPr>
          <w:p w14:paraId="7BE08A0C" w14:textId="77777777" w:rsidR="00D9306F" w:rsidRPr="001C6555" w:rsidRDefault="00D9306F" w:rsidP="0006513A">
            <w:pPr>
              <w:rPr>
                <w:rFonts w:eastAsia="Times New Roman" w:cs="Times New Roman"/>
              </w:rPr>
            </w:pPr>
            <w:r w:rsidRPr="001C6555">
              <w:rPr>
                <w:rFonts w:eastAsia="Times New Roman" w:cs="Times New Roman"/>
              </w:rPr>
              <w:t>19</w:t>
            </w:r>
          </w:p>
        </w:tc>
      </w:tr>
      <w:tr w:rsidR="00D9306F" w:rsidRPr="001C6555" w14:paraId="3F104ECA" w14:textId="77777777" w:rsidTr="0006513A">
        <w:trPr>
          <w:trHeight w:val="288"/>
        </w:trPr>
        <w:tc>
          <w:tcPr>
            <w:tcW w:w="2337" w:type="dxa"/>
            <w:vAlign w:val="center"/>
          </w:tcPr>
          <w:p w14:paraId="228B49F5" w14:textId="77777777" w:rsidR="00D9306F" w:rsidRPr="001C6555" w:rsidRDefault="00D9306F" w:rsidP="0006513A">
            <w:pPr>
              <w:rPr>
                <w:rFonts w:eastAsia="Times New Roman" w:cs="Times New Roman"/>
              </w:rPr>
            </w:pPr>
            <w:r w:rsidRPr="001C6555">
              <w:rPr>
                <w:rFonts w:eastAsia="Times New Roman" w:cs="Times New Roman"/>
              </w:rPr>
              <w:t xml:space="preserve">Minimum </w:t>
            </w:r>
          </w:p>
        </w:tc>
        <w:tc>
          <w:tcPr>
            <w:tcW w:w="2337" w:type="dxa"/>
            <w:vAlign w:val="center"/>
          </w:tcPr>
          <w:p w14:paraId="54A0F493" w14:textId="77777777" w:rsidR="00D9306F" w:rsidRPr="001C6555" w:rsidRDefault="00D9306F" w:rsidP="0006513A">
            <w:pPr>
              <w:rPr>
                <w:rFonts w:eastAsia="Times New Roman" w:cs="Times New Roman"/>
              </w:rPr>
            </w:pPr>
            <w:r w:rsidRPr="001C6555">
              <w:rPr>
                <w:rFonts w:eastAsia="Times New Roman" w:cs="Times New Roman"/>
              </w:rPr>
              <w:t>131</w:t>
            </w:r>
          </w:p>
        </w:tc>
        <w:tc>
          <w:tcPr>
            <w:tcW w:w="1891" w:type="dxa"/>
            <w:vAlign w:val="center"/>
          </w:tcPr>
          <w:p w14:paraId="3DD38A90" w14:textId="77777777" w:rsidR="00D9306F" w:rsidRPr="001C6555" w:rsidRDefault="00D9306F" w:rsidP="0006513A">
            <w:pPr>
              <w:rPr>
                <w:rFonts w:eastAsia="Times New Roman" w:cs="Times New Roman"/>
              </w:rPr>
            </w:pPr>
            <w:r w:rsidRPr="001C6555">
              <w:rPr>
                <w:rFonts w:eastAsia="Times New Roman" w:cs="Times New Roman"/>
              </w:rPr>
              <w:t>66</w:t>
            </w:r>
          </w:p>
        </w:tc>
        <w:tc>
          <w:tcPr>
            <w:tcW w:w="2785" w:type="dxa"/>
            <w:vAlign w:val="center"/>
          </w:tcPr>
          <w:p w14:paraId="77778403" w14:textId="77777777" w:rsidR="00D9306F" w:rsidRPr="001C6555" w:rsidRDefault="00D9306F" w:rsidP="0006513A">
            <w:pPr>
              <w:rPr>
                <w:rFonts w:eastAsia="Times New Roman" w:cs="Times New Roman"/>
              </w:rPr>
            </w:pPr>
            <w:r w:rsidRPr="001C6555">
              <w:rPr>
                <w:rFonts w:eastAsia="Times New Roman" w:cs="Times New Roman"/>
              </w:rPr>
              <w:t>6</w:t>
            </w:r>
          </w:p>
        </w:tc>
      </w:tr>
      <w:tr w:rsidR="00D9306F" w:rsidRPr="001C6555" w14:paraId="10C13309" w14:textId="77777777" w:rsidTr="0006513A">
        <w:trPr>
          <w:trHeight w:val="288"/>
        </w:trPr>
        <w:tc>
          <w:tcPr>
            <w:tcW w:w="2337" w:type="dxa"/>
            <w:vAlign w:val="center"/>
          </w:tcPr>
          <w:p w14:paraId="6FAB8434" w14:textId="77777777" w:rsidR="00D9306F" w:rsidRPr="001C6555" w:rsidRDefault="00D9306F" w:rsidP="0006513A">
            <w:pPr>
              <w:rPr>
                <w:rFonts w:eastAsia="Times New Roman" w:cs="Times New Roman"/>
              </w:rPr>
            </w:pPr>
            <w:r w:rsidRPr="001C6555">
              <w:rPr>
                <w:rFonts w:eastAsia="Times New Roman" w:cs="Times New Roman"/>
              </w:rPr>
              <w:t>Maximum</w:t>
            </w:r>
          </w:p>
        </w:tc>
        <w:tc>
          <w:tcPr>
            <w:tcW w:w="2337" w:type="dxa"/>
            <w:vAlign w:val="center"/>
          </w:tcPr>
          <w:p w14:paraId="21FBC384" w14:textId="77777777" w:rsidR="00D9306F" w:rsidRPr="001C6555" w:rsidRDefault="00D9306F" w:rsidP="0006513A">
            <w:pPr>
              <w:rPr>
                <w:rFonts w:eastAsia="Times New Roman" w:cs="Times New Roman"/>
              </w:rPr>
            </w:pPr>
            <w:r w:rsidRPr="001C6555">
              <w:rPr>
                <w:rFonts w:eastAsia="Times New Roman" w:cs="Times New Roman"/>
              </w:rPr>
              <w:t>492</w:t>
            </w:r>
          </w:p>
        </w:tc>
        <w:tc>
          <w:tcPr>
            <w:tcW w:w="1891" w:type="dxa"/>
            <w:vAlign w:val="center"/>
          </w:tcPr>
          <w:p w14:paraId="528865C2" w14:textId="77777777" w:rsidR="00D9306F" w:rsidRPr="001C6555" w:rsidRDefault="00D9306F" w:rsidP="0006513A">
            <w:pPr>
              <w:rPr>
                <w:rFonts w:eastAsia="Times New Roman" w:cs="Times New Roman"/>
              </w:rPr>
            </w:pPr>
            <w:r w:rsidRPr="001C6555">
              <w:rPr>
                <w:rFonts w:eastAsia="Times New Roman" w:cs="Times New Roman"/>
              </w:rPr>
              <w:t>1710</w:t>
            </w:r>
          </w:p>
        </w:tc>
        <w:tc>
          <w:tcPr>
            <w:tcW w:w="2785" w:type="dxa"/>
            <w:vAlign w:val="center"/>
          </w:tcPr>
          <w:p w14:paraId="55B4B644" w14:textId="77777777" w:rsidR="00D9306F" w:rsidRPr="001C6555" w:rsidRDefault="00D9306F" w:rsidP="0006513A">
            <w:pPr>
              <w:rPr>
                <w:rFonts w:eastAsia="Times New Roman" w:cs="Times New Roman"/>
              </w:rPr>
            </w:pPr>
            <w:r w:rsidRPr="001C6555">
              <w:rPr>
                <w:rFonts w:eastAsia="Times New Roman" w:cs="Times New Roman"/>
              </w:rPr>
              <w:t>121</w:t>
            </w:r>
          </w:p>
        </w:tc>
      </w:tr>
    </w:tbl>
    <w:p w14:paraId="735A98E7" w14:textId="77777777" w:rsidR="00D9306F" w:rsidRPr="00D9306F" w:rsidRDefault="00D9306F" w:rsidP="00D9306F"/>
    <w:p w14:paraId="668A6608" w14:textId="22B7349A" w:rsidR="00E0007C" w:rsidRDefault="00E0007C" w:rsidP="00E0007C">
      <w:pPr>
        <w:pStyle w:val="Heading1"/>
        <w:numPr>
          <w:ilvl w:val="0"/>
          <w:numId w:val="20"/>
        </w:numPr>
      </w:pPr>
      <w:r>
        <w:t xml:space="preserve">Works cited </w:t>
      </w:r>
    </w:p>
    <w:p w14:paraId="243BBC65" w14:textId="77777777" w:rsidR="00E0007C" w:rsidRPr="00E0007C" w:rsidRDefault="00E0007C" w:rsidP="00E0007C"/>
    <w:p w14:paraId="005A44B3" w14:textId="77777777" w:rsidR="00E0007C" w:rsidRPr="00E0007C" w:rsidRDefault="00E0007C" w:rsidP="00E0007C"/>
    <w:p w14:paraId="423C447F" w14:textId="77777777" w:rsidR="00E0007C" w:rsidRPr="00E0007C" w:rsidRDefault="00E0007C" w:rsidP="00E0007C"/>
    <w:p w14:paraId="613E9F41" w14:textId="77777777" w:rsidR="000D1D07" w:rsidRPr="000D1D07" w:rsidRDefault="000D1D07" w:rsidP="000D1D07">
      <w:pPr>
        <w:pStyle w:val="Bibliography"/>
        <w:rPr>
          <w:rFonts w:cs="Times New Roman"/>
        </w:rPr>
      </w:pPr>
      <w:r>
        <w:rPr>
          <w:szCs w:val="24"/>
        </w:rPr>
        <w:fldChar w:fldCharType="begin"/>
      </w:r>
      <w:r>
        <w:rPr>
          <w:szCs w:val="24"/>
        </w:rPr>
        <w:instrText xml:space="preserve"> ADDIN ZOTERO_BIBL {"uncited":[],"omitted":[],"custom":[]} CSL_BIBLIOGRAPHY </w:instrText>
      </w:r>
      <w:r>
        <w:rPr>
          <w:szCs w:val="24"/>
        </w:rPr>
        <w:fldChar w:fldCharType="separate"/>
      </w:r>
      <w:r w:rsidRPr="000D1D07">
        <w:rPr>
          <w:rFonts w:cs="Times New Roman"/>
        </w:rPr>
        <w:t>1.</w:t>
      </w:r>
      <w:r w:rsidRPr="000D1D07">
        <w:rPr>
          <w:rFonts w:cs="Times New Roman"/>
        </w:rPr>
        <w:tab/>
        <w:t>Dillon GK, Gilbertson-Day JW. Wildfire Hazard Potential for the United States (270-m), version 2020 [Internet]. [cited 2023 Feb 9]. Available from: https://www.fs.usda.gov/rds/archive/Catalog/RDS-2015-0047-3</w:t>
      </w:r>
    </w:p>
    <w:p w14:paraId="3A705E20" w14:textId="77777777" w:rsidR="000D1D07" w:rsidRPr="000D1D07" w:rsidRDefault="000D1D07" w:rsidP="000D1D07">
      <w:pPr>
        <w:pStyle w:val="Bibliography"/>
        <w:rPr>
          <w:rFonts w:cs="Times New Roman"/>
        </w:rPr>
      </w:pPr>
      <w:r w:rsidRPr="000D1D07">
        <w:rPr>
          <w:rFonts w:cs="Times New Roman"/>
        </w:rPr>
        <w:t>2.</w:t>
      </w:r>
      <w:r w:rsidRPr="000D1D07">
        <w:rPr>
          <w:rFonts w:cs="Times New Roman"/>
        </w:rPr>
        <w:tab/>
        <w:t>LANDFIRE Program: Data Products - Vegetation - Existing Vegetation Cover [Internet]. [cited 2024 Mar 12]. Available from: https://www.landfire.gov/evc.php</w:t>
      </w:r>
    </w:p>
    <w:p w14:paraId="03D7BF7B" w14:textId="77777777" w:rsidR="000D1D07" w:rsidRPr="000D1D07" w:rsidRDefault="000D1D07" w:rsidP="000D1D07">
      <w:pPr>
        <w:pStyle w:val="Bibliography"/>
        <w:rPr>
          <w:rFonts w:cs="Times New Roman"/>
        </w:rPr>
      </w:pPr>
      <w:r w:rsidRPr="000D1D07">
        <w:rPr>
          <w:rFonts w:cs="Times New Roman"/>
        </w:rPr>
        <w:t>3.</w:t>
      </w:r>
      <w:r w:rsidRPr="000D1D07">
        <w:rPr>
          <w:rFonts w:cs="Times New Roman"/>
        </w:rPr>
        <w:tab/>
        <w:t>Kelsey R, Smith E, Biswas T, McColl C, Wilson K, Wilson D. Regional Prioritization of Forest Restoration across California’s Sierra Nevada [Internet]. 2017 [cited 2023 Jul 12] p. 16. Available from: https://www.scienceforconservation.org/assets/downloads/tnc_Prioritizing_Forest_Restoration_hr.pdf</w:t>
      </w:r>
    </w:p>
    <w:p w14:paraId="06D97A99" w14:textId="77777777" w:rsidR="000D1D07" w:rsidRPr="000D1D07" w:rsidRDefault="000D1D07" w:rsidP="000D1D07">
      <w:pPr>
        <w:pStyle w:val="Bibliography"/>
        <w:rPr>
          <w:rFonts w:cs="Times New Roman"/>
        </w:rPr>
      </w:pPr>
      <w:r w:rsidRPr="000D1D07">
        <w:rPr>
          <w:rFonts w:cs="Times New Roman"/>
        </w:rPr>
        <w:t>4.</w:t>
      </w:r>
      <w:r w:rsidRPr="000D1D07">
        <w:rPr>
          <w:rFonts w:cs="Times New Roman"/>
        </w:rPr>
        <w:tab/>
        <w:t xml:space="preserve">North M, Brough A, Long J, Collins B, Bowden P, Yasuda D, et al. Constraints on Mechanized Treatment Significantly Limit Mechanical Fuels Reduction Extent in the Sierra Nevada. Journal of Forestry. 2015 Jan 1;113(1):40–8. </w:t>
      </w:r>
    </w:p>
    <w:p w14:paraId="6040F9CD" w14:textId="77777777" w:rsidR="000D1D07" w:rsidRPr="000D1D07" w:rsidRDefault="000D1D07" w:rsidP="000D1D07">
      <w:pPr>
        <w:pStyle w:val="Bibliography"/>
        <w:rPr>
          <w:rFonts w:cs="Times New Roman"/>
        </w:rPr>
      </w:pPr>
      <w:r w:rsidRPr="000D1D07">
        <w:rPr>
          <w:rFonts w:cs="Times New Roman"/>
        </w:rPr>
        <w:t>5.</w:t>
      </w:r>
      <w:r w:rsidRPr="000D1D07">
        <w:rPr>
          <w:rFonts w:cs="Times New Roman"/>
        </w:rPr>
        <w:tab/>
      </w:r>
      <w:proofErr w:type="spellStart"/>
      <w:r w:rsidRPr="000D1D07">
        <w:rPr>
          <w:rFonts w:cs="Times New Roman"/>
        </w:rPr>
        <w:t>EcoMap</w:t>
      </w:r>
      <w:proofErr w:type="spellEnd"/>
      <w:r w:rsidRPr="000D1D07">
        <w:rPr>
          <w:rFonts w:cs="Times New Roman"/>
        </w:rPr>
        <w:t xml:space="preserve"> Provinces [Internet]. [cited 2024 Mar 17]. </w:t>
      </w:r>
      <w:proofErr w:type="spellStart"/>
      <w:r w:rsidRPr="000D1D07">
        <w:rPr>
          <w:rFonts w:cs="Times New Roman"/>
        </w:rPr>
        <w:t>EcoMap</w:t>
      </w:r>
      <w:proofErr w:type="spellEnd"/>
      <w:r w:rsidRPr="000D1D07">
        <w:rPr>
          <w:rFonts w:cs="Times New Roman"/>
        </w:rPr>
        <w:t xml:space="preserve"> Provinces. Available from: https://data.fs.usda.gov/geodata/edw/edw_resources/meta/S_USA.EcoMapProvinces.xml</w:t>
      </w:r>
    </w:p>
    <w:p w14:paraId="37BC0C7C" w14:textId="77777777" w:rsidR="000D1D07" w:rsidRPr="000D1D07" w:rsidRDefault="000D1D07" w:rsidP="000D1D07">
      <w:pPr>
        <w:pStyle w:val="Bibliography"/>
        <w:rPr>
          <w:rFonts w:cs="Times New Roman"/>
        </w:rPr>
      </w:pPr>
      <w:r w:rsidRPr="000D1D07">
        <w:rPr>
          <w:rFonts w:cs="Times New Roman"/>
        </w:rPr>
        <w:lastRenderedPageBreak/>
        <w:t>6.</w:t>
      </w:r>
      <w:r w:rsidRPr="000D1D07">
        <w:rPr>
          <w:rFonts w:cs="Times New Roman"/>
        </w:rPr>
        <w:tab/>
      </w:r>
      <w:proofErr w:type="spellStart"/>
      <w:r w:rsidRPr="000D1D07">
        <w:rPr>
          <w:rFonts w:cs="Times New Roman"/>
        </w:rPr>
        <w:t>Omernik</w:t>
      </w:r>
      <w:proofErr w:type="spellEnd"/>
      <w:r w:rsidRPr="000D1D07">
        <w:rPr>
          <w:rFonts w:cs="Times New Roman"/>
        </w:rPr>
        <w:t xml:space="preserve"> JM, Griffith GE. Ecoregions of the Conterminous United States: Evolution of a Hierarchical Spatial Framework. Environmental Management. 2014 Dec 1;54(6):1249–66. </w:t>
      </w:r>
    </w:p>
    <w:p w14:paraId="4437B0D0" w14:textId="77777777" w:rsidR="000D1D07" w:rsidRPr="000D1D07" w:rsidRDefault="000D1D07" w:rsidP="000D1D07">
      <w:pPr>
        <w:pStyle w:val="Bibliography"/>
        <w:rPr>
          <w:rFonts w:cs="Times New Roman"/>
        </w:rPr>
      </w:pPr>
      <w:r w:rsidRPr="000D1D07">
        <w:rPr>
          <w:rFonts w:cs="Times New Roman"/>
        </w:rPr>
        <w:t>7.</w:t>
      </w:r>
      <w:r w:rsidRPr="000D1D07">
        <w:rPr>
          <w:rFonts w:cs="Times New Roman"/>
        </w:rPr>
        <w:tab/>
        <w:t xml:space="preserve">Parks SA, Dillon GK, Miller C. </w:t>
      </w:r>
      <w:proofErr w:type="gramStart"/>
      <w:r w:rsidRPr="000D1D07">
        <w:rPr>
          <w:rFonts w:cs="Times New Roman"/>
        </w:rPr>
        <w:t>A</w:t>
      </w:r>
      <w:proofErr w:type="gramEnd"/>
      <w:r w:rsidRPr="000D1D07">
        <w:rPr>
          <w:rFonts w:cs="Times New Roman"/>
        </w:rPr>
        <w:t xml:space="preserve"> New Metric for Quantifying Burn Severity: The Relativized Burn Ratio. Remote Sensing. 2014 Mar;6(3):1827–44. </w:t>
      </w:r>
    </w:p>
    <w:p w14:paraId="2786E525" w14:textId="77777777" w:rsidR="000D1D07" w:rsidRPr="000D1D07" w:rsidRDefault="000D1D07" w:rsidP="000D1D07">
      <w:pPr>
        <w:pStyle w:val="Bibliography"/>
        <w:rPr>
          <w:rFonts w:cs="Times New Roman"/>
        </w:rPr>
      </w:pPr>
      <w:r w:rsidRPr="000D1D07">
        <w:rPr>
          <w:rFonts w:cs="Times New Roman"/>
        </w:rPr>
        <w:t>8.</w:t>
      </w:r>
      <w:r w:rsidRPr="000D1D07">
        <w:rPr>
          <w:rFonts w:cs="Times New Roman"/>
        </w:rPr>
        <w:tab/>
        <w:t>CalFire. Fire Perimeters | CAL FIRE [Internet]. 2024 [cited 2024 Mar 24]. Available from: https://www.fire.ca.gov/what-we-do/fire-resource-assessment-program/fire-perimeters</w:t>
      </w:r>
    </w:p>
    <w:p w14:paraId="7D117E26" w14:textId="77777777" w:rsidR="000D1D07" w:rsidRPr="000D1D07" w:rsidRDefault="000D1D07" w:rsidP="000D1D07">
      <w:pPr>
        <w:pStyle w:val="Bibliography"/>
        <w:rPr>
          <w:rFonts w:cs="Times New Roman"/>
        </w:rPr>
      </w:pPr>
      <w:r w:rsidRPr="000D1D07">
        <w:rPr>
          <w:rFonts w:cs="Times New Roman"/>
        </w:rPr>
        <w:t>9.</w:t>
      </w:r>
      <w:r w:rsidRPr="000D1D07">
        <w:rPr>
          <w:rFonts w:cs="Times New Roman"/>
        </w:rPr>
        <w:tab/>
        <w:t xml:space="preserve">Miller JD, Safford HD, Crimmins M, </w:t>
      </w:r>
      <w:proofErr w:type="spellStart"/>
      <w:r w:rsidRPr="000D1D07">
        <w:rPr>
          <w:rFonts w:cs="Times New Roman"/>
        </w:rPr>
        <w:t>Thode</w:t>
      </w:r>
      <w:proofErr w:type="spellEnd"/>
      <w:r w:rsidRPr="000D1D07">
        <w:rPr>
          <w:rFonts w:cs="Times New Roman"/>
        </w:rPr>
        <w:t xml:space="preserve"> AE. Quantitative Evidence for Increasing Forest Fire Severity in the Sierra Nevada and Southern Cascade Mountains, California and Nevada, USA. Ecosystems. 2009 Feb 1;12(1):16–32. </w:t>
      </w:r>
    </w:p>
    <w:p w14:paraId="23218379" w14:textId="77777777" w:rsidR="000D1D07" w:rsidRPr="000D1D07" w:rsidRDefault="000D1D07" w:rsidP="000D1D07">
      <w:pPr>
        <w:pStyle w:val="Bibliography"/>
        <w:rPr>
          <w:rFonts w:cs="Times New Roman"/>
        </w:rPr>
      </w:pPr>
      <w:r w:rsidRPr="000D1D07">
        <w:rPr>
          <w:rFonts w:cs="Times New Roman"/>
        </w:rPr>
        <w:t>10.</w:t>
      </w:r>
      <w:r w:rsidRPr="000D1D07">
        <w:rPr>
          <w:rFonts w:cs="Times New Roman"/>
        </w:rPr>
        <w:tab/>
      </w:r>
      <w:proofErr w:type="spellStart"/>
      <w:r w:rsidRPr="000D1D07">
        <w:rPr>
          <w:rFonts w:cs="Times New Roman"/>
        </w:rPr>
        <w:t>Rebain</w:t>
      </w:r>
      <w:proofErr w:type="spellEnd"/>
      <w:r w:rsidRPr="000D1D07">
        <w:rPr>
          <w:rFonts w:cs="Times New Roman"/>
        </w:rPr>
        <w:t xml:space="preserve"> S, Reinhardt E, Crookston N, </w:t>
      </w:r>
      <w:proofErr w:type="spellStart"/>
      <w:r w:rsidRPr="000D1D07">
        <w:rPr>
          <w:rFonts w:cs="Times New Roman"/>
        </w:rPr>
        <w:t>Beukema</w:t>
      </w:r>
      <w:proofErr w:type="spellEnd"/>
      <w:r w:rsidRPr="000D1D07">
        <w:rPr>
          <w:rFonts w:cs="Times New Roman"/>
        </w:rPr>
        <w:t xml:space="preserve"> S, Kurz W, Greenough J, et al. The Fire and Fuels Extension to the Forest Vegetation Simulator: Updated Model Documentation. </w:t>
      </w:r>
      <w:proofErr w:type="gramStart"/>
      <w:r w:rsidRPr="000D1D07">
        <w:rPr>
          <w:rFonts w:cs="Times New Roman"/>
        </w:rPr>
        <w:t>2022;</w:t>
      </w:r>
      <w:proofErr w:type="gramEnd"/>
      <w:r w:rsidRPr="000D1D07">
        <w:rPr>
          <w:rFonts w:cs="Times New Roman"/>
        </w:rPr>
        <w:t xml:space="preserve"> </w:t>
      </w:r>
    </w:p>
    <w:p w14:paraId="57BD829C" w14:textId="77777777" w:rsidR="000D1D07" w:rsidRPr="000D1D07" w:rsidRDefault="000D1D07" w:rsidP="000D1D07">
      <w:pPr>
        <w:pStyle w:val="Bibliography"/>
        <w:rPr>
          <w:rFonts w:cs="Times New Roman"/>
        </w:rPr>
      </w:pPr>
      <w:r w:rsidRPr="000D1D07">
        <w:rPr>
          <w:rFonts w:cs="Times New Roman"/>
        </w:rPr>
        <w:t>11.</w:t>
      </w:r>
      <w:r w:rsidRPr="000D1D07">
        <w:rPr>
          <w:rFonts w:cs="Times New Roman"/>
        </w:rPr>
        <w:tab/>
        <w:t xml:space="preserve">Riley KL, Grenfell IC, Finney MA, Wiener JM. </w:t>
      </w:r>
      <w:proofErr w:type="spellStart"/>
      <w:r w:rsidRPr="000D1D07">
        <w:rPr>
          <w:rFonts w:cs="Times New Roman"/>
        </w:rPr>
        <w:t>TreeMap</w:t>
      </w:r>
      <w:proofErr w:type="spellEnd"/>
      <w:r w:rsidRPr="000D1D07">
        <w:rPr>
          <w:rFonts w:cs="Times New Roman"/>
        </w:rPr>
        <w:t xml:space="preserve">, a tree-level model of conterminous US forests circa 2014 produced by imputation of FIA plot data. Sci Data. 2021 Jan 15;8(1):11. </w:t>
      </w:r>
    </w:p>
    <w:p w14:paraId="1C4889B8" w14:textId="77777777" w:rsidR="000D1D07" w:rsidRPr="000D1D07" w:rsidRDefault="000D1D07" w:rsidP="000D1D07">
      <w:pPr>
        <w:pStyle w:val="Bibliography"/>
        <w:rPr>
          <w:rFonts w:cs="Times New Roman"/>
        </w:rPr>
      </w:pPr>
      <w:r w:rsidRPr="000D1D07">
        <w:rPr>
          <w:rFonts w:cs="Times New Roman"/>
        </w:rPr>
        <w:t>12.</w:t>
      </w:r>
      <w:r w:rsidRPr="000D1D07">
        <w:rPr>
          <w:rFonts w:cs="Times New Roman"/>
        </w:rPr>
        <w:tab/>
        <w:t xml:space="preserve">North MP, Tompkins RE, Bernal AA, Collins BM, Stephens SL, York RA. Operational resilience in western US frequent-fire forests. Forest Ecology and Management. 2022 </w:t>
      </w:r>
      <w:proofErr w:type="gramStart"/>
      <w:r w:rsidRPr="000D1D07">
        <w:rPr>
          <w:rFonts w:cs="Times New Roman"/>
        </w:rPr>
        <w:t>Mar;507:120004</w:t>
      </w:r>
      <w:proofErr w:type="gramEnd"/>
      <w:r w:rsidRPr="000D1D07">
        <w:rPr>
          <w:rFonts w:cs="Times New Roman"/>
        </w:rPr>
        <w:t xml:space="preserve">. </w:t>
      </w:r>
    </w:p>
    <w:p w14:paraId="25D812AA" w14:textId="77777777" w:rsidR="000D1D07" w:rsidRPr="000D1D07" w:rsidRDefault="000D1D07" w:rsidP="000D1D07">
      <w:pPr>
        <w:pStyle w:val="Bibliography"/>
        <w:rPr>
          <w:rFonts w:cs="Times New Roman"/>
        </w:rPr>
      </w:pPr>
      <w:r w:rsidRPr="000D1D07">
        <w:rPr>
          <w:rFonts w:cs="Times New Roman"/>
        </w:rPr>
        <w:t>13.</w:t>
      </w:r>
      <w:r w:rsidRPr="000D1D07">
        <w:rPr>
          <w:rFonts w:cs="Times New Roman"/>
        </w:rPr>
        <w:tab/>
        <w:t xml:space="preserve">Agee J. Fire Ecology of Pacific Northwest Forests. The Bark Beetles, Fuels, and Fire Bibliography. 1996 Jan </w:t>
      </w:r>
      <w:proofErr w:type="gramStart"/>
      <w:r w:rsidRPr="000D1D07">
        <w:rPr>
          <w:rFonts w:cs="Times New Roman"/>
        </w:rPr>
        <w:t>1;</w:t>
      </w:r>
      <w:proofErr w:type="gramEnd"/>
      <w:r w:rsidRPr="000D1D07">
        <w:rPr>
          <w:rFonts w:cs="Times New Roman"/>
        </w:rPr>
        <w:t xml:space="preserve"> </w:t>
      </w:r>
    </w:p>
    <w:p w14:paraId="6D50CDC9" w14:textId="77777777" w:rsidR="000D1D07" w:rsidRPr="000D1D07" w:rsidRDefault="000D1D07" w:rsidP="000D1D07">
      <w:pPr>
        <w:pStyle w:val="Bibliography"/>
        <w:rPr>
          <w:rFonts w:cs="Times New Roman"/>
        </w:rPr>
      </w:pPr>
      <w:r w:rsidRPr="000D1D07">
        <w:rPr>
          <w:rFonts w:cs="Times New Roman"/>
        </w:rPr>
        <w:t>14.</w:t>
      </w:r>
      <w:r w:rsidRPr="000D1D07">
        <w:rPr>
          <w:rFonts w:cs="Times New Roman"/>
        </w:rPr>
        <w:tab/>
        <w:t xml:space="preserve">Moritz MA, Moody TJ, Miles LJ, Smith MM, de </w:t>
      </w:r>
      <w:proofErr w:type="spellStart"/>
      <w:r w:rsidRPr="000D1D07">
        <w:rPr>
          <w:rFonts w:cs="Times New Roman"/>
        </w:rPr>
        <w:t>Valpine</w:t>
      </w:r>
      <w:proofErr w:type="spellEnd"/>
      <w:r w:rsidRPr="000D1D07">
        <w:rPr>
          <w:rFonts w:cs="Times New Roman"/>
        </w:rPr>
        <w:t xml:space="preserve"> P. The fire frequency analysis branch of the </w:t>
      </w:r>
      <w:proofErr w:type="spellStart"/>
      <w:r w:rsidRPr="000D1D07">
        <w:rPr>
          <w:rFonts w:cs="Times New Roman"/>
        </w:rPr>
        <w:t>pyrostatistics</w:t>
      </w:r>
      <w:proofErr w:type="spellEnd"/>
      <w:r w:rsidRPr="000D1D07">
        <w:rPr>
          <w:rFonts w:cs="Times New Roman"/>
        </w:rPr>
        <w:t xml:space="preserve"> tree: sampling decisions and censoring in fire interval data. Environ </w:t>
      </w:r>
      <w:proofErr w:type="spellStart"/>
      <w:r w:rsidRPr="000D1D07">
        <w:rPr>
          <w:rFonts w:cs="Times New Roman"/>
        </w:rPr>
        <w:t>Ecol</w:t>
      </w:r>
      <w:proofErr w:type="spellEnd"/>
      <w:r w:rsidRPr="000D1D07">
        <w:rPr>
          <w:rFonts w:cs="Times New Roman"/>
        </w:rPr>
        <w:t xml:space="preserve"> Stat. 2009 Jun 1;16(2):271–89. </w:t>
      </w:r>
    </w:p>
    <w:p w14:paraId="4FF3838A" w14:textId="77777777" w:rsidR="000D1D07" w:rsidRPr="000D1D07" w:rsidRDefault="000D1D07" w:rsidP="000D1D07">
      <w:pPr>
        <w:pStyle w:val="Bibliography"/>
        <w:rPr>
          <w:rFonts w:cs="Times New Roman"/>
        </w:rPr>
      </w:pPr>
      <w:r w:rsidRPr="000D1D07">
        <w:rPr>
          <w:rFonts w:cs="Times New Roman"/>
        </w:rPr>
        <w:t>15.</w:t>
      </w:r>
      <w:r w:rsidRPr="000D1D07">
        <w:rPr>
          <w:rFonts w:cs="Times New Roman"/>
        </w:rPr>
        <w:tab/>
        <w:t xml:space="preserve">Elias M, Dees J, </w:t>
      </w:r>
      <w:proofErr w:type="spellStart"/>
      <w:r w:rsidRPr="000D1D07">
        <w:rPr>
          <w:rFonts w:cs="Times New Roman"/>
        </w:rPr>
        <w:t>Cabiyo</w:t>
      </w:r>
      <w:proofErr w:type="spellEnd"/>
      <w:r w:rsidRPr="000D1D07">
        <w:rPr>
          <w:rFonts w:cs="Times New Roman"/>
        </w:rPr>
        <w:t xml:space="preserve"> B, </w:t>
      </w:r>
      <w:proofErr w:type="spellStart"/>
      <w:r w:rsidRPr="000D1D07">
        <w:rPr>
          <w:rFonts w:cs="Times New Roman"/>
        </w:rPr>
        <w:t>Saksa</w:t>
      </w:r>
      <w:proofErr w:type="spellEnd"/>
      <w:r w:rsidRPr="000D1D07">
        <w:rPr>
          <w:rFonts w:cs="Times New Roman"/>
        </w:rPr>
        <w:t xml:space="preserve"> P, Sanchez DL. Financial Analysis of Innovative Wood Products and Carbon Finance to Support Forest Restoration in California. Forest Products Journal. 2023 Feb 8;73(1):31–42. </w:t>
      </w:r>
    </w:p>
    <w:p w14:paraId="4C0A3826" w14:textId="77777777" w:rsidR="000D1D07" w:rsidRPr="000D1D07" w:rsidRDefault="000D1D07" w:rsidP="000D1D07">
      <w:pPr>
        <w:pStyle w:val="Bibliography"/>
        <w:rPr>
          <w:rFonts w:cs="Times New Roman"/>
        </w:rPr>
      </w:pPr>
      <w:r w:rsidRPr="000D1D07">
        <w:rPr>
          <w:rFonts w:cs="Times New Roman"/>
        </w:rPr>
        <w:t>16.</w:t>
      </w:r>
      <w:r w:rsidRPr="000D1D07">
        <w:rPr>
          <w:rFonts w:cs="Times New Roman"/>
        </w:rPr>
        <w:tab/>
      </w:r>
      <w:proofErr w:type="spellStart"/>
      <w:r w:rsidRPr="000D1D07">
        <w:rPr>
          <w:rFonts w:cs="Times New Roman"/>
        </w:rPr>
        <w:t>Cabiyo</w:t>
      </w:r>
      <w:proofErr w:type="spellEnd"/>
      <w:r w:rsidRPr="000D1D07">
        <w:rPr>
          <w:rFonts w:cs="Times New Roman"/>
        </w:rPr>
        <w:t xml:space="preserve"> B, Fried JS, Collins BM, Stewart W, Wong J, Sanchez DL. Innovative wood use can enable carbon-beneficial forest management in California SUPPLEMENTAL INFO. Proc Natl </w:t>
      </w:r>
      <w:proofErr w:type="spellStart"/>
      <w:r w:rsidRPr="000D1D07">
        <w:rPr>
          <w:rFonts w:cs="Times New Roman"/>
        </w:rPr>
        <w:t>Acad</w:t>
      </w:r>
      <w:proofErr w:type="spellEnd"/>
      <w:r w:rsidRPr="000D1D07">
        <w:rPr>
          <w:rFonts w:cs="Times New Roman"/>
        </w:rPr>
        <w:t xml:space="preserve"> Sci USA. 2021 Dec 7;118(49</w:t>
      </w:r>
      <w:proofErr w:type="gramStart"/>
      <w:r w:rsidRPr="000D1D07">
        <w:rPr>
          <w:rFonts w:cs="Times New Roman"/>
        </w:rPr>
        <w:t>):e</w:t>
      </w:r>
      <w:proofErr w:type="gramEnd"/>
      <w:r w:rsidRPr="000D1D07">
        <w:rPr>
          <w:rFonts w:cs="Times New Roman"/>
        </w:rPr>
        <w:t xml:space="preserve">2019073118. </w:t>
      </w:r>
    </w:p>
    <w:p w14:paraId="3F18DCAD" w14:textId="77777777" w:rsidR="000D1D07" w:rsidRPr="000D1D07" w:rsidRDefault="000D1D07" w:rsidP="000D1D07">
      <w:pPr>
        <w:pStyle w:val="Bibliography"/>
        <w:rPr>
          <w:rFonts w:cs="Times New Roman"/>
        </w:rPr>
      </w:pPr>
      <w:r w:rsidRPr="000D1D07">
        <w:rPr>
          <w:rFonts w:cs="Times New Roman"/>
        </w:rPr>
        <w:t>17.</w:t>
      </w:r>
      <w:r w:rsidRPr="000D1D07">
        <w:rPr>
          <w:rFonts w:cs="Times New Roman"/>
        </w:rPr>
        <w:tab/>
      </w:r>
      <w:proofErr w:type="spellStart"/>
      <w:r w:rsidRPr="000D1D07">
        <w:rPr>
          <w:rFonts w:cs="Times New Roman"/>
        </w:rPr>
        <w:t>Github</w:t>
      </w:r>
      <w:proofErr w:type="spellEnd"/>
      <w:r w:rsidRPr="000D1D07">
        <w:rPr>
          <w:rFonts w:cs="Times New Roman"/>
        </w:rPr>
        <w:t xml:space="preserve">. GitHub. [cited 2024 Mar 17]. carbon-removal-source-materials/Project Applications at main · </w:t>
      </w:r>
      <w:proofErr w:type="spellStart"/>
      <w:r w:rsidRPr="000D1D07">
        <w:rPr>
          <w:rFonts w:cs="Times New Roman"/>
        </w:rPr>
        <w:t>frontierclimate</w:t>
      </w:r>
      <w:proofErr w:type="spellEnd"/>
      <w:r w:rsidRPr="000D1D07">
        <w:rPr>
          <w:rFonts w:cs="Times New Roman"/>
        </w:rPr>
        <w:t>/carbon-removal-source-materials. Available from: https://github.com/frontierclimate/carbon-removal-source-materials/tree/main/Project%20Applications</w:t>
      </w:r>
    </w:p>
    <w:p w14:paraId="37D6AEA4" w14:textId="77777777" w:rsidR="000D1D07" w:rsidRPr="000D1D07" w:rsidRDefault="000D1D07" w:rsidP="000D1D07">
      <w:pPr>
        <w:pStyle w:val="Bibliography"/>
        <w:rPr>
          <w:rFonts w:cs="Times New Roman"/>
        </w:rPr>
      </w:pPr>
      <w:r w:rsidRPr="000D1D07">
        <w:rPr>
          <w:rFonts w:cs="Times New Roman"/>
        </w:rPr>
        <w:t>18.</w:t>
      </w:r>
      <w:r w:rsidRPr="000D1D07">
        <w:rPr>
          <w:rFonts w:cs="Times New Roman"/>
        </w:rPr>
        <w:tab/>
        <w:t xml:space="preserve">Skog KE. Sequestration of carbon in harvested wood products for the United States. FOREST PRODUCTS JOURNAL. 2008;58(6). </w:t>
      </w:r>
    </w:p>
    <w:p w14:paraId="4916FCC9" w14:textId="18668512" w:rsidR="00994A3D" w:rsidRPr="001549D3" w:rsidRDefault="000D1D07" w:rsidP="00994A3D">
      <w:pPr>
        <w:keepNext/>
        <w:rPr>
          <w:rFonts w:cs="Times New Roman"/>
          <w:szCs w:val="24"/>
        </w:rPr>
      </w:pPr>
      <w:r>
        <w:rPr>
          <w:rFonts w:cs="Times New Roman"/>
          <w:szCs w:val="24"/>
        </w:rPr>
        <w:lastRenderedPageBreak/>
        <w:fldChar w:fldCharType="end"/>
      </w:r>
    </w:p>
    <w:p w14:paraId="58F1AED1" w14:textId="699F2E2B" w:rsidR="00DE23E8" w:rsidRPr="000D1D07" w:rsidRDefault="00994A3D" w:rsidP="000D1D07">
      <w:pPr>
        <w:keepNext/>
        <w:rPr>
          <w:rFonts w:cs="Times New Roman"/>
          <w:szCs w:val="24"/>
        </w:rPr>
      </w:pPr>
      <w:r w:rsidRPr="001549D3">
        <w:rPr>
          <w:b/>
          <w:noProof/>
          <w:lang w:val="en-GB" w:eastAsia="en-GB"/>
        </w:rPr>
        <w:drawing>
          <wp:inline distT="0" distB="0" distL="0" distR="0" wp14:anchorId="4ACC5B9F" wp14:editId="1CE3B87B">
            <wp:extent cx="4051121" cy="1456582"/>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22491" cy="1733928"/>
                    </a:xfrm>
                    <a:prstGeom prst="rect">
                      <a:avLst/>
                    </a:prstGeom>
                    <a:noFill/>
                    <a:ln>
                      <a:noFill/>
                    </a:ln>
                  </pic:spPr>
                </pic:pic>
              </a:graphicData>
            </a:graphic>
          </wp:inline>
        </w:drawing>
      </w:r>
    </w:p>
    <w:sectPr w:rsidR="00DE23E8" w:rsidRPr="000D1D07" w:rsidSect="0093429D">
      <w:headerReference w:type="even" r:id="rId14"/>
      <w:footerReference w:type="even" r:id="rId15"/>
      <w:footerReference w:type="default" r:id="rId16"/>
      <w:headerReference w:type="first" r:id="rId17"/>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E960A" w14:textId="77777777" w:rsidR="00882542" w:rsidRDefault="00882542" w:rsidP="00117666">
      <w:pPr>
        <w:spacing w:after="0"/>
      </w:pPr>
      <w:r>
        <w:separator/>
      </w:r>
    </w:p>
  </w:endnote>
  <w:endnote w:type="continuationSeparator" w:id="0">
    <w:p w14:paraId="65EB5D6D" w14:textId="77777777" w:rsidR="00882542" w:rsidRDefault="0088254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000000"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000000"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21D33" w14:textId="77777777" w:rsidR="00882542" w:rsidRDefault="00882542" w:rsidP="00117666">
      <w:pPr>
        <w:spacing w:after="0"/>
      </w:pPr>
      <w:r>
        <w:separator/>
      </w:r>
    </w:p>
  </w:footnote>
  <w:footnote w:type="continuationSeparator" w:id="0">
    <w:p w14:paraId="71AA40EE" w14:textId="77777777" w:rsidR="00882542" w:rsidRDefault="0088254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000000"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000000"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2A7CAC"/>
    <w:multiLevelType w:val="multilevel"/>
    <w:tmpl w:val="2D740DBE"/>
    <w:numStyleLink w:val="Headings"/>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5"/>
  </w:num>
  <w:num w:numId="3" w16cid:durableId="615480040">
    <w:abstractNumId w:val="1"/>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2002923295">
    <w:abstractNumId w:val="2"/>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1" w16cid:durableId="414516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D1D07"/>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2542"/>
    <w:rsid w:val="00885156"/>
    <w:rsid w:val="009151AA"/>
    <w:rsid w:val="0093429D"/>
    <w:rsid w:val="00943573"/>
    <w:rsid w:val="00970F7D"/>
    <w:rsid w:val="00994A3D"/>
    <w:rsid w:val="009C2B12"/>
    <w:rsid w:val="009C70F3"/>
    <w:rsid w:val="00A174D9"/>
    <w:rsid w:val="00A569CD"/>
    <w:rsid w:val="00A70A6B"/>
    <w:rsid w:val="00AB5EE2"/>
    <w:rsid w:val="00AB6715"/>
    <w:rsid w:val="00B1671E"/>
    <w:rsid w:val="00B25EB8"/>
    <w:rsid w:val="00B354E1"/>
    <w:rsid w:val="00B37F4D"/>
    <w:rsid w:val="00B82AA3"/>
    <w:rsid w:val="00C52A7B"/>
    <w:rsid w:val="00C54061"/>
    <w:rsid w:val="00C56BAF"/>
    <w:rsid w:val="00C679AA"/>
    <w:rsid w:val="00C75972"/>
    <w:rsid w:val="00CC0A3A"/>
    <w:rsid w:val="00CD066B"/>
    <w:rsid w:val="00CE4FEE"/>
    <w:rsid w:val="00D9306F"/>
    <w:rsid w:val="00DB59C3"/>
    <w:rsid w:val="00DC259A"/>
    <w:rsid w:val="00DE23E8"/>
    <w:rsid w:val="00E0007C"/>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styleId="Bibliography">
    <w:name w:val="Bibliography"/>
    <w:basedOn w:val="Normal"/>
    <w:next w:val="Normal"/>
    <w:uiPriority w:val="37"/>
    <w:unhideWhenUsed/>
    <w:rsid w:val="000D1D07"/>
    <w:pPr>
      <w:tabs>
        <w:tab w:val="left" w:pos="380"/>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9</TotalTime>
  <Pages>8</Pages>
  <Words>8143</Words>
  <Characters>46421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Micah Elias</cp:lastModifiedBy>
  <cp:revision>4</cp:revision>
  <cp:lastPrinted>2013-10-03T12:51:00Z</cp:lastPrinted>
  <dcterms:created xsi:type="dcterms:W3CDTF">2024-09-19T18:03:00Z</dcterms:created>
  <dcterms:modified xsi:type="dcterms:W3CDTF">2024-09-19T18:13:00Z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ZOTERO_PREF_1">
    <vt:lpwstr>&lt;data data-version="3" zotero-version="6.0.37"&gt;&lt;session id="l4pYXN9r"/&gt;&lt;style id="http://www.zotero.org/styles/vancouver" locale="en-US" hasBibliography="1" bibliographyStyleHasBeenSet="1"/&gt;&lt;prefs&gt;&lt;pref name="fieldType" value="Field"/&gt;&lt;/prefs&gt;&lt;/data&gt;</vt:lpwstr>
  </property>
</Properties>
</file>