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FEDB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Criterion 1: Generalized joint hypermobility </w:t>
      </w:r>
    </w:p>
    <w:p w14:paraId="55660268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Beighton score: </w:t>
      </w:r>
    </w:p>
    <w:p w14:paraId="45772A5F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&gt; 6 in prepubertal children and adolescents </w:t>
      </w:r>
    </w:p>
    <w:p w14:paraId="07A14925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&gt; 5 in pubertal men and women up to age 50 </w:t>
      </w:r>
    </w:p>
    <w:p w14:paraId="517FC09F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&gt; 4 men and women over the age of 50 </w:t>
      </w:r>
    </w:p>
    <w:p w14:paraId="2D0D65BC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If one point below cut off two or more "yes” answers to the five point questionnaire should be considered (Table 3).  </w:t>
      </w:r>
    </w:p>
    <w:p w14:paraId="7604AC32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Criterion 2: Two or more of the following features (A, B, or C) must be present  </w:t>
      </w:r>
    </w:p>
    <w:p w14:paraId="2C4EDE45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Feature A (live must be piescm):  </w:t>
      </w:r>
    </w:p>
    <w:p w14:paraId="68B1CA51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Unusually soft or velvety skin  </w:t>
      </w:r>
    </w:p>
    <w:p w14:paraId="07AB69AF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Mild skin hyperextensibility </w:t>
      </w:r>
    </w:p>
    <w:p w14:paraId="56021366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Unexplained striae distensae or rubae at the back, groin, thighs, breasts and/or abdomen in adolescents, men or prepubertal women without a history of significant changes in weight </w:t>
      </w:r>
    </w:p>
    <w:p w14:paraId="28AF0C12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Bilateral piezogenic papules of the heel </w:t>
      </w:r>
    </w:p>
    <w:p w14:paraId="5E6EC41C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Recurrent or multiple abdominal hernias </w:t>
      </w:r>
    </w:p>
    <w:p w14:paraId="5A666181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Atrophic scarring involving at least two sites without the formation of papyraceous and/or hemosideric scars </w:t>
      </w:r>
    </w:p>
    <w:p w14:paraId="24B76AF4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Pelvic floor, rectal and/or uterine prolapse in children, men or nulliparous women without history of morbid obesity or predisposing medical condition </w:t>
      </w:r>
    </w:p>
    <w:p w14:paraId="2B8EEB5B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Dental crowing and high or narrow palate </w:t>
      </w:r>
    </w:p>
    <w:p w14:paraId="24E7DE4C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Arachnodactyly (positive Walker sign or Steinberg sign on both sides) </w:t>
      </w:r>
    </w:p>
    <w:p w14:paraId="6E47D416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Arm span to height ratio &gt;1.05 </w:t>
      </w:r>
    </w:p>
    <w:p w14:paraId="54A03EF6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Mitral valve prolapse </w:t>
      </w:r>
    </w:p>
    <w:p w14:paraId="229C3DA8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Aortic root dilatation with Z-score &gt;+2 </w:t>
      </w:r>
    </w:p>
    <w:p w14:paraId="5EF62B26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Feature B: </w:t>
      </w:r>
    </w:p>
    <w:p w14:paraId="24E237D5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Positive family history (one or more first degree relatives meeting current criteria for hEDS)  </w:t>
      </w:r>
    </w:p>
    <w:p w14:paraId="1584B6DB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Feature C (must have at least one): </w:t>
      </w:r>
    </w:p>
    <w:p w14:paraId="1F67A62F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Musculoskeletal pain in two or more limbs, recurring daily for at least 3 months </w:t>
      </w:r>
    </w:p>
    <w:p w14:paraId="665F1C82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Chronic, widespread pain for &gt;3 months </w:t>
      </w:r>
    </w:p>
    <w:p w14:paraId="69D59359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Recurrent joint dislocations or joint instability in the absence of trauma </w:t>
      </w:r>
    </w:p>
    <w:p w14:paraId="41829B4B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Criterion 3: All of the following must be met </w:t>
      </w:r>
    </w:p>
    <w:p w14:paraId="4A8C5D8B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Absence of unusual skin fragility, which should prompt consideration of other types of EDS </w:t>
      </w:r>
    </w:p>
    <w:p w14:paraId="05ED7A69" w14:textId="77777777" w:rsidR="00812D6C" w:rsidRDefault="00812D6C" w:rsidP="00812D6C">
      <w:pPr>
        <w:rPr>
          <w:rFonts w:hint="eastAsia"/>
        </w:rPr>
      </w:pPr>
      <w:r>
        <w:rPr>
          <w:rFonts w:hint="eastAsia"/>
        </w:rPr>
        <w:t xml:space="preserve">   • Exclusion of other heritable and acquired connective tissue disorders. In patients with an acquired connective tissue disorder, additional diagnosis ofhEDS requires meeting both features A and B of  </w:t>
      </w:r>
    </w:p>
    <w:p w14:paraId="15536274" w14:textId="55CC5063" w:rsidR="007C79C7" w:rsidRDefault="00812D6C" w:rsidP="00812D6C">
      <w:pPr>
        <w:rPr>
          <w:rFonts w:hint="eastAsia"/>
        </w:rPr>
      </w:pPr>
      <w:r>
        <w:rPr>
          <w:rFonts w:hint="eastAsia"/>
        </w:rPr>
        <w:t xml:space="preserve">   criterion </w:t>
      </w:r>
      <w:r w:rsidR="005F5263">
        <w:rPr>
          <w:rFonts w:hint="eastAsia"/>
        </w:rPr>
        <w:t>3</w:t>
      </w:r>
      <w:r>
        <w:rPr>
          <w:rFonts w:hint="eastAsia"/>
        </w:rPr>
        <w:t>. Feature of criterion C cannot be counted in this situation</w:t>
      </w:r>
    </w:p>
    <w:p w14:paraId="64269898" w14:textId="67A4E9F8" w:rsidR="00812D6C" w:rsidRPr="00371E22" w:rsidRDefault="00812D6C" w:rsidP="00812D6C">
      <w:pPr>
        <w:rPr>
          <w:rFonts w:hint="eastAsia"/>
        </w:rPr>
      </w:pPr>
      <w:r>
        <w:rPr>
          <w:rFonts w:hint="eastAsia"/>
        </w:rPr>
        <w:t>• Exclusion of alternative diagnoses that may also include joint hypermobility by means of hypotonia and/or connective tissue laxity. Alternative diagnoses may include: neuromuscular disorders (e.g:Bethlem myopathy), other hereditary connective tissue disorders (e.g., Loeys-Dietz syndrome, Marfan syndrome, other types of EDS) and skeletal dysplasias (e.g., osteogenesis imperfecta</w:t>
      </w:r>
      <w:r w:rsidR="00371E22">
        <w:rPr>
          <w:rFonts w:hint="eastAsia"/>
        </w:rPr>
        <w:t>)</w:t>
      </w:r>
    </w:p>
    <w:sectPr w:rsidR="00812D6C" w:rsidRPr="0037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35B5" w14:textId="77777777" w:rsidR="00E63DA4" w:rsidRDefault="00E63DA4" w:rsidP="00812D6C">
      <w:pPr>
        <w:rPr>
          <w:rFonts w:hint="eastAsia"/>
        </w:rPr>
      </w:pPr>
      <w:r>
        <w:separator/>
      </w:r>
    </w:p>
  </w:endnote>
  <w:endnote w:type="continuationSeparator" w:id="0">
    <w:p w14:paraId="39581CD0" w14:textId="77777777" w:rsidR="00E63DA4" w:rsidRDefault="00E63DA4" w:rsidP="00812D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8ED4" w14:textId="77777777" w:rsidR="00E63DA4" w:rsidRDefault="00E63DA4" w:rsidP="00812D6C">
      <w:pPr>
        <w:rPr>
          <w:rFonts w:hint="eastAsia"/>
        </w:rPr>
      </w:pPr>
      <w:r>
        <w:separator/>
      </w:r>
    </w:p>
  </w:footnote>
  <w:footnote w:type="continuationSeparator" w:id="0">
    <w:p w14:paraId="0235DE33" w14:textId="77777777" w:rsidR="00E63DA4" w:rsidRDefault="00E63DA4" w:rsidP="00812D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8E1"/>
    <w:rsid w:val="000204C8"/>
    <w:rsid w:val="0035570E"/>
    <w:rsid w:val="00371E22"/>
    <w:rsid w:val="00596508"/>
    <w:rsid w:val="005F5263"/>
    <w:rsid w:val="007A10EA"/>
    <w:rsid w:val="007C79C7"/>
    <w:rsid w:val="00812D6C"/>
    <w:rsid w:val="00A85AC7"/>
    <w:rsid w:val="00E63DA4"/>
    <w:rsid w:val="00E91263"/>
    <w:rsid w:val="00F458E1"/>
    <w:rsid w:val="00F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4996"/>
  <w15:chartTrackingRefBased/>
  <w15:docId w15:val="{444D68B6-056F-4395-AA74-0D7047E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xiong</dc:creator>
  <cp:keywords/>
  <dc:description/>
  <cp:lastModifiedBy>yu xiong</cp:lastModifiedBy>
  <cp:revision>4</cp:revision>
  <dcterms:created xsi:type="dcterms:W3CDTF">2024-10-06T03:06:00Z</dcterms:created>
  <dcterms:modified xsi:type="dcterms:W3CDTF">2024-10-09T11:11:00Z</dcterms:modified>
</cp:coreProperties>
</file>