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03BC" w14:textId="77777777" w:rsidR="000437A2" w:rsidRDefault="000437A2" w:rsidP="000437A2">
      <w:pPr>
        <w:ind w:left="720"/>
        <w:jc w:val="both"/>
        <w:rPr>
          <w:color w:val="222222"/>
          <w:shd w:val="clear" w:color="auto" w:fill="FFFFFF"/>
        </w:rPr>
      </w:pPr>
    </w:p>
    <w:p w14:paraId="40423C62" w14:textId="77777777" w:rsidR="000437A2" w:rsidRPr="00BD3FA7" w:rsidRDefault="000437A2" w:rsidP="000437A2">
      <w:pPr>
        <w:ind w:left="720"/>
        <w:jc w:val="both"/>
        <w:rPr>
          <w:color w:val="222222"/>
          <w:shd w:val="clear" w:color="auto" w:fill="FFFFFF"/>
        </w:rPr>
      </w:pPr>
    </w:p>
    <w:p w14:paraId="48134375" w14:textId="77777777" w:rsidR="000437A2" w:rsidRPr="00BD3FA7" w:rsidRDefault="000437A2" w:rsidP="000437A2">
      <w:pPr>
        <w:spacing w:before="240" w:after="240" w:line="360" w:lineRule="auto"/>
        <w:ind w:hanging="720"/>
        <w:jc w:val="both"/>
      </w:pPr>
      <w:r w:rsidRPr="00BD3FA7">
        <w:t>Appendices</w:t>
      </w:r>
    </w:p>
    <w:p w14:paraId="260FC0C3" w14:textId="77777777" w:rsidR="000437A2" w:rsidRPr="00BD3FA7" w:rsidRDefault="000437A2" w:rsidP="000437A2">
      <w:pPr>
        <w:spacing w:before="240" w:after="240" w:line="360" w:lineRule="auto"/>
        <w:ind w:hanging="720"/>
        <w:jc w:val="both"/>
      </w:pPr>
      <w:r w:rsidRPr="00BD3FA7">
        <w:t>Appendix A</w:t>
      </w:r>
    </w:p>
    <w:p w14:paraId="4562C9D6" w14:textId="2142592B" w:rsidR="000437A2" w:rsidRPr="00BD3FA7" w:rsidRDefault="000437A2" w:rsidP="000437A2">
      <w:pPr>
        <w:spacing w:before="240" w:after="240" w:line="360" w:lineRule="auto"/>
        <w:ind w:left="360"/>
        <w:jc w:val="center"/>
      </w:pPr>
      <w:r w:rsidRPr="009A1DE5">
        <w:t xml:space="preserve">Table </w:t>
      </w:r>
      <w:r w:rsidR="00AC0DD9">
        <w:t>6</w:t>
      </w:r>
      <w:r w:rsidRPr="009A1DE5">
        <w:t>. Post Hoc L.S.D Comparison of Mean Differences in Victimization and Aggression Across Provinces (Markaz) in Assiut Governorate.</w:t>
      </w:r>
    </w:p>
    <w:tbl>
      <w:tblPr>
        <w:bidiVisual/>
        <w:tblW w:w="8855" w:type="dxa"/>
        <w:tblInd w:w="509" w:type="dxa"/>
        <w:tblBorders>
          <w:top w:val="single" w:sz="4" w:space="0" w:color="000000"/>
          <w:bottom w:val="single" w:sz="4" w:space="0" w:color="000000"/>
        </w:tblBorders>
        <w:tblLayout w:type="fixed"/>
        <w:tblLook w:val="0400" w:firstRow="0" w:lastRow="0" w:firstColumn="0" w:lastColumn="0" w:noHBand="0" w:noVBand="1"/>
      </w:tblPr>
      <w:tblGrid>
        <w:gridCol w:w="709"/>
        <w:gridCol w:w="1419"/>
        <w:gridCol w:w="1983"/>
        <w:gridCol w:w="1686"/>
        <w:gridCol w:w="1433"/>
        <w:gridCol w:w="1625"/>
      </w:tblGrid>
      <w:tr w:rsidR="000437A2" w:rsidRPr="00BD3FA7" w14:paraId="21C8B94B" w14:textId="77777777" w:rsidTr="00880EA7">
        <w:trPr>
          <w:cantSplit/>
          <w:tblHeader/>
        </w:trPr>
        <w:tc>
          <w:tcPr>
            <w:tcW w:w="709" w:type="dxa"/>
            <w:vAlign w:val="center"/>
          </w:tcPr>
          <w:p w14:paraId="79E5FE24" w14:textId="77777777" w:rsidR="000437A2" w:rsidRPr="009A1DE5" w:rsidRDefault="000437A2" w:rsidP="00880EA7">
            <w:pPr>
              <w:pStyle w:val="Normal1"/>
              <w:bidi/>
              <w:jc w:val="center"/>
              <w:rPr>
                <w:rFonts w:ascii="Times New Roman" w:eastAsia="Times New Roman" w:hAnsi="Times New Roman" w:cs="Times New Roman"/>
                <w:b/>
                <w:bCs/>
                <w:lang w:val="en-US"/>
              </w:rPr>
            </w:pPr>
            <w:r w:rsidRPr="009A1DE5">
              <w:rPr>
                <w:rFonts w:ascii="Times New Roman" w:eastAsia="Times New Roman" w:hAnsi="Times New Roman" w:cs="Times New Roman"/>
                <w:b/>
                <w:bCs/>
                <w:lang w:val="en-US"/>
              </w:rPr>
              <w:t>Sig.</w:t>
            </w:r>
          </w:p>
        </w:tc>
        <w:tc>
          <w:tcPr>
            <w:tcW w:w="1419" w:type="dxa"/>
            <w:vAlign w:val="center"/>
          </w:tcPr>
          <w:p w14:paraId="07539E66" w14:textId="77777777" w:rsidR="000437A2" w:rsidRPr="009A1DE5" w:rsidRDefault="000437A2" w:rsidP="00880EA7">
            <w:pPr>
              <w:pStyle w:val="Normal1"/>
              <w:bidi/>
              <w:jc w:val="center"/>
              <w:rPr>
                <w:rFonts w:ascii="Times New Roman" w:eastAsia="Times New Roman" w:hAnsi="Times New Roman" w:cs="Times New Roman"/>
                <w:b/>
                <w:bCs/>
                <w:lang w:val="en-US"/>
              </w:rPr>
            </w:pPr>
            <w:r w:rsidRPr="009A1DE5">
              <w:rPr>
                <w:rFonts w:ascii="Times New Roman" w:eastAsia="Times New Roman" w:hAnsi="Times New Roman" w:cs="Times New Roman"/>
                <w:b/>
                <w:bCs/>
                <w:lang w:val="en-US"/>
              </w:rPr>
              <w:t>Std. Error</w:t>
            </w:r>
          </w:p>
        </w:tc>
        <w:tc>
          <w:tcPr>
            <w:tcW w:w="1983" w:type="dxa"/>
            <w:vAlign w:val="center"/>
          </w:tcPr>
          <w:p w14:paraId="2DF05126" w14:textId="77777777" w:rsidR="000437A2" w:rsidRPr="009A1DE5" w:rsidRDefault="000437A2" w:rsidP="00880EA7">
            <w:pPr>
              <w:pStyle w:val="Normal1"/>
              <w:bidi/>
              <w:jc w:val="center"/>
              <w:rPr>
                <w:rFonts w:ascii="Times New Roman" w:eastAsia="Times New Roman" w:hAnsi="Times New Roman" w:cs="Times New Roman"/>
                <w:b/>
                <w:bCs/>
                <w:lang w:val="en-US"/>
              </w:rPr>
            </w:pPr>
            <w:r w:rsidRPr="009A1DE5">
              <w:rPr>
                <w:rFonts w:ascii="Times New Roman" w:eastAsia="Times New Roman" w:hAnsi="Times New Roman" w:cs="Times New Roman"/>
                <w:b/>
                <w:bCs/>
                <w:lang w:val="en-US"/>
              </w:rPr>
              <w:t>Mean Difference</w:t>
            </w:r>
          </w:p>
        </w:tc>
        <w:tc>
          <w:tcPr>
            <w:tcW w:w="3119" w:type="dxa"/>
            <w:gridSpan w:val="2"/>
            <w:vAlign w:val="center"/>
          </w:tcPr>
          <w:p w14:paraId="7765EB14" w14:textId="77777777" w:rsidR="000437A2" w:rsidRPr="009A1DE5" w:rsidRDefault="000437A2" w:rsidP="00880EA7">
            <w:pPr>
              <w:pStyle w:val="Normal1"/>
              <w:tabs>
                <w:tab w:val="left" w:pos="1809"/>
              </w:tabs>
              <w:bidi/>
              <w:jc w:val="center"/>
              <w:rPr>
                <w:rFonts w:ascii="Times New Roman" w:eastAsia="Times New Roman" w:hAnsi="Times New Roman" w:cs="Times New Roman"/>
                <w:b/>
                <w:bCs/>
                <w:lang w:val="en-US"/>
              </w:rPr>
            </w:pPr>
            <w:r w:rsidRPr="009A1DE5">
              <w:rPr>
                <w:rFonts w:ascii="Times New Roman" w:eastAsia="Times New Roman" w:hAnsi="Times New Roman" w:cs="Times New Roman"/>
                <w:b/>
                <w:bCs/>
                <w:lang w:val="en-US"/>
              </w:rPr>
              <w:t>Binary comparisons</w:t>
            </w:r>
          </w:p>
        </w:tc>
        <w:tc>
          <w:tcPr>
            <w:tcW w:w="1625" w:type="dxa"/>
            <w:vAlign w:val="center"/>
          </w:tcPr>
          <w:p w14:paraId="1BF85B06" w14:textId="77777777" w:rsidR="000437A2" w:rsidRPr="009A1DE5" w:rsidRDefault="000437A2" w:rsidP="00880EA7">
            <w:pPr>
              <w:pStyle w:val="Normal1"/>
              <w:tabs>
                <w:tab w:val="left" w:pos="1809"/>
              </w:tabs>
              <w:bidi/>
              <w:jc w:val="center"/>
              <w:rPr>
                <w:rFonts w:ascii="Times New Roman" w:eastAsia="Times New Roman" w:hAnsi="Times New Roman" w:cs="Times New Roman"/>
                <w:b/>
                <w:bCs/>
                <w:lang w:val="en-US"/>
              </w:rPr>
            </w:pPr>
            <w:r w:rsidRPr="009A1DE5">
              <w:rPr>
                <w:rFonts w:ascii="Times New Roman" w:eastAsia="Times New Roman" w:hAnsi="Times New Roman" w:cs="Times New Roman"/>
                <w:b/>
                <w:bCs/>
                <w:lang w:val="en-US"/>
              </w:rPr>
              <w:t>Variable</w:t>
            </w:r>
          </w:p>
        </w:tc>
      </w:tr>
      <w:tr w:rsidR="000437A2" w:rsidRPr="00BD3FA7" w14:paraId="60C19C54" w14:textId="77777777" w:rsidTr="00880EA7">
        <w:trPr>
          <w:cantSplit/>
          <w:trHeight w:val="122"/>
          <w:tblHeader/>
        </w:trPr>
        <w:tc>
          <w:tcPr>
            <w:tcW w:w="709" w:type="dxa"/>
            <w:vAlign w:val="center"/>
          </w:tcPr>
          <w:p w14:paraId="2C7929F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3F4CD48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.65</w:t>
            </w:r>
          </w:p>
        </w:tc>
        <w:tc>
          <w:tcPr>
            <w:tcW w:w="1983" w:type="dxa"/>
            <w:vAlign w:val="center"/>
          </w:tcPr>
          <w:p w14:paraId="018153E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1.71</w:t>
            </w:r>
          </w:p>
        </w:tc>
        <w:tc>
          <w:tcPr>
            <w:tcW w:w="1686" w:type="dxa"/>
            <w:vAlign w:val="center"/>
          </w:tcPr>
          <w:p w14:paraId="597C5BC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12D97DC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restart"/>
            <w:vAlign w:val="center"/>
          </w:tcPr>
          <w:p w14:paraId="3CBAAE6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Victimization</w:t>
            </w:r>
          </w:p>
        </w:tc>
      </w:tr>
      <w:tr w:rsidR="000437A2" w:rsidRPr="00BD3FA7" w14:paraId="7D77E980" w14:textId="77777777" w:rsidTr="00880EA7">
        <w:trPr>
          <w:cantSplit/>
          <w:tblHeader/>
        </w:trPr>
        <w:tc>
          <w:tcPr>
            <w:tcW w:w="709" w:type="dxa"/>
            <w:vAlign w:val="center"/>
          </w:tcPr>
          <w:p w14:paraId="7E97267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07ABAF4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.51</w:t>
            </w:r>
          </w:p>
        </w:tc>
        <w:tc>
          <w:tcPr>
            <w:tcW w:w="1983" w:type="dxa"/>
            <w:vAlign w:val="center"/>
          </w:tcPr>
          <w:p w14:paraId="606FD6A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1.04</w:t>
            </w:r>
          </w:p>
        </w:tc>
        <w:tc>
          <w:tcPr>
            <w:tcW w:w="1686" w:type="dxa"/>
            <w:vAlign w:val="center"/>
          </w:tcPr>
          <w:p w14:paraId="3D8A0C9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Alquseyah</w:t>
            </w:r>
            <w:proofErr w:type="spellEnd"/>
          </w:p>
        </w:tc>
        <w:tc>
          <w:tcPr>
            <w:tcW w:w="1433" w:type="dxa"/>
            <w:vAlign w:val="center"/>
          </w:tcPr>
          <w:p w14:paraId="74130EB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ign w:val="center"/>
          </w:tcPr>
          <w:p w14:paraId="1A27A1D3"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42A7C3A" w14:textId="77777777" w:rsidTr="00880EA7">
        <w:trPr>
          <w:cantSplit/>
          <w:tblHeader/>
        </w:trPr>
        <w:tc>
          <w:tcPr>
            <w:tcW w:w="709" w:type="dxa"/>
            <w:vAlign w:val="center"/>
          </w:tcPr>
          <w:p w14:paraId="7C45C92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1C42247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.71</w:t>
            </w:r>
          </w:p>
        </w:tc>
        <w:tc>
          <w:tcPr>
            <w:tcW w:w="1983" w:type="dxa"/>
            <w:vAlign w:val="center"/>
          </w:tcPr>
          <w:p w14:paraId="307D167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1.81</w:t>
            </w:r>
          </w:p>
        </w:tc>
        <w:tc>
          <w:tcPr>
            <w:tcW w:w="1686" w:type="dxa"/>
            <w:vAlign w:val="center"/>
          </w:tcPr>
          <w:p w14:paraId="49D2852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El- Ghanayem</w:t>
            </w:r>
          </w:p>
        </w:tc>
        <w:tc>
          <w:tcPr>
            <w:tcW w:w="1433" w:type="dxa"/>
            <w:vAlign w:val="center"/>
          </w:tcPr>
          <w:p w14:paraId="2C4BFBE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ign w:val="center"/>
          </w:tcPr>
          <w:p w14:paraId="7A0C47C6"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7A6E201E" w14:textId="77777777" w:rsidTr="00880EA7">
        <w:trPr>
          <w:cantSplit/>
          <w:tblHeader/>
        </w:trPr>
        <w:tc>
          <w:tcPr>
            <w:tcW w:w="709" w:type="dxa"/>
            <w:vAlign w:val="center"/>
          </w:tcPr>
          <w:p w14:paraId="2CEC9C4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0C35310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.63</w:t>
            </w:r>
          </w:p>
        </w:tc>
        <w:tc>
          <w:tcPr>
            <w:tcW w:w="1983" w:type="dxa"/>
            <w:vAlign w:val="center"/>
          </w:tcPr>
          <w:p w14:paraId="6FA5D6F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1.56</w:t>
            </w:r>
          </w:p>
        </w:tc>
        <w:tc>
          <w:tcPr>
            <w:tcW w:w="1686" w:type="dxa"/>
            <w:vAlign w:val="center"/>
          </w:tcPr>
          <w:p w14:paraId="4833C4C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050FD47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w:t>
            </w:r>
          </w:p>
        </w:tc>
        <w:tc>
          <w:tcPr>
            <w:tcW w:w="1625" w:type="dxa"/>
            <w:vMerge/>
            <w:vAlign w:val="center"/>
          </w:tcPr>
          <w:p w14:paraId="4B5797FA"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2925BA7B" w14:textId="77777777" w:rsidTr="00880EA7">
        <w:trPr>
          <w:cantSplit/>
          <w:tblHeader/>
        </w:trPr>
        <w:tc>
          <w:tcPr>
            <w:tcW w:w="709" w:type="dxa"/>
            <w:vAlign w:val="center"/>
          </w:tcPr>
          <w:p w14:paraId="6DD317F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564BE66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.70</w:t>
            </w:r>
          </w:p>
        </w:tc>
        <w:tc>
          <w:tcPr>
            <w:tcW w:w="1983" w:type="dxa"/>
            <w:vAlign w:val="center"/>
          </w:tcPr>
          <w:p w14:paraId="38D2DEC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1.67</w:t>
            </w:r>
          </w:p>
        </w:tc>
        <w:tc>
          <w:tcPr>
            <w:tcW w:w="1686" w:type="dxa"/>
            <w:vAlign w:val="center"/>
          </w:tcPr>
          <w:p w14:paraId="0CB843B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El- Ghanayem</w:t>
            </w:r>
          </w:p>
        </w:tc>
        <w:tc>
          <w:tcPr>
            <w:tcW w:w="1433" w:type="dxa"/>
            <w:vAlign w:val="center"/>
          </w:tcPr>
          <w:p w14:paraId="140AA6C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w:t>
            </w:r>
          </w:p>
        </w:tc>
        <w:tc>
          <w:tcPr>
            <w:tcW w:w="1625" w:type="dxa"/>
            <w:vMerge/>
            <w:vAlign w:val="center"/>
          </w:tcPr>
          <w:p w14:paraId="77AC542A"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680219A4" w14:textId="77777777" w:rsidTr="00880EA7">
        <w:trPr>
          <w:cantSplit/>
          <w:tblHeader/>
        </w:trPr>
        <w:tc>
          <w:tcPr>
            <w:tcW w:w="709" w:type="dxa"/>
            <w:vAlign w:val="center"/>
          </w:tcPr>
          <w:p w14:paraId="276FD7D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08B79D0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.67</w:t>
            </w:r>
          </w:p>
        </w:tc>
        <w:tc>
          <w:tcPr>
            <w:tcW w:w="1983" w:type="dxa"/>
            <w:vAlign w:val="center"/>
          </w:tcPr>
          <w:p w14:paraId="070F2A0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1.39</w:t>
            </w:r>
          </w:p>
        </w:tc>
        <w:tc>
          <w:tcPr>
            <w:tcW w:w="1686" w:type="dxa"/>
            <w:vAlign w:val="center"/>
          </w:tcPr>
          <w:p w14:paraId="6BCBE8E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08B356D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Abu Tig</w:t>
            </w:r>
          </w:p>
        </w:tc>
        <w:tc>
          <w:tcPr>
            <w:tcW w:w="1625" w:type="dxa"/>
            <w:vMerge/>
            <w:vAlign w:val="center"/>
          </w:tcPr>
          <w:p w14:paraId="63164280"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27EB1E69" w14:textId="77777777" w:rsidTr="00880EA7">
        <w:trPr>
          <w:cantSplit/>
          <w:tblHeader/>
        </w:trPr>
        <w:tc>
          <w:tcPr>
            <w:tcW w:w="709" w:type="dxa"/>
            <w:vAlign w:val="center"/>
          </w:tcPr>
          <w:p w14:paraId="339E8D0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6496422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.74</w:t>
            </w:r>
          </w:p>
        </w:tc>
        <w:tc>
          <w:tcPr>
            <w:tcW w:w="1983" w:type="dxa"/>
            <w:vAlign w:val="center"/>
          </w:tcPr>
          <w:p w14:paraId="7375AE5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1.50</w:t>
            </w:r>
          </w:p>
        </w:tc>
        <w:tc>
          <w:tcPr>
            <w:tcW w:w="1686" w:type="dxa"/>
            <w:vAlign w:val="center"/>
          </w:tcPr>
          <w:p w14:paraId="04AEDC7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El- Ghanayem</w:t>
            </w:r>
          </w:p>
        </w:tc>
        <w:tc>
          <w:tcPr>
            <w:tcW w:w="1433" w:type="dxa"/>
            <w:vAlign w:val="center"/>
          </w:tcPr>
          <w:p w14:paraId="434D4B9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Abu Tig</w:t>
            </w:r>
          </w:p>
        </w:tc>
        <w:tc>
          <w:tcPr>
            <w:tcW w:w="1625" w:type="dxa"/>
            <w:vMerge/>
            <w:vAlign w:val="center"/>
          </w:tcPr>
          <w:p w14:paraId="075A2286"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7A850AFB" w14:textId="77777777" w:rsidTr="00880EA7">
        <w:trPr>
          <w:cantSplit/>
          <w:tblHeader/>
        </w:trPr>
        <w:tc>
          <w:tcPr>
            <w:tcW w:w="709" w:type="dxa"/>
            <w:vAlign w:val="center"/>
          </w:tcPr>
          <w:p w14:paraId="01FA70A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7FC137B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.63</w:t>
            </w:r>
          </w:p>
        </w:tc>
        <w:tc>
          <w:tcPr>
            <w:tcW w:w="1983" w:type="dxa"/>
            <w:vAlign w:val="center"/>
          </w:tcPr>
          <w:p w14:paraId="32847C3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1.41</w:t>
            </w:r>
          </w:p>
        </w:tc>
        <w:tc>
          <w:tcPr>
            <w:tcW w:w="1686" w:type="dxa"/>
            <w:vAlign w:val="center"/>
          </w:tcPr>
          <w:p w14:paraId="1F9F4FF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Abanoub</w:t>
            </w:r>
          </w:p>
        </w:tc>
        <w:tc>
          <w:tcPr>
            <w:tcW w:w="1433" w:type="dxa"/>
            <w:vAlign w:val="center"/>
          </w:tcPr>
          <w:p w14:paraId="3DCC3AE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EFBBCC0"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0919637C" w14:textId="77777777" w:rsidTr="00880EA7">
        <w:trPr>
          <w:cantSplit/>
          <w:tblHeader/>
        </w:trPr>
        <w:tc>
          <w:tcPr>
            <w:tcW w:w="709" w:type="dxa"/>
            <w:vAlign w:val="center"/>
          </w:tcPr>
          <w:p w14:paraId="5D033B5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600851B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.64</w:t>
            </w:r>
          </w:p>
        </w:tc>
        <w:tc>
          <w:tcPr>
            <w:tcW w:w="1983" w:type="dxa"/>
            <w:vAlign w:val="center"/>
          </w:tcPr>
          <w:p w14:paraId="3A32F26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1.66</w:t>
            </w:r>
          </w:p>
        </w:tc>
        <w:tc>
          <w:tcPr>
            <w:tcW w:w="1686" w:type="dxa"/>
            <w:vAlign w:val="center"/>
          </w:tcPr>
          <w:p w14:paraId="4F894F7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Pr>
                <w:rFonts w:ascii="Times New Roman" w:eastAsia="Times New Roman" w:hAnsi="Times New Roman" w:cs="Times New Roman"/>
                <w:lang w:val="en-US"/>
              </w:rPr>
              <w:t>El-Fath</w:t>
            </w:r>
          </w:p>
        </w:tc>
        <w:tc>
          <w:tcPr>
            <w:tcW w:w="1433" w:type="dxa"/>
            <w:vAlign w:val="center"/>
          </w:tcPr>
          <w:p w14:paraId="61BAC5C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5431214"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669043C" w14:textId="77777777" w:rsidTr="00880EA7">
        <w:trPr>
          <w:cantSplit/>
          <w:tblHeader/>
        </w:trPr>
        <w:tc>
          <w:tcPr>
            <w:tcW w:w="709" w:type="dxa"/>
            <w:vAlign w:val="center"/>
          </w:tcPr>
          <w:p w14:paraId="2E0A33D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58735D8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.74</w:t>
            </w:r>
          </w:p>
        </w:tc>
        <w:tc>
          <w:tcPr>
            <w:tcW w:w="1983" w:type="dxa"/>
            <w:vAlign w:val="center"/>
          </w:tcPr>
          <w:p w14:paraId="5CD7D42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2.57</w:t>
            </w:r>
          </w:p>
        </w:tc>
        <w:tc>
          <w:tcPr>
            <w:tcW w:w="1686" w:type="dxa"/>
            <w:vAlign w:val="center"/>
          </w:tcPr>
          <w:p w14:paraId="5EF2499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0FFDD78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184266A8"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2380602D" w14:textId="77777777" w:rsidTr="00880EA7">
        <w:trPr>
          <w:cantSplit/>
          <w:tblHeader/>
        </w:trPr>
        <w:tc>
          <w:tcPr>
            <w:tcW w:w="709" w:type="dxa"/>
            <w:vAlign w:val="center"/>
          </w:tcPr>
          <w:p w14:paraId="45D45D6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7F0FBF3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.62</w:t>
            </w:r>
          </w:p>
        </w:tc>
        <w:tc>
          <w:tcPr>
            <w:tcW w:w="1983" w:type="dxa"/>
            <w:vAlign w:val="center"/>
          </w:tcPr>
          <w:p w14:paraId="1A284EF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1.91</w:t>
            </w:r>
          </w:p>
        </w:tc>
        <w:tc>
          <w:tcPr>
            <w:tcW w:w="1686" w:type="dxa"/>
            <w:vAlign w:val="center"/>
          </w:tcPr>
          <w:p w14:paraId="17694DF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Alquseyah</w:t>
            </w:r>
            <w:proofErr w:type="spellEnd"/>
          </w:p>
        </w:tc>
        <w:tc>
          <w:tcPr>
            <w:tcW w:w="1433" w:type="dxa"/>
          </w:tcPr>
          <w:p w14:paraId="3DE1C5F7"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19747384"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1444BCE7" w14:textId="77777777" w:rsidTr="00880EA7">
        <w:trPr>
          <w:cantSplit/>
          <w:tblHeader/>
        </w:trPr>
        <w:tc>
          <w:tcPr>
            <w:tcW w:w="709" w:type="dxa"/>
            <w:vAlign w:val="center"/>
          </w:tcPr>
          <w:p w14:paraId="0EF6744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1FD821D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.63</w:t>
            </w:r>
          </w:p>
        </w:tc>
        <w:tc>
          <w:tcPr>
            <w:tcW w:w="1983" w:type="dxa"/>
            <w:vAlign w:val="center"/>
          </w:tcPr>
          <w:p w14:paraId="4196D83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1.48</w:t>
            </w:r>
          </w:p>
        </w:tc>
        <w:tc>
          <w:tcPr>
            <w:tcW w:w="1686" w:type="dxa"/>
            <w:vAlign w:val="center"/>
          </w:tcPr>
          <w:p w14:paraId="52F2C9F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 xml:space="preserve">El </w:t>
            </w:r>
            <w:proofErr w:type="spellStart"/>
            <w:r w:rsidRPr="009A1DE5">
              <w:rPr>
                <w:rFonts w:ascii="Times New Roman" w:eastAsia="Times New Roman" w:hAnsi="Times New Roman" w:cs="Times New Roman"/>
                <w:lang w:val="en-US"/>
              </w:rPr>
              <w:t>Badary</w:t>
            </w:r>
            <w:proofErr w:type="spellEnd"/>
          </w:p>
        </w:tc>
        <w:tc>
          <w:tcPr>
            <w:tcW w:w="1433" w:type="dxa"/>
          </w:tcPr>
          <w:p w14:paraId="473BFEB3"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63A6E24E"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6891120" w14:textId="77777777" w:rsidTr="00880EA7">
        <w:trPr>
          <w:cantSplit/>
          <w:tblHeader/>
        </w:trPr>
        <w:tc>
          <w:tcPr>
            <w:tcW w:w="709" w:type="dxa"/>
            <w:vAlign w:val="center"/>
          </w:tcPr>
          <w:p w14:paraId="2C0FB95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72462D1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.79</w:t>
            </w:r>
          </w:p>
        </w:tc>
        <w:tc>
          <w:tcPr>
            <w:tcW w:w="1983" w:type="dxa"/>
            <w:vAlign w:val="center"/>
          </w:tcPr>
          <w:p w14:paraId="093DFB6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2.68</w:t>
            </w:r>
          </w:p>
        </w:tc>
        <w:tc>
          <w:tcPr>
            <w:tcW w:w="1686" w:type="dxa"/>
            <w:vAlign w:val="center"/>
          </w:tcPr>
          <w:p w14:paraId="29E2125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El- Ghanayem</w:t>
            </w:r>
          </w:p>
        </w:tc>
        <w:tc>
          <w:tcPr>
            <w:tcW w:w="1433" w:type="dxa"/>
          </w:tcPr>
          <w:p w14:paraId="60E6FD88"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18992765"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57146B8E" w14:textId="77777777" w:rsidTr="00880EA7">
        <w:trPr>
          <w:cantSplit/>
          <w:tblHeader/>
        </w:trPr>
        <w:tc>
          <w:tcPr>
            <w:tcW w:w="709" w:type="dxa"/>
            <w:vAlign w:val="center"/>
          </w:tcPr>
          <w:p w14:paraId="1362E4C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53EE515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.68</w:t>
            </w:r>
          </w:p>
        </w:tc>
        <w:tc>
          <w:tcPr>
            <w:tcW w:w="1983" w:type="dxa"/>
            <w:vAlign w:val="center"/>
          </w:tcPr>
          <w:p w14:paraId="78B394A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1.34</w:t>
            </w:r>
          </w:p>
        </w:tc>
        <w:tc>
          <w:tcPr>
            <w:tcW w:w="1686" w:type="dxa"/>
            <w:vAlign w:val="center"/>
          </w:tcPr>
          <w:p w14:paraId="1C59C16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 City</w:t>
            </w:r>
          </w:p>
        </w:tc>
        <w:tc>
          <w:tcPr>
            <w:tcW w:w="1433" w:type="dxa"/>
          </w:tcPr>
          <w:p w14:paraId="3A5D48E3"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27C1F659"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02356F8C" w14:textId="77777777" w:rsidTr="00880EA7">
        <w:trPr>
          <w:cantSplit/>
          <w:tblHeader/>
        </w:trPr>
        <w:tc>
          <w:tcPr>
            <w:tcW w:w="709" w:type="dxa"/>
            <w:vAlign w:val="center"/>
          </w:tcPr>
          <w:p w14:paraId="456EFB6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4DAF8FE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.66</w:t>
            </w:r>
          </w:p>
        </w:tc>
        <w:tc>
          <w:tcPr>
            <w:tcW w:w="1983" w:type="dxa"/>
            <w:vAlign w:val="center"/>
          </w:tcPr>
          <w:p w14:paraId="6331A4C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1.67</w:t>
            </w:r>
          </w:p>
        </w:tc>
        <w:tc>
          <w:tcPr>
            <w:tcW w:w="1686" w:type="dxa"/>
            <w:vAlign w:val="center"/>
          </w:tcPr>
          <w:p w14:paraId="028B682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Manfalout</w:t>
            </w:r>
            <w:proofErr w:type="spellEnd"/>
          </w:p>
        </w:tc>
        <w:tc>
          <w:tcPr>
            <w:tcW w:w="1433" w:type="dxa"/>
            <w:vAlign w:val="center"/>
          </w:tcPr>
          <w:p w14:paraId="392724F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2DC1E330"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36E77DF1" w14:textId="77777777" w:rsidTr="00880EA7">
        <w:trPr>
          <w:cantSplit/>
          <w:tblHeader/>
        </w:trPr>
        <w:tc>
          <w:tcPr>
            <w:tcW w:w="709" w:type="dxa"/>
            <w:vAlign w:val="center"/>
          </w:tcPr>
          <w:p w14:paraId="57050FC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783BD8F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.59</w:t>
            </w:r>
          </w:p>
        </w:tc>
        <w:tc>
          <w:tcPr>
            <w:tcW w:w="1983" w:type="dxa"/>
            <w:vAlign w:val="center"/>
          </w:tcPr>
          <w:p w14:paraId="2AFF034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1.18</w:t>
            </w:r>
          </w:p>
        </w:tc>
        <w:tc>
          <w:tcPr>
            <w:tcW w:w="1686" w:type="dxa"/>
            <w:vAlign w:val="center"/>
          </w:tcPr>
          <w:p w14:paraId="142E61C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Abu Tig</w:t>
            </w:r>
          </w:p>
        </w:tc>
        <w:tc>
          <w:tcPr>
            <w:tcW w:w="1433" w:type="dxa"/>
            <w:vAlign w:val="center"/>
          </w:tcPr>
          <w:p w14:paraId="526A3A6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05062B4"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7739F69A" w14:textId="77777777" w:rsidTr="00880EA7">
        <w:trPr>
          <w:cantSplit/>
          <w:tblHeader/>
        </w:trPr>
        <w:tc>
          <w:tcPr>
            <w:tcW w:w="709" w:type="dxa"/>
            <w:vAlign w:val="center"/>
          </w:tcPr>
          <w:p w14:paraId="69D7454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02891CD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.42</w:t>
            </w:r>
          </w:p>
        </w:tc>
        <w:tc>
          <w:tcPr>
            <w:tcW w:w="1983" w:type="dxa"/>
            <w:vAlign w:val="center"/>
          </w:tcPr>
          <w:p w14:paraId="612352F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.96</w:t>
            </w:r>
          </w:p>
        </w:tc>
        <w:tc>
          <w:tcPr>
            <w:tcW w:w="1686" w:type="dxa"/>
            <w:vAlign w:val="center"/>
          </w:tcPr>
          <w:p w14:paraId="2332D42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Abu Tig</w:t>
            </w:r>
          </w:p>
        </w:tc>
        <w:tc>
          <w:tcPr>
            <w:tcW w:w="1433" w:type="dxa"/>
            <w:vAlign w:val="center"/>
          </w:tcPr>
          <w:p w14:paraId="7001C7C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restart"/>
            <w:vAlign w:val="center"/>
          </w:tcPr>
          <w:p w14:paraId="0F597DC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Aggression</w:t>
            </w:r>
          </w:p>
        </w:tc>
      </w:tr>
      <w:tr w:rsidR="000437A2" w:rsidRPr="00BD3FA7" w14:paraId="36F3E310" w14:textId="77777777" w:rsidTr="00880EA7">
        <w:trPr>
          <w:cantSplit/>
          <w:tblHeader/>
        </w:trPr>
        <w:tc>
          <w:tcPr>
            <w:tcW w:w="709" w:type="dxa"/>
            <w:vAlign w:val="center"/>
          </w:tcPr>
          <w:p w14:paraId="05B6799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.001</w:t>
            </w:r>
          </w:p>
        </w:tc>
        <w:tc>
          <w:tcPr>
            <w:tcW w:w="1419" w:type="dxa"/>
            <w:vAlign w:val="center"/>
          </w:tcPr>
          <w:p w14:paraId="446280D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.57</w:t>
            </w:r>
          </w:p>
        </w:tc>
        <w:tc>
          <w:tcPr>
            <w:tcW w:w="1983" w:type="dxa"/>
            <w:vAlign w:val="center"/>
          </w:tcPr>
          <w:p w14:paraId="11F4EDA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2.21</w:t>
            </w:r>
          </w:p>
        </w:tc>
        <w:tc>
          <w:tcPr>
            <w:tcW w:w="1686" w:type="dxa"/>
            <w:vAlign w:val="center"/>
          </w:tcPr>
          <w:p w14:paraId="7C4CFE3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30C0B3A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ign w:val="center"/>
          </w:tcPr>
          <w:p w14:paraId="6BB918A8"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F1268DE" w14:textId="77777777" w:rsidTr="00880EA7">
        <w:trPr>
          <w:cantSplit/>
          <w:tblHeader/>
        </w:trPr>
        <w:tc>
          <w:tcPr>
            <w:tcW w:w="709" w:type="dxa"/>
            <w:vAlign w:val="center"/>
          </w:tcPr>
          <w:p w14:paraId="455AA45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416095E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.45</w:t>
            </w:r>
          </w:p>
        </w:tc>
        <w:tc>
          <w:tcPr>
            <w:tcW w:w="1983" w:type="dxa"/>
            <w:vAlign w:val="center"/>
          </w:tcPr>
          <w:p w14:paraId="316353A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1.39</w:t>
            </w:r>
          </w:p>
        </w:tc>
        <w:tc>
          <w:tcPr>
            <w:tcW w:w="1686" w:type="dxa"/>
            <w:vAlign w:val="center"/>
          </w:tcPr>
          <w:p w14:paraId="4A8DD36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Alquseyah</w:t>
            </w:r>
            <w:proofErr w:type="spellEnd"/>
          </w:p>
        </w:tc>
        <w:tc>
          <w:tcPr>
            <w:tcW w:w="1433" w:type="dxa"/>
            <w:vAlign w:val="center"/>
          </w:tcPr>
          <w:p w14:paraId="3DF3580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Dayrout</w:t>
            </w:r>
            <w:proofErr w:type="spellEnd"/>
          </w:p>
        </w:tc>
        <w:tc>
          <w:tcPr>
            <w:tcW w:w="1625" w:type="dxa"/>
            <w:vMerge/>
            <w:vAlign w:val="center"/>
          </w:tcPr>
          <w:p w14:paraId="3B83EC70"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5A90CEDE" w14:textId="77777777" w:rsidTr="00880EA7">
        <w:trPr>
          <w:cantSplit/>
          <w:tblHeader/>
        </w:trPr>
        <w:tc>
          <w:tcPr>
            <w:tcW w:w="709" w:type="dxa"/>
            <w:vAlign w:val="center"/>
          </w:tcPr>
          <w:p w14:paraId="104DE0D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16B884C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.56</w:t>
            </w:r>
          </w:p>
        </w:tc>
        <w:tc>
          <w:tcPr>
            <w:tcW w:w="1983" w:type="dxa"/>
            <w:vAlign w:val="center"/>
          </w:tcPr>
          <w:p w14:paraId="3FCAC83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1.66</w:t>
            </w:r>
          </w:p>
        </w:tc>
        <w:tc>
          <w:tcPr>
            <w:tcW w:w="1686" w:type="dxa"/>
            <w:vAlign w:val="center"/>
          </w:tcPr>
          <w:p w14:paraId="616FE4D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1CAAAD1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w:t>
            </w:r>
          </w:p>
        </w:tc>
        <w:tc>
          <w:tcPr>
            <w:tcW w:w="1625" w:type="dxa"/>
            <w:vMerge/>
            <w:vAlign w:val="center"/>
          </w:tcPr>
          <w:p w14:paraId="5ABE88BE"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6A5817FB" w14:textId="77777777" w:rsidTr="00880EA7">
        <w:trPr>
          <w:cantSplit/>
          <w:tblHeader/>
        </w:trPr>
        <w:tc>
          <w:tcPr>
            <w:tcW w:w="709" w:type="dxa"/>
            <w:vAlign w:val="center"/>
          </w:tcPr>
          <w:p w14:paraId="005CFF6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0ABFDE3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.65</w:t>
            </w:r>
          </w:p>
        </w:tc>
        <w:tc>
          <w:tcPr>
            <w:tcW w:w="1983" w:type="dxa"/>
            <w:vAlign w:val="center"/>
          </w:tcPr>
          <w:p w14:paraId="7DBC300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1.32</w:t>
            </w:r>
          </w:p>
        </w:tc>
        <w:tc>
          <w:tcPr>
            <w:tcW w:w="1686" w:type="dxa"/>
            <w:vAlign w:val="center"/>
          </w:tcPr>
          <w:p w14:paraId="378C760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229892E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Manfalout</w:t>
            </w:r>
            <w:proofErr w:type="spellEnd"/>
          </w:p>
        </w:tc>
        <w:tc>
          <w:tcPr>
            <w:tcW w:w="1625" w:type="dxa"/>
            <w:vMerge/>
            <w:vAlign w:val="center"/>
          </w:tcPr>
          <w:p w14:paraId="52498AA1"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605B3EC1" w14:textId="77777777" w:rsidTr="00880EA7">
        <w:trPr>
          <w:cantSplit/>
          <w:tblHeader/>
        </w:trPr>
        <w:tc>
          <w:tcPr>
            <w:tcW w:w="709" w:type="dxa"/>
            <w:vAlign w:val="center"/>
          </w:tcPr>
          <w:p w14:paraId="509CDBB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2CA4D12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.59</w:t>
            </w:r>
          </w:p>
        </w:tc>
        <w:tc>
          <w:tcPr>
            <w:tcW w:w="1983" w:type="dxa"/>
            <w:vAlign w:val="center"/>
          </w:tcPr>
          <w:p w14:paraId="49F93D7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1.24</w:t>
            </w:r>
          </w:p>
        </w:tc>
        <w:tc>
          <w:tcPr>
            <w:tcW w:w="1686" w:type="dxa"/>
            <w:vAlign w:val="center"/>
          </w:tcPr>
          <w:p w14:paraId="79B86FD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33A8B63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Abu Tig</w:t>
            </w:r>
          </w:p>
        </w:tc>
        <w:tc>
          <w:tcPr>
            <w:tcW w:w="1625" w:type="dxa"/>
            <w:vMerge/>
            <w:vAlign w:val="center"/>
          </w:tcPr>
          <w:p w14:paraId="6A62837D"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337EB6DE" w14:textId="77777777" w:rsidTr="00880EA7">
        <w:trPr>
          <w:cantSplit/>
          <w:tblHeader/>
        </w:trPr>
        <w:tc>
          <w:tcPr>
            <w:tcW w:w="709" w:type="dxa"/>
            <w:vAlign w:val="center"/>
          </w:tcPr>
          <w:p w14:paraId="278364F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76C5B61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.48</w:t>
            </w:r>
          </w:p>
        </w:tc>
        <w:tc>
          <w:tcPr>
            <w:tcW w:w="1983" w:type="dxa"/>
            <w:vAlign w:val="center"/>
          </w:tcPr>
          <w:p w14:paraId="19E87AF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1.52</w:t>
            </w:r>
          </w:p>
        </w:tc>
        <w:tc>
          <w:tcPr>
            <w:tcW w:w="1686" w:type="dxa"/>
            <w:vAlign w:val="center"/>
          </w:tcPr>
          <w:p w14:paraId="06C0FB2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w:t>
            </w:r>
          </w:p>
        </w:tc>
        <w:tc>
          <w:tcPr>
            <w:tcW w:w="1433" w:type="dxa"/>
          </w:tcPr>
          <w:p w14:paraId="34705A04"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53A2A89"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C8D5671" w14:textId="77777777" w:rsidTr="00880EA7">
        <w:trPr>
          <w:cantSplit/>
          <w:tblHeader/>
        </w:trPr>
        <w:tc>
          <w:tcPr>
            <w:tcW w:w="709" w:type="dxa"/>
            <w:vAlign w:val="center"/>
          </w:tcPr>
          <w:p w14:paraId="1F3A281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15217C4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.58</w:t>
            </w:r>
          </w:p>
        </w:tc>
        <w:tc>
          <w:tcPr>
            <w:tcW w:w="1983" w:type="dxa"/>
            <w:vAlign w:val="center"/>
          </w:tcPr>
          <w:p w14:paraId="40A8D1C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1.86</w:t>
            </w:r>
          </w:p>
        </w:tc>
        <w:tc>
          <w:tcPr>
            <w:tcW w:w="1686" w:type="dxa"/>
            <w:vAlign w:val="center"/>
          </w:tcPr>
          <w:p w14:paraId="2783DAE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Manfalout</w:t>
            </w:r>
            <w:proofErr w:type="spellEnd"/>
          </w:p>
        </w:tc>
        <w:tc>
          <w:tcPr>
            <w:tcW w:w="1433" w:type="dxa"/>
          </w:tcPr>
          <w:p w14:paraId="08712763"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7800AA2C"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5DAEAD8B" w14:textId="77777777" w:rsidTr="00880EA7">
        <w:trPr>
          <w:cantSplit/>
          <w:tblHeader/>
        </w:trPr>
        <w:tc>
          <w:tcPr>
            <w:tcW w:w="709" w:type="dxa"/>
            <w:vAlign w:val="center"/>
          </w:tcPr>
          <w:p w14:paraId="6539FBA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7C77FDE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.56</w:t>
            </w:r>
          </w:p>
        </w:tc>
        <w:tc>
          <w:tcPr>
            <w:tcW w:w="1983" w:type="dxa"/>
            <w:vAlign w:val="center"/>
          </w:tcPr>
          <w:p w14:paraId="22543E4B"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1.76</w:t>
            </w:r>
          </w:p>
        </w:tc>
        <w:tc>
          <w:tcPr>
            <w:tcW w:w="1686" w:type="dxa"/>
            <w:vAlign w:val="center"/>
          </w:tcPr>
          <w:p w14:paraId="14E67FB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Abanoub</w:t>
            </w:r>
          </w:p>
        </w:tc>
        <w:tc>
          <w:tcPr>
            <w:tcW w:w="1433" w:type="dxa"/>
          </w:tcPr>
          <w:p w14:paraId="69BE595C"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4676FC02"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EC55074" w14:textId="77777777" w:rsidTr="00880EA7">
        <w:trPr>
          <w:cantSplit/>
          <w:tblHeader/>
        </w:trPr>
        <w:tc>
          <w:tcPr>
            <w:tcW w:w="709" w:type="dxa"/>
            <w:vAlign w:val="center"/>
          </w:tcPr>
          <w:p w14:paraId="11449F0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1095170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.56</w:t>
            </w:r>
          </w:p>
        </w:tc>
        <w:tc>
          <w:tcPr>
            <w:tcW w:w="1983" w:type="dxa"/>
            <w:vAlign w:val="center"/>
          </w:tcPr>
          <w:p w14:paraId="42A202D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1.50</w:t>
            </w:r>
          </w:p>
        </w:tc>
        <w:tc>
          <w:tcPr>
            <w:tcW w:w="1686" w:type="dxa"/>
            <w:vAlign w:val="center"/>
          </w:tcPr>
          <w:p w14:paraId="5C54105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Pr>
                <w:rFonts w:ascii="Times New Roman" w:eastAsia="Times New Roman" w:hAnsi="Times New Roman" w:cs="Times New Roman"/>
                <w:lang w:val="en-US"/>
              </w:rPr>
              <w:t>El-Fath</w:t>
            </w:r>
          </w:p>
        </w:tc>
        <w:tc>
          <w:tcPr>
            <w:tcW w:w="1433" w:type="dxa"/>
          </w:tcPr>
          <w:p w14:paraId="20043E83"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DDEFE0E"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1DED43F4" w14:textId="77777777" w:rsidTr="00880EA7">
        <w:trPr>
          <w:cantSplit/>
          <w:tblHeader/>
        </w:trPr>
        <w:tc>
          <w:tcPr>
            <w:tcW w:w="709" w:type="dxa"/>
            <w:vAlign w:val="center"/>
          </w:tcPr>
          <w:p w14:paraId="02AC452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.001</w:t>
            </w:r>
          </w:p>
        </w:tc>
        <w:tc>
          <w:tcPr>
            <w:tcW w:w="1419" w:type="dxa"/>
            <w:vAlign w:val="center"/>
          </w:tcPr>
          <w:p w14:paraId="25E619A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.65</w:t>
            </w:r>
          </w:p>
        </w:tc>
        <w:tc>
          <w:tcPr>
            <w:tcW w:w="1983" w:type="dxa"/>
            <w:vAlign w:val="center"/>
          </w:tcPr>
          <w:p w14:paraId="0771DFE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3.18</w:t>
            </w:r>
          </w:p>
        </w:tc>
        <w:tc>
          <w:tcPr>
            <w:tcW w:w="1686" w:type="dxa"/>
            <w:vAlign w:val="center"/>
          </w:tcPr>
          <w:p w14:paraId="36A7640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tcPr>
          <w:p w14:paraId="4EB63D55"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405BD453"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72DD1206" w14:textId="77777777" w:rsidTr="00880EA7">
        <w:trPr>
          <w:cantSplit/>
          <w:tblHeader/>
        </w:trPr>
        <w:tc>
          <w:tcPr>
            <w:tcW w:w="709" w:type="dxa"/>
            <w:vAlign w:val="center"/>
          </w:tcPr>
          <w:p w14:paraId="3254AC4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.001</w:t>
            </w:r>
          </w:p>
        </w:tc>
        <w:tc>
          <w:tcPr>
            <w:tcW w:w="1419" w:type="dxa"/>
            <w:vAlign w:val="center"/>
          </w:tcPr>
          <w:p w14:paraId="7561E1F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.56</w:t>
            </w:r>
          </w:p>
        </w:tc>
        <w:tc>
          <w:tcPr>
            <w:tcW w:w="1983" w:type="dxa"/>
            <w:vAlign w:val="center"/>
          </w:tcPr>
          <w:p w14:paraId="4726366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2.36</w:t>
            </w:r>
          </w:p>
        </w:tc>
        <w:tc>
          <w:tcPr>
            <w:tcW w:w="1686" w:type="dxa"/>
            <w:vAlign w:val="center"/>
          </w:tcPr>
          <w:p w14:paraId="200171C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Alquseyah</w:t>
            </w:r>
            <w:proofErr w:type="spellEnd"/>
          </w:p>
        </w:tc>
        <w:tc>
          <w:tcPr>
            <w:tcW w:w="1433" w:type="dxa"/>
            <w:vAlign w:val="center"/>
          </w:tcPr>
          <w:p w14:paraId="72766B6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44044522"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79AD4E32" w14:textId="77777777" w:rsidTr="00880EA7">
        <w:trPr>
          <w:cantSplit/>
          <w:tblHeader/>
        </w:trPr>
        <w:tc>
          <w:tcPr>
            <w:tcW w:w="709" w:type="dxa"/>
            <w:vAlign w:val="center"/>
          </w:tcPr>
          <w:p w14:paraId="260966D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51BC21B2"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.55</w:t>
            </w:r>
          </w:p>
        </w:tc>
        <w:tc>
          <w:tcPr>
            <w:tcW w:w="1983" w:type="dxa"/>
            <w:vAlign w:val="center"/>
          </w:tcPr>
          <w:p w14:paraId="39659BB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1.16</w:t>
            </w:r>
          </w:p>
        </w:tc>
        <w:tc>
          <w:tcPr>
            <w:tcW w:w="1686" w:type="dxa"/>
            <w:vAlign w:val="center"/>
          </w:tcPr>
          <w:p w14:paraId="0A1333C4"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 xml:space="preserve">El </w:t>
            </w:r>
            <w:proofErr w:type="spellStart"/>
            <w:r w:rsidRPr="009A1DE5">
              <w:rPr>
                <w:rFonts w:ascii="Times New Roman" w:eastAsia="Times New Roman" w:hAnsi="Times New Roman" w:cs="Times New Roman"/>
                <w:lang w:val="en-US"/>
              </w:rPr>
              <w:t>Badary</w:t>
            </w:r>
            <w:proofErr w:type="spellEnd"/>
          </w:p>
        </w:tc>
        <w:tc>
          <w:tcPr>
            <w:tcW w:w="1433" w:type="dxa"/>
          </w:tcPr>
          <w:p w14:paraId="1DB5A4D8" w14:textId="77777777" w:rsidR="000437A2" w:rsidRPr="009A1DE5" w:rsidRDefault="000437A2" w:rsidP="00880EA7">
            <w:pPr>
              <w:pStyle w:val="Normal1"/>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C81C69D"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7113091" w14:textId="77777777" w:rsidTr="00880EA7">
        <w:trPr>
          <w:cantSplit/>
          <w:tblHeader/>
        </w:trPr>
        <w:tc>
          <w:tcPr>
            <w:tcW w:w="709" w:type="dxa"/>
            <w:vAlign w:val="center"/>
          </w:tcPr>
          <w:p w14:paraId="089DDA3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2AC921CF"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.70</w:t>
            </w:r>
          </w:p>
        </w:tc>
        <w:tc>
          <w:tcPr>
            <w:tcW w:w="1983" w:type="dxa"/>
            <w:vAlign w:val="center"/>
          </w:tcPr>
          <w:p w14:paraId="0122D40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1.82</w:t>
            </w:r>
          </w:p>
        </w:tc>
        <w:tc>
          <w:tcPr>
            <w:tcW w:w="1686" w:type="dxa"/>
            <w:vAlign w:val="center"/>
          </w:tcPr>
          <w:p w14:paraId="302CAB25"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El- Ghanayem</w:t>
            </w:r>
          </w:p>
        </w:tc>
        <w:tc>
          <w:tcPr>
            <w:tcW w:w="1433" w:type="dxa"/>
            <w:vAlign w:val="center"/>
          </w:tcPr>
          <w:p w14:paraId="3CAE706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0B1BDD9B"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4AEE6818" w14:textId="77777777" w:rsidTr="00880EA7">
        <w:trPr>
          <w:cantSplit/>
          <w:tblHeader/>
        </w:trPr>
        <w:tc>
          <w:tcPr>
            <w:tcW w:w="709" w:type="dxa"/>
            <w:vAlign w:val="center"/>
          </w:tcPr>
          <w:p w14:paraId="7980F96C"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63EDA0C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.59</w:t>
            </w:r>
          </w:p>
        </w:tc>
        <w:tc>
          <w:tcPr>
            <w:tcW w:w="1983" w:type="dxa"/>
            <w:vAlign w:val="center"/>
          </w:tcPr>
          <w:p w14:paraId="2E3D54D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1.51</w:t>
            </w:r>
          </w:p>
        </w:tc>
        <w:tc>
          <w:tcPr>
            <w:tcW w:w="1686" w:type="dxa"/>
            <w:vAlign w:val="center"/>
          </w:tcPr>
          <w:p w14:paraId="01ECD3EA"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Assiut City</w:t>
            </w:r>
          </w:p>
        </w:tc>
        <w:tc>
          <w:tcPr>
            <w:tcW w:w="1433" w:type="dxa"/>
            <w:vAlign w:val="center"/>
          </w:tcPr>
          <w:p w14:paraId="758A6BA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proofErr w:type="spellStart"/>
            <w:r w:rsidRPr="009A1DE5">
              <w:rPr>
                <w:rFonts w:ascii="Times New Roman" w:eastAsia="Times New Roman" w:hAnsi="Times New Roman" w:cs="Times New Roman"/>
                <w:lang w:val="en-US"/>
              </w:rPr>
              <w:t>Sedfa</w:t>
            </w:r>
            <w:proofErr w:type="spellEnd"/>
          </w:p>
        </w:tc>
        <w:tc>
          <w:tcPr>
            <w:tcW w:w="1625" w:type="dxa"/>
            <w:vMerge/>
            <w:vAlign w:val="center"/>
          </w:tcPr>
          <w:p w14:paraId="5A500576"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306E157E" w14:textId="77777777" w:rsidTr="00880EA7">
        <w:trPr>
          <w:cantSplit/>
          <w:tblHeader/>
        </w:trPr>
        <w:tc>
          <w:tcPr>
            <w:tcW w:w="709" w:type="dxa"/>
            <w:vAlign w:val="center"/>
          </w:tcPr>
          <w:p w14:paraId="371C2D99"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.05</w:t>
            </w:r>
          </w:p>
        </w:tc>
        <w:tc>
          <w:tcPr>
            <w:tcW w:w="1419" w:type="dxa"/>
            <w:vAlign w:val="center"/>
          </w:tcPr>
          <w:p w14:paraId="4F0E07FE"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.62</w:t>
            </w:r>
          </w:p>
        </w:tc>
        <w:tc>
          <w:tcPr>
            <w:tcW w:w="1983" w:type="dxa"/>
            <w:vAlign w:val="center"/>
          </w:tcPr>
          <w:p w14:paraId="68558B10"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1.41</w:t>
            </w:r>
          </w:p>
        </w:tc>
        <w:tc>
          <w:tcPr>
            <w:tcW w:w="1686" w:type="dxa"/>
            <w:vAlign w:val="center"/>
          </w:tcPr>
          <w:p w14:paraId="34C4E551"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009E1B9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Abanoub</w:t>
            </w:r>
          </w:p>
        </w:tc>
        <w:tc>
          <w:tcPr>
            <w:tcW w:w="1625" w:type="dxa"/>
            <w:vMerge/>
            <w:vAlign w:val="center"/>
          </w:tcPr>
          <w:p w14:paraId="4C95F894" w14:textId="77777777" w:rsidR="000437A2" w:rsidRPr="009A1DE5" w:rsidRDefault="000437A2" w:rsidP="00880EA7">
            <w:pPr>
              <w:pStyle w:val="Normal1"/>
              <w:widowControl w:val="0"/>
              <w:rPr>
                <w:rFonts w:ascii="Times New Roman" w:eastAsia="Times New Roman" w:hAnsi="Times New Roman" w:cs="Times New Roman"/>
                <w:lang w:val="en-US"/>
              </w:rPr>
            </w:pPr>
          </w:p>
        </w:tc>
      </w:tr>
      <w:tr w:rsidR="000437A2" w:rsidRPr="00BD3FA7" w14:paraId="695C4122" w14:textId="77777777" w:rsidTr="00880EA7">
        <w:trPr>
          <w:cantSplit/>
          <w:tblHeader/>
        </w:trPr>
        <w:tc>
          <w:tcPr>
            <w:tcW w:w="709" w:type="dxa"/>
            <w:vAlign w:val="center"/>
          </w:tcPr>
          <w:p w14:paraId="0A3B4BE8"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.01</w:t>
            </w:r>
          </w:p>
        </w:tc>
        <w:tc>
          <w:tcPr>
            <w:tcW w:w="1419" w:type="dxa"/>
            <w:vAlign w:val="center"/>
          </w:tcPr>
          <w:p w14:paraId="1FDBC18D"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.62</w:t>
            </w:r>
          </w:p>
        </w:tc>
        <w:tc>
          <w:tcPr>
            <w:tcW w:w="1983" w:type="dxa"/>
            <w:vAlign w:val="center"/>
          </w:tcPr>
          <w:p w14:paraId="4C9CEF86"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1.67</w:t>
            </w:r>
          </w:p>
        </w:tc>
        <w:tc>
          <w:tcPr>
            <w:tcW w:w="1686" w:type="dxa"/>
            <w:vAlign w:val="center"/>
          </w:tcPr>
          <w:p w14:paraId="3B9DD573"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sidRPr="009A1DE5">
              <w:rPr>
                <w:rFonts w:ascii="Times New Roman" w:eastAsia="Times New Roman" w:hAnsi="Times New Roman" w:cs="Times New Roman"/>
                <w:lang w:val="en-US"/>
              </w:rPr>
              <w:t>Sahel Seleem</w:t>
            </w:r>
          </w:p>
        </w:tc>
        <w:tc>
          <w:tcPr>
            <w:tcW w:w="1433" w:type="dxa"/>
            <w:vAlign w:val="center"/>
          </w:tcPr>
          <w:p w14:paraId="31127A97" w14:textId="77777777" w:rsidR="000437A2" w:rsidRPr="009A1DE5" w:rsidRDefault="000437A2" w:rsidP="00880EA7">
            <w:pPr>
              <w:pStyle w:val="Normal1"/>
              <w:tabs>
                <w:tab w:val="left" w:pos="1809"/>
              </w:tabs>
              <w:bidi/>
              <w:jc w:val="center"/>
              <w:rPr>
                <w:rFonts w:ascii="Times New Roman" w:eastAsia="Times New Roman" w:hAnsi="Times New Roman" w:cs="Times New Roman"/>
                <w:lang w:val="en-US"/>
              </w:rPr>
            </w:pPr>
            <w:r>
              <w:rPr>
                <w:rFonts w:ascii="Times New Roman" w:eastAsia="Times New Roman" w:hAnsi="Times New Roman" w:cs="Times New Roman"/>
                <w:lang w:val="en-US"/>
              </w:rPr>
              <w:t>El-Fath</w:t>
            </w:r>
          </w:p>
        </w:tc>
        <w:tc>
          <w:tcPr>
            <w:tcW w:w="1625" w:type="dxa"/>
            <w:vMerge/>
            <w:vAlign w:val="center"/>
          </w:tcPr>
          <w:p w14:paraId="2CF5B638" w14:textId="77777777" w:rsidR="000437A2" w:rsidRPr="009A1DE5" w:rsidRDefault="000437A2" w:rsidP="00880EA7">
            <w:pPr>
              <w:pStyle w:val="Normal1"/>
              <w:widowControl w:val="0"/>
              <w:rPr>
                <w:rFonts w:ascii="Times New Roman" w:eastAsia="Times New Roman" w:hAnsi="Times New Roman" w:cs="Times New Roman"/>
                <w:lang w:val="en-US"/>
              </w:rPr>
            </w:pPr>
          </w:p>
        </w:tc>
      </w:tr>
    </w:tbl>
    <w:p w14:paraId="133B9770" w14:textId="77777777" w:rsidR="000437A2" w:rsidRPr="009A1DE5" w:rsidRDefault="000437A2" w:rsidP="000437A2">
      <w:pPr>
        <w:spacing w:before="240" w:after="240" w:line="360" w:lineRule="auto"/>
        <w:ind w:left="360"/>
        <w:jc w:val="both"/>
        <w:rPr>
          <w:i/>
          <w:iCs/>
          <w:sz w:val="20"/>
          <w:szCs w:val="20"/>
        </w:rPr>
      </w:pPr>
      <w:r w:rsidRPr="009A1DE5">
        <w:rPr>
          <w:i/>
          <w:iCs/>
          <w:sz w:val="20"/>
          <w:szCs w:val="20"/>
        </w:rPr>
        <w:lastRenderedPageBreak/>
        <w:t>This table presents the results of the Post Hoc L.S.D test comparing mean differences in victimization and aggression across various provinces (Markaz) in Assiut Governorate. Significant differences in victimization and aggression were identified between several province pairs, highlighting the variability in these experiences across regions.</w:t>
      </w:r>
    </w:p>
    <w:p w14:paraId="00D4CA6C" w14:textId="77777777" w:rsidR="007F45A1" w:rsidRDefault="007F45A1" w:rsidP="000437A2">
      <w:pPr>
        <w:tabs>
          <w:tab w:val="left" w:pos="651"/>
        </w:tabs>
        <w:spacing w:line="240" w:lineRule="auto"/>
      </w:pPr>
    </w:p>
    <w:p w14:paraId="3130B0C7" w14:textId="77777777" w:rsidR="007F45A1" w:rsidRDefault="007F45A1" w:rsidP="000437A2">
      <w:pPr>
        <w:tabs>
          <w:tab w:val="left" w:pos="651"/>
        </w:tabs>
        <w:spacing w:line="240" w:lineRule="auto"/>
      </w:pPr>
    </w:p>
    <w:p w14:paraId="3055D540" w14:textId="77777777" w:rsidR="007F45A1" w:rsidRDefault="007F45A1" w:rsidP="000437A2">
      <w:pPr>
        <w:tabs>
          <w:tab w:val="left" w:pos="651"/>
        </w:tabs>
        <w:spacing w:line="240" w:lineRule="auto"/>
      </w:pPr>
    </w:p>
    <w:p w14:paraId="7FDCB97A" w14:textId="77777777" w:rsidR="007F45A1" w:rsidRDefault="007F45A1" w:rsidP="000437A2">
      <w:pPr>
        <w:tabs>
          <w:tab w:val="left" w:pos="651"/>
        </w:tabs>
        <w:spacing w:line="240" w:lineRule="auto"/>
      </w:pPr>
    </w:p>
    <w:p w14:paraId="7A8909FE" w14:textId="77777777" w:rsidR="007F45A1" w:rsidRDefault="007F45A1" w:rsidP="000437A2">
      <w:pPr>
        <w:tabs>
          <w:tab w:val="left" w:pos="651"/>
        </w:tabs>
        <w:spacing w:line="240" w:lineRule="auto"/>
      </w:pPr>
    </w:p>
    <w:p w14:paraId="2751F1A0" w14:textId="77777777" w:rsidR="007F45A1" w:rsidRDefault="007F45A1" w:rsidP="000437A2">
      <w:pPr>
        <w:tabs>
          <w:tab w:val="left" w:pos="651"/>
        </w:tabs>
        <w:spacing w:line="240" w:lineRule="auto"/>
      </w:pPr>
    </w:p>
    <w:p w14:paraId="1AF1435F" w14:textId="77777777" w:rsidR="007F45A1" w:rsidRDefault="007F45A1" w:rsidP="000437A2">
      <w:pPr>
        <w:tabs>
          <w:tab w:val="left" w:pos="651"/>
        </w:tabs>
        <w:spacing w:line="240" w:lineRule="auto"/>
      </w:pPr>
    </w:p>
    <w:p w14:paraId="39BE4287" w14:textId="77777777" w:rsidR="007F45A1" w:rsidRDefault="007F45A1" w:rsidP="000437A2">
      <w:pPr>
        <w:tabs>
          <w:tab w:val="left" w:pos="651"/>
        </w:tabs>
        <w:spacing w:line="240" w:lineRule="auto"/>
      </w:pPr>
    </w:p>
    <w:p w14:paraId="702D4E3F" w14:textId="34B25D9E" w:rsidR="000437A2" w:rsidRPr="00BD3FA7" w:rsidRDefault="000437A2" w:rsidP="000437A2">
      <w:pPr>
        <w:tabs>
          <w:tab w:val="left" w:pos="651"/>
        </w:tabs>
        <w:spacing w:line="240" w:lineRule="auto"/>
      </w:pPr>
      <w:r w:rsidRPr="00BD3FA7">
        <w:t xml:space="preserve">Appendix B </w:t>
      </w:r>
    </w:p>
    <w:p w14:paraId="151FA753" w14:textId="48B19E5B" w:rsidR="000437A2" w:rsidRPr="00BD3FA7" w:rsidRDefault="000437A2" w:rsidP="000437A2">
      <w:pPr>
        <w:tabs>
          <w:tab w:val="left" w:pos="651"/>
        </w:tabs>
        <w:spacing w:line="240" w:lineRule="auto"/>
      </w:pPr>
      <w:r w:rsidRPr="00BD3FA7">
        <w:rPr>
          <w:rFonts w:asciiTheme="majorBidi" w:eastAsia="Calibri" w:hAnsiTheme="majorBidi" w:cstheme="majorBidi"/>
          <w:lang w:bidi="ar-EG"/>
        </w:rPr>
        <w:t xml:space="preserve">Table </w:t>
      </w:r>
      <w:r w:rsidR="00AC0DD9">
        <w:rPr>
          <w:rFonts w:asciiTheme="majorBidi" w:eastAsia="Calibri" w:hAnsiTheme="majorBidi" w:cstheme="majorBidi"/>
          <w:lang w:bidi="ar-EG"/>
        </w:rPr>
        <w:t>7</w:t>
      </w:r>
      <w:r w:rsidRPr="00BD3FA7">
        <w:rPr>
          <w:rFonts w:asciiTheme="majorBidi" w:eastAsia="Calibri" w:hAnsiTheme="majorBidi" w:cstheme="majorBidi"/>
          <w:lang w:bidi="ar-EG"/>
        </w:rPr>
        <w:t>.  Exploratory Factor Analysis to Cyberbullying scale</w:t>
      </w:r>
    </w:p>
    <w:p w14:paraId="7A62C5EF" w14:textId="77777777" w:rsidR="000437A2" w:rsidRPr="00BD3FA7" w:rsidRDefault="000437A2" w:rsidP="000437A2">
      <w:pPr>
        <w:spacing w:before="240" w:after="240" w:line="360" w:lineRule="auto"/>
        <w:ind w:hanging="720"/>
        <w:jc w:val="both"/>
      </w:pPr>
    </w:p>
    <w:p w14:paraId="3A50572A" w14:textId="77777777" w:rsidR="000437A2" w:rsidRPr="00BD3FA7" w:rsidRDefault="000437A2" w:rsidP="000437A2">
      <w:pPr>
        <w:tabs>
          <w:tab w:val="left" w:pos="651"/>
        </w:tabs>
        <w:spacing w:line="240" w:lineRule="auto"/>
        <w:rPr>
          <w:rFonts w:asciiTheme="majorBidi" w:eastAsia="Calibri" w:hAnsiTheme="majorBidi" w:cstheme="majorBidi"/>
          <w:lang w:bidi="ar-EG"/>
        </w:rPr>
      </w:pPr>
      <w:r w:rsidRPr="00BD3FA7">
        <w:rPr>
          <w:rFonts w:asciiTheme="majorBidi" w:eastAsia="Calibri" w:hAnsiTheme="majorBidi" w:cstheme="majorBidi"/>
          <w:lang w:bidi="ar-EG"/>
        </w:rPr>
        <w:t xml:space="preserve">            </w:t>
      </w:r>
    </w:p>
    <w:p w14:paraId="372CAB1E" w14:textId="77777777" w:rsidR="000437A2" w:rsidRPr="00BD3FA7" w:rsidRDefault="000437A2" w:rsidP="000437A2">
      <w:pPr>
        <w:tabs>
          <w:tab w:val="left" w:pos="651"/>
        </w:tabs>
        <w:spacing w:line="240" w:lineRule="auto"/>
        <w:rPr>
          <w:rFonts w:asciiTheme="majorBidi" w:eastAsia="Calibri" w:hAnsiTheme="majorBidi" w:cstheme="majorBidi"/>
          <w:lang w:bidi="ar-EG"/>
        </w:rPr>
      </w:pPr>
    </w:p>
    <w:p w14:paraId="47AD74F7" w14:textId="77777777" w:rsidR="000437A2" w:rsidRPr="009A1DE5" w:rsidRDefault="000437A2" w:rsidP="000437A2">
      <w:pPr>
        <w:tabs>
          <w:tab w:val="left" w:pos="651"/>
        </w:tabs>
        <w:spacing w:line="240" w:lineRule="auto"/>
        <w:rPr>
          <w:rFonts w:asciiTheme="majorBidi" w:eastAsia="Calibri" w:hAnsiTheme="majorBidi" w:cstheme="majorBidi"/>
          <w:lang w:bidi="ar-EG"/>
        </w:rPr>
      </w:pPr>
      <w:r w:rsidRPr="00BD3FA7">
        <w:rPr>
          <w:rFonts w:asciiTheme="majorBidi" w:eastAsia="Calibri" w:hAnsiTheme="majorBidi" w:cstheme="majorBidi"/>
          <w:lang w:bidi="ar-EG"/>
        </w:rPr>
        <w:t xml:space="preserve">                </w:t>
      </w:r>
    </w:p>
    <w:tbl>
      <w:tblPr>
        <w:tblStyle w:val="TableGrid"/>
        <w:tblpPr w:leftFromText="180" w:rightFromText="180" w:vertAnchor="page" w:horzAnchor="page" w:tblpX="2882" w:tblpY="2352"/>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085"/>
        <w:gridCol w:w="1249"/>
      </w:tblGrid>
      <w:tr w:rsidR="000437A2" w:rsidRPr="00BD3FA7" w14:paraId="0900FA59" w14:textId="77777777" w:rsidTr="00880EA7">
        <w:tc>
          <w:tcPr>
            <w:tcW w:w="0" w:type="auto"/>
          </w:tcPr>
          <w:p w14:paraId="646D041D" w14:textId="77777777" w:rsidR="000437A2" w:rsidRPr="00BD3FA7" w:rsidRDefault="000437A2" w:rsidP="00880EA7">
            <w:pPr>
              <w:jc w:val="center"/>
              <w:rPr>
                <w:rFonts w:asciiTheme="majorBidi" w:hAnsiTheme="majorBidi" w:cstheme="majorBidi"/>
                <w:b/>
                <w:bCs/>
                <w:rtl/>
                <w:lang w:bidi="ar-EG"/>
              </w:rPr>
            </w:pPr>
            <w:r w:rsidRPr="00BD3FA7">
              <w:rPr>
                <w:rFonts w:asciiTheme="majorBidi" w:hAnsiTheme="majorBidi" w:cstheme="majorBidi"/>
                <w:b/>
                <w:bCs/>
                <w:lang w:bidi="ar-EG"/>
              </w:rPr>
              <w:lastRenderedPageBreak/>
              <w:t>Extraction</w:t>
            </w:r>
          </w:p>
        </w:tc>
        <w:tc>
          <w:tcPr>
            <w:tcW w:w="0" w:type="auto"/>
          </w:tcPr>
          <w:p w14:paraId="4543CB50" w14:textId="77777777" w:rsidR="000437A2" w:rsidRPr="00BD3FA7" w:rsidRDefault="000437A2" w:rsidP="00880EA7">
            <w:pPr>
              <w:jc w:val="center"/>
              <w:rPr>
                <w:rFonts w:asciiTheme="majorBidi" w:hAnsiTheme="majorBidi" w:cstheme="majorBidi"/>
                <w:b/>
                <w:bCs/>
                <w:lang w:bidi="ar-EG"/>
              </w:rPr>
            </w:pPr>
            <w:r w:rsidRPr="00BD3FA7">
              <w:rPr>
                <w:rFonts w:asciiTheme="majorBidi" w:hAnsiTheme="majorBidi" w:cstheme="majorBidi"/>
                <w:b/>
                <w:bCs/>
                <w:lang w:bidi="ar-EG"/>
              </w:rPr>
              <w:t>Loadings</w:t>
            </w:r>
          </w:p>
        </w:tc>
        <w:tc>
          <w:tcPr>
            <w:tcW w:w="0" w:type="auto"/>
          </w:tcPr>
          <w:p w14:paraId="54DBA2CA" w14:textId="77777777" w:rsidR="000437A2" w:rsidRPr="00BD3FA7" w:rsidRDefault="000437A2" w:rsidP="00880EA7">
            <w:pPr>
              <w:jc w:val="center"/>
              <w:rPr>
                <w:rFonts w:asciiTheme="majorBidi" w:hAnsiTheme="majorBidi" w:cstheme="majorBidi"/>
                <w:b/>
                <w:bCs/>
                <w:lang w:bidi="ar-EG"/>
              </w:rPr>
            </w:pPr>
            <w:r w:rsidRPr="00BD3FA7">
              <w:rPr>
                <w:rFonts w:asciiTheme="majorBidi" w:hAnsiTheme="majorBidi" w:cstheme="majorBidi"/>
                <w:b/>
                <w:bCs/>
                <w:lang w:bidi="ar-EG"/>
              </w:rPr>
              <w:t>Items</w:t>
            </w:r>
          </w:p>
        </w:tc>
      </w:tr>
      <w:tr w:rsidR="000437A2" w:rsidRPr="00BD3FA7" w14:paraId="5D7253C4" w14:textId="77777777" w:rsidTr="00880EA7">
        <w:tc>
          <w:tcPr>
            <w:tcW w:w="0" w:type="auto"/>
          </w:tcPr>
          <w:p w14:paraId="0590EF71" w14:textId="77777777" w:rsidR="000437A2" w:rsidRPr="00BD3FA7" w:rsidRDefault="000437A2" w:rsidP="00880EA7">
            <w:pPr>
              <w:jc w:val="center"/>
            </w:pPr>
            <w:r w:rsidRPr="00BD3FA7">
              <w:t>.46</w:t>
            </w:r>
          </w:p>
        </w:tc>
        <w:tc>
          <w:tcPr>
            <w:tcW w:w="0" w:type="auto"/>
          </w:tcPr>
          <w:p w14:paraId="243E83FD" w14:textId="77777777" w:rsidR="000437A2" w:rsidRPr="00BD3FA7" w:rsidRDefault="000437A2" w:rsidP="00880EA7">
            <w:pPr>
              <w:jc w:val="center"/>
            </w:pPr>
            <w:r w:rsidRPr="00BD3FA7">
              <w:t>.80</w:t>
            </w:r>
          </w:p>
        </w:tc>
        <w:tc>
          <w:tcPr>
            <w:tcW w:w="0" w:type="auto"/>
          </w:tcPr>
          <w:p w14:paraId="0D5A54C2" w14:textId="77777777" w:rsidR="000437A2" w:rsidRPr="00BD3FA7" w:rsidRDefault="000437A2" w:rsidP="00880EA7">
            <w:pPr>
              <w:jc w:val="center"/>
              <w:rPr>
                <w:rFonts w:asciiTheme="majorBidi" w:hAnsiTheme="majorBidi" w:cstheme="majorBidi"/>
                <w:lang w:bidi="ar-EG"/>
              </w:rPr>
            </w:pPr>
            <w:r w:rsidRPr="00BD3FA7">
              <w:rPr>
                <w:rFonts w:asciiTheme="majorBidi" w:hAnsiTheme="majorBidi" w:cstheme="majorBidi"/>
                <w:lang w:bidi="ar-EG"/>
              </w:rPr>
              <w:t>Item 1</w:t>
            </w:r>
          </w:p>
        </w:tc>
      </w:tr>
      <w:tr w:rsidR="000437A2" w:rsidRPr="00BD3FA7" w14:paraId="63321050" w14:textId="77777777" w:rsidTr="00880EA7">
        <w:tc>
          <w:tcPr>
            <w:tcW w:w="0" w:type="auto"/>
          </w:tcPr>
          <w:p w14:paraId="06047660" w14:textId="77777777" w:rsidR="000437A2" w:rsidRPr="00BD3FA7" w:rsidRDefault="000437A2" w:rsidP="00880EA7">
            <w:pPr>
              <w:jc w:val="center"/>
            </w:pPr>
            <w:r w:rsidRPr="00BD3FA7">
              <w:t>.52</w:t>
            </w:r>
          </w:p>
        </w:tc>
        <w:tc>
          <w:tcPr>
            <w:tcW w:w="0" w:type="auto"/>
          </w:tcPr>
          <w:p w14:paraId="743DF120" w14:textId="77777777" w:rsidR="000437A2" w:rsidRPr="00BD3FA7" w:rsidRDefault="000437A2" w:rsidP="00880EA7">
            <w:pPr>
              <w:jc w:val="center"/>
            </w:pPr>
            <w:r w:rsidRPr="00BD3FA7">
              <w:t>.79</w:t>
            </w:r>
          </w:p>
        </w:tc>
        <w:tc>
          <w:tcPr>
            <w:tcW w:w="0" w:type="auto"/>
          </w:tcPr>
          <w:p w14:paraId="075857EF" w14:textId="77777777" w:rsidR="000437A2" w:rsidRPr="00BD3FA7" w:rsidRDefault="000437A2" w:rsidP="00880EA7">
            <w:pPr>
              <w:jc w:val="center"/>
            </w:pPr>
            <w:r w:rsidRPr="00BD3FA7">
              <w:rPr>
                <w:rFonts w:asciiTheme="majorBidi" w:hAnsiTheme="majorBidi" w:cstheme="majorBidi"/>
                <w:lang w:bidi="ar-EG"/>
              </w:rPr>
              <w:t>Item 2</w:t>
            </w:r>
          </w:p>
        </w:tc>
      </w:tr>
      <w:tr w:rsidR="000437A2" w:rsidRPr="00BD3FA7" w14:paraId="614F95C3" w14:textId="77777777" w:rsidTr="00880EA7">
        <w:tc>
          <w:tcPr>
            <w:tcW w:w="0" w:type="auto"/>
          </w:tcPr>
          <w:p w14:paraId="12A8B883" w14:textId="77777777" w:rsidR="000437A2" w:rsidRPr="00BD3FA7" w:rsidRDefault="000437A2" w:rsidP="00880EA7">
            <w:pPr>
              <w:jc w:val="center"/>
            </w:pPr>
            <w:r w:rsidRPr="00BD3FA7">
              <w:t>.61</w:t>
            </w:r>
          </w:p>
        </w:tc>
        <w:tc>
          <w:tcPr>
            <w:tcW w:w="0" w:type="auto"/>
          </w:tcPr>
          <w:p w14:paraId="6DBB3F32" w14:textId="77777777" w:rsidR="000437A2" w:rsidRPr="00BD3FA7" w:rsidRDefault="000437A2" w:rsidP="00880EA7">
            <w:pPr>
              <w:jc w:val="center"/>
            </w:pPr>
            <w:r w:rsidRPr="00BD3FA7">
              <w:t>.78</w:t>
            </w:r>
          </w:p>
        </w:tc>
        <w:tc>
          <w:tcPr>
            <w:tcW w:w="0" w:type="auto"/>
          </w:tcPr>
          <w:p w14:paraId="4374578D" w14:textId="77777777" w:rsidR="000437A2" w:rsidRPr="00BD3FA7" w:rsidRDefault="000437A2" w:rsidP="00880EA7">
            <w:pPr>
              <w:jc w:val="center"/>
            </w:pPr>
            <w:r w:rsidRPr="00BD3FA7">
              <w:rPr>
                <w:rFonts w:asciiTheme="majorBidi" w:hAnsiTheme="majorBidi" w:cstheme="majorBidi"/>
                <w:lang w:bidi="ar-EG"/>
              </w:rPr>
              <w:t>Item 3</w:t>
            </w:r>
          </w:p>
        </w:tc>
      </w:tr>
      <w:tr w:rsidR="000437A2" w:rsidRPr="00BD3FA7" w14:paraId="472AE449" w14:textId="77777777" w:rsidTr="00880EA7">
        <w:tc>
          <w:tcPr>
            <w:tcW w:w="0" w:type="auto"/>
          </w:tcPr>
          <w:p w14:paraId="45313600" w14:textId="77777777" w:rsidR="000437A2" w:rsidRPr="00BD3FA7" w:rsidRDefault="000437A2" w:rsidP="00880EA7">
            <w:pPr>
              <w:jc w:val="center"/>
            </w:pPr>
            <w:r w:rsidRPr="00BD3FA7">
              <w:t>.50</w:t>
            </w:r>
          </w:p>
        </w:tc>
        <w:tc>
          <w:tcPr>
            <w:tcW w:w="0" w:type="auto"/>
          </w:tcPr>
          <w:p w14:paraId="0BF187E1" w14:textId="77777777" w:rsidR="000437A2" w:rsidRPr="00BD3FA7" w:rsidRDefault="000437A2" w:rsidP="00880EA7">
            <w:pPr>
              <w:jc w:val="center"/>
            </w:pPr>
            <w:r w:rsidRPr="00BD3FA7">
              <w:t>.77</w:t>
            </w:r>
          </w:p>
        </w:tc>
        <w:tc>
          <w:tcPr>
            <w:tcW w:w="0" w:type="auto"/>
          </w:tcPr>
          <w:p w14:paraId="4BF6691A" w14:textId="77777777" w:rsidR="000437A2" w:rsidRPr="00BD3FA7" w:rsidRDefault="000437A2" w:rsidP="00880EA7">
            <w:pPr>
              <w:jc w:val="center"/>
            </w:pPr>
            <w:r w:rsidRPr="00BD3FA7">
              <w:rPr>
                <w:rFonts w:asciiTheme="majorBidi" w:hAnsiTheme="majorBidi" w:cstheme="majorBidi"/>
                <w:lang w:bidi="ar-EG"/>
              </w:rPr>
              <w:t>Item 4</w:t>
            </w:r>
          </w:p>
        </w:tc>
      </w:tr>
      <w:tr w:rsidR="000437A2" w:rsidRPr="00BD3FA7" w14:paraId="01D20D4D" w14:textId="77777777" w:rsidTr="00880EA7">
        <w:tc>
          <w:tcPr>
            <w:tcW w:w="0" w:type="auto"/>
          </w:tcPr>
          <w:p w14:paraId="53849631" w14:textId="77777777" w:rsidR="000437A2" w:rsidRPr="00BD3FA7" w:rsidRDefault="000437A2" w:rsidP="00880EA7">
            <w:pPr>
              <w:jc w:val="center"/>
            </w:pPr>
            <w:r w:rsidRPr="00BD3FA7">
              <w:t>.43</w:t>
            </w:r>
          </w:p>
        </w:tc>
        <w:tc>
          <w:tcPr>
            <w:tcW w:w="0" w:type="auto"/>
          </w:tcPr>
          <w:p w14:paraId="2082AF31" w14:textId="77777777" w:rsidR="000437A2" w:rsidRPr="00BD3FA7" w:rsidRDefault="000437A2" w:rsidP="00880EA7">
            <w:pPr>
              <w:jc w:val="center"/>
            </w:pPr>
            <w:r w:rsidRPr="00BD3FA7">
              <w:t>.77</w:t>
            </w:r>
          </w:p>
        </w:tc>
        <w:tc>
          <w:tcPr>
            <w:tcW w:w="0" w:type="auto"/>
          </w:tcPr>
          <w:p w14:paraId="5087B906" w14:textId="77777777" w:rsidR="000437A2" w:rsidRPr="00BD3FA7" w:rsidRDefault="000437A2" w:rsidP="00880EA7">
            <w:pPr>
              <w:jc w:val="center"/>
            </w:pPr>
            <w:r w:rsidRPr="00BD3FA7">
              <w:rPr>
                <w:rFonts w:asciiTheme="majorBidi" w:hAnsiTheme="majorBidi" w:cstheme="majorBidi"/>
                <w:lang w:bidi="ar-EG"/>
              </w:rPr>
              <w:t>Item 5</w:t>
            </w:r>
          </w:p>
        </w:tc>
      </w:tr>
      <w:tr w:rsidR="000437A2" w:rsidRPr="00BD3FA7" w14:paraId="187566A2" w14:textId="77777777" w:rsidTr="00880EA7">
        <w:tc>
          <w:tcPr>
            <w:tcW w:w="0" w:type="auto"/>
          </w:tcPr>
          <w:p w14:paraId="7254E895" w14:textId="77777777" w:rsidR="000437A2" w:rsidRPr="00BD3FA7" w:rsidRDefault="000437A2" w:rsidP="00880EA7">
            <w:pPr>
              <w:jc w:val="center"/>
            </w:pPr>
            <w:r w:rsidRPr="00BD3FA7">
              <w:t>.47</w:t>
            </w:r>
          </w:p>
        </w:tc>
        <w:tc>
          <w:tcPr>
            <w:tcW w:w="0" w:type="auto"/>
          </w:tcPr>
          <w:p w14:paraId="3E6BA361" w14:textId="77777777" w:rsidR="000437A2" w:rsidRPr="00BD3FA7" w:rsidRDefault="000437A2" w:rsidP="00880EA7">
            <w:pPr>
              <w:jc w:val="center"/>
            </w:pPr>
            <w:r w:rsidRPr="00BD3FA7">
              <w:t>.75</w:t>
            </w:r>
          </w:p>
        </w:tc>
        <w:tc>
          <w:tcPr>
            <w:tcW w:w="0" w:type="auto"/>
          </w:tcPr>
          <w:p w14:paraId="42678566" w14:textId="77777777" w:rsidR="000437A2" w:rsidRPr="00BD3FA7" w:rsidRDefault="000437A2" w:rsidP="00880EA7">
            <w:pPr>
              <w:jc w:val="center"/>
            </w:pPr>
            <w:r w:rsidRPr="00BD3FA7">
              <w:rPr>
                <w:rFonts w:asciiTheme="majorBidi" w:hAnsiTheme="majorBidi" w:cstheme="majorBidi"/>
                <w:lang w:bidi="ar-EG"/>
              </w:rPr>
              <w:t>Item 6</w:t>
            </w:r>
          </w:p>
        </w:tc>
      </w:tr>
      <w:tr w:rsidR="000437A2" w:rsidRPr="00BD3FA7" w14:paraId="2BC4276B" w14:textId="77777777" w:rsidTr="00880EA7">
        <w:tc>
          <w:tcPr>
            <w:tcW w:w="0" w:type="auto"/>
          </w:tcPr>
          <w:p w14:paraId="6AEF20C0" w14:textId="77777777" w:rsidR="000437A2" w:rsidRPr="00BD3FA7" w:rsidRDefault="000437A2" w:rsidP="00880EA7">
            <w:pPr>
              <w:jc w:val="center"/>
            </w:pPr>
            <w:r w:rsidRPr="00BD3FA7">
              <w:t>.43</w:t>
            </w:r>
          </w:p>
        </w:tc>
        <w:tc>
          <w:tcPr>
            <w:tcW w:w="0" w:type="auto"/>
          </w:tcPr>
          <w:p w14:paraId="72C86606" w14:textId="77777777" w:rsidR="000437A2" w:rsidRPr="00BD3FA7" w:rsidRDefault="000437A2" w:rsidP="00880EA7">
            <w:pPr>
              <w:jc w:val="center"/>
            </w:pPr>
            <w:r w:rsidRPr="00BD3FA7">
              <w:t>.74</w:t>
            </w:r>
          </w:p>
        </w:tc>
        <w:tc>
          <w:tcPr>
            <w:tcW w:w="0" w:type="auto"/>
          </w:tcPr>
          <w:p w14:paraId="0CFEF330" w14:textId="77777777" w:rsidR="000437A2" w:rsidRPr="00BD3FA7" w:rsidRDefault="000437A2" w:rsidP="00880EA7">
            <w:pPr>
              <w:jc w:val="center"/>
            </w:pPr>
            <w:r w:rsidRPr="00BD3FA7">
              <w:rPr>
                <w:rFonts w:asciiTheme="majorBidi" w:hAnsiTheme="majorBidi" w:cstheme="majorBidi"/>
                <w:lang w:bidi="ar-EG"/>
              </w:rPr>
              <w:t>Item 7</w:t>
            </w:r>
          </w:p>
        </w:tc>
      </w:tr>
      <w:tr w:rsidR="000437A2" w:rsidRPr="00BD3FA7" w14:paraId="1DB4D499" w14:textId="77777777" w:rsidTr="00880EA7">
        <w:tc>
          <w:tcPr>
            <w:tcW w:w="0" w:type="auto"/>
          </w:tcPr>
          <w:p w14:paraId="1F290971" w14:textId="77777777" w:rsidR="000437A2" w:rsidRPr="00BD3FA7" w:rsidRDefault="000437A2" w:rsidP="00880EA7">
            <w:pPr>
              <w:jc w:val="center"/>
            </w:pPr>
            <w:r w:rsidRPr="00BD3FA7">
              <w:t>.56</w:t>
            </w:r>
          </w:p>
        </w:tc>
        <w:tc>
          <w:tcPr>
            <w:tcW w:w="0" w:type="auto"/>
          </w:tcPr>
          <w:p w14:paraId="045BF82A" w14:textId="77777777" w:rsidR="000437A2" w:rsidRPr="00BD3FA7" w:rsidRDefault="000437A2" w:rsidP="00880EA7">
            <w:pPr>
              <w:jc w:val="center"/>
            </w:pPr>
            <w:r w:rsidRPr="00BD3FA7">
              <w:t>.72</w:t>
            </w:r>
          </w:p>
        </w:tc>
        <w:tc>
          <w:tcPr>
            <w:tcW w:w="0" w:type="auto"/>
          </w:tcPr>
          <w:p w14:paraId="574C1B01" w14:textId="77777777" w:rsidR="000437A2" w:rsidRPr="00BD3FA7" w:rsidRDefault="000437A2" w:rsidP="00880EA7">
            <w:pPr>
              <w:jc w:val="center"/>
            </w:pPr>
            <w:r w:rsidRPr="00BD3FA7">
              <w:rPr>
                <w:rFonts w:asciiTheme="majorBidi" w:hAnsiTheme="majorBidi" w:cstheme="majorBidi"/>
                <w:lang w:bidi="ar-EG"/>
              </w:rPr>
              <w:t>Item 8</w:t>
            </w:r>
          </w:p>
        </w:tc>
      </w:tr>
      <w:tr w:rsidR="000437A2" w:rsidRPr="00BD3FA7" w14:paraId="5E0BF6B8" w14:textId="77777777" w:rsidTr="00880EA7">
        <w:tc>
          <w:tcPr>
            <w:tcW w:w="0" w:type="auto"/>
          </w:tcPr>
          <w:p w14:paraId="3D4CC640" w14:textId="77777777" w:rsidR="000437A2" w:rsidRPr="00BD3FA7" w:rsidRDefault="000437A2" w:rsidP="00880EA7">
            <w:pPr>
              <w:jc w:val="center"/>
            </w:pPr>
            <w:r w:rsidRPr="00BD3FA7">
              <w:t>.63</w:t>
            </w:r>
          </w:p>
        </w:tc>
        <w:tc>
          <w:tcPr>
            <w:tcW w:w="0" w:type="auto"/>
          </w:tcPr>
          <w:p w14:paraId="455E68D4" w14:textId="77777777" w:rsidR="000437A2" w:rsidRPr="00BD3FA7" w:rsidRDefault="000437A2" w:rsidP="00880EA7">
            <w:pPr>
              <w:jc w:val="center"/>
            </w:pPr>
            <w:r w:rsidRPr="00BD3FA7">
              <w:t>.71</w:t>
            </w:r>
          </w:p>
        </w:tc>
        <w:tc>
          <w:tcPr>
            <w:tcW w:w="0" w:type="auto"/>
          </w:tcPr>
          <w:p w14:paraId="51E87637" w14:textId="77777777" w:rsidR="000437A2" w:rsidRPr="00BD3FA7" w:rsidRDefault="000437A2" w:rsidP="00880EA7">
            <w:pPr>
              <w:jc w:val="center"/>
            </w:pPr>
            <w:r w:rsidRPr="00BD3FA7">
              <w:rPr>
                <w:rFonts w:asciiTheme="majorBidi" w:hAnsiTheme="majorBidi" w:cstheme="majorBidi"/>
                <w:lang w:bidi="ar-EG"/>
              </w:rPr>
              <w:t>Item 9</w:t>
            </w:r>
          </w:p>
        </w:tc>
      </w:tr>
      <w:tr w:rsidR="000437A2" w:rsidRPr="00BD3FA7" w14:paraId="5AC99592" w14:textId="77777777" w:rsidTr="00880EA7">
        <w:tc>
          <w:tcPr>
            <w:tcW w:w="0" w:type="auto"/>
          </w:tcPr>
          <w:p w14:paraId="0C04C96A" w14:textId="77777777" w:rsidR="000437A2" w:rsidRPr="00BD3FA7" w:rsidRDefault="000437A2" w:rsidP="00880EA7">
            <w:pPr>
              <w:jc w:val="center"/>
            </w:pPr>
            <w:r w:rsidRPr="00BD3FA7">
              <w:t>.46</w:t>
            </w:r>
          </w:p>
        </w:tc>
        <w:tc>
          <w:tcPr>
            <w:tcW w:w="0" w:type="auto"/>
          </w:tcPr>
          <w:p w14:paraId="2EAF8F72" w14:textId="77777777" w:rsidR="000437A2" w:rsidRPr="00BD3FA7" w:rsidRDefault="000437A2" w:rsidP="00880EA7">
            <w:pPr>
              <w:jc w:val="center"/>
            </w:pPr>
            <w:r w:rsidRPr="00BD3FA7">
              <w:t>.71</w:t>
            </w:r>
          </w:p>
        </w:tc>
        <w:tc>
          <w:tcPr>
            <w:tcW w:w="0" w:type="auto"/>
          </w:tcPr>
          <w:p w14:paraId="201EDB23" w14:textId="77777777" w:rsidR="000437A2" w:rsidRPr="00BD3FA7" w:rsidRDefault="000437A2" w:rsidP="00880EA7">
            <w:pPr>
              <w:jc w:val="center"/>
            </w:pPr>
            <w:r w:rsidRPr="00BD3FA7">
              <w:rPr>
                <w:rFonts w:asciiTheme="majorBidi" w:hAnsiTheme="majorBidi" w:cstheme="majorBidi"/>
                <w:lang w:bidi="ar-EG"/>
              </w:rPr>
              <w:t>Item 10</w:t>
            </w:r>
          </w:p>
        </w:tc>
      </w:tr>
      <w:tr w:rsidR="000437A2" w:rsidRPr="00BD3FA7" w14:paraId="33566A13" w14:textId="77777777" w:rsidTr="00880EA7">
        <w:tc>
          <w:tcPr>
            <w:tcW w:w="0" w:type="auto"/>
          </w:tcPr>
          <w:p w14:paraId="027BE34D" w14:textId="77777777" w:rsidR="000437A2" w:rsidRPr="00BD3FA7" w:rsidRDefault="000437A2" w:rsidP="00880EA7">
            <w:pPr>
              <w:jc w:val="center"/>
            </w:pPr>
            <w:r w:rsidRPr="00BD3FA7">
              <w:t>.37</w:t>
            </w:r>
          </w:p>
        </w:tc>
        <w:tc>
          <w:tcPr>
            <w:tcW w:w="0" w:type="auto"/>
          </w:tcPr>
          <w:p w14:paraId="65CBAB9B" w14:textId="77777777" w:rsidR="000437A2" w:rsidRPr="00BD3FA7" w:rsidRDefault="000437A2" w:rsidP="00880EA7">
            <w:pPr>
              <w:jc w:val="center"/>
            </w:pPr>
            <w:r w:rsidRPr="00BD3FA7">
              <w:t>.71</w:t>
            </w:r>
          </w:p>
        </w:tc>
        <w:tc>
          <w:tcPr>
            <w:tcW w:w="0" w:type="auto"/>
          </w:tcPr>
          <w:p w14:paraId="518340B6" w14:textId="77777777" w:rsidR="000437A2" w:rsidRPr="00BD3FA7" w:rsidRDefault="000437A2" w:rsidP="00880EA7">
            <w:pPr>
              <w:jc w:val="center"/>
            </w:pPr>
            <w:r w:rsidRPr="00BD3FA7">
              <w:rPr>
                <w:rFonts w:asciiTheme="majorBidi" w:hAnsiTheme="majorBidi" w:cstheme="majorBidi"/>
                <w:lang w:bidi="ar-EG"/>
              </w:rPr>
              <w:t>Item 11</w:t>
            </w:r>
          </w:p>
        </w:tc>
      </w:tr>
      <w:tr w:rsidR="000437A2" w:rsidRPr="00BD3FA7" w14:paraId="3A65CB9B" w14:textId="77777777" w:rsidTr="00880EA7">
        <w:tc>
          <w:tcPr>
            <w:tcW w:w="0" w:type="auto"/>
          </w:tcPr>
          <w:p w14:paraId="15301A38" w14:textId="77777777" w:rsidR="000437A2" w:rsidRPr="00BD3FA7" w:rsidRDefault="000437A2" w:rsidP="00880EA7">
            <w:pPr>
              <w:jc w:val="center"/>
            </w:pPr>
            <w:r w:rsidRPr="00BD3FA7">
              <w:t>.59</w:t>
            </w:r>
          </w:p>
        </w:tc>
        <w:tc>
          <w:tcPr>
            <w:tcW w:w="0" w:type="auto"/>
          </w:tcPr>
          <w:p w14:paraId="716A9C79" w14:textId="77777777" w:rsidR="000437A2" w:rsidRPr="00BD3FA7" w:rsidRDefault="000437A2" w:rsidP="00880EA7">
            <w:pPr>
              <w:jc w:val="center"/>
            </w:pPr>
            <w:r w:rsidRPr="00BD3FA7">
              <w:t>.69</w:t>
            </w:r>
          </w:p>
        </w:tc>
        <w:tc>
          <w:tcPr>
            <w:tcW w:w="0" w:type="auto"/>
          </w:tcPr>
          <w:p w14:paraId="2201CEC3" w14:textId="77777777" w:rsidR="000437A2" w:rsidRPr="00BD3FA7" w:rsidRDefault="000437A2" w:rsidP="00880EA7">
            <w:pPr>
              <w:jc w:val="center"/>
            </w:pPr>
            <w:r w:rsidRPr="00BD3FA7">
              <w:rPr>
                <w:rFonts w:asciiTheme="majorBidi" w:hAnsiTheme="majorBidi" w:cstheme="majorBidi"/>
                <w:lang w:bidi="ar-EG"/>
              </w:rPr>
              <w:t>Item 12</w:t>
            </w:r>
          </w:p>
        </w:tc>
      </w:tr>
      <w:tr w:rsidR="000437A2" w:rsidRPr="00BD3FA7" w14:paraId="7F21BB73" w14:textId="77777777" w:rsidTr="00880EA7">
        <w:tc>
          <w:tcPr>
            <w:tcW w:w="0" w:type="auto"/>
          </w:tcPr>
          <w:p w14:paraId="6E40DF0F" w14:textId="77777777" w:rsidR="000437A2" w:rsidRPr="00BD3FA7" w:rsidRDefault="000437A2" w:rsidP="00880EA7">
            <w:pPr>
              <w:jc w:val="center"/>
            </w:pPr>
            <w:r w:rsidRPr="00BD3FA7">
              <w:t>.55</w:t>
            </w:r>
          </w:p>
        </w:tc>
        <w:tc>
          <w:tcPr>
            <w:tcW w:w="0" w:type="auto"/>
          </w:tcPr>
          <w:p w14:paraId="49BA35EA" w14:textId="77777777" w:rsidR="000437A2" w:rsidRPr="00BD3FA7" w:rsidRDefault="000437A2" w:rsidP="00880EA7">
            <w:pPr>
              <w:jc w:val="center"/>
            </w:pPr>
            <w:r w:rsidRPr="00BD3FA7">
              <w:t>.68</w:t>
            </w:r>
          </w:p>
        </w:tc>
        <w:tc>
          <w:tcPr>
            <w:tcW w:w="0" w:type="auto"/>
          </w:tcPr>
          <w:p w14:paraId="07B32867" w14:textId="77777777" w:rsidR="000437A2" w:rsidRPr="00BD3FA7" w:rsidRDefault="000437A2" w:rsidP="00880EA7">
            <w:pPr>
              <w:jc w:val="center"/>
            </w:pPr>
            <w:r w:rsidRPr="00BD3FA7">
              <w:rPr>
                <w:rFonts w:asciiTheme="majorBidi" w:hAnsiTheme="majorBidi" w:cstheme="majorBidi"/>
                <w:lang w:bidi="ar-EG"/>
              </w:rPr>
              <w:t>Item 13</w:t>
            </w:r>
          </w:p>
        </w:tc>
      </w:tr>
      <w:tr w:rsidR="000437A2" w:rsidRPr="00BD3FA7" w14:paraId="64D34D17" w14:textId="77777777" w:rsidTr="00880EA7">
        <w:tc>
          <w:tcPr>
            <w:tcW w:w="0" w:type="auto"/>
          </w:tcPr>
          <w:p w14:paraId="4C212848" w14:textId="77777777" w:rsidR="000437A2" w:rsidRPr="00BD3FA7" w:rsidRDefault="000437A2" w:rsidP="00880EA7">
            <w:pPr>
              <w:jc w:val="center"/>
            </w:pPr>
            <w:r w:rsidRPr="00BD3FA7">
              <w:t>.60</w:t>
            </w:r>
          </w:p>
        </w:tc>
        <w:tc>
          <w:tcPr>
            <w:tcW w:w="0" w:type="auto"/>
          </w:tcPr>
          <w:p w14:paraId="2F133596" w14:textId="77777777" w:rsidR="000437A2" w:rsidRPr="00BD3FA7" w:rsidRDefault="000437A2" w:rsidP="00880EA7">
            <w:pPr>
              <w:jc w:val="center"/>
            </w:pPr>
            <w:r w:rsidRPr="00BD3FA7">
              <w:t>.67</w:t>
            </w:r>
          </w:p>
        </w:tc>
        <w:tc>
          <w:tcPr>
            <w:tcW w:w="0" w:type="auto"/>
          </w:tcPr>
          <w:p w14:paraId="0EFB96C2" w14:textId="77777777" w:rsidR="000437A2" w:rsidRPr="00BD3FA7" w:rsidRDefault="000437A2" w:rsidP="00880EA7">
            <w:pPr>
              <w:jc w:val="center"/>
            </w:pPr>
            <w:r w:rsidRPr="00BD3FA7">
              <w:rPr>
                <w:rFonts w:asciiTheme="majorBidi" w:hAnsiTheme="majorBidi" w:cstheme="majorBidi"/>
                <w:lang w:bidi="ar-EG"/>
              </w:rPr>
              <w:t>Item 14</w:t>
            </w:r>
          </w:p>
        </w:tc>
      </w:tr>
      <w:tr w:rsidR="000437A2" w:rsidRPr="00BD3FA7" w14:paraId="724C9811" w14:textId="77777777" w:rsidTr="00880EA7">
        <w:tc>
          <w:tcPr>
            <w:tcW w:w="0" w:type="auto"/>
          </w:tcPr>
          <w:p w14:paraId="1941698A" w14:textId="77777777" w:rsidR="000437A2" w:rsidRPr="00BD3FA7" w:rsidRDefault="000437A2" w:rsidP="00880EA7">
            <w:pPr>
              <w:jc w:val="center"/>
            </w:pPr>
            <w:r w:rsidRPr="00BD3FA7">
              <w:t>.65</w:t>
            </w:r>
          </w:p>
        </w:tc>
        <w:tc>
          <w:tcPr>
            <w:tcW w:w="0" w:type="auto"/>
          </w:tcPr>
          <w:p w14:paraId="7D7A821C" w14:textId="77777777" w:rsidR="000437A2" w:rsidRPr="00BD3FA7" w:rsidRDefault="000437A2" w:rsidP="00880EA7">
            <w:pPr>
              <w:jc w:val="center"/>
            </w:pPr>
            <w:r w:rsidRPr="00BD3FA7">
              <w:t>.66</w:t>
            </w:r>
          </w:p>
        </w:tc>
        <w:tc>
          <w:tcPr>
            <w:tcW w:w="0" w:type="auto"/>
          </w:tcPr>
          <w:p w14:paraId="5FDE681A" w14:textId="77777777" w:rsidR="000437A2" w:rsidRPr="00BD3FA7" w:rsidRDefault="000437A2" w:rsidP="00880EA7">
            <w:pPr>
              <w:jc w:val="center"/>
            </w:pPr>
            <w:r w:rsidRPr="00BD3FA7">
              <w:rPr>
                <w:rFonts w:asciiTheme="majorBidi" w:hAnsiTheme="majorBidi" w:cstheme="majorBidi"/>
                <w:lang w:bidi="ar-EG"/>
              </w:rPr>
              <w:t>Item 15</w:t>
            </w:r>
          </w:p>
        </w:tc>
      </w:tr>
      <w:tr w:rsidR="000437A2" w:rsidRPr="00BD3FA7" w14:paraId="4A2946AD" w14:textId="77777777" w:rsidTr="00880EA7">
        <w:tc>
          <w:tcPr>
            <w:tcW w:w="0" w:type="auto"/>
          </w:tcPr>
          <w:p w14:paraId="7F72B038" w14:textId="77777777" w:rsidR="000437A2" w:rsidRPr="00BD3FA7" w:rsidRDefault="000437A2" w:rsidP="00880EA7">
            <w:pPr>
              <w:jc w:val="center"/>
            </w:pPr>
            <w:r w:rsidRPr="00BD3FA7">
              <w:t>.36</w:t>
            </w:r>
          </w:p>
        </w:tc>
        <w:tc>
          <w:tcPr>
            <w:tcW w:w="0" w:type="auto"/>
          </w:tcPr>
          <w:p w14:paraId="6DDF51D9" w14:textId="77777777" w:rsidR="000437A2" w:rsidRPr="00BD3FA7" w:rsidRDefault="000437A2" w:rsidP="00880EA7">
            <w:pPr>
              <w:jc w:val="center"/>
            </w:pPr>
            <w:r w:rsidRPr="00BD3FA7">
              <w:t>.66</w:t>
            </w:r>
          </w:p>
        </w:tc>
        <w:tc>
          <w:tcPr>
            <w:tcW w:w="0" w:type="auto"/>
          </w:tcPr>
          <w:p w14:paraId="2B53D543" w14:textId="77777777" w:rsidR="000437A2" w:rsidRPr="00BD3FA7" w:rsidRDefault="000437A2" w:rsidP="00880EA7">
            <w:pPr>
              <w:jc w:val="center"/>
            </w:pPr>
            <w:r w:rsidRPr="00BD3FA7">
              <w:rPr>
                <w:rFonts w:asciiTheme="majorBidi" w:hAnsiTheme="majorBidi" w:cstheme="majorBidi"/>
                <w:lang w:bidi="ar-EG"/>
              </w:rPr>
              <w:t>Item 16</w:t>
            </w:r>
          </w:p>
        </w:tc>
      </w:tr>
      <w:tr w:rsidR="000437A2" w:rsidRPr="00BD3FA7" w14:paraId="582C1EA2" w14:textId="77777777" w:rsidTr="00880EA7">
        <w:tc>
          <w:tcPr>
            <w:tcW w:w="0" w:type="auto"/>
          </w:tcPr>
          <w:p w14:paraId="2C8944CC" w14:textId="77777777" w:rsidR="000437A2" w:rsidRPr="00BD3FA7" w:rsidRDefault="000437A2" w:rsidP="00880EA7">
            <w:pPr>
              <w:jc w:val="center"/>
            </w:pPr>
            <w:r w:rsidRPr="00BD3FA7">
              <w:t>.50</w:t>
            </w:r>
          </w:p>
        </w:tc>
        <w:tc>
          <w:tcPr>
            <w:tcW w:w="0" w:type="auto"/>
          </w:tcPr>
          <w:p w14:paraId="292119CE" w14:textId="77777777" w:rsidR="000437A2" w:rsidRPr="00BD3FA7" w:rsidRDefault="000437A2" w:rsidP="00880EA7">
            <w:pPr>
              <w:jc w:val="center"/>
            </w:pPr>
            <w:r w:rsidRPr="00BD3FA7">
              <w:t>.61</w:t>
            </w:r>
          </w:p>
        </w:tc>
        <w:tc>
          <w:tcPr>
            <w:tcW w:w="0" w:type="auto"/>
          </w:tcPr>
          <w:p w14:paraId="75E7C98D" w14:textId="77777777" w:rsidR="000437A2" w:rsidRPr="00BD3FA7" w:rsidRDefault="000437A2" w:rsidP="00880EA7">
            <w:pPr>
              <w:jc w:val="center"/>
            </w:pPr>
            <w:r w:rsidRPr="00BD3FA7">
              <w:rPr>
                <w:rFonts w:asciiTheme="majorBidi" w:hAnsiTheme="majorBidi" w:cstheme="majorBidi"/>
                <w:lang w:bidi="ar-EG"/>
              </w:rPr>
              <w:t>Item 17</w:t>
            </w:r>
          </w:p>
        </w:tc>
      </w:tr>
      <w:tr w:rsidR="000437A2" w:rsidRPr="00BD3FA7" w14:paraId="6DEA5A83" w14:textId="77777777" w:rsidTr="00880EA7">
        <w:tc>
          <w:tcPr>
            <w:tcW w:w="0" w:type="auto"/>
          </w:tcPr>
          <w:p w14:paraId="2FA002CC" w14:textId="77777777" w:rsidR="000437A2" w:rsidRPr="00BD3FA7" w:rsidRDefault="000437A2" w:rsidP="00880EA7">
            <w:pPr>
              <w:jc w:val="center"/>
            </w:pPr>
            <w:r w:rsidRPr="00BD3FA7">
              <w:t>.50</w:t>
            </w:r>
          </w:p>
        </w:tc>
        <w:tc>
          <w:tcPr>
            <w:tcW w:w="0" w:type="auto"/>
          </w:tcPr>
          <w:p w14:paraId="28980CB3" w14:textId="77777777" w:rsidR="000437A2" w:rsidRPr="00BD3FA7" w:rsidRDefault="000437A2" w:rsidP="00880EA7">
            <w:pPr>
              <w:jc w:val="center"/>
            </w:pPr>
            <w:r w:rsidRPr="00BD3FA7">
              <w:t>.60</w:t>
            </w:r>
          </w:p>
        </w:tc>
        <w:tc>
          <w:tcPr>
            <w:tcW w:w="0" w:type="auto"/>
          </w:tcPr>
          <w:p w14:paraId="6C2BF888" w14:textId="77777777" w:rsidR="000437A2" w:rsidRPr="00BD3FA7" w:rsidRDefault="000437A2" w:rsidP="00880EA7">
            <w:pPr>
              <w:jc w:val="center"/>
            </w:pPr>
            <w:r w:rsidRPr="00BD3FA7">
              <w:rPr>
                <w:rFonts w:asciiTheme="majorBidi" w:hAnsiTheme="majorBidi" w:cstheme="majorBidi"/>
                <w:lang w:bidi="ar-EG"/>
              </w:rPr>
              <w:t>Item 18</w:t>
            </w:r>
          </w:p>
        </w:tc>
      </w:tr>
      <w:tr w:rsidR="000437A2" w:rsidRPr="00BD3FA7" w14:paraId="5DA4575E" w14:textId="77777777" w:rsidTr="00880EA7">
        <w:tc>
          <w:tcPr>
            <w:tcW w:w="0" w:type="auto"/>
            <w:gridSpan w:val="2"/>
          </w:tcPr>
          <w:p w14:paraId="529F3D03" w14:textId="77777777" w:rsidR="000437A2" w:rsidRPr="00BD3FA7" w:rsidRDefault="000437A2" w:rsidP="00880EA7">
            <w:pPr>
              <w:jc w:val="center"/>
              <w:rPr>
                <w:rFonts w:asciiTheme="majorBidi" w:hAnsiTheme="majorBidi" w:cstheme="majorBidi"/>
                <w:rtl/>
                <w:lang w:bidi="ar-EG"/>
              </w:rPr>
            </w:pPr>
            <w:r w:rsidRPr="00BD3FA7">
              <w:rPr>
                <w:rFonts w:asciiTheme="majorBidi" w:hAnsiTheme="majorBidi"/>
                <w:lang w:bidi="ar-EG"/>
              </w:rPr>
              <w:t>9.28</w:t>
            </w:r>
          </w:p>
        </w:tc>
        <w:tc>
          <w:tcPr>
            <w:tcW w:w="0" w:type="auto"/>
          </w:tcPr>
          <w:p w14:paraId="41F48BCF" w14:textId="77777777" w:rsidR="000437A2" w:rsidRPr="00BD3FA7" w:rsidRDefault="000437A2" w:rsidP="00880EA7">
            <w:pPr>
              <w:jc w:val="center"/>
              <w:rPr>
                <w:rFonts w:asciiTheme="majorBidi" w:hAnsiTheme="majorBidi" w:cstheme="majorBidi"/>
                <w:lang w:bidi="ar-EG"/>
              </w:rPr>
            </w:pPr>
            <w:r w:rsidRPr="00BD3FA7">
              <w:rPr>
                <w:rFonts w:asciiTheme="majorBidi" w:hAnsiTheme="majorBidi" w:cstheme="majorBidi"/>
                <w:lang w:bidi="ar-EG"/>
              </w:rPr>
              <w:t>Total</w:t>
            </w:r>
          </w:p>
        </w:tc>
      </w:tr>
      <w:tr w:rsidR="000437A2" w:rsidRPr="00BD3FA7" w14:paraId="6890FFBF" w14:textId="77777777" w:rsidTr="00880EA7">
        <w:tc>
          <w:tcPr>
            <w:tcW w:w="0" w:type="auto"/>
            <w:gridSpan w:val="2"/>
          </w:tcPr>
          <w:p w14:paraId="04B8A2D2" w14:textId="77777777" w:rsidR="000437A2" w:rsidRPr="00BD3FA7" w:rsidRDefault="000437A2" w:rsidP="00880EA7">
            <w:pPr>
              <w:jc w:val="center"/>
              <w:rPr>
                <w:rFonts w:asciiTheme="majorBidi" w:hAnsiTheme="majorBidi" w:cstheme="majorBidi"/>
                <w:rtl/>
                <w:lang w:bidi="ar-EG"/>
              </w:rPr>
            </w:pPr>
            <w:r w:rsidRPr="00BD3FA7">
              <w:rPr>
                <w:rFonts w:asciiTheme="majorBidi" w:hAnsiTheme="majorBidi"/>
                <w:lang w:bidi="ar-EG"/>
              </w:rPr>
              <w:t>51.60</w:t>
            </w:r>
          </w:p>
        </w:tc>
        <w:tc>
          <w:tcPr>
            <w:tcW w:w="0" w:type="auto"/>
          </w:tcPr>
          <w:p w14:paraId="3A4AF475" w14:textId="77777777" w:rsidR="000437A2" w:rsidRPr="00BD3FA7" w:rsidRDefault="000437A2" w:rsidP="00880EA7">
            <w:pPr>
              <w:keepNext/>
              <w:jc w:val="center"/>
              <w:rPr>
                <w:rFonts w:asciiTheme="majorBidi" w:hAnsiTheme="majorBidi" w:cstheme="majorBidi"/>
                <w:rtl/>
                <w:lang w:bidi="ar-EG"/>
              </w:rPr>
            </w:pPr>
            <w:r w:rsidRPr="00BD3FA7">
              <w:rPr>
                <w:rFonts w:asciiTheme="majorBidi" w:hAnsiTheme="majorBidi"/>
                <w:rtl/>
                <w:lang w:bidi="ar-EG"/>
              </w:rPr>
              <w:t xml:space="preserve">% </w:t>
            </w:r>
            <w:r w:rsidRPr="00BD3FA7">
              <w:rPr>
                <w:rFonts w:asciiTheme="majorBidi" w:hAnsiTheme="majorBidi" w:cstheme="majorBidi"/>
                <w:lang w:bidi="ar-EG"/>
              </w:rPr>
              <w:t>Variance</w:t>
            </w:r>
          </w:p>
        </w:tc>
      </w:tr>
    </w:tbl>
    <w:p w14:paraId="1DB03B06"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CD51998"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66438979"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7FDDC12"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70F074B4"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53BA193F"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25676978"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B45E36F"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332CDB4"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F0A2498"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632AA984"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76B62609"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4DE157D"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6EB3DBF"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59AC79FD"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8D0C231"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BB69F21"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780379D8"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386650E6"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83A6417"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31EACB6"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AD47A3D"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546251E0"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5AEBD571"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24682C70"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4B7D9D1A"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2D00D52C"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3FED3F3"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3215D863"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B1B0FE8"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283DE4C4"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697DF07E"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F8001F2"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0CD7512C"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3B51B790" w14:textId="77777777" w:rsidR="000437A2" w:rsidRPr="009A1DE5" w:rsidRDefault="000437A2" w:rsidP="000437A2">
      <w:pPr>
        <w:pStyle w:val="Caption"/>
        <w:framePr w:hSpace="180" w:wrap="around" w:vAnchor="page" w:hAnchor="page" w:x="1724" w:y="13298"/>
        <w:rPr>
          <w:color w:val="000000" w:themeColor="text1"/>
        </w:rPr>
      </w:pPr>
      <w:r w:rsidRPr="009A1DE5">
        <w:rPr>
          <w:color w:val="000000" w:themeColor="text1"/>
        </w:rPr>
        <w:t>Exploratory Factor Analysis (EFA) results for the Cyberbullying Scale, showing factor loadings, extraction values, and the total variance explained (51.60%) by the construct.</w:t>
      </w:r>
    </w:p>
    <w:p w14:paraId="48FBDA17"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lang w:bidi="ar-EG"/>
        </w:rPr>
      </w:pPr>
    </w:p>
    <w:p w14:paraId="1E81D7AE" w14:textId="77777777" w:rsidR="00D44075" w:rsidRDefault="00D44075" w:rsidP="000437A2">
      <w:pPr>
        <w:spacing w:before="240" w:after="240" w:line="240" w:lineRule="auto"/>
        <w:ind w:left="360"/>
        <w:jc w:val="both"/>
        <w:rPr>
          <w:sz w:val="20"/>
          <w:szCs w:val="20"/>
        </w:rPr>
      </w:pPr>
    </w:p>
    <w:p w14:paraId="72005219" w14:textId="77777777" w:rsidR="00D44075" w:rsidRDefault="00D44075" w:rsidP="000437A2">
      <w:pPr>
        <w:spacing w:before="240" w:after="240" w:line="240" w:lineRule="auto"/>
        <w:ind w:left="360"/>
        <w:jc w:val="both"/>
        <w:rPr>
          <w:sz w:val="20"/>
          <w:szCs w:val="20"/>
        </w:rPr>
      </w:pPr>
    </w:p>
    <w:p w14:paraId="58B08E82" w14:textId="77777777" w:rsidR="00D44075" w:rsidRDefault="00D44075" w:rsidP="000437A2">
      <w:pPr>
        <w:spacing w:before="240" w:after="240" w:line="240" w:lineRule="auto"/>
        <w:ind w:left="360"/>
        <w:jc w:val="both"/>
        <w:rPr>
          <w:sz w:val="20"/>
          <w:szCs w:val="20"/>
        </w:rPr>
      </w:pPr>
    </w:p>
    <w:p w14:paraId="30F2D090" w14:textId="77777777" w:rsidR="00D44075" w:rsidRDefault="00D44075" w:rsidP="000437A2">
      <w:pPr>
        <w:spacing w:before="240" w:after="240" w:line="240" w:lineRule="auto"/>
        <w:ind w:left="360"/>
        <w:jc w:val="both"/>
        <w:rPr>
          <w:sz w:val="20"/>
          <w:szCs w:val="20"/>
        </w:rPr>
      </w:pPr>
    </w:p>
    <w:p w14:paraId="00EA88D7" w14:textId="0857F230" w:rsidR="000437A2" w:rsidRPr="00BD3FA7" w:rsidRDefault="000437A2" w:rsidP="000437A2">
      <w:pPr>
        <w:spacing w:before="240" w:after="240" w:line="240" w:lineRule="auto"/>
        <w:ind w:left="360"/>
        <w:jc w:val="both"/>
        <w:rPr>
          <w:sz w:val="20"/>
          <w:szCs w:val="20"/>
        </w:rPr>
      </w:pPr>
      <w:r w:rsidRPr="00BD3FA7">
        <w:rPr>
          <w:sz w:val="20"/>
          <w:szCs w:val="20"/>
        </w:rPr>
        <w:lastRenderedPageBreak/>
        <w:t>Appendix B</w:t>
      </w:r>
    </w:p>
    <w:p w14:paraId="40904379" w14:textId="77777777" w:rsidR="000437A2" w:rsidRPr="00BD3FA7" w:rsidRDefault="000437A2" w:rsidP="000437A2">
      <w:pPr>
        <w:spacing w:before="240" w:after="240" w:line="240" w:lineRule="auto"/>
        <w:ind w:left="360"/>
        <w:jc w:val="both"/>
        <w:rPr>
          <w:sz w:val="20"/>
          <w:szCs w:val="20"/>
        </w:rPr>
      </w:pPr>
      <w:r w:rsidRPr="00BD3FA7">
        <w:rPr>
          <w:sz w:val="20"/>
          <w:szCs w:val="20"/>
        </w:rPr>
        <w:t>Table 8. Mean and Std. Deviation of Key Variables Across Assiut Provinces.</w:t>
      </w:r>
    </w:p>
    <w:p w14:paraId="7979489B" w14:textId="77777777" w:rsidR="000437A2" w:rsidRPr="00BD3FA7" w:rsidRDefault="000437A2" w:rsidP="000437A2">
      <w:pPr>
        <w:tabs>
          <w:tab w:val="left" w:pos="651"/>
        </w:tabs>
        <w:spacing w:line="240" w:lineRule="auto"/>
        <w:jc w:val="center"/>
        <w:rPr>
          <w:rFonts w:asciiTheme="majorBidi" w:eastAsia="Calibri" w:hAnsiTheme="majorBidi" w:cstheme="majorBidi"/>
          <w:sz w:val="28"/>
          <w:szCs w:val="28"/>
          <w:rtl/>
          <w:lang w:bidi="ar-EG"/>
        </w:rPr>
      </w:pPr>
    </w:p>
    <w:tbl>
      <w:tblPr>
        <w:tblpPr w:leftFromText="180" w:rightFromText="180" w:vertAnchor="page" w:horzAnchor="margin" w:tblpXSpec="center" w:tblpY="2129"/>
        <w:bidiVisual/>
        <w:tblW w:w="7556" w:type="dxa"/>
        <w:tblBorders>
          <w:top w:val="single" w:sz="4" w:space="0" w:color="000000"/>
          <w:bottom w:val="single" w:sz="4" w:space="0" w:color="000000"/>
        </w:tblBorders>
        <w:tblLayout w:type="fixed"/>
        <w:tblLook w:val="0400" w:firstRow="0" w:lastRow="0" w:firstColumn="0" w:lastColumn="0" w:noHBand="0" w:noVBand="1"/>
      </w:tblPr>
      <w:tblGrid>
        <w:gridCol w:w="1890"/>
        <w:gridCol w:w="1350"/>
        <w:gridCol w:w="2157"/>
        <w:gridCol w:w="2159"/>
      </w:tblGrid>
      <w:tr w:rsidR="000437A2" w:rsidRPr="00BD3FA7" w14:paraId="0142A811" w14:textId="77777777" w:rsidTr="00880EA7">
        <w:trPr>
          <w:cantSplit/>
          <w:tblHeader/>
        </w:trPr>
        <w:tc>
          <w:tcPr>
            <w:tcW w:w="1890" w:type="dxa"/>
          </w:tcPr>
          <w:p w14:paraId="3CE34AD6" w14:textId="77777777" w:rsidR="000437A2" w:rsidRPr="009A1DE5" w:rsidRDefault="000437A2" w:rsidP="00880EA7">
            <w:pPr>
              <w:pStyle w:val="Normal1"/>
              <w:bidi/>
              <w:jc w:val="center"/>
              <w:rPr>
                <w:rFonts w:asciiTheme="majorBidi" w:eastAsia="Times New Roman" w:hAnsiTheme="majorBidi" w:cstheme="majorBidi"/>
                <w:b/>
                <w:bCs/>
                <w:sz w:val="18"/>
                <w:szCs w:val="18"/>
                <w:lang w:val="en-US"/>
              </w:rPr>
            </w:pPr>
            <w:r w:rsidRPr="009A1DE5">
              <w:rPr>
                <w:rFonts w:asciiTheme="majorBidi" w:eastAsia="Times New Roman" w:hAnsiTheme="majorBidi" w:cstheme="majorBidi"/>
                <w:b/>
                <w:bCs/>
                <w:sz w:val="18"/>
                <w:szCs w:val="18"/>
                <w:lang w:val="en-US"/>
              </w:rPr>
              <w:t>Std. Deviation</w:t>
            </w:r>
          </w:p>
        </w:tc>
        <w:tc>
          <w:tcPr>
            <w:tcW w:w="1350" w:type="dxa"/>
          </w:tcPr>
          <w:p w14:paraId="76BAB633" w14:textId="77777777" w:rsidR="000437A2" w:rsidRPr="009A1DE5" w:rsidRDefault="000437A2" w:rsidP="00880EA7">
            <w:pPr>
              <w:pStyle w:val="Normal1"/>
              <w:bidi/>
              <w:jc w:val="center"/>
              <w:rPr>
                <w:rFonts w:asciiTheme="majorBidi" w:eastAsia="Times New Roman" w:hAnsiTheme="majorBidi" w:cstheme="majorBidi"/>
                <w:b/>
                <w:bCs/>
                <w:sz w:val="18"/>
                <w:szCs w:val="18"/>
                <w:lang w:val="en-US"/>
              </w:rPr>
            </w:pPr>
            <w:r w:rsidRPr="009A1DE5">
              <w:rPr>
                <w:rFonts w:asciiTheme="majorBidi" w:eastAsia="Times New Roman" w:hAnsiTheme="majorBidi" w:cstheme="majorBidi"/>
                <w:b/>
                <w:bCs/>
                <w:sz w:val="18"/>
                <w:szCs w:val="18"/>
                <w:lang w:val="en-US"/>
              </w:rPr>
              <w:t>Mean</w:t>
            </w:r>
          </w:p>
        </w:tc>
        <w:tc>
          <w:tcPr>
            <w:tcW w:w="2157" w:type="dxa"/>
          </w:tcPr>
          <w:p w14:paraId="73ECC726" w14:textId="77777777" w:rsidR="000437A2" w:rsidRPr="009A1DE5" w:rsidRDefault="000437A2" w:rsidP="00880EA7">
            <w:pPr>
              <w:pStyle w:val="Normal1"/>
              <w:bidi/>
              <w:jc w:val="center"/>
              <w:rPr>
                <w:rFonts w:asciiTheme="majorBidi" w:eastAsia="Times New Roman" w:hAnsiTheme="majorBidi" w:cstheme="majorBidi"/>
                <w:b/>
                <w:bCs/>
                <w:sz w:val="18"/>
                <w:szCs w:val="18"/>
                <w:lang w:val="en-US"/>
              </w:rPr>
            </w:pPr>
            <w:r w:rsidRPr="009A1DE5">
              <w:rPr>
                <w:rFonts w:asciiTheme="majorBidi" w:eastAsia="Times New Roman" w:hAnsiTheme="majorBidi" w:cstheme="majorBidi"/>
                <w:b/>
                <w:bCs/>
                <w:sz w:val="18"/>
                <w:szCs w:val="18"/>
                <w:lang w:val="en-US"/>
              </w:rPr>
              <w:t>Variable</w:t>
            </w:r>
          </w:p>
        </w:tc>
        <w:tc>
          <w:tcPr>
            <w:tcW w:w="2159" w:type="dxa"/>
          </w:tcPr>
          <w:p w14:paraId="5DA0EA2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p>
        </w:tc>
      </w:tr>
      <w:tr w:rsidR="000437A2" w:rsidRPr="00BD3FA7" w14:paraId="0CC2967B" w14:textId="77777777" w:rsidTr="00880EA7">
        <w:trPr>
          <w:cantSplit/>
          <w:tblHeader/>
        </w:trPr>
        <w:tc>
          <w:tcPr>
            <w:tcW w:w="1890" w:type="dxa"/>
            <w:vAlign w:val="center"/>
          </w:tcPr>
          <w:p w14:paraId="753650D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9.10</w:t>
            </w:r>
          </w:p>
        </w:tc>
        <w:tc>
          <w:tcPr>
            <w:tcW w:w="1350" w:type="dxa"/>
            <w:vAlign w:val="center"/>
          </w:tcPr>
          <w:p w14:paraId="3FC9336F"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22.44</w:t>
            </w:r>
          </w:p>
        </w:tc>
        <w:tc>
          <w:tcPr>
            <w:tcW w:w="2157" w:type="dxa"/>
          </w:tcPr>
          <w:p w14:paraId="24C7062A"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02442EC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Abanoub</w:t>
            </w:r>
          </w:p>
        </w:tc>
      </w:tr>
      <w:tr w:rsidR="000437A2" w:rsidRPr="00BD3FA7" w14:paraId="0393DC3D" w14:textId="77777777" w:rsidTr="00880EA7">
        <w:trPr>
          <w:cantSplit/>
          <w:tblHeader/>
        </w:trPr>
        <w:tc>
          <w:tcPr>
            <w:tcW w:w="1890" w:type="dxa"/>
            <w:vAlign w:val="center"/>
          </w:tcPr>
          <w:p w14:paraId="2013A389"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6.93</w:t>
            </w:r>
          </w:p>
        </w:tc>
        <w:tc>
          <w:tcPr>
            <w:tcW w:w="1350" w:type="dxa"/>
            <w:vAlign w:val="center"/>
          </w:tcPr>
          <w:p w14:paraId="2C7587B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15.45</w:t>
            </w:r>
          </w:p>
        </w:tc>
        <w:tc>
          <w:tcPr>
            <w:tcW w:w="2157" w:type="dxa"/>
          </w:tcPr>
          <w:p w14:paraId="33E54B7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7E8D08B4"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7F002A98" w14:textId="77777777" w:rsidTr="00880EA7">
        <w:trPr>
          <w:cantSplit/>
          <w:tblHeader/>
        </w:trPr>
        <w:tc>
          <w:tcPr>
            <w:tcW w:w="1890" w:type="dxa"/>
            <w:vAlign w:val="center"/>
          </w:tcPr>
          <w:p w14:paraId="5A74CF2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5.98</w:t>
            </w:r>
          </w:p>
        </w:tc>
        <w:tc>
          <w:tcPr>
            <w:tcW w:w="1350" w:type="dxa"/>
            <w:vAlign w:val="center"/>
          </w:tcPr>
          <w:p w14:paraId="4E3CC1F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13.48</w:t>
            </w:r>
          </w:p>
        </w:tc>
        <w:tc>
          <w:tcPr>
            <w:tcW w:w="2157" w:type="dxa"/>
          </w:tcPr>
          <w:p w14:paraId="0BEA3205"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328DA503"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2CCA6439" w14:textId="77777777" w:rsidTr="00880EA7">
        <w:trPr>
          <w:cantSplit/>
          <w:tblHeader/>
        </w:trPr>
        <w:tc>
          <w:tcPr>
            <w:tcW w:w="1890" w:type="dxa"/>
            <w:vAlign w:val="center"/>
          </w:tcPr>
          <w:p w14:paraId="446F068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4.66</w:t>
            </w:r>
          </w:p>
        </w:tc>
        <w:tc>
          <w:tcPr>
            <w:tcW w:w="1350" w:type="dxa"/>
            <w:vAlign w:val="center"/>
          </w:tcPr>
          <w:p w14:paraId="72592AF2"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17.30</w:t>
            </w:r>
          </w:p>
        </w:tc>
        <w:tc>
          <w:tcPr>
            <w:tcW w:w="2157" w:type="dxa"/>
          </w:tcPr>
          <w:p w14:paraId="61D18CEF" w14:textId="77777777" w:rsidR="000437A2" w:rsidRPr="009A1DE5" w:rsidRDefault="000437A2" w:rsidP="00880EA7">
            <w:pPr>
              <w:pStyle w:val="Normal1"/>
              <w:bidi/>
              <w:jc w:val="center"/>
              <w:rPr>
                <w:rFonts w:asciiTheme="majorBidi" w:eastAsia="Times New Roman" w:hAnsiTheme="majorBidi" w:cstheme="majorBidi"/>
                <w:sz w:val="18"/>
                <w:szCs w:val="18"/>
                <w:rtl/>
                <w:lang w:val="en-US" w:bidi="ar-EG"/>
              </w:rPr>
            </w:pPr>
            <w:r w:rsidRPr="009A1DE5">
              <w:rPr>
                <w:rFonts w:asciiTheme="majorBidi" w:eastAsia="Times New Roman" w:hAnsiTheme="majorBidi" w:cstheme="majorBidi"/>
                <w:sz w:val="18"/>
                <w:szCs w:val="18"/>
                <w:lang w:val="en-US"/>
              </w:rPr>
              <w:t>Self- Esteem</w:t>
            </w:r>
          </w:p>
        </w:tc>
        <w:tc>
          <w:tcPr>
            <w:tcW w:w="2159" w:type="dxa"/>
            <w:vMerge/>
          </w:tcPr>
          <w:p w14:paraId="3F1892F4"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A3F682F" w14:textId="77777777" w:rsidTr="00880EA7">
        <w:trPr>
          <w:cantSplit/>
          <w:tblHeader/>
        </w:trPr>
        <w:tc>
          <w:tcPr>
            <w:tcW w:w="1890" w:type="dxa"/>
            <w:vAlign w:val="center"/>
          </w:tcPr>
          <w:p w14:paraId="6B73A06B"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11.63</w:t>
            </w:r>
          </w:p>
        </w:tc>
        <w:tc>
          <w:tcPr>
            <w:tcW w:w="1350" w:type="dxa"/>
            <w:vAlign w:val="center"/>
          </w:tcPr>
          <w:p w14:paraId="4DDE0E2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23.50</w:t>
            </w:r>
          </w:p>
        </w:tc>
        <w:tc>
          <w:tcPr>
            <w:tcW w:w="2157" w:type="dxa"/>
          </w:tcPr>
          <w:p w14:paraId="5AD29E0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5D04550B"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Abu Tig</w:t>
            </w:r>
          </w:p>
        </w:tc>
      </w:tr>
      <w:tr w:rsidR="000437A2" w:rsidRPr="00BD3FA7" w14:paraId="43BF5FF4" w14:textId="77777777" w:rsidTr="00880EA7">
        <w:trPr>
          <w:cantSplit/>
          <w:tblHeader/>
        </w:trPr>
        <w:tc>
          <w:tcPr>
            <w:tcW w:w="1890" w:type="dxa"/>
            <w:vAlign w:val="center"/>
          </w:tcPr>
          <w:p w14:paraId="3D8C76B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6.86</w:t>
            </w:r>
          </w:p>
        </w:tc>
        <w:tc>
          <w:tcPr>
            <w:tcW w:w="1350" w:type="dxa"/>
            <w:vAlign w:val="center"/>
          </w:tcPr>
          <w:p w14:paraId="50B41C2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15.22</w:t>
            </w:r>
          </w:p>
        </w:tc>
        <w:tc>
          <w:tcPr>
            <w:tcW w:w="2157" w:type="dxa"/>
          </w:tcPr>
          <w:p w14:paraId="28AA03A7"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1D5AE993"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4453737" w14:textId="77777777" w:rsidTr="00880EA7">
        <w:trPr>
          <w:cantSplit/>
          <w:tblHeader/>
        </w:trPr>
        <w:tc>
          <w:tcPr>
            <w:tcW w:w="1890" w:type="dxa"/>
            <w:vAlign w:val="center"/>
          </w:tcPr>
          <w:p w14:paraId="1FD0EC4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6.19</w:t>
            </w:r>
          </w:p>
        </w:tc>
        <w:tc>
          <w:tcPr>
            <w:tcW w:w="1350" w:type="dxa"/>
            <w:vAlign w:val="center"/>
          </w:tcPr>
          <w:p w14:paraId="2D055B6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13.66</w:t>
            </w:r>
          </w:p>
        </w:tc>
        <w:tc>
          <w:tcPr>
            <w:tcW w:w="2157" w:type="dxa"/>
          </w:tcPr>
          <w:p w14:paraId="4191333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7A65F3C1"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4090617F" w14:textId="77777777" w:rsidTr="00880EA7">
        <w:trPr>
          <w:cantSplit/>
          <w:tblHeader/>
        </w:trPr>
        <w:tc>
          <w:tcPr>
            <w:tcW w:w="1890" w:type="dxa"/>
            <w:vAlign w:val="center"/>
          </w:tcPr>
          <w:p w14:paraId="5E63F572"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5.15</w:t>
            </w:r>
          </w:p>
        </w:tc>
        <w:tc>
          <w:tcPr>
            <w:tcW w:w="1350" w:type="dxa"/>
            <w:vAlign w:val="center"/>
          </w:tcPr>
          <w:p w14:paraId="3BCC06A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17.20</w:t>
            </w:r>
          </w:p>
        </w:tc>
        <w:tc>
          <w:tcPr>
            <w:tcW w:w="2157" w:type="dxa"/>
          </w:tcPr>
          <w:p w14:paraId="1D28389E"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2B10DA38"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646384BE" w14:textId="77777777" w:rsidTr="00880EA7">
        <w:trPr>
          <w:cantSplit/>
          <w:tblHeader/>
        </w:trPr>
        <w:tc>
          <w:tcPr>
            <w:tcW w:w="1890" w:type="dxa"/>
            <w:vAlign w:val="center"/>
          </w:tcPr>
          <w:p w14:paraId="7DF92617"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8.23</w:t>
            </w:r>
          </w:p>
        </w:tc>
        <w:tc>
          <w:tcPr>
            <w:tcW w:w="1350" w:type="dxa"/>
            <w:vAlign w:val="center"/>
          </w:tcPr>
          <w:p w14:paraId="5A374234"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21.86</w:t>
            </w:r>
          </w:p>
        </w:tc>
        <w:tc>
          <w:tcPr>
            <w:tcW w:w="2157" w:type="dxa"/>
          </w:tcPr>
          <w:p w14:paraId="14F3BCDB"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65A0C99D"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 xml:space="preserve">El </w:t>
            </w:r>
            <w:proofErr w:type="spellStart"/>
            <w:r w:rsidRPr="009A1DE5">
              <w:rPr>
                <w:rFonts w:asciiTheme="majorBidi" w:eastAsia="Times New Roman" w:hAnsiTheme="majorBidi" w:cstheme="majorBidi"/>
                <w:sz w:val="18"/>
                <w:szCs w:val="18"/>
                <w:lang w:val="en-US"/>
              </w:rPr>
              <w:t>Badary</w:t>
            </w:r>
            <w:proofErr w:type="spellEnd"/>
          </w:p>
        </w:tc>
      </w:tr>
      <w:tr w:rsidR="000437A2" w:rsidRPr="00BD3FA7" w14:paraId="6F0572D5" w14:textId="77777777" w:rsidTr="00880EA7">
        <w:trPr>
          <w:cantSplit/>
          <w:tblHeader/>
        </w:trPr>
        <w:tc>
          <w:tcPr>
            <w:tcW w:w="1890" w:type="dxa"/>
            <w:vAlign w:val="center"/>
          </w:tcPr>
          <w:p w14:paraId="58E85EC3"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7.18</w:t>
            </w:r>
          </w:p>
        </w:tc>
        <w:tc>
          <w:tcPr>
            <w:tcW w:w="1350" w:type="dxa"/>
            <w:vAlign w:val="center"/>
          </w:tcPr>
          <w:p w14:paraId="658854B3"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15.52</w:t>
            </w:r>
          </w:p>
        </w:tc>
        <w:tc>
          <w:tcPr>
            <w:tcW w:w="2157" w:type="dxa"/>
          </w:tcPr>
          <w:p w14:paraId="3A264C8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6A523699"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1A0B4273" w14:textId="77777777" w:rsidTr="00880EA7">
        <w:trPr>
          <w:cantSplit/>
          <w:tblHeader/>
        </w:trPr>
        <w:tc>
          <w:tcPr>
            <w:tcW w:w="1890" w:type="dxa"/>
            <w:vAlign w:val="center"/>
          </w:tcPr>
          <w:p w14:paraId="3F133AC2"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5.71</w:t>
            </w:r>
          </w:p>
        </w:tc>
        <w:tc>
          <w:tcPr>
            <w:tcW w:w="1350" w:type="dxa"/>
            <w:vAlign w:val="center"/>
          </w:tcPr>
          <w:p w14:paraId="5FC1F52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12.88</w:t>
            </w:r>
          </w:p>
        </w:tc>
        <w:tc>
          <w:tcPr>
            <w:tcW w:w="2157" w:type="dxa"/>
          </w:tcPr>
          <w:p w14:paraId="2EE78AE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03C790D1"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72838A07" w14:textId="77777777" w:rsidTr="00880EA7">
        <w:trPr>
          <w:cantSplit/>
          <w:tblHeader/>
        </w:trPr>
        <w:tc>
          <w:tcPr>
            <w:tcW w:w="1890" w:type="dxa"/>
            <w:vAlign w:val="center"/>
          </w:tcPr>
          <w:p w14:paraId="3D00E2C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4.75</w:t>
            </w:r>
          </w:p>
        </w:tc>
        <w:tc>
          <w:tcPr>
            <w:tcW w:w="1350" w:type="dxa"/>
            <w:vAlign w:val="center"/>
          </w:tcPr>
          <w:p w14:paraId="6609FF6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17.44</w:t>
            </w:r>
          </w:p>
        </w:tc>
        <w:tc>
          <w:tcPr>
            <w:tcW w:w="2157" w:type="dxa"/>
          </w:tcPr>
          <w:p w14:paraId="28981B5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6E5CA06E"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6FB0567C" w14:textId="77777777" w:rsidTr="00880EA7">
        <w:trPr>
          <w:cantSplit/>
          <w:tblHeader/>
        </w:trPr>
        <w:tc>
          <w:tcPr>
            <w:tcW w:w="1890" w:type="dxa"/>
            <w:vAlign w:val="center"/>
          </w:tcPr>
          <w:p w14:paraId="3B53284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10.20</w:t>
            </w:r>
          </w:p>
        </w:tc>
        <w:tc>
          <w:tcPr>
            <w:tcW w:w="1350" w:type="dxa"/>
            <w:vAlign w:val="center"/>
          </w:tcPr>
          <w:p w14:paraId="003DF242"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23.66</w:t>
            </w:r>
          </w:p>
        </w:tc>
        <w:tc>
          <w:tcPr>
            <w:tcW w:w="2157" w:type="dxa"/>
          </w:tcPr>
          <w:p w14:paraId="6383911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4962D5C9"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El-Ghanayem</w:t>
            </w:r>
          </w:p>
        </w:tc>
      </w:tr>
      <w:tr w:rsidR="000437A2" w:rsidRPr="00BD3FA7" w14:paraId="7E774316" w14:textId="77777777" w:rsidTr="00880EA7">
        <w:trPr>
          <w:cantSplit/>
          <w:tblHeader/>
        </w:trPr>
        <w:tc>
          <w:tcPr>
            <w:tcW w:w="1890" w:type="dxa"/>
            <w:vAlign w:val="center"/>
          </w:tcPr>
          <w:p w14:paraId="5AF2C469"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7.19</w:t>
            </w:r>
          </w:p>
        </w:tc>
        <w:tc>
          <w:tcPr>
            <w:tcW w:w="1350" w:type="dxa"/>
            <w:vAlign w:val="center"/>
          </w:tcPr>
          <w:p w14:paraId="2E65E99B"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15.71</w:t>
            </w:r>
          </w:p>
        </w:tc>
        <w:tc>
          <w:tcPr>
            <w:tcW w:w="2157" w:type="dxa"/>
          </w:tcPr>
          <w:p w14:paraId="16BFA3A5"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50F5BD98"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67868ACB" w14:textId="77777777" w:rsidTr="00880EA7">
        <w:trPr>
          <w:cantSplit/>
          <w:tblHeader/>
        </w:trPr>
        <w:tc>
          <w:tcPr>
            <w:tcW w:w="1890" w:type="dxa"/>
            <w:vAlign w:val="center"/>
          </w:tcPr>
          <w:p w14:paraId="40559F26"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6.54</w:t>
            </w:r>
          </w:p>
        </w:tc>
        <w:tc>
          <w:tcPr>
            <w:tcW w:w="1350" w:type="dxa"/>
            <w:vAlign w:val="center"/>
          </w:tcPr>
          <w:p w14:paraId="2FC74DE5"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13.58</w:t>
            </w:r>
          </w:p>
        </w:tc>
        <w:tc>
          <w:tcPr>
            <w:tcW w:w="2157" w:type="dxa"/>
          </w:tcPr>
          <w:p w14:paraId="0C0422E9"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15BBFA85"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37D5817" w14:textId="77777777" w:rsidTr="00880EA7">
        <w:trPr>
          <w:cantSplit/>
          <w:tblHeader/>
        </w:trPr>
        <w:tc>
          <w:tcPr>
            <w:tcW w:w="1890" w:type="dxa"/>
            <w:vAlign w:val="center"/>
          </w:tcPr>
          <w:p w14:paraId="2F877CB7"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4.39</w:t>
            </w:r>
          </w:p>
        </w:tc>
        <w:tc>
          <w:tcPr>
            <w:tcW w:w="1350" w:type="dxa"/>
            <w:vAlign w:val="center"/>
          </w:tcPr>
          <w:p w14:paraId="7BC852B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17.02</w:t>
            </w:r>
          </w:p>
        </w:tc>
        <w:tc>
          <w:tcPr>
            <w:tcW w:w="2157" w:type="dxa"/>
          </w:tcPr>
          <w:p w14:paraId="4F1944D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1771CACA"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4DE2F723" w14:textId="77777777" w:rsidTr="00880EA7">
        <w:trPr>
          <w:cantSplit/>
          <w:tblHeader/>
        </w:trPr>
        <w:tc>
          <w:tcPr>
            <w:tcW w:w="1890" w:type="dxa"/>
            <w:vAlign w:val="center"/>
          </w:tcPr>
          <w:p w14:paraId="7AA92060"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7.76</w:t>
            </w:r>
          </w:p>
        </w:tc>
        <w:tc>
          <w:tcPr>
            <w:tcW w:w="1350" w:type="dxa"/>
            <w:vAlign w:val="center"/>
          </w:tcPr>
          <w:p w14:paraId="454C01A7"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22.71</w:t>
            </w:r>
          </w:p>
        </w:tc>
        <w:tc>
          <w:tcPr>
            <w:tcW w:w="2157" w:type="dxa"/>
          </w:tcPr>
          <w:p w14:paraId="0FE84A66"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5D7ADFA7"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Pr>
                <w:rFonts w:asciiTheme="majorBidi" w:eastAsia="Times New Roman" w:hAnsiTheme="majorBidi" w:cstheme="majorBidi"/>
                <w:sz w:val="18"/>
                <w:szCs w:val="18"/>
                <w:lang w:val="en-US"/>
              </w:rPr>
              <w:t>El-Fath</w:t>
            </w:r>
          </w:p>
        </w:tc>
      </w:tr>
      <w:tr w:rsidR="000437A2" w:rsidRPr="00BD3FA7" w14:paraId="548085D8" w14:textId="77777777" w:rsidTr="00880EA7">
        <w:trPr>
          <w:cantSplit/>
          <w:tblHeader/>
        </w:trPr>
        <w:tc>
          <w:tcPr>
            <w:tcW w:w="1890" w:type="dxa"/>
            <w:vAlign w:val="center"/>
          </w:tcPr>
          <w:p w14:paraId="172FE205"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6.85</w:t>
            </w:r>
          </w:p>
        </w:tc>
        <w:tc>
          <w:tcPr>
            <w:tcW w:w="1350" w:type="dxa"/>
            <w:vAlign w:val="center"/>
          </w:tcPr>
          <w:p w14:paraId="22FE874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15.70</w:t>
            </w:r>
          </w:p>
        </w:tc>
        <w:tc>
          <w:tcPr>
            <w:tcW w:w="2157" w:type="dxa"/>
          </w:tcPr>
          <w:p w14:paraId="1999524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29F5C48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4E6418C4" w14:textId="77777777" w:rsidTr="00880EA7">
        <w:trPr>
          <w:cantSplit/>
          <w:tblHeader/>
        </w:trPr>
        <w:tc>
          <w:tcPr>
            <w:tcW w:w="1890" w:type="dxa"/>
            <w:vAlign w:val="center"/>
          </w:tcPr>
          <w:p w14:paraId="619B886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5.53</w:t>
            </w:r>
          </w:p>
        </w:tc>
        <w:tc>
          <w:tcPr>
            <w:tcW w:w="1350" w:type="dxa"/>
            <w:vAlign w:val="center"/>
          </w:tcPr>
          <w:p w14:paraId="26CCEEE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13.22</w:t>
            </w:r>
          </w:p>
        </w:tc>
        <w:tc>
          <w:tcPr>
            <w:tcW w:w="2157" w:type="dxa"/>
          </w:tcPr>
          <w:p w14:paraId="1EF6B837"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7A05DFB5"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5E1C5DB2" w14:textId="77777777" w:rsidTr="00880EA7">
        <w:trPr>
          <w:cantSplit/>
          <w:tblHeader/>
        </w:trPr>
        <w:tc>
          <w:tcPr>
            <w:tcW w:w="1890" w:type="dxa"/>
            <w:vAlign w:val="center"/>
          </w:tcPr>
          <w:p w14:paraId="7116F456"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4.52</w:t>
            </w:r>
          </w:p>
        </w:tc>
        <w:tc>
          <w:tcPr>
            <w:tcW w:w="1350" w:type="dxa"/>
            <w:vAlign w:val="center"/>
          </w:tcPr>
          <w:p w14:paraId="18A87EFB"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17.10</w:t>
            </w:r>
          </w:p>
        </w:tc>
        <w:tc>
          <w:tcPr>
            <w:tcW w:w="2157" w:type="dxa"/>
          </w:tcPr>
          <w:p w14:paraId="131C20DA"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3925117B"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5DC94A12" w14:textId="77777777" w:rsidTr="00880EA7">
        <w:trPr>
          <w:cantSplit/>
          <w:tblHeader/>
        </w:trPr>
        <w:tc>
          <w:tcPr>
            <w:tcW w:w="1890" w:type="dxa"/>
            <w:vAlign w:val="center"/>
          </w:tcPr>
          <w:p w14:paraId="0143507B"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9.09</w:t>
            </w:r>
          </w:p>
        </w:tc>
        <w:tc>
          <w:tcPr>
            <w:tcW w:w="1350" w:type="dxa"/>
            <w:vAlign w:val="center"/>
          </w:tcPr>
          <w:p w14:paraId="0E7337DB"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22.35</w:t>
            </w:r>
          </w:p>
        </w:tc>
        <w:tc>
          <w:tcPr>
            <w:tcW w:w="2157" w:type="dxa"/>
          </w:tcPr>
          <w:p w14:paraId="753296B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30CDAF42"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proofErr w:type="spellStart"/>
            <w:r w:rsidRPr="009A1DE5">
              <w:rPr>
                <w:rFonts w:asciiTheme="majorBidi" w:eastAsia="Times New Roman" w:hAnsiTheme="majorBidi" w:cstheme="majorBidi"/>
                <w:sz w:val="18"/>
                <w:szCs w:val="18"/>
                <w:lang w:val="en-US"/>
              </w:rPr>
              <w:t>Alquseyah</w:t>
            </w:r>
            <w:proofErr w:type="spellEnd"/>
          </w:p>
        </w:tc>
      </w:tr>
      <w:tr w:rsidR="000437A2" w:rsidRPr="00BD3FA7" w14:paraId="132FBCEB" w14:textId="77777777" w:rsidTr="00880EA7">
        <w:trPr>
          <w:cantSplit/>
          <w:tblHeader/>
        </w:trPr>
        <w:tc>
          <w:tcPr>
            <w:tcW w:w="1890" w:type="dxa"/>
            <w:vAlign w:val="center"/>
          </w:tcPr>
          <w:p w14:paraId="0E2B7F3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7.79</w:t>
            </w:r>
          </w:p>
        </w:tc>
        <w:tc>
          <w:tcPr>
            <w:tcW w:w="1350" w:type="dxa"/>
            <w:vAlign w:val="center"/>
          </w:tcPr>
          <w:p w14:paraId="35BD13D0"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15.95</w:t>
            </w:r>
          </w:p>
        </w:tc>
        <w:tc>
          <w:tcPr>
            <w:tcW w:w="2157" w:type="dxa"/>
          </w:tcPr>
          <w:p w14:paraId="31ADE56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7747A91D"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6F68903" w14:textId="77777777" w:rsidTr="00880EA7">
        <w:trPr>
          <w:cantSplit/>
          <w:tblHeader/>
        </w:trPr>
        <w:tc>
          <w:tcPr>
            <w:tcW w:w="1890" w:type="dxa"/>
            <w:vAlign w:val="center"/>
          </w:tcPr>
          <w:p w14:paraId="296F2EC2"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7.50</w:t>
            </w:r>
          </w:p>
        </w:tc>
        <w:tc>
          <w:tcPr>
            <w:tcW w:w="1350" w:type="dxa"/>
            <w:vAlign w:val="center"/>
          </w:tcPr>
          <w:p w14:paraId="29618279"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14.0845</w:t>
            </w:r>
          </w:p>
        </w:tc>
        <w:tc>
          <w:tcPr>
            <w:tcW w:w="2157" w:type="dxa"/>
          </w:tcPr>
          <w:p w14:paraId="1CD7261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04DBFFF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2055B14A" w14:textId="77777777" w:rsidTr="00880EA7">
        <w:trPr>
          <w:cantSplit/>
          <w:tblHeader/>
        </w:trPr>
        <w:tc>
          <w:tcPr>
            <w:tcW w:w="1890" w:type="dxa"/>
            <w:vAlign w:val="center"/>
          </w:tcPr>
          <w:p w14:paraId="3AF2DE0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4.91</w:t>
            </w:r>
          </w:p>
        </w:tc>
        <w:tc>
          <w:tcPr>
            <w:tcW w:w="1350" w:type="dxa"/>
            <w:vAlign w:val="center"/>
          </w:tcPr>
          <w:p w14:paraId="123BA2C2"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17.02</w:t>
            </w:r>
          </w:p>
        </w:tc>
        <w:tc>
          <w:tcPr>
            <w:tcW w:w="2157" w:type="dxa"/>
          </w:tcPr>
          <w:p w14:paraId="14DFB08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648368BB"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6D2CE06D" w14:textId="77777777" w:rsidTr="00880EA7">
        <w:trPr>
          <w:cantSplit/>
          <w:tblHeader/>
        </w:trPr>
        <w:tc>
          <w:tcPr>
            <w:tcW w:w="1890" w:type="dxa"/>
            <w:vAlign w:val="center"/>
          </w:tcPr>
          <w:p w14:paraId="127F382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13.18</w:t>
            </w:r>
          </w:p>
        </w:tc>
        <w:tc>
          <w:tcPr>
            <w:tcW w:w="1350" w:type="dxa"/>
            <w:vAlign w:val="center"/>
          </w:tcPr>
          <w:p w14:paraId="359AFD73"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27.62</w:t>
            </w:r>
          </w:p>
        </w:tc>
        <w:tc>
          <w:tcPr>
            <w:tcW w:w="2157" w:type="dxa"/>
          </w:tcPr>
          <w:p w14:paraId="15F9FC39"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324DC936"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proofErr w:type="spellStart"/>
            <w:r w:rsidRPr="009A1DE5">
              <w:rPr>
                <w:rFonts w:asciiTheme="majorBidi" w:eastAsia="Times New Roman" w:hAnsiTheme="majorBidi" w:cstheme="majorBidi"/>
                <w:sz w:val="18"/>
                <w:szCs w:val="18"/>
                <w:lang w:val="en-US"/>
              </w:rPr>
              <w:t>Dayrout</w:t>
            </w:r>
            <w:proofErr w:type="spellEnd"/>
          </w:p>
        </w:tc>
      </w:tr>
      <w:tr w:rsidR="000437A2" w:rsidRPr="00BD3FA7" w14:paraId="76559EDD" w14:textId="77777777" w:rsidTr="00880EA7">
        <w:trPr>
          <w:cantSplit/>
          <w:tblHeader/>
        </w:trPr>
        <w:tc>
          <w:tcPr>
            <w:tcW w:w="1890" w:type="dxa"/>
            <w:vAlign w:val="center"/>
          </w:tcPr>
          <w:p w14:paraId="6DAA9E32"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6.79</w:t>
            </w:r>
          </w:p>
        </w:tc>
        <w:tc>
          <w:tcPr>
            <w:tcW w:w="1350" w:type="dxa"/>
            <w:vAlign w:val="center"/>
          </w:tcPr>
          <w:p w14:paraId="4583D3E2"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14.91</w:t>
            </w:r>
          </w:p>
        </w:tc>
        <w:tc>
          <w:tcPr>
            <w:tcW w:w="2157" w:type="dxa"/>
          </w:tcPr>
          <w:p w14:paraId="6D64585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3D9E209B"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27FA0B2A" w14:textId="77777777" w:rsidTr="00880EA7">
        <w:trPr>
          <w:cantSplit/>
          <w:tblHeader/>
        </w:trPr>
        <w:tc>
          <w:tcPr>
            <w:tcW w:w="1890" w:type="dxa"/>
            <w:vAlign w:val="center"/>
          </w:tcPr>
          <w:p w14:paraId="4DBC8C34"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5.76</w:t>
            </w:r>
          </w:p>
        </w:tc>
        <w:tc>
          <w:tcPr>
            <w:tcW w:w="1350" w:type="dxa"/>
            <w:vAlign w:val="center"/>
          </w:tcPr>
          <w:p w14:paraId="555B93E9"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12.69</w:t>
            </w:r>
          </w:p>
        </w:tc>
        <w:tc>
          <w:tcPr>
            <w:tcW w:w="2157" w:type="dxa"/>
          </w:tcPr>
          <w:p w14:paraId="35463680"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61A592B5"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14202E26" w14:textId="77777777" w:rsidTr="00880EA7">
        <w:trPr>
          <w:cantSplit/>
          <w:tblHeader/>
        </w:trPr>
        <w:tc>
          <w:tcPr>
            <w:tcW w:w="1890" w:type="dxa"/>
            <w:vAlign w:val="center"/>
          </w:tcPr>
          <w:p w14:paraId="3E8B02D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4.55</w:t>
            </w:r>
          </w:p>
        </w:tc>
        <w:tc>
          <w:tcPr>
            <w:tcW w:w="1350" w:type="dxa"/>
            <w:vAlign w:val="center"/>
          </w:tcPr>
          <w:p w14:paraId="75F85E2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16.63</w:t>
            </w:r>
          </w:p>
        </w:tc>
        <w:tc>
          <w:tcPr>
            <w:tcW w:w="2157" w:type="dxa"/>
          </w:tcPr>
          <w:p w14:paraId="5441B20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77585E2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502EE9F4" w14:textId="77777777" w:rsidTr="00880EA7">
        <w:trPr>
          <w:cantSplit/>
          <w:tblHeader/>
        </w:trPr>
        <w:tc>
          <w:tcPr>
            <w:tcW w:w="1890" w:type="dxa"/>
            <w:vAlign w:val="center"/>
          </w:tcPr>
          <w:p w14:paraId="31971B95"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13.74</w:t>
            </w:r>
          </w:p>
        </w:tc>
        <w:tc>
          <w:tcPr>
            <w:tcW w:w="1350" w:type="dxa"/>
            <w:vAlign w:val="center"/>
          </w:tcPr>
          <w:p w14:paraId="0D09EA50"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26.06</w:t>
            </w:r>
          </w:p>
        </w:tc>
        <w:tc>
          <w:tcPr>
            <w:tcW w:w="2157" w:type="dxa"/>
          </w:tcPr>
          <w:p w14:paraId="506EC7F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44FA44D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Sahel Seleem</w:t>
            </w:r>
          </w:p>
        </w:tc>
      </w:tr>
      <w:tr w:rsidR="000437A2" w:rsidRPr="00BD3FA7" w14:paraId="56A098BC" w14:textId="77777777" w:rsidTr="00880EA7">
        <w:trPr>
          <w:cantSplit/>
          <w:tblHeader/>
        </w:trPr>
        <w:tc>
          <w:tcPr>
            <w:tcW w:w="1890" w:type="dxa"/>
            <w:vAlign w:val="center"/>
          </w:tcPr>
          <w:p w14:paraId="32D2224A"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5.54</w:t>
            </w:r>
          </w:p>
        </w:tc>
        <w:tc>
          <w:tcPr>
            <w:tcW w:w="1350" w:type="dxa"/>
            <w:vAlign w:val="center"/>
          </w:tcPr>
          <w:p w14:paraId="427A32E5"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15.61</w:t>
            </w:r>
          </w:p>
        </w:tc>
        <w:tc>
          <w:tcPr>
            <w:tcW w:w="2157" w:type="dxa"/>
          </w:tcPr>
          <w:p w14:paraId="64FF560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329343E6"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9EB6711" w14:textId="77777777" w:rsidTr="00880EA7">
        <w:trPr>
          <w:cantSplit/>
          <w:tblHeader/>
        </w:trPr>
        <w:tc>
          <w:tcPr>
            <w:tcW w:w="1890" w:type="dxa"/>
            <w:vAlign w:val="center"/>
          </w:tcPr>
          <w:p w14:paraId="6A103764"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7.51</w:t>
            </w:r>
          </w:p>
        </w:tc>
        <w:tc>
          <w:tcPr>
            <w:tcW w:w="1350" w:type="dxa"/>
            <w:vAlign w:val="center"/>
          </w:tcPr>
          <w:p w14:paraId="0B29E20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14.90</w:t>
            </w:r>
          </w:p>
        </w:tc>
        <w:tc>
          <w:tcPr>
            <w:tcW w:w="2157" w:type="dxa"/>
          </w:tcPr>
          <w:p w14:paraId="60D0F33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4B0E9809"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126C90FB" w14:textId="77777777" w:rsidTr="00880EA7">
        <w:trPr>
          <w:cantSplit/>
          <w:tblHeader/>
        </w:trPr>
        <w:tc>
          <w:tcPr>
            <w:tcW w:w="1890" w:type="dxa"/>
            <w:vAlign w:val="center"/>
          </w:tcPr>
          <w:p w14:paraId="26DDA9D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4.92</w:t>
            </w:r>
          </w:p>
        </w:tc>
        <w:tc>
          <w:tcPr>
            <w:tcW w:w="1350" w:type="dxa"/>
            <w:vAlign w:val="center"/>
          </w:tcPr>
          <w:p w14:paraId="20C8FBC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17.13</w:t>
            </w:r>
          </w:p>
        </w:tc>
        <w:tc>
          <w:tcPr>
            <w:tcW w:w="2157" w:type="dxa"/>
          </w:tcPr>
          <w:p w14:paraId="596F4832"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1D3196A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CA906FD" w14:textId="77777777" w:rsidTr="00880EA7">
        <w:trPr>
          <w:cantSplit/>
          <w:tblHeader/>
        </w:trPr>
        <w:tc>
          <w:tcPr>
            <w:tcW w:w="1890" w:type="dxa"/>
            <w:vAlign w:val="center"/>
          </w:tcPr>
          <w:p w14:paraId="6A02B5A3"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13.94</w:t>
            </w:r>
          </w:p>
        </w:tc>
        <w:tc>
          <w:tcPr>
            <w:tcW w:w="1350" w:type="dxa"/>
            <w:vAlign w:val="center"/>
          </w:tcPr>
          <w:p w14:paraId="04FF20D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28.54</w:t>
            </w:r>
          </w:p>
        </w:tc>
        <w:tc>
          <w:tcPr>
            <w:tcW w:w="2157" w:type="dxa"/>
          </w:tcPr>
          <w:p w14:paraId="4A9C47F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68811FA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proofErr w:type="spellStart"/>
            <w:r w:rsidRPr="009A1DE5">
              <w:rPr>
                <w:rFonts w:asciiTheme="majorBidi" w:eastAsia="Times New Roman" w:hAnsiTheme="majorBidi" w:cstheme="majorBidi"/>
                <w:sz w:val="18"/>
                <w:szCs w:val="18"/>
                <w:lang w:val="en-US"/>
              </w:rPr>
              <w:t>Sedfa</w:t>
            </w:r>
            <w:proofErr w:type="spellEnd"/>
          </w:p>
        </w:tc>
      </w:tr>
      <w:tr w:rsidR="000437A2" w:rsidRPr="00BD3FA7" w14:paraId="4035C450" w14:textId="77777777" w:rsidTr="00880EA7">
        <w:trPr>
          <w:cantSplit/>
          <w:tblHeader/>
        </w:trPr>
        <w:tc>
          <w:tcPr>
            <w:tcW w:w="1890" w:type="dxa"/>
            <w:vAlign w:val="center"/>
          </w:tcPr>
          <w:p w14:paraId="3B7DFB44"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7.72</w:t>
            </w:r>
          </w:p>
        </w:tc>
        <w:tc>
          <w:tcPr>
            <w:tcW w:w="1350" w:type="dxa"/>
            <w:vAlign w:val="center"/>
          </w:tcPr>
          <w:p w14:paraId="6B1D33FF"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16.04</w:t>
            </w:r>
          </w:p>
        </w:tc>
        <w:tc>
          <w:tcPr>
            <w:tcW w:w="2157" w:type="dxa"/>
          </w:tcPr>
          <w:p w14:paraId="5A60A4BD"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489CBE1A"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F74AFC0" w14:textId="77777777" w:rsidTr="00880EA7">
        <w:trPr>
          <w:cantSplit/>
          <w:tblHeader/>
        </w:trPr>
        <w:tc>
          <w:tcPr>
            <w:tcW w:w="1890" w:type="dxa"/>
            <w:vAlign w:val="center"/>
          </w:tcPr>
          <w:p w14:paraId="69B8F4DF"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3.66</w:t>
            </w:r>
          </w:p>
        </w:tc>
        <w:tc>
          <w:tcPr>
            <w:tcW w:w="1350" w:type="dxa"/>
            <w:vAlign w:val="center"/>
          </w:tcPr>
          <w:p w14:paraId="7796F79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11.72</w:t>
            </w:r>
          </w:p>
        </w:tc>
        <w:tc>
          <w:tcPr>
            <w:tcW w:w="2157" w:type="dxa"/>
          </w:tcPr>
          <w:p w14:paraId="75A60B6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7E0FCE9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85AA9E9" w14:textId="77777777" w:rsidTr="00880EA7">
        <w:trPr>
          <w:cantSplit/>
          <w:tblHeader/>
        </w:trPr>
        <w:tc>
          <w:tcPr>
            <w:tcW w:w="1890" w:type="dxa"/>
            <w:vAlign w:val="center"/>
          </w:tcPr>
          <w:p w14:paraId="7A87243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4.35</w:t>
            </w:r>
          </w:p>
        </w:tc>
        <w:tc>
          <w:tcPr>
            <w:tcW w:w="1350" w:type="dxa"/>
            <w:vAlign w:val="center"/>
          </w:tcPr>
          <w:p w14:paraId="2D84B55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15.98</w:t>
            </w:r>
          </w:p>
        </w:tc>
        <w:tc>
          <w:tcPr>
            <w:tcW w:w="2157" w:type="dxa"/>
          </w:tcPr>
          <w:p w14:paraId="572E559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2795C95D"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62EAEF9" w14:textId="77777777" w:rsidTr="00880EA7">
        <w:trPr>
          <w:cantSplit/>
          <w:tblHeader/>
        </w:trPr>
        <w:tc>
          <w:tcPr>
            <w:tcW w:w="1890" w:type="dxa"/>
            <w:vAlign w:val="center"/>
          </w:tcPr>
          <w:p w14:paraId="0935212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5.52</w:t>
            </w:r>
          </w:p>
        </w:tc>
        <w:tc>
          <w:tcPr>
            <w:tcW w:w="1350" w:type="dxa"/>
            <w:vAlign w:val="center"/>
          </w:tcPr>
          <w:p w14:paraId="56463A13"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21.88</w:t>
            </w:r>
          </w:p>
        </w:tc>
        <w:tc>
          <w:tcPr>
            <w:tcW w:w="2157" w:type="dxa"/>
          </w:tcPr>
          <w:p w14:paraId="5F2EC15E"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1FBD248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Assiut City</w:t>
            </w:r>
          </w:p>
        </w:tc>
      </w:tr>
      <w:tr w:rsidR="000437A2" w:rsidRPr="00BD3FA7" w14:paraId="32BB8D74" w14:textId="77777777" w:rsidTr="00880EA7">
        <w:trPr>
          <w:cantSplit/>
          <w:tblHeader/>
        </w:trPr>
        <w:tc>
          <w:tcPr>
            <w:tcW w:w="1890" w:type="dxa"/>
            <w:vAlign w:val="center"/>
          </w:tcPr>
          <w:p w14:paraId="37FB6A30"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6.10</w:t>
            </w:r>
          </w:p>
        </w:tc>
        <w:tc>
          <w:tcPr>
            <w:tcW w:w="1350" w:type="dxa"/>
            <w:vAlign w:val="center"/>
          </w:tcPr>
          <w:p w14:paraId="43258436"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15.38</w:t>
            </w:r>
          </w:p>
        </w:tc>
        <w:tc>
          <w:tcPr>
            <w:tcW w:w="2157" w:type="dxa"/>
          </w:tcPr>
          <w:p w14:paraId="114DDE1E"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734ED7D9"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11469FDB" w14:textId="77777777" w:rsidTr="00880EA7">
        <w:trPr>
          <w:cantSplit/>
          <w:tblHeader/>
        </w:trPr>
        <w:tc>
          <w:tcPr>
            <w:tcW w:w="1890" w:type="dxa"/>
            <w:vAlign w:val="center"/>
          </w:tcPr>
          <w:p w14:paraId="602E6B16"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5.79</w:t>
            </w:r>
          </w:p>
        </w:tc>
        <w:tc>
          <w:tcPr>
            <w:tcW w:w="1350" w:type="dxa"/>
            <w:vAlign w:val="center"/>
          </w:tcPr>
          <w:p w14:paraId="6FCF23ED"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13.23</w:t>
            </w:r>
          </w:p>
        </w:tc>
        <w:tc>
          <w:tcPr>
            <w:tcW w:w="2157" w:type="dxa"/>
          </w:tcPr>
          <w:p w14:paraId="78A21B61"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7E0141CF"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2D11E6E9" w14:textId="77777777" w:rsidTr="00880EA7">
        <w:trPr>
          <w:cantSplit/>
          <w:tblHeader/>
        </w:trPr>
        <w:tc>
          <w:tcPr>
            <w:tcW w:w="1890" w:type="dxa"/>
            <w:vAlign w:val="center"/>
          </w:tcPr>
          <w:p w14:paraId="5D6F5F8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4.90</w:t>
            </w:r>
          </w:p>
        </w:tc>
        <w:tc>
          <w:tcPr>
            <w:tcW w:w="1350" w:type="dxa"/>
            <w:vAlign w:val="center"/>
          </w:tcPr>
          <w:p w14:paraId="14B1EA56"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17.64</w:t>
            </w:r>
          </w:p>
        </w:tc>
        <w:tc>
          <w:tcPr>
            <w:tcW w:w="2157" w:type="dxa"/>
          </w:tcPr>
          <w:p w14:paraId="0877A29D"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70A60B71"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2967DB9" w14:textId="77777777" w:rsidTr="00880EA7">
        <w:trPr>
          <w:cantSplit/>
          <w:tblHeader/>
        </w:trPr>
        <w:tc>
          <w:tcPr>
            <w:tcW w:w="1890" w:type="dxa"/>
            <w:vAlign w:val="center"/>
          </w:tcPr>
          <w:p w14:paraId="22D45209"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10.63</w:t>
            </w:r>
          </w:p>
        </w:tc>
        <w:tc>
          <w:tcPr>
            <w:tcW w:w="1350" w:type="dxa"/>
            <w:vAlign w:val="center"/>
          </w:tcPr>
          <w:p w14:paraId="465BF17F"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23.08</w:t>
            </w:r>
          </w:p>
        </w:tc>
        <w:tc>
          <w:tcPr>
            <w:tcW w:w="2157" w:type="dxa"/>
          </w:tcPr>
          <w:p w14:paraId="504C60E3"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1D2DD6C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Assiut</w:t>
            </w:r>
          </w:p>
        </w:tc>
      </w:tr>
      <w:tr w:rsidR="000437A2" w:rsidRPr="00BD3FA7" w14:paraId="2C626CCE" w14:textId="77777777" w:rsidTr="00880EA7">
        <w:trPr>
          <w:cantSplit/>
          <w:tblHeader/>
        </w:trPr>
        <w:tc>
          <w:tcPr>
            <w:tcW w:w="1890" w:type="dxa"/>
            <w:vAlign w:val="center"/>
          </w:tcPr>
          <w:p w14:paraId="6261D05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6.85</w:t>
            </w:r>
          </w:p>
        </w:tc>
        <w:tc>
          <w:tcPr>
            <w:tcW w:w="1350" w:type="dxa"/>
            <w:vAlign w:val="center"/>
          </w:tcPr>
          <w:p w14:paraId="5D83556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15.05</w:t>
            </w:r>
          </w:p>
        </w:tc>
        <w:tc>
          <w:tcPr>
            <w:tcW w:w="2157" w:type="dxa"/>
          </w:tcPr>
          <w:p w14:paraId="12713F0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1D8C59EC"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495F3CD7" w14:textId="77777777" w:rsidTr="00880EA7">
        <w:trPr>
          <w:cantSplit/>
          <w:tblHeader/>
        </w:trPr>
        <w:tc>
          <w:tcPr>
            <w:tcW w:w="1890" w:type="dxa"/>
            <w:vAlign w:val="center"/>
          </w:tcPr>
          <w:p w14:paraId="56F4EBE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6.01</w:t>
            </w:r>
          </w:p>
        </w:tc>
        <w:tc>
          <w:tcPr>
            <w:tcW w:w="1350" w:type="dxa"/>
            <w:vAlign w:val="center"/>
          </w:tcPr>
          <w:p w14:paraId="0D0B11A7"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13.24</w:t>
            </w:r>
          </w:p>
        </w:tc>
        <w:tc>
          <w:tcPr>
            <w:tcW w:w="2157" w:type="dxa"/>
          </w:tcPr>
          <w:p w14:paraId="7CB0FC7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2CD3834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04215470" w14:textId="77777777" w:rsidTr="00880EA7">
        <w:trPr>
          <w:cantSplit/>
          <w:tblHeader/>
        </w:trPr>
        <w:tc>
          <w:tcPr>
            <w:tcW w:w="1890" w:type="dxa"/>
            <w:vAlign w:val="center"/>
          </w:tcPr>
          <w:p w14:paraId="65ADD0FB"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5.02</w:t>
            </w:r>
          </w:p>
        </w:tc>
        <w:tc>
          <w:tcPr>
            <w:tcW w:w="1350" w:type="dxa"/>
            <w:vAlign w:val="center"/>
          </w:tcPr>
          <w:p w14:paraId="583714F5"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17.20</w:t>
            </w:r>
          </w:p>
        </w:tc>
        <w:tc>
          <w:tcPr>
            <w:tcW w:w="2157" w:type="dxa"/>
          </w:tcPr>
          <w:p w14:paraId="542BEACC"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33DB6E40"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5283598" w14:textId="77777777" w:rsidTr="00880EA7">
        <w:trPr>
          <w:cantSplit/>
          <w:tblHeader/>
        </w:trPr>
        <w:tc>
          <w:tcPr>
            <w:tcW w:w="1890" w:type="dxa"/>
            <w:vAlign w:val="center"/>
          </w:tcPr>
          <w:p w14:paraId="0DB0EF3C"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10.20</w:t>
            </w:r>
          </w:p>
        </w:tc>
        <w:tc>
          <w:tcPr>
            <w:tcW w:w="1350" w:type="dxa"/>
            <w:vAlign w:val="center"/>
          </w:tcPr>
          <w:p w14:paraId="57D67A2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23.67</w:t>
            </w:r>
          </w:p>
        </w:tc>
        <w:tc>
          <w:tcPr>
            <w:tcW w:w="2157" w:type="dxa"/>
          </w:tcPr>
          <w:p w14:paraId="5A19348F"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Cyberbullying</w:t>
            </w:r>
            <w:r w:rsidRPr="009A1DE5">
              <w:rPr>
                <w:rFonts w:asciiTheme="majorBidi" w:eastAsia="Times New Roman" w:hAnsiTheme="majorBidi" w:cstheme="majorBidi"/>
                <w:sz w:val="18"/>
                <w:szCs w:val="18"/>
                <w:rtl/>
                <w:lang w:val="en-US"/>
              </w:rPr>
              <w:t xml:space="preserve"> </w:t>
            </w:r>
          </w:p>
        </w:tc>
        <w:tc>
          <w:tcPr>
            <w:tcW w:w="2159" w:type="dxa"/>
            <w:vMerge w:val="restart"/>
          </w:tcPr>
          <w:p w14:paraId="14023E99"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proofErr w:type="spellStart"/>
            <w:r w:rsidRPr="009A1DE5">
              <w:rPr>
                <w:rFonts w:asciiTheme="majorBidi" w:eastAsia="Times New Roman" w:hAnsiTheme="majorBidi" w:cstheme="majorBidi"/>
                <w:sz w:val="18"/>
                <w:szCs w:val="18"/>
                <w:lang w:val="en-US"/>
              </w:rPr>
              <w:t>Manfalout</w:t>
            </w:r>
            <w:proofErr w:type="spellEnd"/>
          </w:p>
        </w:tc>
      </w:tr>
      <w:tr w:rsidR="000437A2" w:rsidRPr="00BD3FA7" w14:paraId="48E7D5BE" w14:textId="77777777" w:rsidTr="00880EA7">
        <w:trPr>
          <w:cantSplit/>
          <w:tblHeader/>
        </w:trPr>
        <w:tc>
          <w:tcPr>
            <w:tcW w:w="1890" w:type="dxa"/>
            <w:vAlign w:val="center"/>
          </w:tcPr>
          <w:p w14:paraId="629CE308"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7.19</w:t>
            </w:r>
          </w:p>
        </w:tc>
        <w:tc>
          <w:tcPr>
            <w:tcW w:w="1350" w:type="dxa"/>
            <w:vAlign w:val="center"/>
          </w:tcPr>
          <w:p w14:paraId="37BE8971"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15.71</w:t>
            </w:r>
          </w:p>
        </w:tc>
        <w:tc>
          <w:tcPr>
            <w:tcW w:w="2157" w:type="dxa"/>
          </w:tcPr>
          <w:p w14:paraId="23AB7E3B"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Victimization</w:t>
            </w:r>
          </w:p>
        </w:tc>
        <w:tc>
          <w:tcPr>
            <w:tcW w:w="2159" w:type="dxa"/>
            <w:vMerge/>
          </w:tcPr>
          <w:p w14:paraId="05167088"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67B7CC64" w14:textId="77777777" w:rsidTr="00880EA7">
        <w:trPr>
          <w:cantSplit/>
          <w:tblHeader/>
        </w:trPr>
        <w:tc>
          <w:tcPr>
            <w:tcW w:w="1890" w:type="dxa"/>
            <w:vAlign w:val="center"/>
          </w:tcPr>
          <w:p w14:paraId="00FFA6AE"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6.54</w:t>
            </w:r>
          </w:p>
        </w:tc>
        <w:tc>
          <w:tcPr>
            <w:tcW w:w="1350" w:type="dxa"/>
            <w:vAlign w:val="center"/>
          </w:tcPr>
          <w:p w14:paraId="6AAA0DB7" w14:textId="77777777" w:rsidR="000437A2" w:rsidRPr="009A1DE5" w:rsidRDefault="000437A2" w:rsidP="00880EA7">
            <w:pPr>
              <w:pStyle w:val="Normal1"/>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13.58</w:t>
            </w:r>
          </w:p>
        </w:tc>
        <w:tc>
          <w:tcPr>
            <w:tcW w:w="2157" w:type="dxa"/>
          </w:tcPr>
          <w:p w14:paraId="18DD21A4"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Aggression</w:t>
            </w:r>
          </w:p>
        </w:tc>
        <w:tc>
          <w:tcPr>
            <w:tcW w:w="2159" w:type="dxa"/>
            <w:vMerge/>
          </w:tcPr>
          <w:p w14:paraId="76604EB1"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r w:rsidR="000437A2" w:rsidRPr="00BD3FA7" w14:paraId="3B50836B" w14:textId="77777777" w:rsidTr="00880EA7">
        <w:trPr>
          <w:cantSplit/>
          <w:tblHeader/>
        </w:trPr>
        <w:tc>
          <w:tcPr>
            <w:tcW w:w="1890" w:type="dxa"/>
          </w:tcPr>
          <w:p w14:paraId="11290E58"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4.39</w:t>
            </w:r>
          </w:p>
        </w:tc>
        <w:tc>
          <w:tcPr>
            <w:tcW w:w="1350" w:type="dxa"/>
          </w:tcPr>
          <w:p w14:paraId="6F17FCAA"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17.02</w:t>
            </w:r>
          </w:p>
        </w:tc>
        <w:tc>
          <w:tcPr>
            <w:tcW w:w="2157" w:type="dxa"/>
          </w:tcPr>
          <w:p w14:paraId="0644F687" w14:textId="77777777" w:rsidR="000437A2" w:rsidRPr="009A1DE5" w:rsidRDefault="000437A2" w:rsidP="00880EA7">
            <w:pPr>
              <w:pStyle w:val="Normal1"/>
              <w:bidi/>
              <w:jc w:val="center"/>
              <w:rPr>
                <w:rFonts w:asciiTheme="majorBidi" w:eastAsia="Times New Roman" w:hAnsiTheme="majorBidi" w:cstheme="majorBidi"/>
                <w:sz w:val="18"/>
                <w:szCs w:val="18"/>
                <w:lang w:val="en-US"/>
              </w:rPr>
            </w:pPr>
            <w:r w:rsidRPr="009A1DE5">
              <w:rPr>
                <w:rFonts w:asciiTheme="majorBidi" w:eastAsia="Times New Roman" w:hAnsiTheme="majorBidi" w:cstheme="majorBidi"/>
                <w:sz w:val="18"/>
                <w:szCs w:val="18"/>
                <w:lang w:val="en-US"/>
              </w:rPr>
              <w:t>Self- Esteem</w:t>
            </w:r>
          </w:p>
        </w:tc>
        <w:tc>
          <w:tcPr>
            <w:tcW w:w="2159" w:type="dxa"/>
            <w:vMerge/>
          </w:tcPr>
          <w:p w14:paraId="1EB25AC2" w14:textId="77777777" w:rsidR="000437A2" w:rsidRPr="009A1DE5" w:rsidRDefault="000437A2" w:rsidP="00880EA7">
            <w:pPr>
              <w:pStyle w:val="Normal1"/>
              <w:widowControl w:val="0"/>
              <w:rPr>
                <w:rFonts w:asciiTheme="majorBidi" w:eastAsia="Times New Roman" w:hAnsiTheme="majorBidi" w:cstheme="majorBidi"/>
                <w:sz w:val="18"/>
                <w:szCs w:val="18"/>
                <w:lang w:val="en-US"/>
              </w:rPr>
            </w:pPr>
          </w:p>
        </w:tc>
      </w:tr>
    </w:tbl>
    <w:p w14:paraId="1ACE6987" w14:textId="77777777" w:rsidR="000437A2" w:rsidRPr="00BD3FA7" w:rsidRDefault="000437A2" w:rsidP="000437A2">
      <w:pPr>
        <w:rPr>
          <w:i/>
          <w:iCs/>
          <w:sz w:val="20"/>
          <w:szCs w:val="20"/>
        </w:rPr>
      </w:pPr>
    </w:p>
    <w:p w14:paraId="7BB328B8" w14:textId="77777777" w:rsidR="000437A2" w:rsidRPr="00BD3FA7" w:rsidRDefault="000437A2" w:rsidP="000437A2">
      <w:pPr>
        <w:rPr>
          <w:i/>
          <w:iCs/>
          <w:sz w:val="20"/>
          <w:szCs w:val="20"/>
        </w:rPr>
      </w:pPr>
    </w:p>
    <w:p w14:paraId="232E2264" w14:textId="77777777" w:rsidR="000437A2" w:rsidRPr="00BD3FA7" w:rsidRDefault="000437A2" w:rsidP="000437A2">
      <w:pPr>
        <w:rPr>
          <w:i/>
          <w:iCs/>
          <w:sz w:val="20"/>
          <w:szCs w:val="20"/>
        </w:rPr>
      </w:pPr>
    </w:p>
    <w:p w14:paraId="3BEA206F" w14:textId="77777777" w:rsidR="000437A2" w:rsidRPr="00BD3FA7" w:rsidRDefault="000437A2" w:rsidP="000437A2">
      <w:pPr>
        <w:rPr>
          <w:i/>
          <w:iCs/>
          <w:sz w:val="20"/>
          <w:szCs w:val="20"/>
        </w:rPr>
      </w:pPr>
    </w:p>
    <w:p w14:paraId="1FEB0E74" w14:textId="77777777" w:rsidR="000437A2" w:rsidRPr="00BD3FA7" w:rsidRDefault="000437A2" w:rsidP="000437A2">
      <w:pPr>
        <w:rPr>
          <w:i/>
          <w:iCs/>
          <w:sz w:val="20"/>
          <w:szCs w:val="20"/>
        </w:rPr>
      </w:pPr>
    </w:p>
    <w:p w14:paraId="17964099" w14:textId="77777777" w:rsidR="000437A2" w:rsidRPr="00BD3FA7" w:rsidRDefault="000437A2" w:rsidP="000437A2">
      <w:pPr>
        <w:rPr>
          <w:i/>
          <w:iCs/>
          <w:sz w:val="20"/>
          <w:szCs w:val="20"/>
        </w:rPr>
      </w:pPr>
    </w:p>
    <w:p w14:paraId="7A38F9DB" w14:textId="77777777" w:rsidR="000437A2" w:rsidRPr="00BD3FA7" w:rsidRDefault="000437A2" w:rsidP="000437A2">
      <w:pPr>
        <w:rPr>
          <w:i/>
          <w:iCs/>
          <w:sz w:val="20"/>
          <w:szCs w:val="20"/>
        </w:rPr>
      </w:pPr>
    </w:p>
    <w:p w14:paraId="76D64350" w14:textId="77777777" w:rsidR="000437A2" w:rsidRPr="00BD3FA7" w:rsidRDefault="000437A2" w:rsidP="000437A2">
      <w:pPr>
        <w:rPr>
          <w:i/>
          <w:iCs/>
          <w:sz w:val="20"/>
          <w:szCs w:val="20"/>
        </w:rPr>
      </w:pPr>
    </w:p>
    <w:p w14:paraId="14E13E8A" w14:textId="77777777" w:rsidR="000437A2" w:rsidRPr="00BD3FA7" w:rsidRDefault="000437A2" w:rsidP="000437A2">
      <w:pPr>
        <w:rPr>
          <w:i/>
          <w:iCs/>
          <w:sz w:val="20"/>
          <w:szCs w:val="20"/>
        </w:rPr>
      </w:pPr>
    </w:p>
    <w:p w14:paraId="2028EBF5" w14:textId="77777777" w:rsidR="000437A2" w:rsidRPr="00BD3FA7" w:rsidRDefault="000437A2" w:rsidP="000437A2">
      <w:pPr>
        <w:rPr>
          <w:i/>
          <w:iCs/>
          <w:sz w:val="20"/>
          <w:szCs w:val="20"/>
        </w:rPr>
      </w:pPr>
    </w:p>
    <w:p w14:paraId="5CF0D5D7" w14:textId="77777777" w:rsidR="000437A2" w:rsidRPr="00BD3FA7" w:rsidRDefault="000437A2" w:rsidP="000437A2">
      <w:pPr>
        <w:rPr>
          <w:i/>
          <w:iCs/>
          <w:sz w:val="20"/>
          <w:szCs w:val="20"/>
        </w:rPr>
      </w:pPr>
    </w:p>
    <w:p w14:paraId="1E489005" w14:textId="77777777" w:rsidR="000437A2" w:rsidRPr="00BD3FA7" w:rsidRDefault="000437A2" w:rsidP="000437A2">
      <w:pPr>
        <w:rPr>
          <w:i/>
          <w:iCs/>
          <w:sz w:val="20"/>
          <w:szCs w:val="20"/>
        </w:rPr>
      </w:pPr>
    </w:p>
    <w:p w14:paraId="60C9CD68" w14:textId="77777777" w:rsidR="000437A2" w:rsidRPr="00BD3FA7" w:rsidRDefault="000437A2" w:rsidP="000437A2">
      <w:pPr>
        <w:rPr>
          <w:i/>
          <w:iCs/>
          <w:sz w:val="20"/>
          <w:szCs w:val="20"/>
        </w:rPr>
      </w:pPr>
    </w:p>
    <w:p w14:paraId="38D9F476" w14:textId="77777777" w:rsidR="000437A2" w:rsidRPr="00BD3FA7" w:rsidRDefault="000437A2" w:rsidP="000437A2">
      <w:pPr>
        <w:rPr>
          <w:i/>
          <w:iCs/>
          <w:sz w:val="20"/>
          <w:szCs w:val="20"/>
        </w:rPr>
      </w:pPr>
    </w:p>
    <w:p w14:paraId="1C841901" w14:textId="77777777" w:rsidR="000437A2" w:rsidRPr="00BD3FA7" w:rsidRDefault="000437A2" w:rsidP="000437A2">
      <w:pPr>
        <w:rPr>
          <w:i/>
          <w:iCs/>
          <w:sz w:val="20"/>
          <w:szCs w:val="20"/>
        </w:rPr>
      </w:pPr>
    </w:p>
    <w:p w14:paraId="12BFEF71" w14:textId="77777777" w:rsidR="000437A2" w:rsidRPr="00BD3FA7" w:rsidRDefault="000437A2" w:rsidP="000437A2">
      <w:pPr>
        <w:rPr>
          <w:i/>
          <w:iCs/>
          <w:sz w:val="20"/>
          <w:szCs w:val="20"/>
        </w:rPr>
      </w:pPr>
    </w:p>
    <w:p w14:paraId="68517EBE" w14:textId="77777777" w:rsidR="000437A2" w:rsidRPr="00BD3FA7" w:rsidRDefault="000437A2" w:rsidP="000437A2">
      <w:pPr>
        <w:rPr>
          <w:i/>
          <w:iCs/>
          <w:sz w:val="20"/>
          <w:szCs w:val="20"/>
        </w:rPr>
      </w:pPr>
    </w:p>
    <w:p w14:paraId="19781DCF" w14:textId="77777777" w:rsidR="000437A2" w:rsidRPr="00BD3FA7" w:rsidRDefault="000437A2" w:rsidP="000437A2">
      <w:pPr>
        <w:rPr>
          <w:i/>
          <w:iCs/>
          <w:sz w:val="20"/>
          <w:szCs w:val="20"/>
        </w:rPr>
      </w:pPr>
    </w:p>
    <w:p w14:paraId="301C5F6C" w14:textId="77777777" w:rsidR="000437A2" w:rsidRPr="00BD3FA7" w:rsidRDefault="000437A2" w:rsidP="000437A2">
      <w:pPr>
        <w:rPr>
          <w:i/>
          <w:iCs/>
          <w:sz w:val="20"/>
          <w:szCs w:val="20"/>
        </w:rPr>
      </w:pPr>
    </w:p>
    <w:p w14:paraId="4B85882D" w14:textId="77777777" w:rsidR="000437A2" w:rsidRPr="00BD3FA7" w:rsidRDefault="000437A2" w:rsidP="000437A2">
      <w:pPr>
        <w:rPr>
          <w:i/>
          <w:iCs/>
          <w:sz w:val="20"/>
          <w:szCs w:val="20"/>
        </w:rPr>
      </w:pPr>
    </w:p>
    <w:p w14:paraId="5CC60D4C" w14:textId="77777777" w:rsidR="000437A2" w:rsidRPr="00BD3FA7" w:rsidRDefault="000437A2" w:rsidP="000437A2">
      <w:pPr>
        <w:rPr>
          <w:i/>
          <w:iCs/>
          <w:sz w:val="20"/>
          <w:szCs w:val="20"/>
        </w:rPr>
      </w:pPr>
    </w:p>
    <w:p w14:paraId="34F90C7A" w14:textId="77777777" w:rsidR="000437A2" w:rsidRPr="00BD3FA7" w:rsidRDefault="000437A2" w:rsidP="000437A2">
      <w:pPr>
        <w:rPr>
          <w:i/>
          <w:iCs/>
          <w:sz w:val="20"/>
          <w:szCs w:val="20"/>
        </w:rPr>
      </w:pPr>
    </w:p>
    <w:p w14:paraId="5160856D" w14:textId="77777777" w:rsidR="000437A2" w:rsidRPr="00BD3FA7" w:rsidRDefault="000437A2" w:rsidP="000437A2">
      <w:pPr>
        <w:rPr>
          <w:i/>
          <w:iCs/>
          <w:sz w:val="20"/>
          <w:szCs w:val="20"/>
        </w:rPr>
      </w:pPr>
    </w:p>
    <w:p w14:paraId="7EEB9005" w14:textId="77777777" w:rsidR="000437A2" w:rsidRPr="00BD3FA7" w:rsidRDefault="000437A2" w:rsidP="000437A2">
      <w:pPr>
        <w:rPr>
          <w:i/>
          <w:iCs/>
          <w:sz w:val="20"/>
          <w:szCs w:val="20"/>
        </w:rPr>
      </w:pPr>
    </w:p>
    <w:p w14:paraId="2E00FF76" w14:textId="77777777" w:rsidR="000437A2" w:rsidRPr="00BD3FA7" w:rsidRDefault="000437A2" w:rsidP="000437A2">
      <w:pPr>
        <w:rPr>
          <w:i/>
          <w:iCs/>
          <w:sz w:val="20"/>
          <w:szCs w:val="20"/>
        </w:rPr>
      </w:pPr>
    </w:p>
    <w:p w14:paraId="77551E37" w14:textId="77777777" w:rsidR="000437A2" w:rsidRDefault="000437A2" w:rsidP="000437A2">
      <w:pPr>
        <w:rPr>
          <w:i/>
          <w:iCs/>
          <w:sz w:val="20"/>
          <w:szCs w:val="20"/>
        </w:rPr>
      </w:pPr>
    </w:p>
    <w:p w14:paraId="177527B5" w14:textId="77777777" w:rsidR="000437A2" w:rsidRDefault="000437A2" w:rsidP="000437A2">
      <w:pPr>
        <w:rPr>
          <w:i/>
          <w:iCs/>
          <w:sz w:val="20"/>
          <w:szCs w:val="20"/>
        </w:rPr>
      </w:pPr>
    </w:p>
    <w:p w14:paraId="04810AD2" w14:textId="77777777" w:rsidR="000437A2" w:rsidRDefault="000437A2" w:rsidP="000437A2">
      <w:pPr>
        <w:rPr>
          <w:i/>
          <w:iCs/>
          <w:sz w:val="20"/>
          <w:szCs w:val="20"/>
        </w:rPr>
      </w:pPr>
    </w:p>
    <w:p w14:paraId="6588D960" w14:textId="77777777" w:rsidR="000437A2" w:rsidRPr="009A1DE5" w:rsidRDefault="000437A2" w:rsidP="000437A2">
      <w:pPr>
        <w:rPr>
          <w:i/>
          <w:iCs/>
          <w:sz w:val="20"/>
          <w:szCs w:val="20"/>
        </w:rPr>
      </w:pPr>
      <w:r w:rsidRPr="00BD3FA7">
        <w:rPr>
          <w:i/>
          <w:iCs/>
          <w:sz w:val="20"/>
          <w:szCs w:val="20"/>
        </w:rPr>
        <w:lastRenderedPageBreak/>
        <w:t>This table presents the mean and standard deviation values for key variables—cyberbullying, victimization, aggression, and self-esteem—across different provinces (Markaz) in Assiut Governorate. The data highlights variability in these psychological and behavioral factors among the studied regions</w:t>
      </w:r>
    </w:p>
    <w:p w14:paraId="6133474B" w14:textId="77777777" w:rsidR="000437A2" w:rsidRDefault="000437A2"/>
    <w:sectPr w:rsidR="000437A2" w:rsidSect="000437A2">
      <w:pgSz w:w="11906" w:h="16838"/>
      <w:pgMar w:top="1296" w:right="1440" w:bottom="129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A2"/>
    <w:rsid w:val="000437A2"/>
    <w:rsid w:val="007F45A1"/>
    <w:rsid w:val="00AC0DD9"/>
    <w:rsid w:val="00D44075"/>
    <w:rsid w:val="00F77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B26A"/>
  <w15:chartTrackingRefBased/>
  <w15:docId w15:val="{D87F6272-59E5-45E5-ADF8-2ED3EA83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A2"/>
    <w:pPr>
      <w:spacing w:after="0" w:line="48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437A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437A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437A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437A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437A2"/>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437A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437A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437A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437A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7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7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7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7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37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7A2"/>
    <w:rPr>
      <w:rFonts w:eastAsiaTheme="majorEastAsia" w:cstheme="majorBidi"/>
      <w:color w:val="272727" w:themeColor="text1" w:themeTint="D8"/>
    </w:rPr>
  </w:style>
  <w:style w:type="paragraph" w:styleId="Title">
    <w:name w:val="Title"/>
    <w:basedOn w:val="Normal"/>
    <w:next w:val="Normal"/>
    <w:link w:val="TitleChar"/>
    <w:uiPriority w:val="10"/>
    <w:qFormat/>
    <w:rsid w:val="000437A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43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7A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43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7A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437A2"/>
    <w:rPr>
      <w:i/>
      <w:iCs/>
      <w:color w:val="404040" w:themeColor="text1" w:themeTint="BF"/>
    </w:rPr>
  </w:style>
  <w:style w:type="paragraph" w:styleId="ListParagraph">
    <w:name w:val="List Paragraph"/>
    <w:basedOn w:val="Normal"/>
    <w:uiPriority w:val="34"/>
    <w:qFormat/>
    <w:rsid w:val="000437A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0437A2"/>
    <w:rPr>
      <w:i/>
      <w:iCs/>
      <w:color w:val="2F5496" w:themeColor="accent1" w:themeShade="BF"/>
    </w:rPr>
  </w:style>
  <w:style w:type="paragraph" w:styleId="IntenseQuote">
    <w:name w:val="Intense Quote"/>
    <w:basedOn w:val="Normal"/>
    <w:next w:val="Normal"/>
    <w:link w:val="IntenseQuoteChar"/>
    <w:uiPriority w:val="30"/>
    <w:qFormat/>
    <w:rsid w:val="000437A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437A2"/>
    <w:rPr>
      <w:i/>
      <w:iCs/>
      <w:color w:val="2F5496" w:themeColor="accent1" w:themeShade="BF"/>
    </w:rPr>
  </w:style>
  <w:style w:type="character" w:styleId="IntenseReference">
    <w:name w:val="Intense Reference"/>
    <w:basedOn w:val="DefaultParagraphFont"/>
    <w:uiPriority w:val="32"/>
    <w:qFormat/>
    <w:rsid w:val="000437A2"/>
    <w:rPr>
      <w:b/>
      <w:bCs/>
      <w:smallCaps/>
      <w:color w:val="2F5496" w:themeColor="accent1" w:themeShade="BF"/>
      <w:spacing w:val="5"/>
    </w:rPr>
  </w:style>
  <w:style w:type="paragraph" w:customStyle="1" w:styleId="Normal1">
    <w:name w:val="Normal1"/>
    <w:rsid w:val="000437A2"/>
    <w:pPr>
      <w:spacing w:after="0" w:line="276" w:lineRule="auto"/>
    </w:pPr>
    <w:rPr>
      <w:rFonts w:ascii="Arial" w:eastAsia="Arial" w:hAnsi="Arial" w:cs="Arial"/>
      <w:kern w:val="0"/>
      <w:sz w:val="22"/>
      <w:szCs w:val="22"/>
      <w:lang w:val="en-IN" w:eastAsia="en-IN"/>
      <w14:ligatures w14:val="none"/>
    </w:rPr>
  </w:style>
  <w:style w:type="paragraph" w:styleId="Caption">
    <w:name w:val="caption"/>
    <w:basedOn w:val="Normal"/>
    <w:next w:val="Normal"/>
    <w:uiPriority w:val="35"/>
    <w:unhideWhenUsed/>
    <w:qFormat/>
    <w:rsid w:val="000437A2"/>
    <w:pPr>
      <w:spacing w:after="200" w:line="240" w:lineRule="auto"/>
    </w:pPr>
    <w:rPr>
      <w:i/>
      <w:iCs/>
      <w:color w:val="44546A" w:themeColor="text2"/>
      <w:sz w:val="18"/>
      <w:szCs w:val="18"/>
    </w:rPr>
  </w:style>
  <w:style w:type="table" w:styleId="TableGrid">
    <w:name w:val="Table Grid"/>
    <w:basedOn w:val="TableNormal"/>
    <w:uiPriority w:val="59"/>
    <w:rsid w:val="000437A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yasser4188Staff</dc:creator>
  <cp:keywords/>
  <dc:description/>
  <cp:lastModifiedBy>yasser4188Staff</cp:lastModifiedBy>
  <cp:revision>5</cp:revision>
  <dcterms:created xsi:type="dcterms:W3CDTF">2025-04-12T22:31:00Z</dcterms:created>
  <dcterms:modified xsi:type="dcterms:W3CDTF">2025-04-12T22:47:00Z</dcterms:modified>
</cp:coreProperties>
</file>