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90DE8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 xml:space="preserve">Supplemental Table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>1A. TH1/TH17 panel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9"/>
        <w:gridCol w:w="1659"/>
        <w:gridCol w:w="1659"/>
        <w:gridCol w:w="1659"/>
      </w:tblGrid>
      <w:tr w14:paraId="56A97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44512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lang w:val="en-US"/>
              </w:rPr>
              <w:t>ntigen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AFF7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F</w:t>
            </w:r>
            <w:r>
              <w:rPr>
                <w:rFonts w:hint="default" w:ascii="Times New Roman" w:hAnsi="Times New Roman" w:cs="Times New Roman"/>
                <w:lang w:val="en-US"/>
              </w:rPr>
              <w:t xml:space="preserve">luorescence 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04F628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atalog numbers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D6ACF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M</w:t>
            </w:r>
            <w:r>
              <w:rPr>
                <w:rFonts w:hint="default" w:ascii="Times New Roman" w:hAnsi="Times New Roman" w:cs="Times New Roman" w:eastAsiaTheme="minorEastAsia"/>
                <w:lang w:val="en-US" w:eastAsia="zh-CN"/>
              </w:rPr>
              <w:t>anufacturers</w:t>
            </w:r>
          </w:p>
          <w:p w14:paraId="45962B7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</w:p>
        </w:tc>
      </w:tr>
      <w:tr w14:paraId="3E20C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75D31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CD4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16B95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FITC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7FE823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100406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44C1D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Biolegend</w:t>
            </w:r>
          </w:p>
        </w:tc>
      </w:tr>
      <w:tr w14:paraId="78D8C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E08C8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IL-17A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765D9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PE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76F5E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12-7177-81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99D3B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Invitrogen</w:t>
            </w:r>
          </w:p>
        </w:tc>
      </w:tr>
      <w:tr w14:paraId="749D4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8EF6C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INF-γ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4B1FEA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PerCP/Cy5.5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BE01D3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45-7311-82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05273E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Invitrogen</w:t>
            </w:r>
          </w:p>
        </w:tc>
      </w:tr>
      <w:tr w14:paraId="4E9CB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D80A1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Zombie AquaTM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E0A64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NUV525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37AA9A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423101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1126D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Biolegend</w:t>
            </w:r>
          </w:p>
        </w:tc>
      </w:tr>
    </w:tbl>
    <w:p w14:paraId="198BD192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 xml:space="preserve">Supplemental Table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>1B. Treg panel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9"/>
        <w:gridCol w:w="1659"/>
        <w:gridCol w:w="1659"/>
        <w:gridCol w:w="1619"/>
      </w:tblGrid>
      <w:tr w14:paraId="14207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32B81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lang w:val="en-US"/>
              </w:rPr>
              <w:t>ntigen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891C21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F</w:t>
            </w:r>
            <w:r>
              <w:rPr>
                <w:rFonts w:hint="default" w:ascii="Times New Roman" w:hAnsi="Times New Roman" w:cs="Times New Roman"/>
                <w:lang w:val="en-US"/>
              </w:rPr>
              <w:t xml:space="preserve">luorescence 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6756C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atalog numbers</w:t>
            </w:r>
          </w:p>
        </w:tc>
        <w:tc>
          <w:tcPr>
            <w:tcW w:w="1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ABB81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M</w:t>
            </w:r>
            <w:r>
              <w:rPr>
                <w:rFonts w:hint="default" w:ascii="Times New Roman" w:hAnsi="Times New Roman" w:cs="Times New Roman" w:eastAsiaTheme="minorEastAsia"/>
                <w:lang w:val="en-US" w:eastAsia="zh-CN"/>
              </w:rPr>
              <w:t>anufacturers</w:t>
            </w:r>
          </w:p>
          <w:p w14:paraId="301DE2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0DB9B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AC7A0B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CD4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424ABB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FITC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34031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100406</w:t>
            </w:r>
          </w:p>
        </w:tc>
        <w:tc>
          <w:tcPr>
            <w:tcW w:w="1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0F6DC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Biolegend</w:t>
            </w:r>
          </w:p>
        </w:tc>
      </w:tr>
      <w:tr w14:paraId="020EBE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AEB43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Zombie AquaTM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878EC7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NUV525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303FE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423101</w:t>
            </w:r>
          </w:p>
        </w:tc>
        <w:tc>
          <w:tcPr>
            <w:tcW w:w="1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8C1E0C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Biolegend</w:t>
            </w:r>
          </w:p>
        </w:tc>
      </w:tr>
      <w:tr w14:paraId="679C8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447C6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CD25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B3D20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PE/CY7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D9E52C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102016</w:t>
            </w:r>
          </w:p>
        </w:tc>
        <w:tc>
          <w:tcPr>
            <w:tcW w:w="1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724694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Biolegend</w:t>
            </w:r>
          </w:p>
        </w:tc>
      </w:tr>
      <w:tr w14:paraId="7078C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B047F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"/>
              </w:rPr>
              <w:t>FOXP3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BB7807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PE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140E7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12-5773-82</w:t>
            </w:r>
          </w:p>
        </w:tc>
        <w:tc>
          <w:tcPr>
            <w:tcW w:w="1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B39DA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/>
              </w:rPr>
              <w:t>Invitrogen</w:t>
            </w:r>
          </w:p>
        </w:tc>
      </w:tr>
    </w:tbl>
    <w:p w14:paraId="03B693A0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pPr w:leftFromText="180" w:rightFromText="180" w:vertAnchor="page" w:horzAnchor="page" w:tblpX="1957" w:tblpY="248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3024"/>
      </w:tblGrid>
      <w:tr w14:paraId="7684B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283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44724C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Name of primers </w:t>
            </w:r>
          </w:p>
        </w:tc>
        <w:tc>
          <w:tcPr>
            <w:tcW w:w="302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4D06B9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Sequence of primers </w:t>
            </w:r>
          </w:p>
        </w:tc>
      </w:tr>
      <w:tr w14:paraId="0140A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10497D3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GAPDH for</w:t>
            </w:r>
          </w:p>
        </w:tc>
        <w:tc>
          <w:tcPr>
            <w:tcW w:w="302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417C6E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CCTGGAGAAACCTGCCAAGTA </w:t>
            </w:r>
          </w:p>
          <w:p w14:paraId="498D11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</w:p>
        </w:tc>
      </w:tr>
      <w:tr w14:paraId="3846F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7B8A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GAPDH reverse 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C314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ACCAGGAAATGAGCTTGACA </w:t>
            </w:r>
          </w:p>
          <w:p w14:paraId="708653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</w:p>
        </w:tc>
      </w:tr>
      <w:tr w14:paraId="599CF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426D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C3 for 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0C57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CCAGCTCCCCATTAGCTCTG </w:t>
            </w:r>
          </w:p>
          <w:p w14:paraId="2CBB4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</w:p>
        </w:tc>
      </w:tr>
      <w:tr w14:paraId="7BB59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3D08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C3 reverse 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E4DB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 xml:space="preserve">GCACTTGCCTCTTTAGGAAGTC </w:t>
            </w:r>
          </w:p>
          <w:p w14:paraId="3AF405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</w:p>
        </w:tc>
      </w:tr>
      <w:tr w14:paraId="30876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7AA2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 w:val="0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9"/>
                <w:szCs w:val="19"/>
                <w:lang w:val="en-US" w:eastAsia="zh-CN" w:bidi="ar"/>
              </w:rPr>
              <w:t>S100A10 for</w:t>
            </w:r>
          </w:p>
          <w:p w14:paraId="5CDA14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588D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 w:val="0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9"/>
                <w:szCs w:val="19"/>
                <w:lang w:val="en-US" w:eastAsia="zh-CN" w:bidi="ar"/>
              </w:rPr>
              <w:t>CCTCTGGCTGTGGACAAAAT</w:t>
            </w:r>
          </w:p>
          <w:p w14:paraId="014010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</w:p>
        </w:tc>
      </w:tr>
      <w:tr w14:paraId="64F26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A31E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 w:val="0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9"/>
                <w:szCs w:val="19"/>
                <w:lang w:val="en-US" w:eastAsia="zh-CN" w:bidi="ar"/>
              </w:rPr>
              <w:t>S100A10 reverse</w:t>
            </w:r>
          </w:p>
          <w:p w14:paraId="4F3FBB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A7DC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 w:val="0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9"/>
                <w:szCs w:val="19"/>
                <w:lang w:val="en-US" w:eastAsia="zh-CN" w:bidi="ar"/>
              </w:rPr>
              <w:t>CTGCTCACAAGAAGCAGTGG</w:t>
            </w:r>
          </w:p>
          <w:p w14:paraId="5896EA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</w:p>
        </w:tc>
      </w:tr>
      <w:tr w14:paraId="51938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CED5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 w:eastAsiaTheme="minorEastAsia"/>
                <w:b w:val="0"/>
                <w:color w:val="000000"/>
                <w:vertAlign w:val="baseline"/>
                <w:lang w:val="en-US" w:eastAsia="zh-CN"/>
              </w:rPr>
            </w:pPr>
            <w:bookmarkStart w:id="0" w:name="OLE_LINK1"/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iNOS</w:t>
            </w:r>
            <w:bookmarkEnd w:id="0"/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9"/>
                <w:szCs w:val="19"/>
                <w:lang w:val="en-US" w:eastAsia="zh-CN" w:bidi="ar"/>
              </w:rPr>
              <w:t>for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C538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2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21"/>
                <w:vertAlign w:val="baseline"/>
              </w:rPr>
              <w:t>CTTGCCACGGACGAGAC</w:t>
            </w:r>
          </w:p>
        </w:tc>
      </w:tr>
      <w:tr w14:paraId="4FB77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4CDA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 xml:space="preserve">iNOS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9"/>
                <w:szCs w:val="19"/>
                <w:lang w:val="en-US" w:eastAsia="zh-CN" w:bidi="ar"/>
              </w:rPr>
              <w:t>reverse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C1F9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21"/>
                <w:vertAlign w:val="baseline"/>
              </w:rPr>
              <w:t>TCATTGTACTCTGAGGGCTGA</w:t>
            </w:r>
          </w:p>
        </w:tc>
      </w:tr>
      <w:tr w14:paraId="2909A3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72B4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 w:eastAsiaTheme="minorEastAsia"/>
                <w:b w:val="0"/>
                <w:color w:val="000000"/>
                <w:vertAlign w:val="baseline"/>
                <w:lang w:val="en-US" w:eastAsia="zh-CN"/>
              </w:rPr>
            </w:pPr>
            <w:bookmarkStart w:id="1" w:name="OLE_LINK2"/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21"/>
                <w:vertAlign w:val="baseline"/>
                <w:lang w:val="en-US" w:eastAsia="zh-CN"/>
              </w:rPr>
              <w:t>IL-10</w:t>
            </w:r>
            <w:bookmarkEnd w:id="1"/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9"/>
                <w:szCs w:val="19"/>
                <w:lang w:val="en-US" w:eastAsia="zh-CN" w:bidi="ar"/>
              </w:rPr>
              <w:t>for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2FE5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21"/>
                <w:vertAlign w:val="baseline"/>
              </w:rPr>
              <w:t>ATGCTTTCTGGACT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21"/>
                <w:vertAlign w:val="baseline"/>
                <w:lang w:val="en-US" w:eastAsia="zh-CN"/>
              </w:rPr>
              <w:t>G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21"/>
                <w:vertAlign w:val="baseline"/>
              </w:rPr>
              <w:t>CTGCC</w:t>
            </w:r>
          </w:p>
        </w:tc>
      </w:tr>
      <w:tr w14:paraId="7371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0C66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 xml:space="preserve">IL-10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9"/>
                <w:szCs w:val="19"/>
                <w:lang w:val="en-US" w:eastAsia="zh-CN" w:bidi="ar"/>
              </w:rPr>
              <w:t>reverse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2EFC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21"/>
                <w:vertAlign w:val="baseline"/>
              </w:rPr>
              <w:t>ATTGTTCCTG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18"/>
                <w:szCs w:val="21"/>
                <w:vertAlign w:val="baseline"/>
                <w:lang w:val="en-US" w:eastAsia="zh-CN"/>
              </w:rPr>
              <w:t>C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21"/>
                <w:vertAlign w:val="baseline"/>
              </w:rPr>
              <w:t>GCCAAGAGG</w:t>
            </w:r>
          </w:p>
        </w:tc>
      </w:tr>
    </w:tbl>
    <w:p w14:paraId="60E4C9C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 xml:space="preserve">Supplemental Table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>. List of primers used in this paper</w:t>
      </w:r>
    </w:p>
    <w:p w14:paraId="3C39DA01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7A3C393B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 xml:space="preserve">Supplemental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>Figure 1</w:t>
      </w:r>
    </w:p>
    <w:p w14:paraId="178E5998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drawing>
          <wp:inline distT="0" distB="0" distL="114300" distR="114300">
            <wp:extent cx="2673985" cy="3566160"/>
            <wp:effectExtent l="0" t="0" r="5715" b="2540"/>
            <wp:docPr id="3" name="图片 3" descr="ACE操作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E操作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9199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I</w:t>
      </w:r>
      <w:r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mages of the mice during the ACE process</w:t>
      </w:r>
    </w:p>
    <w:p w14:paraId="364E86B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281FC13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 xml:space="preserve">Supplemental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>Figure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>2</w:t>
      </w:r>
    </w:p>
    <w:p w14:paraId="135ACF7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367D9201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drawing>
          <wp:inline distT="0" distB="0" distL="114300" distR="114300">
            <wp:extent cx="2103120" cy="2760980"/>
            <wp:effectExtent l="0" t="0" r="5080" b="7620"/>
            <wp:docPr id="5" name="图片 5" descr="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OF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drawing>
          <wp:inline distT="0" distB="0" distL="114300" distR="114300">
            <wp:extent cx="2056130" cy="2760980"/>
            <wp:effectExtent l="0" t="0" r="0" b="0"/>
            <wp:docPr id="4" name="图片 4" descr="OF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OFT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FB24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In OFT, the number of entries into the inner zone and total travel distance decreased in EAE mice, but increased significantly after ACE treatment.</w:t>
      </w:r>
    </w:p>
    <w:p w14:paraId="40EBB390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</w:p>
    <w:p w14:paraId="5E976F91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 xml:space="preserve">Supplemental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>Figure 3</w:t>
      </w:r>
    </w:p>
    <w:p w14:paraId="146E8662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121920</wp:posOffset>
            </wp:positionV>
            <wp:extent cx="5270500" cy="2714625"/>
            <wp:effectExtent l="0" t="0" r="0" b="3175"/>
            <wp:wrapTight wrapText="bothSides">
              <wp:wrapPolygon>
                <wp:start x="0" y="0"/>
                <wp:lineTo x="0" y="21524"/>
                <wp:lineTo x="21548" y="21524"/>
                <wp:lineTo x="21548" y="0"/>
                <wp:lineTo x="0" y="0"/>
              </wp:wrapPolygon>
            </wp:wrapTight>
            <wp:docPr id="2" name="图片 2" descr="Supplemental Fig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l Fig.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C5C4F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02D3E6B0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Supplemental Fig.</w:t>
      </w:r>
      <w:r>
        <w:rPr>
          <w:rFonts w:hint="eastAsia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3</w:t>
      </w:r>
      <w:r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 xml:space="preserve">. Effect of ACE on Nissl staining of brain tissue in EAE mice. At 21 d post immunization, brain was isolated and performed Nissl staining. 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(A) Nissl staining in the brain of EAE and EAE-ACE mice. Scale bars, 50 1000mm. (B) Quantification of the nissal body of brain as shown in (A) (n = 3, Student’s t-test).</w:t>
      </w:r>
    </w:p>
    <w:p w14:paraId="33DA72AE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6711EE04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34D9E30A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40F2F7A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26732F12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32748B16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1812EB0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16724DC6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0D896AE1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711C2F0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7255987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2AFD65C6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1EDB9BCA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64290B71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5627F7CA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7FD25B95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05CBC6EE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5ED05DBE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7429181C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62B366A1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5CF97E2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6075BF5C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 xml:space="preserve">Supplemental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t>Figure4</w:t>
      </w:r>
    </w:p>
    <w:p w14:paraId="6B137478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</w:pPr>
    </w:p>
    <w:p w14:paraId="207CE93C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</w:pPr>
    </w:p>
    <w:p w14:paraId="498D98CE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3"/>
          <w:szCs w:val="23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-31750</wp:posOffset>
            </wp:positionV>
            <wp:extent cx="5016500" cy="4456430"/>
            <wp:effectExtent l="0" t="0" r="0" b="0"/>
            <wp:wrapTight wrapText="bothSides">
              <wp:wrapPolygon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1" name="图片 1" descr="Supplemental Fig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l Fig.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564D7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</w:pPr>
    </w:p>
    <w:p w14:paraId="7F6D0B51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</w:pPr>
      <w:bookmarkStart w:id="2" w:name="_GoBack"/>
      <w:bookmarkEnd w:id="2"/>
    </w:p>
    <w:p w14:paraId="2F20D997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</w:pPr>
    </w:p>
    <w:p w14:paraId="2491E3A1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</w:pPr>
    </w:p>
    <w:p w14:paraId="138263BB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</w:pPr>
    </w:p>
    <w:p w14:paraId="24DD99A9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</w:pPr>
    </w:p>
    <w:p w14:paraId="706F94F8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</w:pPr>
    </w:p>
    <w:p w14:paraId="7CAD7F02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</w:pPr>
    </w:p>
    <w:p w14:paraId="4408E5F0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Supplemental Fig.</w:t>
      </w:r>
      <w:r>
        <w:rPr>
          <w:rFonts w:hint="eastAsia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4</w:t>
      </w:r>
      <w:r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 xml:space="preserve">. Immunohistochemistry analysis of microglia and astrocyte in the cortex. </w:t>
      </w:r>
    </w:p>
    <w:p w14:paraId="3777FB04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(A, B) Microglial reactivity, indicated by Iba1 antibody staining, and astrocyte reactivity, indicated by GFAP antibody staining, were assessed in the cortex of control, EAE, and EAE-ACE mice. Iba1+ and GFAP+ cells in the cortex were quantified using ImageJ software (C, D). n = 5. Scale bar,50μm.Results are presented as the mean ± SD. *</w:t>
      </w:r>
      <w:r>
        <w:rPr>
          <w:rFonts w:hint="default" w:ascii="Times New Roman" w:hAnsi="Times New Roman" w:eastAsia="宋体" w:cs="Times New Roman"/>
          <w:i/>
          <w:iCs/>
          <w:kern w:val="2"/>
          <w:sz w:val="18"/>
          <w:szCs w:val="18"/>
          <w:lang w:val="en-US" w:eastAsia="zh-CN" w:bidi="ar"/>
        </w:rPr>
        <w:t>p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 xml:space="preserve"> &lt; 0.05, **</w:t>
      </w:r>
      <w:r>
        <w:rPr>
          <w:rFonts w:hint="default" w:ascii="Times New Roman" w:hAnsi="Times New Roman" w:eastAsia="宋体" w:cs="Times New Roman"/>
          <w:i/>
          <w:iCs/>
          <w:kern w:val="2"/>
          <w:sz w:val="18"/>
          <w:szCs w:val="18"/>
          <w:lang w:val="en-US" w:eastAsia="zh-CN" w:bidi="ar"/>
        </w:rPr>
        <w:t>p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&lt; 0.01, ***</w:t>
      </w:r>
      <w:r>
        <w:rPr>
          <w:rFonts w:hint="default" w:ascii="Times New Roman" w:hAnsi="Times New Roman" w:eastAsia="宋体" w:cs="Times New Roman"/>
          <w:i/>
          <w:iCs/>
          <w:kern w:val="2"/>
          <w:sz w:val="18"/>
          <w:szCs w:val="18"/>
          <w:lang w:val="en-US" w:eastAsia="zh-CN" w:bidi="ar"/>
        </w:rPr>
        <w:t>p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&lt; 0.001, one-way ANOVA with Bonferroni’s post-tests.</w:t>
      </w:r>
    </w:p>
    <w:p w14:paraId="62FA8D64"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33137D4E"/>
    <w:rsid w:val="0A4F0D41"/>
    <w:rsid w:val="0D984545"/>
    <w:rsid w:val="14AA4FF9"/>
    <w:rsid w:val="152927A1"/>
    <w:rsid w:val="2A6B76BE"/>
    <w:rsid w:val="300D61D4"/>
    <w:rsid w:val="33137D4E"/>
    <w:rsid w:val="5BC81FBD"/>
    <w:rsid w:val="60BC6F4C"/>
    <w:rsid w:val="7870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276</Words>
  <Characters>1688</Characters>
  <Lines>0</Lines>
  <Paragraphs>0</Paragraphs>
  <TotalTime>8</TotalTime>
  <ScaleCrop>false</ScaleCrop>
  <LinksUpToDate>false</LinksUpToDate>
  <CharactersWithSpaces>1902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2024-05-18T10:39:00Z</dcterms:created>
  <dc:creator>Liuxf71</dc:creator>
  <cp:lastModifiedBy>Liuxf71</cp:lastModifiedBy>
  <dcterms:modified xsi:type="dcterms:W3CDTF">2024-11-22T20:44:53Z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49B8AEC9E2BE464F829B7B46ED2A2B81_11</vt:lpwstr>
  </property>
</Properties>
</file>