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97AE" w14:textId="77777777" w:rsidR="002A6E38" w:rsidRPr="00341F95" w:rsidRDefault="002A6E38" w:rsidP="00341F95">
      <w:pPr>
        <w:spacing w:after="120"/>
        <w:rPr>
          <w:rFonts w:ascii="Times New Roman" w:eastAsia="宋体" w:hAnsi="Times New Roman"/>
          <w:iCs/>
          <w:sz w:val="24"/>
          <w:szCs w:val="24"/>
        </w:rPr>
      </w:pPr>
    </w:p>
    <w:p w14:paraId="1436BA31" w14:textId="322CD080" w:rsidR="00341F95" w:rsidRPr="008E308E" w:rsidRDefault="00341F95" w:rsidP="008E308E">
      <w:pPr>
        <w:rPr>
          <w:rFonts w:ascii="Times New Roman" w:eastAsia="宋体" w:hAnsi="Times New Roman"/>
          <w:b/>
          <w:bCs/>
        </w:rPr>
      </w:pPr>
      <w:bookmarkStart w:id="0" w:name="_Hlk140070442"/>
      <w:r w:rsidRPr="008E308E">
        <w:rPr>
          <w:rFonts w:ascii="Times New Roman" w:eastAsia="宋体" w:hAnsi="Times New Roman"/>
          <w:b/>
          <w:bCs/>
        </w:rPr>
        <w:t xml:space="preserve">Validation of the </w:t>
      </w:r>
      <w:r w:rsidR="006009EA" w:rsidRPr="008E308E">
        <w:rPr>
          <w:rFonts w:ascii="Times New Roman" w:eastAsia="宋体" w:hAnsi="Times New Roman"/>
          <w:b/>
          <w:bCs/>
        </w:rPr>
        <w:t>victims</w:t>
      </w:r>
      <w:r w:rsidRPr="008E308E">
        <w:rPr>
          <w:rFonts w:ascii="Times New Roman" w:eastAsia="宋体" w:hAnsi="Times New Roman"/>
          <w:b/>
          <w:bCs/>
        </w:rPr>
        <w:t xml:space="preserve"> PBPK Model</w:t>
      </w:r>
    </w:p>
    <w:bookmarkEnd w:id="0"/>
    <w:p w14:paraId="40DABEB4" w14:textId="22D2CB39" w:rsidR="00341F95" w:rsidRPr="008E308E" w:rsidRDefault="00341F95" w:rsidP="008E308E">
      <w:pPr>
        <w:rPr>
          <w:rFonts w:ascii="Times New Roman" w:eastAsia="宋体" w:hAnsi="Times New Roman"/>
        </w:rPr>
      </w:pPr>
      <w:r w:rsidRPr="008E308E">
        <w:rPr>
          <w:rFonts w:ascii="Times New Roman" w:eastAsia="宋体" w:hAnsi="Times New Roman" w:hint="eastAsia"/>
        </w:rPr>
        <w:t>Absorption</w:t>
      </w:r>
    </w:p>
    <w:p w14:paraId="287D2B42" w14:textId="5D897824" w:rsidR="00264278" w:rsidRPr="00911E28" w:rsidRDefault="00911E28" w:rsidP="00264278">
      <w:pPr>
        <w:rPr>
          <w:rFonts w:ascii="Times New Roman" w:eastAsia="宋体" w:hAnsi="Times New Roman"/>
        </w:rPr>
      </w:pPr>
      <w:r w:rsidRPr="00911E28">
        <w:rPr>
          <w:rFonts w:ascii="Times New Roman" w:eastAsia="宋体" w:hAnsi="Times New Roman"/>
        </w:rPr>
        <w:t xml:space="preserve">To </w:t>
      </w:r>
      <w:r>
        <w:rPr>
          <w:rFonts w:ascii="Times New Roman" w:eastAsia="宋体" w:hAnsi="Times New Roman"/>
        </w:rPr>
        <w:t>simulate</w:t>
      </w:r>
      <w:r w:rsidRPr="00911E28">
        <w:rPr>
          <w:rFonts w:ascii="Times New Roman" w:eastAsia="宋体" w:hAnsi="Times New Roman"/>
        </w:rPr>
        <w:t xml:space="preserve"> oral drug absorption, we primarily utilized the ACAT (Advanced Compartmental Absorption &amp; Transit) model. </w:t>
      </w:r>
      <w:r w:rsidR="00264278">
        <w:rPr>
          <w:rFonts w:ascii="Times New Roman" w:eastAsia="宋体" w:hAnsi="Times New Roman" w:hint="eastAsia"/>
        </w:rPr>
        <w:t>T</w:t>
      </w:r>
      <w:r w:rsidR="00264278" w:rsidRPr="00264278">
        <w:rPr>
          <w:rFonts w:ascii="Times New Roman" w:eastAsia="宋体" w:hAnsi="Times New Roman"/>
        </w:rPr>
        <w:t>he ACAT model</w:t>
      </w:r>
      <w:r w:rsidR="00264278">
        <w:rPr>
          <w:rFonts w:ascii="Times New Roman" w:eastAsia="宋体" w:hAnsi="Times New Roman"/>
        </w:rPr>
        <w:t xml:space="preserve"> </w:t>
      </w:r>
      <w:r w:rsidR="00264278">
        <w:rPr>
          <w:rFonts w:ascii="Times New Roman" w:eastAsia="宋体" w:hAnsi="Times New Roman" w:hint="eastAsia"/>
        </w:rPr>
        <w:t>is</w:t>
      </w:r>
      <w:r w:rsidR="00264278" w:rsidRPr="00264278">
        <w:rPr>
          <w:rFonts w:ascii="Times New Roman" w:eastAsia="宋体" w:hAnsi="Times New Roman"/>
        </w:rPr>
        <w:t xml:space="preserve"> a comprehensive compartmental modeling approach that considers the complex dynamics of drug absorption and transit through the gastrointestinal (GI) tract. This model integrates the dissolution model, permeability calculations, and physiological parameters within the </w:t>
      </w:r>
      <w:proofErr w:type="spellStart"/>
      <w:r w:rsidR="00264278" w:rsidRPr="00264278">
        <w:rPr>
          <w:rFonts w:ascii="Times New Roman" w:eastAsia="宋体" w:hAnsi="Times New Roman"/>
        </w:rPr>
        <w:t>GastroPlus</w:t>
      </w:r>
      <w:proofErr w:type="spellEnd"/>
      <w:r w:rsidR="00264278" w:rsidRPr="00264278">
        <w:rPr>
          <w:rFonts w:ascii="Times New Roman" w:eastAsia="宋体" w:hAnsi="Times New Roman"/>
        </w:rPr>
        <w:t xml:space="preserve"> software to simulate the intricate processes involved in oral drug absorption.</w:t>
      </w:r>
      <w:r w:rsidR="00264278">
        <w:rPr>
          <w:rFonts w:ascii="Times New Roman" w:eastAsia="宋体" w:hAnsi="Times New Roman"/>
        </w:rPr>
        <w:t xml:space="preserve"> </w:t>
      </w:r>
      <w:r w:rsidR="00264278" w:rsidRPr="00264278">
        <w:rPr>
          <w:rFonts w:ascii="Times New Roman" w:eastAsia="宋体" w:hAnsi="Times New Roman"/>
        </w:rPr>
        <w:t xml:space="preserve">The dissolution model was employed to simulate the drug's dissolution in GI fluids. This model </w:t>
      </w:r>
      <w:proofErr w:type="gramStart"/>
      <w:r w:rsidR="00264278" w:rsidRPr="00264278">
        <w:rPr>
          <w:rFonts w:ascii="Times New Roman" w:eastAsia="宋体" w:hAnsi="Times New Roman"/>
        </w:rPr>
        <w:t>takes into account</w:t>
      </w:r>
      <w:proofErr w:type="gramEnd"/>
      <w:r w:rsidR="00264278" w:rsidRPr="00264278">
        <w:rPr>
          <w:rFonts w:ascii="Times New Roman" w:eastAsia="宋体" w:hAnsi="Times New Roman"/>
        </w:rPr>
        <w:t xml:space="preserve"> factors such as drug solubility and pH, providing insight into the dissolution rate and availability of the drug for absorption.</w:t>
      </w:r>
      <w:r w:rsidR="00264278" w:rsidRPr="00264278">
        <w:t xml:space="preserve"> </w:t>
      </w:r>
      <w:r w:rsidR="00264278" w:rsidRPr="00264278">
        <w:rPr>
          <w:rFonts w:ascii="Times New Roman" w:eastAsia="宋体" w:hAnsi="Times New Roman"/>
        </w:rPr>
        <w:t xml:space="preserve">The permeability of the drug following dissolution in the GI tract considers various permeability mechanisms, including transcellular transport and paracellular diffusion. In vitro apparent permeability data from Caco-2 cell experiments were combined with the </w:t>
      </w:r>
      <w:r w:rsidR="002A7BD1">
        <w:rPr>
          <w:rFonts w:ascii="Times New Roman" w:eastAsia="宋体" w:hAnsi="Times New Roman"/>
        </w:rPr>
        <w:t>permeability</w:t>
      </w:r>
      <w:r w:rsidR="00264278" w:rsidRPr="00264278">
        <w:rPr>
          <w:rFonts w:ascii="Times New Roman" w:eastAsia="宋体" w:hAnsi="Times New Roman"/>
        </w:rPr>
        <w:t xml:space="preserve"> model to estimate the drug's permeability across the GI tract.</w:t>
      </w:r>
      <w:r w:rsidR="00264278" w:rsidRPr="00264278">
        <w:t xml:space="preserve"> </w:t>
      </w:r>
      <w:r w:rsidR="00264278" w:rsidRPr="00264278">
        <w:rPr>
          <w:rFonts w:ascii="Times New Roman" w:eastAsia="宋体" w:hAnsi="Times New Roman"/>
        </w:rPr>
        <w:t>Essential physiological parameters were factored into the ACAT model to better predict oral drug absorption. These parameters include:</w:t>
      </w:r>
      <w:r w:rsidR="00264278">
        <w:rPr>
          <w:rFonts w:ascii="Times New Roman" w:eastAsia="宋体" w:hAnsi="Times New Roman"/>
        </w:rPr>
        <w:t xml:space="preserve"> </w:t>
      </w:r>
      <w:r w:rsidR="00264278">
        <w:rPr>
          <w:rFonts w:ascii="Times New Roman" w:eastAsia="宋体" w:hAnsi="Times New Roman" w:cs="Times New Roman"/>
        </w:rPr>
        <w:t>ⅰ</w:t>
      </w:r>
      <w:r w:rsidR="00264278">
        <w:rPr>
          <w:rFonts w:ascii="Times New Roman" w:eastAsia="宋体" w:hAnsi="Times New Roman" w:hint="eastAsia"/>
        </w:rPr>
        <w:t>)</w:t>
      </w:r>
      <w:r w:rsidR="00264278" w:rsidRPr="00264278">
        <w:rPr>
          <w:rFonts w:ascii="Times New Roman" w:eastAsia="宋体" w:hAnsi="Times New Roman"/>
        </w:rPr>
        <w:t xml:space="preserve"> Gastrointestinal transit time</w:t>
      </w:r>
      <w:r w:rsidR="002A7BD1">
        <w:rPr>
          <w:rFonts w:ascii="Times New Roman" w:eastAsia="宋体" w:hAnsi="Times New Roman"/>
        </w:rPr>
        <w:t xml:space="preserve">. </w:t>
      </w:r>
      <w:r w:rsidR="00264278">
        <w:rPr>
          <w:rFonts w:ascii="Times New Roman" w:eastAsia="宋体" w:hAnsi="Times New Roman" w:cs="Times New Roman"/>
        </w:rPr>
        <w:t>ⅱ)</w:t>
      </w:r>
      <w:r w:rsidR="00264278" w:rsidRPr="00264278">
        <w:rPr>
          <w:rFonts w:ascii="Times New Roman" w:eastAsia="宋体" w:hAnsi="Times New Roman"/>
        </w:rPr>
        <w:t xml:space="preserve"> Surface area: The available surface area within the GI tract for drug absorption.</w:t>
      </w:r>
      <w:r w:rsidR="002A7BD1">
        <w:rPr>
          <w:rFonts w:ascii="Times New Roman" w:eastAsia="宋体" w:hAnsi="Times New Roman" w:hint="eastAsia"/>
        </w:rPr>
        <w:t xml:space="preserve"> </w:t>
      </w:r>
      <w:r w:rsidR="00264278">
        <w:rPr>
          <w:rFonts w:ascii="Times New Roman" w:eastAsia="宋体" w:hAnsi="Times New Roman" w:cs="Times New Roman"/>
        </w:rPr>
        <w:t>ⅲ)</w:t>
      </w:r>
      <w:r w:rsidR="00264278" w:rsidRPr="00264278">
        <w:rPr>
          <w:rFonts w:ascii="Times New Roman" w:eastAsia="宋体" w:hAnsi="Times New Roman"/>
        </w:rPr>
        <w:t xml:space="preserve"> Blood flow rate</w:t>
      </w:r>
      <w:r w:rsidR="002A7BD1">
        <w:rPr>
          <w:rFonts w:ascii="Times New Roman" w:eastAsia="宋体" w:hAnsi="Times New Roman"/>
        </w:rPr>
        <w:t>.</w:t>
      </w:r>
    </w:p>
    <w:p w14:paraId="6988C00B" w14:textId="77777777" w:rsidR="00264278" w:rsidRDefault="00264278" w:rsidP="00911E28">
      <w:pPr>
        <w:rPr>
          <w:rFonts w:ascii="Times New Roman" w:eastAsia="宋体" w:hAnsi="Times New Roman"/>
        </w:rPr>
      </w:pPr>
    </w:p>
    <w:p w14:paraId="44F86F2F" w14:textId="20A504A3" w:rsidR="00491CC6" w:rsidRDefault="00341F95" w:rsidP="00911E28">
      <w:pPr>
        <w:rPr>
          <w:rFonts w:ascii="Times New Roman" w:eastAsia="宋体" w:hAnsi="Times New Roman"/>
        </w:rPr>
      </w:pPr>
      <w:r w:rsidRPr="00341F95">
        <w:rPr>
          <w:rFonts w:ascii="Times New Roman" w:eastAsia="宋体" w:hAnsi="Times New Roman"/>
        </w:rPr>
        <w:t>The primary factors affecting absorption are solubility and permeability. To assess solubility and permeability, we gathered both qualitative</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rPr>
        <w:t>such as low, median, and high solubility or permeability</w:t>
      </w:r>
      <w:r>
        <w:rPr>
          <w:rFonts w:ascii="Times New Roman" w:eastAsia="宋体" w:hAnsi="Times New Roman" w:hint="eastAsia"/>
        </w:rPr>
        <w:t>）</w:t>
      </w:r>
      <w:r w:rsidRPr="00341F95">
        <w:rPr>
          <w:rFonts w:ascii="Times New Roman" w:eastAsia="宋体" w:hAnsi="Times New Roman"/>
        </w:rPr>
        <w:t xml:space="preserve"> and quantitative data</w:t>
      </w:r>
      <w:r>
        <w:rPr>
          <w:rFonts w:ascii="Times New Roman" w:eastAsia="宋体" w:hAnsi="Times New Roman"/>
        </w:rPr>
        <w:t xml:space="preserve"> (solubility at different pH value and </w:t>
      </w:r>
      <w:proofErr w:type="spellStart"/>
      <w:r>
        <w:rPr>
          <w:rFonts w:ascii="Times New Roman" w:eastAsia="宋体" w:hAnsi="Times New Roman"/>
        </w:rPr>
        <w:t>P</w:t>
      </w:r>
      <w:r w:rsidRPr="00341F95">
        <w:rPr>
          <w:rFonts w:ascii="Times New Roman" w:eastAsia="宋体" w:hAnsi="Times New Roman"/>
          <w:vertAlign w:val="subscript"/>
        </w:rPr>
        <w:t>appA</w:t>
      </w:r>
      <w:proofErr w:type="spellEnd"/>
      <w:r w:rsidRPr="00341F95">
        <w:rPr>
          <w:rFonts w:ascii="Times New Roman" w:eastAsia="宋体" w:hAnsi="Times New Roman"/>
          <w:vertAlign w:val="subscript"/>
        </w:rPr>
        <w:t>-B</w:t>
      </w:r>
      <w:r>
        <w:rPr>
          <w:rFonts w:ascii="Times New Roman" w:eastAsia="宋体" w:hAnsi="Times New Roman"/>
        </w:rPr>
        <w:t xml:space="preserve"> value in Caco-2)</w:t>
      </w:r>
      <w:r w:rsidRPr="00341F95">
        <w:rPr>
          <w:rFonts w:ascii="Times New Roman" w:eastAsia="宋体" w:hAnsi="Times New Roman"/>
        </w:rPr>
        <w:t xml:space="preserve">. Considering the discrepancies between </w:t>
      </w:r>
      <w:r w:rsidRPr="00341F95">
        <w:rPr>
          <w:rFonts w:ascii="Times New Roman" w:eastAsia="宋体" w:hAnsi="Times New Roman"/>
          <w:i/>
          <w:iCs/>
        </w:rPr>
        <w:t>in vitro</w:t>
      </w:r>
      <w:r w:rsidRPr="00341F95">
        <w:rPr>
          <w:rFonts w:ascii="Times New Roman" w:eastAsia="宋体" w:hAnsi="Times New Roman"/>
        </w:rPr>
        <w:t xml:space="preserve"> and </w:t>
      </w:r>
      <w:r w:rsidRPr="00341F95">
        <w:rPr>
          <w:rFonts w:ascii="Times New Roman" w:eastAsia="宋体" w:hAnsi="Times New Roman"/>
          <w:i/>
          <w:iCs/>
        </w:rPr>
        <w:t>in vivo</w:t>
      </w:r>
      <w:r w:rsidRPr="00341F95">
        <w:rPr>
          <w:rFonts w:ascii="Times New Roman" w:eastAsia="宋体" w:hAnsi="Times New Roman"/>
        </w:rPr>
        <w:t xml:space="preserve"> environments, we</w:t>
      </w:r>
      <w:r w:rsidR="000F799B">
        <w:rPr>
          <w:rFonts w:ascii="Times New Roman" w:eastAsia="宋体" w:hAnsi="Times New Roman"/>
        </w:rPr>
        <w:t xml:space="preserve"> didn’t use the quantitative </w:t>
      </w:r>
      <w:r w:rsidR="000F799B" w:rsidRPr="00E7517C">
        <w:rPr>
          <w:rFonts w:ascii="Times New Roman" w:eastAsia="宋体" w:hAnsi="Times New Roman"/>
          <w:i/>
        </w:rPr>
        <w:t>in vitro</w:t>
      </w:r>
      <w:r w:rsidR="000F799B">
        <w:rPr>
          <w:rFonts w:ascii="Times New Roman" w:eastAsia="宋体" w:hAnsi="Times New Roman"/>
        </w:rPr>
        <w:t xml:space="preserve"> data directed, but</w:t>
      </w:r>
      <w:r w:rsidRPr="00341F95">
        <w:rPr>
          <w:rFonts w:ascii="Times New Roman" w:eastAsia="宋体" w:hAnsi="Times New Roman"/>
        </w:rPr>
        <w:t xml:space="preserve"> restricted the parameter settings related to solubility and permeability in the PBPK model to a qualitative perspective only. For the validation of the absorption model, we employed </w:t>
      </w:r>
      <w:r w:rsidRPr="000F799B">
        <w:rPr>
          <w:rFonts w:ascii="Times New Roman" w:eastAsia="宋体" w:hAnsi="Times New Roman"/>
          <w:i/>
          <w:iCs/>
        </w:rPr>
        <w:t>in vivo</w:t>
      </w:r>
      <w:r w:rsidRPr="00341F95">
        <w:rPr>
          <w:rFonts w:ascii="Times New Roman" w:eastAsia="宋体" w:hAnsi="Times New Roman"/>
        </w:rPr>
        <w:t xml:space="preserve"> Fa (fraction absorbed): Firstly, we obtained data from </w:t>
      </w:r>
      <w:r w:rsidR="000F799B">
        <w:rPr>
          <w:rFonts w:ascii="Times New Roman" w:eastAsia="宋体" w:hAnsi="Times New Roman"/>
        </w:rPr>
        <w:t>mass balance</w:t>
      </w:r>
      <w:r w:rsidRPr="00341F95">
        <w:rPr>
          <w:rFonts w:ascii="Times New Roman" w:eastAsia="宋体" w:hAnsi="Times New Roman"/>
        </w:rPr>
        <w:t xml:space="preserve"> studies using radiolabeled substances, specifically determining the proportion of drug excreted in feces. Using this data, we evaluated the Fa value, defined as Fa = 1 minus the proportion of </w:t>
      </w:r>
      <w:r w:rsidR="000F799B">
        <w:rPr>
          <w:rFonts w:ascii="Times New Roman" w:eastAsia="宋体" w:hAnsi="Times New Roman"/>
        </w:rPr>
        <w:t xml:space="preserve">unchanged </w:t>
      </w:r>
      <w:r w:rsidRPr="00341F95">
        <w:rPr>
          <w:rFonts w:ascii="Times New Roman" w:eastAsia="宋体" w:hAnsi="Times New Roman"/>
        </w:rPr>
        <w:t xml:space="preserve">drug excreted in feces. Finally, we compared the simulated Fa values with the measured Fa values, as illustrated in the </w:t>
      </w:r>
      <w:r w:rsidR="00D14A8A">
        <w:rPr>
          <w:rFonts w:ascii="Times New Roman" w:eastAsia="宋体" w:hAnsi="Times New Roman"/>
        </w:rPr>
        <w:t>Figure</w:t>
      </w:r>
      <w:r w:rsidRPr="00341F95">
        <w:rPr>
          <w:rFonts w:ascii="Times New Roman" w:eastAsia="宋体" w:hAnsi="Times New Roman"/>
        </w:rPr>
        <w:t xml:space="preserve"> below. </w:t>
      </w:r>
    </w:p>
    <w:p w14:paraId="3E00FD9E" w14:textId="3C83FC55" w:rsidR="000F799B" w:rsidRDefault="00D14A8A" w:rsidP="00341F95">
      <w:pPr>
        <w:rPr>
          <w:rFonts w:ascii="Times New Roman" w:eastAsia="宋体" w:hAnsi="Times New Roman"/>
        </w:rPr>
      </w:pPr>
      <w:r>
        <w:rPr>
          <w:rFonts w:ascii="Times New Roman" w:eastAsia="宋体" w:hAnsi="Times New Roman"/>
          <w:noProof/>
        </w:rPr>
        <w:drawing>
          <wp:inline distT="0" distB="0" distL="0" distR="0" wp14:anchorId="3CCE2748" wp14:editId="27B4159A">
            <wp:extent cx="5161031" cy="1442417"/>
            <wp:effectExtent l="0" t="0" r="1905" b="5715"/>
            <wp:docPr id="2105382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8699" cy="1452944"/>
                    </a:xfrm>
                    <a:prstGeom prst="rect">
                      <a:avLst/>
                    </a:prstGeom>
                    <a:noFill/>
                  </pic:spPr>
                </pic:pic>
              </a:graphicData>
            </a:graphic>
          </wp:inline>
        </w:drawing>
      </w:r>
    </w:p>
    <w:p w14:paraId="0DA1A09B" w14:textId="541ABFAB" w:rsidR="000F799B" w:rsidRDefault="00D14A8A" w:rsidP="00341F95">
      <w:pPr>
        <w:rPr>
          <w:rFonts w:ascii="Times New Roman" w:eastAsia="宋体" w:hAnsi="Times New Roman"/>
        </w:rPr>
      </w:pPr>
      <w:r>
        <w:rPr>
          <w:rFonts w:ascii="Times New Roman" w:eastAsia="宋体" w:hAnsi="Times New Roman" w:hint="eastAsia"/>
        </w:rPr>
        <w:t>F</w:t>
      </w:r>
      <w:r>
        <w:rPr>
          <w:rFonts w:ascii="Times New Roman" w:eastAsia="宋体" w:hAnsi="Times New Roman"/>
        </w:rPr>
        <w:t>igure S</w:t>
      </w:r>
      <w:r w:rsidR="008E308E">
        <w:rPr>
          <w:rFonts w:ascii="Times New Roman" w:eastAsia="宋体" w:hAnsi="Times New Roman" w:hint="eastAsia"/>
        </w:rPr>
        <w:t>1</w:t>
      </w:r>
      <w:r>
        <w:rPr>
          <w:rFonts w:ascii="Times New Roman" w:eastAsia="宋体" w:hAnsi="Times New Roman"/>
        </w:rPr>
        <w:t>. The comparison of Fa values between the simulated (blue column) and observed (red column</w:t>
      </w:r>
      <w:r>
        <w:rPr>
          <w:rFonts w:ascii="Times New Roman" w:eastAsia="宋体" w:hAnsi="Times New Roman" w:hint="eastAsia"/>
        </w:rPr>
        <w:t>)</w:t>
      </w:r>
      <w:r>
        <w:rPr>
          <w:rFonts w:ascii="Times New Roman" w:eastAsia="宋体" w:hAnsi="Times New Roman"/>
        </w:rPr>
        <w:t>.</w:t>
      </w:r>
    </w:p>
    <w:p w14:paraId="138DD3E5" w14:textId="77777777" w:rsidR="00430A73" w:rsidRPr="00341F95" w:rsidRDefault="00430A73" w:rsidP="00341F95">
      <w:pPr>
        <w:rPr>
          <w:rFonts w:ascii="Times New Roman" w:eastAsia="宋体" w:hAnsi="Times New Roman"/>
        </w:rPr>
      </w:pPr>
    </w:p>
    <w:p w14:paraId="1F1ED25D" w14:textId="3D6C306B" w:rsidR="000F799B" w:rsidRPr="008E308E" w:rsidRDefault="000F799B" w:rsidP="008E308E">
      <w:pPr>
        <w:rPr>
          <w:rFonts w:ascii="Times New Roman" w:eastAsia="宋体" w:hAnsi="Times New Roman"/>
        </w:rPr>
      </w:pPr>
      <w:r w:rsidRPr="008E308E">
        <w:rPr>
          <w:rFonts w:ascii="Times New Roman" w:eastAsia="宋体" w:hAnsi="Times New Roman"/>
        </w:rPr>
        <w:t>Elimination (Metabolism and excretion)</w:t>
      </w:r>
    </w:p>
    <w:p w14:paraId="33EB1213" w14:textId="77777777" w:rsidR="000F799B" w:rsidRPr="000F799B" w:rsidRDefault="000F799B" w:rsidP="000F799B">
      <w:pPr>
        <w:rPr>
          <w:rFonts w:ascii="Times New Roman" w:eastAsia="宋体" w:hAnsi="Times New Roman"/>
        </w:rPr>
      </w:pPr>
      <w:r w:rsidRPr="000F799B">
        <w:rPr>
          <w:rFonts w:ascii="Times New Roman" w:eastAsia="宋体" w:hAnsi="Times New Roman"/>
        </w:rPr>
        <w:t>Firstly, since fecal excretion has already been validated through Fa determination for the unchanged drug, we will not elaborate on it further at this point.</w:t>
      </w:r>
    </w:p>
    <w:p w14:paraId="7FF66FC8" w14:textId="35779F28" w:rsidR="000F799B" w:rsidRDefault="000F799B" w:rsidP="000F799B">
      <w:pPr>
        <w:rPr>
          <w:rFonts w:ascii="Times New Roman" w:eastAsia="宋体" w:hAnsi="Times New Roman"/>
        </w:rPr>
      </w:pPr>
      <w:r>
        <w:rPr>
          <w:rFonts w:ascii="Times New Roman" w:eastAsia="宋体" w:hAnsi="Times New Roman"/>
        </w:rPr>
        <w:lastRenderedPageBreak/>
        <w:t>Secondly, f</w:t>
      </w:r>
      <w:r w:rsidRPr="000F799B">
        <w:rPr>
          <w:rFonts w:ascii="Times New Roman" w:eastAsia="宋体" w:hAnsi="Times New Roman"/>
        </w:rPr>
        <w:t>or renal excretion, we can obtain the cumulative excretion proportion of the unchanged drug through the kidneys and use it to compare and validate the simulated renal excretion in the model.</w:t>
      </w:r>
      <w:r w:rsidR="006009EA">
        <w:rPr>
          <w:rFonts w:ascii="Times New Roman" w:eastAsia="宋体" w:hAnsi="Times New Roman"/>
        </w:rPr>
        <w:t xml:space="preserve"> Please find the comparison of simulated renal excretion and actual renal excretion in the following table:</w:t>
      </w:r>
    </w:p>
    <w:p w14:paraId="25AF0716" w14:textId="0FDF86A1" w:rsidR="006009EA" w:rsidRDefault="00B21E7B" w:rsidP="000F799B">
      <w:pPr>
        <w:rPr>
          <w:rFonts w:ascii="Times New Roman" w:eastAsia="宋体" w:hAnsi="Times New Roman"/>
        </w:rPr>
      </w:pPr>
      <w:r>
        <w:rPr>
          <w:rFonts w:ascii="Times New Roman" w:eastAsia="宋体" w:hAnsi="Times New Roman"/>
          <w:noProof/>
        </w:rPr>
        <w:drawing>
          <wp:inline distT="0" distB="0" distL="0" distR="0" wp14:anchorId="6F32F158" wp14:editId="1B2259E6">
            <wp:extent cx="5273675" cy="2639695"/>
            <wp:effectExtent l="0" t="0" r="3175" b="8255"/>
            <wp:docPr id="1388549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639695"/>
                    </a:xfrm>
                    <a:prstGeom prst="rect">
                      <a:avLst/>
                    </a:prstGeom>
                    <a:noFill/>
                  </pic:spPr>
                </pic:pic>
              </a:graphicData>
            </a:graphic>
          </wp:inline>
        </w:drawing>
      </w:r>
      <w:r w:rsidR="00D14A8A">
        <w:rPr>
          <w:rFonts w:ascii="Times New Roman" w:eastAsia="宋体" w:hAnsi="Times New Roman"/>
          <w:noProof/>
        </w:rPr>
        <w:drawing>
          <wp:inline distT="0" distB="0" distL="0" distR="0" wp14:anchorId="07942EB5" wp14:editId="6ECC03D1">
            <wp:extent cx="5211519" cy="1460037"/>
            <wp:effectExtent l="0" t="0" r="8255" b="6985"/>
            <wp:docPr id="18204032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0421" cy="1468134"/>
                    </a:xfrm>
                    <a:prstGeom prst="rect">
                      <a:avLst/>
                    </a:prstGeom>
                    <a:noFill/>
                  </pic:spPr>
                </pic:pic>
              </a:graphicData>
            </a:graphic>
          </wp:inline>
        </w:drawing>
      </w:r>
    </w:p>
    <w:p w14:paraId="6E0BFB25" w14:textId="46613B46" w:rsidR="00D14A8A" w:rsidRPr="00341F95" w:rsidRDefault="00D14A8A" w:rsidP="00D14A8A">
      <w:pPr>
        <w:rPr>
          <w:rFonts w:ascii="Times New Roman" w:eastAsia="宋体" w:hAnsi="Times New Roman"/>
        </w:rPr>
      </w:pPr>
      <w:r>
        <w:rPr>
          <w:rFonts w:ascii="Times New Roman" w:eastAsia="宋体" w:hAnsi="Times New Roman" w:hint="eastAsia"/>
        </w:rPr>
        <w:t>F</w:t>
      </w:r>
      <w:r>
        <w:rPr>
          <w:rFonts w:ascii="Times New Roman" w:eastAsia="宋体" w:hAnsi="Times New Roman"/>
        </w:rPr>
        <w:t>igure S</w:t>
      </w:r>
      <w:r w:rsidR="008E308E">
        <w:rPr>
          <w:rFonts w:ascii="Times New Roman" w:eastAsia="宋体" w:hAnsi="Times New Roman" w:hint="eastAsia"/>
        </w:rPr>
        <w:t>2</w:t>
      </w:r>
      <w:r>
        <w:rPr>
          <w:rFonts w:ascii="Times New Roman" w:eastAsia="宋体" w:hAnsi="Times New Roman"/>
        </w:rPr>
        <w:t xml:space="preserve">. The comparison of renal excretion values between the </w:t>
      </w:r>
      <w:r w:rsidR="00516E77">
        <w:rPr>
          <w:rFonts w:ascii="Times New Roman" w:eastAsia="宋体" w:hAnsi="Times New Roman"/>
        </w:rPr>
        <w:t>simulated (blue column) and observed (red column</w:t>
      </w:r>
      <w:r w:rsidR="00516E77">
        <w:rPr>
          <w:rFonts w:ascii="Times New Roman" w:eastAsia="宋体" w:hAnsi="Times New Roman" w:hint="eastAsia"/>
        </w:rPr>
        <w:t>)</w:t>
      </w:r>
      <w:r>
        <w:rPr>
          <w:rFonts w:ascii="Times New Roman" w:eastAsia="宋体" w:hAnsi="Times New Roman"/>
        </w:rPr>
        <w:t>.</w:t>
      </w:r>
      <w:r w:rsidR="00B21E7B">
        <w:rPr>
          <w:rFonts w:ascii="Times New Roman" w:eastAsia="宋体" w:hAnsi="Times New Roman"/>
        </w:rPr>
        <w:t xml:space="preserve"> </w:t>
      </w:r>
      <w:r w:rsidR="00B21E7B" w:rsidRPr="00B21E7B">
        <w:rPr>
          <w:rFonts w:ascii="Times New Roman" w:eastAsia="宋体" w:hAnsi="Times New Roman"/>
        </w:rPr>
        <w:t xml:space="preserve">The table presented below the figure summarizes the renal excretion data for drugs exhibiting renal elimination characteristics. For drugs not featured in the table, both observed and simulated renal excretion values for the parent compound </w:t>
      </w:r>
      <w:r w:rsidR="009E185A" w:rsidRPr="009E185A">
        <w:rPr>
          <w:rFonts w:ascii="Times New Roman" w:eastAsia="宋体" w:hAnsi="Times New Roman"/>
        </w:rPr>
        <w:t>are reported as 0</w:t>
      </w:r>
      <w:r w:rsidR="00B21E7B" w:rsidRPr="00B21E7B">
        <w:rPr>
          <w:rFonts w:ascii="Times New Roman" w:eastAsia="宋体" w:hAnsi="Times New Roman"/>
        </w:rPr>
        <w:t>.</w:t>
      </w:r>
    </w:p>
    <w:p w14:paraId="68919F2A" w14:textId="77777777" w:rsidR="00D14A8A" w:rsidRPr="00D14A8A" w:rsidRDefault="00D14A8A" w:rsidP="000F799B">
      <w:pPr>
        <w:rPr>
          <w:rFonts w:ascii="Times New Roman" w:eastAsia="宋体" w:hAnsi="Times New Roman"/>
        </w:rPr>
      </w:pPr>
    </w:p>
    <w:p w14:paraId="3D4D6AE4" w14:textId="5DC40645" w:rsidR="006009EA" w:rsidRDefault="000F799B" w:rsidP="000F799B">
      <w:pPr>
        <w:rPr>
          <w:rFonts w:ascii="Times New Roman" w:eastAsia="宋体" w:hAnsi="Times New Roman"/>
        </w:rPr>
      </w:pPr>
      <w:r>
        <w:rPr>
          <w:rFonts w:ascii="Times New Roman" w:eastAsia="宋体" w:hAnsi="Times New Roman"/>
        </w:rPr>
        <w:t>Finally, w</w:t>
      </w:r>
      <w:r w:rsidRPr="000F799B">
        <w:rPr>
          <w:rFonts w:ascii="Times New Roman" w:eastAsia="宋体" w:hAnsi="Times New Roman"/>
        </w:rPr>
        <w:t xml:space="preserve">e assume the absence of extrahepatic metabolism, with all </w:t>
      </w:r>
      <w:proofErr w:type="gramStart"/>
      <w:r w:rsidRPr="000F799B">
        <w:rPr>
          <w:rFonts w:ascii="Times New Roman" w:eastAsia="宋体" w:hAnsi="Times New Roman"/>
        </w:rPr>
        <w:t>metabolism</w:t>
      </w:r>
      <w:proofErr w:type="gramEnd"/>
      <w:r w:rsidRPr="000F799B">
        <w:rPr>
          <w:rFonts w:ascii="Times New Roman" w:eastAsia="宋体" w:hAnsi="Times New Roman"/>
        </w:rPr>
        <w:t xml:space="preserve"> occurring within the liver and intestines. The distribution of the drug in tissues is reversible, ultimately returning to the plasma. Thus, </w:t>
      </w:r>
      <w:r w:rsidR="006009EA" w:rsidRPr="006009EA">
        <w:rPr>
          <w:rFonts w:ascii="Times New Roman" w:eastAsia="宋体" w:hAnsi="Times New Roman"/>
        </w:rPr>
        <w:t xml:space="preserve">assuming fixed excretion parameters, there </w:t>
      </w:r>
      <w:r w:rsidR="006009EA">
        <w:rPr>
          <w:rFonts w:ascii="Times New Roman" w:eastAsia="宋体" w:hAnsi="Times New Roman"/>
        </w:rPr>
        <w:t>should be</w:t>
      </w:r>
      <w:r w:rsidR="006009EA" w:rsidRPr="006009EA">
        <w:rPr>
          <w:rFonts w:ascii="Times New Roman" w:eastAsia="宋体" w:hAnsi="Times New Roman"/>
        </w:rPr>
        <w:t xml:space="preserve"> a strong relationship between the metabolism of the drug in the liver and the level of the unchanged drug present in the plasma.</w:t>
      </w:r>
      <w:r w:rsidR="006009EA">
        <w:rPr>
          <w:rFonts w:ascii="Times New Roman" w:eastAsia="宋体" w:hAnsi="Times New Roman"/>
        </w:rPr>
        <w:t xml:space="preserve"> Please find the comparison of the simulated AUC with actual AUC in the following </w:t>
      </w:r>
      <w:r w:rsidR="00D14A8A">
        <w:rPr>
          <w:rFonts w:ascii="Times New Roman" w:eastAsia="宋体" w:hAnsi="Times New Roman"/>
        </w:rPr>
        <w:t>Figure</w:t>
      </w:r>
      <w:r w:rsidR="006009EA">
        <w:rPr>
          <w:rFonts w:ascii="Times New Roman" w:eastAsia="宋体" w:hAnsi="Times New Roman"/>
        </w:rPr>
        <w:t>:</w:t>
      </w:r>
    </w:p>
    <w:p w14:paraId="15F837D1" w14:textId="09780A7B" w:rsidR="006009EA" w:rsidRDefault="00D14A8A" w:rsidP="000F799B">
      <w:pPr>
        <w:rPr>
          <w:rFonts w:ascii="Times New Roman" w:eastAsia="宋体" w:hAnsi="Times New Roman"/>
        </w:rPr>
      </w:pPr>
      <w:r>
        <w:rPr>
          <w:rFonts w:ascii="Times New Roman" w:eastAsia="宋体" w:hAnsi="Times New Roman"/>
          <w:noProof/>
        </w:rPr>
        <w:drawing>
          <wp:inline distT="0" distB="0" distL="0" distR="0" wp14:anchorId="5F19C666" wp14:editId="71302621">
            <wp:extent cx="5378302" cy="1506762"/>
            <wp:effectExtent l="0" t="0" r="0" b="0"/>
            <wp:docPr id="2839505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1608" cy="1518894"/>
                    </a:xfrm>
                    <a:prstGeom prst="rect">
                      <a:avLst/>
                    </a:prstGeom>
                    <a:noFill/>
                  </pic:spPr>
                </pic:pic>
              </a:graphicData>
            </a:graphic>
          </wp:inline>
        </w:drawing>
      </w:r>
    </w:p>
    <w:p w14:paraId="79A0990A" w14:textId="76D59418" w:rsidR="00D14A8A" w:rsidRPr="00341F95" w:rsidRDefault="00D14A8A" w:rsidP="00D14A8A">
      <w:pPr>
        <w:rPr>
          <w:rFonts w:ascii="Times New Roman" w:eastAsia="宋体" w:hAnsi="Times New Roman"/>
        </w:rPr>
      </w:pPr>
      <w:r>
        <w:rPr>
          <w:rFonts w:ascii="Times New Roman" w:eastAsia="宋体" w:hAnsi="Times New Roman" w:hint="eastAsia"/>
        </w:rPr>
        <w:lastRenderedPageBreak/>
        <w:t>F</w:t>
      </w:r>
      <w:r>
        <w:rPr>
          <w:rFonts w:ascii="Times New Roman" w:eastAsia="宋体" w:hAnsi="Times New Roman"/>
        </w:rPr>
        <w:t>igure S</w:t>
      </w:r>
      <w:r w:rsidR="008E308E">
        <w:rPr>
          <w:rFonts w:ascii="Times New Roman" w:eastAsia="宋体" w:hAnsi="Times New Roman" w:hint="eastAsia"/>
        </w:rPr>
        <w:t>3</w:t>
      </w:r>
      <w:r>
        <w:rPr>
          <w:rFonts w:ascii="Times New Roman" w:eastAsia="宋体" w:hAnsi="Times New Roman"/>
        </w:rPr>
        <w:t xml:space="preserve">. The comparison of renal excretion values between the </w:t>
      </w:r>
      <w:r w:rsidR="00516E77">
        <w:rPr>
          <w:rFonts w:ascii="Times New Roman" w:eastAsia="宋体" w:hAnsi="Times New Roman"/>
        </w:rPr>
        <w:t>simulated (blue column) and observed (red column</w:t>
      </w:r>
      <w:r w:rsidR="00516E77">
        <w:rPr>
          <w:rFonts w:ascii="Times New Roman" w:eastAsia="宋体" w:hAnsi="Times New Roman" w:hint="eastAsia"/>
        </w:rPr>
        <w:t>)</w:t>
      </w:r>
      <w:r>
        <w:rPr>
          <w:rFonts w:ascii="Times New Roman" w:eastAsia="宋体" w:hAnsi="Times New Roman"/>
        </w:rPr>
        <w:t>.</w:t>
      </w:r>
    </w:p>
    <w:p w14:paraId="0F658DDA" w14:textId="77777777" w:rsidR="006009EA" w:rsidRPr="00D14A8A" w:rsidRDefault="006009EA" w:rsidP="000F799B">
      <w:pPr>
        <w:rPr>
          <w:rFonts w:ascii="Times New Roman" w:eastAsia="宋体" w:hAnsi="Times New Roman"/>
        </w:rPr>
      </w:pPr>
    </w:p>
    <w:p w14:paraId="5E418C6B" w14:textId="77777777" w:rsidR="006009EA" w:rsidRDefault="006009EA" w:rsidP="000F799B">
      <w:pPr>
        <w:rPr>
          <w:rFonts w:ascii="Times New Roman" w:eastAsia="宋体" w:hAnsi="Times New Roman"/>
        </w:rPr>
      </w:pPr>
    </w:p>
    <w:p w14:paraId="248F5088" w14:textId="47005542" w:rsidR="00474F3B" w:rsidRPr="008E308E" w:rsidRDefault="00474F3B" w:rsidP="008E308E">
      <w:pPr>
        <w:rPr>
          <w:rFonts w:ascii="Times New Roman" w:eastAsia="宋体" w:hAnsi="Times New Roman"/>
        </w:rPr>
      </w:pPr>
      <w:r w:rsidRPr="008E308E">
        <w:rPr>
          <w:rFonts w:ascii="Times New Roman" w:eastAsia="宋体" w:hAnsi="Times New Roman"/>
        </w:rPr>
        <w:t>Distribution:</w:t>
      </w:r>
    </w:p>
    <w:p w14:paraId="596B44F0" w14:textId="77777777" w:rsidR="00474F3B" w:rsidRPr="00474F3B" w:rsidRDefault="00474F3B" w:rsidP="00474F3B">
      <w:pPr>
        <w:rPr>
          <w:rFonts w:ascii="Times New Roman" w:eastAsia="宋体" w:hAnsi="Times New Roman"/>
        </w:rPr>
      </w:pPr>
      <w:r w:rsidRPr="00474F3B">
        <w:rPr>
          <w:rFonts w:ascii="Times New Roman" w:eastAsia="宋体" w:hAnsi="Times New Roman"/>
        </w:rPr>
        <w:t>In our predictions, we utilized a compartmental modeling approach, specifically the two-compartment model. This model includes distinct compartments representing key physiological sites such as the intestine, liver, central compartment, and peripheral compartment. The two-compartment model provides a simplified yet comprehensive representation of drug distribution dynamics within the body.</w:t>
      </w:r>
    </w:p>
    <w:p w14:paraId="7FA4AC31" w14:textId="0340972A" w:rsidR="00474F3B" w:rsidRDefault="00474F3B" w:rsidP="00474F3B">
      <w:pPr>
        <w:rPr>
          <w:rFonts w:ascii="Times New Roman" w:eastAsia="宋体" w:hAnsi="Times New Roman"/>
        </w:rPr>
      </w:pPr>
      <w:r w:rsidRPr="00474F3B">
        <w:rPr>
          <w:rFonts w:ascii="Times New Roman" w:eastAsia="宋体" w:hAnsi="Times New Roman"/>
        </w:rPr>
        <w:t>Given the utilization of the two-compartment model, the concepts of perfusion-limited and permeability-limited distribution mechanisms are not directly applicable. Instead, the model inherently accounts for the complexities of drug distribution by characterizing the movement of drugs between the central and peripheral compartments, which represent highly perfused and less perfused tissues, respectively.</w:t>
      </w:r>
    </w:p>
    <w:p w14:paraId="525139E0" w14:textId="5D13C0DA" w:rsidR="006009EA" w:rsidRPr="00D23E57" w:rsidRDefault="006009EA" w:rsidP="00D23E57">
      <w:pPr>
        <w:rPr>
          <w:rFonts w:ascii="Times New Roman" w:eastAsia="宋体" w:hAnsi="Times New Roman"/>
        </w:rPr>
      </w:pPr>
      <w:r w:rsidRPr="00D23E57">
        <w:rPr>
          <w:rFonts w:ascii="Times New Roman" w:eastAsia="宋体" w:hAnsi="Times New Roman"/>
        </w:rPr>
        <w:t>In this model, we have implemented two approaches to ensure a distribution profile that closely resembles real-world conditions</w:t>
      </w:r>
      <w:r w:rsidR="00474F3B">
        <w:rPr>
          <w:rFonts w:ascii="Times New Roman" w:eastAsia="宋体" w:hAnsi="Times New Roman" w:hint="eastAsia"/>
        </w:rPr>
        <w:t>.</w:t>
      </w:r>
    </w:p>
    <w:p w14:paraId="7FA5E487" w14:textId="59DA5092" w:rsidR="006009EA" w:rsidRPr="00D23E57" w:rsidRDefault="006009EA" w:rsidP="00D23E57">
      <w:pPr>
        <w:rPr>
          <w:rFonts w:ascii="Times New Roman" w:eastAsia="宋体" w:hAnsi="Times New Roman"/>
        </w:rPr>
      </w:pPr>
      <w:r w:rsidRPr="006009EA">
        <w:rPr>
          <w:rFonts w:ascii="Times New Roman" w:eastAsia="宋体" w:hAnsi="Times New Roman"/>
        </w:rPr>
        <w:t>Firstly, we have incorporated measured values for distribution-related parameters such as plasma protein binding and blood-to-plasma ratio (BP ratio). This enables us to align these parameters in the model with empirically observed values.</w:t>
      </w:r>
    </w:p>
    <w:p w14:paraId="1A3D05A8" w14:textId="3069FC3C" w:rsidR="006009EA" w:rsidRDefault="006009EA" w:rsidP="006009EA">
      <w:pPr>
        <w:rPr>
          <w:rFonts w:ascii="Times New Roman" w:eastAsia="宋体" w:hAnsi="Times New Roman"/>
        </w:rPr>
      </w:pPr>
      <w:r w:rsidRPr="006009EA">
        <w:rPr>
          <w:rFonts w:ascii="Times New Roman" w:eastAsia="宋体" w:hAnsi="Times New Roman"/>
        </w:rPr>
        <w:t>Secondly, we consider distribution to be a reversible process. Therefore, the primary factor determining distribution is the drug's ability to return to the plasma after entering other compartments assuming fixed absorption, metabolism, and excretion. Consequently, the shape and distribution of the drug within the plasma exhibit greater relevance</w:t>
      </w:r>
      <w:r>
        <w:rPr>
          <w:rFonts w:ascii="Times New Roman" w:eastAsia="宋体" w:hAnsi="Times New Roman"/>
        </w:rPr>
        <w:t>. The simulated PK profiles of victims are compared with the actual PK profiles in the following figure:</w:t>
      </w:r>
    </w:p>
    <w:p w14:paraId="63772794" w14:textId="4D78987B" w:rsidR="006C0E95" w:rsidRPr="006009EA" w:rsidRDefault="006C0E95" w:rsidP="006009EA">
      <w:pPr>
        <w:rPr>
          <w:rFonts w:ascii="Times New Roman" w:eastAsia="宋体" w:hAnsi="Times New Roman"/>
        </w:rPr>
      </w:pPr>
      <w:r>
        <w:rPr>
          <w:noProof/>
        </w:rPr>
        <w:lastRenderedPageBreak/>
        <w:drawing>
          <wp:inline distT="0" distB="0" distL="0" distR="0" wp14:anchorId="267E76C9" wp14:editId="6FCF84E2">
            <wp:extent cx="5274310" cy="7618730"/>
            <wp:effectExtent l="0" t="0" r="2540" b="1270"/>
            <wp:docPr id="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pic:nvPicPr>
                  <pic:blipFill>
                    <a:blip r:embed="rId11">
                      <a:extLst>
                        <a:ext uri="{28A0092B-C50C-407E-A947-70E740481C1C}">
                          <a14:useLocalDpi xmlns:a14="http://schemas.microsoft.com/office/drawing/2010/main" val="0"/>
                        </a:ext>
                      </a:extLst>
                    </a:blip>
                    <a:stretch>
                      <a:fillRect/>
                    </a:stretch>
                  </pic:blipFill>
                  <pic:spPr>
                    <a:xfrm>
                      <a:off x="0" y="0"/>
                      <a:ext cx="5274310" cy="7618730"/>
                    </a:xfrm>
                    <a:prstGeom prst="rect">
                      <a:avLst/>
                    </a:prstGeom>
                  </pic:spPr>
                </pic:pic>
              </a:graphicData>
            </a:graphic>
          </wp:inline>
        </w:drawing>
      </w:r>
    </w:p>
    <w:p w14:paraId="320EC630" w14:textId="487031E9" w:rsidR="006009EA" w:rsidRPr="006009EA" w:rsidRDefault="006C0E95" w:rsidP="006C0E95">
      <w:pPr>
        <w:pStyle w:val="a7"/>
        <w:ind w:left="360"/>
        <w:jc w:val="left"/>
        <w:rPr>
          <w:rFonts w:ascii="Times New Roman" w:eastAsia="宋体" w:hAnsi="Times New Roman"/>
        </w:rPr>
      </w:pPr>
      <w:r>
        <w:rPr>
          <w:noProof/>
        </w:rPr>
        <w:lastRenderedPageBreak/>
        <w:drawing>
          <wp:inline distT="0" distB="0" distL="0" distR="0" wp14:anchorId="1337A1F9" wp14:editId="0E405396">
            <wp:extent cx="5274310" cy="3875405"/>
            <wp:effectExtent l="0" t="0" r="2540" b="0"/>
            <wp:docPr id="4"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10;&#10;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5274310" cy="3875405"/>
                    </a:xfrm>
                    <a:prstGeom prst="rect">
                      <a:avLst/>
                    </a:prstGeom>
                  </pic:spPr>
                </pic:pic>
              </a:graphicData>
            </a:graphic>
          </wp:inline>
        </w:drawing>
      </w:r>
    </w:p>
    <w:p w14:paraId="72614E55" w14:textId="1B370DF8" w:rsidR="006C0E95" w:rsidRDefault="006C0E95" w:rsidP="000E7182">
      <w:pPr>
        <w:rPr>
          <w:rFonts w:ascii="Times New Roman" w:eastAsia="宋体" w:hAnsi="Times New Roman"/>
        </w:rPr>
      </w:pPr>
      <w:r w:rsidRPr="006C0E95">
        <w:rPr>
          <w:rFonts w:ascii="Times New Roman" w:eastAsia="宋体" w:hAnsi="Times New Roman"/>
        </w:rPr>
        <w:t>Figure S</w:t>
      </w:r>
      <w:r w:rsidR="008E308E">
        <w:rPr>
          <w:rFonts w:ascii="Times New Roman" w:eastAsia="宋体" w:hAnsi="Times New Roman" w:hint="eastAsia"/>
        </w:rPr>
        <w:t>3</w:t>
      </w:r>
      <w:r w:rsidRPr="006C0E95">
        <w:rPr>
          <w:rFonts w:ascii="Times New Roman" w:eastAsia="宋体" w:hAnsi="Times New Roman"/>
        </w:rPr>
        <w:t xml:space="preserve">. Model-simulated pharmacokinetic plasma profiles, following </w:t>
      </w:r>
      <w:proofErr w:type="spellStart"/>
      <w:r w:rsidRPr="006C0E95">
        <w:rPr>
          <w:rFonts w:ascii="Times New Roman" w:eastAsia="宋体" w:hAnsi="Times New Roman"/>
        </w:rPr>
        <w:t>p.o.</w:t>
      </w:r>
      <w:proofErr w:type="spellEnd"/>
      <w:r w:rsidRPr="006C0E95">
        <w:rPr>
          <w:rFonts w:ascii="Times New Roman" w:eastAsia="宋体" w:hAnsi="Times New Roman"/>
        </w:rPr>
        <w:t xml:space="preserve"> alone, overlaid with the observed data. Blue solid lines and circles represent the fitted pharmacokinetic profiles and the observed mean data after </w:t>
      </w:r>
      <w:proofErr w:type="spellStart"/>
      <w:r w:rsidRPr="006C0E95">
        <w:rPr>
          <w:rFonts w:ascii="Times New Roman" w:eastAsia="宋体" w:hAnsi="Times New Roman"/>
        </w:rPr>
        <w:t>p.o.</w:t>
      </w:r>
      <w:proofErr w:type="spellEnd"/>
      <w:r w:rsidRPr="006C0E95">
        <w:rPr>
          <w:rFonts w:ascii="Times New Roman" w:eastAsia="宋体" w:hAnsi="Times New Roman"/>
        </w:rPr>
        <w:t xml:space="preserve"> alone, respectively. </w:t>
      </w:r>
    </w:p>
    <w:p w14:paraId="2789D1F9" w14:textId="70CFE3C1" w:rsidR="00604236" w:rsidRDefault="006009EA" w:rsidP="000E7182">
      <w:pPr>
        <w:rPr>
          <w:rFonts w:ascii="Times New Roman" w:eastAsia="宋体" w:hAnsi="Times New Roman"/>
        </w:rPr>
      </w:pPr>
      <w:r w:rsidRPr="000E7182">
        <w:rPr>
          <w:rFonts w:ascii="Times New Roman" w:eastAsia="宋体" w:hAnsi="Times New Roman"/>
        </w:rPr>
        <w:t xml:space="preserve">By </w:t>
      </w:r>
      <w:r w:rsidR="00F00819">
        <w:rPr>
          <w:rFonts w:ascii="Times New Roman" w:eastAsia="宋体" w:hAnsi="Times New Roman"/>
        </w:rPr>
        <w:t>above validations</w:t>
      </w:r>
      <w:r w:rsidRPr="000E7182">
        <w:rPr>
          <w:rFonts w:ascii="Times New Roman" w:eastAsia="宋体" w:hAnsi="Times New Roman"/>
        </w:rPr>
        <w:t>, we strive</w:t>
      </w:r>
      <w:r w:rsidR="00F00819">
        <w:rPr>
          <w:rFonts w:ascii="Times New Roman" w:eastAsia="宋体" w:hAnsi="Times New Roman"/>
        </w:rPr>
        <w:t>d</w:t>
      </w:r>
      <w:r w:rsidRPr="000E7182">
        <w:rPr>
          <w:rFonts w:ascii="Times New Roman" w:eastAsia="宋体" w:hAnsi="Times New Roman"/>
        </w:rPr>
        <w:t xml:space="preserve"> to achieve a more accurate representation of drug </w:t>
      </w:r>
      <w:r w:rsidR="00F00819">
        <w:rPr>
          <w:rFonts w:ascii="Times New Roman" w:eastAsia="宋体" w:hAnsi="Times New Roman"/>
        </w:rPr>
        <w:t>absorption</w:t>
      </w:r>
      <w:r w:rsidR="00F00819">
        <w:rPr>
          <w:rFonts w:ascii="Times New Roman" w:eastAsia="宋体" w:hAnsi="Times New Roman" w:hint="eastAsia"/>
        </w:rPr>
        <w:t>,</w:t>
      </w:r>
      <w:r w:rsidR="00F00819">
        <w:rPr>
          <w:rFonts w:ascii="Times New Roman" w:eastAsia="宋体" w:hAnsi="Times New Roman"/>
        </w:rPr>
        <w:t xml:space="preserve"> </w:t>
      </w:r>
      <w:r w:rsidRPr="000E7182">
        <w:rPr>
          <w:rFonts w:ascii="Times New Roman" w:eastAsia="宋体" w:hAnsi="Times New Roman"/>
        </w:rPr>
        <w:t>distribution</w:t>
      </w:r>
      <w:r w:rsidR="00F00819">
        <w:rPr>
          <w:rFonts w:ascii="Times New Roman" w:eastAsia="宋体" w:hAnsi="Times New Roman" w:hint="eastAsia"/>
        </w:rPr>
        <w:t>,</w:t>
      </w:r>
      <w:r w:rsidR="00F00819">
        <w:rPr>
          <w:rFonts w:ascii="Times New Roman" w:eastAsia="宋体" w:hAnsi="Times New Roman"/>
        </w:rPr>
        <w:t xml:space="preserve"> </w:t>
      </w:r>
      <w:r w:rsidR="00F00819">
        <w:rPr>
          <w:rFonts w:ascii="Times New Roman" w:eastAsia="宋体" w:hAnsi="Times New Roman" w:hint="eastAsia"/>
        </w:rPr>
        <w:t>metabolism,</w:t>
      </w:r>
      <w:r w:rsidR="00F00819">
        <w:rPr>
          <w:rFonts w:ascii="Times New Roman" w:eastAsia="宋体" w:hAnsi="Times New Roman"/>
        </w:rPr>
        <w:t xml:space="preserve"> </w:t>
      </w:r>
      <w:r w:rsidR="00F00819">
        <w:rPr>
          <w:rFonts w:ascii="Times New Roman" w:eastAsia="宋体" w:hAnsi="Times New Roman" w:hint="eastAsia"/>
        </w:rPr>
        <w:t>and</w:t>
      </w:r>
      <w:r w:rsidR="00F00819">
        <w:rPr>
          <w:rFonts w:ascii="Times New Roman" w:eastAsia="宋体" w:hAnsi="Times New Roman"/>
        </w:rPr>
        <w:t xml:space="preserve"> </w:t>
      </w:r>
      <w:r w:rsidR="00F00819">
        <w:rPr>
          <w:rFonts w:ascii="Times New Roman" w:eastAsia="宋体" w:hAnsi="Times New Roman" w:hint="eastAsia"/>
        </w:rPr>
        <w:t>excretion</w:t>
      </w:r>
      <w:r w:rsidRPr="000E7182">
        <w:rPr>
          <w:rFonts w:ascii="Times New Roman" w:eastAsia="宋体" w:hAnsi="Times New Roman"/>
        </w:rPr>
        <w:t xml:space="preserve"> within the model, closely resembling its behavior in real-world scenarios.</w:t>
      </w:r>
      <w:r w:rsidR="00F00819">
        <w:rPr>
          <w:rFonts w:ascii="Times New Roman" w:eastAsia="宋体" w:hAnsi="Times New Roman"/>
        </w:rPr>
        <w:t xml:space="preserve"> </w:t>
      </w:r>
    </w:p>
    <w:sectPr w:rsidR="00604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873A" w14:textId="77777777" w:rsidR="00385929" w:rsidRDefault="00385929" w:rsidP="007C49C4">
      <w:pPr>
        <w:rPr>
          <w:rFonts w:hint="eastAsia"/>
        </w:rPr>
      </w:pPr>
      <w:r>
        <w:separator/>
      </w:r>
    </w:p>
  </w:endnote>
  <w:endnote w:type="continuationSeparator" w:id="0">
    <w:p w14:paraId="13A24F5A" w14:textId="77777777" w:rsidR="00385929" w:rsidRDefault="00385929" w:rsidP="007C49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AEECD" w14:textId="77777777" w:rsidR="00385929" w:rsidRDefault="00385929" w:rsidP="007C49C4">
      <w:pPr>
        <w:rPr>
          <w:rFonts w:hint="eastAsia"/>
        </w:rPr>
      </w:pPr>
      <w:r>
        <w:separator/>
      </w:r>
    </w:p>
  </w:footnote>
  <w:footnote w:type="continuationSeparator" w:id="0">
    <w:p w14:paraId="3C56A102" w14:textId="77777777" w:rsidR="00385929" w:rsidRDefault="00385929" w:rsidP="007C49C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7A86"/>
    <w:multiLevelType w:val="hybridMultilevel"/>
    <w:tmpl w:val="384C10C6"/>
    <w:lvl w:ilvl="0" w:tplc="74545CD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A702390"/>
    <w:multiLevelType w:val="hybridMultilevel"/>
    <w:tmpl w:val="F80A2F1C"/>
    <w:lvl w:ilvl="0" w:tplc="58B48E34">
      <w:start w:val="1"/>
      <w:numFmt w:val="japaneseCounting"/>
      <w:lvlText w:val="第%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BE670E5"/>
    <w:multiLevelType w:val="multilevel"/>
    <w:tmpl w:val="955E9ED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19B60D2"/>
    <w:multiLevelType w:val="multilevel"/>
    <w:tmpl w:val="E58A81F4"/>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66522B0D"/>
    <w:multiLevelType w:val="hybridMultilevel"/>
    <w:tmpl w:val="D3A4B78C"/>
    <w:lvl w:ilvl="0" w:tplc="02585776">
      <w:start w:val="1"/>
      <w:numFmt w:val="japaneseCounting"/>
      <w:lvlText w:val="第%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49156791">
    <w:abstractNumId w:val="3"/>
  </w:num>
  <w:num w:numId="2" w16cid:durableId="1721199410">
    <w:abstractNumId w:val="1"/>
  </w:num>
  <w:num w:numId="3" w16cid:durableId="1600210899">
    <w:abstractNumId w:val="4"/>
  </w:num>
  <w:num w:numId="4" w16cid:durableId="1921527191">
    <w:abstractNumId w:val="2"/>
  </w:num>
  <w:num w:numId="5" w16cid:durableId="79953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4F"/>
    <w:rsid w:val="00002D28"/>
    <w:rsid w:val="00025E95"/>
    <w:rsid w:val="00053AF5"/>
    <w:rsid w:val="00057905"/>
    <w:rsid w:val="00060D0F"/>
    <w:rsid w:val="0006191C"/>
    <w:rsid w:val="000746D6"/>
    <w:rsid w:val="00084AFF"/>
    <w:rsid w:val="000954BA"/>
    <w:rsid w:val="000B18DD"/>
    <w:rsid w:val="000C0CBF"/>
    <w:rsid w:val="000C6737"/>
    <w:rsid w:val="000E7182"/>
    <w:rsid w:val="000F799B"/>
    <w:rsid w:val="00115E30"/>
    <w:rsid w:val="001211FD"/>
    <w:rsid w:val="0012123B"/>
    <w:rsid w:val="001942C8"/>
    <w:rsid w:val="001A06AC"/>
    <w:rsid w:val="00200C91"/>
    <w:rsid w:val="0021362D"/>
    <w:rsid w:val="00223CD6"/>
    <w:rsid w:val="00223E02"/>
    <w:rsid w:val="00226A1E"/>
    <w:rsid w:val="00247914"/>
    <w:rsid w:val="00264278"/>
    <w:rsid w:val="002851DF"/>
    <w:rsid w:val="002A6E38"/>
    <w:rsid w:val="002A7BD1"/>
    <w:rsid w:val="002B04AF"/>
    <w:rsid w:val="002C58D0"/>
    <w:rsid w:val="00306750"/>
    <w:rsid w:val="00341F95"/>
    <w:rsid w:val="00385929"/>
    <w:rsid w:val="003A7429"/>
    <w:rsid w:val="003B78EE"/>
    <w:rsid w:val="003D0565"/>
    <w:rsid w:val="00410B3F"/>
    <w:rsid w:val="00430A73"/>
    <w:rsid w:val="00474F3B"/>
    <w:rsid w:val="0047673B"/>
    <w:rsid w:val="00482F12"/>
    <w:rsid w:val="00491CC6"/>
    <w:rsid w:val="004A7293"/>
    <w:rsid w:val="004B6BA1"/>
    <w:rsid w:val="004D48A4"/>
    <w:rsid w:val="004E2E1C"/>
    <w:rsid w:val="00516E77"/>
    <w:rsid w:val="0054195A"/>
    <w:rsid w:val="00560FC6"/>
    <w:rsid w:val="005717D0"/>
    <w:rsid w:val="00583CA3"/>
    <w:rsid w:val="00586B75"/>
    <w:rsid w:val="00595278"/>
    <w:rsid w:val="005C050F"/>
    <w:rsid w:val="005C5F4F"/>
    <w:rsid w:val="005F204D"/>
    <w:rsid w:val="006009EA"/>
    <w:rsid w:val="00603789"/>
    <w:rsid w:val="00604236"/>
    <w:rsid w:val="006215B4"/>
    <w:rsid w:val="0066745C"/>
    <w:rsid w:val="00677999"/>
    <w:rsid w:val="006A23EF"/>
    <w:rsid w:val="006B5FE9"/>
    <w:rsid w:val="006C0E95"/>
    <w:rsid w:val="006D6BCC"/>
    <w:rsid w:val="006D74C2"/>
    <w:rsid w:val="006F08C3"/>
    <w:rsid w:val="00724888"/>
    <w:rsid w:val="00724C6E"/>
    <w:rsid w:val="00725E8F"/>
    <w:rsid w:val="00726837"/>
    <w:rsid w:val="00733D15"/>
    <w:rsid w:val="00744923"/>
    <w:rsid w:val="00790689"/>
    <w:rsid w:val="00791307"/>
    <w:rsid w:val="007A1FCB"/>
    <w:rsid w:val="007B44ED"/>
    <w:rsid w:val="007C49C4"/>
    <w:rsid w:val="007E0D52"/>
    <w:rsid w:val="007F401E"/>
    <w:rsid w:val="008278E6"/>
    <w:rsid w:val="00832791"/>
    <w:rsid w:val="00835596"/>
    <w:rsid w:val="008449B5"/>
    <w:rsid w:val="00857459"/>
    <w:rsid w:val="008B46AF"/>
    <w:rsid w:val="008E308E"/>
    <w:rsid w:val="0090007C"/>
    <w:rsid w:val="00904FE9"/>
    <w:rsid w:val="009060C8"/>
    <w:rsid w:val="00911E28"/>
    <w:rsid w:val="00924F11"/>
    <w:rsid w:val="00940F5D"/>
    <w:rsid w:val="00966D6A"/>
    <w:rsid w:val="00970B51"/>
    <w:rsid w:val="00977060"/>
    <w:rsid w:val="009A0F16"/>
    <w:rsid w:val="009A2C13"/>
    <w:rsid w:val="009B60DE"/>
    <w:rsid w:val="009B6953"/>
    <w:rsid w:val="009E185A"/>
    <w:rsid w:val="00A04865"/>
    <w:rsid w:val="00A2049F"/>
    <w:rsid w:val="00A271FC"/>
    <w:rsid w:val="00A43132"/>
    <w:rsid w:val="00A71630"/>
    <w:rsid w:val="00A7331B"/>
    <w:rsid w:val="00AF7886"/>
    <w:rsid w:val="00B21E7B"/>
    <w:rsid w:val="00B37514"/>
    <w:rsid w:val="00B548D8"/>
    <w:rsid w:val="00B569FE"/>
    <w:rsid w:val="00B62CA2"/>
    <w:rsid w:val="00B8113A"/>
    <w:rsid w:val="00BC2C09"/>
    <w:rsid w:val="00BE293A"/>
    <w:rsid w:val="00C058F1"/>
    <w:rsid w:val="00C128EF"/>
    <w:rsid w:val="00C224D4"/>
    <w:rsid w:val="00C954A3"/>
    <w:rsid w:val="00C97BC3"/>
    <w:rsid w:val="00CA0714"/>
    <w:rsid w:val="00D03071"/>
    <w:rsid w:val="00D0533C"/>
    <w:rsid w:val="00D05E2B"/>
    <w:rsid w:val="00D14A8A"/>
    <w:rsid w:val="00D20A29"/>
    <w:rsid w:val="00D23E57"/>
    <w:rsid w:val="00D41577"/>
    <w:rsid w:val="00D50BC9"/>
    <w:rsid w:val="00D63CEA"/>
    <w:rsid w:val="00D77CA9"/>
    <w:rsid w:val="00D8104F"/>
    <w:rsid w:val="00D82DB7"/>
    <w:rsid w:val="00D83A4B"/>
    <w:rsid w:val="00E40575"/>
    <w:rsid w:val="00E544F2"/>
    <w:rsid w:val="00E54A29"/>
    <w:rsid w:val="00E7517C"/>
    <w:rsid w:val="00E82E71"/>
    <w:rsid w:val="00EB2273"/>
    <w:rsid w:val="00F00819"/>
    <w:rsid w:val="00F16F6F"/>
    <w:rsid w:val="00F22B2E"/>
    <w:rsid w:val="00FA0B13"/>
    <w:rsid w:val="00FA1189"/>
    <w:rsid w:val="00F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C259"/>
  <w15:docId w15:val="{F25A457A-B340-43ED-9FD4-30865A8E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C4"/>
    <w:pPr>
      <w:tabs>
        <w:tab w:val="center" w:pos="4153"/>
        <w:tab w:val="right" w:pos="8306"/>
      </w:tabs>
      <w:snapToGrid w:val="0"/>
      <w:jc w:val="center"/>
    </w:pPr>
    <w:rPr>
      <w:sz w:val="18"/>
      <w:szCs w:val="18"/>
    </w:rPr>
  </w:style>
  <w:style w:type="character" w:customStyle="1" w:styleId="a4">
    <w:name w:val="页眉 字符"/>
    <w:basedOn w:val="a0"/>
    <w:link w:val="a3"/>
    <w:uiPriority w:val="99"/>
    <w:rsid w:val="007C49C4"/>
    <w:rPr>
      <w:sz w:val="18"/>
      <w:szCs w:val="18"/>
    </w:rPr>
  </w:style>
  <w:style w:type="paragraph" w:styleId="a5">
    <w:name w:val="footer"/>
    <w:basedOn w:val="a"/>
    <w:link w:val="a6"/>
    <w:uiPriority w:val="99"/>
    <w:unhideWhenUsed/>
    <w:rsid w:val="007C49C4"/>
    <w:pPr>
      <w:tabs>
        <w:tab w:val="center" w:pos="4153"/>
        <w:tab w:val="right" w:pos="8306"/>
      </w:tabs>
      <w:snapToGrid w:val="0"/>
      <w:jc w:val="left"/>
    </w:pPr>
    <w:rPr>
      <w:sz w:val="18"/>
      <w:szCs w:val="18"/>
    </w:rPr>
  </w:style>
  <w:style w:type="character" w:customStyle="1" w:styleId="a6">
    <w:name w:val="页脚 字符"/>
    <w:basedOn w:val="a0"/>
    <w:link w:val="a5"/>
    <w:uiPriority w:val="99"/>
    <w:rsid w:val="007C49C4"/>
    <w:rPr>
      <w:sz w:val="18"/>
      <w:szCs w:val="18"/>
    </w:rPr>
  </w:style>
  <w:style w:type="paragraph" w:styleId="a7">
    <w:name w:val="List Paragraph"/>
    <w:basedOn w:val="a"/>
    <w:uiPriority w:val="34"/>
    <w:qFormat/>
    <w:rsid w:val="007C49C4"/>
    <w:pPr>
      <w:ind w:firstLineChars="200" w:firstLine="420"/>
    </w:pPr>
  </w:style>
  <w:style w:type="paragraph" w:styleId="a8">
    <w:name w:val="Balloon Text"/>
    <w:basedOn w:val="a"/>
    <w:link w:val="a9"/>
    <w:uiPriority w:val="99"/>
    <w:semiHidden/>
    <w:unhideWhenUsed/>
    <w:rsid w:val="00430A73"/>
    <w:rPr>
      <w:sz w:val="18"/>
      <w:szCs w:val="18"/>
    </w:rPr>
  </w:style>
  <w:style w:type="character" w:customStyle="1" w:styleId="a9">
    <w:name w:val="批注框文本 字符"/>
    <w:basedOn w:val="a0"/>
    <w:link w:val="a8"/>
    <w:uiPriority w:val="99"/>
    <w:semiHidden/>
    <w:rsid w:val="00430A73"/>
    <w:rPr>
      <w:sz w:val="18"/>
      <w:szCs w:val="18"/>
    </w:rPr>
  </w:style>
  <w:style w:type="paragraph" w:styleId="aa">
    <w:name w:val="Revision"/>
    <w:hidden/>
    <w:uiPriority w:val="99"/>
    <w:semiHidden/>
    <w:rsid w:val="00E7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15449">
      <w:bodyDiv w:val="1"/>
      <w:marLeft w:val="0"/>
      <w:marRight w:val="0"/>
      <w:marTop w:val="0"/>
      <w:marBottom w:val="0"/>
      <w:divBdr>
        <w:top w:val="none" w:sz="0" w:space="0" w:color="auto"/>
        <w:left w:val="none" w:sz="0" w:space="0" w:color="auto"/>
        <w:bottom w:val="none" w:sz="0" w:space="0" w:color="auto"/>
        <w:right w:val="none" w:sz="0" w:space="0" w:color="auto"/>
      </w:divBdr>
    </w:div>
    <w:div w:id="791560762">
      <w:bodyDiv w:val="1"/>
      <w:marLeft w:val="0"/>
      <w:marRight w:val="0"/>
      <w:marTop w:val="0"/>
      <w:marBottom w:val="0"/>
      <w:divBdr>
        <w:top w:val="none" w:sz="0" w:space="0" w:color="auto"/>
        <w:left w:val="none" w:sz="0" w:space="0" w:color="auto"/>
        <w:bottom w:val="none" w:sz="0" w:space="0" w:color="auto"/>
        <w:right w:val="none" w:sz="0" w:space="0" w:color="auto"/>
      </w:divBdr>
    </w:div>
    <w:div w:id="1486816574">
      <w:bodyDiv w:val="1"/>
      <w:marLeft w:val="0"/>
      <w:marRight w:val="0"/>
      <w:marTop w:val="0"/>
      <w:marBottom w:val="0"/>
      <w:divBdr>
        <w:top w:val="none" w:sz="0" w:space="0" w:color="auto"/>
        <w:left w:val="none" w:sz="0" w:space="0" w:color="auto"/>
        <w:bottom w:val="none" w:sz="0" w:space="0" w:color="auto"/>
        <w:right w:val="none" w:sz="0" w:space="0" w:color="auto"/>
      </w:divBdr>
    </w:div>
    <w:div w:id="1728912629">
      <w:bodyDiv w:val="1"/>
      <w:marLeft w:val="0"/>
      <w:marRight w:val="0"/>
      <w:marTop w:val="0"/>
      <w:marBottom w:val="0"/>
      <w:divBdr>
        <w:top w:val="none" w:sz="0" w:space="0" w:color="auto"/>
        <w:left w:val="none" w:sz="0" w:space="0" w:color="auto"/>
        <w:bottom w:val="none" w:sz="0" w:space="0" w:color="auto"/>
        <w:right w:val="none" w:sz="0" w:space="0" w:color="auto"/>
      </w:divBdr>
    </w:div>
    <w:div w:id="1823741780">
      <w:bodyDiv w:val="1"/>
      <w:marLeft w:val="0"/>
      <w:marRight w:val="0"/>
      <w:marTop w:val="0"/>
      <w:marBottom w:val="0"/>
      <w:divBdr>
        <w:top w:val="none" w:sz="0" w:space="0" w:color="auto"/>
        <w:left w:val="none" w:sz="0" w:space="0" w:color="auto"/>
        <w:bottom w:val="none" w:sz="0" w:space="0" w:color="auto"/>
        <w:right w:val="none" w:sz="0" w:space="0" w:color="auto"/>
      </w:divBdr>
    </w:div>
    <w:div w:id="207801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任洪灿</dc:creator>
  <cp:keywords/>
  <dc:description/>
  <cp:lastModifiedBy>Hongcan Ren</cp:lastModifiedBy>
  <cp:revision>3</cp:revision>
  <dcterms:created xsi:type="dcterms:W3CDTF">2023-08-21T07:56:00Z</dcterms:created>
  <dcterms:modified xsi:type="dcterms:W3CDTF">2024-09-11T01:30:00Z</dcterms:modified>
</cp:coreProperties>
</file>