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39A8" w14:textId="58AFED70" w:rsidR="00B25AA6" w:rsidRPr="00380C5E" w:rsidRDefault="00BF6168" w:rsidP="008A761D">
      <w:pPr>
        <w:spacing w:after="0"/>
        <w:rPr>
          <w:rFonts w:ascii="Times New Roman" w:hAnsi="Times New Roman" w:cs="Times New Roman"/>
          <w:b/>
          <w:bCs/>
          <w:sz w:val="28"/>
          <w:szCs w:val="28"/>
        </w:rPr>
      </w:pPr>
      <w:r w:rsidRPr="00380C5E">
        <w:rPr>
          <w:rFonts w:ascii="Times New Roman" w:hAnsi="Times New Roman" w:cs="Times New Roman"/>
          <w:b/>
          <w:bCs/>
          <w:sz w:val="28"/>
          <w:szCs w:val="28"/>
        </w:rPr>
        <w:t xml:space="preserve">Supplementary </w:t>
      </w:r>
      <w:r w:rsidR="0099578F" w:rsidRPr="00380C5E">
        <w:rPr>
          <w:rFonts w:ascii="Times New Roman" w:hAnsi="Times New Roman" w:cs="Times New Roman"/>
          <w:b/>
          <w:bCs/>
          <w:sz w:val="28"/>
          <w:szCs w:val="28"/>
        </w:rPr>
        <w:t>Material</w:t>
      </w:r>
    </w:p>
    <w:p w14:paraId="14ABF122" w14:textId="77777777" w:rsidR="00BF6168" w:rsidRDefault="00BF6168" w:rsidP="008A761D">
      <w:pPr>
        <w:spacing w:after="0" w:line="240" w:lineRule="auto"/>
        <w:rPr>
          <w:rFonts w:ascii="Times New Roman" w:hAnsi="Times New Roman" w:cs="Times New Roman"/>
          <w:sz w:val="24"/>
          <w:szCs w:val="24"/>
        </w:rPr>
      </w:pPr>
    </w:p>
    <w:p w14:paraId="52CA5667" w14:textId="4B6436D0" w:rsidR="00C853DF" w:rsidRDefault="00383371" w:rsidP="0033387B">
      <w:pPr>
        <w:rPr>
          <w:rFonts w:ascii="Times New Roman" w:hAnsi="Times New Roman" w:cs="Times New Roman"/>
          <w:sz w:val="24"/>
          <w:szCs w:val="24"/>
        </w:rPr>
      </w:pPr>
      <w:r w:rsidRPr="00491552">
        <w:rPr>
          <w:rFonts w:ascii="Times New Roman" w:hAnsi="Times New Roman" w:cs="Times New Roman"/>
          <w:b/>
          <w:bCs/>
          <w:sz w:val="24"/>
          <w:szCs w:val="24"/>
        </w:rPr>
        <w:t xml:space="preserve">Supplementary Figure 1: </w:t>
      </w:r>
      <w:r w:rsidRPr="00491552">
        <w:rPr>
          <w:rFonts w:ascii="Times New Roman" w:hAnsi="Times New Roman" w:cs="Times New Roman"/>
          <w:sz w:val="24"/>
          <w:szCs w:val="24"/>
        </w:rPr>
        <w:t>Published literature flow diagram.</w:t>
      </w:r>
    </w:p>
    <w:p w14:paraId="32C2A9D5" w14:textId="6AD8DCCB" w:rsidR="00C853DF" w:rsidRDefault="00C853DF" w:rsidP="00383371">
      <w:pPr>
        <w:jc w:val="center"/>
        <w:rPr>
          <w:rFonts w:ascii="Times New Roman" w:hAnsi="Times New Roman" w:cs="Times New Roman"/>
          <w:sz w:val="24"/>
          <w:szCs w:val="24"/>
        </w:rPr>
      </w:pPr>
      <w:r w:rsidRPr="00C853DF">
        <w:rPr>
          <w:rFonts w:ascii="Times New Roman" w:hAnsi="Times New Roman" w:cs="Times New Roman"/>
          <w:sz w:val="24"/>
          <w:szCs w:val="24"/>
        </w:rPr>
        <w:drawing>
          <wp:inline distT="0" distB="0" distL="0" distR="0" wp14:anchorId="1C9B4F69" wp14:editId="216C6EA4">
            <wp:extent cx="5314969" cy="4602570"/>
            <wp:effectExtent l="0" t="0" r="0" b="7620"/>
            <wp:docPr id="794260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60242" name=""/>
                    <pic:cNvPicPr/>
                  </pic:nvPicPr>
                  <pic:blipFill rotWithShape="1">
                    <a:blip r:embed="rId6"/>
                    <a:srcRect l="3057"/>
                    <a:stretch/>
                  </pic:blipFill>
                  <pic:spPr bwMode="auto">
                    <a:xfrm>
                      <a:off x="0" y="0"/>
                      <a:ext cx="5323414" cy="4609883"/>
                    </a:xfrm>
                    <a:prstGeom prst="rect">
                      <a:avLst/>
                    </a:prstGeom>
                    <a:ln>
                      <a:noFill/>
                    </a:ln>
                    <a:extLst>
                      <a:ext uri="{53640926-AAD7-44D8-BBD7-CCE9431645EC}">
                        <a14:shadowObscured xmlns:a14="http://schemas.microsoft.com/office/drawing/2010/main"/>
                      </a:ext>
                    </a:extLst>
                  </pic:spPr>
                </pic:pic>
              </a:graphicData>
            </a:graphic>
          </wp:inline>
        </w:drawing>
      </w:r>
    </w:p>
    <w:p w14:paraId="2E4FAD5D" w14:textId="77777777" w:rsidR="00383371" w:rsidRPr="00446C8F" w:rsidRDefault="00383371" w:rsidP="00383371">
      <w:pPr>
        <w:rPr>
          <w:rFonts w:ascii="Times New Roman" w:hAnsi="Times New Roman" w:cs="Times New Roman"/>
        </w:rPr>
      </w:pPr>
      <w:r w:rsidRPr="00446C8F">
        <w:rPr>
          <w:rFonts w:ascii="Times New Roman" w:hAnsi="Times New Roman" w:cs="Times New Roman"/>
        </w:rPr>
        <w:t>* Up to 2000 similar documents could be found, the search was limited to 500, ordered by relevance.</w:t>
      </w:r>
      <w:r w:rsidRPr="00446C8F">
        <w:rPr>
          <w:rFonts w:ascii="Times New Roman" w:hAnsi="Times New Roman" w:cs="Times New Roman"/>
        </w:rPr>
        <w:br/>
        <w:t>** Some articles classified in more than one category.</w:t>
      </w:r>
    </w:p>
    <w:p w14:paraId="1EF5168B" w14:textId="3B6E9196" w:rsidR="00383371" w:rsidRDefault="00383371">
      <w:pPr>
        <w:rPr>
          <w:rFonts w:ascii="Times New Roman" w:hAnsi="Times New Roman" w:cs="Times New Roman"/>
          <w:sz w:val="24"/>
          <w:szCs w:val="24"/>
        </w:rPr>
      </w:pPr>
      <w:r>
        <w:rPr>
          <w:rFonts w:ascii="Times New Roman" w:hAnsi="Times New Roman" w:cs="Times New Roman"/>
          <w:sz w:val="24"/>
          <w:szCs w:val="24"/>
        </w:rPr>
        <w:br w:type="page"/>
      </w:r>
    </w:p>
    <w:p w14:paraId="4EDC4DF1" w14:textId="2502C557" w:rsidR="00C52F6A" w:rsidRPr="00D353F8" w:rsidRDefault="00C52F6A" w:rsidP="00C52F6A">
      <w:pPr>
        <w:spacing w:after="0" w:line="240" w:lineRule="auto"/>
        <w:rPr>
          <w:rFonts w:ascii="Times New Roman" w:hAnsi="Times New Roman" w:cs="Times New Roman"/>
          <w:bCs/>
          <w:sz w:val="24"/>
          <w:szCs w:val="24"/>
        </w:rPr>
      </w:pPr>
      <w:r w:rsidRPr="00923726">
        <w:rPr>
          <w:rFonts w:ascii="Times New Roman" w:hAnsi="Times New Roman" w:cs="Times New Roman"/>
          <w:b/>
          <w:sz w:val="24"/>
          <w:szCs w:val="28"/>
        </w:rPr>
        <w:lastRenderedPageBreak/>
        <w:t xml:space="preserve">Supplementary </w:t>
      </w:r>
      <w:r>
        <w:rPr>
          <w:rFonts w:ascii="Times New Roman" w:hAnsi="Times New Roman" w:cs="Times New Roman"/>
          <w:b/>
          <w:sz w:val="24"/>
          <w:szCs w:val="28"/>
        </w:rPr>
        <w:t>Table</w:t>
      </w:r>
      <w:r w:rsidRPr="00923726">
        <w:rPr>
          <w:rFonts w:ascii="Times New Roman" w:hAnsi="Times New Roman" w:cs="Times New Roman"/>
          <w:b/>
          <w:sz w:val="24"/>
          <w:szCs w:val="28"/>
        </w:rPr>
        <w:t xml:space="preserve"> </w:t>
      </w:r>
      <w:r w:rsidRPr="00923726">
        <w:rPr>
          <w:rFonts w:ascii="Times New Roman" w:hAnsi="Times New Roman" w:cs="Times New Roman"/>
          <w:b/>
          <w:sz w:val="24"/>
          <w:szCs w:val="28"/>
        </w:rPr>
        <w:fldChar w:fldCharType="begin"/>
      </w:r>
      <w:r w:rsidRPr="00923726">
        <w:rPr>
          <w:rFonts w:ascii="Times New Roman" w:hAnsi="Times New Roman" w:cs="Times New Roman"/>
          <w:b/>
          <w:sz w:val="24"/>
          <w:szCs w:val="28"/>
        </w:rPr>
        <w:instrText xml:space="preserve"> SEQ Figure \* ARABIC </w:instrText>
      </w:r>
      <w:r w:rsidRPr="00923726">
        <w:rPr>
          <w:rFonts w:ascii="Times New Roman" w:hAnsi="Times New Roman" w:cs="Times New Roman"/>
          <w:b/>
          <w:sz w:val="24"/>
          <w:szCs w:val="28"/>
        </w:rPr>
        <w:fldChar w:fldCharType="separate"/>
      </w:r>
      <w:r w:rsidRPr="00923726">
        <w:rPr>
          <w:rFonts w:ascii="Times New Roman" w:hAnsi="Times New Roman" w:cs="Times New Roman"/>
          <w:b/>
          <w:noProof/>
          <w:sz w:val="24"/>
          <w:szCs w:val="28"/>
        </w:rPr>
        <w:t>1</w:t>
      </w:r>
      <w:r w:rsidRPr="00923726">
        <w:rPr>
          <w:rFonts w:ascii="Times New Roman" w:hAnsi="Times New Roman" w:cs="Times New Roman"/>
          <w:b/>
          <w:sz w:val="24"/>
          <w:szCs w:val="28"/>
        </w:rPr>
        <w:fldChar w:fldCharType="end"/>
      </w:r>
      <w:r w:rsidR="00D353F8">
        <w:rPr>
          <w:rFonts w:ascii="Times New Roman" w:hAnsi="Times New Roman" w:cs="Times New Roman"/>
          <w:b/>
          <w:sz w:val="24"/>
          <w:szCs w:val="28"/>
        </w:rPr>
        <w:t xml:space="preserve">: </w:t>
      </w:r>
      <w:r w:rsidR="00D353F8" w:rsidRPr="00D353F8">
        <w:rPr>
          <w:rFonts w:ascii="Times New Roman" w:hAnsi="Times New Roman" w:cs="Times New Roman"/>
          <w:bCs/>
          <w:sz w:val="24"/>
          <w:szCs w:val="28"/>
        </w:rPr>
        <w:t>Search strategy overview</w:t>
      </w:r>
    </w:p>
    <w:p w14:paraId="451E89F4" w14:textId="77777777" w:rsidR="00C52F6A" w:rsidRDefault="00C52F6A" w:rsidP="008A761D">
      <w:pPr>
        <w:spacing w:after="0" w:line="240" w:lineRule="auto"/>
        <w:rPr>
          <w:rFonts w:ascii="Times New Roman" w:hAnsi="Times New Roman" w:cs="Times New Roman"/>
          <w:sz w:val="24"/>
          <w:szCs w:val="24"/>
        </w:rPr>
      </w:pPr>
    </w:p>
    <w:tbl>
      <w:tblPr>
        <w:tblStyle w:val="GridTable1Light"/>
        <w:tblW w:w="15163" w:type="dxa"/>
        <w:tblLook w:val="04A0" w:firstRow="1" w:lastRow="0" w:firstColumn="1" w:lastColumn="0" w:noHBand="0" w:noVBand="1"/>
      </w:tblPr>
      <w:tblGrid>
        <w:gridCol w:w="1682"/>
        <w:gridCol w:w="922"/>
        <w:gridCol w:w="1645"/>
        <w:gridCol w:w="1440"/>
        <w:gridCol w:w="1024"/>
        <w:gridCol w:w="6182"/>
        <w:gridCol w:w="2268"/>
      </w:tblGrid>
      <w:tr w:rsidR="00A9694A" w:rsidRPr="008A761D" w14:paraId="0C17FE1C" w14:textId="77777777" w:rsidTr="0055545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82" w:type="dxa"/>
            <w:shd w:val="clear" w:color="auto" w:fill="E8E8E8" w:themeFill="background2"/>
            <w:noWrap/>
            <w:hideMark/>
          </w:tcPr>
          <w:p w14:paraId="1F85E170" w14:textId="77777777" w:rsidR="008A761D" w:rsidRPr="008A761D" w:rsidRDefault="008A761D" w:rsidP="004B3FB5">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Search strategy</w:t>
            </w:r>
          </w:p>
        </w:tc>
        <w:tc>
          <w:tcPr>
            <w:tcW w:w="922" w:type="dxa"/>
            <w:shd w:val="clear" w:color="auto" w:fill="E8E8E8" w:themeFill="background2"/>
            <w:noWrap/>
            <w:hideMark/>
          </w:tcPr>
          <w:p w14:paraId="6E264D2B" w14:textId="18A3BC58" w:rsidR="008A761D" w:rsidRPr="008A761D" w:rsidRDefault="00A9694A"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 xml:space="preserve">No </w:t>
            </w:r>
            <w:r w:rsidR="008A761D" w:rsidRPr="008A761D">
              <w:rPr>
                <w:rFonts w:ascii="Times New Roman" w:eastAsia="Times New Roman" w:hAnsi="Times New Roman" w:cs="Times New Roman"/>
                <w:kern w:val="0"/>
                <w:sz w:val="20"/>
                <w:szCs w:val="20"/>
                <w:lang w:eastAsia="en-GB"/>
                <w14:ligatures w14:val="none"/>
              </w:rPr>
              <w:t>of Articles</w:t>
            </w:r>
          </w:p>
        </w:tc>
        <w:tc>
          <w:tcPr>
            <w:tcW w:w="1645" w:type="dxa"/>
            <w:shd w:val="clear" w:color="auto" w:fill="E8E8E8" w:themeFill="background2"/>
            <w:noWrap/>
            <w:hideMark/>
          </w:tcPr>
          <w:p w14:paraId="4E6B4F66" w14:textId="77777777" w:rsidR="008A761D" w:rsidRPr="008A761D" w:rsidRDefault="008A761D"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Inclusion criteria</w:t>
            </w:r>
          </w:p>
        </w:tc>
        <w:tc>
          <w:tcPr>
            <w:tcW w:w="1440" w:type="dxa"/>
            <w:shd w:val="clear" w:color="auto" w:fill="E8E8E8" w:themeFill="background2"/>
            <w:noWrap/>
            <w:hideMark/>
          </w:tcPr>
          <w:p w14:paraId="05D1E1BC" w14:textId="77777777" w:rsidR="008A761D" w:rsidRPr="008A761D" w:rsidRDefault="008A761D"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Exclusion criteria</w:t>
            </w:r>
          </w:p>
        </w:tc>
        <w:tc>
          <w:tcPr>
            <w:tcW w:w="1024" w:type="dxa"/>
            <w:shd w:val="clear" w:color="auto" w:fill="E8E8E8" w:themeFill="background2"/>
            <w:noWrap/>
            <w:hideMark/>
          </w:tcPr>
          <w:p w14:paraId="5FCDAF6E" w14:textId="4865A259" w:rsidR="008A761D" w:rsidRPr="008A761D" w:rsidRDefault="00A9694A"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No</w:t>
            </w:r>
            <w:r w:rsidR="008A761D" w:rsidRPr="008A761D">
              <w:rPr>
                <w:rFonts w:ascii="Times New Roman" w:eastAsia="Times New Roman" w:hAnsi="Times New Roman" w:cs="Times New Roman"/>
                <w:kern w:val="0"/>
                <w:sz w:val="20"/>
                <w:szCs w:val="20"/>
                <w:lang w:eastAsia="en-GB"/>
                <w14:ligatures w14:val="none"/>
              </w:rPr>
              <w:t xml:space="preserve"> of Relevant Articles</w:t>
            </w:r>
          </w:p>
        </w:tc>
        <w:tc>
          <w:tcPr>
            <w:tcW w:w="6182" w:type="dxa"/>
            <w:shd w:val="clear" w:color="auto" w:fill="E8E8E8" w:themeFill="background2"/>
            <w:noWrap/>
            <w:hideMark/>
          </w:tcPr>
          <w:p w14:paraId="70CFE966" w14:textId="77777777" w:rsidR="008A761D" w:rsidRPr="008A761D" w:rsidRDefault="008A761D"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References</w:t>
            </w:r>
          </w:p>
        </w:tc>
        <w:tc>
          <w:tcPr>
            <w:tcW w:w="2268" w:type="dxa"/>
            <w:shd w:val="clear" w:color="auto" w:fill="E8E8E8" w:themeFill="background2"/>
            <w:noWrap/>
            <w:hideMark/>
          </w:tcPr>
          <w:p w14:paraId="7339D11B" w14:textId="77777777" w:rsidR="008A761D" w:rsidRPr="008A761D" w:rsidRDefault="008A761D"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Type of Study</w:t>
            </w:r>
          </w:p>
        </w:tc>
      </w:tr>
      <w:tr w:rsidR="00C52F6A" w:rsidRPr="008A761D" w14:paraId="76065E3A" w14:textId="77777777" w:rsidTr="0055545C">
        <w:trPr>
          <w:trHeight w:val="840"/>
        </w:trPr>
        <w:tc>
          <w:tcPr>
            <w:cnfStyle w:val="001000000000" w:firstRow="0" w:lastRow="0" w:firstColumn="1" w:lastColumn="0" w:oddVBand="0" w:evenVBand="0" w:oddHBand="0" w:evenHBand="0" w:firstRowFirstColumn="0" w:firstRowLastColumn="0" w:lastRowFirstColumn="0" w:lastRowLastColumn="0"/>
            <w:tcW w:w="1682" w:type="dxa"/>
            <w:vMerge w:val="restart"/>
            <w:noWrap/>
            <w:hideMark/>
          </w:tcPr>
          <w:p w14:paraId="0F7C310C" w14:textId="0E3CF0EA"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PubMed "Peptide-based formula" AND "children"</w:t>
            </w:r>
          </w:p>
        </w:tc>
        <w:tc>
          <w:tcPr>
            <w:tcW w:w="922" w:type="dxa"/>
            <w:vMerge w:val="restart"/>
            <w:noWrap/>
            <w:hideMark/>
          </w:tcPr>
          <w:p w14:paraId="2A7247A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16</w:t>
            </w:r>
          </w:p>
        </w:tc>
        <w:tc>
          <w:tcPr>
            <w:tcW w:w="1645" w:type="dxa"/>
            <w:vMerge w:val="restart"/>
            <w:hideMark/>
          </w:tcPr>
          <w:p w14:paraId="7D34285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malnutrition or at risk of it</w:t>
            </w:r>
            <w:r w:rsidRPr="008A761D">
              <w:rPr>
                <w:rFonts w:ascii="Times New Roman" w:eastAsia="Times New Roman" w:hAnsi="Times New Roman" w:cs="Times New Roman"/>
                <w:kern w:val="0"/>
                <w:sz w:val="20"/>
                <w:szCs w:val="20"/>
                <w:lang w:eastAsia="en-GB"/>
                <w14:ligatures w14:val="none"/>
              </w:rPr>
              <w:br/>
              <w:t>Peptide-based formulas</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54FC547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adolescent or adults</w:t>
            </w:r>
            <w:r w:rsidRPr="008A761D">
              <w:rPr>
                <w:rFonts w:ascii="Times New Roman" w:eastAsia="Times New Roman" w:hAnsi="Times New Roman" w:cs="Times New Roman"/>
                <w:kern w:val="0"/>
                <w:sz w:val="20"/>
                <w:szCs w:val="20"/>
                <w:lang w:eastAsia="en-GB"/>
                <w14:ligatures w14:val="none"/>
              </w:rPr>
              <w:br/>
              <w:t>Not peptide-formula</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noWrap/>
            <w:hideMark/>
          </w:tcPr>
          <w:p w14:paraId="6F404DC9"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w:t>
            </w:r>
          </w:p>
        </w:tc>
        <w:tc>
          <w:tcPr>
            <w:tcW w:w="6182" w:type="dxa"/>
            <w:hideMark/>
          </w:tcPr>
          <w:p w14:paraId="10F516F4"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1.Ibrahim H, Mansour M, El Gendy YG. Peptide-based formula versus standard-based polymeric formula for critically ill children: is it superior for patients’ tolerance? Archives of Medical Science. 2020;16(3):592-6.</w:t>
            </w:r>
          </w:p>
        </w:tc>
        <w:tc>
          <w:tcPr>
            <w:tcW w:w="2268" w:type="dxa"/>
            <w:hideMark/>
          </w:tcPr>
          <w:p w14:paraId="257E36B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Single blind, case-control study</w:t>
            </w:r>
          </w:p>
        </w:tc>
      </w:tr>
      <w:tr w:rsidR="008A761D" w:rsidRPr="008A761D" w14:paraId="08CA0820"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2" w:type="dxa"/>
            <w:vMerge/>
            <w:hideMark/>
          </w:tcPr>
          <w:p w14:paraId="6D59BD0C"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26B6577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3C455B0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4BC2C2C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09B67FC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3951572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 Selimoglu MA, Kansu A, Aydogdu S, Sarioglu AA, Erdogan S, Dalgic B, et al. Nutritional Support in Malnourished Children With Compromised Gastrointestinal Function: Utility of Peptide-Based Enteral Therapy. Front Pediatr. 2021;9:610275.</w:t>
            </w:r>
          </w:p>
        </w:tc>
        <w:tc>
          <w:tcPr>
            <w:tcW w:w="2268" w:type="dxa"/>
            <w:hideMark/>
          </w:tcPr>
          <w:p w14:paraId="0088524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76ABF662" w14:textId="77777777" w:rsidTr="0055545C">
        <w:trPr>
          <w:trHeight w:val="255"/>
        </w:trPr>
        <w:tc>
          <w:tcPr>
            <w:cnfStyle w:val="001000000000" w:firstRow="0" w:lastRow="0" w:firstColumn="1" w:lastColumn="0" w:oddVBand="0" w:evenVBand="0" w:oddHBand="0" w:evenHBand="0" w:firstRowFirstColumn="0" w:firstRowLastColumn="0" w:lastRowFirstColumn="0" w:lastRowLastColumn="0"/>
            <w:tcW w:w="1682" w:type="dxa"/>
            <w:vMerge/>
            <w:hideMark/>
          </w:tcPr>
          <w:p w14:paraId="49A67749"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123B11B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7F2246C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6102492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2FBE8AE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3BE2CEC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 Elfadil OM, Shah RN, Hurt RT, Mundi MS. Peptide‐based formula: Clinical applications and benefits. Nutrition in Clinical Practice. 2023;38(2):318-28.</w:t>
            </w:r>
          </w:p>
        </w:tc>
        <w:tc>
          <w:tcPr>
            <w:tcW w:w="2268" w:type="dxa"/>
            <w:hideMark/>
          </w:tcPr>
          <w:p w14:paraId="0723777F"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19D863ED"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2" w:type="dxa"/>
            <w:vMerge/>
            <w:hideMark/>
          </w:tcPr>
          <w:p w14:paraId="3E181718"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3D3AD98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15B8A3E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6775B3A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297A17D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4BF1447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 Simpson K. Clinical Case Reports on the acceptability and tolerance of a High-Energy whey peptide-based Pediatric oral nutritional supplement in children aged over 12 months. Clin Case Rep. 2021;9(10):e04887.</w:t>
            </w:r>
          </w:p>
        </w:tc>
        <w:tc>
          <w:tcPr>
            <w:tcW w:w="2268" w:type="dxa"/>
            <w:hideMark/>
          </w:tcPr>
          <w:p w14:paraId="01DD176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Case Reports (2)</w:t>
            </w:r>
          </w:p>
        </w:tc>
      </w:tr>
      <w:tr w:rsidR="008A761D" w:rsidRPr="008A761D" w14:paraId="445B1FF0"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2" w:type="dxa"/>
            <w:vMerge w:val="restart"/>
            <w:hideMark/>
          </w:tcPr>
          <w:p w14:paraId="1D7E3ED6" w14:textId="50F5840D"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PubMed "Peptide-based formula" AND "children" AND "malnutrition"</w:t>
            </w:r>
          </w:p>
        </w:tc>
        <w:tc>
          <w:tcPr>
            <w:tcW w:w="922" w:type="dxa"/>
            <w:vMerge w:val="restart"/>
            <w:noWrap/>
            <w:hideMark/>
          </w:tcPr>
          <w:p w14:paraId="0F3D6A0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5</w:t>
            </w:r>
          </w:p>
        </w:tc>
        <w:tc>
          <w:tcPr>
            <w:tcW w:w="1645" w:type="dxa"/>
            <w:vMerge w:val="restart"/>
            <w:hideMark/>
          </w:tcPr>
          <w:p w14:paraId="4218DFD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malnutrition or at risk of it</w:t>
            </w:r>
            <w:r w:rsidRPr="008A761D">
              <w:rPr>
                <w:rFonts w:ascii="Times New Roman" w:eastAsia="Times New Roman" w:hAnsi="Times New Roman" w:cs="Times New Roman"/>
                <w:kern w:val="0"/>
                <w:sz w:val="20"/>
                <w:szCs w:val="20"/>
                <w:lang w:eastAsia="en-GB"/>
                <w14:ligatures w14:val="none"/>
              </w:rPr>
              <w:br/>
              <w:t>Peptide-based formulas</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4F50F4E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Not peptide-based formula</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noWrap/>
            <w:hideMark/>
          </w:tcPr>
          <w:p w14:paraId="6FD03707"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w:t>
            </w:r>
          </w:p>
        </w:tc>
        <w:tc>
          <w:tcPr>
            <w:tcW w:w="6182" w:type="dxa"/>
            <w:hideMark/>
          </w:tcPr>
          <w:p w14:paraId="21DC041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1.Ibrahim H, Mansour M, El Gendy YG. Peptide-based formula versus standard-based polymeric formula for critically ill children: is it superior for patients’ tolerance? Archives of Medical Science. 2020;16(3):592-6.</w:t>
            </w:r>
          </w:p>
        </w:tc>
        <w:tc>
          <w:tcPr>
            <w:tcW w:w="2268" w:type="dxa"/>
            <w:hideMark/>
          </w:tcPr>
          <w:p w14:paraId="1095228C"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Single blind, case-control study</w:t>
            </w:r>
          </w:p>
        </w:tc>
      </w:tr>
      <w:tr w:rsidR="008A761D" w:rsidRPr="008A761D" w14:paraId="72CEBEB7"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2" w:type="dxa"/>
            <w:vMerge/>
            <w:hideMark/>
          </w:tcPr>
          <w:p w14:paraId="76E5142C"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4D43E1F5"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4040452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7CA9B824"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160A282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1EB3296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 Selimoglu MA, Kansu A, Aydogdu S, Sarioglu AA, Erdogan S, Dalgic B, et al. Nutritional Support in Malnourished Children With Compromised Gastrointestinal Function: Utility of Peptide-Based Enteral Therapy. Front Pediatr. 2021;9:610275.</w:t>
            </w:r>
          </w:p>
        </w:tc>
        <w:tc>
          <w:tcPr>
            <w:tcW w:w="2268" w:type="dxa"/>
            <w:hideMark/>
          </w:tcPr>
          <w:p w14:paraId="5A470D1C"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67CCBB4C" w14:textId="77777777" w:rsidTr="0055545C">
        <w:trPr>
          <w:trHeight w:val="255"/>
        </w:trPr>
        <w:tc>
          <w:tcPr>
            <w:cnfStyle w:val="001000000000" w:firstRow="0" w:lastRow="0" w:firstColumn="1" w:lastColumn="0" w:oddVBand="0" w:evenVBand="0" w:oddHBand="0" w:evenHBand="0" w:firstRowFirstColumn="0" w:firstRowLastColumn="0" w:lastRowFirstColumn="0" w:lastRowLastColumn="0"/>
            <w:tcW w:w="1682" w:type="dxa"/>
            <w:vMerge/>
            <w:hideMark/>
          </w:tcPr>
          <w:p w14:paraId="007760A1"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7EC2B48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0E95DB5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260D8F7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7145E52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21740A7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 Elfadil OM, Shah RN, Hurt RT, Mundi MS. Peptide‐based formula: Clinical applications and benefits. Nutrition in Clinical Practice. 2023;38(2):318-28</w:t>
            </w:r>
          </w:p>
        </w:tc>
        <w:tc>
          <w:tcPr>
            <w:tcW w:w="2268" w:type="dxa"/>
            <w:hideMark/>
          </w:tcPr>
          <w:p w14:paraId="7BC24B39"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C52F6A" w:rsidRPr="008A761D" w14:paraId="5A704D62" w14:textId="77777777" w:rsidTr="0055545C">
        <w:trPr>
          <w:trHeight w:val="765"/>
        </w:trPr>
        <w:tc>
          <w:tcPr>
            <w:cnfStyle w:val="001000000000" w:firstRow="0" w:lastRow="0" w:firstColumn="1" w:lastColumn="0" w:oddVBand="0" w:evenVBand="0" w:oddHBand="0" w:evenHBand="0" w:firstRowFirstColumn="0" w:firstRowLastColumn="0" w:lastRowFirstColumn="0" w:lastRowLastColumn="0"/>
            <w:tcW w:w="1682" w:type="dxa"/>
            <w:hideMark/>
          </w:tcPr>
          <w:p w14:paraId="343A3A89" w14:textId="70428EA6"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PubMed "Peptide feed" AND "children" AND "malnutrition"</w:t>
            </w:r>
          </w:p>
        </w:tc>
        <w:tc>
          <w:tcPr>
            <w:tcW w:w="922" w:type="dxa"/>
            <w:noWrap/>
            <w:hideMark/>
          </w:tcPr>
          <w:p w14:paraId="38E47123"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6</w:t>
            </w:r>
          </w:p>
        </w:tc>
        <w:tc>
          <w:tcPr>
            <w:tcW w:w="1645" w:type="dxa"/>
            <w:noWrap/>
            <w:hideMark/>
          </w:tcPr>
          <w:p w14:paraId="2ED51D9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w:t>
            </w:r>
          </w:p>
        </w:tc>
        <w:tc>
          <w:tcPr>
            <w:tcW w:w="1440" w:type="dxa"/>
            <w:hideMark/>
          </w:tcPr>
          <w:p w14:paraId="40DDD7F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and adults</w:t>
            </w:r>
            <w:r w:rsidRPr="008A761D">
              <w:rPr>
                <w:rFonts w:ascii="Times New Roman" w:eastAsia="Times New Roman" w:hAnsi="Times New Roman" w:cs="Times New Roman"/>
                <w:kern w:val="0"/>
                <w:sz w:val="20"/>
                <w:szCs w:val="20"/>
                <w:lang w:eastAsia="en-GB"/>
                <w14:ligatures w14:val="none"/>
              </w:rPr>
              <w:br/>
              <w:t>Not peptide feed</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noWrap/>
            <w:hideMark/>
          </w:tcPr>
          <w:p w14:paraId="19B306F5"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0</w:t>
            </w:r>
          </w:p>
        </w:tc>
        <w:tc>
          <w:tcPr>
            <w:tcW w:w="6182" w:type="dxa"/>
            <w:hideMark/>
          </w:tcPr>
          <w:p w14:paraId="041EB1E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c>
          <w:tcPr>
            <w:tcW w:w="2268" w:type="dxa"/>
            <w:hideMark/>
          </w:tcPr>
          <w:p w14:paraId="289AEC8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r>
    </w:tbl>
    <w:p w14:paraId="48EE258A" w14:textId="77777777" w:rsidR="0055545C" w:rsidRDefault="0055545C">
      <w:r>
        <w:rPr>
          <w:b/>
          <w:bCs/>
        </w:rPr>
        <w:br w:type="page"/>
      </w:r>
    </w:p>
    <w:tbl>
      <w:tblPr>
        <w:tblStyle w:val="GridTable1Light"/>
        <w:tblW w:w="15163" w:type="dxa"/>
        <w:tblLook w:val="04A0" w:firstRow="1" w:lastRow="0" w:firstColumn="1" w:lastColumn="0" w:noHBand="0" w:noVBand="1"/>
      </w:tblPr>
      <w:tblGrid>
        <w:gridCol w:w="1682"/>
        <w:gridCol w:w="922"/>
        <w:gridCol w:w="1645"/>
        <w:gridCol w:w="1440"/>
        <w:gridCol w:w="1024"/>
        <w:gridCol w:w="6182"/>
        <w:gridCol w:w="2268"/>
      </w:tblGrid>
      <w:tr w:rsidR="004B3FB5" w:rsidRPr="008A761D" w14:paraId="73FA7B27" w14:textId="77777777" w:rsidTr="0055545C">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82" w:type="dxa"/>
            <w:shd w:val="clear" w:color="auto" w:fill="E8E8E8" w:themeFill="background2"/>
          </w:tcPr>
          <w:p w14:paraId="6B4A7BB9" w14:textId="50F7AE7F" w:rsidR="004B3FB5" w:rsidRPr="008A761D" w:rsidRDefault="004B3FB5" w:rsidP="004B3FB5">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lastRenderedPageBreak/>
              <w:t>Search strategy</w:t>
            </w:r>
          </w:p>
        </w:tc>
        <w:tc>
          <w:tcPr>
            <w:tcW w:w="922" w:type="dxa"/>
            <w:shd w:val="clear" w:color="auto" w:fill="E8E8E8" w:themeFill="background2"/>
            <w:noWrap/>
          </w:tcPr>
          <w:p w14:paraId="237959A7" w14:textId="228CF2CB"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 xml:space="preserve">No </w:t>
            </w:r>
            <w:r w:rsidRPr="008A761D">
              <w:rPr>
                <w:rFonts w:ascii="Times New Roman" w:eastAsia="Times New Roman" w:hAnsi="Times New Roman" w:cs="Times New Roman"/>
                <w:kern w:val="0"/>
                <w:sz w:val="20"/>
                <w:szCs w:val="20"/>
                <w:lang w:eastAsia="en-GB"/>
                <w14:ligatures w14:val="none"/>
              </w:rPr>
              <w:t>of Articles</w:t>
            </w:r>
          </w:p>
        </w:tc>
        <w:tc>
          <w:tcPr>
            <w:tcW w:w="1645" w:type="dxa"/>
            <w:shd w:val="clear" w:color="auto" w:fill="E8E8E8" w:themeFill="background2"/>
          </w:tcPr>
          <w:p w14:paraId="01710F73" w14:textId="144B294B"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Inclusion criteria</w:t>
            </w:r>
          </w:p>
        </w:tc>
        <w:tc>
          <w:tcPr>
            <w:tcW w:w="1440" w:type="dxa"/>
            <w:shd w:val="clear" w:color="auto" w:fill="E8E8E8" w:themeFill="background2"/>
          </w:tcPr>
          <w:p w14:paraId="696A4F98" w14:textId="227BEA08"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Exclusion criteria</w:t>
            </w:r>
          </w:p>
        </w:tc>
        <w:tc>
          <w:tcPr>
            <w:tcW w:w="1024" w:type="dxa"/>
            <w:shd w:val="clear" w:color="auto" w:fill="E8E8E8" w:themeFill="background2"/>
            <w:noWrap/>
          </w:tcPr>
          <w:p w14:paraId="2E7C697D" w14:textId="06CDE8D6"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No</w:t>
            </w:r>
            <w:r w:rsidRPr="008A761D">
              <w:rPr>
                <w:rFonts w:ascii="Times New Roman" w:eastAsia="Times New Roman" w:hAnsi="Times New Roman" w:cs="Times New Roman"/>
                <w:kern w:val="0"/>
                <w:sz w:val="20"/>
                <w:szCs w:val="20"/>
                <w:lang w:eastAsia="en-GB"/>
                <w14:ligatures w14:val="none"/>
              </w:rPr>
              <w:t xml:space="preserve"> of Relevant Articles</w:t>
            </w:r>
          </w:p>
        </w:tc>
        <w:tc>
          <w:tcPr>
            <w:tcW w:w="6182" w:type="dxa"/>
            <w:shd w:val="clear" w:color="auto" w:fill="E8E8E8" w:themeFill="background2"/>
          </w:tcPr>
          <w:p w14:paraId="75E7BB98" w14:textId="246A0880"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References</w:t>
            </w:r>
          </w:p>
        </w:tc>
        <w:tc>
          <w:tcPr>
            <w:tcW w:w="2268" w:type="dxa"/>
            <w:shd w:val="clear" w:color="auto" w:fill="E8E8E8" w:themeFill="background2"/>
          </w:tcPr>
          <w:p w14:paraId="5614B898" w14:textId="12D4D72B"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Type of Study</w:t>
            </w:r>
          </w:p>
        </w:tc>
      </w:tr>
      <w:tr w:rsidR="008A761D" w:rsidRPr="008A761D" w14:paraId="76F9331B" w14:textId="77777777" w:rsidTr="0055545C">
        <w:trPr>
          <w:trHeight w:val="765"/>
        </w:trPr>
        <w:tc>
          <w:tcPr>
            <w:cnfStyle w:val="001000000000" w:firstRow="0" w:lastRow="0" w:firstColumn="1" w:lastColumn="0" w:oddVBand="0" w:evenVBand="0" w:oddHBand="0" w:evenHBand="0" w:firstRowFirstColumn="0" w:firstRowLastColumn="0" w:lastRowFirstColumn="0" w:lastRowLastColumn="0"/>
            <w:tcW w:w="1682" w:type="dxa"/>
            <w:vMerge w:val="restart"/>
            <w:hideMark/>
          </w:tcPr>
          <w:p w14:paraId="215582BE" w14:textId="4B8E60C6"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PubMed "Peptide formula" AND "children" AND "malnutrition"</w:t>
            </w:r>
          </w:p>
        </w:tc>
        <w:tc>
          <w:tcPr>
            <w:tcW w:w="922" w:type="dxa"/>
            <w:vMerge w:val="restart"/>
            <w:noWrap/>
            <w:hideMark/>
          </w:tcPr>
          <w:p w14:paraId="68857A3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35</w:t>
            </w:r>
          </w:p>
        </w:tc>
        <w:tc>
          <w:tcPr>
            <w:tcW w:w="1645" w:type="dxa"/>
            <w:vMerge w:val="restart"/>
            <w:hideMark/>
          </w:tcPr>
          <w:p w14:paraId="63AE0C2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malnutrition or at risk of it</w:t>
            </w:r>
            <w:r w:rsidRPr="008A761D">
              <w:rPr>
                <w:rFonts w:ascii="Times New Roman" w:eastAsia="Times New Roman" w:hAnsi="Times New Roman" w:cs="Times New Roman"/>
                <w:kern w:val="0"/>
                <w:sz w:val="20"/>
                <w:szCs w:val="20"/>
                <w:lang w:eastAsia="en-GB"/>
                <w14:ligatures w14:val="none"/>
              </w:rPr>
              <w:br/>
              <w:t>Peptide-based formulas</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2715509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and adults and/or not malnourished children</w:t>
            </w:r>
            <w:r w:rsidRPr="008A761D">
              <w:rPr>
                <w:rFonts w:ascii="Times New Roman" w:eastAsia="Times New Roman" w:hAnsi="Times New Roman" w:cs="Times New Roman"/>
                <w:kern w:val="0"/>
                <w:sz w:val="20"/>
                <w:szCs w:val="20"/>
                <w:lang w:eastAsia="en-GB"/>
                <w14:ligatures w14:val="none"/>
              </w:rPr>
              <w:br/>
              <w:t>Not peptide-based formula</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noWrap/>
            <w:hideMark/>
          </w:tcPr>
          <w:p w14:paraId="77C2A16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w:t>
            </w:r>
          </w:p>
        </w:tc>
        <w:tc>
          <w:tcPr>
            <w:tcW w:w="6182" w:type="dxa"/>
            <w:hideMark/>
          </w:tcPr>
          <w:p w14:paraId="00B7BF3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1.Ibrahim H, Mansour M, El Gendy YG. Peptide-based formula versus standard-based polymeric formula for critically ill children: is it superior for patients’ tolerance? Archives of Medical Science. 2020;16(3):592-6.</w:t>
            </w:r>
          </w:p>
        </w:tc>
        <w:tc>
          <w:tcPr>
            <w:tcW w:w="2268" w:type="dxa"/>
            <w:hideMark/>
          </w:tcPr>
          <w:p w14:paraId="2430960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Single blind, case-control study</w:t>
            </w:r>
          </w:p>
        </w:tc>
      </w:tr>
      <w:tr w:rsidR="008A761D" w:rsidRPr="008A761D" w14:paraId="014955FB"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2" w:type="dxa"/>
            <w:vMerge/>
            <w:hideMark/>
          </w:tcPr>
          <w:p w14:paraId="512A9BF7"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6AAE2C6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36EAEEF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6DDE81B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0C238A0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4A73C14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 Selimoglu MA, Kansu A, Aydogdu S, Sarioglu AA, Erdogan S, Dalgic B, et al. Nutritional Support in Malnourished Children With Compromised Gastrointestinal Function: Utility of Peptide-Based Enteral Therapy. Front Pediatr. 2021;9:610275.</w:t>
            </w:r>
          </w:p>
        </w:tc>
        <w:tc>
          <w:tcPr>
            <w:tcW w:w="2268" w:type="dxa"/>
            <w:hideMark/>
          </w:tcPr>
          <w:p w14:paraId="55CBAA19"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4E2DC0BA" w14:textId="77777777" w:rsidTr="0055545C">
        <w:trPr>
          <w:trHeight w:val="255"/>
        </w:trPr>
        <w:tc>
          <w:tcPr>
            <w:cnfStyle w:val="001000000000" w:firstRow="0" w:lastRow="0" w:firstColumn="1" w:lastColumn="0" w:oddVBand="0" w:evenVBand="0" w:oddHBand="0" w:evenHBand="0" w:firstRowFirstColumn="0" w:firstRowLastColumn="0" w:lastRowFirstColumn="0" w:lastRowLastColumn="0"/>
            <w:tcW w:w="1682" w:type="dxa"/>
            <w:vMerge/>
            <w:hideMark/>
          </w:tcPr>
          <w:p w14:paraId="757429F0"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0479DF64"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527BC07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709282F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3FB74EB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7653AE9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 Elfadil OM, Shah RN, Hurt RT, Mundi MS. Peptide‐based formula: Clinical applications and benefits. Nutrition in Clinical Practice. 2023;38(2):318-28.</w:t>
            </w:r>
          </w:p>
        </w:tc>
        <w:tc>
          <w:tcPr>
            <w:tcW w:w="2268" w:type="dxa"/>
            <w:hideMark/>
          </w:tcPr>
          <w:p w14:paraId="035E27E9"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3EAADF90"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2" w:type="dxa"/>
            <w:vMerge/>
            <w:hideMark/>
          </w:tcPr>
          <w:p w14:paraId="4C478A6B"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6F960575"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695C4A7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14A2C0A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42C6A52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59BBCAF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 Huang XJ, Guo FF, Li F, Zhao JC, Fan YZ, Wang N, et al. [Nutritional support in children with pneumonia on mechanical ventilation by short-peptide enteral nutrition formula]. Zhongguo Dang Dai Er Ke Za Zhi. 2020;22(11):1209-14.</w:t>
            </w:r>
          </w:p>
        </w:tc>
        <w:tc>
          <w:tcPr>
            <w:tcW w:w="2268" w:type="dxa"/>
            <w:hideMark/>
          </w:tcPr>
          <w:p w14:paraId="14669690"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RCT</w:t>
            </w:r>
          </w:p>
        </w:tc>
      </w:tr>
      <w:tr w:rsidR="00C52F6A" w:rsidRPr="008A761D" w14:paraId="40EF36B3" w14:textId="77777777" w:rsidTr="0055545C">
        <w:trPr>
          <w:trHeight w:val="942"/>
        </w:trPr>
        <w:tc>
          <w:tcPr>
            <w:cnfStyle w:val="001000000000" w:firstRow="0" w:lastRow="0" w:firstColumn="1" w:lastColumn="0" w:oddVBand="0" w:evenVBand="0" w:oddHBand="0" w:evenHBand="0" w:firstRowFirstColumn="0" w:firstRowLastColumn="0" w:lastRowFirstColumn="0" w:lastRowLastColumn="0"/>
            <w:tcW w:w="1682" w:type="dxa"/>
            <w:vMerge w:val="restart"/>
            <w:hideMark/>
          </w:tcPr>
          <w:p w14:paraId="3C4F7B91" w14:textId="583231AE"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PubMed "Peptide formula" AND "pediatric" AND "malnutrition"</w:t>
            </w:r>
          </w:p>
        </w:tc>
        <w:tc>
          <w:tcPr>
            <w:tcW w:w="922" w:type="dxa"/>
            <w:vMerge w:val="restart"/>
            <w:noWrap/>
            <w:hideMark/>
          </w:tcPr>
          <w:p w14:paraId="504444D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27</w:t>
            </w:r>
          </w:p>
        </w:tc>
        <w:tc>
          <w:tcPr>
            <w:tcW w:w="1645" w:type="dxa"/>
            <w:vMerge w:val="restart"/>
            <w:hideMark/>
          </w:tcPr>
          <w:p w14:paraId="6612AE4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malnutrition or at risk of it</w:t>
            </w:r>
            <w:r w:rsidRPr="008A761D">
              <w:rPr>
                <w:rFonts w:ascii="Times New Roman" w:eastAsia="Times New Roman" w:hAnsi="Times New Roman" w:cs="Times New Roman"/>
                <w:kern w:val="0"/>
                <w:sz w:val="20"/>
                <w:szCs w:val="20"/>
                <w:lang w:eastAsia="en-GB"/>
                <w14:ligatures w14:val="none"/>
              </w:rPr>
              <w:br/>
              <w:t>Peptide-based formulas</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75B5758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and adults and/or not malnourished children</w:t>
            </w:r>
            <w:r w:rsidRPr="008A761D">
              <w:rPr>
                <w:rFonts w:ascii="Times New Roman" w:eastAsia="Times New Roman" w:hAnsi="Times New Roman" w:cs="Times New Roman"/>
                <w:kern w:val="0"/>
                <w:sz w:val="20"/>
                <w:szCs w:val="20"/>
                <w:lang w:eastAsia="en-GB"/>
                <w14:ligatures w14:val="none"/>
              </w:rPr>
              <w:br/>
              <w:t>Not peptide-based formula</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noWrap/>
            <w:hideMark/>
          </w:tcPr>
          <w:p w14:paraId="4D6B50D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w:t>
            </w:r>
          </w:p>
        </w:tc>
        <w:tc>
          <w:tcPr>
            <w:tcW w:w="6182" w:type="dxa"/>
            <w:hideMark/>
          </w:tcPr>
          <w:p w14:paraId="2908AE4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1.Ibrahim H, Mansour M, El Gendy YG. Peptide-based formula versus standard-based polymeric formula for critically ill children: is it superior for patients’ tolerance? Archives of Medical Science. 2020;16(3):592-6.</w:t>
            </w:r>
          </w:p>
        </w:tc>
        <w:tc>
          <w:tcPr>
            <w:tcW w:w="2268" w:type="dxa"/>
            <w:hideMark/>
          </w:tcPr>
          <w:p w14:paraId="4D11DA4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Single blind, case-control study</w:t>
            </w:r>
          </w:p>
        </w:tc>
      </w:tr>
      <w:tr w:rsidR="008A761D" w:rsidRPr="008A761D" w14:paraId="17E66BD1"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2" w:type="dxa"/>
            <w:vMerge/>
            <w:hideMark/>
          </w:tcPr>
          <w:p w14:paraId="34123C42"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3A9E718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6B76927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3EDF0A6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0D9EB31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1C4835A5"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 Selimoglu MA, Kansu A, Aydogdu S, Sarioglu AA, Erdogan S, Dalgic B, et al. Nutritional Support in Malnourished Children With Compromised Gastrointestinal Function: Utility of Peptide-Based Enteral Therapy. Front Pediatr. 2021;9:610275.</w:t>
            </w:r>
          </w:p>
        </w:tc>
        <w:tc>
          <w:tcPr>
            <w:tcW w:w="2268" w:type="dxa"/>
            <w:hideMark/>
          </w:tcPr>
          <w:p w14:paraId="193EC3B3"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22F8DDF1" w14:textId="77777777" w:rsidTr="0055545C">
        <w:trPr>
          <w:trHeight w:val="255"/>
        </w:trPr>
        <w:tc>
          <w:tcPr>
            <w:cnfStyle w:val="001000000000" w:firstRow="0" w:lastRow="0" w:firstColumn="1" w:lastColumn="0" w:oddVBand="0" w:evenVBand="0" w:oddHBand="0" w:evenHBand="0" w:firstRowFirstColumn="0" w:firstRowLastColumn="0" w:lastRowFirstColumn="0" w:lastRowLastColumn="0"/>
            <w:tcW w:w="1682" w:type="dxa"/>
            <w:vMerge/>
            <w:hideMark/>
          </w:tcPr>
          <w:p w14:paraId="7DC2F6D5"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3B84354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59FCADD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4DA63B7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7D452C8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61CB575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 Elfadil OM, Shah RN, Hurt RT, Mundi MS. Peptide‐based formula: Clinical applications and benefits. Nutrition in Clinical Practice. 2023;38(2):318-28.</w:t>
            </w:r>
          </w:p>
        </w:tc>
        <w:tc>
          <w:tcPr>
            <w:tcW w:w="2268" w:type="dxa"/>
            <w:hideMark/>
          </w:tcPr>
          <w:p w14:paraId="50E2AC4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07A4954B"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2" w:type="dxa"/>
            <w:vMerge/>
            <w:hideMark/>
          </w:tcPr>
          <w:p w14:paraId="40672378"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4FC87FE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59E0459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0BDAAF4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5F835FE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2" w:type="dxa"/>
            <w:hideMark/>
          </w:tcPr>
          <w:p w14:paraId="4E031FB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 Huang XJ, Guo FF, Li F, Zhao JC, Fan YZ, Wang N, et al. [Nutritional support in children with pneumonia on mechanical ventilation by short-peptide enteral nutrition formula]. Zhongguo Dang Dai Er Ke Za Zhi. 2020;22(11):1209-14.</w:t>
            </w:r>
          </w:p>
        </w:tc>
        <w:tc>
          <w:tcPr>
            <w:tcW w:w="2268" w:type="dxa"/>
            <w:hideMark/>
          </w:tcPr>
          <w:p w14:paraId="68E3D663"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RCT</w:t>
            </w:r>
          </w:p>
        </w:tc>
      </w:tr>
    </w:tbl>
    <w:p w14:paraId="317FC762" w14:textId="77777777" w:rsidR="004B3FB5" w:rsidRDefault="004B3FB5">
      <w:r>
        <w:rPr>
          <w:b/>
          <w:bCs/>
        </w:rPr>
        <w:br w:type="page"/>
      </w:r>
    </w:p>
    <w:tbl>
      <w:tblPr>
        <w:tblStyle w:val="GridTable1Light"/>
        <w:tblW w:w="15163" w:type="dxa"/>
        <w:tblLook w:val="04A0" w:firstRow="1" w:lastRow="0" w:firstColumn="1" w:lastColumn="0" w:noHBand="0" w:noVBand="1"/>
      </w:tblPr>
      <w:tblGrid>
        <w:gridCol w:w="1683"/>
        <w:gridCol w:w="922"/>
        <w:gridCol w:w="1645"/>
        <w:gridCol w:w="1440"/>
        <w:gridCol w:w="1024"/>
        <w:gridCol w:w="6181"/>
        <w:gridCol w:w="2268"/>
      </w:tblGrid>
      <w:tr w:rsidR="004B3FB5" w:rsidRPr="008A761D" w14:paraId="2D902BA7" w14:textId="77777777" w:rsidTr="0055545C">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83" w:type="dxa"/>
            <w:tcBorders>
              <w:bottom w:val="single" w:sz="4" w:space="0" w:color="auto"/>
            </w:tcBorders>
            <w:shd w:val="clear" w:color="auto" w:fill="E8E8E8" w:themeFill="background2"/>
          </w:tcPr>
          <w:p w14:paraId="2EC97762" w14:textId="275F2A4B" w:rsidR="004B3FB5" w:rsidRPr="008A761D" w:rsidRDefault="004B3FB5" w:rsidP="004B3FB5">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lastRenderedPageBreak/>
              <w:t>Search strategy</w:t>
            </w:r>
          </w:p>
        </w:tc>
        <w:tc>
          <w:tcPr>
            <w:tcW w:w="922" w:type="dxa"/>
            <w:tcBorders>
              <w:bottom w:val="single" w:sz="4" w:space="0" w:color="auto"/>
            </w:tcBorders>
            <w:shd w:val="clear" w:color="auto" w:fill="E8E8E8" w:themeFill="background2"/>
            <w:noWrap/>
          </w:tcPr>
          <w:p w14:paraId="01F5B5FC" w14:textId="08E63FFD"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4B3FB5">
              <w:rPr>
                <w:rFonts w:ascii="Times New Roman" w:eastAsia="Times New Roman" w:hAnsi="Times New Roman" w:cs="Times New Roman"/>
                <w:kern w:val="0"/>
                <w:sz w:val="20"/>
                <w:szCs w:val="20"/>
                <w:lang w:eastAsia="en-GB"/>
                <w14:ligatures w14:val="none"/>
              </w:rPr>
              <w:t>No</w:t>
            </w:r>
            <w:r>
              <w:rPr>
                <w:rFonts w:ascii="Times New Roman" w:eastAsia="Times New Roman" w:hAnsi="Times New Roman" w:cs="Times New Roman"/>
                <w:b w:val="0"/>
                <w:bCs w:val="0"/>
                <w:kern w:val="0"/>
                <w:sz w:val="20"/>
                <w:szCs w:val="20"/>
                <w:lang w:eastAsia="en-GB"/>
                <w14:ligatures w14:val="none"/>
              </w:rPr>
              <w:t xml:space="preserve"> </w:t>
            </w:r>
            <w:r w:rsidRPr="008A761D">
              <w:rPr>
                <w:rFonts w:ascii="Times New Roman" w:eastAsia="Times New Roman" w:hAnsi="Times New Roman" w:cs="Times New Roman"/>
                <w:kern w:val="0"/>
                <w:sz w:val="20"/>
                <w:szCs w:val="20"/>
                <w:lang w:eastAsia="en-GB"/>
                <w14:ligatures w14:val="none"/>
              </w:rPr>
              <w:t>of Articles</w:t>
            </w:r>
          </w:p>
        </w:tc>
        <w:tc>
          <w:tcPr>
            <w:tcW w:w="1645" w:type="dxa"/>
            <w:tcBorders>
              <w:bottom w:val="single" w:sz="4" w:space="0" w:color="auto"/>
            </w:tcBorders>
            <w:shd w:val="clear" w:color="auto" w:fill="E8E8E8" w:themeFill="background2"/>
            <w:noWrap/>
          </w:tcPr>
          <w:p w14:paraId="4A532DAF" w14:textId="04317DFE"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Inclusion criteria</w:t>
            </w:r>
          </w:p>
        </w:tc>
        <w:tc>
          <w:tcPr>
            <w:tcW w:w="1440" w:type="dxa"/>
            <w:tcBorders>
              <w:bottom w:val="single" w:sz="4" w:space="0" w:color="auto"/>
            </w:tcBorders>
            <w:shd w:val="clear" w:color="auto" w:fill="E8E8E8" w:themeFill="background2"/>
          </w:tcPr>
          <w:p w14:paraId="740C61B3" w14:textId="79BB2BC6"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Exclusion criteria</w:t>
            </w:r>
          </w:p>
        </w:tc>
        <w:tc>
          <w:tcPr>
            <w:tcW w:w="1024" w:type="dxa"/>
            <w:tcBorders>
              <w:bottom w:val="single" w:sz="4" w:space="0" w:color="auto"/>
            </w:tcBorders>
            <w:shd w:val="clear" w:color="auto" w:fill="E8E8E8" w:themeFill="background2"/>
            <w:noWrap/>
          </w:tcPr>
          <w:p w14:paraId="1A0CF9AE" w14:textId="1C8B351B"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4B3FB5">
              <w:rPr>
                <w:rFonts w:ascii="Times New Roman" w:eastAsia="Times New Roman" w:hAnsi="Times New Roman" w:cs="Times New Roman"/>
                <w:kern w:val="0"/>
                <w:sz w:val="20"/>
                <w:szCs w:val="20"/>
                <w:lang w:eastAsia="en-GB"/>
                <w14:ligatures w14:val="none"/>
              </w:rPr>
              <w:t>No</w:t>
            </w:r>
            <w:r w:rsidRPr="008A761D">
              <w:rPr>
                <w:rFonts w:ascii="Times New Roman" w:eastAsia="Times New Roman" w:hAnsi="Times New Roman" w:cs="Times New Roman"/>
                <w:kern w:val="0"/>
                <w:sz w:val="20"/>
                <w:szCs w:val="20"/>
                <w:lang w:eastAsia="en-GB"/>
                <w14:ligatures w14:val="none"/>
              </w:rPr>
              <w:t xml:space="preserve"> of Relevant Articles</w:t>
            </w:r>
          </w:p>
        </w:tc>
        <w:tc>
          <w:tcPr>
            <w:tcW w:w="6181" w:type="dxa"/>
            <w:tcBorders>
              <w:bottom w:val="single" w:sz="4" w:space="0" w:color="auto"/>
            </w:tcBorders>
            <w:shd w:val="clear" w:color="auto" w:fill="E8E8E8" w:themeFill="background2"/>
          </w:tcPr>
          <w:p w14:paraId="7ED3402E" w14:textId="23810F1F"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References</w:t>
            </w:r>
          </w:p>
        </w:tc>
        <w:tc>
          <w:tcPr>
            <w:tcW w:w="2268" w:type="dxa"/>
            <w:tcBorders>
              <w:bottom w:val="single" w:sz="4" w:space="0" w:color="auto"/>
            </w:tcBorders>
            <w:shd w:val="clear" w:color="auto" w:fill="E8E8E8" w:themeFill="background2"/>
          </w:tcPr>
          <w:p w14:paraId="095218DA" w14:textId="292DE896" w:rsidR="004B3FB5" w:rsidRPr="008A761D"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Type of Study</w:t>
            </w:r>
          </w:p>
        </w:tc>
      </w:tr>
      <w:tr w:rsidR="008A761D" w:rsidRPr="008A761D" w14:paraId="3EF4B26F" w14:textId="77777777" w:rsidTr="0055545C">
        <w:trPr>
          <w:trHeight w:val="765"/>
        </w:trPr>
        <w:tc>
          <w:tcPr>
            <w:cnfStyle w:val="001000000000" w:firstRow="0" w:lastRow="0" w:firstColumn="1" w:lastColumn="0" w:oddVBand="0" w:evenVBand="0" w:oddHBand="0" w:evenHBand="0" w:firstRowFirstColumn="0" w:firstRowLastColumn="0" w:lastRowFirstColumn="0" w:lastRowLastColumn="0"/>
            <w:tcW w:w="1683" w:type="dxa"/>
            <w:tcBorders>
              <w:bottom w:val="single" w:sz="4" w:space="0" w:color="auto"/>
            </w:tcBorders>
            <w:hideMark/>
          </w:tcPr>
          <w:p w14:paraId="5000255A" w14:textId="2BDBFCD8"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xml:space="preserve">PubMed "Peptide feed" AND "pediatric" </w:t>
            </w:r>
          </w:p>
        </w:tc>
        <w:tc>
          <w:tcPr>
            <w:tcW w:w="922" w:type="dxa"/>
            <w:tcBorders>
              <w:bottom w:val="single" w:sz="4" w:space="0" w:color="auto"/>
            </w:tcBorders>
            <w:noWrap/>
            <w:hideMark/>
          </w:tcPr>
          <w:p w14:paraId="30A5D5FF"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166</w:t>
            </w:r>
          </w:p>
        </w:tc>
        <w:tc>
          <w:tcPr>
            <w:tcW w:w="1645" w:type="dxa"/>
            <w:tcBorders>
              <w:bottom w:val="single" w:sz="4" w:space="0" w:color="auto"/>
            </w:tcBorders>
            <w:noWrap/>
            <w:hideMark/>
          </w:tcPr>
          <w:p w14:paraId="650F6B7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w:t>
            </w:r>
          </w:p>
        </w:tc>
        <w:tc>
          <w:tcPr>
            <w:tcW w:w="1440" w:type="dxa"/>
            <w:tcBorders>
              <w:bottom w:val="single" w:sz="4" w:space="0" w:color="auto"/>
            </w:tcBorders>
            <w:hideMark/>
          </w:tcPr>
          <w:p w14:paraId="1B9B315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neonatal or animals</w:t>
            </w:r>
            <w:r w:rsidRPr="008A761D">
              <w:rPr>
                <w:rFonts w:ascii="Times New Roman" w:eastAsia="Times New Roman" w:hAnsi="Times New Roman" w:cs="Times New Roman"/>
                <w:kern w:val="0"/>
                <w:sz w:val="20"/>
                <w:szCs w:val="20"/>
                <w:lang w:eastAsia="en-GB"/>
                <w14:ligatures w14:val="none"/>
              </w:rPr>
              <w:br/>
              <w:t>Not peptide feed</w:t>
            </w:r>
          </w:p>
        </w:tc>
        <w:tc>
          <w:tcPr>
            <w:tcW w:w="1024" w:type="dxa"/>
            <w:tcBorders>
              <w:bottom w:val="single" w:sz="4" w:space="0" w:color="auto"/>
            </w:tcBorders>
            <w:noWrap/>
            <w:hideMark/>
          </w:tcPr>
          <w:p w14:paraId="2BC0A069"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0</w:t>
            </w:r>
          </w:p>
        </w:tc>
        <w:tc>
          <w:tcPr>
            <w:tcW w:w="6181" w:type="dxa"/>
            <w:tcBorders>
              <w:bottom w:val="single" w:sz="4" w:space="0" w:color="auto"/>
            </w:tcBorders>
            <w:hideMark/>
          </w:tcPr>
          <w:p w14:paraId="17D6B2C4"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c>
          <w:tcPr>
            <w:tcW w:w="2268" w:type="dxa"/>
            <w:tcBorders>
              <w:bottom w:val="single" w:sz="4" w:space="0" w:color="auto"/>
            </w:tcBorders>
            <w:hideMark/>
          </w:tcPr>
          <w:p w14:paraId="2294BBC8"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r>
      <w:tr w:rsidR="004B3FB5" w:rsidRPr="008A761D" w14:paraId="0E722FEF" w14:textId="77777777" w:rsidTr="0055545C">
        <w:trPr>
          <w:trHeight w:val="765"/>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uto"/>
            </w:tcBorders>
            <w:hideMark/>
          </w:tcPr>
          <w:p w14:paraId="4C6E30CD" w14:textId="789AC436"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PubMed "Peptide feed" AND "pediatric" AND "malnutrition"</w:t>
            </w:r>
          </w:p>
        </w:tc>
        <w:tc>
          <w:tcPr>
            <w:tcW w:w="922" w:type="dxa"/>
            <w:tcBorders>
              <w:top w:val="single" w:sz="4" w:space="0" w:color="auto"/>
            </w:tcBorders>
            <w:noWrap/>
            <w:hideMark/>
          </w:tcPr>
          <w:p w14:paraId="3A531891"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w:t>
            </w:r>
          </w:p>
        </w:tc>
        <w:tc>
          <w:tcPr>
            <w:tcW w:w="1645" w:type="dxa"/>
            <w:tcBorders>
              <w:top w:val="single" w:sz="4" w:space="0" w:color="auto"/>
            </w:tcBorders>
            <w:noWrap/>
            <w:hideMark/>
          </w:tcPr>
          <w:p w14:paraId="20E2425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w:t>
            </w:r>
          </w:p>
        </w:tc>
        <w:tc>
          <w:tcPr>
            <w:tcW w:w="1440" w:type="dxa"/>
            <w:tcBorders>
              <w:top w:val="single" w:sz="4" w:space="0" w:color="auto"/>
            </w:tcBorders>
            <w:hideMark/>
          </w:tcPr>
          <w:p w14:paraId="2317473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not malnourished children</w:t>
            </w:r>
            <w:r w:rsidRPr="008A761D">
              <w:rPr>
                <w:rFonts w:ascii="Times New Roman" w:eastAsia="Times New Roman" w:hAnsi="Times New Roman" w:cs="Times New Roman"/>
                <w:kern w:val="0"/>
                <w:sz w:val="20"/>
                <w:szCs w:val="20"/>
                <w:lang w:eastAsia="en-GB"/>
                <w14:ligatures w14:val="none"/>
              </w:rPr>
              <w:br/>
              <w:t>Not peptide feed</w:t>
            </w:r>
          </w:p>
        </w:tc>
        <w:tc>
          <w:tcPr>
            <w:tcW w:w="1024" w:type="dxa"/>
            <w:tcBorders>
              <w:top w:val="single" w:sz="4" w:space="0" w:color="auto"/>
            </w:tcBorders>
            <w:noWrap/>
            <w:hideMark/>
          </w:tcPr>
          <w:p w14:paraId="4F13D362"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0</w:t>
            </w:r>
          </w:p>
        </w:tc>
        <w:tc>
          <w:tcPr>
            <w:tcW w:w="6181" w:type="dxa"/>
            <w:tcBorders>
              <w:top w:val="single" w:sz="4" w:space="0" w:color="auto"/>
            </w:tcBorders>
            <w:hideMark/>
          </w:tcPr>
          <w:p w14:paraId="46A13E9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c>
          <w:tcPr>
            <w:tcW w:w="2268" w:type="dxa"/>
            <w:tcBorders>
              <w:top w:val="single" w:sz="4" w:space="0" w:color="auto"/>
            </w:tcBorders>
            <w:hideMark/>
          </w:tcPr>
          <w:p w14:paraId="32EB7848"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r>
      <w:tr w:rsidR="008A761D" w:rsidRPr="008A761D" w14:paraId="50BC2258" w14:textId="77777777" w:rsidTr="0055545C">
        <w:trPr>
          <w:trHeight w:val="810"/>
        </w:trPr>
        <w:tc>
          <w:tcPr>
            <w:cnfStyle w:val="001000000000" w:firstRow="0" w:lastRow="0" w:firstColumn="1" w:lastColumn="0" w:oddVBand="0" w:evenVBand="0" w:oddHBand="0" w:evenHBand="0" w:firstRowFirstColumn="0" w:firstRowLastColumn="0" w:lastRowFirstColumn="0" w:lastRowLastColumn="0"/>
            <w:tcW w:w="1683" w:type="dxa"/>
            <w:vMerge w:val="restart"/>
            <w:hideMark/>
          </w:tcPr>
          <w:p w14:paraId="4DA5AC21" w14:textId="4147022E"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PubMed "Peptide formula" AND "children or pediatric" AND "malabsorption"</w:t>
            </w:r>
          </w:p>
        </w:tc>
        <w:tc>
          <w:tcPr>
            <w:tcW w:w="922" w:type="dxa"/>
            <w:vMerge w:val="restart"/>
            <w:noWrap/>
            <w:hideMark/>
          </w:tcPr>
          <w:p w14:paraId="67C952B1"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25</w:t>
            </w:r>
          </w:p>
        </w:tc>
        <w:tc>
          <w:tcPr>
            <w:tcW w:w="1645" w:type="dxa"/>
            <w:vMerge w:val="restart"/>
            <w:hideMark/>
          </w:tcPr>
          <w:p w14:paraId="31762EF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malnutrition or at risk of it</w:t>
            </w:r>
            <w:r w:rsidRPr="008A761D">
              <w:rPr>
                <w:rFonts w:ascii="Times New Roman" w:eastAsia="Times New Roman" w:hAnsi="Times New Roman" w:cs="Times New Roman"/>
                <w:kern w:val="0"/>
                <w:sz w:val="20"/>
                <w:szCs w:val="20"/>
                <w:lang w:eastAsia="en-GB"/>
                <w14:ligatures w14:val="none"/>
              </w:rPr>
              <w:br/>
              <w:t>Peptide-based formulas</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1DF3707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adults, animals and not malnourished children</w:t>
            </w:r>
            <w:r w:rsidRPr="008A761D">
              <w:rPr>
                <w:rFonts w:ascii="Times New Roman" w:eastAsia="Times New Roman" w:hAnsi="Times New Roman" w:cs="Times New Roman"/>
                <w:kern w:val="0"/>
                <w:sz w:val="20"/>
                <w:szCs w:val="20"/>
                <w:lang w:eastAsia="en-GB"/>
                <w14:ligatures w14:val="none"/>
              </w:rPr>
              <w:br/>
              <w:t>Not peptide formulas</w:t>
            </w:r>
          </w:p>
        </w:tc>
        <w:tc>
          <w:tcPr>
            <w:tcW w:w="1024" w:type="dxa"/>
            <w:vMerge w:val="restart"/>
            <w:noWrap/>
            <w:hideMark/>
          </w:tcPr>
          <w:p w14:paraId="1F2EB025"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w:t>
            </w:r>
          </w:p>
        </w:tc>
        <w:tc>
          <w:tcPr>
            <w:tcW w:w="6181" w:type="dxa"/>
            <w:hideMark/>
          </w:tcPr>
          <w:p w14:paraId="5D283B4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 Suharyono. Short chain peptide in the treatment of chronic diarrhoea with protein maldigestion/malabsorption. Paediatr Indones. 1990;30(5-6):147-53.</w:t>
            </w:r>
          </w:p>
        </w:tc>
        <w:tc>
          <w:tcPr>
            <w:tcW w:w="2268" w:type="dxa"/>
            <w:hideMark/>
          </w:tcPr>
          <w:p w14:paraId="6B7709B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Clinical trial</w:t>
            </w:r>
          </w:p>
        </w:tc>
      </w:tr>
      <w:tr w:rsidR="008A761D" w:rsidRPr="008A761D" w14:paraId="700B0952"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5C7E6FCB"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7993B92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3333EBE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69EE072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6B958E9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638C9A9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 Selimoglu MA, Kansu A, Aydogdu S, Sarioglu AA, Erdogan S, Dalgic B, et al. Nutritional Support in Malnourished Children With Compromised Gastrointestinal Function: Utility of Peptide-Based Enteral Therapy. Front Pediatr. 2021;9:610275.</w:t>
            </w:r>
          </w:p>
        </w:tc>
        <w:tc>
          <w:tcPr>
            <w:tcW w:w="2268" w:type="dxa"/>
            <w:hideMark/>
          </w:tcPr>
          <w:p w14:paraId="2412607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4B3FB5" w:rsidRPr="008A761D" w14:paraId="7505A4AE" w14:textId="77777777" w:rsidTr="0055545C">
        <w:trPr>
          <w:trHeight w:val="765"/>
        </w:trPr>
        <w:tc>
          <w:tcPr>
            <w:cnfStyle w:val="001000000000" w:firstRow="0" w:lastRow="0" w:firstColumn="1" w:lastColumn="0" w:oddVBand="0" w:evenVBand="0" w:oddHBand="0" w:evenHBand="0" w:firstRowFirstColumn="0" w:firstRowLastColumn="0" w:lastRowFirstColumn="0" w:lastRowLastColumn="0"/>
            <w:tcW w:w="1683" w:type="dxa"/>
            <w:hideMark/>
          </w:tcPr>
          <w:p w14:paraId="72717E0E" w14:textId="0A5DAF2A"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PubMed "Peptide feed" AND "children or pediatrc" AND "malabsorption"</w:t>
            </w:r>
          </w:p>
        </w:tc>
        <w:tc>
          <w:tcPr>
            <w:tcW w:w="922" w:type="dxa"/>
            <w:noWrap/>
            <w:hideMark/>
          </w:tcPr>
          <w:p w14:paraId="06FDD540"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7</w:t>
            </w:r>
          </w:p>
        </w:tc>
        <w:tc>
          <w:tcPr>
            <w:tcW w:w="1645" w:type="dxa"/>
            <w:noWrap/>
            <w:hideMark/>
          </w:tcPr>
          <w:p w14:paraId="52EABCF5"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w:t>
            </w:r>
          </w:p>
        </w:tc>
        <w:tc>
          <w:tcPr>
            <w:tcW w:w="1440" w:type="dxa"/>
            <w:hideMark/>
          </w:tcPr>
          <w:p w14:paraId="125FF28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adults and animals</w:t>
            </w:r>
            <w:r w:rsidRPr="008A761D">
              <w:rPr>
                <w:rFonts w:ascii="Times New Roman" w:eastAsia="Times New Roman" w:hAnsi="Times New Roman" w:cs="Times New Roman"/>
                <w:kern w:val="0"/>
                <w:sz w:val="20"/>
                <w:szCs w:val="20"/>
                <w:lang w:eastAsia="en-GB"/>
                <w14:ligatures w14:val="none"/>
              </w:rPr>
              <w:br/>
              <w:t>Not peptide feed</w:t>
            </w:r>
          </w:p>
        </w:tc>
        <w:tc>
          <w:tcPr>
            <w:tcW w:w="1024" w:type="dxa"/>
            <w:noWrap/>
            <w:hideMark/>
          </w:tcPr>
          <w:p w14:paraId="05E6D6C5"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0</w:t>
            </w:r>
          </w:p>
        </w:tc>
        <w:tc>
          <w:tcPr>
            <w:tcW w:w="6181" w:type="dxa"/>
            <w:hideMark/>
          </w:tcPr>
          <w:p w14:paraId="03C9F4E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c>
          <w:tcPr>
            <w:tcW w:w="2268" w:type="dxa"/>
            <w:hideMark/>
          </w:tcPr>
          <w:p w14:paraId="75C3D66A"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r>
    </w:tbl>
    <w:p w14:paraId="051C4D2D" w14:textId="77777777" w:rsidR="004B3FB5" w:rsidRDefault="004B3FB5">
      <w:r>
        <w:rPr>
          <w:b/>
          <w:bCs/>
        </w:rPr>
        <w:br w:type="page"/>
      </w:r>
    </w:p>
    <w:tbl>
      <w:tblPr>
        <w:tblStyle w:val="GridTable1Light"/>
        <w:tblW w:w="15163" w:type="dxa"/>
        <w:tblLook w:val="04A0" w:firstRow="1" w:lastRow="0" w:firstColumn="1" w:lastColumn="0" w:noHBand="0" w:noVBand="1"/>
      </w:tblPr>
      <w:tblGrid>
        <w:gridCol w:w="1683"/>
        <w:gridCol w:w="922"/>
        <w:gridCol w:w="1645"/>
        <w:gridCol w:w="1440"/>
        <w:gridCol w:w="1024"/>
        <w:gridCol w:w="6181"/>
        <w:gridCol w:w="2268"/>
      </w:tblGrid>
      <w:tr w:rsidR="004B3FB5" w:rsidRPr="008A761D" w14:paraId="3F295A34" w14:textId="77777777" w:rsidTr="0055545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83" w:type="dxa"/>
            <w:shd w:val="clear" w:color="auto" w:fill="E8E8E8" w:themeFill="background2"/>
          </w:tcPr>
          <w:p w14:paraId="35202805" w14:textId="766EB744" w:rsidR="004B3FB5" w:rsidRPr="004B3FB5" w:rsidRDefault="004B3FB5" w:rsidP="004B3FB5">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lastRenderedPageBreak/>
              <w:t>Search strategy</w:t>
            </w:r>
          </w:p>
        </w:tc>
        <w:tc>
          <w:tcPr>
            <w:tcW w:w="922" w:type="dxa"/>
            <w:shd w:val="clear" w:color="auto" w:fill="E8E8E8" w:themeFill="background2"/>
            <w:noWrap/>
          </w:tcPr>
          <w:p w14:paraId="2DAC06C2" w14:textId="1079A790" w:rsidR="004B3FB5" w:rsidRPr="004B3FB5"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4B3FB5">
              <w:rPr>
                <w:rFonts w:ascii="Times New Roman" w:eastAsia="Times New Roman" w:hAnsi="Times New Roman" w:cs="Times New Roman"/>
                <w:kern w:val="0"/>
                <w:sz w:val="20"/>
                <w:szCs w:val="20"/>
                <w:lang w:eastAsia="en-GB"/>
                <w14:ligatures w14:val="none"/>
              </w:rPr>
              <w:t xml:space="preserve">No </w:t>
            </w:r>
            <w:r w:rsidRPr="008A761D">
              <w:rPr>
                <w:rFonts w:ascii="Times New Roman" w:eastAsia="Times New Roman" w:hAnsi="Times New Roman" w:cs="Times New Roman"/>
                <w:kern w:val="0"/>
                <w:sz w:val="20"/>
                <w:szCs w:val="20"/>
                <w:lang w:eastAsia="en-GB"/>
                <w14:ligatures w14:val="none"/>
              </w:rPr>
              <w:t>of Articles</w:t>
            </w:r>
          </w:p>
        </w:tc>
        <w:tc>
          <w:tcPr>
            <w:tcW w:w="1645" w:type="dxa"/>
            <w:shd w:val="clear" w:color="auto" w:fill="E8E8E8" w:themeFill="background2"/>
          </w:tcPr>
          <w:p w14:paraId="3B8C0A22" w14:textId="261DFC88" w:rsidR="004B3FB5" w:rsidRPr="004B3FB5" w:rsidRDefault="004B3FB5" w:rsidP="004B3FB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Inclusion criteria</w:t>
            </w:r>
          </w:p>
        </w:tc>
        <w:tc>
          <w:tcPr>
            <w:tcW w:w="1440" w:type="dxa"/>
            <w:shd w:val="clear" w:color="auto" w:fill="E8E8E8" w:themeFill="background2"/>
          </w:tcPr>
          <w:p w14:paraId="066D8309" w14:textId="676DB03D" w:rsidR="004B3FB5" w:rsidRPr="004B3FB5" w:rsidRDefault="004B3FB5" w:rsidP="004B3FB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Exclusion criteria</w:t>
            </w:r>
          </w:p>
        </w:tc>
        <w:tc>
          <w:tcPr>
            <w:tcW w:w="1024" w:type="dxa"/>
            <w:shd w:val="clear" w:color="auto" w:fill="E8E8E8" w:themeFill="background2"/>
            <w:noWrap/>
          </w:tcPr>
          <w:p w14:paraId="3248AB17" w14:textId="760F1542" w:rsidR="004B3FB5" w:rsidRPr="004B3FB5"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4B3FB5">
              <w:rPr>
                <w:rFonts w:ascii="Times New Roman" w:eastAsia="Times New Roman" w:hAnsi="Times New Roman" w:cs="Times New Roman"/>
                <w:kern w:val="0"/>
                <w:sz w:val="20"/>
                <w:szCs w:val="20"/>
                <w:lang w:eastAsia="en-GB"/>
                <w14:ligatures w14:val="none"/>
              </w:rPr>
              <w:t>No</w:t>
            </w:r>
            <w:r w:rsidRPr="008A761D">
              <w:rPr>
                <w:rFonts w:ascii="Times New Roman" w:eastAsia="Times New Roman" w:hAnsi="Times New Roman" w:cs="Times New Roman"/>
                <w:kern w:val="0"/>
                <w:sz w:val="20"/>
                <w:szCs w:val="20"/>
                <w:lang w:eastAsia="en-GB"/>
                <w14:ligatures w14:val="none"/>
              </w:rPr>
              <w:t xml:space="preserve"> of Relevant Articles</w:t>
            </w:r>
          </w:p>
        </w:tc>
        <w:tc>
          <w:tcPr>
            <w:tcW w:w="6181" w:type="dxa"/>
            <w:shd w:val="clear" w:color="auto" w:fill="E8E8E8" w:themeFill="background2"/>
          </w:tcPr>
          <w:p w14:paraId="28D85B63" w14:textId="3BAF83E8" w:rsidR="004B3FB5" w:rsidRPr="004B3FB5" w:rsidRDefault="004B3FB5" w:rsidP="004B3FB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References</w:t>
            </w:r>
          </w:p>
        </w:tc>
        <w:tc>
          <w:tcPr>
            <w:tcW w:w="2268" w:type="dxa"/>
            <w:shd w:val="clear" w:color="auto" w:fill="E8E8E8" w:themeFill="background2"/>
          </w:tcPr>
          <w:p w14:paraId="0F36AA21" w14:textId="576429BB" w:rsidR="004B3FB5" w:rsidRPr="004B3FB5" w:rsidRDefault="004B3FB5" w:rsidP="004B3F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Type of Study</w:t>
            </w:r>
          </w:p>
        </w:tc>
      </w:tr>
      <w:tr w:rsidR="008A761D" w:rsidRPr="008A761D" w14:paraId="7E2AFD3A"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val="restart"/>
            <w:hideMark/>
          </w:tcPr>
          <w:p w14:paraId="748B90EF" w14:textId="6140918A"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ResearchGate (peptide formula OR peptide-based formula OR peptide feed) AND (children OR pediatric OR paediatric) AND (malnutrition OR malabsorption)</w:t>
            </w:r>
          </w:p>
        </w:tc>
        <w:tc>
          <w:tcPr>
            <w:tcW w:w="922" w:type="dxa"/>
            <w:vMerge w:val="restart"/>
            <w:noWrap/>
            <w:hideMark/>
          </w:tcPr>
          <w:p w14:paraId="2944060E"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100</w:t>
            </w:r>
          </w:p>
        </w:tc>
        <w:tc>
          <w:tcPr>
            <w:tcW w:w="1645" w:type="dxa"/>
            <w:vMerge w:val="restart"/>
            <w:hideMark/>
          </w:tcPr>
          <w:p w14:paraId="31A909D9" w14:textId="12B6B1A3"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malnutrition or at risk of it</w:t>
            </w:r>
            <w:r w:rsidRPr="008A761D">
              <w:rPr>
                <w:rFonts w:ascii="Times New Roman" w:eastAsia="Times New Roman" w:hAnsi="Times New Roman" w:cs="Times New Roman"/>
                <w:kern w:val="0"/>
                <w:sz w:val="20"/>
                <w:szCs w:val="20"/>
                <w:lang w:eastAsia="en-GB"/>
                <w14:ligatures w14:val="none"/>
              </w:rPr>
              <w:br/>
              <w:t>Peptide-based formulas or feed</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3CEB9D9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adults and animals</w:t>
            </w:r>
            <w:r w:rsidRPr="008A761D">
              <w:rPr>
                <w:rFonts w:ascii="Times New Roman" w:eastAsia="Times New Roman" w:hAnsi="Times New Roman" w:cs="Times New Roman"/>
                <w:kern w:val="0"/>
                <w:sz w:val="20"/>
                <w:szCs w:val="20"/>
                <w:lang w:eastAsia="en-GB"/>
                <w14:ligatures w14:val="none"/>
              </w:rPr>
              <w:br/>
              <w:t>Not peptide formulas</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noWrap/>
            <w:hideMark/>
          </w:tcPr>
          <w:p w14:paraId="3609F9A2"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7</w:t>
            </w:r>
          </w:p>
        </w:tc>
        <w:tc>
          <w:tcPr>
            <w:tcW w:w="6181" w:type="dxa"/>
            <w:hideMark/>
          </w:tcPr>
          <w:p w14:paraId="37BA89C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1.Ibrahim H, Mansour M, El Gendy YG. Peptide-based formula versus standard-based polymeric formula for critically ill children: is it superior for patients’ tolerance? Archives of Medical Science. 2020;16(3):592-6.</w:t>
            </w:r>
          </w:p>
        </w:tc>
        <w:tc>
          <w:tcPr>
            <w:tcW w:w="2268" w:type="dxa"/>
            <w:hideMark/>
          </w:tcPr>
          <w:p w14:paraId="0A446D8A"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Single blind, case-control study</w:t>
            </w:r>
          </w:p>
        </w:tc>
      </w:tr>
      <w:tr w:rsidR="008A761D" w:rsidRPr="008A761D" w14:paraId="5E8A2B9C"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52419FD1"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3A9CF79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32D3D79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040387D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167FFD5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47275E4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 Selimoglu MA, Kansu A, Aydogdu S, Sarioglu AA, Erdogan S, Dalgic B, et al. Nutritional Support in Malnourished Children With Compromised Gastrointestinal Function: Utility of Peptide-Based Enteral Therapy. Front Pediatr. 2021;9:610275.</w:t>
            </w:r>
          </w:p>
        </w:tc>
        <w:tc>
          <w:tcPr>
            <w:tcW w:w="2268" w:type="dxa"/>
            <w:hideMark/>
          </w:tcPr>
          <w:p w14:paraId="4C57C76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06063475" w14:textId="77777777" w:rsidTr="0055545C">
        <w:trPr>
          <w:trHeight w:val="255"/>
        </w:trPr>
        <w:tc>
          <w:tcPr>
            <w:cnfStyle w:val="001000000000" w:firstRow="0" w:lastRow="0" w:firstColumn="1" w:lastColumn="0" w:oddVBand="0" w:evenVBand="0" w:oddHBand="0" w:evenHBand="0" w:firstRowFirstColumn="0" w:firstRowLastColumn="0" w:lastRowFirstColumn="0" w:lastRowLastColumn="0"/>
            <w:tcW w:w="1683" w:type="dxa"/>
            <w:vMerge/>
            <w:hideMark/>
          </w:tcPr>
          <w:p w14:paraId="75B7F468"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2D2839D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7B3F8A8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4FB32BD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27A5070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010AAAE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 Elfadil OM, Shah RN, Hurt RT, Mundi MS. Peptide‐based formula: Clinical applications and benefits. Nutrition in Clinical Practice. 2023;38(2):318-28.</w:t>
            </w:r>
          </w:p>
        </w:tc>
        <w:tc>
          <w:tcPr>
            <w:tcW w:w="2268" w:type="dxa"/>
            <w:hideMark/>
          </w:tcPr>
          <w:p w14:paraId="114B04DC"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0283DF03"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371724E3"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0DEEF96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23E20FC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328308D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67F74D5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155EDAA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 Huang XJ, Guo FF, Li F, Zhao JC, Fan YZ, Wang N, et al. [Nutritional support in children with pneumonia on mechanical ventilation by short-peptide enteral nutrition formula]. Zhongguo Dang Dai Er Ke Za Zhi. 2020;22(11):1209-14.</w:t>
            </w:r>
          </w:p>
        </w:tc>
        <w:tc>
          <w:tcPr>
            <w:tcW w:w="2268" w:type="dxa"/>
            <w:hideMark/>
          </w:tcPr>
          <w:p w14:paraId="72F6D630"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RCT</w:t>
            </w:r>
          </w:p>
        </w:tc>
      </w:tr>
      <w:tr w:rsidR="008A761D" w:rsidRPr="008A761D" w14:paraId="7E5D7CA5"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180F150A"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15A6D4C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3C3DFDA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3139F42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17590E6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4E8A7E2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C853DF">
              <w:rPr>
                <w:rFonts w:ascii="Times New Roman" w:eastAsia="Times New Roman" w:hAnsi="Times New Roman" w:cs="Times New Roman"/>
                <w:kern w:val="0"/>
                <w:sz w:val="20"/>
                <w:szCs w:val="20"/>
                <w:lang w:val="es-ES" w:eastAsia="en-GB"/>
                <w14:ligatures w14:val="none"/>
              </w:rPr>
              <w:t xml:space="preserve">5. Mostafa MS, Gamal Y, Soliman MH. </w:t>
            </w:r>
            <w:r w:rsidRPr="008A761D">
              <w:rPr>
                <w:rFonts w:ascii="Times New Roman" w:eastAsia="Times New Roman" w:hAnsi="Times New Roman" w:cs="Times New Roman"/>
                <w:kern w:val="0"/>
                <w:sz w:val="20"/>
                <w:szCs w:val="20"/>
                <w:lang w:eastAsia="en-GB"/>
                <w14:ligatures w14:val="none"/>
              </w:rPr>
              <w:t>Peptide-based enteral formula vs a whole protein enteral formula after major intestinal surgeries in children. Annals of Pediatric Surgery. 2021;17(1):41.</w:t>
            </w:r>
          </w:p>
        </w:tc>
        <w:tc>
          <w:tcPr>
            <w:tcW w:w="2268" w:type="dxa"/>
            <w:hideMark/>
          </w:tcPr>
          <w:p w14:paraId="3215835E"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Retrospective cohort study</w:t>
            </w:r>
          </w:p>
        </w:tc>
      </w:tr>
      <w:tr w:rsidR="008A761D" w:rsidRPr="008A761D" w14:paraId="3FA6214F"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6383BB6D"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4FBA3D9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36DA4A9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6F6B355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7EE9A82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64E431A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6. Kristyn F, Heather G. Clinical Use of Peptide-Based Formula (Peptamen Junior®, Nestle) in the Paediatric Population. International Journal of Nutrition. 2022;6(4):35-45.</w:t>
            </w:r>
          </w:p>
        </w:tc>
        <w:tc>
          <w:tcPr>
            <w:tcW w:w="2268" w:type="dxa"/>
            <w:hideMark/>
          </w:tcPr>
          <w:p w14:paraId="21511BD9"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Retrospective observational</w:t>
            </w:r>
          </w:p>
        </w:tc>
      </w:tr>
      <w:tr w:rsidR="004B3FB5" w:rsidRPr="008A761D" w14:paraId="339B215C" w14:textId="77777777" w:rsidTr="0055545C">
        <w:trPr>
          <w:trHeight w:val="720"/>
        </w:trPr>
        <w:tc>
          <w:tcPr>
            <w:cnfStyle w:val="001000000000" w:firstRow="0" w:lastRow="0" w:firstColumn="1" w:lastColumn="0" w:oddVBand="0" w:evenVBand="0" w:oddHBand="0" w:evenHBand="0" w:firstRowFirstColumn="0" w:firstRowLastColumn="0" w:lastRowFirstColumn="0" w:lastRowLastColumn="0"/>
            <w:tcW w:w="1683" w:type="dxa"/>
            <w:vMerge w:val="restart"/>
            <w:hideMark/>
          </w:tcPr>
          <w:p w14:paraId="6358A67E" w14:textId="212EDB9D"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xml:space="preserve">Dialog and ProQuest. Databases Medline and Embase (peptide-based formula OR peptide formula OR peptide feed) AND (children OR pediatric OR paediatric) AND (malnutrition </w:t>
            </w:r>
          </w:p>
        </w:tc>
        <w:tc>
          <w:tcPr>
            <w:tcW w:w="922" w:type="dxa"/>
            <w:vMerge w:val="restart"/>
            <w:noWrap/>
            <w:hideMark/>
          </w:tcPr>
          <w:p w14:paraId="5AF824F6"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57</w:t>
            </w:r>
          </w:p>
        </w:tc>
        <w:tc>
          <w:tcPr>
            <w:tcW w:w="1645" w:type="dxa"/>
            <w:vMerge w:val="restart"/>
            <w:hideMark/>
          </w:tcPr>
          <w:p w14:paraId="7CAECE8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malnutrition or at risk of it</w:t>
            </w:r>
            <w:r w:rsidRPr="008A761D">
              <w:rPr>
                <w:rFonts w:ascii="Times New Roman" w:eastAsia="Times New Roman" w:hAnsi="Times New Roman" w:cs="Times New Roman"/>
                <w:kern w:val="0"/>
                <w:sz w:val="20"/>
                <w:szCs w:val="20"/>
                <w:lang w:eastAsia="en-GB"/>
                <w14:ligatures w14:val="none"/>
              </w:rPr>
              <w:br/>
              <w:t>Peptide-based formulas or feed</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5934FC3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and adults</w:t>
            </w:r>
            <w:r w:rsidRPr="008A761D">
              <w:rPr>
                <w:rFonts w:ascii="Times New Roman" w:eastAsia="Times New Roman" w:hAnsi="Times New Roman" w:cs="Times New Roman"/>
                <w:kern w:val="0"/>
                <w:sz w:val="20"/>
                <w:szCs w:val="20"/>
                <w:lang w:eastAsia="en-GB"/>
                <w14:ligatures w14:val="none"/>
              </w:rPr>
              <w:br/>
              <w:t>Not peptide formulas</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noWrap/>
            <w:hideMark/>
          </w:tcPr>
          <w:p w14:paraId="60BD6DD3"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w:t>
            </w:r>
          </w:p>
        </w:tc>
        <w:tc>
          <w:tcPr>
            <w:tcW w:w="6181" w:type="dxa"/>
            <w:hideMark/>
          </w:tcPr>
          <w:p w14:paraId="5E2B244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1.Ibrahim H, Mansour M, El Gendy YG. Peptide-based formula versus standard-based polymeric formula for critically ill children: is it superior for patients’ tolerance? Archives of Medical Science. 2020;16(3):592-6.</w:t>
            </w:r>
          </w:p>
        </w:tc>
        <w:tc>
          <w:tcPr>
            <w:tcW w:w="2268" w:type="dxa"/>
            <w:hideMark/>
          </w:tcPr>
          <w:p w14:paraId="381C5FFC"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Single blind, case-control study</w:t>
            </w:r>
          </w:p>
        </w:tc>
      </w:tr>
      <w:tr w:rsidR="008A761D" w:rsidRPr="008A761D" w14:paraId="4210560F"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615BA5F4"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13FA723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09FB482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080C845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633D0A7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37C663E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 Selimoglu MA, Kansu A, Aydogdu S, Sarioglu AA, Erdogan S, Dalgic B, et al. Nutritional Support in Malnourished Children With Compromised Gastrointestinal Function: Utility of Peptide-Based Enteral Therapy. Front Pediatr. 2021;9:610275.</w:t>
            </w:r>
          </w:p>
        </w:tc>
        <w:tc>
          <w:tcPr>
            <w:tcW w:w="2268" w:type="dxa"/>
            <w:hideMark/>
          </w:tcPr>
          <w:p w14:paraId="50F42A87"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4A3438C8" w14:textId="77777777" w:rsidTr="0055545C">
        <w:trPr>
          <w:trHeight w:val="255"/>
        </w:trPr>
        <w:tc>
          <w:tcPr>
            <w:cnfStyle w:val="001000000000" w:firstRow="0" w:lastRow="0" w:firstColumn="1" w:lastColumn="0" w:oddVBand="0" w:evenVBand="0" w:oddHBand="0" w:evenHBand="0" w:firstRowFirstColumn="0" w:firstRowLastColumn="0" w:lastRowFirstColumn="0" w:lastRowLastColumn="0"/>
            <w:tcW w:w="1683" w:type="dxa"/>
            <w:vMerge/>
            <w:hideMark/>
          </w:tcPr>
          <w:p w14:paraId="07C24F33"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4465118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745E0BC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56F6EA25"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59817C4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5788E29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 Elfadil OM, Shah RN, Hurt RT, Mundi MS. Peptide‐based formula: Clinical applications and benefits. Nutrition in Clinical Practice. 2023;38(2):318-28.</w:t>
            </w:r>
          </w:p>
        </w:tc>
        <w:tc>
          <w:tcPr>
            <w:tcW w:w="2268" w:type="dxa"/>
            <w:hideMark/>
          </w:tcPr>
          <w:p w14:paraId="396A9DC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0C6C60F7"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507327CC"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6CCAA07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347AC98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659200D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2D37AFF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4C6691D6" w14:textId="1AAEAE2B"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 Huang XJ, Guo FF, Li F, Zhao JC, Fan YZ, Wang N, et al. [Nutritional support in children with pneumonia on mechanical.</w:t>
            </w:r>
          </w:p>
        </w:tc>
        <w:tc>
          <w:tcPr>
            <w:tcW w:w="2268" w:type="dxa"/>
            <w:hideMark/>
          </w:tcPr>
          <w:p w14:paraId="15F5A94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RCT</w:t>
            </w:r>
          </w:p>
        </w:tc>
      </w:tr>
    </w:tbl>
    <w:p w14:paraId="390BFDA5" w14:textId="77777777" w:rsidR="00C52F6A" w:rsidRDefault="00C52F6A">
      <w:r>
        <w:rPr>
          <w:b/>
          <w:bCs/>
        </w:rPr>
        <w:br w:type="page"/>
      </w:r>
    </w:p>
    <w:tbl>
      <w:tblPr>
        <w:tblStyle w:val="GridTable1Light"/>
        <w:tblW w:w="15163" w:type="dxa"/>
        <w:tblLook w:val="04A0" w:firstRow="1" w:lastRow="0" w:firstColumn="1" w:lastColumn="0" w:noHBand="0" w:noVBand="1"/>
      </w:tblPr>
      <w:tblGrid>
        <w:gridCol w:w="1683"/>
        <w:gridCol w:w="922"/>
        <w:gridCol w:w="1645"/>
        <w:gridCol w:w="1440"/>
        <w:gridCol w:w="1024"/>
        <w:gridCol w:w="6181"/>
        <w:gridCol w:w="2268"/>
      </w:tblGrid>
      <w:tr w:rsidR="00DF7ECB" w:rsidRPr="008A761D" w14:paraId="1A02172F" w14:textId="77777777" w:rsidTr="0055545C">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683" w:type="dxa"/>
            <w:shd w:val="clear" w:color="auto" w:fill="E8E8E8" w:themeFill="background2"/>
          </w:tcPr>
          <w:p w14:paraId="1C3DE04B" w14:textId="6B9472FB" w:rsidR="00DF7ECB" w:rsidRPr="00DF7ECB" w:rsidRDefault="00DF7ECB" w:rsidP="00DF7ECB">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lastRenderedPageBreak/>
              <w:t>Search strategy</w:t>
            </w:r>
          </w:p>
        </w:tc>
        <w:tc>
          <w:tcPr>
            <w:tcW w:w="922" w:type="dxa"/>
            <w:shd w:val="clear" w:color="auto" w:fill="E8E8E8" w:themeFill="background2"/>
            <w:noWrap/>
          </w:tcPr>
          <w:p w14:paraId="0CD256DF" w14:textId="1E0AA903" w:rsidR="00DF7ECB" w:rsidRPr="00DF7ECB" w:rsidRDefault="00DF7ECB" w:rsidP="00DF7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DF7ECB">
              <w:rPr>
                <w:rFonts w:ascii="Times New Roman" w:eastAsia="Times New Roman" w:hAnsi="Times New Roman" w:cs="Times New Roman"/>
                <w:kern w:val="0"/>
                <w:sz w:val="20"/>
                <w:szCs w:val="20"/>
                <w:lang w:eastAsia="en-GB"/>
                <w14:ligatures w14:val="none"/>
              </w:rPr>
              <w:t xml:space="preserve">No </w:t>
            </w:r>
            <w:r w:rsidRPr="008A761D">
              <w:rPr>
                <w:rFonts w:ascii="Times New Roman" w:eastAsia="Times New Roman" w:hAnsi="Times New Roman" w:cs="Times New Roman"/>
                <w:kern w:val="0"/>
                <w:sz w:val="20"/>
                <w:szCs w:val="20"/>
                <w:lang w:eastAsia="en-GB"/>
                <w14:ligatures w14:val="none"/>
              </w:rPr>
              <w:t>of Articles</w:t>
            </w:r>
          </w:p>
        </w:tc>
        <w:tc>
          <w:tcPr>
            <w:tcW w:w="1645" w:type="dxa"/>
            <w:shd w:val="clear" w:color="auto" w:fill="E8E8E8" w:themeFill="background2"/>
          </w:tcPr>
          <w:p w14:paraId="7C5B5045" w14:textId="1A029D7A" w:rsidR="00DF7ECB" w:rsidRPr="00DF7ECB" w:rsidRDefault="00DF7ECB" w:rsidP="00DF7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Inclusion criteria</w:t>
            </w:r>
          </w:p>
        </w:tc>
        <w:tc>
          <w:tcPr>
            <w:tcW w:w="1440" w:type="dxa"/>
            <w:shd w:val="clear" w:color="auto" w:fill="E8E8E8" w:themeFill="background2"/>
          </w:tcPr>
          <w:p w14:paraId="56236E29" w14:textId="71600C70" w:rsidR="00DF7ECB" w:rsidRPr="00DF7ECB" w:rsidRDefault="00DF7ECB" w:rsidP="00DF7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Exclusion criteria</w:t>
            </w:r>
          </w:p>
        </w:tc>
        <w:tc>
          <w:tcPr>
            <w:tcW w:w="1024" w:type="dxa"/>
            <w:shd w:val="clear" w:color="auto" w:fill="E8E8E8" w:themeFill="background2"/>
            <w:noWrap/>
          </w:tcPr>
          <w:p w14:paraId="284607EB" w14:textId="0CCA0A98" w:rsidR="00DF7ECB" w:rsidRPr="00DF7ECB" w:rsidRDefault="00DF7ECB" w:rsidP="00DF7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DF7ECB">
              <w:rPr>
                <w:rFonts w:ascii="Times New Roman" w:eastAsia="Times New Roman" w:hAnsi="Times New Roman" w:cs="Times New Roman"/>
                <w:kern w:val="0"/>
                <w:sz w:val="20"/>
                <w:szCs w:val="20"/>
                <w:lang w:eastAsia="en-GB"/>
                <w14:ligatures w14:val="none"/>
              </w:rPr>
              <w:t>No</w:t>
            </w:r>
            <w:r w:rsidRPr="008A761D">
              <w:rPr>
                <w:rFonts w:ascii="Times New Roman" w:eastAsia="Times New Roman" w:hAnsi="Times New Roman" w:cs="Times New Roman"/>
                <w:kern w:val="0"/>
                <w:sz w:val="20"/>
                <w:szCs w:val="20"/>
                <w:lang w:eastAsia="en-GB"/>
                <w14:ligatures w14:val="none"/>
              </w:rPr>
              <w:t xml:space="preserve"> of Relevant Articles</w:t>
            </w:r>
          </w:p>
        </w:tc>
        <w:tc>
          <w:tcPr>
            <w:tcW w:w="6181" w:type="dxa"/>
            <w:shd w:val="clear" w:color="auto" w:fill="E8E8E8" w:themeFill="background2"/>
          </w:tcPr>
          <w:p w14:paraId="21AA80DD" w14:textId="3E051DE5" w:rsidR="00DF7ECB" w:rsidRPr="00DF7ECB" w:rsidRDefault="00DF7ECB" w:rsidP="00DF7ECB">
            <w:pPr>
              <w:spacing w:after="2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References</w:t>
            </w:r>
          </w:p>
        </w:tc>
        <w:tc>
          <w:tcPr>
            <w:tcW w:w="2268" w:type="dxa"/>
            <w:shd w:val="clear" w:color="auto" w:fill="E8E8E8" w:themeFill="background2"/>
          </w:tcPr>
          <w:p w14:paraId="251E647F" w14:textId="6558A844" w:rsidR="00DF7ECB" w:rsidRPr="00DF7ECB" w:rsidRDefault="00DF7ECB" w:rsidP="00DF7E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Type of Study</w:t>
            </w:r>
          </w:p>
        </w:tc>
      </w:tr>
      <w:tr w:rsidR="0062597D" w:rsidRPr="008A761D" w14:paraId="39515D15" w14:textId="77777777" w:rsidTr="0055545C">
        <w:trPr>
          <w:trHeight w:val="762"/>
        </w:trPr>
        <w:tc>
          <w:tcPr>
            <w:cnfStyle w:val="001000000000" w:firstRow="0" w:lastRow="0" w:firstColumn="1" w:lastColumn="0" w:oddVBand="0" w:evenVBand="0" w:oddHBand="0" w:evenHBand="0" w:firstRowFirstColumn="0" w:firstRowLastColumn="0" w:lastRowFirstColumn="0" w:lastRowLastColumn="0"/>
            <w:tcW w:w="1683" w:type="dxa"/>
          </w:tcPr>
          <w:p w14:paraId="79D9E176" w14:textId="1DABDF51" w:rsidR="0062597D" w:rsidRPr="008A761D" w:rsidRDefault="00DF7ECB" w:rsidP="008A761D">
            <w:pPr>
              <w:jc w:val="center"/>
              <w:rPr>
                <w:rFonts w:ascii="Times New Roman" w:eastAsia="Times New Roman" w:hAnsi="Times New Roman" w:cs="Times New Roman"/>
                <w:b w:val="0"/>
                <w:bCs w:val="0"/>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OR malabsorption)</w:t>
            </w:r>
          </w:p>
        </w:tc>
        <w:tc>
          <w:tcPr>
            <w:tcW w:w="922" w:type="dxa"/>
            <w:noWrap/>
          </w:tcPr>
          <w:p w14:paraId="36AB6939" w14:textId="77777777" w:rsidR="0062597D" w:rsidRPr="008A761D" w:rsidRDefault="0062597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tcPr>
          <w:p w14:paraId="68F08533" w14:textId="77777777" w:rsidR="0062597D" w:rsidRPr="008A761D" w:rsidRDefault="0062597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tcPr>
          <w:p w14:paraId="6E32D908" w14:textId="77777777" w:rsidR="0062597D" w:rsidRPr="008A761D" w:rsidRDefault="0062597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noWrap/>
          </w:tcPr>
          <w:p w14:paraId="2FBCEA23" w14:textId="77777777" w:rsidR="0062597D" w:rsidRPr="008A761D" w:rsidRDefault="0062597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tcPr>
          <w:p w14:paraId="7D6F1FA5" w14:textId="3A5C5807" w:rsidR="0062597D" w:rsidRPr="008A761D" w:rsidRDefault="00DF7ECB" w:rsidP="008A761D">
            <w:pPr>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ventilation by short-peptide enteral nutrition formula]. Zhongguo Dang Dai Er Ke Za Zhi. 2020;22(11):1209-14</w:t>
            </w:r>
          </w:p>
        </w:tc>
        <w:tc>
          <w:tcPr>
            <w:tcW w:w="2268" w:type="dxa"/>
          </w:tcPr>
          <w:p w14:paraId="2B1E0277" w14:textId="77777777" w:rsidR="0062597D" w:rsidRPr="008A761D" w:rsidRDefault="0062597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r>
      <w:tr w:rsidR="008A761D" w:rsidRPr="008A761D" w14:paraId="248CBBBA" w14:textId="77777777" w:rsidTr="0055545C">
        <w:trPr>
          <w:trHeight w:val="762"/>
        </w:trPr>
        <w:tc>
          <w:tcPr>
            <w:cnfStyle w:val="001000000000" w:firstRow="0" w:lastRow="0" w:firstColumn="1" w:lastColumn="0" w:oddVBand="0" w:evenVBand="0" w:oddHBand="0" w:evenHBand="0" w:firstRowFirstColumn="0" w:firstRowLastColumn="0" w:lastRowFirstColumn="0" w:lastRowLastColumn="0"/>
            <w:tcW w:w="1683" w:type="dxa"/>
            <w:vMerge w:val="restart"/>
            <w:hideMark/>
          </w:tcPr>
          <w:p w14:paraId="34D0987B" w14:textId="6B23EDC5"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Dialog and ProQuest. Databases Medline and Embase (semi-elemental formula) OR (semi-elemental feed) AND (malnutrition OR undernutrition OR failure to thrive OR faltering growth OR absorption OR tolerance ) AND (children OR pediatric OR paediatric)</w:t>
            </w:r>
          </w:p>
        </w:tc>
        <w:tc>
          <w:tcPr>
            <w:tcW w:w="922" w:type="dxa"/>
            <w:vMerge w:val="restart"/>
            <w:noWrap/>
            <w:hideMark/>
          </w:tcPr>
          <w:p w14:paraId="41767BBA"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127</w:t>
            </w:r>
          </w:p>
        </w:tc>
        <w:tc>
          <w:tcPr>
            <w:tcW w:w="1645" w:type="dxa"/>
            <w:vMerge w:val="restart"/>
            <w:hideMark/>
          </w:tcPr>
          <w:p w14:paraId="79756EA0"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w:t>
            </w:r>
            <w:r w:rsidRPr="008A761D">
              <w:rPr>
                <w:rFonts w:ascii="Times New Roman" w:eastAsia="Times New Roman" w:hAnsi="Times New Roman" w:cs="Times New Roman"/>
                <w:kern w:val="0"/>
                <w:sz w:val="20"/>
                <w:szCs w:val="20"/>
                <w:lang w:eastAsia="en-GB"/>
                <w14:ligatures w14:val="none"/>
              </w:rPr>
              <w:br/>
              <w:t>Semi-elemental formulas or feed</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2921EB16" w14:textId="3EFF3178"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infant, adults and animals</w:t>
            </w:r>
            <w:r w:rsidRPr="008A761D">
              <w:rPr>
                <w:rFonts w:ascii="Times New Roman" w:eastAsia="Times New Roman" w:hAnsi="Times New Roman" w:cs="Times New Roman"/>
                <w:kern w:val="0"/>
                <w:sz w:val="20"/>
                <w:szCs w:val="20"/>
                <w:lang w:eastAsia="en-GB"/>
                <w14:ligatures w14:val="none"/>
              </w:rPr>
              <w:br/>
              <w:t>Not semi-elemental formulas or feed</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noWrap/>
            <w:hideMark/>
          </w:tcPr>
          <w:p w14:paraId="15446151"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7</w:t>
            </w:r>
          </w:p>
        </w:tc>
        <w:tc>
          <w:tcPr>
            <w:tcW w:w="6181" w:type="dxa"/>
            <w:hideMark/>
          </w:tcPr>
          <w:p w14:paraId="7B562E59" w14:textId="77777777" w:rsidR="008A761D" w:rsidRPr="008A761D" w:rsidRDefault="008A761D" w:rsidP="008A761D">
            <w:pPr>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 Odinaeva ND, Kondratyeva EI, Maksimycheva TY. The first experience of using a ready-to-use liquid form of a hypercaloric semi-elemental product for enteral nutrition in children with cystic fibrosis. Voprosy praktičeskoj pediatrii. 2023;18(1):55-61.</w:t>
            </w:r>
            <w:r w:rsidRPr="008A761D">
              <w:rPr>
                <w:rFonts w:ascii="Times New Roman" w:eastAsia="Times New Roman" w:hAnsi="Times New Roman" w:cs="Times New Roman"/>
                <w:kern w:val="0"/>
                <w:sz w:val="20"/>
                <w:szCs w:val="20"/>
                <w:lang w:eastAsia="en-GB"/>
                <w14:ligatures w14:val="none"/>
              </w:rPr>
              <w:br/>
            </w:r>
          </w:p>
        </w:tc>
        <w:tc>
          <w:tcPr>
            <w:tcW w:w="2268" w:type="dxa"/>
            <w:hideMark/>
          </w:tcPr>
          <w:p w14:paraId="343D08F0"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Retrospective Observational(Single-center )</w:t>
            </w:r>
          </w:p>
        </w:tc>
      </w:tr>
      <w:tr w:rsidR="008A761D" w:rsidRPr="008A761D" w14:paraId="40285A8C"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460A8E8F"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1E0BE27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48FA980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50A777B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43A7CD1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1774CF7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C853DF">
              <w:rPr>
                <w:rFonts w:ascii="Times New Roman" w:eastAsia="Times New Roman" w:hAnsi="Times New Roman" w:cs="Times New Roman"/>
                <w:kern w:val="0"/>
                <w:sz w:val="20"/>
                <w:szCs w:val="20"/>
                <w:lang w:val="es-ES" w:eastAsia="en-GB"/>
                <w14:ligatures w14:val="none"/>
              </w:rPr>
              <w:t xml:space="preserve">2. Verduci E, Salvatore S, Bresesti I, Di Profio E, Pendezza E, Bosetti A, et al. </w:t>
            </w:r>
            <w:r w:rsidRPr="008A761D">
              <w:rPr>
                <w:rFonts w:ascii="Times New Roman" w:eastAsia="Times New Roman" w:hAnsi="Times New Roman" w:cs="Times New Roman"/>
                <w:kern w:val="0"/>
                <w:sz w:val="20"/>
                <w:szCs w:val="20"/>
                <w:lang w:eastAsia="en-GB"/>
                <w14:ligatures w14:val="none"/>
              </w:rPr>
              <w:t>Semi-Elemental and Elemental Formulas for Enteral Nutrition in Infants and Children with Medical Complexity-Thinking about Cow's Milk Allergy and Beyond. Nutrients. 2021;13(12).</w:t>
            </w:r>
          </w:p>
        </w:tc>
        <w:tc>
          <w:tcPr>
            <w:tcW w:w="2268" w:type="dxa"/>
            <w:hideMark/>
          </w:tcPr>
          <w:p w14:paraId="7748D535"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34E6F72C" w14:textId="77777777" w:rsidTr="0055545C">
        <w:trPr>
          <w:trHeight w:val="255"/>
        </w:trPr>
        <w:tc>
          <w:tcPr>
            <w:cnfStyle w:val="001000000000" w:firstRow="0" w:lastRow="0" w:firstColumn="1" w:lastColumn="0" w:oddVBand="0" w:evenVBand="0" w:oddHBand="0" w:evenHBand="0" w:firstRowFirstColumn="0" w:firstRowLastColumn="0" w:lastRowFirstColumn="0" w:lastRowLastColumn="0"/>
            <w:tcW w:w="1683" w:type="dxa"/>
            <w:vMerge/>
            <w:hideMark/>
          </w:tcPr>
          <w:p w14:paraId="67269648"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4E6037C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5C497FAC"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0AB3DF4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31894896"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7AB2794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 Vandenplas Y, Plaskie K, Hauser B. Safety and adequacy of a semi-elemental formula for children with gastro-intestinal disease. Amino Acids. 2010;38(3):909-14</w:t>
            </w:r>
          </w:p>
        </w:tc>
        <w:tc>
          <w:tcPr>
            <w:tcW w:w="2268" w:type="dxa"/>
            <w:hideMark/>
          </w:tcPr>
          <w:p w14:paraId="2BE2BFD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Prospective, open trial</w:t>
            </w:r>
          </w:p>
        </w:tc>
      </w:tr>
      <w:tr w:rsidR="008A761D" w:rsidRPr="008A761D" w14:paraId="02789D40"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1BA518D2"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27B5EED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099914B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50BD4D95"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09562C7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49F3A05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4. Eichenberger JR, Hadorn B, Schmidt BJ. A semi-elemental diet with low osmolarity and high content of hydrolyzed lactalbumin in the treatment of acute diarrhea in malnourished children. Arq Gastroenterol. 1984;21(3):130-5.</w:t>
            </w:r>
          </w:p>
        </w:tc>
        <w:tc>
          <w:tcPr>
            <w:tcW w:w="2268" w:type="dxa"/>
            <w:hideMark/>
          </w:tcPr>
          <w:p w14:paraId="225A6F9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RCT</w:t>
            </w:r>
          </w:p>
        </w:tc>
      </w:tr>
      <w:tr w:rsidR="008A761D" w:rsidRPr="008A761D" w14:paraId="11A409A3" w14:textId="77777777" w:rsidTr="0055545C">
        <w:trPr>
          <w:trHeight w:val="255"/>
        </w:trPr>
        <w:tc>
          <w:tcPr>
            <w:cnfStyle w:val="001000000000" w:firstRow="0" w:lastRow="0" w:firstColumn="1" w:lastColumn="0" w:oddVBand="0" w:evenVBand="0" w:oddHBand="0" w:evenHBand="0" w:firstRowFirstColumn="0" w:firstRowLastColumn="0" w:lastRowFirstColumn="0" w:lastRowLastColumn="0"/>
            <w:tcW w:w="1683" w:type="dxa"/>
            <w:vMerge/>
            <w:hideMark/>
          </w:tcPr>
          <w:p w14:paraId="6835511A"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60753CC5"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0CA938B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52F2AF6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43410A1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312C18B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5. Sutphen JaA-SA. Nutritional Management of Pediatric Short Bowel Syndrome. Practical gastroenterology. 2003.</w:t>
            </w:r>
          </w:p>
        </w:tc>
        <w:tc>
          <w:tcPr>
            <w:tcW w:w="2268" w:type="dxa"/>
            <w:hideMark/>
          </w:tcPr>
          <w:p w14:paraId="03BD564A"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1768FFDA"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5D1260E5"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251C114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40CE98D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50CA7314"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01ADB39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7FCF5BD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6. Mohamed Elfadil O, Steien DB, Narasimhan R, Velapati SR, Epp L, Patel I, et al. Transition to peptide-based diet improved enteral nutrition tolerance and decreased healthcare utilization in pediatric home enteral nutrition. Journal of Parenteral and Enteral Nutrition. 2022;46(3):626-34.</w:t>
            </w:r>
          </w:p>
        </w:tc>
        <w:tc>
          <w:tcPr>
            <w:tcW w:w="2268" w:type="dxa"/>
            <w:hideMark/>
          </w:tcPr>
          <w:p w14:paraId="5103BCA6"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r w:rsidR="008A761D" w:rsidRPr="008A761D" w14:paraId="63AB528C"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322C15FA"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6053F21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0F7BF14B"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20E48AE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7AB1DD1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147CA4E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7. Alexander DD, Bylsma LC, Elkayam L, Nguyen DL. Nutritional and health benefits of semi-elemental diets: A comprehensive summary of the literature. World J Gastrointest Pharmacol Ther. 2016;7(2):306-19.</w:t>
            </w:r>
          </w:p>
        </w:tc>
        <w:tc>
          <w:tcPr>
            <w:tcW w:w="2268" w:type="dxa"/>
            <w:hideMark/>
          </w:tcPr>
          <w:p w14:paraId="0CCE5BF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Review</w:t>
            </w:r>
          </w:p>
        </w:tc>
      </w:tr>
    </w:tbl>
    <w:p w14:paraId="465FDFDF" w14:textId="77777777" w:rsidR="00C52F6A" w:rsidRDefault="00C52F6A">
      <w:r>
        <w:rPr>
          <w:b/>
          <w:bCs/>
        </w:rPr>
        <w:br w:type="page"/>
      </w:r>
    </w:p>
    <w:tbl>
      <w:tblPr>
        <w:tblStyle w:val="GridTable1Light"/>
        <w:tblW w:w="15163" w:type="dxa"/>
        <w:tblLook w:val="04A0" w:firstRow="1" w:lastRow="0" w:firstColumn="1" w:lastColumn="0" w:noHBand="0" w:noVBand="1"/>
      </w:tblPr>
      <w:tblGrid>
        <w:gridCol w:w="1683"/>
        <w:gridCol w:w="922"/>
        <w:gridCol w:w="1645"/>
        <w:gridCol w:w="1440"/>
        <w:gridCol w:w="1024"/>
        <w:gridCol w:w="6181"/>
        <w:gridCol w:w="2268"/>
      </w:tblGrid>
      <w:tr w:rsidR="00895368" w:rsidRPr="008A761D" w14:paraId="49F5A52F" w14:textId="77777777" w:rsidTr="0055545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83" w:type="dxa"/>
            <w:shd w:val="clear" w:color="auto" w:fill="E8E8E8" w:themeFill="background2"/>
          </w:tcPr>
          <w:p w14:paraId="514C0563" w14:textId="2C369E33" w:rsidR="00895368" w:rsidRPr="008A761D" w:rsidRDefault="00895368" w:rsidP="00895368">
            <w:pPr>
              <w:jc w:val="center"/>
              <w:rPr>
                <w:rFonts w:ascii="Times New Roman" w:eastAsia="Times New Roman" w:hAnsi="Times New Roman" w:cs="Times New Roman"/>
                <w:b w:val="0"/>
                <w:bCs w:val="0"/>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lastRenderedPageBreak/>
              <w:t>Search strategy</w:t>
            </w:r>
          </w:p>
        </w:tc>
        <w:tc>
          <w:tcPr>
            <w:tcW w:w="922" w:type="dxa"/>
            <w:shd w:val="clear" w:color="auto" w:fill="E8E8E8" w:themeFill="background2"/>
            <w:noWrap/>
          </w:tcPr>
          <w:p w14:paraId="6C778945" w14:textId="03E0018C" w:rsidR="00895368" w:rsidRPr="008A761D" w:rsidRDefault="00895368" w:rsidP="0089536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5A0013">
              <w:rPr>
                <w:rFonts w:ascii="Times New Roman" w:eastAsia="Times New Roman" w:hAnsi="Times New Roman" w:cs="Times New Roman"/>
                <w:kern w:val="0"/>
                <w:sz w:val="20"/>
                <w:szCs w:val="20"/>
                <w:lang w:eastAsia="en-GB"/>
                <w14:ligatures w14:val="none"/>
              </w:rPr>
              <w:t>No</w:t>
            </w:r>
            <w:r>
              <w:rPr>
                <w:rFonts w:ascii="Times New Roman" w:eastAsia="Times New Roman" w:hAnsi="Times New Roman" w:cs="Times New Roman"/>
                <w:b w:val="0"/>
                <w:bCs w:val="0"/>
                <w:kern w:val="0"/>
                <w:sz w:val="20"/>
                <w:szCs w:val="20"/>
                <w:lang w:eastAsia="en-GB"/>
                <w14:ligatures w14:val="none"/>
              </w:rPr>
              <w:t xml:space="preserve"> </w:t>
            </w:r>
            <w:r w:rsidRPr="008A761D">
              <w:rPr>
                <w:rFonts w:ascii="Times New Roman" w:eastAsia="Times New Roman" w:hAnsi="Times New Roman" w:cs="Times New Roman"/>
                <w:kern w:val="0"/>
                <w:sz w:val="20"/>
                <w:szCs w:val="20"/>
                <w:lang w:eastAsia="en-GB"/>
                <w14:ligatures w14:val="none"/>
              </w:rPr>
              <w:t>of Articles</w:t>
            </w:r>
          </w:p>
        </w:tc>
        <w:tc>
          <w:tcPr>
            <w:tcW w:w="1645" w:type="dxa"/>
            <w:shd w:val="clear" w:color="auto" w:fill="E8E8E8" w:themeFill="background2"/>
          </w:tcPr>
          <w:p w14:paraId="40DA01E5" w14:textId="43A808DD" w:rsidR="00895368" w:rsidRPr="008A761D" w:rsidRDefault="00895368" w:rsidP="008953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Inclusion criteria</w:t>
            </w:r>
          </w:p>
        </w:tc>
        <w:tc>
          <w:tcPr>
            <w:tcW w:w="1440" w:type="dxa"/>
            <w:shd w:val="clear" w:color="auto" w:fill="E8E8E8" w:themeFill="background2"/>
          </w:tcPr>
          <w:p w14:paraId="06878257" w14:textId="2068D82F" w:rsidR="00895368" w:rsidRPr="008A761D" w:rsidRDefault="00895368" w:rsidP="008953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Exclusion criteria</w:t>
            </w:r>
          </w:p>
        </w:tc>
        <w:tc>
          <w:tcPr>
            <w:tcW w:w="1024" w:type="dxa"/>
            <w:shd w:val="clear" w:color="auto" w:fill="E8E8E8" w:themeFill="background2"/>
          </w:tcPr>
          <w:p w14:paraId="179FF669" w14:textId="713A4B01" w:rsidR="00895368" w:rsidRPr="008A761D" w:rsidRDefault="00895368" w:rsidP="0089536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55545C">
              <w:rPr>
                <w:rFonts w:ascii="Times New Roman" w:eastAsia="Times New Roman" w:hAnsi="Times New Roman" w:cs="Times New Roman"/>
                <w:kern w:val="0"/>
                <w:sz w:val="20"/>
                <w:szCs w:val="20"/>
                <w:lang w:eastAsia="en-GB"/>
                <w14:ligatures w14:val="none"/>
              </w:rPr>
              <w:t>No</w:t>
            </w:r>
            <w:r w:rsidRPr="008A761D">
              <w:rPr>
                <w:rFonts w:ascii="Times New Roman" w:eastAsia="Times New Roman" w:hAnsi="Times New Roman" w:cs="Times New Roman"/>
                <w:kern w:val="0"/>
                <w:sz w:val="20"/>
                <w:szCs w:val="20"/>
                <w:lang w:eastAsia="en-GB"/>
                <w14:ligatures w14:val="none"/>
              </w:rPr>
              <w:t xml:space="preserve"> of Relevant Articles</w:t>
            </w:r>
          </w:p>
        </w:tc>
        <w:tc>
          <w:tcPr>
            <w:tcW w:w="6181" w:type="dxa"/>
            <w:shd w:val="clear" w:color="auto" w:fill="E8E8E8" w:themeFill="background2"/>
          </w:tcPr>
          <w:p w14:paraId="6EBCD376" w14:textId="645C4D96" w:rsidR="00895368" w:rsidRPr="008A761D" w:rsidRDefault="00895368" w:rsidP="008953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References</w:t>
            </w:r>
          </w:p>
        </w:tc>
        <w:tc>
          <w:tcPr>
            <w:tcW w:w="2268" w:type="dxa"/>
            <w:shd w:val="clear" w:color="auto" w:fill="E8E8E8" w:themeFill="background2"/>
          </w:tcPr>
          <w:p w14:paraId="5D095458" w14:textId="441966CF" w:rsidR="00895368" w:rsidRPr="008A761D" w:rsidRDefault="00895368" w:rsidP="0089536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Type of Study</w:t>
            </w:r>
          </w:p>
        </w:tc>
      </w:tr>
      <w:tr w:rsidR="004B3FB5" w:rsidRPr="008A761D" w14:paraId="46CE2ED5" w14:textId="77777777" w:rsidTr="0055545C">
        <w:trPr>
          <w:trHeight w:val="2280"/>
        </w:trPr>
        <w:tc>
          <w:tcPr>
            <w:cnfStyle w:val="001000000000" w:firstRow="0" w:lastRow="0" w:firstColumn="1" w:lastColumn="0" w:oddVBand="0" w:evenVBand="0" w:oddHBand="0" w:evenHBand="0" w:firstRowFirstColumn="0" w:firstRowLastColumn="0" w:lastRowFirstColumn="0" w:lastRowLastColumn="0"/>
            <w:tcW w:w="1683" w:type="dxa"/>
            <w:vMerge w:val="restart"/>
            <w:hideMark/>
          </w:tcPr>
          <w:p w14:paraId="3E8A9EB3" w14:textId="75A46C0E"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Dialog and ProQuest. Databases Medline and Embase (hydrolysed formula) OR (hydrolysed feed) AND (malnutrition OR undernutrition OR failure to thrive OR faltering growth OR absorption OR tolerance ) AND (children OR pediatric OR paediatric)</w:t>
            </w:r>
            <w:r w:rsidRPr="008A761D">
              <w:rPr>
                <w:rFonts w:ascii="Times New Roman" w:eastAsia="Times New Roman" w:hAnsi="Times New Roman" w:cs="Times New Roman"/>
                <w:kern w:val="0"/>
                <w:sz w:val="20"/>
                <w:szCs w:val="20"/>
                <w:lang w:eastAsia="en-GB"/>
                <w14:ligatures w14:val="none"/>
              </w:rPr>
              <w:br/>
              <w:t xml:space="preserve">Subjects: [Clear(Clear Subject) Subject]: NOT (infant AND infant formula AND infant, newborn AND newborn AND infant food AND adult AND infant feeding AND infant nutrition AND adolescent AND infancy AND infant nutritional physiological </w:t>
            </w:r>
            <w:r w:rsidRPr="008A761D">
              <w:rPr>
                <w:rFonts w:ascii="Times New Roman" w:eastAsia="Times New Roman" w:hAnsi="Times New Roman" w:cs="Times New Roman"/>
                <w:kern w:val="0"/>
                <w:sz w:val="20"/>
                <w:szCs w:val="20"/>
                <w:lang w:eastAsia="en-GB"/>
                <w14:ligatures w14:val="none"/>
              </w:rPr>
              <w:lastRenderedPageBreak/>
              <w:t>phenomena AND infant, premature AND middle aged AND infantile colic AND infant disease AND young adult</w:t>
            </w:r>
            <w:r w:rsidRPr="008A761D">
              <w:rPr>
                <w:rFonts w:ascii="Times New Roman" w:eastAsia="Times New Roman" w:hAnsi="Times New Roman" w:cs="Times New Roman"/>
                <w:kern w:val="0"/>
                <w:sz w:val="20"/>
                <w:szCs w:val="20"/>
                <w:lang w:eastAsia="en-GB"/>
                <w14:ligatures w14:val="none"/>
              </w:rPr>
              <w:br/>
              <w:t>MeSH Subjects: [Clear(Clear MeSH subjects) MeSH subjects]: Humans OR Child OR Child, Preschool</w:t>
            </w:r>
            <w:r w:rsidRPr="008A761D">
              <w:rPr>
                <w:rFonts w:ascii="Times New Roman" w:eastAsia="Times New Roman" w:hAnsi="Times New Roman" w:cs="Times New Roman"/>
                <w:kern w:val="0"/>
                <w:sz w:val="20"/>
                <w:szCs w:val="20"/>
                <w:lang w:eastAsia="en-GB"/>
                <w14:ligatures w14:val="none"/>
              </w:rPr>
              <w:br/>
              <w:t>Document type:   [Clear(Clear Document type) Document type]: Journal Article OR Review OR Randomized Controlled Trial OR Systematic Review OR Clinical Trial OR Meta-Analysis OR Observational Study OR Evaluation Study</w:t>
            </w:r>
          </w:p>
        </w:tc>
        <w:tc>
          <w:tcPr>
            <w:tcW w:w="922" w:type="dxa"/>
            <w:vMerge w:val="restart"/>
            <w:noWrap/>
            <w:hideMark/>
          </w:tcPr>
          <w:p w14:paraId="66F70AB2"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lastRenderedPageBreak/>
              <w:t>86</w:t>
            </w:r>
          </w:p>
        </w:tc>
        <w:tc>
          <w:tcPr>
            <w:tcW w:w="1645" w:type="dxa"/>
            <w:vMerge w:val="restart"/>
            <w:hideMark/>
          </w:tcPr>
          <w:p w14:paraId="2E624E6B" w14:textId="7F89D2CE"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allergies</w:t>
            </w:r>
            <w:r w:rsidRPr="008A761D">
              <w:rPr>
                <w:rFonts w:ascii="Times New Roman" w:eastAsia="Times New Roman" w:hAnsi="Times New Roman" w:cs="Times New Roman"/>
                <w:kern w:val="0"/>
                <w:sz w:val="20"/>
                <w:szCs w:val="20"/>
                <w:lang w:eastAsia="en-GB"/>
                <w14:ligatures w14:val="none"/>
              </w:rPr>
              <w:br/>
              <w:t>Hydrolysed formulas or feed</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0C672D1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not  children</w:t>
            </w:r>
            <w:r w:rsidRPr="008A761D">
              <w:rPr>
                <w:rFonts w:ascii="Times New Roman" w:eastAsia="Times New Roman" w:hAnsi="Times New Roman" w:cs="Times New Roman"/>
                <w:kern w:val="0"/>
                <w:sz w:val="20"/>
                <w:szCs w:val="20"/>
                <w:lang w:eastAsia="en-GB"/>
                <w14:ligatures w14:val="none"/>
              </w:rPr>
              <w:br/>
              <w:t>Not hydrolysed formulas or feed</w:t>
            </w:r>
            <w:r w:rsidRPr="008A761D">
              <w:rPr>
                <w:rFonts w:ascii="Times New Roman" w:eastAsia="Times New Roman" w:hAnsi="Times New Roman" w:cs="Times New Roman"/>
                <w:kern w:val="0"/>
                <w:sz w:val="20"/>
                <w:szCs w:val="20"/>
                <w:lang w:eastAsia="en-GB"/>
                <w14:ligatures w14:val="none"/>
              </w:rPr>
              <w:br/>
              <w:t>Majority of them partially or extensively hydrolysed formulas</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hideMark/>
          </w:tcPr>
          <w:p w14:paraId="6D39E3D5"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w:t>
            </w:r>
            <w:r w:rsidRPr="008A761D">
              <w:rPr>
                <w:rFonts w:ascii="Times New Roman" w:eastAsia="Times New Roman" w:hAnsi="Times New Roman" w:cs="Times New Roman"/>
                <w:kern w:val="0"/>
                <w:sz w:val="20"/>
                <w:szCs w:val="20"/>
                <w:lang w:eastAsia="en-GB"/>
                <w14:ligatures w14:val="none"/>
              </w:rPr>
              <w:br/>
              <w:t>The "relevant" articles are related to allergies</w:t>
            </w:r>
          </w:p>
        </w:tc>
        <w:tc>
          <w:tcPr>
            <w:tcW w:w="6181" w:type="dxa"/>
            <w:hideMark/>
          </w:tcPr>
          <w:p w14:paraId="60E654B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 Strozyk A, Horvath A, Meyer R, Szajewska H. Efficacy and safety of hydrolyzed formulas for cow's milk allergy management: A systematic review of randomized controlled trials. Clin Exp Allergy. 2020;50(7):766-79.</w:t>
            </w:r>
          </w:p>
        </w:tc>
        <w:tc>
          <w:tcPr>
            <w:tcW w:w="2268" w:type="dxa"/>
            <w:hideMark/>
          </w:tcPr>
          <w:p w14:paraId="7F4CF7DF"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Systematic review of RCTs</w:t>
            </w:r>
          </w:p>
        </w:tc>
      </w:tr>
      <w:tr w:rsidR="008A761D" w:rsidRPr="008A761D" w14:paraId="5EFBB950" w14:textId="77777777" w:rsidTr="0055545C">
        <w:trPr>
          <w:trHeight w:val="2712"/>
        </w:trPr>
        <w:tc>
          <w:tcPr>
            <w:cnfStyle w:val="001000000000" w:firstRow="0" w:lastRow="0" w:firstColumn="1" w:lastColumn="0" w:oddVBand="0" w:evenVBand="0" w:oddHBand="0" w:evenHBand="0" w:firstRowFirstColumn="0" w:firstRowLastColumn="0" w:lastRowFirstColumn="0" w:lastRowLastColumn="0"/>
            <w:tcW w:w="1683" w:type="dxa"/>
            <w:vMerge/>
            <w:hideMark/>
          </w:tcPr>
          <w:p w14:paraId="6EE76EED"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3F977A3A"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3138CDE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6B40C22E"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2E664AA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254BEBA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C853DF">
              <w:rPr>
                <w:rFonts w:ascii="Times New Roman" w:eastAsia="Times New Roman" w:hAnsi="Times New Roman" w:cs="Times New Roman"/>
                <w:kern w:val="0"/>
                <w:sz w:val="20"/>
                <w:szCs w:val="20"/>
                <w:lang w:val="es-ES" w:eastAsia="en-GB"/>
                <w14:ligatures w14:val="none"/>
              </w:rPr>
              <w:t xml:space="preserve">2. Nocerino R, Di Costanzo M, Bedogni G, Cosenza L, Maddalena Y, Di Scala C, et al. </w:t>
            </w:r>
            <w:r w:rsidRPr="008A761D">
              <w:rPr>
                <w:rFonts w:ascii="Times New Roman" w:eastAsia="Times New Roman" w:hAnsi="Times New Roman" w:cs="Times New Roman"/>
                <w:kern w:val="0"/>
                <w:sz w:val="20"/>
                <w:szCs w:val="20"/>
                <w:lang w:eastAsia="en-GB"/>
                <w14:ligatures w14:val="none"/>
              </w:rPr>
              <w:t>Dietary Treatment with Extensively Hydrolyzed Casein Formula Containing the Probiotic Lactobacillus rhamnosus GG Prevents the Occurrence of Functional Gastrointestinal Disorders in Children with Cow's Milk Allergy. J Pediatr. 2019;213:137-42.e2.</w:t>
            </w:r>
          </w:p>
        </w:tc>
        <w:tc>
          <w:tcPr>
            <w:tcW w:w="2268" w:type="dxa"/>
            <w:hideMark/>
          </w:tcPr>
          <w:p w14:paraId="6C9D05F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Cohort</w:t>
            </w:r>
          </w:p>
        </w:tc>
      </w:tr>
    </w:tbl>
    <w:p w14:paraId="42596F3D" w14:textId="77777777" w:rsidR="00C52F6A" w:rsidRDefault="00C52F6A">
      <w:r>
        <w:rPr>
          <w:b/>
          <w:bCs/>
        </w:rPr>
        <w:br w:type="page"/>
      </w:r>
    </w:p>
    <w:tbl>
      <w:tblPr>
        <w:tblStyle w:val="GridTable1Light"/>
        <w:tblW w:w="15163" w:type="dxa"/>
        <w:tblLook w:val="04A0" w:firstRow="1" w:lastRow="0" w:firstColumn="1" w:lastColumn="0" w:noHBand="0" w:noVBand="1"/>
      </w:tblPr>
      <w:tblGrid>
        <w:gridCol w:w="1683"/>
        <w:gridCol w:w="922"/>
        <w:gridCol w:w="1645"/>
        <w:gridCol w:w="1440"/>
        <w:gridCol w:w="1024"/>
        <w:gridCol w:w="6181"/>
        <w:gridCol w:w="2268"/>
      </w:tblGrid>
      <w:tr w:rsidR="00D74A29" w:rsidRPr="008A761D" w14:paraId="28B0E0BD" w14:textId="77777777" w:rsidTr="0055545C">
        <w:trPr>
          <w:cnfStyle w:val="100000000000" w:firstRow="1" w:lastRow="0" w:firstColumn="0" w:lastColumn="0" w:oddVBand="0" w:evenVBand="0" w:oddHBand="0" w:evenHBand="0" w:firstRowFirstColumn="0" w:firstRowLastColumn="0" w:lastRowFirstColumn="0" w:lastRowLastColumn="0"/>
          <w:trHeight w:val="889"/>
        </w:trPr>
        <w:tc>
          <w:tcPr>
            <w:cnfStyle w:val="001000000000" w:firstRow="0" w:lastRow="0" w:firstColumn="1" w:lastColumn="0" w:oddVBand="0" w:evenVBand="0" w:oddHBand="0" w:evenHBand="0" w:firstRowFirstColumn="0" w:firstRowLastColumn="0" w:lastRowFirstColumn="0" w:lastRowLastColumn="0"/>
            <w:tcW w:w="1683" w:type="dxa"/>
            <w:shd w:val="clear" w:color="auto" w:fill="E8E8E8" w:themeFill="background2"/>
          </w:tcPr>
          <w:p w14:paraId="2CB6FD2F" w14:textId="671C4394" w:rsidR="00D74A29" w:rsidRPr="008A761D" w:rsidRDefault="00D74A29" w:rsidP="00D74A29">
            <w:pPr>
              <w:jc w:val="center"/>
              <w:rPr>
                <w:rFonts w:ascii="Times New Roman" w:eastAsia="Times New Roman" w:hAnsi="Times New Roman" w:cs="Times New Roman"/>
                <w:b w:val="0"/>
                <w:bCs w:val="0"/>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lastRenderedPageBreak/>
              <w:t>Search strategy</w:t>
            </w:r>
          </w:p>
        </w:tc>
        <w:tc>
          <w:tcPr>
            <w:tcW w:w="922" w:type="dxa"/>
            <w:shd w:val="clear" w:color="auto" w:fill="E8E8E8" w:themeFill="background2"/>
            <w:noWrap/>
          </w:tcPr>
          <w:p w14:paraId="031BC560" w14:textId="474C410E" w:rsidR="00D74A29" w:rsidRPr="008A761D" w:rsidRDefault="00D74A29" w:rsidP="00D74A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EE7B09">
              <w:rPr>
                <w:rFonts w:ascii="Times New Roman" w:eastAsia="Times New Roman" w:hAnsi="Times New Roman" w:cs="Times New Roman"/>
                <w:kern w:val="0"/>
                <w:sz w:val="20"/>
                <w:szCs w:val="20"/>
                <w:lang w:eastAsia="en-GB"/>
                <w14:ligatures w14:val="none"/>
              </w:rPr>
              <w:t>No</w:t>
            </w:r>
            <w:r>
              <w:rPr>
                <w:rFonts w:ascii="Times New Roman" w:eastAsia="Times New Roman" w:hAnsi="Times New Roman" w:cs="Times New Roman"/>
                <w:b w:val="0"/>
                <w:bCs w:val="0"/>
                <w:kern w:val="0"/>
                <w:sz w:val="20"/>
                <w:szCs w:val="20"/>
                <w:lang w:eastAsia="en-GB"/>
                <w14:ligatures w14:val="none"/>
              </w:rPr>
              <w:t xml:space="preserve"> </w:t>
            </w:r>
            <w:r w:rsidRPr="008A761D">
              <w:rPr>
                <w:rFonts w:ascii="Times New Roman" w:eastAsia="Times New Roman" w:hAnsi="Times New Roman" w:cs="Times New Roman"/>
                <w:kern w:val="0"/>
                <w:sz w:val="20"/>
                <w:szCs w:val="20"/>
                <w:lang w:eastAsia="en-GB"/>
                <w14:ligatures w14:val="none"/>
              </w:rPr>
              <w:t>of Articles</w:t>
            </w:r>
          </w:p>
        </w:tc>
        <w:tc>
          <w:tcPr>
            <w:tcW w:w="1645" w:type="dxa"/>
            <w:shd w:val="clear" w:color="auto" w:fill="E8E8E8" w:themeFill="background2"/>
          </w:tcPr>
          <w:p w14:paraId="5B6FAA6C" w14:textId="53688DC0" w:rsidR="00D74A29" w:rsidRPr="008A761D" w:rsidRDefault="00D74A29" w:rsidP="00D74A2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Inclusion criteria</w:t>
            </w:r>
          </w:p>
        </w:tc>
        <w:tc>
          <w:tcPr>
            <w:tcW w:w="1440" w:type="dxa"/>
            <w:shd w:val="clear" w:color="auto" w:fill="E8E8E8" w:themeFill="background2"/>
          </w:tcPr>
          <w:p w14:paraId="65E9D411" w14:textId="6D12EC84" w:rsidR="00D74A29" w:rsidRPr="008A761D" w:rsidRDefault="00D74A29" w:rsidP="00D74A2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Exclusion criteria</w:t>
            </w:r>
          </w:p>
        </w:tc>
        <w:tc>
          <w:tcPr>
            <w:tcW w:w="1024" w:type="dxa"/>
            <w:shd w:val="clear" w:color="auto" w:fill="E8E8E8" w:themeFill="background2"/>
            <w:noWrap/>
          </w:tcPr>
          <w:p w14:paraId="5679710F" w14:textId="0A088821" w:rsidR="00D74A29" w:rsidRPr="008A761D" w:rsidRDefault="00D74A29" w:rsidP="00D74A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55545C">
              <w:rPr>
                <w:rFonts w:ascii="Times New Roman" w:eastAsia="Times New Roman" w:hAnsi="Times New Roman" w:cs="Times New Roman"/>
                <w:kern w:val="0"/>
                <w:sz w:val="20"/>
                <w:szCs w:val="20"/>
                <w:lang w:eastAsia="en-GB"/>
                <w14:ligatures w14:val="none"/>
              </w:rPr>
              <w:t>No of Rele</w:t>
            </w:r>
            <w:r w:rsidRPr="008A761D">
              <w:rPr>
                <w:rFonts w:ascii="Times New Roman" w:eastAsia="Times New Roman" w:hAnsi="Times New Roman" w:cs="Times New Roman"/>
                <w:kern w:val="0"/>
                <w:sz w:val="20"/>
                <w:szCs w:val="20"/>
                <w:lang w:eastAsia="en-GB"/>
                <w14:ligatures w14:val="none"/>
              </w:rPr>
              <w:t>vant Articles</w:t>
            </w:r>
          </w:p>
        </w:tc>
        <w:tc>
          <w:tcPr>
            <w:tcW w:w="6181" w:type="dxa"/>
            <w:shd w:val="clear" w:color="auto" w:fill="E8E8E8" w:themeFill="background2"/>
          </w:tcPr>
          <w:p w14:paraId="0BF320F9" w14:textId="045B1D5A" w:rsidR="00D74A29" w:rsidRPr="008A761D" w:rsidRDefault="00D74A29" w:rsidP="00D74A2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References</w:t>
            </w:r>
          </w:p>
        </w:tc>
        <w:tc>
          <w:tcPr>
            <w:tcW w:w="2268" w:type="dxa"/>
            <w:shd w:val="clear" w:color="auto" w:fill="E8E8E8" w:themeFill="background2"/>
          </w:tcPr>
          <w:p w14:paraId="09449FBE" w14:textId="3681C47C" w:rsidR="00D74A29" w:rsidRPr="008A761D" w:rsidRDefault="00D74A29" w:rsidP="00D74A2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Type of Study</w:t>
            </w:r>
          </w:p>
        </w:tc>
      </w:tr>
      <w:tr w:rsidR="008A761D" w:rsidRPr="008A761D" w14:paraId="36EA098C" w14:textId="77777777" w:rsidTr="0055545C">
        <w:trPr>
          <w:trHeight w:val="889"/>
        </w:trPr>
        <w:tc>
          <w:tcPr>
            <w:cnfStyle w:val="001000000000" w:firstRow="0" w:lastRow="0" w:firstColumn="1" w:lastColumn="0" w:oddVBand="0" w:evenVBand="0" w:oddHBand="0" w:evenHBand="0" w:firstRowFirstColumn="0" w:firstRowLastColumn="0" w:lastRowFirstColumn="0" w:lastRowLastColumn="0"/>
            <w:tcW w:w="1683" w:type="dxa"/>
            <w:vMerge w:val="restart"/>
            <w:hideMark/>
          </w:tcPr>
          <w:p w14:paraId="7A011C62" w14:textId="77777777"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xml:space="preserve">Additional search: Dimensions. </w:t>
            </w:r>
            <w:r w:rsidRPr="008A761D">
              <w:rPr>
                <w:rFonts w:ascii="Times New Roman" w:eastAsia="Times New Roman" w:hAnsi="Times New Roman" w:cs="Times New Roman"/>
                <w:kern w:val="0"/>
                <w:sz w:val="20"/>
                <w:szCs w:val="20"/>
                <w:lang w:eastAsia="en-GB"/>
                <w14:ligatures w14:val="none"/>
              </w:rPr>
              <w:br/>
              <w:t xml:space="preserve">(by Abstract -  </w:t>
            </w:r>
            <w:r w:rsidRPr="008A761D">
              <w:rPr>
                <w:rFonts w:ascii="Times New Roman" w:eastAsia="Times New Roman" w:hAnsi="Times New Roman" w:cs="Times New Roman"/>
                <w:i/>
                <w:iCs/>
                <w:kern w:val="0"/>
                <w:sz w:val="20"/>
                <w:szCs w:val="20"/>
                <w:lang w:eastAsia="en-GB"/>
                <w14:ligatures w14:val="none"/>
              </w:rPr>
              <w:t xml:space="preserve">Odinaeva et al. </w:t>
            </w:r>
            <w:r w:rsidRPr="008A761D">
              <w:rPr>
                <w:rFonts w:ascii="Times New Roman" w:eastAsia="Times New Roman" w:hAnsi="Times New Roman" w:cs="Times New Roman"/>
                <w:kern w:val="0"/>
                <w:sz w:val="20"/>
                <w:szCs w:val="20"/>
                <w:lang w:eastAsia="en-GB"/>
                <w14:ligatures w14:val="none"/>
              </w:rPr>
              <w:t>2023)</w:t>
            </w:r>
          </w:p>
        </w:tc>
        <w:tc>
          <w:tcPr>
            <w:tcW w:w="922" w:type="dxa"/>
            <w:vMerge w:val="restart"/>
            <w:noWrap/>
            <w:hideMark/>
          </w:tcPr>
          <w:p w14:paraId="17AAD224"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500</w:t>
            </w:r>
          </w:p>
        </w:tc>
        <w:tc>
          <w:tcPr>
            <w:tcW w:w="1645" w:type="dxa"/>
            <w:vMerge w:val="restart"/>
            <w:hideMark/>
          </w:tcPr>
          <w:p w14:paraId="0F4C705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children with malnutrition or at risk of it</w:t>
            </w:r>
            <w:r w:rsidRPr="008A761D">
              <w:rPr>
                <w:rFonts w:ascii="Times New Roman" w:eastAsia="Times New Roman" w:hAnsi="Times New Roman" w:cs="Times New Roman"/>
                <w:kern w:val="0"/>
                <w:sz w:val="20"/>
                <w:szCs w:val="20"/>
                <w:lang w:eastAsia="en-GB"/>
                <w14:ligatures w14:val="none"/>
              </w:rPr>
              <w:br/>
              <w:t>Semi-elemental formulas or feed</w:t>
            </w:r>
            <w:r w:rsidRPr="008A761D">
              <w:rPr>
                <w:rFonts w:ascii="Times New Roman" w:eastAsia="Times New Roman" w:hAnsi="Times New Roman" w:cs="Times New Roman"/>
                <w:kern w:val="0"/>
                <w:sz w:val="20"/>
                <w:szCs w:val="20"/>
                <w:lang w:eastAsia="en-GB"/>
                <w14:ligatures w14:val="none"/>
              </w:rPr>
              <w:br/>
              <w:t>Relevant outcomes</w:t>
            </w:r>
          </w:p>
        </w:tc>
        <w:tc>
          <w:tcPr>
            <w:tcW w:w="1440" w:type="dxa"/>
            <w:vMerge w:val="restart"/>
            <w:hideMark/>
          </w:tcPr>
          <w:p w14:paraId="027E9B77" w14:textId="5B0D0444"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Population: not malnourished children, infant or adults</w:t>
            </w:r>
            <w:r w:rsidRPr="008A761D">
              <w:rPr>
                <w:rFonts w:ascii="Times New Roman" w:eastAsia="Times New Roman" w:hAnsi="Times New Roman" w:cs="Times New Roman"/>
                <w:kern w:val="0"/>
                <w:sz w:val="20"/>
                <w:szCs w:val="20"/>
                <w:lang w:eastAsia="en-GB"/>
                <w14:ligatures w14:val="none"/>
              </w:rPr>
              <w:br/>
              <w:t>Not semi-</w:t>
            </w:r>
            <w:r w:rsidR="00223BD8" w:rsidRPr="008A761D">
              <w:rPr>
                <w:rFonts w:ascii="Times New Roman" w:eastAsia="Times New Roman" w:hAnsi="Times New Roman" w:cs="Times New Roman"/>
                <w:kern w:val="0"/>
                <w:sz w:val="20"/>
                <w:szCs w:val="20"/>
                <w:lang w:eastAsia="en-GB"/>
                <w14:ligatures w14:val="none"/>
              </w:rPr>
              <w:t>elemental</w:t>
            </w:r>
            <w:r w:rsidRPr="008A761D">
              <w:rPr>
                <w:rFonts w:ascii="Times New Roman" w:eastAsia="Times New Roman" w:hAnsi="Times New Roman" w:cs="Times New Roman"/>
                <w:kern w:val="0"/>
                <w:sz w:val="20"/>
                <w:szCs w:val="20"/>
                <w:lang w:eastAsia="en-GB"/>
                <w14:ligatures w14:val="none"/>
              </w:rPr>
              <w:t xml:space="preserve"> formulas or feed</w:t>
            </w:r>
            <w:r w:rsidRPr="008A761D">
              <w:rPr>
                <w:rFonts w:ascii="Times New Roman" w:eastAsia="Times New Roman" w:hAnsi="Times New Roman" w:cs="Times New Roman"/>
                <w:kern w:val="0"/>
                <w:sz w:val="20"/>
                <w:szCs w:val="20"/>
                <w:lang w:eastAsia="en-GB"/>
                <w14:ligatures w14:val="none"/>
              </w:rPr>
              <w:br/>
              <w:t>Irrelevant outcomes</w:t>
            </w:r>
          </w:p>
        </w:tc>
        <w:tc>
          <w:tcPr>
            <w:tcW w:w="1024" w:type="dxa"/>
            <w:vMerge w:val="restart"/>
            <w:noWrap/>
            <w:hideMark/>
          </w:tcPr>
          <w:p w14:paraId="4E1EE03F"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w:t>
            </w:r>
          </w:p>
        </w:tc>
        <w:tc>
          <w:tcPr>
            <w:tcW w:w="6181" w:type="dxa"/>
            <w:hideMark/>
          </w:tcPr>
          <w:p w14:paraId="118DBDB0"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 Maksimycheva TY, Kondratyeva EI, Odinaeva ND. Experience of using semi-elemental formulas for enteral nutrition in children with cystic fibrosis. Meditsinskiy sovet = Medical Council. 2021(1):228-34.</w:t>
            </w:r>
          </w:p>
        </w:tc>
        <w:tc>
          <w:tcPr>
            <w:tcW w:w="2268" w:type="dxa"/>
            <w:hideMark/>
          </w:tcPr>
          <w:p w14:paraId="05B2C988" w14:textId="77F10C13" w:rsidR="008A761D" w:rsidRPr="008A761D" w:rsidRDefault="00223BD8"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Prospective</w:t>
            </w:r>
            <w:r w:rsidR="008A761D" w:rsidRPr="008A761D">
              <w:rPr>
                <w:rFonts w:ascii="Times New Roman" w:eastAsia="Times New Roman" w:hAnsi="Times New Roman" w:cs="Times New Roman"/>
                <w:kern w:val="0"/>
                <w:sz w:val="20"/>
                <w:szCs w:val="20"/>
                <w:lang w:eastAsia="en-GB"/>
                <w14:ligatures w14:val="none"/>
              </w:rPr>
              <w:t xml:space="preserve"> Observational, without comparison group</w:t>
            </w:r>
          </w:p>
        </w:tc>
      </w:tr>
      <w:tr w:rsidR="008A761D" w:rsidRPr="008A761D" w14:paraId="1EDE5BE9"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4B7D20F7"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1A668D28"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6B4200CF"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5E25F7C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719EE9B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78786D83"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C853DF">
              <w:rPr>
                <w:rFonts w:ascii="Times New Roman" w:eastAsia="Times New Roman" w:hAnsi="Times New Roman" w:cs="Times New Roman"/>
                <w:kern w:val="0"/>
                <w:sz w:val="20"/>
                <w:szCs w:val="20"/>
                <w:lang w:val="es-ES" w:eastAsia="en-GB"/>
                <w14:ligatures w14:val="none"/>
              </w:rPr>
              <w:t xml:space="preserve">2. Bushueva TV, Borovik T, Roslavtseva E, Shen N, Simonova O, Burkina N, et al. </w:t>
            </w:r>
            <w:r w:rsidRPr="008A761D">
              <w:rPr>
                <w:rFonts w:ascii="Times New Roman" w:eastAsia="Times New Roman" w:hAnsi="Times New Roman" w:cs="Times New Roman"/>
                <w:kern w:val="0"/>
                <w:sz w:val="20"/>
                <w:szCs w:val="20"/>
                <w:lang w:eastAsia="en-GB"/>
                <w14:ligatures w14:val="none"/>
              </w:rPr>
              <w:t>The effectiveness of the use of a specialized formula based on hydrolyzed milk protein in children older than 1 year of age with cystic fibrosis. Russian Pediatric Journal. 2022;25:12-7.</w:t>
            </w:r>
          </w:p>
        </w:tc>
        <w:tc>
          <w:tcPr>
            <w:tcW w:w="2268" w:type="dxa"/>
            <w:hideMark/>
          </w:tcPr>
          <w:p w14:paraId="3F0E3399"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Clinical trial</w:t>
            </w:r>
          </w:p>
        </w:tc>
      </w:tr>
      <w:tr w:rsidR="004B3FB5" w:rsidRPr="008A761D" w14:paraId="62E2C9F4"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val="restart"/>
            <w:noWrap/>
            <w:hideMark/>
          </w:tcPr>
          <w:p w14:paraId="5378BFA0" w14:textId="77777777" w:rsidR="008A761D" w:rsidRPr="008A761D" w:rsidRDefault="008A761D" w:rsidP="008A761D">
            <w:pPr>
              <w:jc w:val="center"/>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xml:space="preserve">Additional references </w:t>
            </w:r>
          </w:p>
        </w:tc>
        <w:tc>
          <w:tcPr>
            <w:tcW w:w="922" w:type="dxa"/>
            <w:vMerge w:val="restart"/>
            <w:noWrap/>
            <w:hideMark/>
          </w:tcPr>
          <w:p w14:paraId="5A5C4FFD"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c>
          <w:tcPr>
            <w:tcW w:w="1645" w:type="dxa"/>
            <w:vMerge w:val="restart"/>
            <w:noWrap/>
            <w:hideMark/>
          </w:tcPr>
          <w:p w14:paraId="22758836"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c>
          <w:tcPr>
            <w:tcW w:w="1440" w:type="dxa"/>
            <w:vMerge w:val="restart"/>
            <w:noWrap/>
            <w:hideMark/>
          </w:tcPr>
          <w:p w14:paraId="11F7374B"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w:t>
            </w:r>
          </w:p>
        </w:tc>
        <w:tc>
          <w:tcPr>
            <w:tcW w:w="1024" w:type="dxa"/>
            <w:vMerge w:val="restart"/>
            <w:noWrap/>
            <w:hideMark/>
          </w:tcPr>
          <w:p w14:paraId="5410EA26"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w:t>
            </w:r>
          </w:p>
        </w:tc>
        <w:tc>
          <w:tcPr>
            <w:tcW w:w="6181" w:type="dxa"/>
            <w:hideMark/>
          </w:tcPr>
          <w:p w14:paraId="27F38C9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1. Smith C, McCabe H, Macdonald S, Morrison L, Prigg R, Trace S, et al. Improved growth, tolerance and intake with an extensively hydrolysed peptide feed in infants with complex disease. Clin Nutr. 2018;37(3):1005-12.</w:t>
            </w:r>
          </w:p>
        </w:tc>
        <w:tc>
          <w:tcPr>
            <w:tcW w:w="2268" w:type="dxa"/>
            <w:hideMark/>
          </w:tcPr>
          <w:p w14:paraId="4565866C"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Prospective, interventional</w:t>
            </w:r>
          </w:p>
        </w:tc>
      </w:tr>
      <w:tr w:rsidR="008A761D" w:rsidRPr="008A761D" w14:paraId="5A773472"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316A84FC"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5E7C8E3D"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6B699A1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4D486B32"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6E45421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72055FE4"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2. Marino LV, Eveleens RD, Morton K, Verbruggen S, Joosten KFM. Peptide nutrient-energy dense enteral feeding in critically ill infants: an observational study. J Hum Nutr Diet. 2019;32(3):400-8.</w:t>
            </w:r>
          </w:p>
        </w:tc>
        <w:tc>
          <w:tcPr>
            <w:tcW w:w="2268" w:type="dxa"/>
            <w:hideMark/>
          </w:tcPr>
          <w:p w14:paraId="533CB1A0" w14:textId="77777777"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Retrospective, observational</w:t>
            </w:r>
          </w:p>
        </w:tc>
      </w:tr>
      <w:tr w:rsidR="008A761D" w:rsidRPr="008A761D" w14:paraId="73FF4B32" w14:textId="77777777" w:rsidTr="0055545C">
        <w:trPr>
          <w:trHeight w:val="510"/>
        </w:trPr>
        <w:tc>
          <w:tcPr>
            <w:cnfStyle w:val="001000000000" w:firstRow="0" w:lastRow="0" w:firstColumn="1" w:lastColumn="0" w:oddVBand="0" w:evenVBand="0" w:oddHBand="0" w:evenHBand="0" w:firstRowFirstColumn="0" w:firstRowLastColumn="0" w:lastRowFirstColumn="0" w:lastRowLastColumn="0"/>
            <w:tcW w:w="1683" w:type="dxa"/>
            <w:vMerge/>
            <w:hideMark/>
          </w:tcPr>
          <w:p w14:paraId="2A23D3C7" w14:textId="77777777" w:rsidR="008A761D" w:rsidRPr="008A761D" w:rsidRDefault="008A761D" w:rsidP="008A761D">
            <w:pPr>
              <w:rPr>
                <w:rFonts w:ascii="Times New Roman" w:eastAsia="Times New Roman" w:hAnsi="Times New Roman" w:cs="Times New Roman"/>
                <w:kern w:val="0"/>
                <w:sz w:val="20"/>
                <w:szCs w:val="20"/>
                <w:lang w:eastAsia="en-GB"/>
                <w14:ligatures w14:val="none"/>
              </w:rPr>
            </w:pPr>
          </w:p>
        </w:tc>
        <w:tc>
          <w:tcPr>
            <w:tcW w:w="922" w:type="dxa"/>
            <w:vMerge/>
            <w:hideMark/>
          </w:tcPr>
          <w:p w14:paraId="3B805561"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645" w:type="dxa"/>
            <w:vMerge/>
            <w:hideMark/>
          </w:tcPr>
          <w:p w14:paraId="45584D25"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440" w:type="dxa"/>
            <w:vMerge/>
            <w:hideMark/>
          </w:tcPr>
          <w:p w14:paraId="6794554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1024" w:type="dxa"/>
            <w:vMerge/>
            <w:hideMark/>
          </w:tcPr>
          <w:p w14:paraId="4098D159"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p>
        </w:tc>
        <w:tc>
          <w:tcPr>
            <w:tcW w:w="6181" w:type="dxa"/>
            <w:hideMark/>
          </w:tcPr>
          <w:p w14:paraId="41A41887" w14:textId="77777777" w:rsidR="008A761D" w:rsidRPr="008A761D" w:rsidRDefault="008A761D" w:rsidP="008A761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3. A. Kansu and  TolerUPStudy Group. Utility of a specialized peptide-based enteral formula containing medium-chain triglycerides in provision of enteral tube feeding in children with cerebral palsy: data from prospective observational tolerup study</w:t>
            </w:r>
          </w:p>
        </w:tc>
        <w:tc>
          <w:tcPr>
            <w:tcW w:w="2268" w:type="dxa"/>
            <w:hideMark/>
          </w:tcPr>
          <w:p w14:paraId="4F4DBAAC" w14:textId="6018BF46" w:rsidR="008A761D" w:rsidRPr="008A761D" w:rsidRDefault="008A761D" w:rsidP="008A761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8A761D">
              <w:rPr>
                <w:rFonts w:ascii="Times New Roman" w:eastAsia="Times New Roman" w:hAnsi="Times New Roman" w:cs="Times New Roman"/>
                <w:kern w:val="0"/>
                <w:sz w:val="20"/>
                <w:szCs w:val="20"/>
                <w:lang w:eastAsia="en-GB"/>
                <w14:ligatures w14:val="none"/>
              </w:rPr>
              <w:t xml:space="preserve">Prospective, </w:t>
            </w:r>
            <w:r w:rsidR="00223BD8" w:rsidRPr="008A761D">
              <w:rPr>
                <w:rFonts w:ascii="Times New Roman" w:eastAsia="Times New Roman" w:hAnsi="Times New Roman" w:cs="Times New Roman"/>
                <w:kern w:val="0"/>
                <w:sz w:val="20"/>
                <w:szCs w:val="20"/>
                <w:lang w:eastAsia="en-GB"/>
                <w14:ligatures w14:val="none"/>
              </w:rPr>
              <w:t>observational</w:t>
            </w:r>
            <w:r w:rsidRPr="008A761D">
              <w:rPr>
                <w:rFonts w:ascii="Times New Roman" w:eastAsia="Times New Roman" w:hAnsi="Times New Roman" w:cs="Times New Roman"/>
                <w:kern w:val="0"/>
                <w:sz w:val="20"/>
                <w:szCs w:val="20"/>
                <w:lang w:eastAsia="en-GB"/>
                <w14:ligatures w14:val="none"/>
              </w:rPr>
              <w:t xml:space="preserve"> </w:t>
            </w:r>
          </w:p>
        </w:tc>
      </w:tr>
    </w:tbl>
    <w:p w14:paraId="09D34A61" w14:textId="77777777" w:rsidR="008A761D" w:rsidRDefault="008A761D" w:rsidP="008A761D">
      <w:pPr>
        <w:spacing w:after="0" w:line="240" w:lineRule="auto"/>
        <w:rPr>
          <w:rFonts w:ascii="Times New Roman" w:hAnsi="Times New Roman" w:cs="Times New Roman"/>
          <w:sz w:val="24"/>
          <w:szCs w:val="24"/>
        </w:rPr>
      </w:pPr>
    </w:p>
    <w:p w14:paraId="41350D13" w14:textId="2B436DC4" w:rsidR="008A761D" w:rsidRDefault="008A761D">
      <w:pPr>
        <w:rPr>
          <w:rFonts w:ascii="Times New Roman" w:hAnsi="Times New Roman" w:cs="Times New Roman"/>
          <w:sz w:val="24"/>
          <w:szCs w:val="24"/>
        </w:rPr>
      </w:pPr>
      <w:r>
        <w:rPr>
          <w:rFonts w:ascii="Times New Roman" w:hAnsi="Times New Roman" w:cs="Times New Roman"/>
          <w:sz w:val="24"/>
          <w:szCs w:val="24"/>
        </w:rPr>
        <w:br w:type="page"/>
      </w:r>
    </w:p>
    <w:p w14:paraId="3DA12EC0" w14:textId="377F3EEA" w:rsidR="00D353F8" w:rsidRDefault="00D353F8" w:rsidP="00D353F8">
      <w:pPr>
        <w:spacing w:after="0" w:line="240" w:lineRule="auto"/>
        <w:rPr>
          <w:rFonts w:ascii="Times New Roman" w:hAnsi="Times New Roman" w:cs="Times New Roman"/>
          <w:sz w:val="24"/>
          <w:szCs w:val="24"/>
        </w:rPr>
      </w:pPr>
      <w:r w:rsidRPr="00923726">
        <w:rPr>
          <w:rFonts w:ascii="Times New Roman" w:hAnsi="Times New Roman" w:cs="Times New Roman"/>
          <w:b/>
          <w:sz w:val="24"/>
          <w:szCs w:val="28"/>
        </w:rPr>
        <w:lastRenderedPageBreak/>
        <w:t xml:space="preserve">Supplementary </w:t>
      </w:r>
      <w:r>
        <w:rPr>
          <w:rFonts w:ascii="Times New Roman" w:hAnsi="Times New Roman" w:cs="Times New Roman"/>
          <w:b/>
          <w:sz w:val="24"/>
          <w:szCs w:val="28"/>
        </w:rPr>
        <w:t>Table</w:t>
      </w:r>
      <w:r w:rsidRPr="00923726">
        <w:rPr>
          <w:rFonts w:ascii="Times New Roman" w:hAnsi="Times New Roman" w:cs="Times New Roman"/>
          <w:b/>
          <w:sz w:val="24"/>
          <w:szCs w:val="28"/>
        </w:rPr>
        <w:t xml:space="preserve"> </w:t>
      </w:r>
      <w:r>
        <w:rPr>
          <w:rFonts w:ascii="Times New Roman" w:hAnsi="Times New Roman" w:cs="Times New Roman"/>
          <w:b/>
          <w:sz w:val="24"/>
          <w:szCs w:val="28"/>
        </w:rPr>
        <w:t>2</w:t>
      </w:r>
      <w:r w:rsidR="00E25D45">
        <w:rPr>
          <w:rFonts w:ascii="Times New Roman" w:hAnsi="Times New Roman" w:cs="Times New Roman"/>
          <w:b/>
          <w:sz w:val="24"/>
          <w:szCs w:val="28"/>
        </w:rPr>
        <w:t xml:space="preserve">: </w:t>
      </w:r>
      <w:r w:rsidR="00E25D45" w:rsidRPr="00E25D45">
        <w:rPr>
          <w:rFonts w:ascii="Times New Roman" w:hAnsi="Times New Roman" w:cs="Times New Roman"/>
          <w:bCs/>
          <w:sz w:val="24"/>
          <w:szCs w:val="28"/>
        </w:rPr>
        <w:t>Relevant articles</w:t>
      </w:r>
      <w:r w:rsidR="00E25D45">
        <w:rPr>
          <w:rFonts w:ascii="Times New Roman" w:hAnsi="Times New Roman" w:cs="Times New Roman"/>
          <w:bCs/>
          <w:sz w:val="24"/>
          <w:szCs w:val="28"/>
        </w:rPr>
        <w:t xml:space="preserve"> identified from literature search</w:t>
      </w:r>
    </w:p>
    <w:p w14:paraId="38560318" w14:textId="77777777" w:rsidR="00C52F6A" w:rsidRDefault="00C52F6A" w:rsidP="00D353F8">
      <w:pPr>
        <w:spacing w:after="0" w:line="240" w:lineRule="auto"/>
        <w:rPr>
          <w:rFonts w:ascii="Times New Roman" w:hAnsi="Times New Roman" w:cs="Times New Roman"/>
          <w:sz w:val="24"/>
          <w:szCs w:val="24"/>
        </w:rPr>
      </w:pPr>
    </w:p>
    <w:tbl>
      <w:tblPr>
        <w:tblStyle w:val="GridTable1Light"/>
        <w:tblW w:w="15163" w:type="dxa"/>
        <w:tblLook w:val="04A0" w:firstRow="1" w:lastRow="0" w:firstColumn="1" w:lastColumn="0" w:noHBand="0" w:noVBand="1"/>
      </w:tblPr>
      <w:tblGrid>
        <w:gridCol w:w="3256"/>
        <w:gridCol w:w="3118"/>
        <w:gridCol w:w="1276"/>
        <w:gridCol w:w="7513"/>
      </w:tblGrid>
      <w:tr w:rsidR="00EE7B09" w:rsidRPr="00D353F8" w14:paraId="7D248DA2" w14:textId="77777777" w:rsidTr="00D73F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shd w:val="clear" w:color="auto" w:fill="E8E8E8" w:themeFill="background2"/>
            <w:noWrap/>
            <w:hideMark/>
          </w:tcPr>
          <w:p w14:paraId="27ABC4ED" w14:textId="4401417E" w:rsidR="00EE7B09" w:rsidRPr="00D353F8" w:rsidRDefault="00EE7B09" w:rsidP="00E25D45">
            <w:pPr>
              <w:jc w:val="center"/>
              <w:rPr>
                <w:rFonts w:ascii="Times New Roman" w:eastAsia="Times New Roman" w:hAnsi="Times New Roman" w:cs="Times New Roman"/>
                <w:kern w:val="0"/>
                <w:sz w:val="20"/>
                <w:szCs w:val="20"/>
                <w:lang w:eastAsia="en-GB"/>
                <w14:ligatures w14:val="none"/>
              </w:rPr>
            </w:pPr>
            <w:r w:rsidRPr="00D353F8">
              <w:rPr>
                <w:rFonts w:ascii="Times New Roman" w:eastAsia="Times New Roman" w:hAnsi="Times New Roman" w:cs="Times New Roman"/>
                <w:kern w:val="0"/>
                <w:sz w:val="20"/>
                <w:szCs w:val="20"/>
                <w:lang w:eastAsia="en-GB"/>
                <w14:ligatures w14:val="none"/>
              </w:rPr>
              <w:t>T</w:t>
            </w:r>
            <w:r>
              <w:rPr>
                <w:rFonts w:ascii="Times New Roman" w:eastAsia="Times New Roman" w:hAnsi="Times New Roman" w:cs="Times New Roman"/>
                <w:kern w:val="0"/>
                <w:sz w:val="20"/>
                <w:szCs w:val="20"/>
                <w:lang w:eastAsia="en-GB"/>
                <w14:ligatures w14:val="none"/>
              </w:rPr>
              <w:t>itle</w:t>
            </w:r>
          </w:p>
        </w:tc>
        <w:tc>
          <w:tcPr>
            <w:tcW w:w="3118" w:type="dxa"/>
            <w:shd w:val="clear" w:color="auto" w:fill="E8E8E8" w:themeFill="background2"/>
            <w:noWrap/>
            <w:hideMark/>
          </w:tcPr>
          <w:p w14:paraId="03AE87FA" w14:textId="428C3282" w:rsidR="00EE7B09" w:rsidRPr="00D353F8" w:rsidRDefault="00EE7B09" w:rsidP="00E25D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D353F8">
              <w:rPr>
                <w:rFonts w:ascii="Times New Roman" w:eastAsia="Times New Roman" w:hAnsi="Times New Roman" w:cs="Times New Roman"/>
                <w:kern w:val="0"/>
                <w:sz w:val="20"/>
                <w:szCs w:val="20"/>
                <w:lang w:eastAsia="en-GB"/>
                <w14:ligatures w14:val="none"/>
              </w:rPr>
              <w:t>A</w:t>
            </w:r>
            <w:r>
              <w:rPr>
                <w:rFonts w:ascii="Times New Roman" w:eastAsia="Times New Roman" w:hAnsi="Times New Roman" w:cs="Times New Roman"/>
                <w:kern w:val="0"/>
                <w:sz w:val="20"/>
                <w:szCs w:val="20"/>
                <w:lang w:eastAsia="en-GB"/>
                <w14:ligatures w14:val="none"/>
              </w:rPr>
              <w:t>uthor</w:t>
            </w:r>
            <w:r w:rsidRPr="00D353F8">
              <w:rPr>
                <w:rFonts w:ascii="Times New Roman" w:eastAsia="Times New Roman" w:hAnsi="Times New Roman" w:cs="Times New Roman"/>
                <w:kern w:val="0"/>
                <w:sz w:val="20"/>
                <w:szCs w:val="20"/>
                <w:lang w:eastAsia="en-GB"/>
                <w14:ligatures w14:val="none"/>
              </w:rPr>
              <w:t>(</w:t>
            </w:r>
            <w:r>
              <w:rPr>
                <w:rFonts w:ascii="Times New Roman" w:eastAsia="Times New Roman" w:hAnsi="Times New Roman" w:cs="Times New Roman"/>
                <w:kern w:val="0"/>
                <w:sz w:val="20"/>
                <w:szCs w:val="20"/>
                <w:lang w:eastAsia="en-GB"/>
                <w14:ligatures w14:val="none"/>
              </w:rPr>
              <w:t>s</w:t>
            </w:r>
            <w:r w:rsidRPr="00D353F8">
              <w:rPr>
                <w:rFonts w:ascii="Times New Roman" w:eastAsia="Times New Roman" w:hAnsi="Times New Roman" w:cs="Times New Roman"/>
                <w:kern w:val="0"/>
                <w:sz w:val="20"/>
                <w:szCs w:val="20"/>
                <w:lang w:eastAsia="en-GB"/>
                <w14:ligatures w14:val="none"/>
              </w:rPr>
              <w:t>)</w:t>
            </w:r>
          </w:p>
        </w:tc>
        <w:tc>
          <w:tcPr>
            <w:tcW w:w="1276" w:type="dxa"/>
            <w:shd w:val="clear" w:color="auto" w:fill="E8E8E8" w:themeFill="background2"/>
            <w:noWrap/>
            <w:hideMark/>
          </w:tcPr>
          <w:p w14:paraId="59A3270F" w14:textId="54CD78E3" w:rsidR="00EE7B09" w:rsidRPr="00D353F8" w:rsidRDefault="00EE7B09" w:rsidP="00E25D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Year</w:t>
            </w:r>
          </w:p>
        </w:tc>
        <w:tc>
          <w:tcPr>
            <w:tcW w:w="7513" w:type="dxa"/>
            <w:shd w:val="clear" w:color="auto" w:fill="E8E8E8" w:themeFill="background2"/>
            <w:noWrap/>
            <w:hideMark/>
          </w:tcPr>
          <w:p w14:paraId="1CC3EA52" w14:textId="1275E8F3" w:rsidR="00EE7B09" w:rsidRPr="00D353F8" w:rsidRDefault="00EE7B09" w:rsidP="00E25D4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Aims/objectives</w:t>
            </w:r>
          </w:p>
        </w:tc>
      </w:tr>
      <w:tr w:rsidR="00EE7B09" w:rsidRPr="00D353F8" w14:paraId="5204B8A0" w14:textId="77777777" w:rsidTr="00D73FED">
        <w:trPr>
          <w:trHeight w:val="1506"/>
        </w:trPr>
        <w:tc>
          <w:tcPr>
            <w:cnfStyle w:val="001000000000" w:firstRow="0" w:lastRow="0" w:firstColumn="1" w:lastColumn="0" w:oddVBand="0" w:evenVBand="0" w:oddHBand="0" w:evenHBand="0" w:firstRowFirstColumn="0" w:firstRowLastColumn="0" w:lastRowFirstColumn="0" w:lastRowLastColumn="0"/>
            <w:tcW w:w="3256" w:type="dxa"/>
            <w:hideMark/>
          </w:tcPr>
          <w:p w14:paraId="7E5A7423"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Nutritional Support in Malnourished Children With Compromised Gastrointestinal Function: Utility of Peptide-Based Enteral Therapy</w:t>
            </w:r>
          </w:p>
        </w:tc>
        <w:tc>
          <w:tcPr>
            <w:tcW w:w="3118" w:type="dxa"/>
            <w:hideMark/>
          </w:tcPr>
          <w:p w14:paraId="6F265F51"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M. A. Selimoglu, A. Kansu, S. Aydogdu, A. A. Sarioglu, S. Erdogan, B. Dalgic, A. Yuce and F. Cullu Cokugras</w:t>
            </w:r>
          </w:p>
        </w:tc>
        <w:tc>
          <w:tcPr>
            <w:tcW w:w="1276" w:type="dxa"/>
            <w:hideMark/>
          </w:tcPr>
          <w:p w14:paraId="2E23A954"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2021</w:t>
            </w:r>
          </w:p>
        </w:tc>
        <w:tc>
          <w:tcPr>
            <w:tcW w:w="7513" w:type="dxa"/>
            <w:hideMark/>
          </w:tcPr>
          <w:p w14:paraId="5AE00238" w14:textId="28C89BDD"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 xml:space="preserve">This review focuses on nutritional support in malnourished children with compromised gastrointestinal function addressing the interplay between malnutrition and gastrointestinal dysfunction, and the specific role of peptide-based enteral therapy in pediatric malnutrition. </w:t>
            </w:r>
          </w:p>
        </w:tc>
      </w:tr>
      <w:tr w:rsidR="00EE7B09" w:rsidRPr="00D353F8" w14:paraId="4DE39433" w14:textId="77777777" w:rsidTr="00D73FED">
        <w:trPr>
          <w:trHeight w:val="994"/>
        </w:trPr>
        <w:tc>
          <w:tcPr>
            <w:cnfStyle w:val="001000000000" w:firstRow="0" w:lastRow="0" w:firstColumn="1" w:lastColumn="0" w:oddVBand="0" w:evenVBand="0" w:oddHBand="0" w:evenHBand="0" w:firstRowFirstColumn="0" w:firstRowLastColumn="0" w:lastRowFirstColumn="0" w:lastRowLastColumn="0"/>
            <w:tcW w:w="3256" w:type="dxa"/>
            <w:hideMark/>
          </w:tcPr>
          <w:p w14:paraId="1A2BB40F"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Peptide‐based formula: Clinical applications and benefits</w:t>
            </w:r>
          </w:p>
        </w:tc>
        <w:tc>
          <w:tcPr>
            <w:tcW w:w="3118" w:type="dxa"/>
            <w:hideMark/>
          </w:tcPr>
          <w:p w14:paraId="19A76670"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O. M. Elfadil, R. N. Shah, R. T. Hurt and M. S. Mundi</w:t>
            </w:r>
          </w:p>
        </w:tc>
        <w:tc>
          <w:tcPr>
            <w:tcW w:w="1276" w:type="dxa"/>
            <w:hideMark/>
          </w:tcPr>
          <w:p w14:paraId="46119900"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2023</w:t>
            </w:r>
          </w:p>
        </w:tc>
        <w:tc>
          <w:tcPr>
            <w:tcW w:w="7513" w:type="dxa"/>
            <w:hideMark/>
          </w:tcPr>
          <w:p w14:paraId="7E66F033" w14:textId="173444A1"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 xml:space="preserve">This review aims to navigate through key clinical applications and benefits of </w:t>
            </w:r>
            <w:r>
              <w:rPr>
                <w:rFonts w:ascii="Times New Roman" w:eastAsia="Times New Roman" w:hAnsi="Times New Roman" w:cs="Times New Roman"/>
                <w:color w:val="000000"/>
                <w:kern w:val="0"/>
                <w:sz w:val="20"/>
                <w:szCs w:val="20"/>
                <w:lang w:eastAsia="en-GB"/>
                <w14:ligatures w14:val="none"/>
              </w:rPr>
              <w:t>peptide-based formulas</w:t>
            </w:r>
            <w:r w:rsidRPr="00D353F8">
              <w:rPr>
                <w:rFonts w:ascii="Times New Roman" w:eastAsia="Times New Roman" w:hAnsi="Times New Roman" w:cs="Times New Roman"/>
                <w:color w:val="000000"/>
                <w:kern w:val="0"/>
                <w:sz w:val="20"/>
                <w:szCs w:val="20"/>
                <w:lang w:eastAsia="en-GB"/>
                <w14:ligatures w14:val="none"/>
              </w:rPr>
              <w:t xml:space="preserve"> and to discuss relevant data shared in the literature.</w:t>
            </w:r>
          </w:p>
        </w:tc>
      </w:tr>
      <w:tr w:rsidR="00EE7B09" w:rsidRPr="00D353F8" w14:paraId="0B540817" w14:textId="77777777" w:rsidTr="00D73FED">
        <w:trPr>
          <w:trHeight w:val="1548"/>
        </w:trPr>
        <w:tc>
          <w:tcPr>
            <w:cnfStyle w:val="001000000000" w:firstRow="0" w:lastRow="0" w:firstColumn="1" w:lastColumn="0" w:oddVBand="0" w:evenVBand="0" w:oddHBand="0" w:evenHBand="0" w:firstRowFirstColumn="0" w:firstRowLastColumn="0" w:lastRowFirstColumn="0" w:lastRowLastColumn="0"/>
            <w:tcW w:w="3256" w:type="dxa"/>
            <w:hideMark/>
          </w:tcPr>
          <w:p w14:paraId="2EB9351B"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Peptide-based formula versus standard-based polymeric formula for critically ill children: is it superior for patients’ tolerance?</w:t>
            </w:r>
          </w:p>
        </w:tc>
        <w:tc>
          <w:tcPr>
            <w:tcW w:w="3118" w:type="dxa"/>
            <w:hideMark/>
          </w:tcPr>
          <w:p w14:paraId="123718B7"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H. Ibrahim, M. Mansour and Y. G. El Gendy</w:t>
            </w:r>
          </w:p>
        </w:tc>
        <w:tc>
          <w:tcPr>
            <w:tcW w:w="1276" w:type="dxa"/>
            <w:hideMark/>
          </w:tcPr>
          <w:p w14:paraId="66BBD807"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2020</w:t>
            </w:r>
          </w:p>
        </w:tc>
        <w:tc>
          <w:tcPr>
            <w:tcW w:w="7513" w:type="dxa"/>
            <w:hideMark/>
          </w:tcPr>
          <w:p w14:paraId="04D26722" w14:textId="6E364CD6"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The a</w:t>
            </w:r>
            <w:r w:rsidRPr="00D353F8">
              <w:rPr>
                <w:rFonts w:ascii="Times New Roman" w:eastAsia="Times New Roman" w:hAnsi="Times New Roman" w:cs="Times New Roman"/>
                <w:color w:val="000000"/>
                <w:kern w:val="0"/>
                <w:sz w:val="20"/>
                <w:szCs w:val="20"/>
                <w:lang w:eastAsia="en-GB"/>
                <w14:ligatures w14:val="none"/>
              </w:rPr>
              <w:t>im of this study was to compare the effect of a peptide-based formula versus a standard polymeric formula on feeding tolerance and whether this will affect the outcome among critically ill children.</w:t>
            </w:r>
            <w:r w:rsidRPr="00D353F8">
              <w:rPr>
                <w:rFonts w:ascii="Times New Roman" w:eastAsia="Times New Roman" w:hAnsi="Times New Roman" w:cs="Times New Roman"/>
                <w:b/>
                <w:bCs/>
                <w:color w:val="000000"/>
                <w:kern w:val="0"/>
                <w:sz w:val="20"/>
                <w:szCs w:val="20"/>
                <w:lang w:eastAsia="en-GB"/>
                <w14:ligatures w14:val="none"/>
              </w:rPr>
              <w:t xml:space="preserve"> </w:t>
            </w:r>
          </w:p>
        </w:tc>
      </w:tr>
      <w:tr w:rsidR="00EE7B09" w:rsidRPr="00D353F8" w14:paraId="2F607A14" w14:textId="77777777" w:rsidTr="00D73FED">
        <w:trPr>
          <w:trHeight w:val="1684"/>
        </w:trPr>
        <w:tc>
          <w:tcPr>
            <w:cnfStyle w:val="001000000000" w:firstRow="0" w:lastRow="0" w:firstColumn="1" w:lastColumn="0" w:oddVBand="0" w:evenVBand="0" w:oddHBand="0" w:evenHBand="0" w:firstRowFirstColumn="0" w:firstRowLastColumn="0" w:lastRowFirstColumn="0" w:lastRowLastColumn="0"/>
            <w:tcW w:w="3256" w:type="dxa"/>
            <w:hideMark/>
          </w:tcPr>
          <w:p w14:paraId="31C711BB"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Transition to peptide-based diet improved enteral nutrition tolerance and decreased healthcare utilization in pediatric home enteral nutrition</w:t>
            </w:r>
          </w:p>
        </w:tc>
        <w:tc>
          <w:tcPr>
            <w:tcW w:w="3118" w:type="dxa"/>
            <w:hideMark/>
          </w:tcPr>
          <w:p w14:paraId="3CFFEF54"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O. Mohamed Elfadil, D. B. Steien, R. Narasimhan, S. R. Velapati, L. Epp, I. Patel, J. Patel, R. T. Hurt and M. S. Mundi</w:t>
            </w:r>
          </w:p>
        </w:tc>
        <w:tc>
          <w:tcPr>
            <w:tcW w:w="1276" w:type="dxa"/>
            <w:hideMark/>
          </w:tcPr>
          <w:p w14:paraId="418D2C6D"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2022</w:t>
            </w:r>
          </w:p>
        </w:tc>
        <w:tc>
          <w:tcPr>
            <w:tcW w:w="7513" w:type="dxa"/>
            <w:hideMark/>
          </w:tcPr>
          <w:p w14:paraId="50330BC8" w14:textId="679E13BE"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The o</w:t>
            </w:r>
            <w:r w:rsidRPr="00D353F8">
              <w:rPr>
                <w:rFonts w:ascii="Times New Roman" w:eastAsia="Times New Roman" w:hAnsi="Times New Roman" w:cs="Times New Roman"/>
                <w:color w:val="000000"/>
                <w:kern w:val="0"/>
                <w:sz w:val="20"/>
                <w:szCs w:val="20"/>
                <w:lang w:eastAsia="en-GB"/>
                <w14:ligatures w14:val="none"/>
              </w:rPr>
              <w:t xml:space="preserve">bjective was to assess gastrointestinal tolerance and impact on healthcare utilization in children receiving </w:t>
            </w:r>
            <w:r>
              <w:rPr>
                <w:rFonts w:ascii="Times New Roman" w:eastAsia="Times New Roman" w:hAnsi="Times New Roman" w:cs="Times New Roman"/>
                <w:color w:val="000000"/>
                <w:kern w:val="0"/>
                <w:sz w:val="20"/>
                <w:szCs w:val="20"/>
                <w:lang w:eastAsia="en-GB"/>
                <w14:ligatures w14:val="none"/>
              </w:rPr>
              <w:t>peptide-based diet</w:t>
            </w:r>
            <w:r w:rsidRPr="00D353F8">
              <w:rPr>
                <w:rFonts w:ascii="Times New Roman" w:eastAsia="Times New Roman" w:hAnsi="Times New Roman" w:cs="Times New Roman"/>
                <w:color w:val="000000"/>
                <w:kern w:val="0"/>
                <w:sz w:val="20"/>
                <w:szCs w:val="20"/>
                <w:lang w:eastAsia="en-GB"/>
                <w14:ligatures w14:val="none"/>
              </w:rPr>
              <w:t>..</w:t>
            </w:r>
          </w:p>
        </w:tc>
      </w:tr>
      <w:tr w:rsidR="00EE7B09" w:rsidRPr="00D353F8" w14:paraId="371DED6B" w14:textId="77777777" w:rsidTr="00D73FED">
        <w:trPr>
          <w:trHeight w:val="1410"/>
        </w:trPr>
        <w:tc>
          <w:tcPr>
            <w:cnfStyle w:val="001000000000" w:firstRow="0" w:lastRow="0" w:firstColumn="1" w:lastColumn="0" w:oddVBand="0" w:evenVBand="0" w:oddHBand="0" w:evenHBand="0" w:firstRowFirstColumn="0" w:firstRowLastColumn="0" w:lastRowFirstColumn="0" w:lastRowLastColumn="0"/>
            <w:tcW w:w="3256" w:type="dxa"/>
            <w:hideMark/>
          </w:tcPr>
          <w:p w14:paraId="23382AE2"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Peptide-based enteral formula vs a whole protein enteral formula after major intestinal surgeries in children</w:t>
            </w:r>
          </w:p>
        </w:tc>
        <w:tc>
          <w:tcPr>
            <w:tcW w:w="3118" w:type="dxa"/>
            <w:hideMark/>
          </w:tcPr>
          <w:p w14:paraId="3CD1DCDE"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M. S. Mostafa, Y. Gamal and M. H. Soliman</w:t>
            </w:r>
          </w:p>
        </w:tc>
        <w:tc>
          <w:tcPr>
            <w:tcW w:w="1276" w:type="dxa"/>
            <w:hideMark/>
          </w:tcPr>
          <w:p w14:paraId="5A131666"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2021</w:t>
            </w:r>
          </w:p>
        </w:tc>
        <w:tc>
          <w:tcPr>
            <w:tcW w:w="7513" w:type="dxa"/>
            <w:hideMark/>
          </w:tcPr>
          <w:p w14:paraId="5F84D6A2" w14:textId="58219DB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The a</w:t>
            </w:r>
            <w:r w:rsidRPr="00D353F8">
              <w:rPr>
                <w:rFonts w:ascii="Times New Roman" w:eastAsia="Times New Roman" w:hAnsi="Times New Roman" w:cs="Times New Roman"/>
                <w:color w:val="000000"/>
                <w:kern w:val="0"/>
                <w:sz w:val="20"/>
                <w:szCs w:val="20"/>
                <w:lang w:eastAsia="en-GB"/>
                <w14:ligatures w14:val="none"/>
              </w:rPr>
              <w:t>im was to compare the results and outcome regarding tolerance, nutritional status, and hospital stay following a postoperative diet of peptide-based enteral formula against a whole protein enteral formula after major intestinal surgeries in pediatric patients who had resection and re-anastomosis after intussusception.</w:t>
            </w:r>
          </w:p>
        </w:tc>
      </w:tr>
      <w:tr w:rsidR="00EE7B09" w:rsidRPr="00D353F8" w14:paraId="7574C9F4" w14:textId="77777777" w:rsidTr="00D73FED">
        <w:trPr>
          <w:trHeight w:val="1530"/>
        </w:trPr>
        <w:tc>
          <w:tcPr>
            <w:cnfStyle w:val="001000000000" w:firstRow="0" w:lastRow="0" w:firstColumn="1" w:lastColumn="0" w:oddVBand="0" w:evenVBand="0" w:oddHBand="0" w:evenHBand="0" w:firstRowFirstColumn="0" w:firstRowLastColumn="0" w:lastRowFirstColumn="0" w:lastRowLastColumn="0"/>
            <w:tcW w:w="3256" w:type="dxa"/>
            <w:hideMark/>
          </w:tcPr>
          <w:p w14:paraId="122A04DB"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Clinical Case Reports on the acceptability and tolerance of a High-Energy whey peptide-based Pediatric oral nutritional supplement in children aged over 12 months</w:t>
            </w:r>
          </w:p>
        </w:tc>
        <w:tc>
          <w:tcPr>
            <w:tcW w:w="3118" w:type="dxa"/>
            <w:hideMark/>
          </w:tcPr>
          <w:p w14:paraId="7108F702"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K. Simpson</w:t>
            </w:r>
          </w:p>
        </w:tc>
        <w:tc>
          <w:tcPr>
            <w:tcW w:w="1276" w:type="dxa"/>
            <w:hideMark/>
          </w:tcPr>
          <w:p w14:paraId="7FF9036E"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2021</w:t>
            </w:r>
          </w:p>
        </w:tc>
        <w:tc>
          <w:tcPr>
            <w:tcW w:w="7513" w:type="dxa"/>
            <w:hideMark/>
          </w:tcPr>
          <w:p w14:paraId="634A8B3F"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The nutritional management of the complex needs of children with impaired gastrointestinal function can be challenging, using a high-energy pediatric whey-based peptide formula in clinical practice demonstrates its role in managing symptoms.</w:t>
            </w:r>
          </w:p>
        </w:tc>
      </w:tr>
      <w:tr w:rsidR="00EE7B09" w:rsidRPr="00D353F8" w14:paraId="41000176" w14:textId="77777777" w:rsidTr="00D73FED">
        <w:trPr>
          <w:trHeight w:val="423"/>
        </w:trPr>
        <w:tc>
          <w:tcPr>
            <w:cnfStyle w:val="001000000000" w:firstRow="0" w:lastRow="0" w:firstColumn="1" w:lastColumn="0" w:oddVBand="0" w:evenVBand="0" w:oddHBand="0" w:evenHBand="0" w:firstRowFirstColumn="0" w:firstRowLastColumn="0" w:lastRowFirstColumn="0" w:lastRowLastColumn="0"/>
            <w:tcW w:w="3256" w:type="dxa"/>
            <w:shd w:val="clear" w:color="auto" w:fill="E8E8E8" w:themeFill="background2"/>
          </w:tcPr>
          <w:p w14:paraId="48C91FB6" w14:textId="66A19FCD" w:rsidR="00EE7B09" w:rsidRPr="00D353F8" w:rsidRDefault="00EE7B09" w:rsidP="00946296">
            <w:pPr>
              <w:jc w:val="center"/>
              <w:rPr>
                <w:rFonts w:ascii="Times New Roman" w:eastAsia="Times New Roman" w:hAnsi="Times New Roman" w:cs="Times New Roman"/>
                <w:color w:val="000000"/>
                <w:kern w:val="0"/>
                <w:sz w:val="20"/>
                <w:szCs w:val="20"/>
                <w:lang w:eastAsia="en-GB"/>
                <w14:ligatures w14:val="none"/>
              </w:rPr>
            </w:pPr>
            <w:r>
              <w:lastRenderedPageBreak/>
              <w:br w:type="page"/>
            </w:r>
            <w:r w:rsidRPr="00D353F8">
              <w:rPr>
                <w:rFonts w:ascii="Times New Roman" w:eastAsia="Times New Roman" w:hAnsi="Times New Roman" w:cs="Times New Roman"/>
                <w:kern w:val="0"/>
                <w:sz w:val="20"/>
                <w:szCs w:val="20"/>
                <w:lang w:eastAsia="en-GB"/>
                <w14:ligatures w14:val="none"/>
              </w:rPr>
              <w:t>T</w:t>
            </w:r>
            <w:r>
              <w:rPr>
                <w:rFonts w:ascii="Times New Roman" w:eastAsia="Times New Roman" w:hAnsi="Times New Roman" w:cs="Times New Roman"/>
                <w:kern w:val="0"/>
                <w:sz w:val="20"/>
                <w:szCs w:val="20"/>
                <w:lang w:eastAsia="en-GB"/>
                <w14:ligatures w14:val="none"/>
              </w:rPr>
              <w:t>itle</w:t>
            </w:r>
          </w:p>
        </w:tc>
        <w:tc>
          <w:tcPr>
            <w:tcW w:w="3118" w:type="dxa"/>
            <w:shd w:val="clear" w:color="auto" w:fill="E8E8E8" w:themeFill="background2"/>
          </w:tcPr>
          <w:p w14:paraId="66D26AD2" w14:textId="5289E321" w:rsidR="00EE7B09" w:rsidRPr="00D73FED" w:rsidRDefault="00EE7B09" w:rsidP="00946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GB"/>
                <w14:ligatures w14:val="none"/>
              </w:rPr>
            </w:pPr>
            <w:r w:rsidRPr="00D73FED">
              <w:rPr>
                <w:rFonts w:ascii="Times New Roman" w:eastAsia="Times New Roman" w:hAnsi="Times New Roman" w:cs="Times New Roman"/>
                <w:b/>
                <w:bCs/>
                <w:kern w:val="0"/>
                <w:sz w:val="20"/>
                <w:szCs w:val="20"/>
                <w:lang w:eastAsia="en-GB"/>
                <w14:ligatures w14:val="none"/>
              </w:rPr>
              <w:t>Author(s)</w:t>
            </w:r>
          </w:p>
        </w:tc>
        <w:tc>
          <w:tcPr>
            <w:tcW w:w="1276" w:type="dxa"/>
            <w:shd w:val="clear" w:color="auto" w:fill="E8E8E8" w:themeFill="background2"/>
          </w:tcPr>
          <w:p w14:paraId="3158F519" w14:textId="0EDB594F" w:rsidR="00EE7B09" w:rsidRPr="00D73FED" w:rsidRDefault="00EE7B09" w:rsidP="00946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GB"/>
                <w14:ligatures w14:val="none"/>
              </w:rPr>
            </w:pPr>
            <w:r w:rsidRPr="00D73FED">
              <w:rPr>
                <w:rFonts w:ascii="Times New Roman" w:eastAsia="Times New Roman" w:hAnsi="Times New Roman" w:cs="Times New Roman"/>
                <w:b/>
                <w:bCs/>
                <w:kern w:val="0"/>
                <w:sz w:val="20"/>
                <w:szCs w:val="20"/>
                <w:lang w:eastAsia="en-GB"/>
                <w14:ligatures w14:val="none"/>
              </w:rPr>
              <w:t>Year</w:t>
            </w:r>
          </w:p>
        </w:tc>
        <w:tc>
          <w:tcPr>
            <w:tcW w:w="7513" w:type="dxa"/>
            <w:shd w:val="clear" w:color="auto" w:fill="E8E8E8" w:themeFill="background2"/>
          </w:tcPr>
          <w:p w14:paraId="1BD477AE" w14:textId="1B02A087" w:rsidR="00EE7B09" w:rsidRPr="00D73FED" w:rsidRDefault="00EE7B09" w:rsidP="009462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0"/>
                <w:szCs w:val="20"/>
                <w:lang w:eastAsia="en-GB"/>
                <w14:ligatures w14:val="none"/>
              </w:rPr>
            </w:pPr>
            <w:r w:rsidRPr="00D73FED">
              <w:rPr>
                <w:rFonts w:ascii="Times New Roman" w:eastAsia="Times New Roman" w:hAnsi="Times New Roman" w:cs="Times New Roman"/>
                <w:b/>
                <w:bCs/>
                <w:kern w:val="0"/>
                <w:sz w:val="20"/>
                <w:szCs w:val="20"/>
                <w:lang w:eastAsia="en-GB"/>
                <w14:ligatures w14:val="none"/>
              </w:rPr>
              <w:t>Aims/objectives</w:t>
            </w:r>
          </w:p>
        </w:tc>
      </w:tr>
      <w:tr w:rsidR="00EE7B09" w:rsidRPr="00D353F8" w14:paraId="36744316" w14:textId="77777777" w:rsidTr="00D73FED">
        <w:trPr>
          <w:trHeight w:val="1415"/>
        </w:trPr>
        <w:tc>
          <w:tcPr>
            <w:cnfStyle w:val="001000000000" w:firstRow="0" w:lastRow="0" w:firstColumn="1" w:lastColumn="0" w:oddVBand="0" w:evenVBand="0" w:oddHBand="0" w:evenHBand="0" w:firstRowFirstColumn="0" w:firstRowLastColumn="0" w:lastRowFirstColumn="0" w:lastRowLastColumn="0"/>
            <w:tcW w:w="3256" w:type="dxa"/>
            <w:hideMark/>
          </w:tcPr>
          <w:p w14:paraId="1C748D87"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[Nutritional support in children with pneumonia on mechanical ventilation by short-peptide enteral nutrition formula]</w:t>
            </w:r>
          </w:p>
        </w:tc>
        <w:tc>
          <w:tcPr>
            <w:tcW w:w="3118" w:type="dxa"/>
            <w:hideMark/>
          </w:tcPr>
          <w:p w14:paraId="3E663F7F"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X. J. Huang, F. F. Guo, F. Li, J. C. Zhao, Y. Z. Fan, N. Wang and J. Y. Qiao</w:t>
            </w:r>
          </w:p>
        </w:tc>
        <w:tc>
          <w:tcPr>
            <w:tcW w:w="1276" w:type="dxa"/>
            <w:hideMark/>
          </w:tcPr>
          <w:p w14:paraId="739EC19A"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2020</w:t>
            </w:r>
          </w:p>
        </w:tc>
        <w:tc>
          <w:tcPr>
            <w:tcW w:w="7513" w:type="dxa"/>
            <w:hideMark/>
          </w:tcPr>
          <w:p w14:paraId="4B0F2A28" w14:textId="4572363F"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The o</w:t>
            </w:r>
            <w:r w:rsidRPr="00D27795">
              <w:rPr>
                <w:rFonts w:ascii="Times New Roman" w:eastAsia="Times New Roman" w:hAnsi="Times New Roman" w:cs="Times New Roman"/>
                <w:color w:val="000000"/>
                <w:kern w:val="0"/>
                <w:sz w:val="20"/>
                <w:szCs w:val="20"/>
                <w:lang w:eastAsia="en-GB"/>
                <w14:ligatures w14:val="none"/>
              </w:rPr>
              <w:t>bjective was to</w:t>
            </w:r>
            <w:r w:rsidRPr="00D353F8">
              <w:rPr>
                <w:rFonts w:ascii="Times New Roman" w:eastAsia="Times New Roman" w:hAnsi="Times New Roman" w:cs="Times New Roman"/>
                <w:color w:val="000000"/>
                <w:kern w:val="0"/>
                <w:sz w:val="20"/>
                <w:szCs w:val="20"/>
                <w:lang w:eastAsia="en-GB"/>
                <w14:ligatures w14:val="none"/>
              </w:rPr>
              <w:t xml:space="preserve"> observe the incidence of malnutrition and nutritional risk in children with pneumonia on mechanical ventilation in the pediatric intensive care unit (PICU), and to explore the nutritional support effect of short-peptide enteral nutrition formula. </w:t>
            </w:r>
          </w:p>
        </w:tc>
      </w:tr>
      <w:tr w:rsidR="00EE7B09" w:rsidRPr="00D353F8" w14:paraId="62BFE492" w14:textId="77777777" w:rsidTr="00D73FED">
        <w:trPr>
          <w:trHeight w:val="1265"/>
        </w:trPr>
        <w:tc>
          <w:tcPr>
            <w:cnfStyle w:val="001000000000" w:firstRow="0" w:lastRow="0" w:firstColumn="1" w:lastColumn="0" w:oddVBand="0" w:evenVBand="0" w:oddHBand="0" w:evenHBand="0" w:firstRowFirstColumn="0" w:firstRowLastColumn="0" w:lastRowFirstColumn="0" w:lastRowLastColumn="0"/>
            <w:tcW w:w="3256" w:type="dxa"/>
            <w:hideMark/>
          </w:tcPr>
          <w:p w14:paraId="253E75DD"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Clinical Use of Peptide-Based Formula (Peptamen Junior®, Nestle) in the Paediatric Population</w:t>
            </w:r>
          </w:p>
        </w:tc>
        <w:tc>
          <w:tcPr>
            <w:tcW w:w="3118" w:type="dxa"/>
            <w:hideMark/>
          </w:tcPr>
          <w:p w14:paraId="683C7513"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F. Kristyn and G. Heather</w:t>
            </w:r>
          </w:p>
        </w:tc>
        <w:tc>
          <w:tcPr>
            <w:tcW w:w="1276" w:type="dxa"/>
            <w:hideMark/>
          </w:tcPr>
          <w:p w14:paraId="72645947"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2022</w:t>
            </w:r>
          </w:p>
        </w:tc>
        <w:tc>
          <w:tcPr>
            <w:tcW w:w="7513" w:type="dxa"/>
            <w:hideMark/>
          </w:tcPr>
          <w:p w14:paraId="4143AE5A" w14:textId="6D8D5659"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GB"/>
                <w14:ligatures w14:val="none"/>
              </w:rPr>
            </w:pPr>
            <w:r w:rsidRPr="00D353F8">
              <w:rPr>
                <w:rFonts w:ascii="Times New Roman" w:eastAsia="Times New Roman" w:hAnsi="Times New Roman" w:cs="Times New Roman"/>
                <w:kern w:val="0"/>
                <w:sz w:val="20"/>
                <w:szCs w:val="20"/>
                <w:lang w:eastAsia="en-GB"/>
                <w14:ligatures w14:val="none"/>
              </w:rPr>
              <w:t xml:space="preserve">This retrospective observational audit aimed to describe the characteristics of the paediatric patients who have been prescribed a hydrolysed whey protein, medium chain triglycerides (MCT) based formula, and the nutritional outcomes. </w:t>
            </w:r>
          </w:p>
        </w:tc>
      </w:tr>
      <w:tr w:rsidR="00EE7B09" w:rsidRPr="00D353F8" w14:paraId="4E13DFCF" w14:textId="77777777" w:rsidTr="00D73FED">
        <w:trPr>
          <w:trHeight w:val="1254"/>
        </w:trPr>
        <w:tc>
          <w:tcPr>
            <w:cnfStyle w:val="001000000000" w:firstRow="0" w:lastRow="0" w:firstColumn="1" w:lastColumn="0" w:oddVBand="0" w:evenVBand="0" w:oddHBand="0" w:evenHBand="0" w:firstRowFirstColumn="0" w:firstRowLastColumn="0" w:lastRowFirstColumn="0" w:lastRowLastColumn="0"/>
            <w:tcW w:w="3256" w:type="dxa"/>
            <w:hideMark/>
          </w:tcPr>
          <w:p w14:paraId="76B0A43B"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Nutritional and health benefits of semi-elemental diets: A comprehensive summary of the literature</w:t>
            </w:r>
          </w:p>
        </w:tc>
        <w:tc>
          <w:tcPr>
            <w:tcW w:w="3118" w:type="dxa"/>
            <w:hideMark/>
          </w:tcPr>
          <w:p w14:paraId="71995A8D"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D. D. Alexander, L. C. Bylsma, L. Elkayam and D. L. Nguyen</w:t>
            </w:r>
          </w:p>
        </w:tc>
        <w:tc>
          <w:tcPr>
            <w:tcW w:w="1276" w:type="dxa"/>
            <w:hideMark/>
          </w:tcPr>
          <w:p w14:paraId="2333BB73"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2016</w:t>
            </w:r>
          </w:p>
        </w:tc>
        <w:tc>
          <w:tcPr>
            <w:tcW w:w="7513" w:type="dxa"/>
            <w:hideMark/>
          </w:tcPr>
          <w:p w14:paraId="43EE8950" w14:textId="02C29D5A"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1E0A9E">
              <w:rPr>
                <w:rFonts w:ascii="Times New Roman" w:eastAsia="Times New Roman" w:hAnsi="Times New Roman" w:cs="Times New Roman"/>
                <w:color w:val="000000"/>
                <w:kern w:val="0"/>
                <w:sz w:val="20"/>
                <w:szCs w:val="20"/>
                <w:lang w:eastAsia="en-GB"/>
                <w14:ligatures w14:val="none"/>
              </w:rPr>
              <w:t>The aim was to</w:t>
            </w:r>
            <w:r w:rsidRPr="00D353F8">
              <w:rPr>
                <w:rFonts w:ascii="Times New Roman" w:eastAsia="Times New Roman" w:hAnsi="Times New Roman" w:cs="Times New Roman"/>
                <w:color w:val="000000"/>
                <w:kern w:val="0"/>
                <w:sz w:val="20"/>
                <w:szCs w:val="20"/>
                <w:lang w:eastAsia="en-GB"/>
                <w14:ligatures w14:val="none"/>
              </w:rPr>
              <w:t xml:space="preserve"> critically review and summarize the literature on nutritional and health outcomes of semi-elemental formulations on various nutritionally vulnerable patient populations who are unable to achieve adequate nutrition from standard oral diets.</w:t>
            </w:r>
          </w:p>
        </w:tc>
      </w:tr>
      <w:tr w:rsidR="00EE7B09" w:rsidRPr="00D353F8" w14:paraId="40BC0B53" w14:textId="77777777" w:rsidTr="00D73FED">
        <w:trPr>
          <w:trHeight w:val="1414"/>
        </w:trPr>
        <w:tc>
          <w:tcPr>
            <w:cnfStyle w:val="001000000000" w:firstRow="0" w:lastRow="0" w:firstColumn="1" w:lastColumn="0" w:oddVBand="0" w:evenVBand="0" w:oddHBand="0" w:evenHBand="0" w:firstRowFirstColumn="0" w:firstRowLastColumn="0" w:lastRowFirstColumn="0" w:lastRowLastColumn="0"/>
            <w:tcW w:w="3256" w:type="dxa"/>
            <w:hideMark/>
          </w:tcPr>
          <w:p w14:paraId="6B7DF238" w14:textId="0257321A"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Short chain peptide in the treatment of chronic diarrhoea with protein maldigestion</w:t>
            </w:r>
            <w:r>
              <w:rPr>
                <w:rFonts w:ascii="Times New Roman" w:eastAsia="Times New Roman" w:hAnsi="Times New Roman" w:cs="Times New Roman"/>
                <w:color w:val="000000"/>
                <w:kern w:val="0"/>
                <w:sz w:val="20"/>
                <w:szCs w:val="20"/>
                <w:lang w:eastAsia="en-GB"/>
                <w14:ligatures w14:val="none"/>
              </w:rPr>
              <w:t xml:space="preserve"> </w:t>
            </w:r>
            <w:r w:rsidRPr="00D353F8">
              <w:rPr>
                <w:rFonts w:ascii="Times New Roman" w:eastAsia="Times New Roman" w:hAnsi="Times New Roman" w:cs="Times New Roman"/>
                <w:color w:val="000000"/>
                <w:kern w:val="0"/>
                <w:sz w:val="20"/>
                <w:szCs w:val="20"/>
                <w:lang w:eastAsia="en-GB"/>
                <w14:ligatures w14:val="none"/>
              </w:rPr>
              <w:t>/malabsorption</w:t>
            </w:r>
          </w:p>
        </w:tc>
        <w:tc>
          <w:tcPr>
            <w:tcW w:w="3118" w:type="dxa"/>
            <w:hideMark/>
          </w:tcPr>
          <w:p w14:paraId="59C24F5E"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Suharyono</w:t>
            </w:r>
          </w:p>
        </w:tc>
        <w:tc>
          <w:tcPr>
            <w:tcW w:w="1276" w:type="dxa"/>
            <w:hideMark/>
          </w:tcPr>
          <w:p w14:paraId="0E6BC143"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1990</w:t>
            </w:r>
          </w:p>
        </w:tc>
        <w:tc>
          <w:tcPr>
            <w:tcW w:w="7513" w:type="dxa"/>
            <w:hideMark/>
          </w:tcPr>
          <w:p w14:paraId="328E6A59" w14:textId="692535F6"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 xml:space="preserve">The aim was to compare a formula using </w:t>
            </w:r>
            <w:r w:rsidRPr="00D353F8">
              <w:rPr>
                <w:rFonts w:ascii="Times New Roman" w:eastAsia="Times New Roman" w:hAnsi="Times New Roman" w:cs="Times New Roman"/>
                <w:color w:val="000000"/>
                <w:kern w:val="0"/>
                <w:sz w:val="20"/>
                <w:szCs w:val="20"/>
                <w:lang w:eastAsia="en-GB"/>
                <w14:ligatures w14:val="none"/>
              </w:rPr>
              <w:t xml:space="preserve">short chain peptides (SCP) </w:t>
            </w:r>
            <w:r>
              <w:rPr>
                <w:rFonts w:ascii="Times New Roman" w:eastAsia="Times New Roman" w:hAnsi="Times New Roman" w:cs="Times New Roman"/>
                <w:color w:val="000000"/>
                <w:kern w:val="0"/>
                <w:sz w:val="20"/>
                <w:szCs w:val="20"/>
                <w:lang w:eastAsia="en-GB"/>
                <w14:ligatures w14:val="none"/>
              </w:rPr>
              <w:t>vs a</w:t>
            </w:r>
            <w:r w:rsidRPr="00D353F8">
              <w:rPr>
                <w:rFonts w:ascii="Times New Roman" w:eastAsia="Times New Roman" w:hAnsi="Times New Roman" w:cs="Times New Roman"/>
                <w:color w:val="000000"/>
                <w:kern w:val="0"/>
                <w:sz w:val="20"/>
                <w:szCs w:val="20"/>
                <w:lang w:eastAsia="en-GB"/>
                <w14:ligatures w14:val="none"/>
              </w:rPr>
              <w:t xml:space="preserve"> non-SCP formula</w:t>
            </w:r>
            <w:r>
              <w:rPr>
                <w:rFonts w:ascii="Times New Roman" w:eastAsia="Times New Roman" w:hAnsi="Times New Roman" w:cs="Times New Roman"/>
                <w:color w:val="000000"/>
                <w:kern w:val="0"/>
                <w:sz w:val="20"/>
                <w:szCs w:val="20"/>
                <w:lang w:eastAsia="en-GB"/>
                <w14:ligatures w14:val="none"/>
              </w:rPr>
              <w:t xml:space="preserve"> in </w:t>
            </w:r>
            <w:r w:rsidRPr="001E0A9E">
              <w:rPr>
                <w:rFonts w:ascii="Times New Roman" w:hAnsi="Times New Roman" w:cs="Times New Roman"/>
                <w:color w:val="212121"/>
                <w:sz w:val="20"/>
                <w:szCs w:val="20"/>
                <w:shd w:val="clear" w:color="auto" w:fill="FFFFFF"/>
              </w:rPr>
              <w:t>children suffering from chronic diarrhoea with protein maldigestion/malabsorption</w:t>
            </w:r>
          </w:p>
        </w:tc>
      </w:tr>
      <w:tr w:rsidR="00EE7B09" w:rsidRPr="00D353F8" w14:paraId="0785AD19" w14:textId="77777777" w:rsidTr="00D73FED">
        <w:trPr>
          <w:trHeight w:val="1840"/>
        </w:trPr>
        <w:tc>
          <w:tcPr>
            <w:cnfStyle w:val="001000000000" w:firstRow="0" w:lastRow="0" w:firstColumn="1" w:lastColumn="0" w:oddVBand="0" w:evenVBand="0" w:oddHBand="0" w:evenHBand="0" w:firstRowFirstColumn="0" w:firstRowLastColumn="0" w:lastRowFirstColumn="0" w:lastRowLastColumn="0"/>
            <w:tcW w:w="3256" w:type="dxa"/>
            <w:hideMark/>
          </w:tcPr>
          <w:p w14:paraId="090B3B6F"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The first experience of using a ready-to-use liquid form of a hypercaloric semi-elemental product for enteral nutrition in children with cystic fibrosis</w:t>
            </w:r>
          </w:p>
        </w:tc>
        <w:tc>
          <w:tcPr>
            <w:tcW w:w="3118" w:type="dxa"/>
            <w:hideMark/>
          </w:tcPr>
          <w:p w14:paraId="0EF3C15B"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N. D. Odinaeva, E. I. Kondratyeva and T. Y. Maksimycheva</w:t>
            </w:r>
          </w:p>
        </w:tc>
        <w:tc>
          <w:tcPr>
            <w:tcW w:w="1276" w:type="dxa"/>
            <w:hideMark/>
          </w:tcPr>
          <w:p w14:paraId="384D8418"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2023</w:t>
            </w:r>
          </w:p>
        </w:tc>
        <w:tc>
          <w:tcPr>
            <w:tcW w:w="7513" w:type="dxa"/>
            <w:hideMark/>
          </w:tcPr>
          <w:p w14:paraId="4BF0D247" w14:textId="5AB5FA10"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1E0A9E">
              <w:rPr>
                <w:rFonts w:ascii="Times New Roman" w:eastAsia="Times New Roman" w:hAnsi="Times New Roman" w:cs="Times New Roman"/>
                <w:color w:val="000000"/>
                <w:kern w:val="0"/>
                <w:sz w:val="20"/>
                <w:szCs w:val="20"/>
                <w:lang w:eastAsia="en-GB"/>
                <w14:ligatures w14:val="none"/>
              </w:rPr>
              <w:t>The objective was</w:t>
            </w:r>
            <w:r w:rsidRPr="00D353F8">
              <w:rPr>
                <w:rFonts w:ascii="Times New Roman" w:eastAsia="Times New Roman" w:hAnsi="Times New Roman" w:cs="Times New Roman"/>
                <w:color w:val="000000"/>
                <w:kern w:val="0"/>
                <w:sz w:val="20"/>
                <w:szCs w:val="20"/>
                <w:lang w:eastAsia="en-GB"/>
                <w14:ligatures w14:val="none"/>
              </w:rPr>
              <w:t xml:space="preserve"> </w:t>
            </w:r>
            <w:r>
              <w:rPr>
                <w:rFonts w:ascii="Times New Roman" w:eastAsia="Times New Roman" w:hAnsi="Times New Roman" w:cs="Times New Roman"/>
                <w:color w:val="000000"/>
                <w:kern w:val="0"/>
                <w:sz w:val="20"/>
                <w:szCs w:val="20"/>
                <w:lang w:eastAsia="en-GB"/>
                <w14:ligatures w14:val="none"/>
              </w:rPr>
              <w:t>t</w:t>
            </w:r>
            <w:r w:rsidRPr="00D353F8">
              <w:rPr>
                <w:rFonts w:ascii="Times New Roman" w:eastAsia="Times New Roman" w:hAnsi="Times New Roman" w:cs="Times New Roman"/>
                <w:color w:val="000000"/>
                <w:kern w:val="0"/>
                <w:sz w:val="20"/>
                <w:szCs w:val="20"/>
                <w:lang w:eastAsia="en-GB"/>
                <w14:ligatures w14:val="none"/>
              </w:rPr>
              <w:t xml:space="preserve">o evaluate the dynamics of anthropometric indicators and body composition using bioimpedance analysis in children with cystic fibrosis against the background of dietary correction using a semi-elemental hypercaloric product. </w:t>
            </w:r>
          </w:p>
        </w:tc>
      </w:tr>
      <w:tr w:rsidR="00EE7B09" w:rsidRPr="00D353F8" w14:paraId="21927424" w14:textId="77777777" w:rsidTr="00D73FED">
        <w:trPr>
          <w:trHeight w:val="1131"/>
        </w:trPr>
        <w:tc>
          <w:tcPr>
            <w:cnfStyle w:val="001000000000" w:firstRow="0" w:lastRow="0" w:firstColumn="1" w:lastColumn="0" w:oddVBand="0" w:evenVBand="0" w:oddHBand="0" w:evenHBand="0" w:firstRowFirstColumn="0" w:firstRowLastColumn="0" w:lastRowFirstColumn="0" w:lastRowLastColumn="0"/>
            <w:tcW w:w="3256" w:type="dxa"/>
            <w:hideMark/>
          </w:tcPr>
          <w:p w14:paraId="2E4E4929"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Semi-Elemental and Elemental Formulas for Enteral Nutrition in Infants and Children with Medical Complexity-Thinking about Cow's Milk Allergy and Beyond</w:t>
            </w:r>
          </w:p>
        </w:tc>
        <w:tc>
          <w:tcPr>
            <w:tcW w:w="3118" w:type="dxa"/>
            <w:hideMark/>
          </w:tcPr>
          <w:p w14:paraId="0C5982C3"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E. Verduci, S. Salvatore, I. Bresesti, E. Di Profio, E. Pendezza, A. Bosetti, M. Agosti, G. V. Zuccotti and E. D'Auria</w:t>
            </w:r>
          </w:p>
        </w:tc>
        <w:tc>
          <w:tcPr>
            <w:tcW w:w="1276" w:type="dxa"/>
            <w:hideMark/>
          </w:tcPr>
          <w:p w14:paraId="60FA36A6"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2021</w:t>
            </w:r>
          </w:p>
        </w:tc>
        <w:tc>
          <w:tcPr>
            <w:tcW w:w="7513" w:type="dxa"/>
            <w:hideMark/>
          </w:tcPr>
          <w:p w14:paraId="3BEB9BA3" w14:textId="2837D9D1" w:rsidR="00EE7B09" w:rsidRPr="00175CC1"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175CC1">
              <w:rPr>
                <w:rFonts w:ascii="Times New Roman" w:hAnsi="Times New Roman" w:cs="Times New Roman"/>
                <w:color w:val="212121"/>
                <w:sz w:val="20"/>
                <w:szCs w:val="20"/>
                <w:shd w:val="clear" w:color="auto" w:fill="FFFFFF"/>
              </w:rPr>
              <w:t>In the present narrative review, we specifically focus on the use of elemental and semi-elemental enteral formulas in preterm neonates and in patients with neurological impairments as clinical “models” of medical complexity.</w:t>
            </w:r>
          </w:p>
        </w:tc>
      </w:tr>
    </w:tbl>
    <w:p w14:paraId="4CCABC57" w14:textId="77777777" w:rsidR="00383371" w:rsidRDefault="00383371">
      <w:r>
        <w:rPr>
          <w:b/>
          <w:bCs/>
        </w:rPr>
        <w:br w:type="page"/>
      </w:r>
    </w:p>
    <w:tbl>
      <w:tblPr>
        <w:tblStyle w:val="GridTable1Light"/>
        <w:tblW w:w="15163" w:type="dxa"/>
        <w:tblLook w:val="04A0" w:firstRow="1" w:lastRow="0" w:firstColumn="1" w:lastColumn="0" w:noHBand="0" w:noVBand="1"/>
      </w:tblPr>
      <w:tblGrid>
        <w:gridCol w:w="3256"/>
        <w:gridCol w:w="3118"/>
        <w:gridCol w:w="1276"/>
        <w:gridCol w:w="7513"/>
      </w:tblGrid>
      <w:tr w:rsidR="00EE7B09" w:rsidRPr="00D353F8" w14:paraId="346ACA21" w14:textId="77777777" w:rsidTr="00D73FED">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56" w:type="dxa"/>
            <w:shd w:val="clear" w:color="auto" w:fill="E8E8E8" w:themeFill="background2"/>
          </w:tcPr>
          <w:p w14:paraId="6224E1EF" w14:textId="55F5ABC0" w:rsidR="00EE7B09" w:rsidRPr="00946296" w:rsidRDefault="00EE7B09" w:rsidP="00946296">
            <w:pPr>
              <w:jc w:val="center"/>
              <w:rPr>
                <w:rFonts w:ascii="Times New Roman" w:eastAsia="Times New Roman" w:hAnsi="Times New Roman" w:cs="Times New Roman"/>
                <w:color w:val="000000"/>
                <w:kern w:val="0"/>
                <w:sz w:val="20"/>
                <w:szCs w:val="20"/>
                <w:lang w:eastAsia="en-GB"/>
                <w14:ligatures w14:val="none"/>
              </w:rPr>
            </w:pPr>
            <w:r w:rsidRPr="00946296">
              <w:rPr>
                <w:rFonts w:ascii="Times New Roman" w:eastAsia="Times New Roman" w:hAnsi="Times New Roman" w:cs="Times New Roman"/>
                <w:kern w:val="0"/>
                <w:sz w:val="20"/>
                <w:szCs w:val="20"/>
                <w:lang w:eastAsia="en-GB"/>
                <w14:ligatures w14:val="none"/>
              </w:rPr>
              <w:lastRenderedPageBreak/>
              <w:t>Title</w:t>
            </w:r>
          </w:p>
        </w:tc>
        <w:tc>
          <w:tcPr>
            <w:tcW w:w="3118" w:type="dxa"/>
            <w:shd w:val="clear" w:color="auto" w:fill="E8E8E8" w:themeFill="background2"/>
          </w:tcPr>
          <w:p w14:paraId="3BFC8B54" w14:textId="7BD253E1" w:rsidR="00EE7B09" w:rsidRPr="00946296" w:rsidRDefault="00EE7B09" w:rsidP="009462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0"/>
                <w:szCs w:val="20"/>
                <w:lang w:eastAsia="en-GB"/>
                <w14:ligatures w14:val="none"/>
              </w:rPr>
            </w:pPr>
            <w:r w:rsidRPr="00946296">
              <w:rPr>
                <w:rFonts w:ascii="Times New Roman" w:eastAsia="Times New Roman" w:hAnsi="Times New Roman" w:cs="Times New Roman"/>
                <w:kern w:val="0"/>
                <w:sz w:val="20"/>
                <w:szCs w:val="20"/>
                <w:lang w:eastAsia="en-GB"/>
                <w14:ligatures w14:val="none"/>
              </w:rPr>
              <w:t>Author(s)</w:t>
            </w:r>
          </w:p>
        </w:tc>
        <w:tc>
          <w:tcPr>
            <w:tcW w:w="1276" w:type="dxa"/>
            <w:shd w:val="clear" w:color="auto" w:fill="E8E8E8" w:themeFill="background2"/>
          </w:tcPr>
          <w:p w14:paraId="6279F8DE" w14:textId="4EE8D1B7" w:rsidR="00EE7B09" w:rsidRPr="00946296" w:rsidRDefault="00EE7B09" w:rsidP="009462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0"/>
                <w:szCs w:val="20"/>
                <w:lang w:eastAsia="en-GB"/>
                <w14:ligatures w14:val="none"/>
              </w:rPr>
            </w:pPr>
            <w:r w:rsidRPr="00946296">
              <w:rPr>
                <w:rFonts w:ascii="Times New Roman" w:eastAsia="Times New Roman" w:hAnsi="Times New Roman" w:cs="Times New Roman"/>
                <w:kern w:val="0"/>
                <w:sz w:val="20"/>
                <w:szCs w:val="20"/>
                <w:lang w:eastAsia="en-GB"/>
                <w14:ligatures w14:val="none"/>
              </w:rPr>
              <w:t>Year</w:t>
            </w:r>
          </w:p>
        </w:tc>
        <w:tc>
          <w:tcPr>
            <w:tcW w:w="7513" w:type="dxa"/>
            <w:shd w:val="clear" w:color="auto" w:fill="E8E8E8" w:themeFill="background2"/>
          </w:tcPr>
          <w:p w14:paraId="3E1B3270" w14:textId="3A8AD333" w:rsidR="00EE7B09" w:rsidRPr="00946296" w:rsidRDefault="00EE7B09" w:rsidP="009462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0"/>
                <w:szCs w:val="20"/>
                <w:lang w:eastAsia="en-GB"/>
                <w14:ligatures w14:val="none"/>
              </w:rPr>
            </w:pPr>
            <w:r w:rsidRPr="00946296">
              <w:rPr>
                <w:rFonts w:ascii="Times New Roman" w:eastAsia="Times New Roman" w:hAnsi="Times New Roman" w:cs="Times New Roman"/>
                <w:kern w:val="0"/>
                <w:sz w:val="20"/>
                <w:szCs w:val="20"/>
                <w:lang w:eastAsia="en-GB"/>
                <w14:ligatures w14:val="none"/>
              </w:rPr>
              <w:t>Aims/objectives</w:t>
            </w:r>
          </w:p>
        </w:tc>
      </w:tr>
      <w:tr w:rsidR="00EE7B09" w:rsidRPr="00D353F8" w14:paraId="3719A755" w14:textId="77777777" w:rsidTr="00D73FED">
        <w:trPr>
          <w:trHeight w:val="983"/>
        </w:trPr>
        <w:tc>
          <w:tcPr>
            <w:cnfStyle w:val="001000000000" w:firstRow="0" w:lastRow="0" w:firstColumn="1" w:lastColumn="0" w:oddVBand="0" w:evenVBand="0" w:oddHBand="0" w:evenHBand="0" w:firstRowFirstColumn="0" w:firstRowLastColumn="0" w:lastRowFirstColumn="0" w:lastRowLastColumn="0"/>
            <w:tcW w:w="3256" w:type="dxa"/>
          </w:tcPr>
          <w:p w14:paraId="702E01C5" w14:textId="6B569014" w:rsidR="00EE7B09" w:rsidRPr="00D353F8" w:rsidRDefault="00EE7B09" w:rsidP="00383371">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Safety and adequacy of a semi-elemental formula for children with gastro-intestinal disease</w:t>
            </w:r>
          </w:p>
        </w:tc>
        <w:tc>
          <w:tcPr>
            <w:tcW w:w="3118" w:type="dxa"/>
          </w:tcPr>
          <w:p w14:paraId="3006E278" w14:textId="72E24739" w:rsidR="00EE7B09" w:rsidRPr="00D353F8" w:rsidRDefault="00EE7B09" w:rsidP="003833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Y. Vandenplas, K. Plaskie and B. Hauser</w:t>
            </w:r>
          </w:p>
        </w:tc>
        <w:tc>
          <w:tcPr>
            <w:tcW w:w="1276" w:type="dxa"/>
          </w:tcPr>
          <w:p w14:paraId="132AF1D5" w14:textId="6DD34E90" w:rsidR="00EE7B09" w:rsidRPr="00D353F8" w:rsidRDefault="00EE7B09" w:rsidP="003833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2010</w:t>
            </w:r>
          </w:p>
        </w:tc>
        <w:tc>
          <w:tcPr>
            <w:tcW w:w="7513" w:type="dxa"/>
          </w:tcPr>
          <w:p w14:paraId="2CEDBA87" w14:textId="06155C7B" w:rsidR="00EE7B09" w:rsidRDefault="00EE7B09" w:rsidP="003833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This study</w:t>
            </w:r>
            <w:r w:rsidRPr="00D353F8">
              <w:rPr>
                <w:rFonts w:ascii="Times New Roman" w:eastAsia="Times New Roman" w:hAnsi="Times New Roman" w:cs="Times New Roman"/>
                <w:color w:val="000000"/>
                <w:kern w:val="0"/>
                <w:sz w:val="20"/>
                <w:szCs w:val="20"/>
                <w:lang w:eastAsia="en-GB"/>
                <w14:ligatures w14:val="none"/>
              </w:rPr>
              <w:t xml:space="preserve"> evaluate</w:t>
            </w:r>
            <w:r>
              <w:rPr>
                <w:rFonts w:ascii="Times New Roman" w:eastAsia="Times New Roman" w:hAnsi="Times New Roman" w:cs="Times New Roman"/>
                <w:color w:val="000000"/>
                <w:kern w:val="0"/>
                <w:sz w:val="20"/>
                <w:szCs w:val="20"/>
                <w:lang w:eastAsia="en-GB"/>
                <w14:ligatures w14:val="none"/>
              </w:rPr>
              <w:t>d</w:t>
            </w:r>
            <w:r w:rsidRPr="00D353F8">
              <w:rPr>
                <w:rFonts w:ascii="Times New Roman" w:eastAsia="Times New Roman" w:hAnsi="Times New Roman" w:cs="Times New Roman"/>
                <w:color w:val="000000"/>
                <w:kern w:val="0"/>
                <w:sz w:val="20"/>
                <w:szCs w:val="20"/>
                <w:lang w:eastAsia="en-GB"/>
                <w14:ligatures w14:val="none"/>
              </w:rPr>
              <w:t xml:space="preserve"> the nutritional adequacy of a semi-elemental diet in children with functional gastro-intestinal disorders. </w:t>
            </w:r>
          </w:p>
        </w:tc>
      </w:tr>
      <w:tr w:rsidR="00EE7B09" w:rsidRPr="00D353F8" w14:paraId="3F4AC45F" w14:textId="77777777" w:rsidTr="00D73FED">
        <w:trPr>
          <w:trHeight w:val="1698"/>
        </w:trPr>
        <w:tc>
          <w:tcPr>
            <w:cnfStyle w:val="001000000000" w:firstRow="0" w:lastRow="0" w:firstColumn="1" w:lastColumn="0" w:oddVBand="0" w:evenVBand="0" w:oddHBand="0" w:evenHBand="0" w:firstRowFirstColumn="0" w:firstRowLastColumn="0" w:lastRowFirstColumn="0" w:lastRowLastColumn="0"/>
            <w:tcW w:w="3256" w:type="dxa"/>
            <w:hideMark/>
          </w:tcPr>
          <w:p w14:paraId="73D19FAC"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A semi-elemental diet with low osmolarity and high content of hydrolyzed lactalbumin in the treatment of acute diarrhea in malnourished children</w:t>
            </w:r>
          </w:p>
        </w:tc>
        <w:tc>
          <w:tcPr>
            <w:tcW w:w="3118" w:type="dxa"/>
            <w:hideMark/>
          </w:tcPr>
          <w:p w14:paraId="4BE7880A"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J. R. Eichenberger, B. Hadorn and B. J. Schmidt</w:t>
            </w:r>
          </w:p>
        </w:tc>
        <w:tc>
          <w:tcPr>
            <w:tcW w:w="1276" w:type="dxa"/>
            <w:hideMark/>
          </w:tcPr>
          <w:p w14:paraId="0C5AB988"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1984</w:t>
            </w:r>
          </w:p>
        </w:tc>
        <w:tc>
          <w:tcPr>
            <w:tcW w:w="7513" w:type="dxa"/>
            <w:hideMark/>
          </w:tcPr>
          <w:p w14:paraId="170BF178" w14:textId="39773545"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 xml:space="preserve">The aim of this study was to evaluate a </w:t>
            </w:r>
            <w:r w:rsidRPr="00D353F8">
              <w:rPr>
                <w:rFonts w:ascii="Times New Roman" w:eastAsia="Times New Roman" w:hAnsi="Times New Roman" w:cs="Times New Roman"/>
                <w:color w:val="000000"/>
                <w:kern w:val="0"/>
                <w:sz w:val="20"/>
                <w:szCs w:val="20"/>
                <w:lang w:eastAsia="en-GB"/>
                <w14:ligatures w14:val="none"/>
              </w:rPr>
              <w:t xml:space="preserve">semi-elemental diet (SED) </w:t>
            </w:r>
            <w:r>
              <w:rPr>
                <w:rFonts w:ascii="Times New Roman" w:eastAsia="Times New Roman" w:hAnsi="Times New Roman" w:cs="Times New Roman"/>
                <w:color w:val="000000"/>
                <w:kern w:val="0"/>
                <w:sz w:val="20"/>
                <w:szCs w:val="20"/>
                <w:lang w:eastAsia="en-GB"/>
                <w14:ligatures w14:val="none"/>
              </w:rPr>
              <w:t xml:space="preserve">vs </w:t>
            </w:r>
            <w:r w:rsidRPr="00D353F8">
              <w:rPr>
                <w:rFonts w:ascii="Times New Roman" w:eastAsia="Times New Roman" w:hAnsi="Times New Roman" w:cs="Times New Roman"/>
                <w:color w:val="000000"/>
                <w:kern w:val="0"/>
                <w:sz w:val="20"/>
                <w:szCs w:val="20"/>
                <w:lang w:eastAsia="en-GB"/>
                <w14:ligatures w14:val="none"/>
              </w:rPr>
              <w:t xml:space="preserve"> available proprietary formulas or diluted cow's milk with added carbohydrates. </w:t>
            </w:r>
          </w:p>
        </w:tc>
      </w:tr>
      <w:tr w:rsidR="00EE7B09" w:rsidRPr="00D353F8" w14:paraId="21410936" w14:textId="77777777" w:rsidTr="00D73FED">
        <w:trPr>
          <w:trHeight w:val="687"/>
        </w:trPr>
        <w:tc>
          <w:tcPr>
            <w:cnfStyle w:val="001000000000" w:firstRow="0" w:lastRow="0" w:firstColumn="1" w:lastColumn="0" w:oddVBand="0" w:evenVBand="0" w:oddHBand="0" w:evenHBand="0" w:firstRowFirstColumn="0" w:firstRowLastColumn="0" w:lastRowFirstColumn="0" w:lastRowLastColumn="0"/>
            <w:tcW w:w="3256" w:type="dxa"/>
            <w:hideMark/>
          </w:tcPr>
          <w:p w14:paraId="325C39F1"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Nutritional Management of Pediatric Short Bowel Syndrome</w:t>
            </w:r>
          </w:p>
        </w:tc>
        <w:tc>
          <w:tcPr>
            <w:tcW w:w="3118" w:type="dxa"/>
            <w:hideMark/>
          </w:tcPr>
          <w:p w14:paraId="1727ACB1"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J. a. A.-S. A. Sutphen</w:t>
            </w:r>
          </w:p>
        </w:tc>
        <w:tc>
          <w:tcPr>
            <w:tcW w:w="1276" w:type="dxa"/>
            <w:hideMark/>
          </w:tcPr>
          <w:p w14:paraId="6818C97B"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2003</w:t>
            </w:r>
          </w:p>
        </w:tc>
        <w:tc>
          <w:tcPr>
            <w:tcW w:w="7513" w:type="dxa"/>
            <w:hideMark/>
          </w:tcPr>
          <w:p w14:paraId="1C3EFA5E" w14:textId="796CB4C1"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The aim of this paper was to assess the nutritional management of children with short bowel syndrome</w:t>
            </w:r>
          </w:p>
        </w:tc>
      </w:tr>
      <w:tr w:rsidR="00EE7B09" w:rsidRPr="00D353F8" w14:paraId="6B2CB88D" w14:textId="77777777" w:rsidTr="00D73FED">
        <w:trPr>
          <w:trHeight w:val="1273"/>
        </w:trPr>
        <w:tc>
          <w:tcPr>
            <w:cnfStyle w:val="001000000000" w:firstRow="0" w:lastRow="0" w:firstColumn="1" w:lastColumn="0" w:oddVBand="0" w:evenVBand="0" w:oddHBand="0" w:evenHBand="0" w:firstRowFirstColumn="0" w:firstRowLastColumn="0" w:lastRowFirstColumn="0" w:lastRowLastColumn="0"/>
            <w:tcW w:w="3256" w:type="dxa"/>
            <w:hideMark/>
          </w:tcPr>
          <w:p w14:paraId="570B1EA1"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Experience of using semi-elemental formulas for enteral nutrition in children with cystic fibrosis</w:t>
            </w:r>
          </w:p>
        </w:tc>
        <w:tc>
          <w:tcPr>
            <w:tcW w:w="3118" w:type="dxa"/>
            <w:hideMark/>
          </w:tcPr>
          <w:p w14:paraId="60A2E14D"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T. Y. Maksimycheva, E. I. Kondratyeva and N. D. Odinaeva</w:t>
            </w:r>
          </w:p>
        </w:tc>
        <w:tc>
          <w:tcPr>
            <w:tcW w:w="1276" w:type="dxa"/>
            <w:hideMark/>
          </w:tcPr>
          <w:p w14:paraId="63AA2681"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2021</w:t>
            </w:r>
          </w:p>
        </w:tc>
        <w:tc>
          <w:tcPr>
            <w:tcW w:w="7513" w:type="dxa"/>
            <w:hideMark/>
          </w:tcPr>
          <w:p w14:paraId="78B94FE0" w14:textId="67BC17EC"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5E13FC">
              <w:rPr>
                <w:rFonts w:ascii="Times New Roman" w:eastAsia="Times New Roman" w:hAnsi="Times New Roman" w:cs="Times New Roman"/>
                <w:color w:val="000000"/>
                <w:kern w:val="0"/>
                <w:sz w:val="20"/>
                <w:szCs w:val="20"/>
                <w:lang w:eastAsia="en-GB"/>
                <w14:ligatures w14:val="none"/>
              </w:rPr>
              <w:t>The aim was</w:t>
            </w:r>
            <w:r w:rsidRPr="00D353F8">
              <w:rPr>
                <w:rFonts w:ascii="Times New Roman" w:eastAsia="Times New Roman" w:hAnsi="Times New Roman" w:cs="Times New Roman"/>
                <w:color w:val="000000"/>
                <w:kern w:val="0"/>
                <w:sz w:val="20"/>
                <w:szCs w:val="20"/>
                <w:lang w:eastAsia="en-GB"/>
                <w14:ligatures w14:val="none"/>
              </w:rPr>
              <w:t xml:space="preserve"> </w:t>
            </w:r>
            <w:r>
              <w:rPr>
                <w:rFonts w:ascii="Times New Roman" w:eastAsia="Times New Roman" w:hAnsi="Times New Roman" w:cs="Times New Roman"/>
                <w:color w:val="000000"/>
                <w:kern w:val="0"/>
                <w:sz w:val="20"/>
                <w:szCs w:val="20"/>
                <w:lang w:eastAsia="en-GB"/>
                <w14:ligatures w14:val="none"/>
              </w:rPr>
              <w:t>t</w:t>
            </w:r>
            <w:r w:rsidRPr="00D353F8">
              <w:rPr>
                <w:rFonts w:ascii="Times New Roman" w:eastAsia="Times New Roman" w:hAnsi="Times New Roman" w:cs="Times New Roman"/>
                <w:color w:val="000000"/>
                <w:kern w:val="0"/>
                <w:sz w:val="20"/>
                <w:szCs w:val="20"/>
                <w:lang w:eastAsia="en-GB"/>
                <w14:ligatures w14:val="none"/>
              </w:rPr>
              <w:t xml:space="preserve">o evaluate the effectiveness of correcting the nutritional status in children with cystic fibrosis against the background of concomitant conditions using a semi-element product for enteral nutrition. </w:t>
            </w:r>
          </w:p>
        </w:tc>
      </w:tr>
      <w:tr w:rsidR="00EE7B09" w:rsidRPr="00D353F8" w14:paraId="603812C0" w14:textId="77777777" w:rsidTr="00D73FED">
        <w:trPr>
          <w:trHeight w:val="1674"/>
        </w:trPr>
        <w:tc>
          <w:tcPr>
            <w:cnfStyle w:val="001000000000" w:firstRow="0" w:lastRow="0" w:firstColumn="1" w:lastColumn="0" w:oddVBand="0" w:evenVBand="0" w:oddHBand="0" w:evenHBand="0" w:firstRowFirstColumn="0" w:firstRowLastColumn="0" w:lastRowFirstColumn="0" w:lastRowLastColumn="0"/>
            <w:tcW w:w="3256" w:type="dxa"/>
            <w:hideMark/>
          </w:tcPr>
          <w:p w14:paraId="2DB0F288"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The effectiveness of the use of a specialized formula based on hydrolyzed milk protein in children older than 1 year of age with cystic fibrosis</w:t>
            </w:r>
          </w:p>
        </w:tc>
        <w:tc>
          <w:tcPr>
            <w:tcW w:w="3118" w:type="dxa"/>
            <w:hideMark/>
          </w:tcPr>
          <w:p w14:paraId="7855283D"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T. V. Bushueva, T. Borovik, E. Roslavtseva, N. Shen, O. Simonova, N. Burkina, N. Lyabina and I. Sokolov</w:t>
            </w:r>
          </w:p>
        </w:tc>
        <w:tc>
          <w:tcPr>
            <w:tcW w:w="1276" w:type="dxa"/>
            <w:hideMark/>
          </w:tcPr>
          <w:p w14:paraId="75F5AE62"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2022</w:t>
            </w:r>
          </w:p>
        </w:tc>
        <w:tc>
          <w:tcPr>
            <w:tcW w:w="7513" w:type="dxa"/>
            <w:hideMark/>
          </w:tcPr>
          <w:p w14:paraId="5FCF75C2" w14:textId="40B9F609"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5E13FC">
              <w:rPr>
                <w:rFonts w:ascii="Times New Roman" w:eastAsia="Times New Roman" w:hAnsi="Times New Roman" w:cs="Times New Roman"/>
                <w:color w:val="000000"/>
                <w:kern w:val="0"/>
                <w:sz w:val="20"/>
                <w:szCs w:val="20"/>
                <w:lang w:eastAsia="en-GB"/>
                <w14:ligatures w14:val="none"/>
              </w:rPr>
              <w:t>The purpose was</w:t>
            </w:r>
            <w:r w:rsidRPr="00D353F8">
              <w:rPr>
                <w:rFonts w:ascii="Times New Roman" w:eastAsia="Times New Roman" w:hAnsi="Times New Roman" w:cs="Times New Roman"/>
                <w:color w:val="000000"/>
                <w:kern w:val="0"/>
                <w:sz w:val="20"/>
                <w:szCs w:val="20"/>
                <w:lang w:eastAsia="en-GB"/>
                <w14:ligatures w14:val="none"/>
              </w:rPr>
              <w:t xml:space="preserve"> </w:t>
            </w:r>
            <w:r>
              <w:rPr>
                <w:rFonts w:ascii="Times New Roman" w:eastAsia="Times New Roman" w:hAnsi="Times New Roman" w:cs="Times New Roman"/>
                <w:color w:val="000000"/>
                <w:kern w:val="0"/>
                <w:sz w:val="20"/>
                <w:szCs w:val="20"/>
                <w:lang w:eastAsia="en-GB"/>
                <w14:ligatures w14:val="none"/>
              </w:rPr>
              <w:t>e</w:t>
            </w:r>
            <w:r w:rsidRPr="00D353F8">
              <w:rPr>
                <w:rFonts w:ascii="Times New Roman" w:eastAsia="Times New Roman" w:hAnsi="Times New Roman" w:cs="Times New Roman"/>
                <w:color w:val="000000"/>
                <w:kern w:val="0"/>
                <w:sz w:val="20"/>
                <w:szCs w:val="20"/>
                <w:lang w:eastAsia="en-GB"/>
                <w14:ligatures w14:val="none"/>
              </w:rPr>
              <w:t>valuation of the tolerability and effectiveness of the domestic specialized semi-elemental formula based on hydrolyzed milk protein «NUTRIEN® Elemental» in the treatment of protein-energy malnutrition in CF children older than 1 year of age with malabsorption syndrome..</w:t>
            </w:r>
          </w:p>
        </w:tc>
      </w:tr>
      <w:tr w:rsidR="00EE7B09" w:rsidRPr="00D353F8" w14:paraId="29A9A2A6" w14:textId="77777777" w:rsidTr="00D73FED">
        <w:trPr>
          <w:trHeight w:val="2264"/>
        </w:trPr>
        <w:tc>
          <w:tcPr>
            <w:cnfStyle w:val="001000000000" w:firstRow="0" w:lastRow="0" w:firstColumn="1" w:lastColumn="0" w:oddVBand="0" w:evenVBand="0" w:oddHBand="0" w:evenHBand="0" w:firstRowFirstColumn="0" w:firstRowLastColumn="0" w:lastRowFirstColumn="0" w:lastRowLastColumn="0"/>
            <w:tcW w:w="3256" w:type="dxa"/>
            <w:hideMark/>
          </w:tcPr>
          <w:p w14:paraId="62344A68"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Efficacy and safety of hydrolyzed formulas for cow's milk allergy management: A systematic review of randomized controlled trials</w:t>
            </w:r>
          </w:p>
        </w:tc>
        <w:tc>
          <w:tcPr>
            <w:tcW w:w="3118" w:type="dxa"/>
            <w:hideMark/>
          </w:tcPr>
          <w:p w14:paraId="0B175EE3"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A. Strozyk, A. Horvath, R. Meyer and H. Szajewska</w:t>
            </w:r>
          </w:p>
        </w:tc>
        <w:tc>
          <w:tcPr>
            <w:tcW w:w="1276" w:type="dxa"/>
            <w:hideMark/>
          </w:tcPr>
          <w:p w14:paraId="1A9FDB8C"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2020</w:t>
            </w:r>
          </w:p>
        </w:tc>
        <w:tc>
          <w:tcPr>
            <w:tcW w:w="7513" w:type="dxa"/>
            <w:hideMark/>
          </w:tcPr>
          <w:p w14:paraId="47367F98" w14:textId="0ADCBB33"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5E13FC">
              <w:rPr>
                <w:rFonts w:ascii="Times New Roman" w:eastAsia="Times New Roman" w:hAnsi="Times New Roman" w:cs="Times New Roman"/>
                <w:color w:val="000000"/>
                <w:kern w:val="0"/>
                <w:sz w:val="20"/>
                <w:szCs w:val="20"/>
                <w:lang w:eastAsia="en-GB"/>
                <w14:ligatures w14:val="none"/>
              </w:rPr>
              <w:t>The objective was</w:t>
            </w:r>
            <w:r w:rsidRPr="00D353F8">
              <w:rPr>
                <w:rFonts w:ascii="Times New Roman" w:eastAsia="Times New Roman" w:hAnsi="Times New Roman" w:cs="Times New Roman"/>
                <w:color w:val="000000"/>
                <w:kern w:val="0"/>
                <w:sz w:val="20"/>
                <w:szCs w:val="20"/>
                <w:lang w:eastAsia="en-GB"/>
                <w14:ligatures w14:val="none"/>
              </w:rPr>
              <w:t xml:space="preserve"> </w:t>
            </w:r>
            <w:r>
              <w:rPr>
                <w:rFonts w:ascii="Times New Roman" w:eastAsia="Times New Roman" w:hAnsi="Times New Roman" w:cs="Times New Roman"/>
                <w:color w:val="000000"/>
                <w:kern w:val="0"/>
                <w:sz w:val="20"/>
                <w:szCs w:val="20"/>
                <w:lang w:eastAsia="en-GB"/>
                <w14:ligatures w14:val="none"/>
              </w:rPr>
              <w:t>t</w:t>
            </w:r>
            <w:r w:rsidRPr="00D353F8">
              <w:rPr>
                <w:rFonts w:ascii="Times New Roman" w:eastAsia="Times New Roman" w:hAnsi="Times New Roman" w:cs="Times New Roman"/>
                <w:color w:val="000000"/>
                <w:kern w:val="0"/>
                <w:sz w:val="20"/>
                <w:szCs w:val="20"/>
                <w:lang w:eastAsia="en-GB"/>
                <w14:ligatures w14:val="none"/>
              </w:rPr>
              <w:t>o summarize evidence on the efficacy and safety of the use of extensively hydrolyzed formulas (EHFs) for the treatment of children with cow's milk allergy (CMA). DESIGN: Systematic review of randomized controlled trials (RCTs) per PRISMA guidelines. The risk of bias of included RCTs was assessed using the Cochrane Collaboration's risk of bias tool. In general, a narrative synthesis of the findings was performed. When sufficient data were available, a meta-analysis using the random-effect model was performed</w:t>
            </w:r>
          </w:p>
        </w:tc>
      </w:tr>
    </w:tbl>
    <w:p w14:paraId="37C2EA08" w14:textId="77777777" w:rsidR="00946296" w:rsidRDefault="00946296">
      <w:r>
        <w:rPr>
          <w:b/>
          <w:bCs/>
        </w:rPr>
        <w:br w:type="page"/>
      </w:r>
    </w:p>
    <w:tbl>
      <w:tblPr>
        <w:tblStyle w:val="GridTable1Light"/>
        <w:tblW w:w="15163" w:type="dxa"/>
        <w:tblLook w:val="04A0" w:firstRow="1" w:lastRow="0" w:firstColumn="1" w:lastColumn="0" w:noHBand="0" w:noVBand="1"/>
      </w:tblPr>
      <w:tblGrid>
        <w:gridCol w:w="3256"/>
        <w:gridCol w:w="3118"/>
        <w:gridCol w:w="1276"/>
        <w:gridCol w:w="7513"/>
      </w:tblGrid>
      <w:tr w:rsidR="00EE7B09" w:rsidRPr="00D353F8" w14:paraId="232C24D8" w14:textId="77777777" w:rsidTr="00D73FED">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256" w:type="dxa"/>
            <w:shd w:val="clear" w:color="auto" w:fill="E8E8E8" w:themeFill="background2"/>
          </w:tcPr>
          <w:p w14:paraId="26870677" w14:textId="729E8349" w:rsidR="00EE7B09" w:rsidRPr="00D353F8" w:rsidRDefault="00EE7B09" w:rsidP="00946296">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kern w:val="0"/>
                <w:sz w:val="20"/>
                <w:szCs w:val="20"/>
                <w:lang w:eastAsia="en-GB"/>
                <w14:ligatures w14:val="none"/>
              </w:rPr>
              <w:lastRenderedPageBreak/>
              <w:t>T</w:t>
            </w:r>
            <w:r>
              <w:rPr>
                <w:rFonts w:ascii="Times New Roman" w:eastAsia="Times New Roman" w:hAnsi="Times New Roman" w:cs="Times New Roman"/>
                <w:kern w:val="0"/>
                <w:sz w:val="20"/>
                <w:szCs w:val="20"/>
                <w:lang w:eastAsia="en-GB"/>
                <w14:ligatures w14:val="none"/>
              </w:rPr>
              <w:t>itle</w:t>
            </w:r>
          </w:p>
        </w:tc>
        <w:tc>
          <w:tcPr>
            <w:tcW w:w="3118" w:type="dxa"/>
            <w:shd w:val="clear" w:color="auto" w:fill="E8E8E8" w:themeFill="background2"/>
          </w:tcPr>
          <w:p w14:paraId="250FD5E1" w14:textId="461F88C5" w:rsidR="00EE7B09" w:rsidRPr="00D353F8" w:rsidRDefault="00EE7B09" w:rsidP="009462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kern w:val="0"/>
                <w:sz w:val="20"/>
                <w:szCs w:val="20"/>
                <w:lang w:eastAsia="en-GB"/>
                <w14:ligatures w14:val="none"/>
              </w:rPr>
              <w:t>A</w:t>
            </w:r>
            <w:r>
              <w:rPr>
                <w:rFonts w:ascii="Times New Roman" w:eastAsia="Times New Roman" w:hAnsi="Times New Roman" w:cs="Times New Roman"/>
                <w:kern w:val="0"/>
                <w:sz w:val="20"/>
                <w:szCs w:val="20"/>
                <w:lang w:eastAsia="en-GB"/>
                <w14:ligatures w14:val="none"/>
              </w:rPr>
              <w:t>uthor</w:t>
            </w:r>
            <w:r w:rsidRPr="00D353F8">
              <w:rPr>
                <w:rFonts w:ascii="Times New Roman" w:eastAsia="Times New Roman" w:hAnsi="Times New Roman" w:cs="Times New Roman"/>
                <w:kern w:val="0"/>
                <w:sz w:val="20"/>
                <w:szCs w:val="20"/>
                <w:lang w:eastAsia="en-GB"/>
                <w14:ligatures w14:val="none"/>
              </w:rPr>
              <w:t>(</w:t>
            </w:r>
            <w:r>
              <w:rPr>
                <w:rFonts w:ascii="Times New Roman" w:eastAsia="Times New Roman" w:hAnsi="Times New Roman" w:cs="Times New Roman"/>
                <w:kern w:val="0"/>
                <w:sz w:val="20"/>
                <w:szCs w:val="20"/>
                <w:lang w:eastAsia="en-GB"/>
                <w14:ligatures w14:val="none"/>
              </w:rPr>
              <w:t>s</w:t>
            </w:r>
            <w:r w:rsidRPr="00D353F8">
              <w:rPr>
                <w:rFonts w:ascii="Times New Roman" w:eastAsia="Times New Roman" w:hAnsi="Times New Roman" w:cs="Times New Roman"/>
                <w:kern w:val="0"/>
                <w:sz w:val="20"/>
                <w:szCs w:val="20"/>
                <w:lang w:eastAsia="en-GB"/>
                <w14:ligatures w14:val="none"/>
              </w:rPr>
              <w:t>)</w:t>
            </w:r>
          </w:p>
        </w:tc>
        <w:tc>
          <w:tcPr>
            <w:tcW w:w="1276" w:type="dxa"/>
            <w:shd w:val="clear" w:color="auto" w:fill="E8E8E8" w:themeFill="background2"/>
          </w:tcPr>
          <w:p w14:paraId="6B8CD9A0" w14:textId="42CED425" w:rsidR="00EE7B09" w:rsidRPr="00D353F8" w:rsidRDefault="00EE7B09" w:rsidP="009462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Year</w:t>
            </w:r>
          </w:p>
        </w:tc>
        <w:tc>
          <w:tcPr>
            <w:tcW w:w="7513" w:type="dxa"/>
            <w:shd w:val="clear" w:color="auto" w:fill="E8E8E8" w:themeFill="background2"/>
          </w:tcPr>
          <w:p w14:paraId="456A8990" w14:textId="7CC136F0" w:rsidR="00EE7B09" w:rsidRPr="00D353F8" w:rsidRDefault="00EE7B09" w:rsidP="009462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Pr>
                <w:rFonts w:ascii="Times New Roman" w:eastAsia="Times New Roman" w:hAnsi="Times New Roman" w:cs="Times New Roman"/>
                <w:kern w:val="0"/>
                <w:sz w:val="20"/>
                <w:szCs w:val="20"/>
                <w:lang w:eastAsia="en-GB"/>
                <w14:ligatures w14:val="none"/>
              </w:rPr>
              <w:t>Aims/objectives</w:t>
            </w:r>
          </w:p>
        </w:tc>
      </w:tr>
      <w:tr w:rsidR="00EE7B09" w:rsidRPr="00D353F8" w14:paraId="7B4E67B7" w14:textId="77777777" w:rsidTr="006247C4">
        <w:trPr>
          <w:trHeight w:val="2098"/>
        </w:trPr>
        <w:tc>
          <w:tcPr>
            <w:cnfStyle w:val="001000000000" w:firstRow="0" w:lastRow="0" w:firstColumn="1" w:lastColumn="0" w:oddVBand="0" w:evenVBand="0" w:oddHBand="0" w:evenHBand="0" w:firstRowFirstColumn="0" w:firstRowLastColumn="0" w:lastRowFirstColumn="0" w:lastRowLastColumn="0"/>
            <w:tcW w:w="3256" w:type="dxa"/>
            <w:hideMark/>
          </w:tcPr>
          <w:p w14:paraId="6BD18468"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Dietary Treatment with Extensively Hydrolyzed Casein Formula Containing the Probiotic Lactobacillus rhamnosus GG Prevents the Occurrence of Functional Gastrointestinal Disorders in Children with Cow's Milk Allergy</w:t>
            </w:r>
          </w:p>
        </w:tc>
        <w:tc>
          <w:tcPr>
            <w:tcW w:w="3118" w:type="dxa"/>
            <w:hideMark/>
          </w:tcPr>
          <w:p w14:paraId="5FD17C45" w14:textId="77777777" w:rsidR="00EE7B09" w:rsidRPr="00C853DF"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val="es-ES" w:eastAsia="en-GB"/>
                <w14:ligatures w14:val="none"/>
              </w:rPr>
            </w:pPr>
            <w:r w:rsidRPr="00C853DF">
              <w:rPr>
                <w:rFonts w:ascii="Times New Roman" w:eastAsia="Times New Roman" w:hAnsi="Times New Roman" w:cs="Times New Roman"/>
                <w:color w:val="000000"/>
                <w:kern w:val="0"/>
                <w:sz w:val="20"/>
                <w:szCs w:val="20"/>
                <w:lang w:val="es-ES" w:eastAsia="en-GB"/>
                <w14:ligatures w14:val="none"/>
              </w:rPr>
              <w:t>R. Nocerino, M. Di Costanzo, G. Bedogni, L. Cosenza, Y. Maddalena, C. Di Scala, G. Della Gatta, L. Carucci, L. Voto, S. Coppola, A. M. Iannicelli and R. Berni Canani</w:t>
            </w:r>
          </w:p>
        </w:tc>
        <w:tc>
          <w:tcPr>
            <w:tcW w:w="1276" w:type="dxa"/>
            <w:hideMark/>
          </w:tcPr>
          <w:p w14:paraId="029951E4"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2019</w:t>
            </w:r>
          </w:p>
        </w:tc>
        <w:tc>
          <w:tcPr>
            <w:tcW w:w="7513" w:type="dxa"/>
            <w:hideMark/>
          </w:tcPr>
          <w:p w14:paraId="1838786C" w14:textId="7CC3D424"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br/>
            </w:r>
            <w:r w:rsidRPr="005E13FC">
              <w:rPr>
                <w:rFonts w:ascii="Times New Roman" w:eastAsia="Times New Roman" w:hAnsi="Times New Roman" w:cs="Times New Roman"/>
                <w:color w:val="000000"/>
                <w:kern w:val="0"/>
                <w:sz w:val="20"/>
                <w:szCs w:val="20"/>
                <w:lang w:eastAsia="en-GB"/>
                <w14:ligatures w14:val="none"/>
              </w:rPr>
              <w:t>The objective was</w:t>
            </w:r>
            <w:r w:rsidRPr="00D353F8">
              <w:rPr>
                <w:rFonts w:ascii="Times New Roman" w:eastAsia="Times New Roman" w:hAnsi="Times New Roman" w:cs="Times New Roman"/>
                <w:color w:val="000000"/>
                <w:kern w:val="0"/>
                <w:sz w:val="20"/>
                <w:szCs w:val="20"/>
                <w:lang w:eastAsia="en-GB"/>
                <w14:ligatures w14:val="none"/>
              </w:rPr>
              <w:t xml:space="preserve"> </w:t>
            </w:r>
            <w:r>
              <w:rPr>
                <w:rFonts w:ascii="Times New Roman" w:eastAsia="Times New Roman" w:hAnsi="Times New Roman" w:cs="Times New Roman"/>
                <w:color w:val="000000"/>
                <w:kern w:val="0"/>
                <w:sz w:val="20"/>
                <w:szCs w:val="20"/>
                <w:lang w:eastAsia="en-GB"/>
                <w14:ligatures w14:val="none"/>
              </w:rPr>
              <w:t>t</w:t>
            </w:r>
            <w:r w:rsidRPr="00D353F8">
              <w:rPr>
                <w:rFonts w:ascii="Times New Roman" w:eastAsia="Times New Roman" w:hAnsi="Times New Roman" w:cs="Times New Roman"/>
                <w:color w:val="000000"/>
                <w:kern w:val="0"/>
                <w:sz w:val="20"/>
                <w:szCs w:val="20"/>
                <w:lang w:eastAsia="en-GB"/>
                <w14:ligatures w14:val="none"/>
              </w:rPr>
              <w:t xml:space="preserve">o investigate whether the addition of the probiotic Lactobacillus rhamnosus GG (LGG) to the extensively hydrolyzed casein formula (EHCF) for cow's milk allergy (CMA) treatment could reduce the occurrence of functional gastrointestinal disorders (FGIDs). </w:t>
            </w:r>
          </w:p>
        </w:tc>
      </w:tr>
      <w:tr w:rsidR="00EE7B09" w:rsidRPr="00D353F8" w14:paraId="0A3E3CD8" w14:textId="77777777" w:rsidTr="00D73FED">
        <w:trPr>
          <w:trHeight w:val="1412"/>
        </w:trPr>
        <w:tc>
          <w:tcPr>
            <w:cnfStyle w:val="001000000000" w:firstRow="0" w:lastRow="0" w:firstColumn="1" w:lastColumn="0" w:oddVBand="0" w:evenVBand="0" w:oddHBand="0" w:evenHBand="0" w:firstRowFirstColumn="0" w:firstRowLastColumn="0" w:lastRowFirstColumn="0" w:lastRowLastColumn="0"/>
            <w:tcW w:w="3256" w:type="dxa"/>
            <w:hideMark/>
          </w:tcPr>
          <w:p w14:paraId="09EDE207"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Improved growth, tolerance and intake with an extensively hydrolysed peptide feed in infants with complex disease</w:t>
            </w:r>
          </w:p>
        </w:tc>
        <w:tc>
          <w:tcPr>
            <w:tcW w:w="3118" w:type="dxa"/>
            <w:hideMark/>
          </w:tcPr>
          <w:p w14:paraId="0604D47A"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C. Smith, H. McCabe, S. Macdonald, L. Morrison, R. Prigg, S. Trace, J. Livingstone, J. Callan, J. Cotton, G. Hubbard and R. J. Stratton</w:t>
            </w:r>
          </w:p>
        </w:tc>
        <w:tc>
          <w:tcPr>
            <w:tcW w:w="1276" w:type="dxa"/>
            <w:hideMark/>
          </w:tcPr>
          <w:p w14:paraId="02580D10"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2018</w:t>
            </w:r>
          </w:p>
        </w:tc>
        <w:tc>
          <w:tcPr>
            <w:tcW w:w="7513" w:type="dxa"/>
            <w:hideMark/>
          </w:tcPr>
          <w:p w14:paraId="38A936B2" w14:textId="4829E508"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This study aimed to investigate the effectiveness, tolerance and acceptability of nutritional support with a specially formulated, paediatric peptide feed in infants with complex disease and signs of growth faltering with their current nutritional management..</w:t>
            </w:r>
          </w:p>
        </w:tc>
      </w:tr>
      <w:tr w:rsidR="00EE7B09" w:rsidRPr="00D353F8" w14:paraId="5F71BF6D" w14:textId="77777777" w:rsidTr="00D73FED">
        <w:trPr>
          <w:trHeight w:val="1134"/>
        </w:trPr>
        <w:tc>
          <w:tcPr>
            <w:cnfStyle w:val="001000000000" w:firstRow="0" w:lastRow="0" w:firstColumn="1" w:lastColumn="0" w:oddVBand="0" w:evenVBand="0" w:oddHBand="0" w:evenHBand="0" w:firstRowFirstColumn="0" w:firstRowLastColumn="0" w:lastRowFirstColumn="0" w:lastRowLastColumn="0"/>
            <w:tcW w:w="3256" w:type="dxa"/>
            <w:hideMark/>
          </w:tcPr>
          <w:p w14:paraId="10B0F28E" w14:textId="77777777" w:rsidR="00EE7B09" w:rsidRPr="00D353F8" w:rsidRDefault="00EE7B09" w:rsidP="00D353F8">
            <w:pPr>
              <w:jc w:val="center"/>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Peptide nutrient-energy dense enteral feeding in critically ill infants: an observational study</w:t>
            </w:r>
          </w:p>
        </w:tc>
        <w:tc>
          <w:tcPr>
            <w:tcW w:w="3118" w:type="dxa"/>
            <w:hideMark/>
          </w:tcPr>
          <w:p w14:paraId="6F55DB05"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L. V. Marino, R. D. Eveleens, K. Morton, S. Verbruggen and K. F. M. Joosten</w:t>
            </w:r>
          </w:p>
        </w:tc>
        <w:tc>
          <w:tcPr>
            <w:tcW w:w="1276" w:type="dxa"/>
            <w:hideMark/>
          </w:tcPr>
          <w:p w14:paraId="4BC039D0"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2019</w:t>
            </w:r>
          </w:p>
        </w:tc>
        <w:tc>
          <w:tcPr>
            <w:tcW w:w="7513" w:type="dxa"/>
            <w:hideMark/>
          </w:tcPr>
          <w:p w14:paraId="700D39BD" w14:textId="0D9D4740"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 xml:space="preserve">The aim of this observational study was to characterise the use of a PEF amongst critically ill infants in two paediatric intensive care units (PICUs). </w:t>
            </w:r>
          </w:p>
        </w:tc>
      </w:tr>
      <w:tr w:rsidR="00EE7B09" w:rsidRPr="00D353F8" w14:paraId="44CD6499" w14:textId="77777777" w:rsidTr="00D73FED">
        <w:trPr>
          <w:trHeight w:val="2526"/>
        </w:trPr>
        <w:tc>
          <w:tcPr>
            <w:cnfStyle w:val="001000000000" w:firstRow="0" w:lastRow="0" w:firstColumn="1" w:lastColumn="0" w:oddVBand="0" w:evenVBand="0" w:oddHBand="0" w:evenHBand="0" w:firstRowFirstColumn="0" w:firstRowLastColumn="0" w:lastRowFirstColumn="0" w:lastRowLastColumn="0"/>
            <w:tcW w:w="3256" w:type="dxa"/>
            <w:hideMark/>
          </w:tcPr>
          <w:p w14:paraId="29C9B1FC" w14:textId="2A231E9F" w:rsidR="00EE7B09" w:rsidRPr="00D353F8" w:rsidRDefault="00EE7B09" w:rsidP="00934E6D">
            <w:pPr>
              <w:jc w:val="center"/>
              <w:rPr>
                <w:rFonts w:ascii="Times New Roman" w:eastAsia="Times New Roman" w:hAnsi="Times New Roman" w:cs="Times New Roman"/>
                <w:b w:val="0"/>
                <w:bCs w:val="0"/>
                <w:color w:val="000000"/>
                <w:kern w:val="0"/>
                <w:sz w:val="20"/>
                <w:szCs w:val="20"/>
                <w:lang w:eastAsia="en-GB"/>
                <w14:ligatures w14:val="none"/>
              </w:rPr>
            </w:pPr>
            <w:r>
              <w:rPr>
                <w:rFonts w:ascii="Times New Roman" w:eastAsia="Times New Roman" w:hAnsi="Times New Roman" w:cs="Times New Roman"/>
                <w:color w:val="000000"/>
                <w:kern w:val="0"/>
                <w:sz w:val="20"/>
                <w:szCs w:val="20"/>
                <w:lang w:eastAsia="en-GB"/>
                <w14:ligatures w14:val="none"/>
              </w:rPr>
              <w:t xml:space="preserve">Utility of a specialized peptide-based enteral formula containing medium chain triglycerides in provision of enteral tube feeding in children with cerebral palsy: Data from prospective observational TolerUP Study </w:t>
            </w:r>
          </w:p>
        </w:tc>
        <w:tc>
          <w:tcPr>
            <w:tcW w:w="3118" w:type="dxa"/>
            <w:hideMark/>
          </w:tcPr>
          <w:p w14:paraId="39BDCDEA"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A. Kansu, TolerUPStudy Group</w:t>
            </w:r>
          </w:p>
        </w:tc>
        <w:tc>
          <w:tcPr>
            <w:tcW w:w="1276" w:type="dxa"/>
            <w:hideMark/>
          </w:tcPr>
          <w:p w14:paraId="41915AC8" w14:textId="77777777"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2021</w:t>
            </w:r>
          </w:p>
        </w:tc>
        <w:tc>
          <w:tcPr>
            <w:tcW w:w="7513" w:type="dxa"/>
            <w:hideMark/>
          </w:tcPr>
          <w:p w14:paraId="44521A7C" w14:textId="5FD780FD" w:rsidR="00EE7B09" w:rsidRPr="00D353F8" w:rsidRDefault="00EE7B09" w:rsidP="00D353F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GB"/>
                <w14:ligatures w14:val="none"/>
              </w:rPr>
            </w:pPr>
            <w:r w:rsidRPr="00D353F8">
              <w:rPr>
                <w:rFonts w:ascii="Times New Roman" w:eastAsia="Times New Roman" w:hAnsi="Times New Roman" w:cs="Times New Roman"/>
                <w:color w:val="000000"/>
                <w:kern w:val="0"/>
                <w:sz w:val="20"/>
                <w:szCs w:val="20"/>
                <w:lang w:eastAsia="en-GB"/>
                <w14:ligatures w14:val="none"/>
              </w:rPr>
              <w:t xml:space="preserve">The study aimed to evaluate the utility of enteral tube feeding (ETF) with specialized peptide-based formula (SPBEF) containing medium chain triglycerides (MTCs) in children with cerebral palsy (CP).. </w:t>
            </w:r>
          </w:p>
        </w:tc>
      </w:tr>
    </w:tbl>
    <w:p w14:paraId="4E707530" w14:textId="77777777" w:rsidR="00D353F8" w:rsidRDefault="00D353F8" w:rsidP="00D353F8">
      <w:pPr>
        <w:spacing w:after="0" w:line="240" w:lineRule="auto"/>
        <w:rPr>
          <w:rFonts w:ascii="Times New Roman" w:hAnsi="Times New Roman" w:cs="Times New Roman"/>
          <w:sz w:val="24"/>
          <w:szCs w:val="24"/>
        </w:rPr>
      </w:pPr>
    </w:p>
    <w:p w14:paraId="58E3EED6" w14:textId="3B4E73CA" w:rsidR="00C52F6A" w:rsidRDefault="00C52F6A">
      <w:pPr>
        <w:rPr>
          <w:rFonts w:ascii="Times New Roman" w:hAnsi="Times New Roman" w:cs="Times New Roman"/>
          <w:sz w:val="24"/>
          <w:szCs w:val="24"/>
        </w:rPr>
      </w:pPr>
      <w:r>
        <w:rPr>
          <w:rFonts w:ascii="Times New Roman" w:hAnsi="Times New Roman" w:cs="Times New Roman"/>
          <w:sz w:val="24"/>
          <w:szCs w:val="24"/>
        </w:rPr>
        <w:br w:type="page"/>
      </w:r>
    </w:p>
    <w:p w14:paraId="00EAB62D" w14:textId="77777777" w:rsidR="009B5D49" w:rsidRDefault="00491552" w:rsidP="009B5D49">
      <w:pPr>
        <w:spacing w:after="0" w:line="240" w:lineRule="auto"/>
        <w:rPr>
          <w:rFonts w:ascii="Times New Roman" w:hAnsi="Times New Roman" w:cs="Times New Roman"/>
          <w:sz w:val="24"/>
          <w:szCs w:val="24"/>
        </w:rPr>
      </w:pPr>
      <w:r w:rsidRPr="00491552">
        <w:rPr>
          <w:rFonts w:ascii="Times New Roman" w:hAnsi="Times New Roman" w:cs="Times New Roman"/>
          <w:b/>
          <w:szCs w:val="28"/>
        </w:rPr>
        <w:lastRenderedPageBreak/>
        <w:t>Supplementary Table 3.</w:t>
      </w:r>
      <w:r w:rsidRPr="00491552">
        <w:rPr>
          <w:rFonts w:ascii="Times New Roman" w:hAnsi="Times New Roman" w:cs="Times New Roman"/>
          <w:szCs w:val="28"/>
        </w:rPr>
        <w:t xml:space="preserve"> </w:t>
      </w:r>
      <w:r w:rsidR="003960E1">
        <w:rPr>
          <w:rFonts w:ascii="Times New Roman" w:hAnsi="Times New Roman" w:cs="Times New Roman"/>
          <w:szCs w:val="28"/>
        </w:rPr>
        <w:t>World Health Organization (</w:t>
      </w:r>
      <w:r w:rsidRPr="00491552">
        <w:rPr>
          <w:rFonts w:ascii="Times New Roman" w:hAnsi="Times New Roman" w:cs="Times New Roman"/>
        </w:rPr>
        <w:t>WHO</w:t>
      </w:r>
      <w:r w:rsidR="003960E1">
        <w:rPr>
          <w:rFonts w:ascii="Times New Roman" w:hAnsi="Times New Roman" w:cs="Times New Roman"/>
        </w:rPr>
        <w:t>)</w:t>
      </w:r>
      <w:r w:rsidRPr="00491552">
        <w:rPr>
          <w:rFonts w:ascii="Times New Roman" w:hAnsi="Times New Roman" w:cs="Times New Roman"/>
        </w:rPr>
        <w:t xml:space="preserve"> </w:t>
      </w:r>
      <w:r w:rsidR="003960E1">
        <w:rPr>
          <w:rFonts w:ascii="Times New Roman" w:hAnsi="Times New Roman" w:cs="Times New Roman"/>
        </w:rPr>
        <w:t>classification</w:t>
      </w:r>
      <w:r w:rsidRPr="00491552">
        <w:rPr>
          <w:rFonts w:ascii="Times New Roman" w:hAnsi="Times New Roman" w:cs="Times New Roman"/>
        </w:rPr>
        <w:t xml:space="preserve"> </w:t>
      </w:r>
      <w:r w:rsidR="003960E1">
        <w:rPr>
          <w:rFonts w:ascii="Times New Roman" w:hAnsi="Times New Roman" w:cs="Times New Roman"/>
        </w:rPr>
        <w:t>of nutritional status</w:t>
      </w:r>
      <w:r w:rsidRPr="00491552">
        <w:rPr>
          <w:rFonts w:ascii="Times New Roman" w:hAnsi="Times New Roman" w:cs="Times New Roman"/>
        </w:rPr>
        <w:t xml:space="preserve"> </w:t>
      </w:r>
      <w:r w:rsidR="003960E1">
        <w:rPr>
          <w:rFonts w:ascii="Times New Roman" w:hAnsi="Times New Roman" w:cs="Times New Roman"/>
        </w:rPr>
        <w:t>of infants and children (birth to 5 years)</w:t>
      </w:r>
      <w:r w:rsidRPr="00491552">
        <w:rPr>
          <w:rFonts w:ascii="Times New Roman" w:hAnsi="Times New Roman" w:cs="Times New Roman"/>
        </w:rPr>
        <w:t xml:space="preserve">. </w:t>
      </w:r>
      <w:r w:rsidR="00B1533B">
        <w:rPr>
          <w:rFonts w:ascii="Times New Roman" w:hAnsi="Times New Roman" w:cs="Times New Roman"/>
        </w:rPr>
        <w:t>Based on</w:t>
      </w:r>
      <w:r w:rsidRPr="00491552">
        <w:rPr>
          <w:rFonts w:ascii="Times New Roman" w:hAnsi="Times New Roman" w:cs="Times New Roman"/>
        </w:rPr>
        <w:t xml:space="preserve">: </w:t>
      </w:r>
      <w:r w:rsidR="009B5D49" w:rsidRPr="00103E9A">
        <w:rPr>
          <w:rFonts w:ascii="Times New Roman" w:hAnsi="Times New Roman" w:cs="Times New Roman"/>
          <w:sz w:val="24"/>
          <w:szCs w:val="24"/>
        </w:rPr>
        <w:t>Guideline: assessing and managing children at primary health-care facilities to prevent overweight and obesity in the context of the double burden of malnutrition. Updates for the Integrated Management of Childhood Illness (IMCI). Geneva: World Health Organization; 2017. Licence: CC BY-NC-SA 3.0 IGO.</w:t>
      </w:r>
    </w:p>
    <w:p w14:paraId="730CCA4A" w14:textId="77777777" w:rsidR="00F743D7" w:rsidRDefault="00F743D7" w:rsidP="008A761D">
      <w:pPr>
        <w:spacing w:after="0" w:line="240" w:lineRule="auto"/>
        <w:rPr>
          <w:rFonts w:ascii="Times New Roman" w:hAnsi="Times New Roman" w:cs="Times New Roman"/>
          <w:sz w:val="24"/>
          <w:szCs w:val="24"/>
        </w:rPr>
      </w:pPr>
    </w:p>
    <w:p w14:paraId="02197629" w14:textId="77777777" w:rsidR="00F743D7" w:rsidRDefault="00F743D7" w:rsidP="008A761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098"/>
        <w:gridCol w:w="10290"/>
      </w:tblGrid>
      <w:tr w:rsidR="00B1533B" w14:paraId="4F26ADA1" w14:textId="77777777" w:rsidTr="00645F69">
        <w:tc>
          <w:tcPr>
            <w:tcW w:w="5098" w:type="dxa"/>
            <w:shd w:val="clear" w:color="auto" w:fill="ADADAD" w:themeFill="background2" w:themeFillShade="BF"/>
          </w:tcPr>
          <w:p w14:paraId="4671D62A" w14:textId="271B8016" w:rsidR="00B1533B" w:rsidRPr="00B1533B" w:rsidRDefault="00B1533B" w:rsidP="008A761D">
            <w:pPr>
              <w:rPr>
                <w:rFonts w:ascii="Times New Roman" w:hAnsi="Times New Roman" w:cs="Times New Roman"/>
                <w:b/>
                <w:bCs/>
                <w:sz w:val="24"/>
                <w:szCs w:val="24"/>
              </w:rPr>
            </w:pPr>
            <w:r w:rsidRPr="00B1533B">
              <w:rPr>
                <w:rFonts w:ascii="Times New Roman" w:hAnsi="Times New Roman" w:cs="Times New Roman"/>
                <w:b/>
                <w:bCs/>
                <w:sz w:val="24"/>
                <w:szCs w:val="24"/>
              </w:rPr>
              <w:t>Nutritional status</w:t>
            </w:r>
          </w:p>
        </w:tc>
        <w:tc>
          <w:tcPr>
            <w:tcW w:w="10290" w:type="dxa"/>
            <w:shd w:val="clear" w:color="auto" w:fill="ADADAD" w:themeFill="background2" w:themeFillShade="BF"/>
          </w:tcPr>
          <w:p w14:paraId="5FAAF3E3" w14:textId="77777777" w:rsidR="00B1533B" w:rsidRDefault="00B1533B" w:rsidP="008A761D">
            <w:pPr>
              <w:rPr>
                <w:rFonts w:ascii="Times New Roman" w:hAnsi="Times New Roman" w:cs="Times New Roman"/>
                <w:b/>
                <w:bCs/>
                <w:sz w:val="24"/>
                <w:szCs w:val="24"/>
              </w:rPr>
            </w:pPr>
            <w:r w:rsidRPr="00B1533B">
              <w:rPr>
                <w:rFonts w:ascii="Times New Roman" w:hAnsi="Times New Roman" w:cs="Times New Roman"/>
                <w:b/>
                <w:bCs/>
                <w:sz w:val="24"/>
                <w:szCs w:val="24"/>
              </w:rPr>
              <w:t>Indicator and cut off value {vs median of WHO Growth Standards (2006)}</w:t>
            </w:r>
          </w:p>
          <w:p w14:paraId="1831F23C" w14:textId="4C0C3A87" w:rsidR="00B1533B" w:rsidRPr="00B1533B" w:rsidRDefault="00B1533B" w:rsidP="008A761D">
            <w:pPr>
              <w:rPr>
                <w:rFonts w:ascii="Times New Roman" w:hAnsi="Times New Roman" w:cs="Times New Roman"/>
                <w:sz w:val="24"/>
                <w:szCs w:val="24"/>
              </w:rPr>
            </w:pPr>
          </w:p>
        </w:tc>
      </w:tr>
      <w:tr w:rsidR="00B1533B" w14:paraId="75F7B5A4" w14:textId="77777777" w:rsidTr="00645F69">
        <w:tc>
          <w:tcPr>
            <w:tcW w:w="5098" w:type="dxa"/>
            <w:shd w:val="clear" w:color="auto" w:fill="E8E8E8" w:themeFill="background2"/>
          </w:tcPr>
          <w:p w14:paraId="2B720246" w14:textId="77777777" w:rsidR="00B1533B" w:rsidRPr="0067675E" w:rsidRDefault="00B1533B" w:rsidP="008A761D">
            <w:pPr>
              <w:rPr>
                <w:rFonts w:ascii="Times New Roman" w:hAnsi="Times New Roman" w:cs="Times New Roman"/>
                <w:b/>
                <w:bCs/>
                <w:sz w:val="24"/>
                <w:szCs w:val="24"/>
              </w:rPr>
            </w:pPr>
            <w:r w:rsidRPr="0067675E">
              <w:rPr>
                <w:rFonts w:ascii="Times New Roman" w:hAnsi="Times New Roman" w:cs="Times New Roman"/>
                <w:b/>
                <w:bCs/>
                <w:sz w:val="24"/>
                <w:szCs w:val="24"/>
              </w:rPr>
              <w:t>Moderately underweight</w:t>
            </w:r>
          </w:p>
          <w:p w14:paraId="19DFDE6B" w14:textId="4DCDD002" w:rsidR="00B1533B" w:rsidRPr="0067675E" w:rsidRDefault="00B1533B" w:rsidP="008A761D">
            <w:pPr>
              <w:rPr>
                <w:rFonts w:ascii="Times New Roman" w:hAnsi="Times New Roman" w:cs="Times New Roman"/>
                <w:b/>
                <w:bCs/>
                <w:sz w:val="24"/>
                <w:szCs w:val="24"/>
              </w:rPr>
            </w:pPr>
          </w:p>
        </w:tc>
        <w:tc>
          <w:tcPr>
            <w:tcW w:w="10290" w:type="dxa"/>
          </w:tcPr>
          <w:p w14:paraId="3C647C0C" w14:textId="29054639" w:rsidR="00B1533B" w:rsidRDefault="00B1533B" w:rsidP="008A761D">
            <w:pPr>
              <w:rPr>
                <w:rFonts w:ascii="Times New Roman" w:hAnsi="Times New Roman" w:cs="Times New Roman"/>
                <w:sz w:val="24"/>
                <w:szCs w:val="24"/>
              </w:rPr>
            </w:pPr>
            <w:r w:rsidRPr="00B1533B">
              <w:rPr>
                <w:rFonts w:ascii="Times New Roman" w:hAnsi="Times New Roman" w:cs="Times New Roman"/>
                <w:sz w:val="24"/>
                <w:szCs w:val="24"/>
              </w:rPr>
              <w:t xml:space="preserve">Weight-for-age </w:t>
            </w:r>
            <w:r w:rsidR="006B178E">
              <w:rPr>
                <w:rFonts w:ascii="Times New Roman" w:hAnsi="Times New Roman" w:cs="Times New Roman"/>
                <w:sz w:val="24"/>
                <w:szCs w:val="24"/>
              </w:rPr>
              <w:t xml:space="preserve">z-score </w:t>
            </w:r>
            <w:r w:rsidRPr="00B1533B">
              <w:rPr>
                <w:rFonts w:ascii="Times New Roman" w:hAnsi="Times New Roman" w:cs="Times New Roman"/>
                <w:sz w:val="24"/>
                <w:szCs w:val="24"/>
              </w:rPr>
              <w:t xml:space="preserve">&lt;−2 and ≥−3 </w:t>
            </w:r>
          </w:p>
        </w:tc>
      </w:tr>
      <w:tr w:rsidR="00B1533B" w14:paraId="02FAF7ED" w14:textId="77777777" w:rsidTr="00645F69">
        <w:tc>
          <w:tcPr>
            <w:tcW w:w="5098" w:type="dxa"/>
            <w:shd w:val="clear" w:color="auto" w:fill="E8E8E8" w:themeFill="background2"/>
          </w:tcPr>
          <w:p w14:paraId="2E262500" w14:textId="77777777" w:rsidR="00B1533B" w:rsidRPr="0067675E" w:rsidRDefault="00B1533B" w:rsidP="008A761D">
            <w:pPr>
              <w:rPr>
                <w:rFonts w:ascii="Times New Roman" w:hAnsi="Times New Roman" w:cs="Times New Roman"/>
                <w:b/>
                <w:bCs/>
                <w:sz w:val="24"/>
                <w:szCs w:val="24"/>
              </w:rPr>
            </w:pPr>
            <w:r w:rsidRPr="0067675E">
              <w:rPr>
                <w:rFonts w:ascii="Times New Roman" w:hAnsi="Times New Roman" w:cs="Times New Roman"/>
                <w:b/>
                <w:bCs/>
                <w:sz w:val="24"/>
                <w:szCs w:val="24"/>
              </w:rPr>
              <w:t>Severely underweight</w:t>
            </w:r>
          </w:p>
          <w:p w14:paraId="3B005A40" w14:textId="52EC9A66" w:rsidR="00B1533B" w:rsidRPr="0067675E" w:rsidRDefault="00B1533B" w:rsidP="008A761D">
            <w:pPr>
              <w:rPr>
                <w:rFonts w:ascii="Times New Roman" w:hAnsi="Times New Roman" w:cs="Times New Roman"/>
                <w:b/>
                <w:bCs/>
                <w:sz w:val="24"/>
                <w:szCs w:val="24"/>
              </w:rPr>
            </w:pPr>
          </w:p>
        </w:tc>
        <w:tc>
          <w:tcPr>
            <w:tcW w:w="10290" w:type="dxa"/>
          </w:tcPr>
          <w:p w14:paraId="179324E4" w14:textId="64FB44B7" w:rsidR="00B1533B" w:rsidRDefault="00B1533B" w:rsidP="008A761D">
            <w:pPr>
              <w:rPr>
                <w:rFonts w:ascii="Times New Roman" w:hAnsi="Times New Roman" w:cs="Times New Roman"/>
                <w:sz w:val="24"/>
                <w:szCs w:val="24"/>
              </w:rPr>
            </w:pPr>
            <w:r w:rsidRPr="00B1533B">
              <w:rPr>
                <w:rFonts w:ascii="Times New Roman" w:hAnsi="Times New Roman" w:cs="Times New Roman"/>
                <w:sz w:val="24"/>
                <w:szCs w:val="24"/>
              </w:rPr>
              <w:t xml:space="preserve">Weight-for-age </w:t>
            </w:r>
            <w:r w:rsidR="006B178E">
              <w:rPr>
                <w:rFonts w:ascii="Times New Roman" w:hAnsi="Times New Roman" w:cs="Times New Roman"/>
                <w:sz w:val="24"/>
                <w:szCs w:val="24"/>
              </w:rPr>
              <w:t xml:space="preserve">z-score </w:t>
            </w:r>
            <w:r w:rsidRPr="00B1533B">
              <w:rPr>
                <w:rFonts w:ascii="Times New Roman" w:hAnsi="Times New Roman" w:cs="Times New Roman"/>
                <w:sz w:val="24"/>
                <w:szCs w:val="24"/>
              </w:rPr>
              <w:t xml:space="preserve">&lt;−3 </w:t>
            </w:r>
          </w:p>
        </w:tc>
      </w:tr>
      <w:tr w:rsidR="00B1533B" w14:paraId="48067D69" w14:textId="77777777" w:rsidTr="00645F69">
        <w:tc>
          <w:tcPr>
            <w:tcW w:w="5098" w:type="dxa"/>
            <w:shd w:val="clear" w:color="auto" w:fill="E8E8E8" w:themeFill="background2"/>
          </w:tcPr>
          <w:p w14:paraId="19DBD143" w14:textId="77777777" w:rsidR="00B1533B" w:rsidRPr="0067675E" w:rsidRDefault="00B1533B" w:rsidP="00B1533B">
            <w:pPr>
              <w:rPr>
                <w:rFonts w:ascii="Times New Roman" w:hAnsi="Times New Roman" w:cs="Times New Roman"/>
                <w:b/>
                <w:bCs/>
                <w:sz w:val="24"/>
                <w:szCs w:val="24"/>
              </w:rPr>
            </w:pPr>
            <w:r w:rsidRPr="0067675E">
              <w:rPr>
                <w:rFonts w:ascii="Times New Roman" w:hAnsi="Times New Roman" w:cs="Times New Roman"/>
                <w:b/>
                <w:bCs/>
                <w:sz w:val="24"/>
                <w:szCs w:val="24"/>
              </w:rPr>
              <w:t>Moderate acute malnutrition</w:t>
            </w:r>
          </w:p>
          <w:p w14:paraId="7106024E" w14:textId="77777777" w:rsidR="00B1533B" w:rsidRPr="0067675E" w:rsidRDefault="00B1533B" w:rsidP="008A761D">
            <w:pPr>
              <w:rPr>
                <w:rFonts w:ascii="Times New Roman" w:hAnsi="Times New Roman" w:cs="Times New Roman"/>
                <w:b/>
                <w:bCs/>
                <w:sz w:val="24"/>
                <w:szCs w:val="24"/>
              </w:rPr>
            </w:pPr>
          </w:p>
        </w:tc>
        <w:tc>
          <w:tcPr>
            <w:tcW w:w="10290" w:type="dxa"/>
          </w:tcPr>
          <w:p w14:paraId="4BE36EFA" w14:textId="3F556C49" w:rsidR="00C31D36" w:rsidRDefault="00C31D36" w:rsidP="008A761D">
            <w:pPr>
              <w:rPr>
                <w:rFonts w:ascii="Times New Roman" w:hAnsi="Times New Roman" w:cs="Times New Roman"/>
                <w:sz w:val="24"/>
                <w:szCs w:val="24"/>
              </w:rPr>
            </w:pPr>
            <w:r w:rsidRPr="00C31D36">
              <w:rPr>
                <w:rFonts w:ascii="Times New Roman" w:hAnsi="Times New Roman" w:cs="Times New Roman"/>
                <w:sz w:val="24"/>
                <w:szCs w:val="24"/>
              </w:rPr>
              <w:t>Weight-for-length/height</w:t>
            </w:r>
            <w:r>
              <w:rPr>
                <w:rFonts w:ascii="Times New Roman" w:hAnsi="Times New Roman" w:cs="Times New Roman"/>
                <w:sz w:val="24"/>
                <w:szCs w:val="24"/>
              </w:rPr>
              <w:t xml:space="preserve"> </w:t>
            </w:r>
            <w:r w:rsidR="006B178E">
              <w:rPr>
                <w:rFonts w:ascii="Times New Roman" w:hAnsi="Times New Roman" w:cs="Times New Roman"/>
                <w:sz w:val="24"/>
                <w:szCs w:val="24"/>
              </w:rPr>
              <w:t xml:space="preserve">z-score between </w:t>
            </w:r>
            <w:r w:rsidR="006B178E" w:rsidRPr="00C31D36">
              <w:rPr>
                <w:rFonts w:ascii="Times New Roman" w:hAnsi="Times New Roman" w:cs="Times New Roman"/>
                <w:sz w:val="24"/>
                <w:szCs w:val="24"/>
              </w:rPr>
              <w:t>−</w:t>
            </w:r>
            <w:r w:rsidR="006B178E">
              <w:rPr>
                <w:rFonts w:ascii="Times New Roman" w:hAnsi="Times New Roman" w:cs="Times New Roman"/>
                <w:sz w:val="24"/>
                <w:szCs w:val="24"/>
              </w:rPr>
              <w:t xml:space="preserve">2 and </w:t>
            </w:r>
            <w:r w:rsidR="006B178E" w:rsidRPr="006B178E">
              <w:rPr>
                <w:rFonts w:ascii="Times New Roman" w:hAnsi="Times New Roman" w:cs="Times New Roman"/>
                <w:sz w:val="24"/>
                <w:szCs w:val="24"/>
              </w:rPr>
              <w:t>−</w:t>
            </w:r>
            <w:r w:rsidR="006B178E">
              <w:rPr>
                <w:rFonts w:ascii="Times New Roman" w:hAnsi="Times New Roman" w:cs="Times New Roman"/>
                <w:sz w:val="24"/>
                <w:szCs w:val="24"/>
              </w:rPr>
              <w:t>3</w:t>
            </w:r>
          </w:p>
          <w:p w14:paraId="044E107C" w14:textId="3DEB1269" w:rsidR="00C31D36" w:rsidRDefault="00C31D36" w:rsidP="008A761D">
            <w:pPr>
              <w:rPr>
                <w:rFonts w:ascii="Times New Roman" w:hAnsi="Times New Roman" w:cs="Times New Roman"/>
                <w:sz w:val="24"/>
                <w:szCs w:val="24"/>
              </w:rPr>
            </w:pPr>
            <w:r w:rsidRPr="00C31D36">
              <w:rPr>
                <w:rFonts w:ascii="Times New Roman" w:hAnsi="Times New Roman" w:cs="Times New Roman"/>
                <w:sz w:val="24"/>
                <w:szCs w:val="24"/>
              </w:rPr>
              <w:t xml:space="preserve">BMI-for-age </w:t>
            </w:r>
            <w:r w:rsidR="006B178E">
              <w:rPr>
                <w:rFonts w:ascii="Times New Roman" w:hAnsi="Times New Roman" w:cs="Times New Roman"/>
                <w:sz w:val="24"/>
                <w:szCs w:val="24"/>
              </w:rPr>
              <w:t xml:space="preserve">z-score between </w:t>
            </w:r>
            <w:r w:rsidR="006B178E" w:rsidRPr="006B178E">
              <w:rPr>
                <w:rFonts w:ascii="Times New Roman" w:hAnsi="Times New Roman" w:cs="Times New Roman"/>
                <w:sz w:val="24"/>
                <w:szCs w:val="24"/>
              </w:rPr>
              <w:t>−</w:t>
            </w:r>
            <w:r w:rsidR="006B178E">
              <w:rPr>
                <w:rFonts w:ascii="Times New Roman" w:hAnsi="Times New Roman" w:cs="Times New Roman"/>
                <w:sz w:val="24"/>
                <w:szCs w:val="24"/>
              </w:rPr>
              <w:t xml:space="preserve">2 and </w:t>
            </w:r>
            <w:r w:rsidR="006B178E" w:rsidRPr="006B178E">
              <w:rPr>
                <w:rFonts w:ascii="Times New Roman" w:hAnsi="Times New Roman" w:cs="Times New Roman"/>
                <w:sz w:val="24"/>
                <w:szCs w:val="24"/>
              </w:rPr>
              <w:t>−</w:t>
            </w:r>
            <w:r w:rsidR="006B178E">
              <w:rPr>
                <w:rFonts w:ascii="Times New Roman" w:hAnsi="Times New Roman" w:cs="Times New Roman"/>
                <w:sz w:val="24"/>
                <w:szCs w:val="24"/>
              </w:rPr>
              <w:t>3</w:t>
            </w:r>
          </w:p>
          <w:p w14:paraId="0C62A8B3" w14:textId="61B2070F" w:rsidR="00B1533B" w:rsidRDefault="00C31D36" w:rsidP="008A761D">
            <w:pPr>
              <w:rPr>
                <w:rFonts w:ascii="Times New Roman" w:hAnsi="Times New Roman" w:cs="Times New Roman"/>
                <w:sz w:val="24"/>
                <w:szCs w:val="24"/>
              </w:rPr>
            </w:pPr>
            <w:r>
              <w:rPr>
                <w:rFonts w:ascii="Times New Roman" w:hAnsi="Times New Roman" w:cs="Times New Roman"/>
                <w:sz w:val="24"/>
                <w:szCs w:val="24"/>
              </w:rPr>
              <w:t>M</w:t>
            </w:r>
            <w:r w:rsidRPr="00C31D36">
              <w:rPr>
                <w:rFonts w:ascii="Times New Roman" w:hAnsi="Times New Roman" w:cs="Times New Roman"/>
                <w:sz w:val="24"/>
                <w:szCs w:val="24"/>
              </w:rPr>
              <w:t>id-upper arm circumference</w:t>
            </w:r>
            <w:r>
              <w:rPr>
                <w:rFonts w:ascii="Times New Roman" w:hAnsi="Times New Roman" w:cs="Times New Roman"/>
                <w:sz w:val="24"/>
                <w:szCs w:val="24"/>
              </w:rPr>
              <w:t xml:space="preserve"> (MUAC)</w:t>
            </w:r>
            <w:r w:rsidRPr="00C31D36">
              <w:rPr>
                <w:rFonts w:ascii="Times New Roman" w:hAnsi="Times New Roman" w:cs="Times New Roman"/>
                <w:sz w:val="24"/>
                <w:szCs w:val="24"/>
              </w:rPr>
              <w:t xml:space="preserve"> ≥115</w:t>
            </w:r>
            <w:r>
              <w:rPr>
                <w:rFonts w:ascii="Times New Roman" w:hAnsi="Times New Roman" w:cs="Times New Roman"/>
                <w:sz w:val="24"/>
                <w:szCs w:val="24"/>
              </w:rPr>
              <w:t xml:space="preserve"> </w:t>
            </w:r>
            <w:r w:rsidRPr="00C31D36">
              <w:rPr>
                <w:rFonts w:ascii="Times New Roman" w:hAnsi="Times New Roman" w:cs="Times New Roman"/>
                <w:sz w:val="24"/>
                <w:szCs w:val="24"/>
              </w:rPr>
              <w:t xml:space="preserve">mm </w:t>
            </w:r>
            <w:r>
              <w:rPr>
                <w:rFonts w:ascii="Times New Roman" w:hAnsi="Times New Roman" w:cs="Times New Roman"/>
                <w:sz w:val="24"/>
                <w:szCs w:val="24"/>
              </w:rPr>
              <w:t xml:space="preserve">to </w:t>
            </w:r>
            <w:r w:rsidRPr="00C31D36">
              <w:rPr>
                <w:rFonts w:ascii="Times New Roman" w:hAnsi="Times New Roman" w:cs="Times New Roman"/>
                <w:sz w:val="24"/>
                <w:szCs w:val="24"/>
              </w:rPr>
              <w:t>&lt;125 mm</w:t>
            </w:r>
          </w:p>
          <w:p w14:paraId="0E9367EC" w14:textId="6F254828" w:rsidR="00C31D36" w:rsidRDefault="00C31D36" w:rsidP="008A761D">
            <w:pPr>
              <w:rPr>
                <w:rFonts w:ascii="Times New Roman" w:hAnsi="Times New Roman" w:cs="Times New Roman"/>
                <w:sz w:val="24"/>
                <w:szCs w:val="24"/>
              </w:rPr>
            </w:pPr>
          </w:p>
        </w:tc>
      </w:tr>
      <w:tr w:rsidR="00B1533B" w14:paraId="6C9EDBE6" w14:textId="77777777" w:rsidTr="00645F69">
        <w:tc>
          <w:tcPr>
            <w:tcW w:w="5098" w:type="dxa"/>
            <w:shd w:val="clear" w:color="auto" w:fill="E8E8E8" w:themeFill="background2"/>
          </w:tcPr>
          <w:p w14:paraId="5C65F74C" w14:textId="77777777" w:rsidR="00B1533B" w:rsidRPr="0067675E" w:rsidRDefault="00B1533B" w:rsidP="00B1533B">
            <w:pPr>
              <w:rPr>
                <w:rFonts w:ascii="Times New Roman" w:hAnsi="Times New Roman" w:cs="Times New Roman"/>
                <w:b/>
                <w:bCs/>
                <w:sz w:val="24"/>
                <w:szCs w:val="24"/>
              </w:rPr>
            </w:pPr>
            <w:r w:rsidRPr="0067675E">
              <w:rPr>
                <w:rFonts w:ascii="Times New Roman" w:hAnsi="Times New Roman" w:cs="Times New Roman"/>
                <w:b/>
                <w:bCs/>
                <w:sz w:val="24"/>
                <w:szCs w:val="24"/>
              </w:rPr>
              <w:t>Severe acute malnutrition</w:t>
            </w:r>
          </w:p>
          <w:p w14:paraId="3C05F338" w14:textId="77777777" w:rsidR="00B1533B" w:rsidRPr="0067675E" w:rsidRDefault="00B1533B" w:rsidP="008A761D">
            <w:pPr>
              <w:rPr>
                <w:rFonts w:ascii="Times New Roman" w:hAnsi="Times New Roman" w:cs="Times New Roman"/>
                <w:b/>
                <w:bCs/>
                <w:sz w:val="24"/>
                <w:szCs w:val="24"/>
              </w:rPr>
            </w:pPr>
          </w:p>
        </w:tc>
        <w:tc>
          <w:tcPr>
            <w:tcW w:w="10290" w:type="dxa"/>
          </w:tcPr>
          <w:p w14:paraId="0F3480B3" w14:textId="228B3DEA" w:rsidR="00C31D36" w:rsidRPr="00C31D36" w:rsidRDefault="00C31D36" w:rsidP="008A761D">
            <w:pPr>
              <w:rPr>
                <w:rFonts w:ascii="Times New Roman" w:hAnsi="Times New Roman" w:cs="Times New Roman"/>
                <w:sz w:val="24"/>
                <w:szCs w:val="24"/>
              </w:rPr>
            </w:pPr>
            <w:r w:rsidRPr="00C31D36">
              <w:rPr>
                <w:rFonts w:ascii="Times New Roman" w:hAnsi="Times New Roman" w:cs="Times New Roman"/>
                <w:sz w:val="24"/>
                <w:szCs w:val="24"/>
              </w:rPr>
              <w:t>Weight-for-length/height</w:t>
            </w:r>
            <w:r>
              <w:rPr>
                <w:rFonts w:ascii="Times New Roman" w:hAnsi="Times New Roman" w:cs="Times New Roman"/>
                <w:sz w:val="24"/>
                <w:szCs w:val="24"/>
              </w:rPr>
              <w:t xml:space="preserve"> </w:t>
            </w:r>
            <w:r w:rsidR="006B178E">
              <w:rPr>
                <w:rFonts w:ascii="Times New Roman" w:hAnsi="Times New Roman" w:cs="Times New Roman"/>
                <w:sz w:val="24"/>
                <w:szCs w:val="24"/>
              </w:rPr>
              <w:t xml:space="preserve">z-score </w:t>
            </w:r>
            <w:r w:rsidR="006B178E" w:rsidRPr="00B1533B">
              <w:rPr>
                <w:rFonts w:ascii="Times New Roman" w:hAnsi="Times New Roman" w:cs="Times New Roman"/>
                <w:sz w:val="24"/>
                <w:szCs w:val="24"/>
              </w:rPr>
              <w:t>&lt;−3</w:t>
            </w:r>
          </w:p>
          <w:p w14:paraId="1BC8A164" w14:textId="04F5714B" w:rsidR="00C31D36" w:rsidRDefault="00C31D36" w:rsidP="008A761D">
            <w:pPr>
              <w:rPr>
                <w:rFonts w:ascii="Times New Roman" w:hAnsi="Times New Roman" w:cs="Times New Roman"/>
                <w:sz w:val="24"/>
                <w:szCs w:val="24"/>
              </w:rPr>
            </w:pPr>
            <w:r w:rsidRPr="00C31D36">
              <w:rPr>
                <w:rFonts w:ascii="Times New Roman" w:hAnsi="Times New Roman" w:cs="Times New Roman"/>
                <w:sz w:val="24"/>
                <w:szCs w:val="24"/>
              </w:rPr>
              <w:t xml:space="preserve">BMI-for-age </w:t>
            </w:r>
            <w:r w:rsidR="006B178E">
              <w:rPr>
                <w:rFonts w:ascii="Times New Roman" w:hAnsi="Times New Roman" w:cs="Times New Roman"/>
                <w:sz w:val="24"/>
                <w:szCs w:val="24"/>
              </w:rPr>
              <w:t xml:space="preserve">z-score </w:t>
            </w:r>
            <w:r w:rsidR="006B178E" w:rsidRPr="00B1533B">
              <w:rPr>
                <w:rFonts w:ascii="Times New Roman" w:hAnsi="Times New Roman" w:cs="Times New Roman"/>
                <w:sz w:val="24"/>
                <w:szCs w:val="24"/>
              </w:rPr>
              <w:t>&lt;−3</w:t>
            </w:r>
          </w:p>
          <w:p w14:paraId="735C84DD" w14:textId="77777777" w:rsidR="00B1533B" w:rsidRDefault="00C31D36" w:rsidP="008A761D">
            <w:pPr>
              <w:rPr>
                <w:rFonts w:ascii="Times New Roman" w:hAnsi="Times New Roman" w:cs="Times New Roman"/>
                <w:sz w:val="24"/>
                <w:szCs w:val="24"/>
              </w:rPr>
            </w:pPr>
            <w:r>
              <w:rPr>
                <w:rFonts w:ascii="Times New Roman" w:hAnsi="Times New Roman" w:cs="Times New Roman"/>
                <w:sz w:val="24"/>
                <w:szCs w:val="24"/>
              </w:rPr>
              <w:t>MUAC</w:t>
            </w:r>
            <w:r w:rsidRPr="00C31D36">
              <w:rPr>
                <w:rFonts w:ascii="Times New Roman" w:hAnsi="Times New Roman" w:cs="Times New Roman"/>
                <w:sz w:val="24"/>
                <w:szCs w:val="24"/>
              </w:rPr>
              <w:t xml:space="preserve"> &lt;115 mm</w:t>
            </w:r>
          </w:p>
          <w:p w14:paraId="4B508F86" w14:textId="0359C82B" w:rsidR="00C27CCB" w:rsidRDefault="00C27CCB" w:rsidP="008A761D">
            <w:pPr>
              <w:rPr>
                <w:rFonts w:ascii="Times New Roman" w:hAnsi="Times New Roman" w:cs="Times New Roman"/>
                <w:sz w:val="24"/>
                <w:szCs w:val="24"/>
              </w:rPr>
            </w:pPr>
          </w:p>
        </w:tc>
      </w:tr>
      <w:tr w:rsidR="00B1533B" w14:paraId="3ABDEBDD" w14:textId="77777777" w:rsidTr="00645F69">
        <w:tc>
          <w:tcPr>
            <w:tcW w:w="5098" w:type="dxa"/>
            <w:shd w:val="clear" w:color="auto" w:fill="E8E8E8" w:themeFill="background2"/>
          </w:tcPr>
          <w:p w14:paraId="656ABBE4" w14:textId="67D4CFD3" w:rsidR="00B1533B" w:rsidRPr="0067675E" w:rsidRDefault="00B1533B" w:rsidP="008A761D">
            <w:pPr>
              <w:rPr>
                <w:rFonts w:ascii="Times New Roman" w:hAnsi="Times New Roman" w:cs="Times New Roman"/>
                <w:b/>
                <w:bCs/>
                <w:sz w:val="24"/>
                <w:szCs w:val="24"/>
              </w:rPr>
            </w:pPr>
            <w:r w:rsidRPr="0067675E">
              <w:rPr>
                <w:rFonts w:ascii="Times New Roman" w:hAnsi="Times New Roman" w:cs="Times New Roman"/>
                <w:b/>
                <w:bCs/>
                <w:sz w:val="24"/>
                <w:szCs w:val="24"/>
              </w:rPr>
              <w:t>Moderate chronic malnutrition (moderately stunted)</w:t>
            </w:r>
          </w:p>
          <w:p w14:paraId="2566E6B1" w14:textId="2B9DF04A" w:rsidR="00B1533B" w:rsidRPr="0067675E" w:rsidRDefault="00B1533B" w:rsidP="008A761D">
            <w:pPr>
              <w:rPr>
                <w:rFonts w:ascii="Times New Roman" w:hAnsi="Times New Roman" w:cs="Times New Roman"/>
                <w:b/>
                <w:bCs/>
                <w:sz w:val="24"/>
                <w:szCs w:val="24"/>
              </w:rPr>
            </w:pPr>
          </w:p>
        </w:tc>
        <w:tc>
          <w:tcPr>
            <w:tcW w:w="10290" w:type="dxa"/>
          </w:tcPr>
          <w:p w14:paraId="77ACC992" w14:textId="6CB43C81" w:rsidR="00B1533B" w:rsidRDefault="00C31D36" w:rsidP="008A761D">
            <w:pPr>
              <w:rPr>
                <w:rFonts w:ascii="Times New Roman" w:hAnsi="Times New Roman" w:cs="Times New Roman"/>
                <w:sz w:val="24"/>
                <w:szCs w:val="24"/>
              </w:rPr>
            </w:pPr>
            <w:r w:rsidRPr="00C31D36">
              <w:rPr>
                <w:rFonts w:ascii="Times New Roman" w:hAnsi="Times New Roman" w:cs="Times New Roman"/>
                <w:sz w:val="24"/>
                <w:szCs w:val="24"/>
              </w:rPr>
              <w:t xml:space="preserve">Length/height-for-age </w:t>
            </w:r>
            <w:r w:rsidR="005E4F2D">
              <w:rPr>
                <w:rFonts w:ascii="Times New Roman" w:hAnsi="Times New Roman" w:cs="Times New Roman"/>
                <w:sz w:val="24"/>
                <w:szCs w:val="24"/>
              </w:rPr>
              <w:t xml:space="preserve">z-score </w:t>
            </w:r>
            <w:r w:rsidRPr="00C31D36">
              <w:rPr>
                <w:rFonts w:ascii="Times New Roman" w:hAnsi="Times New Roman" w:cs="Times New Roman"/>
                <w:sz w:val="24"/>
                <w:szCs w:val="24"/>
              </w:rPr>
              <w:t>≤−2 and ≥−3</w:t>
            </w:r>
          </w:p>
        </w:tc>
      </w:tr>
      <w:tr w:rsidR="00B1533B" w14:paraId="58C57DCC" w14:textId="77777777" w:rsidTr="00645F69">
        <w:tc>
          <w:tcPr>
            <w:tcW w:w="5098" w:type="dxa"/>
            <w:shd w:val="clear" w:color="auto" w:fill="E8E8E8" w:themeFill="background2"/>
          </w:tcPr>
          <w:p w14:paraId="088070F9" w14:textId="77777777" w:rsidR="00B1533B" w:rsidRPr="0067675E" w:rsidRDefault="00B1533B" w:rsidP="008A761D">
            <w:pPr>
              <w:rPr>
                <w:rFonts w:ascii="Times New Roman" w:hAnsi="Times New Roman" w:cs="Times New Roman"/>
                <w:b/>
                <w:bCs/>
                <w:sz w:val="24"/>
                <w:szCs w:val="24"/>
              </w:rPr>
            </w:pPr>
            <w:r w:rsidRPr="0067675E">
              <w:rPr>
                <w:rFonts w:ascii="Times New Roman" w:hAnsi="Times New Roman" w:cs="Times New Roman"/>
                <w:b/>
                <w:bCs/>
                <w:sz w:val="24"/>
                <w:szCs w:val="24"/>
              </w:rPr>
              <w:t>Severe chronic malnutrition (severely stunted)</w:t>
            </w:r>
          </w:p>
          <w:p w14:paraId="230E40A6" w14:textId="508AA4F7" w:rsidR="00B1533B" w:rsidRPr="0067675E" w:rsidRDefault="00B1533B" w:rsidP="008A761D">
            <w:pPr>
              <w:rPr>
                <w:rFonts w:ascii="Times New Roman" w:hAnsi="Times New Roman" w:cs="Times New Roman"/>
                <w:b/>
                <w:bCs/>
                <w:sz w:val="24"/>
                <w:szCs w:val="24"/>
              </w:rPr>
            </w:pPr>
          </w:p>
        </w:tc>
        <w:tc>
          <w:tcPr>
            <w:tcW w:w="10290" w:type="dxa"/>
          </w:tcPr>
          <w:p w14:paraId="74D2DF17" w14:textId="79032245" w:rsidR="00B1533B" w:rsidRDefault="00C31D36" w:rsidP="008A761D">
            <w:pPr>
              <w:rPr>
                <w:rFonts w:ascii="Times New Roman" w:hAnsi="Times New Roman" w:cs="Times New Roman"/>
                <w:sz w:val="24"/>
                <w:szCs w:val="24"/>
              </w:rPr>
            </w:pPr>
            <w:r w:rsidRPr="00C31D36">
              <w:rPr>
                <w:rFonts w:ascii="Times New Roman" w:hAnsi="Times New Roman" w:cs="Times New Roman"/>
                <w:sz w:val="24"/>
                <w:szCs w:val="24"/>
              </w:rPr>
              <w:t>Length/height-for-age</w:t>
            </w:r>
            <w:r>
              <w:rPr>
                <w:rFonts w:ascii="Times New Roman" w:hAnsi="Times New Roman" w:cs="Times New Roman"/>
                <w:sz w:val="24"/>
                <w:szCs w:val="24"/>
              </w:rPr>
              <w:t xml:space="preserve"> </w:t>
            </w:r>
            <w:r w:rsidR="006B178E">
              <w:rPr>
                <w:rFonts w:ascii="Times New Roman" w:hAnsi="Times New Roman" w:cs="Times New Roman"/>
                <w:sz w:val="24"/>
                <w:szCs w:val="24"/>
              </w:rPr>
              <w:t xml:space="preserve">z-score </w:t>
            </w:r>
            <w:r w:rsidR="006B178E" w:rsidRPr="00B1533B">
              <w:rPr>
                <w:rFonts w:ascii="Times New Roman" w:hAnsi="Times New Roman" w:cs="Times New Roman"/>
                <w:sz w:val="24"/>
                <w:szCs w:val="24"/>
              </w:rPr>
              <w:t>&lt;−3</w:t>
            </w:r>
          </w:p>
        </w:tc>
      </w:tr>
      <w:tr w:rsidR="00B1533B" w14:paraId="47CE1F97" w14:textId="77777777" w:rsidTr="00645F69">
        <w:tc>
          <w:tcPr>
            <w:tcW w:w="5098" w:type="dxa"/>
            <w:shd w:val="clear" w:color="auto" w:fill="E8E8E8" w:themeFill="background2"/>
          </w:tcPr>
          <w:p w14:paraId="3CC0392C" w14:textId="77777777" w:rsidR="00B1533B" w:rsidRPr="0067675E" w:rsidRDefault="00B1533B" w:rsidP="008A761D">
            <w:pPr>
              <w:rPr>
                <w:rFonts w:ascii="Times New Roman" w:hAnsi="Times New Roman" w:cs="Times New Roman"/>
                <w:b/>
                <w:bCs/>
                <w:sz w:val="24"/>
                <w:szCs w:val="24"/>
              </w:rPr>
            </w:pPr>
            <w:r w:rsidRPr="0067675E">
              <w:rPr>
                <w:rFonts w:ascii="Times New Roman" w:hAnsi="Times New Roman" w:cs="Times New Roman"/>
                <w:b/>
                <w:bCs/>
                <w:sz w:val="24"/>
                <w:szCs w:val="24"/>
              </w:rPr>
              <w:t>Moderately wasted</w:t>
            </w:r>
          </w:p>
          <w:p w14:paraId="2B77F279" w14:textId="1A8EE4C6" w:rsidR="00B1533B" w:rsidRPr="0067675E" w:rsidRDefault="00B1533B" w:rsidP="008A761D">
            <w:pPr>
              <w:rPr>
                <w:rFonts w:ascii="Times New Roman" w:hAnsi="Times New Roman" w:cs="Times New Roman"/>
                <w:b/>
                <w:bCs/>
                <w:sz w:val="24"/>
                <w:szCs w:val="24"/>
              </w:rPr>
            </w:pPr>
          </w:p>
        </w:tc>
        <w:tc>
          <w:tcPr>
            <w:tcW w:w="10290" w:type="dxa"/>
          </w:tcPr>
          <w:p w14:paraId="339DCCFF" w14:textId="5EA905CF" w:rsidR="00B1533B" w:rsidRDefault="00C31D36" w:rsidP="008A761D">
            <w:pPr>
              <w:rPr>
                <w:rFonts w:ascii="Times New Roman" w:hAnsi="Times New Roman" w:cs="Times New Roman"/>
                <w:sz w:val="24"/>
                <w:szCs w:val="24"/>
              </w:rPr>
            </w:pPr>
            <w:r w:rsidRPr="00C31D36">
              <w:rPr>
                <w:rFonts w:ascii="Times New Roman" w:hAnsi="Times New Roman" w:cs="Times New Roman"/>
                <w:sz w:val="24"/>
                <w:szCs w:val="24"/>
              </w:rPr>
              <w:t xml:space="preserve">Weight-for-length/height </w:t>
            </w:r>
            <w:r w:rsidR="005E4F2D">
              <w:rPr>
                <w:rFonts w:ascii="Times New Roman" w:hAnsi="Times New Roman" w:cs="Times New Roman"/>
                <w:sz w:val="24"/>
                <w:szCs w:val="24"/>
              </w:rPr>
              <w:t xml:space="preserve">z-score </w:t>
            </w:r>
            <w:r w:rsidRPr="00C31D36">
              <w:rPr>
                <w:rFonts w:ascii="Times New Roman" w:hAnsi="Times New Roman" w:cs="Times New Roman"/>
                <w:sz w:val="24"/>
                <w:szCs w:val="24"/>
              </w:rPr>
              <w:t xml:space="preserve">≤−2 and ≥−3 </w:t>
            </w:r>
          </w:p>
        </w:tc>
      </w:tr>
      <w:tr w:rsidR="00B1533B" w14:paraId="1CCFB472" w14:textId="77777777" w:rsidTr="00645F69">
        <w:tc>
          <w:tcPr>
            <w:tcW w:w="5098" w:type="dxa"/>
            <w:shd w:val="clear" w:color="auto" w:fill="E8E8E8" w:themeFill="background2"/>
          </w:tcPr>
          <w:p w14:paraId="3CF48F8A" w14:textId="77777777" w:rsidR="00B1533B" w:rsidRPr="0067675E" w:rsidRDefault="00B1533B" w:rsidP="008A761D">
            <w:pPr>
              <w:rPr>
                <w:rFonts w:ascii="Times New Roman" w:hAnsi="Times New Roman" w:cs="Times New Roman"/>
                <w:b/>
                <w:bCs/>
                <w:sz w:val="24"/>
                <w:szCs w:val="24"/>
              </w:rPr>
            </w:pPr>
            <w:r w:rsidRPr="0067675E">
              <w:rPr>
                <w:rFonts w:ascii="Times New Roman" w:hAnsi="Times New Roman" w:cs="Times New Roman"/>
                <w:b/>
                <w:bCs/>
                <w:sz w:val="24"/>
                <w:szCs w:val="24"/>
              </w:rPr>
              <w:t>Severely wasted</w:t>
            </w:r>
          </w:p>
          <w:p w14:paraId="2F92D3FA" w14:textId="316866F2" w:rsidR="00B1533B" w:rsidRPr="0067675E" w:rsidRDefault="00B1533B" w:rsidP="008A761D">
            <w:pPr>
              <w:rPr>
                <w:rFonts w:ascii="Times New Roman" w:hAnsi="Times New Roman" w:cs="Times New Roman"/>
                <w:b/>
                <w:bCs/>
                <w:sz w:val="24"/>
                <w:szCs w:val="24"/>
              </w:rPr>
            </w:pPr>
          </w:p>
        </w:tc>
        <w:tc>
          <w:tcPr>
            <w:tcW w:w="10290" w:type="dxa"/>
          </w:tcPr>
          <w:p w14:paraId="2EDAD951" w14:textId="671D30AE" w:rsidR="00B1533B" w:rsidRDefault="00C31D36" w:rsidP="008A761D">
            <w:pPr>
              <w:rPr>
                <w:rFonts w:ascii="Times New Roman" w:hAnsi="Times New Roman" w:cs="Times New Roman"/>
                <w:sz w:val="24"/>
                <w:szCs w:val="24"/>
              </w:rPr>
            </w:pPr>
            <w:r w:rsidRPr="00C31D36">
              <w:rPr>
                <w:rFonts w:ascii="Times New Roman" w:hAnsi="Times New Roman" w:cs="Times New Roman"/>
                <w:sz w:val="24"/>
                <w:szCs w:val="24"/>
              </w:rPr>
              <w:t xml:space="preserve">Weight-for-length/height </w:t>
            </w:r>
            <w:r w:rsidR="006B178E">
              <w:rPr>
                <w:rFonts w:ascii="Times New Roman" w:hAnsi="Times New Roman" w:cs="Times New Roman"/>
                <w:sz w:val="24"/>
                <w:szCs w:val="24"/>
              </w:rPr>
              <w:t xml:space="preserve">z-score </w:t>
            </w:r>
            <w:r w:rsidR="006B178E" w:rsidRPr="00B1533B">
              <w:rPr>
                <w:rFonts w:ascii="Times New Roman" w:hAnsi="Times New Roman" w:cs="Times New Roman"/>
                <w:sz w:val="24"/>
                <w:szCs w:val="24"/>
              </w:rPr>
              <w:t>&lt;−3</w:t>
            </w:r>
          </w:p>
        </w:tc>
      </w:tr>
    </w:tbl>
    <w:p w14:paraId="4D1D8E76" w14:textId="77777777" w:rsidR="00042B44" w:rsidRDefault="00042B44" w:rsidP="008A761D">
      <w:pPr>
        <w:spacing w:after="0" w:line="240" w:lineRule="auto"/>
        <w:rPr>
          <w:rFonts w:ascii="Times New Roman" w:hAnsi="Times New Roman" w:cs="Times New Roman"/>
          <w:sz w:val="24"/>
          <w:szCs w:val="24"/>
        </w:rPr>
      </w:pPr>
    </w:p>
    <w:p w14:paraId="4E1577A0" w14:textId="77777777" w:rsidR="00B1533B" w:rsidRDefault="00B1533B" w:rsidP="008A761D">
      <w:pPr>
        <w:spacing w:after="0" w:line="240" w:lineRule="auto"/>
        <w:rPr>
          <w:rFonts w:ascii="Times New Roman" w:hAnsi="Times New Roman" w:cs="Times New Roman"/>
          <w:sz w:val="24"/>
          <w:szCs w:val="24"/>
        </w:rPr>
      </w:pPr>
    </w:p>
    <w:p w14:paraId="50AA32B2" w14:textId="638CBD85" w:rsidR="00042B44" w:rsidRPr="0099578F" w:rsidRDefault="00042B44" w:rsidP="008A761D">
      <w:pPr>
        <w:spacing w:after="0" w:line="240" w:lineRule="auto"/>
        <w:rPr>
          <w:rFonts w:ascii="Times New Roman" w:hAnsi="Times New Roman" w:cs="Times New Roman"/>
          <w:sz w:val="24"/>
          <w:szCs w:val="24"/>
        </w:rPr>
      </w:pPr>
    </w:p>
    <w:sectPr w:rsidR="00042B44" w:rsidRPr="0099578F" w:rsidSect="00C52F6A">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1245" w14:textId="77777777" w:rsidR="00D64430" w:rsidRDefault="00D64430" w:rsidP="00432F95">
      <w:pPr>
        <w:spacing w:after="0" w:line="240" w:lineRule="auto"/>
      </w:pPr>
      <w:r>
        <w:separator/>
      </w:r>
    </w:p>
  </w:endnote>
  <w:endnote w:type="continuationSeparator" w:id="0">
    <w:p w14:paraId="56A77194" w14:textId="77777777" w:rsidR="00D64430" w:rsidRDefault="00D64430" w:rsidP="0043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730701"/>
      <w:docPartObj>
        <w:docPartGallery w:val="Page Numbers (Bottom of Page)"/>
        <w:docPartUnique/>
      </w:docPartObj>
    </w:sdtPr>
    <w:sdtEndPr>
      <w:rPr>
        <w:noProof/>
        <w:sz w:val="16"/>
        <w:szCs w:val="16"/>
      </w:rPr>
    </w:sdtEndPr>
    <w:sdtContent>
      <w:p w14:paraId="67005E81" w14:textId="06C627C0" w:rsidR="00432F95" w:rsidRPr="00432F95" w:rsidRDefault="00432F95">
        <w:pPr>
          <w:pStyle w:val="Footer"/>
          <w:jc w:val="right"/>
          <w:rPr>
            <w:sz w:val="16"/>
            <w:szCs w:val="16"/>
          </w:rPr>
        </w:pPr>
        <w:r w:rsidRPr="00432F95">
          <w:rPr>
            <w:sz w:val="16"/>
            <w:szCs w:val="16"/>
          </w:rPr>
          <w:fldChar w:fldCharType="begin"/>
        </w:r>
        <w:r w:rsidRPr="00432F95">
          <w:rPr>
            <w:sz w:val="16"/>
            <w:szCs w:val="16"/>
          </w:rPr>
          <w:instrText xml:space="preserve"> PAGE   \* MERGEFORMAT </w:instrText>
        </w:r>
        <w:r w:rsidRPr="00432F95">
          <w:rPr>
            <w:sz w:val="16"/>
            <w:szCs w:val="16"/>
          </w:rPr>
          <w:fldChar w:fldCharType="separate"/>
        </w:r>
        <w:r w:rsidRPr="00432F95">
          <w:rPr>
            <w:noProof/>
            <w:sz w:val="16"/>
            <w:szCs w:val="16"/>
          </w:rPr>
          <w:t>2</w:t>
        </w:r>
        <w:r w:rsidRPr="00432F95">
          <w:rPr>
            <w:noProof/>
            <w:sz w:val="16"/>
            <w:szCs w:val="16"/>
          </w:rPr>
          <w:fldChar w:fldCharType="end"/>
        </w:r>
      </w:p>
    </w:sdtContent>
  </w:sdt>
  <w:p w14:paraId="48E93CDE" w14:textId="77777777" w:rsidR="00432F95" w:rsidRDefault="0043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445F" w14:textId="77777777" w:rsidR="00D64430" w:rsidRDefault="00D64430" w:rsidP="00432F95">
      <w:pPr>
        <w:spacing w:after="0" w:line="240" w:lineRule="auto"/>
      </w:pPr>
      <w:r>
        <w:separator/>
      </w:r>
    </w:p>
  </w:footnote>
  <w:footnote w:type="continuationSeparator" w:id="0">
    <w:p w14:paraId="7F32774A" w14:textId="77777777" w:rsidR="00D64430" w:rsidRDefault="00D64430" w:rsidP="00432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68"/>
    <w:rsid w:val="00021CA2"/>
    <w:rsid w:val="00042B44"/>
    <w:rsid w:val="00083742"/>
    <w:rsid w:val="000A26CE"/>
    <w:rsid w:val="000A6F18"/>
    <w:rsid w:val="00103E9A"/>
    <w:rsid w:val="00117C6D"/>
    <w:rsid w:val="001352C9"/>
    <w:rsid w:val="00152E13"/>
    <w:rsid w:val="00175CC1"/>
    <w:rsid w:val="001C53AC"/>
    <w:rsid w:val="001D3169"/>
    <w:rsid w:val="001E0A9E"/>
    <w:rsid w:val="002132A3"/>
    <w:rsid w:val="002146B0"/>
    <w:rsid w:val="00223BD8"/>
    <w:rsid w:val="002A12D5"/>
    <w:rsid w:val="0033387B"/>
    <w:rsid w:val="00380C5E"/>
    <w:rsid w:val="00383371"/>
    <w:rsid w:val="00384374"/>
    <w:rsid w:val="003960E1"/>
    <w:rsid w:val="003E3EB1"/>
    <w:rsid w:val="00416F18"/>
    <w:rsid w:val="00425AF1"/>
    <w:rsid w:val="00432F95"/>
    <w:rsid w:val="00446C8F"/>
    <w:rsid w:val="00447921"/>
    <w:rsid w:val="00453BD8"/>
    <w:rsid w:val="00491552"/>
    <w:rsid w:val="004B3FB5"/>
    <w:rsid w:val="004E7E25"/>
    <w:rsid w:val="0055545C"/>
    <w:rsid w:val="005A0013"/>
    <w:rsid w:val="005C5990"/>
    <w:rsid w:val="005E13FC"/>
    <w:rsid w:val="005E4F2D"/>
    <w:rsid w:val="005F20AF"/>
    <w:rsid w:val="005F4CFC"/>
    <w:rsid w:val="006247C4"/>
    <w:rsid w:val="0062597D"/>
    <w:rsid w:val="00645F69"/>
    <w:rsid w:val="00645F70"/>
    <w:rsid w:val="006741F9"/>
    <w:rsid w:val="0067675E"/>
    <w:rsid w:val="006A2CE9"/>
    <w:rsid w:val="006B178E"/>
    <w:rsid w:val="006D6673"/>
    <w:rsid w:val="006F4299"/>
    <w:rsid w:val="007249E2"/>
    <w:rsid w:val="00796350"/>
    <w:rsid w:val="0079680C"/>
    <w:rsid w:val="007C3998"/>
    <w:rsid w:val="00804A5D"/>
    <w:rsid w:val="008150C8"/>
    <w:rsid w:val="0081635C"/>
    <w:rsid w:val="008668ED"/>
    <w:rsid w:val="00883673"/>
    <w:rsid w:val="0089211E"/>
    <w:rsid w:val="00895368"/>
    <w:rsid w:val="008A761D"/>
    <w:rsid w:val="008B61E7"/>
    <w:rsid w:val="008F0D54"/>
    <w:rsid w:val="00923726"/>
    <w:rsid w:val="00932400"/>
    <w:rsid w:val="00934E6D"/>
    <w:rsid w:val="009437BF"/>
    <w:rsid w:val="00946296"/>
    <w:rsid w:val="00956134"/>
    <w:rsid w:val="0099578F"/>
    <w:rsid w:val="009B5D49"/>
    <w:rsid w:val="009C317D"/>
    <w:rsid w:val="009F4FBA"/>
    <w:rsid w:val="00A73480"/>
    <w:rsid w:val="00A9694A"/>
    <w:rsid w:val="00AA1EE4"/>
    <w:rsid w:val="00AC536F"/>
    <w:rsid w:val="00B1533B"/>
    <w:rsid w:val="00B25AA6"/>
    <w:rsid w:val="00B46AAB"/>
    <w:rsid w:val="00B6487C"/>
    <w:rsid w:val="00B77EDC"/>
    <w:rsid w:val="00B84AE0"/>
    <w:rsid w:val="00B96A23"/>
    <w:rsid w:val="00BE1CAE"/>
    <w:rsid w:val="00BF6168"/>
    <w:rsid w:val="00C0483C"/>
    <w:rsid w:val="00C27CCB"/>
    <w:rsid w:val="00C31D36"/>
    <w:rsid w:val="00C40447"/>
    <w:rsid w:val="00C52F6A"/>
    <w:rsid w:val="00C67B91"/>
    <w:rsid w:val="00C853DF"/>
    <w:rsid w:val="00C86733"/>
    <w:rsid w:val="00D27795"/>
    <w:rsid w:val="00D353F8"/>
    <w:rsid w:val="00D3782F"/>
    <w:rsid w:val="00D5194F"/>
    <w:rsid w:val="00D617FD"/>
    <w:rsid w:val="00D64430"/>
    <w:rsid w:val="00D73FED"/>
    <w:rsid w:val="00D74A29"/>
    <w:rsid w:val="00DD3A5C"/>
    <w:rsid w:val="00DF7ECB"/>
    <w:rsid w:val="00E05624"/>
    <w:rsid w:val="00E25D45"/>
    <w:rsid w:val="00ED13C9"/>
    <w:rsid w:val="00ED2096"/>
    <w:rsid w:val="00EE7B09"/>
    <w:rsid w:val="00F13E54"/>
    <w:rsid w:val="00F276AA"/>
    <w:rsid w:val="00F417CE"/>
    <w:rsid w:val="00F6439D"/>
    <w:rsid w:val="00F67AD1"/>
    <w:rsid w:val="00F743D7"/>
    <w:rsid w:val="00FA133C"/>
    <w:rsid w:val="00FB4653"/>
    <w:rsid w:val="00FC1888"/>
    <w:rsid w:val="00FF4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61B9"/>
  <w15:chartTrackingRefBased/>
  <w15:docId w15:val="{68F8A6E4-B7E4-43F4-B73B-B1BC633E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168"/>
    <w:rPr>
      <w:rFonts w:eastAsiaTheme="majorEastAsia" w:cstheme="majorBidi"/>
      <w:color w:val="272727" w:themeColor="text1" w:themeTint="D8"/>
    </w:rPr>
  </w:style>
  <w:style w:type="paragraph" w:styleId="Title">
    <w:name w:val="Title"/>
    <w:basedOn w:val="Normal"/>
    <w:next w:val="Normal"/>
    <w:link w:val="TitleChar"/>
    <w:uiPriority w:val="10"/>
    <w:qFormat/>
    <w:rsid w:val="00BF6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168"/>
    <w:pPr>
      <w:spacing w:before="160"/>
      <w:jc w:val="center"/>
    </w:pPr>
    <w:rPr>
      <w:i/>
      <w:iCs/>
      <w:color w:val="404040" w:themeColor="text1" w:themeTint="BF"/>
    </w:rPr>
  </w:style>
  <w:style w:type="character" w:customStyle="1" w:styleId="QuoteChar">
    <w:name w:val="Quote Char"/>
    <w:basedOn w:val="DefaultParagraphFont"/>
    <w:link w:val="Quote"/>
    <w:uiPriority w:val="29"/>
    <w:rsid w:val="00BF6168"/>
    <w:rPr>
      <w:i/>
      <w:iCs/>
      <w:color w:val="404040" w:themeColor="text1" w:themeTint="BF"/>
    </w:rPr>
  </w:style>
  <w:style w:type="paragraph" w:styleId="ListParagraph">
    <w:name w:val="List Paragraph"/>
    <w:basedOn w:val="Normal"/>
    <w:uiPriority w:val="34"/>
    <w:qFormat/>
    <w:rsid w:val="00BF6168"/>
    <w:pPr>
      <w:ind w:left="720"/>
      <w:contextualSpacing/>
    </w:pPr>
  </w:style>
  <w:style w:type="character" w:styleId="IntenseEmphasis">
    <w:name w:val="Intense Emphasis"/>
    <w:basedOn w:val="DefaultParagraphFont"/>
    <w:uiPriority w:val="21"/>
    <w:qFormat/>
    <w:rsid w:val="00BF6168"/>
    <w:rPr>
      <w:i/>
      <w:iCs/>
      <w:color w:val="0F4761" w:themeColor="accent1" w:themeShade="BF"/>
    </w:rPr>
  </w:style>
  <w:style w:type="paragraph" w:styleId="IntenseQuote">
    <w:name w:val="Intense Quote"/>
    <w:basedOn w:val="Normal"/>
    <w:next w:val="Normal"/>
    <w:link w:val="IntenseQuoteChar"/>
    <w:uiPriority w:val="30"/>
    <w:qFormat/>
    <w:rsid w:val="00BF6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168"/>
    <w:rPr>
      <w:i/>
      <w:iCs/>
      <w:color w:val="0F4761" w:themeColor="accent1" w:themeShade="BF"/>
    </w:rPr>
  </w:style>
  <w:style w:type="character" w:styleId="IntenseReference">
    <w:name w:val="Intense Reference"/>
    <w:basedOn w:val="DefaultParagraphFont"/>
    <w:uiPriority w:val="32"/>
    <w:qFormat/>
    <w:rsid w:val="00BF6168"/>
    <w:rPr>
      <w:b/>
      <w:bCs/>
      <w:smallCaps/>
      <w:color w:val="0F4761" w:themeColor="accent1" w:themeShade="BF"/>
      <w:spacing w:val="5"/>
    </w:rPr>
  </w:style>
  <w:style w:type="table" w:styleId="TableGrid">
    <w:name w:val="Table Grid"/>
    <w:basedOn w:val="TableNormal"/>
    <w:uiPriority w:val="39"/>
    <w:rsid w:val="00BF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BF616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BF61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uthorList">
    <w:name w:val="Author List"/>
    <w:aliases w:val="Keywords,Abstract"/>
    <w:basedOn w:val="Subtitle"/>
    <w:next w:val="Normal"/>
    <w:uiPriority w:val="1"/>
    <w:qFormat/>
    <w:rsid w:val="0099578F"/>
    <w:pPr>
      <w:numPr>
        <w:ilvl w:val="0"/>
      </w:numPr>
      <w:spacing w:before="240" w:after="240" w:line="240" w:lineRule="auto"/>
    </w:pPr>
    <w:rPr>
      <w:rFonts w:ascii="Times New Roman" w:eastAsiaTheme="minorHAnsi" w:hAnsi="Times New Roman" w:cs="Times New Roman"/>
      <w:b/>
      <w:color w:val="auto"/>
      <w:spacing w:val="0"/>
      <w:kern w:val="0"/>
      <w:sz w:val="24"/>
      <w:szCs w:val="24"/>
      <w:lang w:val="en-US"/>
      <w14:ligatures w14:val="none"/>
    </w:rPr>
  </w:style>
  <w:style w:type="character" w:styleId="Hyperlink">
    <w:name w:val="Hyperlink"/>
    <w:basedOn w:val="DefaultParagraphFont"/>
    <w:uiPriority w:val="99"/>
    <w:unhideWhenUsed/>
    <w:rsid w:val="00021CA2"/>
    <w:rPr>
      <w:color w:val="467886" w:themeColor="hyperlink"/>
      <w:u w:val="single"/>
    </w:rPr>
  </w:style>
  <w:style w:type="paragraph" w:customStyle="1" w:styleId="Default">
    <w:name w:val="Default"/>
    <w:rsid w:val="00021CA2"/>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021CA2"/>
    <w:rPr>
      <w:color w:val="96607D" w:themeColor="followedHyperlink"/>
      <w:u w:val="single"/>
    </w:rPr>
  </w:style>
  <w:style w:type="paragraph" w:styleId="Header">
    <w:name w:val="header"/>
    <w:basedOn w:val="Normal"/>
    <w:link w:val="HeaderChar"/>
    <w:uiPriority w:val="99"/>
    <w:unhideWhenUsed/>
    <w:rsid w:val="00432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F95"/>
  </w:style>
  <w:style w:type="paragraph" w:styleId="Footer">
    <w:name w:val="footer"/>
    <w:basedOn w:val="Normal"/>
    <w:link w:val="FooterChar"/>
    <w:uiPriority w:val="99"/>
    <w:unhideWhenUsed/>
    <w:rsid w:val="00432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F95"/>
  </w:style>
  <w:style w:type="character" w:styleId="UnresolvedMention">
    <w:name w:val="Unresolved Mention"/>
    <w:basedOn w:val="DefaultParagraphFont"/>
    <w:uiPriority w:val="99"/>
    <w:semiHidden/>
    <w:unhideWhenUsed/>
    <w:rsid w:val="007C3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36299">
      <w:bodyDiv w:val="1"/>
      <w:marLeft w:val="0"/>
      <w:marRight w:val="0"/>
      <w:marTop w:val="0"/>
      <w:marBottom w:val="0"/>
      <w:divBdr>
        <w:top w:val="none" w:sz="0" w:space="0" w:color="auto"/>
        <w:left w:val="none" w:sz="0" w:space="0" w:color="auto"/>
        <w:bottom w:val="none" w:sz="0" w:space="0" w:color="auto"/>
        <w:right w:val="none" w:sz="0" w:space="0" w:color="auto"/>
      </w:divBdr>
    </w:div>
    <w:div w:id="1105422030">
      <w:bodyDiv w:val="1"/>
      <w:marLeft w:val="0"/>
      <w:marRight w:val="0"/>
      <w:marTop w:val="0"/>
      <w:marBottom w:val="0"/>
      <w:divBdr>
        <w:top w:val="none" w:sz="0" w:space="0" w:color="auto"/>
        <w:left w:val="none" w:sz="0" w:space="0" w:color="auto"/>
        <w:bottom w:val="none" w:sz="0" w:space="0" w:color="auto"/>
        <w:right w:val="none" w:sz="0" w:space="0" w:color="auto"/>
      </w:divBdr>
    </w:div>
    <w:div w:id="1112821928">
      <w:bodyDiv w:val="1"/>
      <w:marLeft w:val="0"/>
      <w:marRight w:val="0"/>
      <w:marTop w:val="0"/>
      <w:marBottom w:val="0"/>
      <w:divBdr>
        <w:top w:val="none" w:sz="0" w:space="0" w:color="auto"/>
        <w:left w:val="none" w:sz="0" w:space="0" w:color="auto"/>
        <w:bottom w:val="none" w:sz="0" w:space="0" w:color="auto"/>
        <w:right w:val="none" w:sz="0" w:space="0" w:color="auto"/>
      </w:divBdr>
    </w:div>
    <w:div w:id="1214537968">
      <w:bodyDiv w:val="1"/>
      <w:marLeft w:val="0"/>
      <w:marRight w:val="0"/>
      <w:marTop w:val="0"/>
      <w:marBottom w:val="0"/>
      <w:divBdr>
        <w:top w:val="none" w:sz="0" w:space="0" w:color="auto"/>
        <w:left w:val="none" w:sz="0" w:space="0" w:color="auto"/>
        <w:bottom w:val="none" w:sz="0" w:space="0" w:color="auto"/>
        <w:right w:val="none" w:sz="0" w:space="0" w:color="auto"/>
      </w:divBdr>
    </w:div>
    <w:div w:id="19741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3995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InizioEvoke</dc:creator>
  <cp:keywords/>
  <dc:description/>
  <cp:lastModifiedBy>Oliveros, Elena</cp:lastModifiedBy>
  <cp:revision>3</cp:revision>
  <dcterms:created xsi:type="dcterms:W3CDTF">2025-01-30T16:25:00Z</dcterms:created>
  <dcterms:modified xsi:type="dcterms:W3CDTF">2025-01-30T16:25:00Z</dcterms:modified>
</cp:coreProperties>
</file>