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11EC8DA1" w14:textId="4EE71196" w:rsidR="00994A3D" w:rsidRPr="001549D3" w:rsidRDefault="003718F3" w:rsidP="00994A3D">
      <w:pPr>
        <w:keepNext/>
        <w:jc w:val="center"/>
        <w:rPr>
          <w:rFonts w:cs="Times New Roman"/>
          <w:szCs w:val="24"/>
        </w:rPr>
      </w:pPr>
      <w:r>
        <w:rPr>
          <w:b/>
          <w:noProof/>
          <w:lang w:val="en-GB" w:eastAsia="en-GB"/>
        </w:rPr>
        <w:drawing>
          <wp:inline distT="0" distB="0" distL="0" distR="0" wp14:anchorId="77CE8E1C" wp14:editId="0782D1FF">
            <wp:extent cx="4391025" cy="6224242"/>
            <wp:effectExtent l="0" t="0" r="0" b="571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137" cy="623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EF881" w14:textId="79F04F83" w:rsidR="003718F3" w:rsidRPr="003718F3" w:rsidRDefault="00994A3D" w:rsidP="00BE1712">
      <w:pPr>
        <w:keepNext/>
        <w:jc w:val="both"/>
        <w:rPr>
          <w:rFonts w:cs="Times New Roman"/>
          <w:b/>
          <w:szCs w:val="24"/>
          <w:lang w:val="en-GB"/>
        </w:rPr>
      </w:pPr>
      <w:r w:rsidRPr="0001436A">
        <w:rPr>
          <w:rFonts w:cs="Times New Roman"/>
          <w:b/>
          <w:szCs w:val="24"/>
        </w:rPr>
        <w:t>Supplementary Figure</w:t>
      </w:r>
      <w:r w:rsidR="00136D58">
        <w:rPr>
          <w:rFonts w:cs="Times New Roman"/>
          <w:b/>
          <w:szCs w:val="24"/>
        </w:rPr>
        <w:t xml:space="preserve"> 1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3718F3" w:rsidRPr="003718F3">
        <w:rPr>
          <w:rFonts w:cs="Times New Roman"/>
          <w:b/>
          <w:szCs w:val="24"/>
          <w:lang w:val="en-GB"/>
        </w:rPr>
        <w:t xml:space="preserve">Representative histograms of untreated and iron-treated NK cells. </w:t>
      </w:r>
      <w:r w:rsidR="003718F3" w:rsidRPr="003718F3">
        <w:rPr>
          <w:rFonts w:cs="Times New Roman"/>
          <w:bCs/>
          <w:szCs w:val="24"/>
          <w:lang w:val="en-GB"/>
        </w:rPr>
        <w:t>C57BL/6 mice were infected with 40,000 SFFU of FV for 7 days and bone marrow cells were harvested. Single cell suspensions were treated with</w:t>
      </w:r>
      <w:r w:rsidR="00080400">
        <w:rPr>
          <w:rFonts w:cs="Times New Roman"/>
          <w:bCs/>
          <w:szCs w:val="24"/>
          <w:lang w:val="en-GB"/>
        </w:rPr>
        <w:t xml:space="preserve"> (shown in red)</w:t>
      </w:r>
      <w:r w:rsidR="003718F3" w:rsidRPr="003718F3">
        <w:rPr>
          <w:rFonts w:cs="Times New Roman"/>
          <w:bCs/>
          <w:szCs w:val="24"/>
          <w:lang w:val="en-GB"/>
        </w:rPr>
        <w:t xml:space="preserve"> or without </w:t>
      </w:r>
      <w:r w:rsidR="00080400">
        <w:rPr>
          <w:rFonts w:cs="Times New Roman"/>
          <w:bCs/>
          <w:szCs w:val="24"/>
          <w:lang w:val="en-GB"/>
        </w:rPr>
        <w:t xml:space="preserve">(shown in blue) </w:t>
      </w:r>
      <w:r w:rsidR="003718F3" w:rsidRPr="00EA4B94">
        <w:rPr>
          <w:rFonts w:cs="Times New Roman"/>
          <w:bCs/>
          <w:szCs w:val="24"/>
          <w:lang w:val="en-GB"/>
        </w:rPr>
        <w:t>FeSO</w:t>
      </w:r>
      <w:r w:rsidR="003718F3" w:rsidRPr="00EA4B94">
        <w:rPr>
          <w:rFonts w:cs="Times New Roman"/>
          <w:bCs/>
          <w:szCs w:val="24"/>
          <w:vertAlign w:val="subscript"/>
          <w:lang w:val="en-GB"/>
        </w:rPr>
        <w:t>4</w:t>
      </w:r>
      <w:r w:rsidR="003718F3" w:rsidRPr="003718F3">
        <w:rPr>
          <w:rFonts w:cs="Times New Roman"/>
          <w:bCs/>
          <w:szCs w:val="24"/>
          <w:lang w:val="en-GB"/>
        </w:rPr>
        <w:t xml:space="preserve"> (200 µM) for 18 hours. Flow cytometry </w:t>
      </w:r>
      <w:proofErr w:type="spellStart"/>
      <w:r w:rsidR="003718F3" w:rsidRPr="003718F3">
        <w:rPr>
          <w:rFonts w:cs="Times New Roman"/>
          <w:bCs/>
          <w:szCs w:val="24"/>
          <w:lang w:val="en-GB"/>
        </w:rPr>
        <w:t>stainings</w:t>
      </w:r>
      <w:proofErr w:type="spellEnd"/>
      <w:r w:rsidR="003718F3" w:rsidRPr="003718F3">
        <w:rPr>
          <w:rFonts w:cs="Times New Roman"/>
          <w:bCs/>
          <w:szCs w:val="24"/>
          <w:lang w:val="en-GB"/>
        </w:rPr>
        <w:t xml:space="preserve"> were performed and analysed at BD Canto II.</w:t>
      </w:r>
    </w:p>
    <w:p w14:paraId="58F1AED1" w14:textId="67EFF82E" w:rsidR="00136D58" w:rsidRDefault="00136D58">
      <w:pPr>
        <w:spacing w:before="0" w:after="200" w:line="276" w:lineRule="auto"/>
      </w:pPr>
      <w:r>
        <w:br w:type="page"/>
      </w:r>
    </w:p>
    <w:p w14:paraId="7C10E409" w14:textId="35E0FA1C" w:rsidR="00DE23E8" w:rsidRDefault="00BE1712" w:rsidP="00654E8F">
      <w:pPr>
        <w:spacing w:before="240"/>
      </w:pPr>
      <w:r>
        <w:rPr>
          <w:noProof/>
        </w:rPr>
        <w:lastRenderedPageBreak/>
        <w:drawing>
          <wp:inline distT="0" distB="0" distL="0" distR="0" wp14:anchorId="08866BDC" wp14:editId="0CDA8304">
            <wp:extent cx="6210300" cy="52959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3D0D1" w14:textId="7BC431D5" w:rsidR="009308F7" w:rsidRPr="009B690D" w:rsidRDefault="00136D58" w:rsidP="00BE1712">
      <w:pPr>
        <w:keepNext/>
        <w:jc w:val="both"/>
        <w:rPr>
          <w:rFonts w:cs="Times New Roman"/>
          <w:bCs/>
          <w:szCs w:val="24"/>
          <w:lang w:val="en-GB"/>
        </w:rPr>
      </w:pPr>
      <w:r w:rsidRPr="009B690D">
        <w:rPr>
          <w:rFonts w:cs="Times New Roman"/>
          <w:b/>
          <w:szCs w:val="24"/>
        </w:rPr>
        <w:t>Supplementary Figure 2.</w:t>
      </w:r>
      <w:r w:rsidRPr="009B690D">
        <w:rPr>
          <w:rFonts w:cs="Times New Roman"/>
          <w:szCs w:val="24"/>
        </w:rPr>
        <w:t xml:space="preserve"> </w:t>
      </w:r>
      <w:r w:rsidRPr="009B690D">
        <w:rPr>
          <w:rFonts w:cs="Times New Roman"/>
          <w:b/>
          <w:szCs w:val="24"/>
          <w:lang w:val="en-GB"/>
        </w:rPr>
        <w:t xml:space="preserve">Bar graphs of untreated and iron-treated NK cells. </w:t>
      </w:r>
      <w:r w:rsidRPr="009B690D">
        <w:rPr>
          <w:rFonts w:cs="Times New Roman"/>
          <w:bCs/>
          <w:szCs w:val="24"/>
          <w:lang w:val="en-GB"/>
        </w:rPr>
        <w:t xml:space="preserve">C57BL/6 mice were infected with 40,000 SFFU of FV for 7 days and bone marrow cells were harvested. Single cell suspensions were treated with </w:t>
      </w:r>
      <w:r w:rsidR="00FD14EF" w:rsidRPr="009B690D">
        <w:rPr>
          <w:rFonts w:cs="Times New Roman"/>
          <w:bCs/>
          <w:szCs w:val="24"/>
          <w:lang w:val="en-GB"/>
        </w:rPr>
        <w:t xml:space="preserve">(red) </w:t>
      </w:r>
      <w:r w:rsidRPr="009B690D">
        <w:rPr>
          <w:rFonts w:cs="Times New Roman"/>
          <w:bCs/>
          <w:szCs w:val="24"/>
          <w:lang w:val="en-GB"/>
        </w:rPr>
        <w:t>or without FeSO</w:t>
      </w:r>
      <w:r w:rsidRPr="009B690D">
        <w:rPr>
          <w:rFonts w:cs="Times New Roman"/>
          <w:bCs/>
          <w:szCs w:val="24"/>
          <w:vertAlign w:val="subscript"/>
          <w:lang w:val="en-GB"/>
        </w:rPr>
        <w:t>4</w:t>
      </w:r>
      <w:r w:rsidRPr="009B690D">
        <w:rPr>
          <w:rFonts w:cs="Times New Roman"/>
          <w:bCs/>
          <w:szCs w:val="24"/>
          <w:lang w:val="en-GB"/>
        </w:rPr>
        <w:t xml:space="preserve"> </w:t>
      </w:r>
      <w:r w:rsidR="00FD14EF" w:rsidRPr="009B690D">
        <w:rPr>
          <w:rFonts w:cs="Times New Roman"/>
          <w:bCs/>
          <w:szCs w:val="24"/>
          <w:lang w:val="en-GB"/>
        </w:rPr>
        <w:t xml:space="preserve">(blue) </w:t>
      </w:r>
      <w:r w:rsidRPr="009B690D">
        <w:rPr>
          <w:rFonts w:cs="Times New Roman"/>
          <w:bCs/>
          <w:szCs w:val="24"/>
          <w:lang w:val="en-GB"/>
        </w:rPr>
        <w:t xml:space="preserve">for 18 hours (200 µM) or 72 hours (50 µM, proliferation) and </w:t>
      </w:r>
      <w:proofErr w:type="spellStart"/>
      <w:r w:rsidRPr="009B690D">
        <w:rPr>
          <w:rFonts w:cs="Times New Roman"/>
          <w:bCs/>
          <w:szCs w:val="24"/>
          <w:lang w:val="en-GB"/>
        </w:rPr>
        <w:t>analy</w:t>
      </w:r>
      <w:r w:rsidR="00FD14EF" w:rsidRPr="009B690D">
        <w:rPr>
          <w:rFonts w:cs="Times New Roman"/>
          <w:bCs/>
          <w:szCs w:val="24"/>
          <w:lang w:val="en-GB"/>
        </w:rPr>
        <w:t>z</w:t>
      </w:r>
      <w:r w:rsidRPr="009B690D">
        <w:rPr>
          <w:rFonts w:cs="Times New Roman"/>
          <w:bCs/>
          <w:szCs w:val="24"/>
          <w:lang w:val="en-GB"/>
        </w:rPr>
        <w:t>ed</w:t>
      </w:r>
      <w:proofErr w:type="spellEnd"/>
      <w:r w:rsidRPr="009B690D">
        <w:rPr>
          <w:rFonts w:cs="Times New Roman"/>
          <w:bCs/>
          <w:szCs w:val="24"/>
          <w:lang w:val="en-GB"/>
        </w:rPr>
        <w:t xml:space="preserve"> for NK cells (Mann-Whitney test), NK cell viability (unpaired t test), proliferation (unpaired t test), activation (CD69, % unpaired t test, MFI Mann-Whitney test) and degranulation (CD107a, unpaired t test). NK cell proliferation was analysed from six mice of three independent experiments, NK cell viability from fourteen mice of six independent experiments. CD71 expression (unpaired t test) on NK cells is displayed as well as the analysis of mitochondrial mass (</w:t>
      </w:r>
      <w:proofErr w:type="spellStart"/>
      <w:r w:rsidRPr="009B690D">
        <w:rPr>
          <w:rFonts w:cs="Times New Roman"/>
          <w:bCs/>
          <w:szCs w:val="24"/>
          <w:lang w:val="en-GB"/>
        </w:rPr>
        <w:t>MitoSpy</w:t>
      </w:r>
      <w:proofErr w:type="spellEnd"/>
      <w:r w:rsidRPr="009B690D">
        <w:rPr>
          <w:rFonts w:cs="Times New Roman"/>
          <w:bCs/>
          <w:szCs w:val="24"/>
          <w:lang w:val="en-GB"/>
        </w:rPr>
        <w:t>, unpaired t test), polarisation (TMRM, Mann-Whitney test), oxidative stress (</w:t>
      </w:r>
      <w:proofErr w:type="spellStart"/>
      <w:r w:rsidRPr="009B690D">
        <w:rPr>
          <w:rFonts w:cs="Times New Roman"/>
          <w:bCs/>
          <w:szCs w:val="24"/>
          <w:lang w:val="en-GB"/>
        </w:rPr>
        <w:t>CellROX</w:t>
      </w:r>
      <w:proofErr w:type="spellEnd"/>
      <w:r w:rsidRPr="009B690D">
        <w:rPr>
          <w:rFonts w:cs="Times New Roman"/>
          <w:bCs/>
          <w:szCs w:val="24"/>
          <w:lang w:val="en-GB"/>
        </w:rPr>
        <w:t xml:space="preserve">, Mann-Whitney test), mitochondrial dependence (unpaired t test, 4 mice) as well as normalized puromycin levels (unpaired t test, 4 mice). Single cell suspensions were </w:t>
      </w:r>
      <w:proofErr w:type="spellStart"/>
      <w:r w:rsidRPr="009B690D">
        <w:rPr>
          <w:rFonts w:cs="Times New Roman"/>
          <w:bCs/>
          <w:szCs w:val="24"/>
          <w:lang w:val="en-GB"/>
        </w:rPr>
        <w:t>analyzed</w:t>
      </w:r>
      <w:proofErr w:type="spellEnd"/>
      <w:r w:rsidRPr="009B690D">
        <w:rPr>
          <w:rFonts w:cs="Times New Roman"/>
          <w:bCs/>
          <w:szCs w:val="24"/>
          <w:lang w:val="en-GB"/>
        </w:rPr>
        <w:t xml:space="preserve"> for cytotoxicity-related molecules such as </w:t>
      </w:r>
      <w:proofErr w:type="spellStart"/>
      <w:r w:rsidRPr="009B690D">
        <w:rPr>
          <w:rFonts w:cs="Times New Roman"/>
          <w:bCs/>
          <w:szCs w:val="24"/>
          <w:lang w:val="en-GB"/>
        </w:rPr>
        <w:t>GzmA</w:t>
      </w:r>
      <w:proofErr w:type="spellEnd"/>
      <w:r w:rsidRPr="009B690D">
        <w:rPr>
          <w:rFonts w:cs="Times New Roman"/>
          <w:bCs/>
          <w:szCs w:val="24"/>
          <w:lang w:val="en-GB"/>
        </w:rPr>
        <w:t xml:space="preserve"> (unpaired t test), </w:t>
      </w:r>
      <w:proofErr w:type="spellStart"/>
      <w:r w:rsidRPr="009B690D">
        <w:rPr>
          <w:rFonts w:cs="Times New Roman"/>
          <w:bCs/>
          <w:szCs w:val="24"/>
          <w:lang w:val="en-GB"/>
        </w:rPr>
        <w:t>GzmB</w:t>
      </w:r>
      <w:proofErr w:type="spellEnd"/>
      <w:r w:rsidRPr="009B690D">
        <w:rPr>
          <w:rFonts w:cs="Times New Roman"/>
          <w:bCs/>
          <w:szCs w:val="24"/>
          <w:lang w:val="en-GB"/>
        </w:rPr>
        <w:t xml:space="preserve"> (unpaired t test), TRAIL (unpaired t test) and cytokines such as </w:t>
      </w:r>
      <w:proofErr w:type="spellStart"/>
      <w:r w:rsidRPr="009B690D">
        <w:rPr>
          <w:rFonts w:cs="Times New Roman"/>
          <w:bCs/>
          <w:szCs w:val="24"/>
          <w:lang w:val="en-GB"/>
        </w:rPr>
        <w:t>IFNγ</w:t>
      </w:r>
      <w:proofErr w:type="spellEnd"/>
      <w:r w:rsidRPr="009B690D">
        <w:rPr>
          <w:rFonts w:cs="Times New Roman"/>
          <w:bCs/>
          <w:szCs w:val="24"/>
          <w:lang w:val="en-GB"/>
        </w:rPr>
        <w:t xml:space="preserve"> and TNFα (unpaired t test</w:t>
      </w:r>
      <w:r w:rsidR="00BE1712" w:rsidRPr="009B690D">
        <w:rPr>
          <w:rFonts w:cs="Times New Roman"/>
          <w:szCs w:val="24"/>
          <w:lang w:val="en-GB"/>
        </w:rPr>
        <w:t xml:space="preserve">, </w:t>
      </w:r>
      <w:proofErr w:type="spellStart"/>
      <w:r w:rsidR="00BE1712" w:rsidRPr="009B690D">
        <w:rPr>
          <w:rFonts w:cs="Times New Roman"/>
          <w:szCs w:val="24"/>
          <w:lang w:val="en-GB"/>
        </w:rPr>
        <w:t>n</w:t>
      </w:r>
      <w:r w:rsidR="00BE1712" w:rsidRPr="009B690D">
        <w:rPr>
          <w:rFonts w:cs="Times New Roman"/>
          <w:szCs w:val="24"/>
          <w:vertAlign w:val="subscript"/>
          <w:lang w:val="en-GB"/>
        </w:rPr>
        <w:t>Ctr</w:t>
      </w:r>
      <w:proofErr w:type="spellEnd"/>
      <w:r w:rsidR="00BE1712" w:rsidRPr="009B690D">
        <w:rPr>
          <w:rFonts w:cs="Times New Roman"/>
          <w:szCs w:val="24"/>
          <w:vertAlign w:val="subscript"/>
          <w:lang w:val="en-GB"/>
        </w:rPr>
        <w:t xml:space="preserve"> </w:t>
      </w:r>
      <w:r w:rsidR="00BE1712" w:rsidRPr="009B690D">
        <w:rPr>
          <w:rFonts w:cs="Times New Roman"/>
          <w:szCs w:val="24"/>
          <w:lang w:val="en-GB"/>
        </w:rPr>
        <w:t>= 9, n</w:t>
      </w:r>
      <w:r w:rsidR="00BE1712" w:rsidRPr="009B690D">
        <w:rPr>
          <w:rFonts w:cs="Times New Roman"/>
          <w:szCs w:val="24"/>
          <w:vertAlign w:val="subscript"/>
          <w:lang w:val="en-GB"/>
        </w:rPr>
        <w:t>FeSO</w:t>
      </w:r>
      <w:r w:rsidR="00BE1712" w:rsidRPr="009B690D">
        <w:rPr>
          <w:rFonts w:cs="Times New Roman"/>
          <w:sz w:val="18"/>
          <w:szCs w:val="18"/>
          <w:vertAlign w:val="subscript"/>
          <w:lang w:val="en-GB"/>
        </w:rPr>
        <w:t>4</w:t>
      </w:r>
      <w:r w:rsidR="00BE1712" w:rsidRPr="009B690D">
        <w:rPr>
          <w:rFonts w:cs="Times New Roman"/>
          <w:szCs w:val="24"/>
          <w:vertAlign w:val="subscript"/>
          <w:lang w:val="en-GB"/>
        </w:rPr>
        <w:t xml:space="preserve"> </w:t>
      </w:r>
      <w:r w:rsidR="00BE1712" w:rsidRPr="009B690D">
        <w:rPr>
          <w:rFonts w:cs="Times New Roman"/>
          <w:szCs w:val="24"/>
          <w:lang w:val="en-GB"/>
        </w:rPr>
        <w:t>= 8</w:t>
      </w:r>
      <w:r w:rsidRPr="009B690D">
        <w:rPr>
          <w:rFonts w:cs="Times New Roman"/>
          <w:bCs/>
          <w:szCs w:val="24"/>
          <w:lang w:val="en-GB"/>
        </w:rPr>
        <w:t>). Nine mice per group drawn from four independent experiments were used for analyses, if not indicated otherwise.</w:t>
      </w:r>
    </w:p>
    <w:p w14:paraId="30B8A1CE" w14:textId="77777777" w:rsidR="009308F7" w:rsidRDefault="009308F7">
      <w:pPr>
        <w:spacing w:before="0" w:after="200" w:line="276" w:lineRule="auto"/>
        <w:rPr>
          <w:rFonts w:cs="Times New Roman"/>
          <w:bCs/>
          <w:color w:val="FF0000"/>
          <w:szCs w:val="24"/>
          <w:lang w:val="en-GB"/>
        </w:rPr>
      </w:pPr>
      <w:r>
        <w:rPr>
          <w:rFonts w:cs="Times New Roman"/>
          <w:bCs/>
          <w:color w:val="FF0000"/>
          <w:szCs w:val="24"/>
          <w:lang w:val="en-GB"/>
        </w:rPr>
        <w:br w:type="page"/>
      </w:r>
    </w:p>
    <w:p w14:paraId="6E70E313" w14:textId="312E4AD4" w:rsidR="00136D58" w:rsidRPr="00CE2455" w:rsidRDefault="001629C9" w:rsidP="00BE1712">
      <w:pPr>
        <w:keepNext/>
        <w:jc w:val="both"/>
        <w:rPr>
          <w:rFonts w:cs="Times New Roman"/>
          <w:b/>
          <w:color w:val="FF0000"/>
          <w:szCs w:val="24"/>
          <w:lang w:val="en-GB"/>
        </w:rPr>
      </w:pPr>
      <w:r>
        <w:rPr>
          <w:noProof/>
        </w:rPr>
        <w:lastRenderedPageBreak/>
        <w:drawing>
          <wp:inline distT="0" distB="0" distL="0" distR="0" wp14:anchorId="500B79E7" wp14:editId="67F95B0D">
            <wp:extent cx="6208395" cy="6324600"/>
            <wp:effectExtent l="0" t="0" r="190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C510D" w14:textId="337ECC56" w:rsidR="00C86C4B" w:rsidRPr="009B690D" w:rsidRDefault="009308F7" w:rsidP="009308F7">
      <w:pPr>
        <w:keepNext/>
        <w:jc w:val="both"/>
        <w:rPr>
          <w:rFonts w:cs="Times New Roman"/>
          <w:bCs/>
          <w:szCs w:val="24"/>
          <w:lang w:val="en-GB"/>
        </w:rPr>
      </w:pPr>
      <w:r w:rsidRPr="009B690D">
        <w:rPr>
          <w:rFonts w:cs="Times New Roman"/>
          <w:b/>
          <w:szCs w:val="24"/>
        </w:rPr>
        <w:t>Supplementary Figure 3.</w:t>
      </w:r>
      <w:r w:rsidRPr="009B690D">
        <w:rPr>
          <w:rFonts w:cs="Times New Roman"/>
          <w:szCs w:val="24"/>
        </w:rPr>
        <w:t xml:space="preserve"> </w:t>
      </w:r>
      <w:r w:rsidRPr="009B690D">
        <w:rPr>
          <w:rFonts w:cs="Times New Roman"/>
          <w:b/>
          <w:szCs w:val="24"/>
          <w:lang w:val="en-GB"/>
        </w:rPr>
        <w:t xml:space="preserve">Increased functionality and enhanced metabolism in iron-treated NK cells after MCMV infection. </w:t>
      </w:r>
      <w:r w:rsidRPr="009B690D">
        <w:rPr>
          <w:rFonts w:cs="Times New Roman"/>
          <w:bCs/>
          <w:szCs w:val="24"/>
          <w:lang w:val="en-GB"/>
        </w:rPr>
        <w:t xml:space="preserve">C57BL/6 mice were infected with </w:t>
      </w:r>
      <w:r w:rsidRPr="009B690D">
        <w:rPr>
          <w:rFonts w:cs="Times New Roman"/>
        </w:rPr>
        <w:t>2x10</w:t>
      </w:r>
      <w:r w:rsidRPr="009B690D">
        <w:rPr>
          <w:rFonts w:cs="Times New Roman"/>
          <w:vertAlign w:val="superscript"/>
        </w:rPr>
        <w:t>5</w:t>
      </w:r>
      <w:r w:rsidRPr="009B690D">
        <w:rPr>
          <w:rFonts w:cs="Times New Roman"/>
        </w:rPr>
        <w:t xml:space="preserve"> PFU </w:t>
      </w:r>
      <w:r w:rsidRPr="009B690D">
        <w:rPr>
          <w:rFonts w:cs="Times New Roman"/>
          <w:bCs/>
          <w:szCs w:val="24"/>
          <w:lang w:val="en-GB"/>
        </w:rPr>
        <w:t>for 8 weeks and bone marrow cells were harvested. Single cell suspensions were treated with (red) or without FeSO</w:t>
      </w:r>
      <w:r w:rsidRPr="009B690D">
        <w:rPr>
          <w:rFonts w:cs="Times New Roman"/>
          <w:bCs/>
          <w:szCs w:val="24"/>
          <w:vertAlign w:val="subscript"/>
          <w:lang w:val="en-GB"/>
        </w:rPr>
        <w:t>4</w:t>
      </w:r>
      <w:r w:rsidRPr="009B690D">
        <w:rPr>
          <w:rFonts w:cs="Times New Roman"/>
          <w:bCs/>
          <w:szCs w:val="24"/>
          <w:lang w:val="en-GB"/>
        </w:rPr>
        <w:t xml:space="preserve"> (blue) for 18 hours (200 µM) and </w:t>
      </w:r>
      <w:proofErr w:type="spellStart"/>
      <w:r w:rsidRPr="009B690D">
        <w:rPr>
          <w:rFonts w:cs="Times New Roman"/>
          <w:bCs/>
          <w:szCs w:val="24"/>
          <w:lang w:val="en-GB"/>
        </w:rPr>
        <w:t>analyzed</w:t>
      </w:r>
      <w:proofErr w:type="spellEnd"/>
      <w:r w:rsidRPr="009B690D">
        <w:rPr>
          <w:rFonts w:cs="Times New Roman"/>
          <w:bCs/>
          <w:szCs w:val="24"/>
          <w:lang w:val="en-GB"/>
        </w:rPr>
        <w:t xml:space="preserve"> for NK cells, NK cell viability, degranulation (CD107a), CD71 expression, mitochondrial mass (</w:t>
      </w:r>
      <w:proofErr w:type="spellStart"/>
      <w:r w:rsidRPr="009B690D">
        <w:rPr>
          <w:rFonts w:cs="Times New Roman"/>
          <w:bCs/>
          <w:szCs w:val="24"/>
          <w:lang w:val="en-GB"/>
        </w:rPr>
        <w:t>MitoSpy</w:t>
      </w:r>
      <w:proofErr w:type="spellEnd"/>
      <w:r w:rsidRPr="009B690D">
        <w:rPr>
          <w:rFonts w:cs="Times New Roman"/>
          <w:bCs/>
          <w:szCs w:val="24"/>
          <w:lang w:val="en-GB"/>
        </w:rPr>
        <w:t>), polarisation (TMRM) and oxidative stress (</w:t>
      </w:r>
      <w:proofErr w:type="spellStart"/>
      <w:r w:rsidRPr="009B690D">
        <w:rPr>
          <w:rFonts w:cs="Times New Roman"/>
          <w:bCs/>
          <w:szCs w:val="24"/>
          <w:lang w:val="en-GB"/>
        </w:rPr>
        <w:t>CellROX</w:t>
      </w:r>
      <w:proofErr w:type="spellEnd"/>
      <w:r w:rsidRPr="009B690D">
        <w:rPr>
          <w:rFonts w:cs="Times New Roman"/>
          <w:bCs/>
          <w:szCs w:val="24"/>
          <w:lang w:val="en-GB"/>
        </w:rPr>
        <w:t xml:space="preserve">), cytotoxicity-related molecules such as </w:t>
      </w:r>
      <w:proofErr w:type="spellStart"/>
      <w:r w:rsidRPr="009B690D">
        <w:rPr>
          <w:rFonts w:cs="Times New Roman"/>
          <w:bCs/>
          <w:szCs w:val="24"/>
          <w:lang w:val="en-GB"/>
        </w:rPr>
        <w:t>GzmA</w:t>
      </w:r>
      <w:proofErr w:type="spellEnd"/>
      <w:r w:rsidRPr="009B690D">
        <w:rPr>
          <w:rFonts w:cs="Times New Roman"/>
          <w:bCs/>
          <w:szCs w:val="24"/>
          <w:lang w:val="en-GB"/>
        </w:rPr>
        <w:t xml:space="preserve">, </w:t>
      </w:r>
      <w:proofErr w:type="spellStart"/>
      <w:r w:rsidRPr="009B690D">
        <w:rPr>
          <w:rFonts w:cs="Times New Roman"/>
          <w:bCs/>
          <w:szCs w:val="24"/>
          <w:lang w:val="en-GB"/>
        </w:rPr>
        <w:t>GzmB</w:t>
      </w:r>
      <w:proofErr w:type="spellEnd"/>
      <w:r w:rsidRPr="009B690D">
        <w:rPr>
          <w:rFonts w:cs="Times New Roman"/>
          <w:bCs/>
          <w:szCs w:val="24"/>
          <w:lang w:val="en-GB"/>
        </w:rPr>
        <w:t xml:space="preserve">, TRAIL and cytokines such as </w:t>
      </w:r>
      <w:proofErr w:type="spellStart"/>
      <w:r w:rsidRPr="009B690D">
        <w:rPr>
          <w:rFonts w:cs="Times New Roman"/>
          <w:bCs/>
          <w:szCs w:val="24"/>
          <w:lang w:val="en-GB"/>
        </w:rPr>
        <w:t>IFNγ</w:t>
      </w:r>
      <w:proofErr w:type="spellEnd"/>
      <w:r w:rsidRPr="009B690D">
        <w:rPr>
          <w:rFonts w:cs="Times New Roman"/>
          <w:bCs/>
          <w:szCs w:val="24"/>
          <w:lang w:val="en-GB"/>
        </w:rPr>
        <w:t xml:space="preserve"> and TNFα Six mice per group drawn from two independent experiments were used for analyses. Statistically significant differences between the two groups were </w:t>
      </w:r>
      <w:proofErr w:type="spellStart"/>
      <w:r w:rsidRPr="009B690D">
        <w:rPr>
          <w:rFonts w:cs="Times New Roman"/>
          <w:bCs/>
          <w:szCs w:val="24"/>
          <w:lang w:val="en-GB"/>
        </w:rPr>
        <w:t>analyzed</w:t>
      </w:r>
      <w:proofErr w:type="spellEnd"/>
      <w:r w:rsidRPr="009B690D">
        <w:rPr>
          <w:rFonts w:cs="Times New Roman"/>
          <w:bCs/>
          <w:szCs w:val="24"/>
          <w:lang w:val="en-GB"/>
        </w:rPr>
        <w:t xml:space="preserve"> </w:t>
      </w:r>
      <w:r w:rsidR="00DE57A0" w:rsidRPr="009B690D">
        <w:rPr>
          <w:rFonts w:cs="Times New Roman"/>
          <w:bCs/>
          <w:szCs w:val="24"/>
          <w:lang w:val="en-GB"/>
        </w:rPr>
        <w:t>by</w:t>
      </w:r>
      <w:r w:rsidRPr="009B690D">
        <w:rPr>
          <w:rFonts w:cs="Times New Roman"/>
          <w:bCs/>
          <w:szCs w:val="24"/>
          <w:lang w:val="en-GB"/>
        </w:rPr>
        <w:t xml:space="preserve"> an unpaired t test or Mann-Whitney test (TMRM).</w:t>
      </w:r>
    </w:p>
    <w:p w14:paraId="2271BB7D" w14:textId="77777777" w:rsidR="00C86C4B" w:rsidRDefault="00C86C4B">
      <w:pPr>
        <w:spacing w:before="0" w:after="200" w:line="276" w:lineRule="auto"/>
        <w:rPr>
          <w:rFonts w:cs="Times New Roman"/>
          <w:bCs/>
          <w:color w:val="FF0000"/>
          <w:szCs w:val="24"/>
          <w:lang w:val="en-GB"/>
        </w:rPr>
      </w:pPr>
      <w:r>
        <w:rPr>
          <w:rFonts w:cs="Times New Roman"/>
          <w:bCs/>
          <w:color w:val="FF0000"/>
          <w:szCs w:val="24"/>
          <w:lang w:val="en-GB"/>
        </w:rPr>
        <w:br w:type="page"/>
      </w:r>
    </w:p>
    <w:p w14:paraId="49288B8F" w14:textId="70B7286F" w:rsidR="009308F7" w:rsidRDefault="00C86C4B" w:rsidP="009308F7">
      <w:pPr>
        <w:keepNext/>
        <w:jc w:val="both"/>
        <w:rPr>
          <w:rFonts w:cs="Times New Roman"/>
          <w:bCs/>
          <w:color w:val="FF0000"/>
          <w:szCs w:val="24"/>
          <w:lang w:val="en-GB"/>
        </w:rPr>
      </w:pPr>
      <w:r>
        <w:rPr>
          <w:rFonts w:cs="Times New Roman"/>
          <w:bCs/>
          <w:noProof/>
          <w:color w:val="FF0000"/>
          <w:szCs w:val="24"/>
          <w:lang w:val="en-GB"/>
        </w:rPr>
        <w:lastRenderedPageBreak/>
        <w:drawing>
          <wp:inline distT="0" distB="0" distL="0" distR="0" wp14:anchorId="57AA5FB8" wp14:editId="62945CC0">
            <wp:extent cx="6210300" cy="6391275"/>
            <wp:effectExtent l="0" t="0" r="0" b="952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103F6" w14:textId="3E296DAB" w:rsidR="00136D58" w:rsidRPr="009B690D" w:rsidRDefault="00C86C4B" w:rsidP="00C86C4B">
      <w:pPr>
        <w:keepNext/>
        <w:jc w:val="both"/>
        <w:rPr>
          <w:lang w:val="en-GB"/>
        </w:rPr>
      </w:pPr>
      <w:r w:rsidRPr="009B690D">
        <w:rPr>
          <w:rFonts w:cs="Times New Roman"/>
          <w:b/>
          <w:szCs w:val="24"/>
        </w:rPr>
        <w:t>Supplementary Figure 4.</w:t>
      </w:r>
      <w:r w:rsidRPr="009B690D">
        <w:rPr>
          <w:rFonts w:cs="Times New Roman"/>
          <w:szCs w:val="24"/>
        </w:rPr>
        <w:t xml:space="preserve"> </w:t>
      </w:r>
      <w:r w:rsidRPr="009B690D">
        <w:rPr>
          <w:rFonts w:cs="Times New Roman"/>
          <w:b/>
          <w:szCs w:val="24"/>
          <w:lang w:val="en-GB"/>
        </w:rPr>
        <w:t xml:space="preserve">Increased functionality and enhanced metabolism in iron-treated NK cells after HSV-1 infection. </w:t>
      </w:r>
      <w:r w:rsidRPr="009B690D">
        <w:rPr>
          <w:rFonts w:cs="Times New Roman"/>
          <w:bCs/>
          <w:szCs w:val="24"/>
          <w:lang w:val="en-GB"/>
        </w:rPr>
        <w:t>C57BL/6 mice were infected with 5x10</w:t>
      </w:r>
      <w:r w:rsidRPr="009B690D">
        <w:rPr>
          <w:rFonts w:cs="Times New Roman"/>
          <w:bCs/>
          <w:szCs w:val="24"/>
          <w:vertAlign w:val="superscript"/>
          <w:lang w:val="en-GB"/>
        </w:rPr>
        <w:t>6</w:t>
      </w:r>
      <w:r w:rsidRPr="009B690D">
        <w:rPr>
          <w:rFonts w:cs="Times New Roman"/>
          <w:bCs/>
          <w:szCs w:val="24"/>
          <w:lang w:val="en-GB"/>
        </w:rPr>
        <w:t xml:space="preserve"> TCID50 HSV-1 for 8 weeks and bone marrow cells were harvested. Single cell suspensions were treated with (red) or without FeSO</w:t>
      </w:r>
      <w:r w:rsidRPr="009B690D">
        <w:rPr>
          <w:rFonts w:cs="Times New Roman"/>
          <w:bCs/>
          <w:szCs w:val="24"/>
          <w:vertAlign w:val="subscript"/>
          <w:lang w:val="en-GB"/>
        </w:rPr>
        <w:t>4</w:t>
      </w:r>
      <w:r w:rsidRPr="009B690D">
        <w:rPr>
          <w:rFonts w:cs="Times New Roman"/>
          <w:bCs/>
          <w:szCs w:val="24"/>
          <w:lang w:val="en-GB"/>
        </w:rPr>
        <w:t xml:space="preserve"> (blue) for 18 hours (200 µM) and </w:t>
      </w:r>
      <w:proofErr w:type="spellStart"/>
      <w:r w:rsidRPr="009B690D">
        <w:rPr>
          <w:rFonts w:cs="Times New Roman"/>
          <w:bCs/>
          <w:szCs w:val="24"/>
          <w:lang w:val="en-GB"/>
        </w:rPr>
        <w:t>analyzed</w:t>
      </w:r>
      <w:proofErr w:type="spellEnd"/>
      <w:r w:rsidRPr="009B690D">
        <w:rPr>
          <w:rFonts w:cs="Times New Roman"/>
          <w:bCs/>
          <w:szCs w:val="24"/>
          <w:lang w:val="en-GB"/>
        </w:rPr>
        <w:t xml:space="preserve"> for NK cells, NK cell viability, degranulation (CD107a), CD71 expression, mitochondrial mass (</w:t>
      </w:r>
      <w:proofErr w:type="spellStart"/>
      <w:r w:rsidRPr="009B690D">
        <w:rPr>
          <w:rFonts w:cs="Times New Roman"/>
          <w:bCs/>
          <w:szCs w:val="24"/>
          <w:lang w:val="en-GB"/>
        </w:rPr>
        <w:t>MitoSpy</w:t>
      </w:r>
      <w:proofErr w:type="spellEnd"/>
      <w:r w:rsidRPr="009B690D">
        <w:rPr>
          <w:rFonts w:cs="Times New Roman"/>
          <w:bCs/>
          <w:szCs w:val="24"/>
          <w:lang w:val="en-GB"/>
        </w:rPr>
        <w:t>), polarisation (TMRM) and oxidative stress (</w:t>
      </w:r>
      <w:proofErr w:type="spellStart"/>
      <w:r w:rsidRPr="009B690D">
        <w:rPr>
          <w:rFonts w:cs="Times New Roman"/>
          <w:bCs/>
          <w:szCs w:val="24"/>
          <w:lang w:val="en-GB"/>
        </w:rPr>
        <w:t>CellROX</w:t>
      </w:r>
      <w:proofErr w:type="spellEnd"/>
      <w:r w:rsidRPr="009B690D">
        <w:rPr>
          <w:rFonts w:cs="Times New Roman"/>
          <w:bCs/>
          <w:szCs w:val="24"/>
          <w:lang w:val="en-GB"/>
        </w:rPr>
        <w:t xml:space="preserve">), cytotoxicity-related molecules such as </w:t>
      </w:r>
      <w:proofErr w:type="spellStart"/>
      <w:r w:rsidRPr="009B690D">
        <w:rPr>
          <w:rFonts w:cs="Times New Roman"/>
          <w:bCs/>
          <w:szCs w:val="24"/>
          <w:lang w:val="en-GB"/>
        </w:rPr>
        <w:t>GzmA</w:t>
      </w:r>
      <w:proofErr w:type="spellEnd"/>
      <w:r w:rsidRPr="009B690D">
        <w:rPr>
          <w:rFonts w:cs="Times New Roman"/>
          <w:bCs/>
          <w:szCs w:val="24"/>
          <w:lang w:val="en-GB"/>
        </w:rPr>
        <w:t xml:space="preserve">, </w:t>
      </w:r>
      <w:proofErr w:type="spellStart"/>
      <w:r w:rsidRPr="009B690D">
        <w:rPr>
          <w:rFonts w:cs="Times New Roman"/>
          <w:bCs/>
          <w:szCs w:val="24"/>
          <w:lang w:val="en-GB"/>
        </w:rPr>
        <w:t>GzmB</w:t>
      </w:r>
      <w:proofErr w:type="spellEnd"/>
      <w:r w:rsidRPr="009B690D">
        <w:rPr>
          <w:rFonts w:cs="Times New Roman"/>
          <w:bCs/>
          <w:szCs w:val="24"/>
          <w:lang w:val="en-GB"/>
        </w:rPr>
        <w:t xml:space="preserve">, TRAIL and cytokines such as </w:t>
      </w:r>
      <w:proofErr w:type="spellStart"/>
      <w:r w:rsidRPr="009B690D">
        <w:rPr>
          <w:rFonts w:cs="Times New Roman"/>
          <w:bCs/>
          <w:szCs w:val="24"/>
          <w:lang w:val="en-GB"/>
        </w:rPr>
        <w:t>IFNγ</w:t>
      </w:r>
      <w:proofErr w:type="spellEnd"/>
      <w:r w:rsidRPr="009B690D">
        <w:rPr>
          <w:rFonts w:cs="Times New Roman"/>
          <w:bCs/>
          <w:szCs w:val="24"/>
          <w:lang w:val="en-GB"/>
        </w:rPr>
        <w:t xml:space="preserve"> and TNFα Six mice per group drawn from two independent experiments were used for analyses. Statistically significant differences between the two groups were </w:t>
      </w:r>
      <w:proofErr w:type="spellStart"/>
      <w:r w:rsidRPr="009B690D">
        <w:rPr>
          <w:rFonts w:cs="Times New Roman"/>
          <w:bCs/>
          <w:szCs w:val="24"/>
          <w:lang w:val="en-GB"/>
        </w:rPr>
        <w:t>analyzed</w:t>
      </w:r>
      <w:proofErr w:type="spellEnd"/>
      <w:r w:rsidRPr="009B690D">
        <w:rPr>
          <w:rFonts w:cs="Times New Roman"/>
          <w:bCs/>
          <w:szCs w:val="24"/>
          <w:lang w:val="en-GB"/>
        </w:rPr>
        <w:t xml:space="preserve"> by an unpaired t test or Mann-Whitney test (</w:t>
      </w:r>
      <w:proofErr w:type="spellStart"/>
      <w:r w:rsidRPr="009B690D">
        <w:rPr>
          <w:rFonts w:cs="Times New Roman"/>
          <w:bCs/>
          <w:szCs w:val="24"/>
          <w:lang w:val="en-GB"/>
        </w:rPr>
        <w:t>MitoSpy</w:t>
      </w:r>
      <w:proofErr w:type="spellEnd"/>
      <w:r w:rsidRPr="009B690D">
        <w:rPr>
          <w:rFonts w:cs="Times New Roman"/>
          <w:bCs/>
          <w:szCs w:val="24"/>
          <w:lang w:val="en-GB"/>
        </w:rPr>
        <w:t>, MFI CD107a).</w:t>
      </w:r>
    </w:p>
    <w:sectPr w:rsidR="00136D58" w:rsidRPr="009B690D" w:rsidSect="0093429D">
      <w:head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EA03F2" w14:textId="77777777" w:rsidR="007436E3" w:rsidRDefault="007436E3" w:rsidP="00117666">
      <w:pPr>
        <w:spacing w:after="0"/>
      </w:pPr>
      <w:r>
        <w:separator/>
      </w:r>
    </w:p>
  </w:endnote>
  <w:endnote w:type="continuationSeparator" w:id="0">
    <w:p w14:paraId="733F6AE4" w14:textId="77777777" w:rsidR="007436E3" w:rsidRDefault="007436E3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2FF27" w14:textId="77777777" w:rsidR="009E2724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9E2724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6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085E15EB" w14:textId="77777777" w:rsidR="0000000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74F876" w14:textId="77777777" w:rsidR="007436E3" w:rsidRDefault="007436E3" w:rsidP="00117666">
      <w:pPr>
        <w:spacing w:after="0"/>
      </w:pPr>
      <w:r>
        <w:separator/>
      </w:r>
    </w:p>
  </w:footnote>
  <w:footnote w:type="continuationSeparator" w:id="0">
    <w:p w14:paraId="2FD954D9" w14:textId="77777777" w:rsidR="007436E3" w:rsidRDefault="007436E3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1EDBA" w14:textId="77777777" w:rsidR="009E2724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11A5B" w14:textId="77777777" w:rsidR="009E2724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014843423">
    <w:abstractNumId w:val="0"/>
  </w:num>
  <w:num w:numId="2" w16cid:durableId="1560092600">
    <w:abstractNumId w:val="4"/>
  </w:num>
  <w:num w:numId="3" w16cid:durableId="2106926099">
    <w:abstractNumId w:val="1"/>
  </w:num>
  <w:num w:numId="4" w16cid:durableId="788164538">
    <w:abstractNumId w:val="5"/>
  </w:num>
  <w:num w:numId="5" w16cid:durableId="72634205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54936742">
    <w:abstractNumId w:val="3"/>
  </w:num>
  <w:num w:numId="7" w16cid:durableId="244193384">
    <w:abstractNumId w:val="6"/>
  </w:num>
  <w:num w:numId="8" w16cid:durableId="1943957080">
    <w:abstractNumId w:val="6"/>
  </w:num>
  <w:num w:numId="9" w16cid:durableId="1027222166">
    <w:abstractNumId w:val="6"/>
  </w:num>
  <w:num w:numId="10" w16cid:durableId="866527601">
    <w:abstractNumId w:val="6"/>
  </w:num>
  <w:num w:numId="11" w16cid:durableId="1993363070">
    <w:abstractNumId w:val="6"/>
  </w:num>
  <w:num w:numId="12" w16cid:durableId="1121075584">
    <w:abstractNumId w:val="6"/>
  </w:num>
  <w:num w:numId="13" w16cid:durableId="449788406">
    <w:abstractNumId w:val="3"/>
  </w:num>
  <w:num w:numId="14" w16cid:durableId="287053487">
    <w:abstractNumId w:val="2"/>
  </w:num>
  <w:num w:numId="15" w16cid:durableId="818230988">
    <w:abstractNumId w:val="2"/>
  </w:num>
  <w:num w:numId="16" w16cid:durableId="1273395417">
    <w:abstractNumId w:val="2"/>
  </w:num>
  <w:num w:numId="17" w16cid:durableId="890652146">
    <w:abstractNumId w:val="2"/>
  </w:num>
  <w:num w:numId="18" w16cid:durableId="56361292">
    <w:abstractNumId w:val="2"/>
  </w:num>
  <w:num w:numId="19" w16cid:durableId="2870564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080400"/>
    <w:rsid w:val="000D6165"/>
    <w:rsid w:val="00105FD9"/>
    <w:rsid w:val="00117666"/>
    <w:rsid w:val="00136D58"/>
    <w:rsid w:val="0013749F"/>
    <w:rsid w:val="001549D3"/>
    <w:rsid w:val="00160065"/>
    <w:rsid w:val="001629C9"/>
    <w:rsid w:val="00177D84"/>
    <w:rsid w:val="00267D18"/>
    <w:rsid w:val="00275FAD"/>
    <w:rsid w:val="002868E2"/>
    <w:rsid w:val="002869C3"/>
    <w:rsid w:val="002936E4"/>
    <w:rsid w:val="002B4A57"/>
    <w:rsid w:val="002C74CA"/>
    <w:rsid w:val="003544FB"/>
    <w:rsid w:val="003718F3"/>
    <w:rsid w:val="003D1971"/>
    <w:rsid w:val="003D2D47"/>
    <w:rsid w:val="003D2F2D"/>
    <w:rsid w:val="00401590"/>
    <w:rsid w:val="004213E7"/>
    <w:rsid w:val="00447801"/>
    <w:rsid w:val="00452E9C"/>
    <w:rsid w:val="004735C8"/>
    <w:rsid w:val="004961FF"/>
    <w:rsid w:val="00517A89"/>
    <w:rsid w:val="005250F2"/>
    <w:rsid w:val="005461D4"/>
    <w:rsid w:val="00593EEA"/>
    <w:rsid w:val="005A5EEE"/>
    <w:rsid w:val="005D0DC4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436E3"/>
    <w:rsid w:val="007501BE"/>
    <w:rsid w:val="00790BB3"/>
    <w:rsid w:val="007C206C"/>
    <w:rsid w:val="00803D24"/>
    <w:rsid w:val="00817DD6"/>
    <w:rsid w:val="00885156"/>
    <w:rsid w:val="009151AA"/>
    <w:rsid w:val="00921424"/>
    <w:rsid w:val="009308F7"/>
    <w:rsid w:val="0093429D"/>
    <w:rsid w:val="00943573"/>
    <w:rsid w:val="00970F7D"/>
    <w:rsid w:val="00994A3D"/>
    <w:rsid w:val="009B690D"/>
    <w:rsid w:val="009C2B12"/>
    <w:rsid w:val="009C70F3"/>
    <w:rsid w:val="009D200D"/>
    <w:rsid w:val="009E2724"/>
    <w:rsid w:val="00A174D9"/>
    <w:rsid w:val="00A569CD"/>
    <w:rsid w:val="00AB5EE2"/>
    <w:rsid w:val="00AB6715"/>
    <w:rsid w:val="00B017C0"/>
    <w:rsid w:val="00B1671E"/>
    <w:rsid w:val="00B25EB8"/>
    <w:rsid w:val="00B354E1"/>
    <w:rsid w:val="00B37F4D"/>
    <w:rsid w:val="00B77760"/>
    <w:rsid w:val="00B91EEC"/>
    <w:rsid w:val="00BC33DC"/>
    <w:rsid w:val="00BE1712"/>
    <w:rsid w:val="00BF4537"/>
    <w:rsid w:val="00C52A7B"/>
    <w:rsid w:val="00C56BAF"/>
    <w:rsid w:val="00C679AA"/>
    <w:rsid w:val="00C75972"/>
    <w:rsid w:val="00C86C4B"/>
    <w:rsid w:val="00CC0A3A"/>
    <w:rsid w:val="00CD066B"/>
    <w:rsid w:val="00CE2455"/>
    <w:rsid w:val="00CE4FEE"/>
    <w:rsid w:val="00DB55A9"/>
    <w:rsid w:val="00DB59C3"/>
    <w:rsid w:val="00DC259A"/>
    <w:rsid w:val="00DE23E8"/>
    <w:rsid w:val="00DE57A0"/>
    <w:rsid w:val="00E52377"/>
    <w:rsid w:val="00E64E17"/>
    <w:rsid w:val="00E858DD"/>
    <w:rsid w:val="00E866C9"/>
    <w:rsid w:val="00EA3D3C"/>
    <w:rsid w:val="00EA4B94"/>
    <w:rsid w:val="00F46900"/>
    <w:rsid w:val="00F61D89"/>
    <w:rsid w:val="00FD1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iff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tif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tiff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4</Pages>
  <Words>498</Words>
  <Characters>2841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Megan Bond</cp:lastModifiedBy>
  <cp:revision>7</cp:revision>
  <cp:lastPrinted>2013-10-03T12:51:00Z</cp:lastPrinted>
  <dcterms:created xsi:type="dcterms:W3CDTF">2024-12-19T12:04:00Z</dcterms:created>
  <dcterms:modified xsi:type="dcterms:W3CDTF">2024-12-23T14:46:00Z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