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B741D8D" w14:textId="1085B383" w:rsidR="009D4754" w:rsidRPr="009D4754" w:rsidRDefault="009D4754" w:rsidP="009D4754">
      <w:pPr>
        <w:pStyle w:val="Heading1"/>
        <w:numPr>
          <w:ilvl w:val="0"/>
          <w:numId w:val="0"/>
        </w:numPr>
      </w:pPr>
      <w:r w:rsidRPr="009D4754">
        <w:t xml:space="preserve">Table S1. Treatment-emergent adverse events (≥ 2 </w:t>
      </w:r>
      <w:r>
        <w:t>p</w:t>
      </w:r>
      <w:r w:rsidRPr="009D4754">
        <w:t>atients by MedDRA preferred term), treatment-related adverse events, and serious treatment-emergent adverse events in safety population</w:t>
      </w:r>
      <w:bookmarkStart w:id="0" w:name="_Hlk181176438"/>
    </w:p>
    <w:tbl>
      <w:tblPr>
        <w:tblStyle w:val="C-Table"/>
        <w:tblW w:w="5000" w:type="pct"/>
        <w:tblInd w:w="0" w:type="dxa"/>
        <w:tblLook w:val="04A0" w:firstRow="1" w:lastRow="0" w:firstColumn="1" w:lastColumn="0" w:noHBand="0" w:noVBand="1"/>
      </w:tblPr>
      <w:tblGrid>
        <w:gridCol w:w="3000"/>
        <w:gridCol w:w="2257"/>
        <w:gridCol w:w="2257"/>
        <w:gridCol w:w="2247"/>
      </w:tblGrid>
      <w:tr w:rsidR="009D4754" w:rsidRPr="009D4754" w14:paraId="2420EE57" w14:textId="77777777" w:rsidTr="009D4754">
        <w:trPr>
          <w:cantSplit/>
          <w:tblHeader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0"/>
          <w:p w14:paraId="009E6D83" w14:textId="77777777" w:rsidR="009D4754" w:rsidRPr="009D4754" w:rsidRDefault="009D4754" w:rsidP="009D4754">
            <w:pPr>
              <w:keepNext/>
              <w:spacing w:before="60" w:after="60"/>
              <w:rPr>
                <w:b/>
                <w:color w:val="000000"/>
                <w:sz w:val="16"/>
                <w:szCs w:val="16"/>
              </w:rPr>
            </w:pPr>
            <w:r w:rsidRPr="009D4754">
              <w:rPr>
                <w:b/>
                <w:color w:val="000000"/>
                <w:sz w:val="16"/>
                <w:szCs w:val="16"/>
              </w:rPr>
              <w:t>System Organ Class [</w:t>
            </w:r>
            <w:proofErr w:type="gramStart"/>
            <w:r w:rsidRPr="009D4754">
              <w:rPr>
                <w:b/>
                <w:color w:val="000000"/>
                <w:sz w:val="16"/>
                <w:szCs w:val="16"/>
              </w:rPr>
              <w:t>n(</w:t>
            </w:r>
            <w:proofErr w:type="gramEnd"/>
            <w:r w:rsidRPr="009D4754">
              <w:rPr>
                <w:b/>
                <w:color w:val="000000"/>
                <w:sz w:val="16"/>
                <w:szCs w:val="16"/>
              </w:rPr>
              <w:t>%)]</w:t>
            </w:r>
            <w:r w:rsidRPr="009D4754">
              <w:rPr>
                <w:position w:val="-1"/>
                <w:sz w:val="16"/>
                <w:szCs w:val="16"/>
                <w:vertAlign w:val="superscript"/>
              </w:rPr>
              <w:fldChar w:fldCharType="begin"/>
            </w:r>
            <w:r w:rsidRPr="009D4754">
              <w:rPr>
                <w:position w:val="-1"/>
                <w:sz w:val="16"/>
                <w:szCs w:val="16"/>
                <w:vertAlign w:val="superscript"/>
              </w:rPr>
              <w:fldChar w:fldCharType="separate"/>
            </w:r>
            <w:r w:rsidRPr="009D4754">
              <w:rPr>
                <w:noProof/>
                <w:position w:val="-1"/>
                <w:sz w:val="16"/>
                <w:szCs w:val="16"/>
                <w:vertAlign w:val="superscript"/>
              </w:rPr>
              <w:t>b</w:t>
            </w:r>
            <w:r w:rsidRPr="009D4754">
              <w:rPr>
                <w:position w:val="-1"/>
                <w:sz w:val="16"/>
                <w:szCs w:val="16"/>
                <w:vertAlign w:val="superscript"/>
              </w:rPr>
              <w:fldChar w:fldCharType="end"/>
            </w:r>
            <w:r w:rsidRPr="009D4754">
              <w:rPr>
                <w:b/>
                <w:color w:val="000000"/>
                <w:sz w:val="16"/>
                <w:szCs w:val="16"/>
              </w:rPr>
              <w:br/>
              <w:t xml:space="preserve">  Preferred Term [n(%)]</w:t>
            </w:r>
          </w:p>
          <w:p w14:paraId="58DBF269" w14:textId="77777777" w:rsidR="009D4754" w:rsidRPr="009D4754" w:rsidRDefault="009D4754" w:rsidP="009D4754">
            <w:pPr>
              <w:spacing w:before="60" w:after="60"/>
              <w:rPr>
                <w:sz w:val="16"/>
                <w:szCs w:val="16"/>
              </w:rPr>
            </w:pPr>
            <w:r w:rsidRPr="009D4754">
              <w:rPr>
                <w:sz w:val="16"/>
                <w:szCs w:val="16"/>
              </w:rPr>
              <w:t xml:space="preserve">≥2 patients by preferred term 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F8C5A" w14:textId="77777777" w:rsidR="009D4754" w:rsidRPr="009D4754" w:rsidRDefault="009D4754" w:rsidP="009D4754">
            <w:pPr>
              <w:keepNext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 w:rsidRPr="009D4754">
              <w:rPr>
                <w:b/>
                <w:color w:val="000000"/>
                <w:sz w:val="16"/>
                <w:szCs w:val="16"/>
              </w:rPr>
              <w:t>TEAE</w:t>
            </w:r>
            <w:r w:rsidRPr="009D4754">
              <w:rPr>
                <w:b/>
                <w:color w:val="000000"/>
                <w:sz w:val="16"/>
                <w:szCs w:val="16"/>
              </w:rPr>
              <w:br/>
              <w:t>(N=68)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80E58" w14:textId="77777777" w:rsidR="009D4754" w:rsidRPr="009D4754" w:rsidRDefault="009D4754" w:rsidP="009D4754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9D4754">
              <w:rPr>
                <w:b/>
                <w:bCs/>
                <w:color w:val="000000"/>
                <w:sz w:val="16"/>
                <w:szCs w:val="16"/>
              </w:rPr>
              <w:t>Treatment-related TEAE</w:t>
            </w:r>
            <w:r w:rsidRPr="009D4754">
              <w:rPr>
                <w:b/>
                <w:bCs/>
                <w:color w:val="000000"/>
                <w:sz w:val="16"/>
                <w:szCs w:val="16"/>
              </w:rPr>
              <w:br/>
              <w:t>(N=68)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B21E8" w14:textId="77777777" w:rsidR="009D4754" w:rsidRPr="009D4754" w:rsidRDefault="009D4754" w:rsidP="009D4754"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4754">
              <w:rPr>
                <w:b/>
                <w:bCs/>
                <w:color w:val="000000"/>
                <w:sz w:val="16"/>
                <w:szCs w:val="16"/>
              </w:rPr>
              <w:t>Serious TEAE</w:t>
            </w:r>
          </w:p>
          <w:p w14:paraId="73D0963F" w14:textId="77777777" w:rsidR="009D4754" w:rsidRPr="009D4754" w:rsidRDefault="009D4754" w:rsidP="009D4754"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4754">
              <w:rPr>
                <w:b/>
                <w:bCs/>
                <w:color w:val="000000"/>
                <w:sz w:val="16"/>
                <w:szCs w:val="16"/>
              </w:rPr>
              <w:t>(N=68)</w:t>
            </w:r>
          </w:p>
        </w:tc>
      </w:tr>
      <w:tr w:rsidR="009D4754" w:rsidRPr="009D4754" w14:paraId="0AB26B9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45866" w14:textId="77777777" w:rsidR="009D4754" w:rsidRPr="009D4754" w:rsidRDefault="009D4754" w:rsidP="009D4754">
            <w:pPr>
              <w:keepNext/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Patients with Any TEAE [n (%</w:t>
            </w:r>
            <w:proofErr w:type="gramStart"/>
            <w:r w:rsidRPr="009D4754">
              <w:rPr>
                <w:color w:val="000000"/>
                <w:sz w:val="16"/>
                <w:szCs w:val="16"/>
              </w:rPr>
              <w:t>)]*</w:t>
            </w:r>
            <w:proofErr w:type="gram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FFDE6" w14:textId="77777777" w:rsidR="009D4754" w:rsidRPr="009D4754" w:rsidRDefault="009D4754" w:rsidP="009D4754">
            <w:pPr>
              <w:keepNext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67 (98.5)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C26EA" w14:textId="77777777" w:rsidR="009D4754" w:rsidRPr="009D4754" w:rsidRDefault="009D4754" w:rsidP="009D4754">
            <w:pPr>
              <w:keepNext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48 (70.6)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DA7FD" w14:textId="77777777" w:rsidR="009D4754" w:rsidRPr="009D4754" w:rsidRDefault="009D4754" w:rsidP="009D4754">
            <w:pPr>
              <w:keepNext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17 (25)</w:t>
            </w:r>
          </w:p>
        </w:tc>
      </w:tr>
      <w:tr w:rsidR="009D4754" w:rsidRPr="009D4754" w14:paraId="61E0EC9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6D2D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Infections and Infestations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3E23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58 (85.3)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A3CE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12 (17.6)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F83D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</w:tr>
      <w:tr w:rsidR="009D4754" w:rsidRPr="009D4754" w14:paraId="7D960A4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0A2B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Upper Respiratory Tract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EFBC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24 (35.3)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CFA9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9C9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256B35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42394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Nasopharyngitis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58EA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23 (33.8)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E64C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F73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F7F898E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A2430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Coronavirus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AFF4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16 (23.5)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04FA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E74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CEBFC1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CEDD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Bronchitis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D487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13 (19.1)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1E4B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C7A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A12F04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383DC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Gastroenteritis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63FB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7 (10.3)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6996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18E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5B645D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944B0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Influenza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CECC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7 (10.3)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55EA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C88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B238B35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28F5F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Rhinitis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2D47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7 (10.3)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D2EA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4FB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54FD8E8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034AB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Otitis Media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1316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24F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D41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BA6D851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12DB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Urinary Tract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3EC3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919C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921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1BED05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5671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Conjunctivitis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13BD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0A60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4F7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7774E6F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C5FD8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Ear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5B63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C202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D05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3E63194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8ADF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Oral Herpes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7056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6C8A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D4A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260DCC6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8D5BB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Pharyngitis Streptococcal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C2E0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F1DE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2DA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4C077B1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2881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Pneumonia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BFDC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374D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22C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24CC556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CADE0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Respiratory Tract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7256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358C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B5F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285241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B5BF2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Bronchitis Bacterial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3156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7E22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1F8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0EDB0E1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7042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Herpes Zoster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694D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A06E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A83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AEF3DB2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7929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Hordeolum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F5F3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5330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554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AD49574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E9D86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Sinusitis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DD89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A506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407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B6BD6B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671E2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Eye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BD6E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1044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40C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3DE24BF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9B11B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Folliculitis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C255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0330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3EA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87D3702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4B28B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Lower Respiratory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23B6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E1ED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1BC9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2A25FE84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44A7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Molluscum Contagiosum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A02C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AACF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83F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84A1EC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1C8A0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Oral Candidiasis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A5E3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D57B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064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BAE852F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C50C0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Pharyngitis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2AB0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7AD6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AA1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23ED8BA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8187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Skin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F768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2149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F97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1F65FD5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D008F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Tonsillitis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B2F2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C2C9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F67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55C06F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76836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Tooth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5C6C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8382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2B4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29595C2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48A0D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Viral Infection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0D76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4A3F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25BB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6388ED75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F0D3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lastRenderedPageBreak/>
              <w:t>General Disorders and Administration Site Conditions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BCE3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40 (58.8)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3649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12 (17.6)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675F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530F20C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A821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Pyrexia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D650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33 (48.5)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8972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A969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302788CD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84B22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Fatigue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7019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10 (14.7)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5A89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6 (8.8)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B0C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103748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7F76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Feeling Hot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A85C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B040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471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8376B7E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98FFF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Pain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5EB4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FBAC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BEF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1C6CAD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37F30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Investigations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33A0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40 (58.8)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6772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17 (25.0)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63E7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9 (13.2)</w:t>
            </w:r>
          </w:p>
        </w:tc>
      </w:tr>
      <w:tr w:rsidR="009D4754" w:rsidRPr="009D4754" w14:paraId="3B947514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BC9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  <w:vertAlign w:val="superscript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Bacterial Test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Positive</w:t>
            </w:r>
            <w:r w:rsidRPr="009D4754">
              <w:rPr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2F90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14 (20.6)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9156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7EF4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9 (13.2)</w:t>
            </w:r>
          </w:p>
        </w:tc>
      </w:tr>
      <w:tr w:rsidR="009D4754" w:rsidRPr="009D4754" w14:paraId="006B316F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C4FE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  <w:vertAlign w:val="superscript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Blood Iron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Decreased</w:t>
            </w:r>
            <w:r w:rsidRPr="009D4754">
              <w:rPr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2A11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6 (8.8)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9F9F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7AA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3419125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4129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Blood Lactate Dehydrogenase</w:t>
            </w:r>
          </w:p>
          <w:p w14:paraId="535B0014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Increased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EEBF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EA1F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698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A34F20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A080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Coronavirus Test Positive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2578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5646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EB3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CA1D79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4D35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Bone Density Decreased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CE60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0AB0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E0C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EA2A1CE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940D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  <w:vertAlign w:val="superscript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Serum Ferritin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Decreased</w:t>
            </w:r>
            <w:r w:rsidRPr="009D4754">
              <w:rPr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8F7F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D3DE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C73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58C41CD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6312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Body Temperature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9874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7994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A3D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C96BF8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503C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CD4 Lymphocytes Decreased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ECCD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6704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823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6BF2BD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DF9A1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White Blood Cell Count Decreased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E64D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F4D4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112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703FC8F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2369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Blood Bilirubin Increased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61ED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B11D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AA1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8A05AFA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CBE2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Blood Triglycerides Increased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7036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B6E1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A3F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D5DD8E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ED70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Breath Sounds Abnormal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CEA5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6AC3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FAE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6171C82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76BEB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Low Density Lipoprotein Increased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3C0D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A6B0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9A5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5711628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D739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Neutrophil Count Decreased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7D22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4FBE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A47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3AE164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BE29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Protein Urine Present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0571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A6CB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946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B071ED8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A18FB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Vitamin D Decreased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D37F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7DB7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1F9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B8FD98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7398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Weight Increased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5FF9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A91F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188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B10C56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995EC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Gastrointestinal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2BD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38 (55.9)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3BE4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12 (17.6)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AE9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5F2E9B91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2846C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Vomiting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EE1F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21 (30.9)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F026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6 (8.8)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B6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77E02B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304A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Diarrhea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5977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19 (27.9)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0772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46C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C805C49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ACA9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Nausea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B2F2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11 (16.2)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DDFF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DB0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3470B1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10D9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Abdominal Pain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37F7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D229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BD1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0BDFD0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0AB1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Aphthous Ulcer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FC33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090C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424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06A84F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1A71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Constipation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45FF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1961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B02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2A47F6A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AAA94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Dyspepsia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EBCD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0727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314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B9E0E6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8C592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Gastrointestinal Disorder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0577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9545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5A9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9387798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C2E9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Toothache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3F2C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6992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88F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F981F5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0C73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Respiratory, Thoracic, and Mediastinal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7E11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38 (55.9)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26A0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B278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5C77A3E9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80AE8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Cough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70AC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21 (30.9)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5130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460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CE33A25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8023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Rhinorrhea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A4A1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13 (19.1)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8C76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374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B7FA30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A5C6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lastRenderedPageBreak/>
              <w:t xml:space="preserve">    Epistaxis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6E54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7 (10.3)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5DDA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573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A599429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D6F41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Oropharyngeal Pain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1B6D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7 (10.3)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FAEE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474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CBF740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5BE3C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Nasal Congestion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FFFB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26D0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1D1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E0EF552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39EB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Productive Cough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DA33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B0D5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50F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739BF25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6048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Catarrh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9BD8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8233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3B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25AD37A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69E3F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Nasal Obstruction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1AC6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EE8B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A34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4A8A8FF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FA126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Sneezing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600A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2E17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E53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43F1FF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825D1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Injury, Poisoning, and Procedural Complications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F7AF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37 (54.4)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D773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22 (32.4)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2CA1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720CE4DE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ABB4D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  <w:vertAlign w:val="superscript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Infusion Related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Reaction</w:t>
            </w:r>
            <w:r w:rsidRPr="009D4754">
              <w:rPr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027A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21 (30.9)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E11B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20** (29.4)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E12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7AC1EC8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505F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Fall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2D58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8 (11.8)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6A58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5E8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E95AA6D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5D246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Contusion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0855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75F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DF5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EE2AC7D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7FCAD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Ligament Sprain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553F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2D96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713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BE9476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FEDA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Skin Abrasion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D335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7DE1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C1B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879DB6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59C7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Face Injury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0CE8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02BE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C18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FC0813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3520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Forearm Fracture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E3B7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D3B0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E1E6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5AD40D71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95514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Hand Fracture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181A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8F0D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236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F9E60E1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49EF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Procedural Pain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3275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85A7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73C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143C99E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776AC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Skin Laceration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083A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71EA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614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21EFA46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90A8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Skin and Subcutaneous Tissue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C6A3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37 (54.4)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3195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17 (25.0)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1CC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9E03D84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400F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  <w:vertAlign w:val="superscript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Pruritus</w:t>
            </w:r>
            <w:r w:rsidRPr="009D4754">
              <w:rPr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5935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13 (19.1)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15BE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9 (13.2)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64D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1C4F7E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B28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Rash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1495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9 (13.2)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6A0B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47D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8C817C4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61940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Erythema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3940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8 (11.8)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299F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BF9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105260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4834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Skin Lesion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C58A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1410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8A6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9FF64B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08C2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Alopecia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D4AB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8740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E0E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3F9C6A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6EBE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Acne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43A8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64FC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F72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E6FEBF6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59CB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Dermatitis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A52A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29F2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48A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B7DBA2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C062D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Dry Skin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59C9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598E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073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53B3CA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B41D6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Eczema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9762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66D9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09C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952556D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1CE91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Hyperhidrosis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E880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5A8B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7B4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8A67765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3F444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Perioral Dermatitis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E9AF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C9DE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418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3F888B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F27DF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Rash Erythematous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9691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21B8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16E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9C185A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07E5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Skin Depigmentation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B7E2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2D6D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AC9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34BADF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03F7C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Swelling Face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07BA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35B1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D43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10AC4B2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E168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Metabolism and Nutrition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40B0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28 (41.2)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8A47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22 (32.4)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4C8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34198B6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8A3B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  <w:vertAlign w:val="superscript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Iron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Deficiency</w:t>
            </w:r>
            <w:r w:rsidRPr="009D4754">
              <w:rPr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DDFD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20 (29.4)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17A6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17 (25.0)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6A8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1A7CEE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C50C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Increased Appetite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3301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8C7E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7A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28BA3C1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9305A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Vitamin D Deficiency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09FE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37A1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58C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9DCE3E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5D4D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Decreased Appetite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4138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D17F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A82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DFBC4D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0AE3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Hypocalcemia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7AFB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D13D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EB7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14D2C4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C3890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lastRenderedPageBreak/>
              <w:t>Nervous System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2C3E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28 (41.2)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5BB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9 (13.2)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583C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</w:tr>
      <w:tr w:rsidR="009D4754" w:rsidRPr="009D4754" w14:paraId="74FA8B5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8887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Headache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84AE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13 (19.1)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F05B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6 (8.8)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305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1DDE5D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06D9C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Dizziness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9CDD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6 (8.8)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9A41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E60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B78830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6A17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Ataxia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D94A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D4BA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E06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CC619B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6F68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Balance Disorder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BD32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FAD7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BB6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E15EB95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56882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Drooling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713B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B970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37E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C3FCFDE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BB77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Paraesthesia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9AE9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B9B5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33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F3F59D4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6552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Syncope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DD3B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115A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D4F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4977A03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6002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Musculoskeletal and Connective Tissue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0550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25 (36.8)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A88E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782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F286C94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06768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Arthralgia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BE1F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6 (8.8)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88AC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200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7BC629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A35AB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Osteopenia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9BB0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920E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5FE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E0BCEF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FC2E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Osteoporosis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4F5A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0EA6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1A8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18000B4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E7B44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Foot Deformity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BD4B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D4C6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C01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0B3EF4D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7B988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Pain in Extremity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55C7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914B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FE3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AC5896A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031B8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Scoliosis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0240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3059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7FE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81AE851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5ADEF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Joint Swelling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E583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AAD7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86C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3345F99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F407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Muscle Spasms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91BA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6AA4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A8F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D32D25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44AF1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Toe Walking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C020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59CF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210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6F5B01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C4F8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Blood and Lymphatic System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4256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14 (20.6)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B596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9 (13.2)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08ED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2D10BD8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058B6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  <w:vertAlign w:val="superscript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Anemia</w:t>
            </w:r>
            <w:r w:rsidRPr="009D4754">
              <w:rPr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8248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6 (8.8)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ECDF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BAD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D29085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3A694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  <w:vertAlign w:val="superscript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Iron Deficiency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Anemia</w:t>
            </w:r>
            <w:r w:rsidRPr="009D4754">
              <w:rPr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A60F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7D96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F1D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5308C99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1BF8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Neutropenia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D9AA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2AEC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749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D637818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EB387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Leukocytosis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A3C1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0873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082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85F1170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3111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Leukopenia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2F65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266B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49E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E78AB38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CCC7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Eye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C650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14 (20.6)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C335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FFE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1A37163A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D5CCF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Conjunctivitis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E466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F585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348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932BE3F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C6EFC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Chalazion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A911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BF2A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89F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3EBE131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9632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Psychiatric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DE16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12 (17.6)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E020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313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0554C79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AFE1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Irritability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009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E351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8EA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E6173DF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39374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Depressed Mood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C91B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0269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B01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25D96C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6DBBF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Emotional Disorder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90EE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D3F3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4B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3EA90EA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E3BE3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Enuresis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6D5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CC3B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BE44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7F83D12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49966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Vascular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DD1B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12 (17.6)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4513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7 (10.3)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DB4F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6BDEE3CD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91B2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Flushing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E5EA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2631F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5B0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BBBB906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626C2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Hematoma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9C0E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A7BB8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09D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7921B5C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60A4C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Hypotension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5EDC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F17E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A60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564E0B8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05078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Product Issues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BE05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11 (16.2)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A2DC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839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8AF2D4A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DE602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  <w:vertAlign w:val="superscript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Product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Contamination</w:t>
            </w:r>
            <w:r w:rsidRPr="009D4754">
              <w:rPr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DBB8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11 (16.2)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0445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D78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4CFCFE2F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94D78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lastRenderedPageBreak/>
              <w:t>Neoplasms Benign, Malignant, and Unspecified (Including Cysts and Polyps)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DC96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8 (11.8)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4B2A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6DE5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13EE1BC8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02299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Skin Papilloma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C130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7 (10.3)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316B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1BA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2DE902A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C8506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Ear and Labyrinth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807F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7 (10.3)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5EE2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8E07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EBE1309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D6B22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Otorrhea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3C2F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AEF0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622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5F191EA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CF698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Surgical and Medical Procedures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CF326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5 (7.4)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A8B0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C1E0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1 (1.5)</w:t>
            </w:r>
          </w:p>
        </w:tc>
      </w:tr>
      <w:tr w:rsidR="009D4754" w:rsidRPr="009D4754" w14:paraId="286B160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9DAC6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Congenital, Familial, and Genetic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AC7E1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4 (5.9)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2D66E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360B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26588DDB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979DE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Muscular Dystrophy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4F34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56BB2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4609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621B60D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6C215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Reproductive System and Breast Disorders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069F5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DBD0A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3 (4.4)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E4CD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754" w:rsidRPr="009D4754" w14:paraId="051358E7" w14:textId="77777777" w:rsidTr="009D4754">
        <w:trPr>
          <w:cantSplit/>
        </w:trPr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F062D" w14:textId="77777777" w:rsidR="009D4754" w:rsidRPr="009D4754" w:rsidRDefault="009D4754" w:rsidP="009D4754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9D4754">
              <w:rPr>
                <w:color w:val="000000"/>
                <w:sz w:val="16"/>
                <w:szCs w:val="16"/>
              </w:rPr>
              <w:t>Pruritis</w:t>
            </w:r>
            <w:proofErr w:type="spellEnd"/>
            <w:r w:rsidRPr="009D4754">
              <w:rPr>
                <w:color w:val="000000"/>
                <w:sz w:val="16"/>
                <w:szCs w:val="16"/>
              </w:rPr>
              <w:t xml:space="preserve"> Genital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CBFA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1DC5C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9D4754">
              <w:rPr>
                <w:color w:val="000000"/>
                <w:sz w:val="16"/>
                <w:szCs w:val="16"/>
              </w:rPr>
              <w:t>2 (2.9)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9C13" w14:textId="77777777" w:rsidR="009D4754" w:rsidRPr="009D4754" w:rsidRDefault="009D4754" w:rsidP="009D475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52463AC8" w14:textId="77777777" w:rsidR="009D4754" w:rsidRPr="009D4754" w:rsidRDefault="009D4754" w:rsidP="009D4754">
      <w:pPr>
        <w:spacing w:after="120"/>
        <w:ind w:left="1008"/>
        <w:rPr>
          <w:rFonts w:ascii="Aptos" w:eastAsia="Aptos" w:hAnsi="Aptos" w:cs="Times New Roman"/>
          <w:kern w:val="2"/>
          <w:szCs w:val="24"/>
          <w14:ligatures w14:val="standardContextual"/>
        </w:rPr>
      </w:pPr>
    </w:p>
    <w:p w14:paraId="6B49F294" w14:textId="77777777" w:rsidR="009D4754" w:rsidRPr="009D4754" w:rsidRDefault="009D4754" w:rsidP="009D4754">
      <w:pPr>
        <w:autoSpaceDE w:val="0"/>
        <w:autoSpaceDN w:val="0"/>
        <w:adjustRightInd w:val="0"/>
        <w:spacing w:after="120"/>
        <w:contextualSpacing/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</w:pPr>
      <w:r w:rsidRPr="009D4754"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  <w:t xml:space="preserve">Abbreviations: MedDRA= Medical Dictionary for Regulatory Activities; TEAE=treatment emergent adverse events. </w:t>
      </w:r>
    </w:p>
    <w:p w14:paraId="0EEC1580" w14:textId="77777777" w:rsidR="009D4754" w:rsidRPr="009D4754" w:rsidRDefault="009D4754" w:rsidP="009D4754">
      <w:pPr>
        <w:numPr>
          <w:ilvl w:val="0"/>
          <w:numId w:val="20"/>
        </w:numPr>
        <w:autoSpaceDE w:val="0"/>
        <w:autoSpaceDN w:val="0"/>
        <w:adjustRightInd w:val="0"/>
        <w:spacing w:before="0" w:after="160" w:line="256" w:lineRule="auto"/>
        <w:contextualSpacing/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</w:pPr>
      <w:r w:rsidRPr="009D4754"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  <w:t>*Patients with multiple TEAEs are counted once</w:t>
      </w:r>
    </w:p>
    <w:p w14:paraId="12017B30" w14:textId="77777777" w:rsidR="009D4754" w:rsidRPr="009D4754" w:rsidRDefault="009D4754" w:rsidP="009D4754">
      <w:pPr>
        <w:autoSpaceDE w:val="0"/>
        <w:autoSpaceDN w:val="0"/>
        <w:adjustRightInd w:val="0"/>
        <w:spacing w:after="120"/>
        <w:ind w:left="720"/>
        <w:contextualSpacing/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</w:pPr>
      <w:proofErr w:type="gramStart"/>
      <w:r w:rsidRPr="009D4754">
        <w:rPr>
          <w:rFonts w:eastAsia="Aptos" w:cs="Times New Roman"/>
          <w:color w:val="000000"/>
          <w:kern w:val="2"/>
          <w:sz w:val="20"/>
          <w:szCs w:val="20"/>
          <w:vertAlign w:val="superscript"/>
          <w14:ligatures w14:val="standardContextual"/>
        </w:rPr>
        <w:t xml:space="preserve">a </w:t>
      </w:r>
      <w:r w:rsidRPr="009D4754"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  <w:t xml:space="preserve"> 27</w:t>
      </w:r>
      <w:proofErr w:type="gramEnd"/>
      <w:r w:rsidRPr="009D4754"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  <w:t xml:space="preserve"> individual patients with low iron values, reported among terms: low ferritin, blood iron decreased (investigations) and iron deficiency (metabolism and nutrition)</w:t>
      </w:r>
    </w:p>
    <w:p w14:paraId="5DDF8FF1" w14:textId="77777777" w:rsidR="009D4754" w:rsidRPr="009D4754" w:rsidRDefault="009D4754" w:rsidP="009D4754">
      <w:pPr>
        <w:autoSpaceDE w:val="0"/>
        <w:autoSpaceDN w:val="0"/>
        <w:adjustRightInd w:val="0"/>
        <w:spacing w:after="120"/>
        <w:ind w:left="720"/>
        <w:contextualSpacing/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</w:pPr>
      <w:r w:rsidRPr="009D4754">
        <w:rPr>
          <w:rFonts w:eastAsia="Aptos" w:cs="Times New Roman"/>
          <w:color w:val="000000"/>
          <w:kern w:val="2"/>
          <w:sz w:val="20"/>
          <w:szCs w:val="20"/>
          <w:vertAlign w:val="superscript"/>
          <w14:ligatures w14:val="standardContextual"/>
        </w:rPr>
        <w:t>b</w:t>
      </w:r>
      <w:r w:rsidRPr="009D4754"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  <w:t xml:space="preserve"> 23 individual patients had positive sterility culture reported in 2 categories: investigations “bacterial test positive” and product issues “product contamination”.</w:t>
      </w:r>
    </w:p>
    <w:p w14:paraId="64A1F088" w14:textId="77777777" w:rsidR="009D4754" w:rsidRPr="009D4754" w:rsidRDefault="009D4754" w:rsidP="009D4754">
      <w:pPr>
        <w:autoSpaceDE w:val="0"/>
        <w:autoSpaceDN w:val="0"/>
        <w:adjustRightInd w:val="0"/>
        <w:spacing w:after="120"/>
        <w:ind w:left="720"/>
        <w:contextualSpacing/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</w:pPr>
      <w:proofErr w:type="gramStart"/>
      <w:r w:rsidRPr="009D4754">
        <w:rPr>
          <w:rFonts w:eastAsia="Aptos" w:cs="Times New Roman"/>
          <w:color w:val="000000"/>
          <w:kern w:val="2"/>
          <w:sz w:val="20"/>
          <w:szCs w:val="20"/>
          <w:vertAlign w:val="superscript"/>
          <w14:ligatures w14:val="standardContextual"/>
        </w:rPr>
        <w:t xml:space="preserve">c </w:t>
      </w:r>
      <w:r w:rsidRPr="009D4754"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  <w:t xml:space="preserve"> Total</w:t>
      </w:r>
      <w:proofErr w:type="gramEnd"/>
      <w:r w:rsidRPr="009D4754"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  <w:t xml:space="preserve"> of 23 patients had pruritus (generalized/anal/genital) during infusion, that was reported as treatment-related.  **one patient had an episode of vomiting during the infusion of product which was reported as unrelated to the infusion</w:t>
      </w:r>
    </w:p>
    <w:p w14:paraId="33958565" w14:textId="77777777" w:rsidR="009D4754" w:rsidRPr="009D4754" w:rsidRDefault="009D4754" w:rsidP="009D4754">
      <w:pPr>
        <w:autoSpaceDE w:val="0"/>
        <w:autoSpaceDN w:val="0"/>
        <w:adjustRightInd w:val="0"/>
        <w:spacing w:after="120"/>
        <w:ind w:left="720"/>
        <w:contextualSpacing/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</w:pPr>
      <w:r w:rsidRPr="009D4754">
        <w:rPr>
          <w:rFonts w:eastAsia="Aptos" w:cs="Times New Roman"/>
          <w:color w:val="000000"/>
          <w:kern w:val="2"/>
          <w:sz w:val="20"/>
          <w:szCs w:val="20"/>
          <w:vertAlign w:val="superscript"/>
          <w14:ligatures w14:val="standardContextual"/>
        </w:rPr>
        <w:t>d</w:t>
      </w:r>
      <w:r w:rsidRPr="009D4754">
        <w:rPr>
          <w:rFonts w:eastAsia="Aptos" w:cs="Times New Roman"/>
          <w:color w:val="000000"/>
          <w:kern w:val="2"/>
          <w:sz w:val="20"/>
          <w:szCs w:val="20"/>
          <w14:ligatures w14:val="standardContextual"/>
        </w:rPr>
        <w:t xml:space="preserve"> One patient was reported under anemia and iron deficiency anemia</w:t>
      </w:r>
    </w:p>
    <w:p w14:paraId="0A2B546D" w14:textId="77777777" w:rsidR="009D4754" w:rsidRPr="009D4754" w:rsidRDefault="009D4754" w:rsidP="009D4754">
      <w:pPr>
        <w:spacing w:after="120"/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</w:pPr>
      <w:r w:rsidRPr="009D4754">
        <w:rPr>
          <w:rFonts w:ascii="Aptos" w:eastAsia="Aptos" w:hAnsi="Aptos" w:cs="Times New Roman"/>
          <w:kern w:val="2"/>
          <w:szCs w:val="24"/>
          <w14:ligatures w14:val="standardContextual"/>
        </w:rPr>
        <w:t xml:space="preserve">               </w:t>
      </w:r>
    </w:p>
    <w:p w14:paraId="3B52A02E" w14:textId="77777777" w:rsidR="009D4754" w:rsidRPr="009D4754" w:rsidRDefault="009D4754" w:rsidP="009D4754">
      <w:pPr>
        <w:autoSpaceDE w:val="0"/>
        <w:autoSpaceDN w:val="0"/>
        <w:adjustRightInd w:val="0"/>
        <w:spacing w:before="0" w:after="0"/>
        <w:rPr>
          <w:rFonts w:eastAsia="Aptos" w:cs="Times New Roman"/>
          <w:b/>
          <w:bCs/>
          <w:sz w:val="22"/>
          <w14:ligatures w14:val="standardContextual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73520" w14:textId="77777777" w:rsidR="005763A2" w:rsidRDefault="005763A2" w:rsidP="00117666">
      <w:pPr>
        <w:spacing w:after="0"/>
      </w:pPr>
      <w:r>
        <w:separator/>
      </w:r>
    </w:p>
  </w:endnote>
  <w:endnote w:type="continuationSeparator" w:id="0">
    <w:p w14:paraId="4DF05F52" w14:textId="77777777" w:rsidR="005763A2" w:rsidRDefault="005763A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3987" w14:textId="77777777" w:rsidR="005763A2" w:rsidRDefault="005763A2" w:rsidP="00117666">
      <w:pPr>
        <w:spacing w:after="0"/>
      </w:pPr>
      <w:r>
        <w:separator/>
      </w:r>
    </w:p>
  </w:footnote>
  <w:footnote w:type="continuationSeparator" w:id="0">
    <w:p w14:paraId="6366714C" w14:textId="77777777" w:rsidR="005763A2" w:rsidRDefault="005763A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5A4A93"/>
    <w:multiLevelType w:val="hybridMultilevel"/>
    <w:tmpl w:val="9648C23A"/>
    <w:lvl w:ilvl="0" w:tplc="04242C16">
      <w:start w:val="2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33191167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63824"/>
    <w:rsid w:val="005763A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4754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F3EAD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C-Table">
    <w:name w:val="C-Table"/>
    <w:basedOn w:val="TableNormal"/>
    <w:rsid w:val="009D4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Ann Liu</cp:lastModifiedBy>
  <cp:revision>2</cp:revision>
  <cp:lastPrinted>2013-10-03T12:51:00Z</cp:lastPrinted>
  <dcterms:created xsi:type="dcterms:W3CDTF">2024-10-30T17:28:00Z</dcterms:created>
  <dcterms:modified xsi:type="dcterms:W3CDTF">2024-10-30T17:28:00Z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