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62942D47" w:rsidR="00EA3D3C" w:rsidRPr="00994A3D" w:rsidRDefault="00273973" w:rsidP="0001436A">
      <w:pPr>
        <w:pStyle w:val="berschrift1"/>
      </w:pPr>
      <w:r w:rsidRPr="00273973">
        <w:t>Preliminary Analyses</w:t>
      </w:r>
    </w:p>
    <w:p w14:paraId="3A4AA6E7" w14:textId="5B10418C" w:rsidR="00273973" w:rsidRPr="00273973" w:rsidRDefault="00273973" w:rsidP="00273973">
      <w:pPr>
        <w:spacing w:before="24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Pr="003D1390">
        <w:rPr>
          <w:rFonts w:eastAsia="Times New Roman" w:cs="Times New Roman"/>
        </w:rPr>
        <w:t>easurement invariance across countries was tested for thriving</w:t>
      </w:r>
      <w:r>
        <w:rPr>
          <w:rFonts w:eastAsia="Times New Roman" w:cs="Times New Roman"/>
        </w:rPr>
        <w:t xml:space="preserve"> and OBSE</w:t>
      </w:r>
      <w:r w:rsidRPr="003D1390">
        <w:rPr>
          <w:rFonts w:eastAsia="Times New Roman" w:cs="Times New Roman"/>
        </w:rPr>
        <w:t xml:space="preserve"> within the framework of multiple-group confirmatory factor analyses (MGCFA).</w:t>
      </w:r>
      <w:r>
        <w:rPr>
          <w:rFonts w:eastAsia="Times New Roman" w:cs="Times New Roman"/>
        </w:rPr>
        <w:t xml:space="preserve"> </w:t>
      </w:r>
      <w:r w:rsidRPr="00252586">
        <w:rPr>
          <w:rFonts w:eastAsia="Times New Roman" w:cs="Times New Roman"/>
        </w:rPr>
        <w:t xml:space="preserve">In both analyses, in addition to the chi-square difference test (Δχ²; Anderson and </w:t>
      </w:r>
      <w:proofErr w:type="spellStart"/>
      <w:r w:rsidRPr="00252586">
        <w:rPr>
          <w:rFonts w:eastAsia="Times New Roman" w:cs="Times New Roman"/>
        </w:rPr>
        <w:t>Gerbing</w:t>
      </w:r>
      <w:proofErr w:type="spellEnd"/>
      <w:r w:rsidRPr="00252586">
        <w:rPr>
          <w:rFonts w:eastAsia="Times New Roman" w:cs="Times New Roman"/>
        </w:rPr>
        <w:t>, 1988), we evaluated measurement invariance by examining changes in model fit indices</w:t>
      </w:r>
      <w:r>
        <w:rPr>
          <w:rFonts w:eastAsia="Times New Roman" w:cs="Times New Roman"/>
        </w:rPr>
        <w:t>, f</w:t>
      </w:r>
      <w:r w:rsidRPr="00616DB0">
        <w:rPr>
          <w:rFonts w:eastAsia="Times New Roman" w:cs="Times New Roman"/>
        </w:rPr>
        <w:t>ollowing the guidelines by Chen (2007)</w:t>
      </w:r>
      <w:r>
        <w:rPr>
          <w:rFonts w:eastAsia="Times New Roman" w:cs="Times New Roman"/>
        </w:rPr>
        <w:t>. W</w:t>
      </w:r>
      <w:r w:rsidRPr="00616DB0">
        <w:rPr>
          <w:rFonts w:eastAsia="Times New Roman" w:cs="Times New Roman"/>
        </w:rPr>
        <w:t xml:space="preserve">e assumed measurement invariance when models </w:t>
      </w:r>
      <w:r w:rsidRPr="006E0507">
        <w:rPr>
          <w:rFonts w:eastAsia="Times New Roman" w:cs="Times New Roman"/>
        </w:rPr>
        <w:t>differed by no more than</w:t>
      </w:r>
      <w:r>
        <w:rPr>
          <w:rFonts w:eastAsia="Times New Roman" w:cs="Times New Roman"/>
        </w:rPr>
        <w:t xml:space="preserve"> 0</w:t>
      </w:r>
      <w:r w:rsidRPr="00616DB0">
        <w:rPr>
          <w:rFonts w:eastAsia="Times New Roman" w:cs="Times New Roman"/>
        </w:rPr>
        <w:t xml:space="preserve">.010 in CFI, supplemented by </w:t>
      </w:r>
      <w:r>
        <w:rPr>
          <w:rFonts w:eastAsia="Times New Roman" w:cs="Times New Roman"/>
        </w:rPr>
        <w:t>0</w:t>
      </w:r>
      <w:r w:rsidRPr="00616DB0">
        <w:rPr>
          <w:rFonts w:eastAsia="Times New Roman" w:cs="Times New Roman"/>
        </w:rPr>
        <w:t xml:space="preserve">.015 in RMSEA or </w:t>
      </w:r>
      <w:r>
        <w:rPr>
          <w:rFonts w:eastAsia="Times New Roman" w:cs="Times New Roman"/>
        </w:rPr>
        <w:t>0</w:t>
      </w:r>
      <w:r w:rsidRPr="00616DB0">
        <w:rPr>
          <w:rFonts w:eastAsia="Times New Roman" w:cs="Times New Roman"/>
        </w:rPr>
        <w:t>.030 in SRMR</w:t>
      </w:r>
      <w:r>
        <w:rPr>
          <w:rFonts w:eastAsia="Times New Roman" w:cs="Times New Roman"/>
        </w:rPr>
        <w:t xml:space="preserve"> (ibid.)</w:t>
      </w:r>
      <w:r w:rsidRPr="00616DB0">
        <w:rPr>
          <w:rFonts w:eastAsia="Times New Roman" w:cs="Times New Roman"/>
        </w:rPr>
        <w:t xml:space="preserve">. These </w:t>
      </w:r>
      <w:r>
        <w:rPr>
          <w:rFonts w:eastAsia="Times New Roman" w:cs="Times New Roman"/>
        </w:rPr>
        <w:t>cutoffs</w:t>
      </w:r>
      <w:r w:rsidRPr="00616DB0">
        <w:rPr>
          <w:rFonts w:eastAsia="Times New Roman" w:cs="Times New Roman"/>
        </w:rPr>
        <w:t xml:space="preserve"> were applied when comparing increasingly constrained models </w:t>
      </w:r>
      <w:r>
        <w:rPr>
          <w:rFonts w:eastAsia="Times New Roman" w:cs="Times New Roman"/>
        </w:rPr>
        <w:t>–</w:t>
      </w:r>
      <w:r w:rsidRPr="00616D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that is,</w:t>
      </w:r>
      <w:r w:rsidRPr="00616DB0">
        <w:rPr>
          <w:rFonts w:eastAsia="Times New Roman" w:cs="Times New Roman"/>
        </w:rPr>
        <w:t xml:space="preserve"> metric vs. configural and scalar vs. metric (see also </w:t>
      </w:r>
      <w:proofErr w:type="spellStart"/>
      <w:r w:rsidRPr="00616DB0">
        <w:rPr>
          <w:rFonts w:eastAsia="Times New Roman" w:cs="Times New Roman"/>
        </w:rPr>
        <w:t>Goretzko</w:t>
      </w:r>
      <w:proofErr w:type="spellEnd"/>
      <w:r w:rsidRPr="00616DB0">
        <w:rPr>
          <w:rFonts w:eastAsia="Times New Roman" w:cs="Times New Roman"/>
        </w:rPr>
        <w:t xml:space="preserve"> et al., 2023)</w:t>
      </w:r>
      <w:r>
        <w:rPr>
          <w:rFonts w:eastAsia="Times New Roman" w:cs="Times New Roman"/>
        </w:rPr>
        <w:t xml:space="preserve">. </w:t>
      </w:r>
    </w:p>
    <w:p w14:paraId="5F7C6A4D" w14:textId="712EECB0" w:rsidR="00273973" w:rsidRDefault="00273973" w:rsidP="00273973">
      <w:pPr>
        <w:pStyle w:val="berschrift2"/>
      </w:pPr>
      <w:r w:rsidRPr="00273973">
        <w:t>Analysis 1 (Germany and Indonesia)</w:t>
      </w:r>
    </w:p>
    <w:p w14:paraId="5EFBFD1D" w14:textId="77777777" w:rsidR="00273973" w:rsidRPr="00273973" w:rsidRDefault="00273973" w:rsidP="00273973">
      <w:pPr>
        <w:spacing w:before="24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>The configural invariance model for thriving showed excellent fit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0.000; df = 0;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Gungsuh" w:cs="Times New Roman"/>
          <w:sz w:val="22"/>
          <w:lang w:eastAsia="de-DE"/>
        </w:rPr>
        <w:t xml:space="preserve"> ≤ 0.001; CFI = 1.000; RMSEA = 0.000 (90% CI = 0.000/0.000); SRMR = 0.000). The fit of the metric invariance model was also good (</w:t>
      </w:r>
      <w:r w:rsidRPr="00273973">
        <w:rPr>
          <w:rFonts w:eastAsia="Gungsuh" w:cs="Times New Roman"/>
          <w:sz w:val="22"/>
          <w:lang w:val="de" w:eastAsia="de-DE"/>
        </w:rPr>
        <w:t>χ</w:t>
      </w:r>
      <w:r w:rsidRPr="00273973">
        <w:rPr>
          <w:rFonts w:eastAsia="Gungsuh" w:cs="Times New Roman"/>
          <w:sz w:val="22"/>
          <w:lang w:eastAsia="de-DE"/>
        </w:rPr>
        <w:t xml:space="preserve">2 = 5.357;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0.069; CFI = 0.994; RMSEA = 0.062 (90% CI = 0.000/0.129); SRMR = 0.047), and imposing constraints on the factor loadings did not diminish model fit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>2 = 5.357; df = 2;</w:t>
      </w:r>
      <w:r w:rsidRPr="00273973">
        <w:rPr>
          <w:rFonts w:eastAsia="Times New Roman" w:cs="Times New Roman"/>
          <w:i/>
          <w:sz w:val="22"/>
          <w:lang w:eastAsia="de-DE"/>
        </w:rPr>
        <w:t xml:space="preserve"> p</w:t>
      </w:r>
      <w:r w:rsidRPr="00273973">
        <w:rPr>
          <w:rFonts w:eastAsia="Times New Roman" w:cs="Times New Roman"/>
          <w:sz w:val="22"/>
          <w:lang w:eastAsia="de-DE"/>
        </w:rPr>
        <w:t xml:space="preserve"> = 0.069). Although changes in RMSEA and SRMR slightly exceeded the recommended cutoffs by Chen (2007), we considered metric invariance for thriving to be sufficiently supported based on the non-significant chi-square test. This decision is consistent with the notion that such cutoffs should be applied more flexibly rather than rigidly </w:t>
      </w:r>
      <w:r w:rsidRPr="00273973">
        <w:rPr>
          <w:rFonts w:eastAsia="Arial" w:cs="Times New Roman"/>
          <w:color w:val="000000"/>
          <w:sz w:val="22"/>
          <w:lang w:eastAsia="de-DE"/>
        </w:rPr>
        <w:t xml:space="preserve">– </w:t>
      </w:r>
      <w:r w:rsidRPr="00273973">
        <w:rPr>
          <w:rFonts w:eastAsia="Times New Roman" w:cs="Times New Roman"/>
          <w:sz w:val="22"/>
          <w:lang w:eastAsia="de-DE"/>
        </w:rPr>
        <w:t xml:space="preserve">particularly in models with low degrees of freedom and in cross-cultural comparisons, where slight changes in fit indices may reflect sampling variation rather than true non-invariance (e.g., Barrett, 2007; Byrne and van de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Vijver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2010; Davidov et al, 2018; Fischer et al., 2025;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Groskurth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 et al., 2023; Kenny et al., 2015;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Milfont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 and Fischer, 2010;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Putnick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 and Bornstein, 2017; Zhao et al., 2024). Moreover, the CFI and its changes – which, in this case, remained within the recommended cutoff (Chen, 2007) – has been proposed as one of the most effective indicators of true non-invariance (e.g., Meade et al., 2008; see also Neufeld et al., 2023). After adding constraints on item intercepts across countries, model fit was still good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>2 =</w:t>
      </w:r>
      <w:r w:rsidRPr="00273973">
        <w:rPr>
          <w:rFonts w:eastAsia="Arial" w:cs="Times New Roman"/>
          <w:sz w:val="22"/>
          <w:lang w:eastAsia="de-DE"/>
        </w:rPr>
        <w:t xml:space="preserve"> </w:t>
      </w:r>
      <w:r w:rsidRPr="00273973">
        <w:rPr>
          <w:rFonts w:eastAsia="Times New Roman" w:cs="Times New Roman"/>
          <w:sz w:val="22"/>
          <w:lang w:eastAsia="de-DE"/>
        </w:rPr>
        <w:t xml:space="preserve">6.172; df = 4;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0.187; CFI = 0.996; RMSEA = 0.035 (90% CI = 0.000/0.087); SRMR = 0.052), and showed no reduction in model fit compared to the metric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0.815;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0.665). Thus, scalar invariance was supported.</w:t>
      </w:r>
    </w:p>
    <w:p w14:paraId="7E4024FA" w14:textId="6C469ED5" w:rsidR="00273973" w:rsidRP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>For organization-based self-esteem (OBSE), the fits of the configural invariance model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0.000; df = 0;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Gungsuh" w:cs="Times New Roman"/>
          <w:sz w:val="22"/>
          <w:lang w:eastAsia="de-DE"/>
        </w:rPr>
        <w:t xml:space="preserve"> ≤ 0.001; CFI = 1.000; RMSEA = 0.000 (90% CI = 0.000/0.000); SRMR = 0.000) and of the metric invariance model (</w:t>
      </w:r>
      <w:r w:rsidRPr="00273973">
        <w:rPr>
          <w:rFonts w:eastAsia="Gungsuh" w:cs="Times New Roman"/>
          <w:sz w:val="22"/>
          <w:lang w:val="de" w:eastAsia="de-DE"/>
        </w:rPr>
        <w:t>χ</w:t>
      </w:r>
      <w:r w:rsidRPr="00273973">
        <w:rPr>
          <w:rFonts w:eastAsia="Gungsuh" w:cs="Times New Roman"/>
          <w:sz w:val="22"/>
          <w:lang w:eastAsia="de-DE"/>
        </w:rPr>
        <w:t xml:space="preserve">2 = 0.688;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0.709; CFI = 1.000; RMSEA = 0.000 (90% CI = 0.000/0.069); SRMR = 0.015) were good. The metric invariance model showed no significant reduction compared to the configural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</w:t>
      </w:r>
      <w:r w:rsidRPr="00273973">
        <w:rPr>
          <w:rFonts w:eastAsia="Times New Roman" w:cs="Times New Roman"/>
          <w:sz w:val="22"/>
          <w:lang w:eastAsia="de-DE"/>
        </w:rPr>
        <w:lastRenderedPageBreak/>
        <w:t xml:space="preserve">= 0.688;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0.709), supporting metric invariance. After adding constraints on item intercepts across countries, model fit was still good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3.475; df = 4;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0.482; CFI = 1.000; RMSEA = 0.000 (90% CI = 0.000/0.068); SRMR = 0.012), and showed no reduction in model fit compared to the metric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3.00;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0.223), thereby supporting scalar invariance.</w:t>
      </w:r>
    </w:p>
    <w:p w14:paraId="4F622958" w14:textId="60A85FB1" w:rsidR="00273973" w:rsidRPr="00273973" w:rsidRDefault="00273973" w:rsidP="00273973">
      <w:pPr>
        <w:pStyle w:val="berschrift2"/>
      </w:pPr>
      <w:r w:rsidRPr="00273973">
        <w:t xml:space="preserve">Analysis 1 (Germany and </w:t>
      </w:r>
      <w:r>
        <w:t>UAE</w:t>
      </w:r>
      <w:r w:rsidRPr="00273973">
        <w:t>)</w:t>
      </w:r>
    </w:p>
    <w:p w14:paraId="22185230" w14:textId="77777777" w:rsidR="00273973" w:rsidRPr="00273973" w:rsidRDefault="00273973" w:rsidP="00273973">
      <w:pPr>
        <w:spacing w:before="24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>The configural invariance model for thriving was a good fit to the data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0.000; df = 0;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Gungsuh" w:cs="Times New Roman"/>
          <w:sz w:val="22"/>
          <w:lang w:eastAsia="de-DE"/>
        </w:rPr>
        <w:t xml:space="preserve"> ≤ 0.001; CFI = 1.000; RMSEA = 0.000 (90% CI = 0.000/0.000); SRMR = 0.000). The fit of the metric invariance model was also good (</w:t>
      </w:r>
      <w:r w:rsidRPr="00273973">
        <w:rPr>
          <w:rFonts w:eastAsia="Gungsuh" w:cs="Times New Roman"/>
          <w:sz w:val="22"/>
          <w:lang w:val="de" w:eastAsia="de-DE"/>
        </w:rPr>
        <w:t>χ</w:t>
      </w:r>
      <w:r w:rsidRPr="00273973">
        <w:rPr>
          <w:rFonts w:eastAsia="Gungsuh" w:cs="Times New Roman"/>
          <w:sz w:val="22"/>
          <w:lang w:eastAsia="de-DE"/>
        </w:rPr>
        <w:t xml:space="preserve">2 = 1.067;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0.587; CFI = 1.000; RMSEA = 0.000 (90% CI = 0.000 /0.114); SRMR = 0.023), and imposing constraints on the factor loadings did not diminish model fit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1.067;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0.587). Thus, metric invariance was supported. </w:t>
      </w:r>
      <w:bookmarkStart w:id="0" w:name="_Hlk180178698"/>
      <w:r w:rsidRPr="00273973">
        <w:rPr>
          <w:rFonts w:eastAsia="Times New Roman" w:cs="Times New Roman"/>
          <w:sz w:val="22"/>
          <w:lang w:eastAsia="de-DE"/>
        </w:rPr>
        <w:t>After adding constraints on the intercepts of item 1 and 4, model fit was still good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3.998; df = 4;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0.406; CFI = 1.000; RMSEA = 0.000 (90% CI = 0.000 /0.105); SRMR = 0.044), and showed no reduction in model fit compared to the metric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3.115;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0.211). Thus, partial scalar invariance was supported</w:t>
      </w:r>
      <w:bookmarkEnd w:id="0"/>
      <w:r w:rsidRPr="00273973">
        <w:rPr>
          <w:rFonts w:eastAsia="Times New Roman" w:cs="Times New Roman"/>
          <w:sz w:val="22"/>
          <w:lang w:eastAsia="de-DE"/>
        </w:rPr>
        <w:t>.</w:t>
      </w:r>
    </w:p>
    <w:p w14:paraId="1A15CF49" w14:textId="3B01A9EC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>For organization-based self-esteem (OBSE), the fits of the configural invariance model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0.000; df = 0;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Gungsuh" w:cs="Times New Roman"/>
          <w:sz w:val="22"/>
          <w:lang w:eastAsia="de-DE"/>
        </w:rPr>
        <w:t xml:space="preserve"> ≤ 0.001; CFI = 1.000; RMSEA = 0.000 (90% CI = 0.000/0.000); SRMR = 0.000) and of the metric invariance model (</w:t>
      </w:r>
      <w:r w:rsidRPr="00273973">
        <w:rPr>
          <w:rFonts w:eastAsia="Gungsuh" w:cs="Times New Roman"/>
          <w:sz w:val="22"/>
          <w:lang w:val="de" w:eastAsia="de-DE"/>
        </w:rPr>
        <w:t>χ</w:t>
      </w:r>
      <w:r w:rsidRPr="00273973">
        <w:rPr>
          <w:rFonts w:eastAsia="Gungsuh" w:cs="Times New Roman"/>
          <w:sz w:val="22"/>
          <w:lang w:eastAsia="de-DE"/>
        </w:rPr>
        <w:t xml:space="preserve">2 = 0.104;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0.949; CFI = 1.000; RMSEA = 0.000 (90% CI = .000/.008); SRMR = 0.008) were good. The metric invariance model showed no significant reduction compared to the configural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0.104;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0.949), supporting metric invariance. After adding constraints on item intercepts across countries, model fit was still good (</w:t>
      </w:r>
      <w:r w:rsidRPr="00273973">
        <w:rPr>
          <w:rFonts w:eastAsia="Times New Roman" w:cs="Times New Roman"/>
          <w:sz w:val="22"/>
          <w:lang w:val="de" w:eastAsia="de-DE"/>
        </w:rPr>
        <w:t>χ</w:t>
      </w:r>
      <w:r w:rsidRPr="00273973">
        <w:rPr>
          <w:rFonts w:eastAsia="Times New Roman" w:cs="Times New Roman"/>
          <w:sz w:val="22"/>
          <w:lang w:eastAsia="de-DE"/>
        </w:rPr>
        <w:t xml:space="preserve">2 = 5.006; df = 4;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0.287; CFI = 0.996; RMSEA = 0.035 (90% CI = 0.000/0.114); SRMR = 0.027), and showed no reduction in model fit compared to the metric one (</w:t>
      </w:r>
      <w:proofErr w:type="spellStart"/>
      <w:r w:rsidRPr="00273973">
        <w:rPr>
          <w:rFonts w:eastAsia="Times New Roman" w:cs="Times New Roman"/>
          <w:sz w:val="22"/>
          <w:lang w:val="de" w:eastAsia="de-DE"/>
        </w:rPr>
        <w:t>Δχ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2 = 5.169; df = 2; </w:t>
      </w:r>
      <w:r w:rsidRPr="00273973">
        <w:rPr>
          <w:rFonts w:eastAsia="Times New Roman" w:cs="Times New Roman"/>
          <w:i/>
          <w:sz w:val="22"/>
          <w:lang w:eastAsia="de-DE"/>
        </w:rPr>
        <w:t>p</w:t>
      </w:r>
      <w:r w:rsidRPr="00273973">
        <w:rPr>
          <w:rFonts w:eastAsia="Times New Roman" w:cs="Times New Roman"/>
          <w:sz w:val="22"/>
          <w:lang w:eastAsia="de-DE"/>
        </w:rPr>
        <w:t xml:space="preserve"> = 0.075). Thus, scalar invariance was supported. </w:t>
      </w:r>
    </w:p>
    <w:p w14:paraId="49E08BF0" w14:textId="466561C9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3A652F91" w14:textId="56DE9575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341883CB" w14:textId="2B84D7DE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225A2050" w14:textId="76966D88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03F4FDC2" w14:textId="68B7BEFC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6C26BCA2" w14:textId="251F930E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475951D5" w14:textId="77777777" w:rsidR="00273973" w:rsidRDefault="00273973" w:rsidP="00273973">
      <w:pPr>
        <w:spacing w:before="0" w:line="360" w:lineRule="auto"/>
        <w:jc w:val="both"/>
        <w:rPr>
          <w:rFonts w:eastAsia="Times New Roman" w:cs="Times New Roman"/>
          <w:sz w:val="22"/>
          <w:lang w:eastAsia="de-DE"/>
        </w:rPr>
      </w:pPr>
    </w:p>
    <w:p w14:paraId="37D849B4" w14:textId="769A52ED" w:rsidR="00273973" w:rsidRPr="00994A3D" w:rsidRDefault="00273973" w:rsidP="00273973">
      <w:pPr>
        <w:pStyle w:val="berschrift1"/>
      </w:pPr>
      <w:r>
        <w:lastRenderedPageBreak/>
        <w:t xml:space="preserve">Additional </w:t>
      </w:r>
      <w:r w:rsidRPr="00273973">
        <w:t>Analyses</w:t>
      </w:r>
    </w:p>
    <w:p w14:paraId="7A0247AB" w14:textId="77777777" w:rsidR="00273973" w:rsidRPr="00D522B6" w:rsidRDefault="00273973" w:rsidP="00273973">
      <w:pPr>
        <w:spacing w:before="240" w:line="360" w:lineRule="auto"/>
        <w:rPr>
          <w:rFonts w:eastAsia="Times New Roman" w:cs="Times New Roman"/>
        </w:rPr>
      </w:pPr>
      <w:r w:rsidRPr="00D522B6">
        <w:rPr>
          <w:rFonts w:eastAsia="Times New Roman" w:cs="Times New Roman"/>
        </w:rPr>
        <w:t>Table 1</w:t>
      </w:r>
    </w:p>
    <w:p w14:paraId="44845512" w14:textId="77777777" w:rsidR="00273973" w:rsidRPr="00031C8C" w:rsidRDefault="00273973" w:rsidP="00273973">
      <w:pPr>
        <w:spacing w:before="240" w:line="360" w:lineRule="auto"/>
        <w:rPr>
          <w:rFonts w:eastAsia="Times New Roman" w:cs="Times New Roman"/>
          <w:i/>
        </w:rPr>
      </w:pPr>
      <w:r w:rsidRPr="00031C8C">
        <w:rPr>
          <w:rFonts w:eastAsia="Times New Roman" w:cs="Times New Roman"/>
          <w:i/>
        </w:rPr>
        <w:t xml:space="preserve">Sociodemographic </w:t>
      </w:r>
      <w:r>
        <w:rPr>
          <w:rFonts w:eastAsia="Times New Roman" w:cs="Times New Roman"/>
          <w:i/>
        </w:rPr>
        <w:t>c</w:t>
      </w:r>
      <w:r w:rsidRPr="00031C8C">
        <w:rPr>
          <w:rFonts w:eastAsia="Times New Roman" w:cs="Times New Roman"/>
          <w:i/>
        </w:rPr>
        <w:t xml:space="preserve">haracteristics of </w:t>
      </w:r>
      <w:r>
        <w:rPr>
          <w:rFonts w:eastAsia="Times New Roman" w:cs="Times New Roman"/>
          <w:i/>
        </w:rPr>
        <w:t>p</w:t>
      </w:r>
      <w:r w:rsidRPr="00031C8C">
        <w:rPr>
          <w:rFonts w:eastAsia="Times New Roman" w:cs="Times New Roman"/>
          <w:i/>
        </w:rPr>
        <w:t xml:space="preserve">articipants </w:t>
      </w:r>
      <w:r>
        <w:rPr>
          <w:rFonts w:eastAsia="Times New Roman" w:cs="Times New Roman"/>
          <w:i/>
        </w:rPr>
        <w:t>s</w:t>
      </w:r>
      <w:r w:rsidRPr="00031C8C">
        <w:rPr>
          <w:rFonts w:eastAsia="Times New Roman" w:cs="Times New Roman"/>
          <w:i/>
        </w:rPr>
        <w:t xml:space="preserve">eparated by </w:t>
      </w:r>
      <w:r>
        <w:rPr>
          <w:rFonts w:eastAsia="Times New Roman" w:cs="Times New Roman"/>
          <w:i/>
        </w:rPr>
        <w:t>c</w:t>
      </w:r>
      <w:r w:rsidRPr="00031C8C">
        <w:rPr>
          <w:rFonts w:eastAsia="Times New Roman" w:cs="Times New Roman"/>
          <w:i/>
        </w:rPr>
        <w:t>ountry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1"/>
        <w:gridCol w:w="1069"/>
        <w:gridCol w:w="1069"/>
        <w:gridCol w:w="1069"/>
        <w:gridCol w:w="1069"/>
        <w:gridCol w:w="1070"/>
        <w:gridCol w:w="1070"/>
      </w:tblGrid>
      <w:tr w:rsidR="00273973" w:rsidRPr="00031C8C" w14:paraId="1ECC5460" w14:textId="77777777" w:rsidTr="006E17B1">
        <w:trPr>
          <w:cantSplit/>
          <w:trHeight w:val="288"/>
        </w:trPr>
        <w:tc>
          <w:tcPr>
            <w:tcW w:w="11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6763" w14:textId="77777777" w:rsidR="00273973" w:rsidRPr="00FD4FF7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FD4FF7">
              <w:rPr>
                <w:rFonts w:eastAsia="Times New Roman" w:cs="Times New Roman"/>
                <w:b/>
              </w:rPr>
              <w:t>Characteristic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FE42" w14:textId="77777777" w:rsidR="00273973" w:rsidRPr="00FD4FF7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FD4FF7">
              <w:rPr>
                <w:rFonts w:eastAsia="Times New Roman" w:cs="Times New Roman"/>
                <w:b/>
              </w:rPr>
              <w:t>Germany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8F3C9" w14:textId="77777777" w:rsidR="00273973" w:rsidRPr="00FD4FF7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FD4FF7">
              <w:rPr>
                <w:rFonts w:eastAsia="Times New Roman" w:cs="Times New Roman"/>
                <w:b/>
              </w:rPr>
              <w:t>Indonesia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D1647" w14:textId="77777777" w:rsidR="00273973" w:rsidRPr="00FD4FF7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FD4FF7">
              <w:rPr>
                <w:rFonts w:eastAsia="Times New Roman" w:cs="Times New Roman"/>
                <w:b/>
              </w:rPr>
              <w:t>UAE</w:t>
            </w:r>
          </w:p>
        </w:tc>
      </w:tr>
      <w:tr w:rsidR="00273973" w:rsidRPr="00031C8C" w14:paraId="69EF48FA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A249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796AF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C96B3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0810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2464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F8F7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n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FBC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  <w:i/>
              </w:rPr>
            </w:pPr>
            <w:r w:rsidRPr="000821F9">
              <w:rPr>
                <w:rFonts w:eastAsia="Times New Roman" w:cs="Times New Roman"/>
                <w:i/>
              </w:rPr>
              <w:t>%</w:t>
            </w:r>
          </w:p>
        </w:tc>
      </w:tr>
      <w:tr w:rsidR="00273973" w:rsidRPr="00031C8C" w14:paraId="05210755" w14:textId="77777777" w:rsidTr="006E17B1">
        <w:trPr>
          <w:cantSplit/>
          <w:trHeight w:val="288"/>
        </w:trPr>
        <w:tc>
          <w:tcPr>
            <w:tcW w:w="11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F7B6F" w14:textId="77777777" w:rsidR="00273973" w:rsidRPr="00FD4FF7" w:rsidRDefault="00273973" w:rsidP="006E17B1">
            <w:pPr>
              <w:spacing w:before="240" w:line="360" w:lineRule="auto"/>
              <w:contextualSpacing/>
              <w:rPr>
                <w:rFonts w:eastAsia="Times New Roman" w:cs="Times New Roman"/>
                <w:b/>
              </w:rPr>
            </w:pPr>
            <w:r w:rsidRPr="00FD4FF7">
              <w:rPr>
                <w:rFonts w:eastAsia="Times New Roman" w:cs="Times New Roman"/>
                <w:b/>
              </w:rPr>
              <w:t>Gender</w:t>
            </w: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1849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5C86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3668" w14:textId="77777777" w:rsidR="00273973" w:rsidRPr="000821F9" w:rsidRDefault="00273973" w:rsidP="006E17B1">
            <w:pPr>
              <w:spacing w:before="240" w:line="360" w:lineRule="auto"/>
              <w:contextualSpacing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 xml:space="preserve"> </w:t>
            </w:r>
          </w:p>
        </w:tc>
      </w:tr>
      <w:tr w:rsidR="00273973" w:rsidRPr="00031C8C" w14:paraId="0A1E1668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E94C" w14:textId="77777777" w:rsidR="00273973" w:rsidRPr="000821F9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Female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E2E6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132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66AC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51%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4BB82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508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6110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60.6%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7FCC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152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9EE9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66.1%</w:t>
            </w:r>
          </w:p>
        </w:tc>
      </w:tr>
      <w:tr w:rsidR="00273973" w:rsidRPr="00031C8C" w14:paraId="0A099A8A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E4B61" w14:textId="77777777" w:rsidR="00273973" w:rsidRPr="000821F9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Male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9989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46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F9A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17.8%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6B0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126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64EF3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15%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A4D5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74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5039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32.2%</w:t>
            </w:r>
          </w:p>
        </w:tc>
      </w:tr>
      <w:tr w:rsidR="00273973" w:rsidRPr="00031C8C" w14:paraId="0719A5D2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4F1D" w14:textId="77777777" w:rsidR="00273973" w:rsidRPr="000821F9" w:rsidRDefault="00273973" w:rsidP="006E17B1">
            <w:pPr>
              <w:spacing w:before="240" w:line="360" w:lineRule="auto"/>
              <w:contextualSpacing/>
              <w:rPr>
                <w:rFonts w:eastAsia="Times New Roman" w:cs="Times New Roman"/>
              </w:rPr>
            </w:pPr>
            <w:r w:rsidRPr="00FD4FF7">
              <w:rPr>
                <w:rFonts w:eastAsia="Times New Roman" w:cs="Times New Roman"/>
                <w:b/>
              </w:rPr>
              <w:t>Degree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E11A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8CEA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F17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3DAE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3E0A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E936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273973" w:rsidRPr="00031C8C" w14:paraId="08F2A661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B1DA9" w14:textId="77777777" w:rsidR="00273973" w:rsidRPr="000821F9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Bachelor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DB53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90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CD9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34.8%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6D9B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564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92E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67.2%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49BE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219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C7FA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95.2%</w:t>
            </w:r>
          </w:p>
        </w:tc>
      </w:tr>
      <w:tr w:rsidR="00273973" w:rsidRPr="00031C8C" w14:paraId="008A771A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581B9" w14:textId="77777777" w:rsidR="00273973" w:rsidRPr="000821F9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Master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6FA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96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EEA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37.1%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750D8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68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551E7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8.1%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3BFD2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97E7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0821F9">
              <w:rPr>
                <w:rFonts w:eastAsia="Times New Roman" w:cs="Times New Roman"/>
              </w:rPr>
              <w:t>1.3%</w:t>
            </w:r>
          </w:p>
        </w:tc>
      </w:tr>
      <w:tr w:rsidR="00273973" w:rsidRPr="00031C8C" w14:paraId="2EB82945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7CF6D" w14:textId="77777777" w:rsidR="00273973" w:rsidRPr="004A6EC2" w:rsidRDefault="00273973" w:rsidP="006E17B1">
            <w:pPr>
              <w:spacing w:before="240" w:line="360" w:lineRule="auto"/>
              <w:contextualSpacing/>
              <w:rPr>
                <w:rFonts w:eastAsia="Times New Roman" w:cs="Times New Roman"/>
              </w:rPr>
            </w:pPr>
            <w:r w:rsidRPr="00FD4FF7">
              <w:rPr>
                <w:rFonts w:eastAsia="Times New Roman" w:cs="Times New Roman"/>
                <w:b/>
              </w:rPr>
              <w:t xml:space="preserve">Teacher </w:t>
            </w:r>
            <w:r>
              <w:rPr>
                <w:rFonts w:eastAsia="Times New Roman" w:cs="Times New Roman"/>
                <w:b/>
              </w:rPr>
              <w:t>T</w:t>
            </w:r>
            <w:r w:rsidRPr="00FD4FF7">
              <w:rPr>
                <w:rFonts w:eastAsia="Times New Roman" w:cs="Times New Roman"/>
                <w:b/>
              </w:rPr>
              <w:t>raining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5E2A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6731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BF42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1595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B96FF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9260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273973" w:rsidRPr="00031C8C" w14:paraId="239BDEF8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FEFA" w14:textId="77777777" w:rsidR="00273973" w:rsidRPr="004A6EC2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Yes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9E88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120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757E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46.3%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0B16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595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1A31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70.9%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A36B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28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FCA2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12.2%</w:t>
            </w:r>
          </w:p>
        </w:tc>
      </w:tr>
      <w:tr w:rsidR="00273973" w:rsidRPr="00031C8C" w14:paraId="16CE63EF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9D59" w14:textId="77777777" w:rsidR="00273973" w:rsidRPr="004A6EC2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No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1D3A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64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EEE5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24.7%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A334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36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DDD4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4.3%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BE2FD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190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B6A3" w14:textId="77777777" w:rsidR="00273973" w:rsidRPr="004A6EC2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4A6EC2">
              <w:rPr>
                <w:rFonts w:eastAsia="Times New Roman" w:cs="Times New Roman"/>
              </w:rPr>
              <w:t>82.6%</w:t>
            </w:r>
          </w:p>
        </w:tc>
      </w:tr>
      <w:tr w:rsidR="00273973" w:rsidRPr="00031C8C" w14:paraId="5188AB43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7DB4" w14:textId="77777777" w:rsidR="00273973" w:rsidRPr="000821F9" w:rsidRDefault="00273973" w:rsidP="006E17B1">
            <w:pPr>
              <w:spacing w:before="240" w:line="360" w:lineRule="auto"/>
              <w:contextualSpacing/>
              <w:rPr>
                <w:rFonts w:eastAsia="Times New Roman" w:cs="Times New Roman"/>
              </w:rPr>
            </w:pPr>
            <w:r w:rsidRPr="00FD4FF7">
              <w:rPr>
                <w:rFonts w:eastAsia="Times New Roman" w:cs="Times New Roman"/>
                <w:b/>
              </w:rPr>
              <w:t xml:space="preserve">Academic </w:t>
            </w:r>
            <w:r>
              <w:rPr>
                <w:rFonts w:eastAsia="Times New Roman" w:cs="Times New Roman"/>
                <w:b/>
              </w:rPr>
              <w:t>D</w:t>
            </w:r>
            <w:r w:rsidRPr="00FD4FF7">
              <w:rPr>
                <w:rFonts w:eastAsia="Times New Roman" w:cs="Times New Roman"/>
                <w:b/>
              </w:rPr>
              <w:t>iscipline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0681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71D5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D297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DF5F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044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A7B5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273973" w:rsidRPr="00031C8C" w14:paraId="0BE0B24F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0162" w14:textId="77777777" w:rsidR="00273973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Humanities and </w:t>
            </w:r>
            <w:r w:rsidRPr="0006670C">
              <w:rPr>
                <w:rFonts w:eastAsia="Times New Roman" w:cs="Times New Roman"/>
              </w:rPr>
              <w:t>Social Sciences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D07C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149F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CDA3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583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BB0B1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69.4%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66545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7E247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43.9%</w:t>
            </w:r>
          </w:p>
        </w:tc>
      </w:tr>
      <w:tr w:rsidR="00273973" w:rsidRPr="00031C8C" w14:paraId="1CBC6156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457C" w14:textId="77777777" w:rsidR="00273973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Business and Law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7626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49F3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C751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58A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AE0D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1452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24.8%</w:t>
            </w:r>
          </w:p>
        </w:tc>
      </w:tr>
      <w:tr w:rsidR="00273973" w:rsidRPr="000821F9" w14:paraId="78F04858" w14:textId="77777777" w:rsidTr="006E17B1">
        <w:trPr>
          <w:cantSplit/>
          <w:trHeight w:val="288"/>
        </w:trPr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E807" w14:textId="77777777" w:rsidR="00273973" w:rsidRPr="000821F9" w:rsidRDefault="00273973" w:rsidP="006E17B1">
            <w:pPr>
              <w:spacing w:before="240" w:line="360" w:lineRule="auto"/>
              <w:ind w:left="28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STEM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0878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B8B6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1C26" w14:textId="77777777" w:rsidR="00273973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A55C" w14:textId="77777777" w:rsidR="00273973" w:rsidRPr="000821F9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A62C" w14:textId="77777777" w:rsidR="00273973" w:rsidRPr="00D57DEC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D57DEC">
              <w:rPr>
                <w:rFonts w:eastAsia="Times New Roman" w:cs="Times New Roman"/>
              </w:rPr>
              <w:t>51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A11B" w14:textId="77777777" w:rsidR="00273973" w:rsidRPr="00D57DEC" w:rsidRDefault="00273973" w:rsidP="006E17B1">
            <w:pPr>
              <w:spacing w:before="240" w:line="360" w:lineRule="auto"/>
              <w:contextualSpacing/>
              <w:jc w:val="center"/>
              <w:rPr>
                <w:rFonts w:eastAsia="Times New Roman" w:cs="Times New Roman"/>
              </w:rPr>
            </w:pPr>
            <w:r w:rsidRPr="00D57DE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2</w:t>
            </w:r>
            <w:r w:rsidRPr="00D57DEC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2</w:t>
            </w:r>
            <w:r w:rsidRPr="00D57DEC">
              <w:rPr>
                <w:rFonts w:eastAsia="Times New Roman" w:cs="Times New Roman"/>
              </w:rPr>
              <w:t>%</w:t>
            </w:r>
          </w:p>
        </w:tc>
      </w:tr>
    </w:tbl>
    <w:p w14:paraId="3514595F" w14:textId="6C483628" w:rsidR="00273973" w:rsidRDefault="00273973" w:rsidP="00273973">
      <w:pPr>
        <w:spacing w:before="240" w:line="360" w:lineRule="auto"/>
        <w:jc w:val="both"/>
        <w:rPr>
          <w:rFonts w:eastAsia="Times New Roman" w:cs="Times New Roman"/>
        </w:rPr>
      </w:pPr>
      <w:r w:rsidRPr="00031C8C">
        <w:rPr>
          <w:rFonts w:eastAsia="Times New Roman" w:cs="Times New Roman"/>
          <w:i/>
        </w:rPr>
        <w:t>Note.</w:t>
      </w:r>
      <w:r w:rsidRPr="00031C8C">
        <w:rPr>
          <w:rFonts w:eastAsia="Times New Roman" w:cs="Times New Roman"/>
        </w:rPr>
        <w:t xml:space="preserve"> Germany: </w:t>
      </w:r>
      <w:r w:rsidRPr="00031C8C">
        <w:rPr>
          <w:rFonts w:eastAsia="Times New Roman" w:cs="Times New Roman"/>
          <w:i/>
        </w:rPr>
        <w:t>n</w:t>
      </w:r>
      <w:r w:rsidRPr="00031C8C">
        <w:rPr>
          <w:rFonts w:eastAsia="Times New Roman" w:cs="Times New Roman"/>
        </w:rPr>
        <w:t xml:space="preserve"> = 259; Indonesia: </w:t>
      </w:r>
      <w:r w:rsidRPr="00031C8C">
        <w:rPr>
          <w:rFonts w:eastAsia="Times New Roman" w:cs="Times New Roman"/>
          <w:i/>
        </w:rPr>
        <w:t>n</w:t>
      </w:r>
      <w:r w:rsidRPr="00031C8C">
        <w:rPr>
          <w:rFonts w:eastAsia="Times New Roman" w:cs="Times New Roman"/>
        </w:rPr>
        <w:t xml:space="preserve"> = 839; UAE</w:t>
      </w:r>
      <w:r>
        <w:rPr>
          <w:rFonts w:eastAsia="Times New Roman" w:cs="Times New Roman"/>
        </w:rPr>
        <w:t xml:space="preserve">: </w:t>
      </w:r>
      <w:r w:rsidRPr="00092E01">
        <w:rPr>
          <w:rFonts w:eastAsia="Times New Roman" w:cs="Times New Roman"/>
          <w:i/>
        </w:rPr>
        <w:t>n</w:t>
      </w:r>
      <w:r w:rsidRPr="00031C8C">
        <w:rPr>
          <w:rFonts w:eastAsia="Times New Roman" w:cs="Times New Roman"/>
        </w:rPr>
        <w:t xml:space="preserve"> = 230. Participants in Germany were on average 24.49 (</w:t>
      </w:r>
      <w:r w:rsidRPr="00031C8C">
        <w:rPr>
          <w:rFonts w:eastAsia="Times New Roman" w:cs="Times New Roman"/>
          <w:i/>
        </w:rPr>
        <w:t>SD</w:t>
      </w:r>
      <w:r w:rsidRPr="00031C8C">
        <w:rPr>
          <w:rFonts w:eastAsia="Times New Roman" w:cs="Times New Roman"/>
        </w:rPr>
        <w:t xml:space="preserve"> = 4.69), in Indonesia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21.15 (</w:t>
      </w:r>
      <w:r w:rsidRPr="00031C8C">
        <w:rPr>
          <w:rFonts w:eastAsia="Times New Roman" w:cs="Times New Roman"/>
          <w:i/>
        </w:rPr>
        <w:t>SD</w:t>
      </w:r>
      <w:r w:rsidRPr="00031C8C">
        <w:rPr>
          <w:rFonts w:eastAsia="Times New Roman" w:cs="Times New Roman"/>
        </w:rPr>
        <w:t xml:space="preserve"> = 4.01), and in the UAE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19.77 (</w:t>
      </w:r>
      <w:r w:rsidRPr="00031C8C">
        <w:rPr>
          <w:rFonts w:eastAsia="Times New Roman" w:cs="Times New Roman"/>
          <w:i/>
        </w:rPr>
        <w:t>SD</w:t>
      </w:r>
      <w:r w:rsidRPr="00031C8C">
        <w:rPr>
          <w:rFonts w:eastAsia="Times New Roman" w:cs="Times New Roman"/>
        </w:rPr>
        <w:t xml:space="preserve"> = 1.78) years old. In Germany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81 (31.2%), in Indonesia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205 (24.4%), and in the UAE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4 (1.7%) of the students did not indicate their gender. In Germany, 73 (28.1%), in Indonesia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207 (24.7%), and in the UAE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8 (3.5%) of the students did not indicate their degree. In Germany, 75 (29%), in Indonesia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208 (24.8%), and in the UAE</w:t>
      </w:r>
      <w:r>
        <w:rPr>
          <w:rFonts w:eastAsia="Times New Roman" w:cs="Times New Roman"/>
        </w:rPr>
        <w:t>,</w:t>
      </w:r>
      <w:r w:rsidRPr="00031C8C">
        <w:rPr>
          <w:rFonts w:eastAsia="Times New Roman" w:cs="Times New Roman"/>
        </w:rPr>
        <w:t xml:space="preserve"> 12 (5.2%) of the students did not indicate if they were studying as part of a teacher training </w:t>
      </w:r>
      <w:r w:rsidRPr="00C82912">
        <w:rPr>
          <w:rFonts w:eastAsia="Times New Roman" w:cs="Times New Roman"/>
        </w:rPr>
        <w:t xml:space="preserve">program. </w:t>
      </w:r>
      <w:r w:rsidRPr="00D57DEC">
        <w:rPr>
          <w:rFonts w:eastAsia="Times New Roman" w:cs="Times New Roman"/>
        </w:rPr>
        <w:t>In Indonesia, 214 (25.</w:t>
      </w:r>
      <w:r>
        <w:rPr>
          <w:rFonts w:eastAsia="Times New Roman" w:cs="Times New Roman"/>
        </w:rPr>
        <w:t>6</w:t>
      </w:r>
      <w:r w:rsidRPr="00D57DEC">
        <w:rPr>
          <w:rFonts w:eastAsia="Times New Roman" w:cs="Times New Roman"/>
        </w:rPr>
        <w:t xml:space="preserve">%) </w:t>
      </w:r>
      <w:r>
        <w:rPr>
          <w:rFonts w:eastAsia="Times New Roman" w:cs="Times New Roman"/>
        </w:rPr>
        <w:t xml:space="preserve">of the students </w:t>
      </w:r>
      <w:r w:rsidRPr="00D57DEC">
        <w:rPr>
          <w:rFonts w:eastAsia="Times New Roman" w:cs="Times New Roman"/>
        </w:rPr>
        <w:t xml:space="preserve">did not indicate their academic discipline. </w:t>
      </w:r>
      <w:r w:rsidRPr="006E20A9">
        <w:rPr>
          <w:rFonts w:eastAsia="Times New Roman" w:cs="Times New Roman"/>
        </w:rPr>
        <w:t xml:space="preserve">In the UAE, 21 (9.1%) </w:t>
      </w:r>
      <w:r>
        <w:rPr>
          <w:rFonts w:eastAsia="Times New Roman" w:cs="Times New Roman"/>
        </w:rPr>
        <w:t xml:space="preserve">of the students </w:t>
      </w:r>
      <w:r w:rsidRPr="006E20A9">
        <w:rPr>
          <w:rFonts w:eastAsia="Times New Roman" w:cs="Times New Roman"/>
        </w:rPr>
        <w:t xml:space="preserve">did not indicate their academic discipline. </w:t>
      </w:r>
      <w:r w:rsidRPr="00D57DEC">
        <w:rPr>
          <w:rFonts w:eastAsia="Times New Roman" w:cs="Times New Roman"/>
        </w:rPr>
        <w:t>The category “</w:t>
      </w:r>
      <w:r>
        <w:rPr>
          <w:rFonts w:eastAsia="Times New Roman" w:cs="Times New Roman"/>
        </w:rPr>
        <w:t xml:space="preserve">Humanities and </w:t>
      </w:r>
      <w:r w:rsidRPr="00D57DEC">
        <w:rPr>
          <w:rFonts w:eastAsia="Times New Roman" w:cs="Times New Roman"/>
        </w:rPr>
        <w:t>Social Sciences” in Germany primarily include</w:t>
      </w:r>
      <w:r>
        <w:rPr>
          <w:rFonts w:eastAsia="Times New Roman" w:cs="Times New Roman"/>
        </w:rPr>
        <w:t>d subjects in the fields of</w:t>
      </w:r>
      <w:r w:rsidRPr="00D57DEC">
        <w:rPr>
          <w:rFonts w:eastAsia="Times New Roman" w:cs="Times New Roman"/>
        </w:rPr>
        <w:t xml:space="preserve"> educational sciences, teacher training programs</w:t>
      </w:r>
      <w:r>
        <w:rPr>
          <w:rFonts w:eastAsia="Times New Roman" w:cs="Times New Roman"/>
        </w:rPr>
        <w:t xml:space="preserve">, </w:t>
      </w:r>
      <w:r w:rsidRPr="00D57DEC">
        <w:rPr>
          <w:rFonts w:eastAsia="Times New Roman" w:cs="Times New Roman"/>
        </w:rPr>
        <w:t xml:space="preserve">psychology, </w:t>
      </w:r>
      <w:r>
        <w:rPr>
          <w:rFonts w:eastAsia="Times New Roman" w:cs="Times New Roman"/>
        </w:rPr>
        <w:t xml:space="preserve">and </w:t>
      </w:r>
      <w:r w:rsidRPr="00D57DEC">
        <w:rPr>
          <w:rFonts w:eastAsia="Times New Roman" w:cs="Times New Roman"/>
        </w:rPr>
        <w:t>languages. The category “</w:t>
      </w:r>
      <w:r>
        <w:rPr>
          <w:rFonts w:eastAsia="Times New Roman" w:cs="Times New Roman"/>
        </w:rPr>
        <w:t>Humanities and Social Sciences</w:t>
      </w:r>
      <w:r w:rsidRPr="00D57DEC">
        <w:rPr>
          <w:rFonts w:eastAsia="Times New Roman" w:cs="Times New Roman"/>
        </w:rPr>
        <w:t xml:space="preserve">” in </w:t>
      </w:r>
      <w:r w:rsidRPr="00AB1ED0">
        <w:rPr>
          <w:rFonts w:eastAsia="Times New Roman" w:cs="Times New Roman"/>
        </w:rPr>
        <w:t>Indonesia primarily include</w:t>
      </w:r>
      <w:r>
        <w:rPr>
          <w:rFonts w:eastAsia="Times New Roman" w:cs="Times New Roman"/>
        </w:rPr>
        <w:t>d</w:t>
      </w:r>
      <w:r w:rsidRPr="00AB1ED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subjects in the fields of teacher training programs and </w:t>
      </w:r>
      <w:r w:rsidRPr="00AB1ED0">
        <w:rPr>
          <w:rFonts w:eastAsia="Times New Roman" w:cs="Times New Roman"/>
        </w:rPr>
        <w:t xml:space="preserve">early childhood </w:t>
      </w:r>
      <w:r w:rsidRPr="006E20A9">
        <w:rPr>
          <w:rFonts w:eastAsia="Times New Roman" w:cs="Times New Roman"/>
        </w:rPr>
        <w:lastRenderedPageBreak/>
        <w:t>education</w:t>
      </w:r>
      <w:r>
        <w:rPr>
          <w:rFonts w:eastAsia="Times New Roman" w:cs="Times New Roman"/>
        </w:rPr>
        <w:t xml:space="preserve">. </w:t>
      </w:r>
      <w:r w:rsidRPr="006E20A9">
        <w:rPr>
          <w:rFonts w:eastAsia="Times New Roman" w:cs="Times New Roman"/>
        </w:rPr>
        <w:t xml:space="preserve">The category </w:t>
      </w:r>
      <w:r>
        <w:rPr>
          <w:rFonts w:eastAsia="Times New Roman" w:cs="Times New Roman"/>
        </w:rPr>
        <w:t xml:space="preserve">“Humanities and Social Sciences” in the UAE primarily included subjects in the fields of psychology, visual communication, public speaking, and languages. </w:t>
      </w:r>
    </w:p>
    <w:p w14:paraId="52FADDEA" w14:textId="77777777" w:rsidR="00273973" w:rsidRDefault="00273973" w:rsidP="00273973">
      <w:pPr>
        <w:spacing w:before="240" w:line="360" w:lineRule="auto"/>
        <w:jc w:val="both"/>
        <w:rPr>
          <w:rFonts w:eastAsia="Times New Roman" w:cs="Times New Roman"/>
        </w:rPr>
      </w:pPr>
      <w:bookmarkStart w:id="1" w:name="_GoBack"/>
      <w:bookmarkEnd w:id="1"/>
    </w:p>
    <w:p w14:paraId="0A6430CA" w14:textId="1F5DCB22" w:rsidR="00273973" w:rsidRPr="00273973" w:rsidRDefault="00273973" w:rsidP="00273973">
      <w:pPr>
        <w:pStyle w:val="berschrift1"/>
      </w:pPr>
      <w:r w:rsidRPr="00273973">
        <w:rPr>
          <w:rFonts w:eastAsia="Times New Roman"/>
          <w:sz w:val="22"/>
          <w:lang w:eastAsia="de-DE"/>
        </w:rPr>
        <w:t>R</w:t>
      </w:r>
      <w:r w:rsidRPr="00273973">
        <w:rPr>
          <w:rFonts w:eastAsia="Times New Roman"/>
          <w:sz w:val="22"/>
          <w:lang w:eastAsia="de-DE"/>
        </w:rPr>
        <w:t>eferences</w:t>
      </w:r>
    </w:p>
    <w:p w14:paraId="40B06E2E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Anderson, J. C., and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Gerbing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D. W. (1988). Structural equation modeling in practice: A review and </w:t>
      </w:r>
    </w:p>
    <w:p w14:paraId="4B7FA869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recommended two-step approach. </w:t>
      </w:r>
      <w:r w:rsidRPr="00273973">
        <w:rPr>
          <w:rFonts w:eastAsia="Times New Roman" w:cs="Times New Roman"/>
          <w:i/>
          <w:iCs/>
          <w:sz w:val="22"/>
          <w:lang w:eastAsia="de-DE"/>
        </w:rPr>
        <w:t>Psychol. Bull.</w:t>
      </w:r>
      <w:r w:rsidRPr="00273973">
        <w:rPr>
          <w:rFonts w:eastAsia="Times New Roman" w:cs="Times New Roman"/>
          <w:sz w:val="22"/>
          <w:lang w:eastAsia="de-DE"/>
        </w:rPr>
        <w:t xml:space="preserve"> 103, 411–423.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10.1037/0033-2909.103.3.411</w:t>
      </w:r>
    </w:p>
    <w:p w14:paraId="7B6CABD8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Barrett, P. (2007). Structural equation modelling: Adjudging model fit. </w:t>
      </w:r>
      <w:r w:rsidRPr="00273973">
        <w:rPr>
          <w:rFonts w:eastAsia="Times New Roman" w:cs="Times New Roman"/>
          <w:i/>
          <w:sz w:val="22"/>
          <w:lang w:eastAsia="de-DE"/>
        </w:rPr>
        <w:t xml:space="preserve">Pers. </w:t>
      </w:r>
      <w:proofErr w:type="spellStart"/>
      <w:r w:rsidRPr="00273973">
        <w:rPr>
          <w:rFonts w:eastAsia="Times New Roman" w:cs="Times New Roman"/>
          <w:i/>
          <w:sz w:val="22"/>
          <w:lang w:eastAsia="de-DE"/>
        </w:rPr>
        <w:t>Individ</w:t>
      </w:r>
      <w:proofErr w:type="spellEnd"/>
      <w:r w:rsidRPr="00273973">
        <w:rPr>
          <w:rFonts w:eastAsia="Times New Roman" w:cs="Times New Roman"/>
          <w:i/>
          <w:sz w:val="22"/>
          <w:lang w:eastAsia="de-DE"/>
        </w:rPr>
        <w:t>. Differ</w:t>
      </w:r>
      <w:r w:rsidRPr="00273973">
        <w:rPr>
          <w:rFonts w:eastAsia="Times New Roman" w:cs="Times New Roman"/>
          <w:sz w:val="22"/>
          <w:lang w:eastAsia="de-DE"/>
        </w:rPr>
        <w:t>. 42, 815–</w:t>
      </w:r>
    </w:p>
    <w:p w14:paraId="1309664C" w14:textId="77777777" w:rsidR="00273973" w:rsidRPr="00273973" w:rsidRDefault="00273973" w:rsidP="00273973">
      <w:pPr>
        <w:spacing w:before="0" w:after="0" w:line="360" w:lineRule="auto"/>
        <w:ind w:firstLine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824.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10.1016/j.paid.2006.09.018</w:t>
      </w:r>
    </w:p>
    <w:p w14:paraId="6AA62994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Byrne, B. M., and van de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Vijver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F. J. R. (2010). Testing for measurement and structural equivalence </w:t>
      </w:r>
    </w:p>
    <w:p w14:paraId="039606E9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in large-scale cross-cultural studies: Addressing the issue of nonequivalence. </w:t>
      </w:r>
      <w:r w:rsidRPr="00273973">
        <w:rPr>
          <w:rFonts w:eastAsia="Times New Roman" w:cs="Times New Roman"/>
          <w:i/>
          <w:sz w:val="22"/>
          <w:lang w:eastAsia="de-DE"/>
        </w:rPr>
        <w:t>Int. J. Test</w:t>
      </w:r>
      <w:r w:rsidRPr="00273973">
        <w:rPr>
          <w:rFonts w:eastAsia="Times New Roman" w:cs="Times New Roman"/>
          <w:sz w:val="22"/>
          <w:lang w:eastAsia="de-DE"/>
        </w:rPr>
        <w:t xml:space="preserve">. 10, 107–132.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10.1080/15305051003637306</w:t>
      </w:r>
    </w:p>
    <w:p w14:paraId="2D93BA97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Chen, F. F. (2007). Sensitivity of goodness of fit indices to lack of measurement invariance. </w:t>
      </w:r>
      <w:r w:rsidRPr="00273973">
        <w:rPr>
          <w:rFonts w:eastAsia="Times New Roman" w:cs="Times New Roman"/>
          <w:i/>
          <w:sz w:val="22"/>
          <w:lang w:eastAsia="de-DE"/>
        </w:rPr>
        <w:t>Struct.</w:t>
      </w:r>
      <w:r w:rsidRPr="00273973">
        <w:rPr>
          <w:rFonts w:eastAsia="Times New Roman" w:cs="Times New Roman"/>
          <w:sz w:val="22"/>
          <w:lang w:eastAsia="de-DE"/>
        </w:rPr>
        <w:t xml:space="preserve"> </w:t>
      </w:r>
    </w:p>
    <w:p w14:paraId="1769F133" w14:textId="77777777" w:rsidR="00273973" w:rsidRPr="00273973" w:rsidRDefault="00273973" w:rsidP="00273973">
      <w:pPr>
        <w:spacing w:before="0" w:after="0" w:line="360" w:lineRule="auto"/>
        <w:ind w:firstLine="720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i/>
          <w:sz w:val="22"/>
          <w:lang w:eastAsia="de-DE"/>
        </w:rPr>
        <w:t>Equ</w:t>
      </w:r>
      <w:proofErr w:type="spellEnd"/>
      <w:r w:rsidRPr="00273973">
        <w:rPr>
          <w:rFonts w:eastAsia="Times New Roman" w:cs="Times New Roman"/>
          <w:i/>
          <w:sz w:val="22"/>
          <w:lang w:eastAsia="de-DE"/>
        </w:rPr>
        <w:t>. Model</w:t>
      </w:r>
      <w:r w:rsidRPr="00273973">
        <w:rPr>
          <w:rFonts w:eastAsia="Times New Roman" w:cs="Times New Roman"/>
          <w:sz w:val="22"/>
          <w:lang w:eastAsia="de-DE"/>
        </w:rPr>
        <w:t xml:space="preserve">. 14, 464–504.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10.1080/10705510701301834</w:t>
      </w:r>
    </w:p>
    <w:p w14:paraId="5656E9CC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Davidov, E.,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Muthén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B., and Schmidt, P. (2018). Measurement invariance in cross-national studies: </w:t>
      </w:r>
    </w:p>
    <w:p w14:paraId="5F5420C2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Challenging traditional approaches and evaluating new ones. </w:t>
      </w:r>
      <w:proofErr w:type="spellStart"/>
      <w:r w:rsidRPr="00273973">
        <w:rPr>
          <w:rFonts w:eastAsia="Times New Roman" w:cs="Times New Roman"/>
          <w:i/>
          <w:sz w:val="22"/>
          <w:lang w:eastAsia="de-DE"/>
        </w:rPr>
        <w:t>Sociol</w:t>
      </w:r>
      <w:proofErr w:type="spellEnd"/>
      <w:r w:rsidRPr="00273973">
        <w:rPr>
          <w:rFonts w:eastAsia="Times New Roman" w:cs="Times New Roman"/>
          <w:i/>
          <w:sz w:val="22"/>
          <w:lang w:eastAsia="de-DE"/>
        </w:rPr>
        <w:t>. Methods Res</w:t>
      </w:r>
      <w:r w:rsidRPr="00273973">
        <w:rPr>
          <w:rFonts w:eastAsia="Times New Roman" w:cs="Times New Roman"/>
          <w:sz w:val="22"/>
          <w:lang w:eastAsia="de-DE"/>
        </w:rPr>
        <w:t xml:space="preserve">. 47, 631–636.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10.1177/0049124118789708</w:t>
      </w:r>
    </w:p>
    <w:p w14:paraId="397990AA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Fischer, R., Karl, J. A.,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Luczak-Roesch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M., and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Hartle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L. (2025). Why we need to rethink </w:t>
      </w:r>
    </w:p>
    <w:p w14:paraId="07AF899A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measurement invariance: The role of measurement invariance for cross-cultural research. </w:t>
      </w:r>
      <w:r w:rsidRPr="00273973">
        <w:rPr>
          <w:rFonts w:eastAsia="Times New Roman" w:cs="Times New Roman"/>
          <w:i/>
          <w:sz w:val="22"/>
          <w:lang w:eastAsia="de-DE"/>
        </w:rPr>
        <w:t>Cross-Cult. Res</w:t>
      </w:r>
      <w:r w:rsidRPr="00273973">
        <w:rPr>
          <w:rFonts w:eastAsia="Times New Roman" w:cs="Times New Roman"/>
          <w:sz w:val="22"/>
          <w:lang w:eastAsia="de-DE"/>
        </w:rPr>
        <w:t xml:space="preserve">. 10693971241312459.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10.1177/10693971241312459</w:t>
      </w:r>
    </w:p>
    <w:p w14:paraId="743E8321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sz w:val="22"/>
          <w:lang w:eastAsia="de-DE"/>
        </w:rPr>
        <w:t>Goretzko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D.,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Siemund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K., and Sterner, P. (2024). Evaluating model fit of measurement models in </w:t>
      </w:r>
    </w:p>
    <w:p w14:paraId="1D396CF2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confirmatory factor analysis. </w:t>
      </w:r>
      <w:r w:rsidRPr="00273973">
        <w:rPr>
          <w:rFonts w:eastAsia="Times New Roman" w:cs="Times New Roman"/>
          <w:i/>
          <w:sz w:val="22"/>
          <w:lang w:eastAsia="de-DE"/>
        </w:rPr>
        <w:t>Educ. Psychol. Meas</w:t>
      </w:r>
      <w:r w:rsidRPr="00273973">
        <w:rPr>
          <w:rFonts w:eastAsia="Times New Roman" w:cs="Times New Roman"/>
          <w:sz w:val="22"/>
          <w:lang w:eastAsia="de-DE"/>
        </w:rPr>
        <w:t xml:space="preserve">. 84, 499–524.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10.1177/00131644231163813</w:t>
      </w:r>
    </w:p>
    <w:p w14:paraId="3F153F61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sz w:val="22"/>
          <w:lang w:eastAsia="de-DE"/>
        </w:rPr>
        <w:t>Groskurth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K.,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Bluemke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M., and Lechner, C. M. (2024). Why we need to abandon fixed cutoffs for </w:t>
      </w:r>
    </w:p>
    <w:p w14:paraId="2D2D404F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goodness-of-fit indices: An extensive simulation and possible solutions. </w:t>
      </w:r>
      <w:proofErr w:type="spellStart"/>
      <w:r w:rsidRPr="00273973">
        <w:rPr>
          <w:rFonts w:eastAsia="Times New Roman" w:cs="Times New Roman"/>
          <w:i/>
          <w:sz w:val="22"/>
          <w:lang w:eastAsia="de-DE"/>
        </w:rPr>
        <w:t>Behav</w:t>
      </w:r>
      <w:proofErr w:type="spellEnd"/>
      <w:r w:rsidRPr="00273973">
        <w:rPr>
          <w:rFonts w:eastAsia="Times New Roman" w:cs="Times New Roman"/>
          <w:i/>
          <w:sz w:val="22"/>
          <w:lang w:eastAsia="de-DE"/>
        </w:rPr>
        <w:t>. Res. Methods</w:t>
      </w:r>
      <w:r w:rsidRPr="00273973">
        <w:rPr>
          <w:rFonts w:eastAsia="Times New Roman" w:cs="Times New Roman"/>
          <w:sz w:val="22"/>
          <w:lang w:eastAsia="de-DE"/>
        </w:rPr>
        <w:t xml:space="preserve"> 56, 3891–3914.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10.3758/s13428-023-02193-3</w:t>
      </w:r>
    </w:p>
    <w:p w14:paraId="3C08E8E5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Kenny, D. A.,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Kaniskan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B., and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McCoach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D. B. (2015). The performance of RMSEA in models with </w:t>
      </w:r>
    </w:p>
    <w:p w14:paraId="3CDB7CFF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small degrees of freedom. </w:t>
      </w:r>
      <w:proofErr w:type="spellStart"/>
      <w:r w:rsidRPr="00273973">
        <w:rPr>
          <w:rFonts w:eastAsia="Times New Roman" w:cs="Times New Roman"/>
          <w:i/>
          <w:sz w:val="22"/>
          <w:lang w:eastAsia="de-DE"/>
        </w:rPr>
        <w:t>Sociol</w:t>
      </w:r>
      <w:proofErr w:type="spellEnd"/>
      <w:r w:rsidRPr="00273973">
        <w:rPr>
          <w:rFonts w:eastAsia="Times New Roman" w:cs="Times New Roman"/>
          <w:i/>
          <w:sz w:val="22"/>
          <w:lang w:eastAsia="de-DE"/>
        </w:rPr>
        <w:t>. Methods Res</w:t>
      </w:r>
      <w:r w:rsidRPr="00273973">
        <w:rPr>
          <w:rFonts w:eastAsia="Times New Roman" w:cs="Times New Roman"/>
          <w:sz w:val="22"/>
          <w:lang w:eastAsia="de-DE"/>
        </w:rPr>
        <w:t xml:space="preserve">. 44, 486–507.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10.1177/0049124114543236</w:t>
      </w:r>
    </w:p>
    <w:p w14:paraId="4B571A61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Meade, A. W., Johnson, E. C., and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Braddy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P. W. (2008). Power and sensitivity of alternative fit </w:t>
      </w:r>
    </w:p>
    <w:p w14:paraId="679BC99C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indices in tests of measurement invariance. </w:t>
      </w:r>
      <w:r w:rsidRPr="00273973">
        <w:rPr>
          <w:rFonts w:eastAsia="Times New Roman" w:cs="Times New Roman"/>
          <w:i/>
          <w:sz w:val="22"/>
          <w:lang w:eastAsia="de-DE"/>
        </w:rPr>
        <w:t>J. Appl. Psychol</w:t>
      </w:r>
      <w:r w:rsidRPr="00273973">
        <w:rPr>
          <w:rFonts w:eastAsia="Times New Roman" w:cs="Times New Roman"/>
          <w:sz w:val="22"/>
          <w:lang w:eastAsia="de-DE"/>
        </w:rPr>
        <w:t xml:space="preserve">. 93, 568–592.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10.1037/0021-9010.93.3.568</w:t>
      </w:r>
    </w:p>
    <w:p w14:paraId="5E9265B9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sz w:val="22"/>
          <w:lang w:eastAsia="de-DE"/>
        </w:rPr>
        <w:t>Milfont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T. L., and Fischer, R. (2010). Testing measurement invariance across groups: Applications in </w:t>
      </w:r>
    </w:p>
    <w:p w14:paraId="3155544F" w14:textId="77777777" w:rsidR="00273973" w:rsidRPr="00273973" w:rsidRDefault="00273973" w:rsidP="00273973">
      <w:pPr>
        <w:spacing w:before="0" w:after="0" w:line="360" w:lineRule="auto"/>
        <w:ind w:firstLine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cross-cultural research. </w:t>
      </w:r>
      <w:r w:rsidRPr="00273973">
        <w:rPr>
          <w:rFonts w:eastAsia="Times New Roman" w:cs="Times New Roman"/>
          <w:i/>
          <w:sz w:val="22"/>
          <w:lang w:eastAsia="de-DE"/>
        </w:rPr>
        <w:t>Int. J. Psychol. Res</w:t>
      </w:r>
      <w:r w:rsidRPr="00273973">
        <w:rPr>
          <w:rFonts w:eastAsia="Times New Roman" w:cs="Times New Roman"/>
          <w:sz w:val="22"/>
          <w:lang w:eastAsia="de-DE"/>
        </w:rPr>
        <w:t xml:space="preserve">. 3, 111–130.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10.21500/20112084.857</w:t>
      </w:r>
    </w:p>
    <w:p w14:paraId="319015F8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sz w:val="22"/>
          <w:lang w:eastAsia="de-DE"/>
        </w:rPr>
        <w:t>Putnick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D. L., and Bornstein, M. H. (2016). Measurement invariance conventions and reporting: The </w:t>
      </w:r>
    </w:p>
    <w:p w14:paraId="7FA79891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lastRenderedPageBreak/>
        <w:t xml:space="preserve">state of the art and future directions for psychological research. </w:t>
      </w:r>
      <w:r w:rsidRPr="00273973">
        <w:rPr>
          <w:rFonts w:eastAsia="Times New Roman" w:cs="Times New Roman"/>
          <w:i/>
          <w:sz w:val="22"/>
          <w:lang w:eastAsia="de-DE"/>
        </w:rPr>
        <w:t>Dev. Rev</w:t>
      </w:r>
      <w:r w:rsidRPr="00273973">
        <w:rPr>
          <w:rFonts w:eastAsia="Times New Roman" w:cs="Times New Roman"/>
          <w:sz w:val="22"/>
          <w:lang w:eastAsia="de-DE"/>
        </w:rPr>
        <w:t xml:space="preserve">. 41, 71–90.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10.1016/j.dr.2016.06.004</w:t>
      </w:r>
    </w:p>
    <w:p w14:paraId="5B94EBD5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proofErr w:type="spellStart"/>
      <w:r w:rsidRPr="00273973">
        <w:rPr>
          <w:rFonts w:eastAsia="Times New Roman" w:cs="Times New Roman"/>
          <w:sz w:val="22"/>
          <w:lang w:eastAsia="de-DE"/>
        </w:rPr>
        <w:t>Schermelleh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-Engel, K.,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Moosbrugger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H., and Müller, H. (2003). Evaluating the fit of structural </w:t>
      </w:r>
    </w:p>
    <w:p w14:paraId="7B283FA3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equation models: Tests of significance and descriptive goodness-of-fit measures. </w:t>
      </w:r>
      <w:r w:rsidRPr="00273973">
        <w:rPr>
          <w:rFonts w:eastAsia="Times New Roman" w:cs="Times New Roman"/>
          <w:i/>
          <w:sz w:val="22"/>
          <w:lang w:eastAsia="de-DE"/>
        </w:rPr>
        <w:t>Methods Psychol. Res</w:t>
      </w:r>
      <w:r w:rsidRPr="00273973">
        <w:rPr>
          <w:rFonts w:eastAsia="Times New Roman" w:cs="Times New Roman"/>
          <w:sz w:val="22"/>
          <w:lang w:eastAsia="de-DE"/>
        </w:rPr>
        <w:t xml:space="preserve">. 8, 23–74.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10.23668/psycharchives.12784</w:t>
      </w:r>
    </w:p>
    <w:p w14:paraId="521E5AAE" w14:textId="77777777" w:rsidR="00273973" w:rsidRPr="00273973" w:rsidRDefault="00273973" w:rsidP="00273973">
      <w:pPr>
        <w:spacing w:before="0" w:after="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Zhao, Y., Summers, R.,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Gathara</w:t>
      </w:r>
      <w:proofErr w:type="spellEnd"/>
      <w:r w:rsidRPr="00273973">
        <w:rPr>
          <w:rFonts w:eastAsia="Times New Roman" w:cs="Times New Roman"/>
          <w:sz w:val="22"/>
          <w:lang w:eastAsia="de-DE"/>
        </w:rPr>
        <w:t xml:space="preserve">, D., and English, M. (2024). Conducting cross-cultural, multi-lingual </w:t>
      </w:r>
    </w:p>
    <w:p w14:paraId="7189B8D3" w14:textId="77777777" w:rsidR="00273973" w:rsidRPr="00273973" w:rsidRDefault="00273973" w:rsidP="00273973">
      <w:pPr>
        <w:spacing w:before="0" w:after="0" w:line="360" w:lineRule="auto"/>
        <w:ind w:left="720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or multi-country scale development and validation in health care research: A 10-step framework based on a scoping review. </w:t>
      </w:r>
      <w:r w:rsidRPr="00273973">
        <w:rPr>
          <w:rFonts w:eastAsia="Times New Roman" w:cs="Times New Roman"/>
          <w:i/>
          <w:sz w:val="22"/>
          <w:lang w:eastAsia="de-DE"/>
        </w:rPr>
        <w:t>J. Glob. Health</w:t>
      </w:r>
      <w:r w:rsidRPr="00273973">
        <w:rPr>
          <w:rFonts w:eastAsia="Times New Roman" w:cs="Times New Roman"/>
          <w:sz w:val="22"/>
          <w:lang w:eastAsia="de-DE"/>
        </w:rPr>
        <w:t xml:space="preserve"> 14, 04151. </w:t>
      </w:r>
      <w:proofErr w:type="spellStart"/>
      <w:r w:rsidRPr="00273973">
        <w:rPr>
          <w:rFonts w:eastAsia="Times New Roman" w:cs="Times New Roman"/>
          <w:sz w:val="22"/>
          <w:lang w:eastAsia="de-DE"/>
        </w:rPr>
        <w:t>doi</w:t>
      </w:r>
      <w:proofErr w:type="spellEnd"/>
      <w:r w:rsidRPr="00273973">
        <w:rPr>
          <w:rFonts w:eastAsia="Times New Roman" w:cs="Times New Roman"/>
          <w:sz w:val="22"/>
          <w:lang w:eastAsia="de-DE"/>
        </w:rPr>
        <w:t>: 10.7189/jogh.14.04151</w:t>
      </w:r>
    </w:p>
    <w:p w14:paraId="4B845AE8" w14:textId="77777777" w:rsidR="00273973" w:rsidRPr="00273973" w:rsidRDefault="00273973" w:rsidP="00273973">
      <w:pPr>
        <w:spacing w:before="24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 </w:t>
      </w:r>
    </w:p>
    <w:p w14:paraId="2FA0519F" w14:textId="77777777" w:rsidR="00273973" w:rsidRPr="00273973" w:rsidRDefault="00273973" w:rsidP="00273973">
      <w:pPr>
        <w:spacing w:before="240" w:line="360" w:lineRule="auto"/>
        <w:jc w:val="both"/>
        <w:rPr>
          <w:rFonts w:eastAsia="Times New Roman" w:cs="Times New Roman"/>
          <w:sz w:val="22"/>
          <w:lang w:eastAsia="de-DE"/>
        </w:rPr>
      </w:pPr>
      <w:r w:rsidRPr="00273973">
        <w:rPr>
          <w:rFonts w:eastAsia="Times New Roman" w:cs="Times New Roman"/>
          <w:sz w:val="22"/>
          <w:lang w:eastAsia="de-DE"/>
        </w:rPr>
        <w:t xml:space="preserve"> </w:t>
      </w:r>
    </w:p>
    <w:p w14:paraId="34680459" w14:textId="77777777" w:rsidR="00273973" w:rsidRPr="00273973" w:rsidRDefault="00273973" w:rsidP="00273973">
      <w:pPr>
        <w:spacing w:before="0" w:after="0" w:line="276" w:lineRule="auto"/>
        <w:rPr>
          <w:rFonts w:eastAsia="Arial" w:cs="Times New Roman"/>
          <w:sz w:val="22"/>
          <w:lang w:eastAsia="de-DE"/>
        </w:rPr>
      </w:pPr>
    </w:p>
    <w:p w14:paraId="157B9E08" w14:textId="77777777" w:rsidR="00273973" w:rsidRPr="00273973" w:rsidRDefault="00273973" w:rsidP="00273973">
      <w:pPr>
        <w:spacing w:before="240" w:line="276" w:lineRule="auto"/>
        <w:rPr>
          <w:rFonts w:eastAsia="Times New Roman" w:cs="Times New Roman"/>
          <w:sz w:val="22"/>
          <w:lang w:eastAsia="de-DE"/>
        </w:rPr>
      </w:pPr>
    </w:p>
    <w:p w14:paraId="426A4843" w14:textId="77777777" w:rsidR="00273973" w:rsidRPr="00273973" w:rsidRDefault="00273973" w:rsidP="00273973">
      <w:pPr>
        <w:spacing w:before="0" w:after="0" w:line="276" w:lineRule="auto"/>
        <w:rPr>
          <w:rFonts w:eastAsia="Arial" w:cs="Times New Roman"/>
          <w:sz w:val="22"/>
          <w:lang w:eastAsia="de-DE"/>
        </w:rPr>
      </w:pPr>
    </w:p>
    <w:p w14:paraId="68B55FA9" w14:textId="77777777" w:rsidR="00273973" w:rsidRPr="00031C8C" w:rsidRDefault="00273973" w:rsidP="00273973">
      <w:pPr>
        <w:spacing w:before="240" w:line="360" w:lineRule="auto"/>
        <w:jc w:val="both"/>
        <w:rPr>
          <w:rFonts w:eastAsia="Times New Roman" w:cs="Times New Roman"/>
        </w:rPr>
      </w:pPr>
    </w:p>
    <w:p w14:paraId="1123C18C" w14:textId="77777777" w:rsidR="00273973" w:rsidRDefault="00273973" w:rsidP="00273973">
      <w:pPr>
        <w:spacing w:line="360" w:lineRule="auto"/>
        <w:rPr>
          <w:rFonts w:eastAsia="Times New Roman" w:cs="Times New Roman"/>
        </w:rPr>
      </w:pPr>
    </w:p>
    <w:p w14:paraId="23C4C199" w14:textId="77777777" w:rsidR="00273973" w:rsidRDefault="00273973" w:rsidP="00273973">
      <w:pPr>
        <w:spacing w:line="360" w:lineRule="auto"/>
        <w:rPr>
          <w:rFonts w:eastAsia="Times New Roman" w:cs="Times New Roman"/>
        </w:rPr>
      </w:pPr>
    </w:p>
    <w:p w14:paraId="4E43C4BA" w14:textId="77777777" w:rsidR="00273973" w:rsidRDefault="00273973" w:rsidP="00273973">
      <w:pPr>
        <w:spacing w:line="360" w:lineRule="auto"/>
        <w:rPr>
          <w:rFonts w:eastAsia="Times New Roman" w:cs="Times New Roma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F0A6" w14:textId="77777777" w:rsidR="00A46BD5" w:rsidRDefault="00A46BD5" w:rsidP="00117666">
      <w:pPr>
        <w:spacing w:after="0"/>
      </w:pPr>
      <w:r>
        <w:separator/>
      </w:r>
    </w:p>
  </w:endnote>
  <w:endnote w:type="continuationSeparator" w:id="0">
    <w:p w14:paraId="77A3CBDB" w14:textId="77777777" w:rsidR="00A46BD5" w:rsidRDefault="00A46BD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577C" w14:textId="77777777" w:rsidR="00A46BD5" w:rsidRDefault="00A46BD5" w:rsidP="00117666">
      <w:pPr>
        <w:spacing w:after="0"/>
      </w:pPr>
      <w:r>
        <w:separator/>
      </w:r>
    </w:p>
  </w:footnote>
  <w:footnote w:type="continuationSeparator" w:id="0">
    <w:p w14:paraId="4E52255F" w14:textId="77777777" w:rsidR="00A46BD5" w:rsidRDefault="00A46BD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3973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46BD5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65CD80-F204-48BD-BB64-24EB669D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1334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Jannika Haase</cp:lastModifiedBy>
  <cp:revision>2</cp:revision>
  <cp:lastPrinted>2013-10-03T12:51:00Z</cp:lastPrinted>
  <dcterms:created xsi:type="dcterms:W3CDTF">2025-07-18T17:34:00Z</dcterms:created>
  <dcterms:modified xsi:type="dcterms:W3CDTF">2025-07-18T17:34:00Z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