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54AB" w14:textId="77777777" w:rsidR="00654E8F" w:rsidRPr="001549D3" w:rsidRDefault="00654E8F" w:rsidP="0001436A">
      <w:pPr>
        <w:pStyle w:val="SupplementaryMaterial"/>
        <w:rPr>
          <w:b w:val="0"/>
        </w:rPr>
      </w:pPr>
      <w:r w:rsidRPr="001549D3">
        <w:t>Supplementary Material</w:t>
      </w:r>
    </w:p>
    <w:p w14:paraId="6FE25167" w14:textId="3D768DA8" w:rsidR="00E914FA" w:rsidRPr="00E914FA" w:rsidRDefault="00654E8F" w:rsidP="00E914FA">
      <w:pPr>
        <w:pStyle w:val="berschrift1"/>
      </w:pPr>
      <w:r w:rsidRPr="00994A3D">
        <w:t>Supplementary Data</w:t>
      </w:r>
    </w:p>
    <w:p w14:paraId="5D1265EE" w14:textId="4EF1807A" w:rsidR="00E914FA" w:rsidRPr="00390FD3" w:rsidRDefault="00E914FA" w:rsidP="00E914FA">
      <w:pPr>
        <w:pStyle w:val="berschrift2"/>
        <w:rPr>
          <w:b w:val="0"/>
          <w:i/>
        </w:rPr>
      </w:pPr>
      <w:r w:rsidRPr="00390FD3">
        <w:rPr>
          <w:b w:val="0"/>
          <w:i/>
        </w:rPr>
        <w:t>Preliminary Analyses</w:t>
      </w:r>
      <w:r w:rsidR="00390FD3" w:rsidRPr="00390FD3">
        <w:rPr>
          <w:b w:val="0"/>
          <w:i/>
        </w:rPr>
        <w:t>.</w:t>
      </w:r>
    </w:p>
    <w:p w14:paraId="25DD4590" w14:textId="21DAA5D5" w:rsidR="00E914FA" w:rsidRPr="00390FD3" w:rsidRDefault="00E914FA" w:rsidP="00E914FA">
      <w:pPr>
        <w:pStyle w:val="berschrift3"/>
        <w:rPr>
          <w:rFonts w:eastAsia="Times New Roman"/>
          <w:b w:val="0"/>
          <w:i/>
        </w:rPr>
      </w:pPr>
      <w:r w:rsidRPr="00390FD3">
        <w:rPr>
          <w:rFonts w:eastAsia="Times New Roman"/>
          <w:b w:val="0"/>
          <w:i/>
        </w:rPr>
        <w:t>Analysis 1 (Germany and Indonesia)</w:t>
      </w:r>
      <w:r w:rsidR="00390FD3" w:rsidRPr="00390FD3">
        <w:rPr>
          <w:rFonts w:eastAsia="Times New Roman"/>
          <w:b w:val="0"/>
          <w:i/>
        </w:rPr>
        <w:t>.</w:t>
      </w:r>
    </w:p>
    <w:p w14:paraId="34C26095" w14:textId="77777777" w:rsidR="00E914FA" w:rsidRPr="00E914FA" w:rsidRDefault="00E914FA" w:rsidP="00E914FA">
      <w:pPr>
        <w:pStyle w:val="berschrift1"/>
        <w:numPr>
          <w:ilvl w:val="0"/>
          <w:numId w:val="0"/>
        </w:numPr>
        <w:spacing w:after="0"/>
        <w:rPr>
          <w:rFonts w:eastAsia="Times New Roman"/>
          <w:b w:val="0"/>
        </w:rPr>
      </w:pPr>
      <w:r w:rsidRPr="00E914FA">
        <w:rPr>
          <w:rFonts w:eastAsia="Times New Roman"/>
          <w:b w:val="0"/>
        </w:rPr>
        <w:t xml:space="preserve">The configural invariance model for thriving was a good fit to the data (χ2 = 0.000; df = 0; </w:t>
      </w:r>
      <w:r w:rsidRPr="00E914FA">
        <w:rPr>
          <w:rFonts w:eastAsia="Times New Roman"/>
          <w:b w:val="0"/>
          <w:i/>
        </w:rPr>
        <w:t>p</w:t>
      </w:r>
      <w:r w:rsidRPr="00E914FA">
        <w:rPr>
          <w:b w:val="0"/>
        </w:rPr>
        <w:t xml:space="preserve"> ≤ .001; CFI = 1.000; RMSEA = .000 (90% CI = .000/.000); SRMR = .000). The fit of the metric invariance model was also good (χ2 = 5.357; df = 2; </w:t>
      </w:r>
      <w:r w:rsidRPr="00E914FA">
        <w:rPr>
          <w:rFonts w:eastAsia="Times New Roman"/>
          <w:b w:val="0"/>
          <w:i/>
        </w:rPr>
        <w:t>p</w:t>
      </w:r>
      <w:r w:rsidRPr="00E914FA">
        <w:rPr>
          <w:rFonts w:eastAsia="Times New Roman"/>
          <w:b w:val="0"/>
        </w:rPr>
        <w:t xml:space="preserve"> =.069; CFI = .994; RMSEA = .062 (90% CI = .000 /.129); SRMR = .047), and imposing constraints on the factor loadings did not diminish model fit (Δχ2 = 5.357; df = 2;</w:t>
      </w:r>
      <w:r w:rsidRPr="00E914FA">
        <w:rPr>
          <w:rFonts w:eastAsia="Times New Roman"/>
          <w:b w:val="0"/>
          <w:i/>
        </w:rPr>
        <w:t xml:space="preserve"> p</w:t>
      </w:r>
      <w:r w:rsidRPr="00E914FA">
        <w:rPr>
          <w:rFonts w:eastAsia="Times New Roman"/>
          <w:b w:val="0"/>
        </w:rPr>
        <w:t xml:space="preserve"> =.069). Thus, metric invariance was supported. After adding constraints on item intercepts across countries, model fit was still good (χ2 =</w:t>
      </w:r>
      <w:r w:rsidRPr="00E914FA">
        <w:rPr>
          <w:b w:val="0"/>
        </w:rPr>
        <w:t xml:space="preserve"> </w:t>
      </w:r>
      <w:r w:rsidRPr="00E914FA">
        <w:rPr>
          <w:rFonts w:eastAsia="Times New Roman"/>
          <w:b w:val="0"/>
        </w:rPr>
        <w:t xml:space="preserve">6.172; df = 4; </w:t>
      </w:r>
      <w:r w:rsidRPr="00E914FA">
        <w:rPr>
          <w:rFonts w:eastAsia="Times New Roman"/>
          <w:b w:val="0"/>
          <w:i/>
        </w:rPr>
        <w:t>p</w:t>
      </w:r>
      <w:r w:rsidRPr="00E914FA">
        <w:rPr>
          <w:rFonts w:eastAsia="Times New Roman"/>
          <w:b w:val="0"/>
        </w:rPr>
        <w:t xml:space="preserve"> =.187; CFI = .996; RMSEA = .035 (90% CI = .000 /.087); SRMR = .052), and showed no reduction in model fit compared to the metric one (Δχ2 = 0.815; df = 2; </w:t>
      </w:r>
      <w:r w:rsidRPr="00E914FA">
        <w:rPr>
          <w:rFonts w:eastAsia="Times New Roman"/>
          <w:b w:val="0"/>
          <w:i/>
        </w:rPr>
        <w:t>p</w:t>
      </w:r>
      <w:r w:rsidRPr="00E914FA">
        <w:rPr>
          <w:rFonts w:eastAsia="Times New Roman"/>
          <w:b w:val="0"/>
        </w:rPr>
        <w:t xml:space="preserve"> = .665). Thus, partial scalar invariance was supported.</w:t>
      </w:r>
    </w:p>
    <w:p w14:paraId="3576AD85" w14:textId="77777777" w:rsidR="00E914FA" w:rsidRDefault="00E914FA" w:rsidP="00E914FA">
      <w:pPr>
        <w:pStyle w:val="berschrift1"/>
        <w:numPr>
          <w:ilvl w:val="0"/>
          <w:numId w:val="0"/>
        </w:numPr>
        <w:spacing w:before="0" w:after="0"/>
        <w:ind w:left="562" w:hanging="562"/>
        <w:rPr>
          <w:b w:val="0"/>
        </w:rPr>
      </w:pPr>
      <w:r w:rsidRPr="00E914FA">
        <w:rPr>
          <w:b w:val="0"/>
        </w:rPr>
        <w:t>For organization-based self-esteem (OBSE), the fits of the configural invariance model (χ2 = 0.000;</w:t>
      </w:r>
      <w:r>
        <w:rPr>
          <w:b w:val="0"/>
        </w:rPr>
        <w:t xml:space="preserve"> </w:t>
      </w:r>
    </w:p>
    <w:p w14:paraId="130568FA" w14:textId="77777777" w:rsidR="00E914FA" w:rsidRDefault="00E914FA" w:rsidP="00E914FA">
      <w:pPr>
        <w:pStyle w:val="berschrift1"/>
        <w:numPr>
          <w:ilvl w:val="0"/>
          <w:numId w:val="0"/>
        </w:numPr>
        <w:spacing w:before="0" w:after="0"/>
        <w:ind w:left="562" w:hanging="562"/>
        <w:rPr>
          <w:rFonts w:eastAsia="Gungsuh"/>
          <w:b w:val="0"/>
        </w:rPr>
      </w:pPr>
      <w:r w:rsidRPr="00E914FA">
        <w:rPr>
          <w:b w:val="0"/>
        </w:rPr>
        <w:t xml:space="preserve">df = 0; </w:t>
      </w:r>
      <w:r w:rsidRPr="00E914FA">
        <w:rPr>
          <w:b w:val="0"/>
          <w:i/>
        </w:rPr>
        <w:t>p</w:t>
      </w:r>
      <w:r w:rsidRPr="00E914FA">
        <w:rPr>
          <w:rFonts w:eastAsia="Gungsuh"/>
          <w:b w:val="0"/>
        </w:rPr>
        <w:t xml:space="preserve"> ≤ .001; CFI = 1.000; RMSEA = .000 (90% CI = .000/.000); SRMR = .000) and of the</w:t>
      </w:r>
    </w:p>
    <w:p w14:paraId="2DB6EFCE" w14:textId="77777777" w:rsidR="00E914FA" w:rsidRDefault="00E914FA" w:rsidP="00E914FA">
      <w:pPr>
        <w:pStyle w:val="berschrift1"/>
        <w:numPr>
          <w:ilvl w:val="0"/>
          <w:numId w:val="0"/>
        </w:numPr>
        <w:spacing w:before="0" w:after="0"/>
        <w:ind w:left="562" w:hanging="562"/>
        <w:rPr>
          <w:b w:val="0"/>
        </w:rPr>
      </w:pPr>
      <w:r w:rsidRPr="00E914FA">
        <w:rPr>
          <w:rFonts w:eastAsia="Gungsuh"/>
          <w:b w:val="0"/>
        </w:rPr>
        <w:t xml:space="preserve">metric invariance model (χ2 = 0.688; df = 2; </w:t>
      </w:r>
      <w:r w:rsidRPr="00E914FA">
        <w:rPr>
          <w:b w:val="0"/>
          <w:i/>
        </w:rPr>
        <w:t>p</w:t>
      </w:r>
      <w:r w:rsidRPr="00E914FA">
        <w:rPr>
          <w:b w:val="0"/>
        </w:rPr>
        <w:t xml:space="preserve"> = .709; CFI = 1.000; RMSEA = .000 (90% CI =</w:t>
      </w:r>
    </w:p>
    <w:p w14:paraId="76E8DBCB" w14:textId="77777777" w:rsidR="00E914FA" w:rsidRDefault="00E914FA" w:rsidP="00E914FA">
      <w:pPr>
        <w:pStyle w:val="berschrift1"/>
        <w:numPr>
          <w:ilvl w:val="0"/>
          <w:numId w:val="0"/>
        </w:numPr>
        <w:spacing w:before="0" w:after="0"/>
        <w:ind w:left="562" w:hanging="562"/>
        <w:rPr>
          <w:b w:val="0"/>
        </w:rPr>
      </w:pPr>
      <w:r w:rsidRPr="00E914FA">
        <w:rPr>
          <w:b w:val="0"/>
        </w:rPr>
        <w:t>.000/.069); SRMR = .015) were good. The metric invariance model showed no significant reduction</w:t>
      </w:r>
    </w:p>
    <w:p w14:paraId="4FFDFED1" w14:textId="77777777" w:rsidR="00E914FA" w:rsidRDefault="00E914FA" w:rsidP="00E914FA">
      <w:pPr>
        <w:pStyle w:val="berschrift1"/>
        <w:numPr>
          <w:ilvl w:val="0"/>
          <w:numId w:val="0"/>
        </w:numPr>
        <w:spacing w:before="0" w:after="0"/>
        <w:ind w:left="562" w:hanging="562"/>
        <w:rPr>
          <w:b w:val="0"/>
        </w:rPr>
      </w:pPr>
      <w:r w:rsidRPr="00E914FA">
        <w:rPr>
          <w:b w:val="0"/>
        </w:rPr>
        <w:t xml:space="preserve">compared to the configural one (Δχ2 = 0.688; df = 2; </w:t>
      </w:r>
      <w:r w:rsidRPr="00E914FA">
        <w:rPr>
          <w:b w:val="0"/>
          <w:i/>
        </w:rPr>
        <w:t>p</w:t>
      </w:r>
      <w:r w:rsidRPr="00E914FA">
        <w:rPr>
          <w:b w:val="0"/>
        </w:rPr>
        <w:t xml:space="preserve"> = .709), supporting metric invariance. After</w:t>
      </w:r>
    </w:p>
    <w:p w14:paraId="6FE962DC" w14:textId="77777777" w:rsidR="00E914FA" w:rsidRDefault="00E914FA" w:rsidP="00E914FA">
      <w:pPr>
        <w:pStyle w:val="berschrift1"/>
        <w:numPr>
          <w:ilvl w:val="0"/>
          <w:numId w:val="0"/>
        </w:numPr>
        <w:spacing w:before="0" w:after="0"/>
        <w:ind w:left="562" w:hanging="562"/>
        <w:rPr>
          <w:b w:val="0"/>
        </w:rPr>
      </w:pPr>
      <w:r w:rsidRPr="00E914FA">
        <w:rPr>
          <w:b w:val="0"/>
        </w:rPr>
        <w:t xml:space="preserve">adding constraints on item intercepts across countries, model fit was still good (χ2 = 3.475; df = 4; </w:t>
      </w:r>
      <w:r w:rsidRPr="00E914FA">
        <w:rPr>
          <w:b w:val="0"/>
          <w:i/>
        </w:rPr>
        <w:t>p</w:t>
      </w:r>
    </w:p>
    <w:p w14:paraId="7BF2CE28" w14:textId="77777777" w:rsidR="00E914FA" w:rsidRDefault="00E914FA" w:rsidP="00E914FA">
      <w:pPr>
        <w:pStyle w:val="berschrift1"/>
        <w:numPr>
          <w:ilvl w:val="0"/>
          <w:numId w:val="0"/>
        </w:numPr>
        <w:spacing w:before="0" w:after="0"/>
        <w:ind w:left="562" w:hanging="562"/>
        <w:rPr>
          <w:b w:val="0"/>
        </w:rPr>
      </w:pPr>
      <w:r w:rsidRPr="00E914FA">
        <w:rPr>
          <w:b w:val="0"/>
        </w:rPr>
        <w:t>= .482; CFI = 1.000; RMSEA = .000 (90% CI = .000/.068); SRMR = .012), and showed no reduction</w:t>
      </w:r>
    </w:p>
    <w:p w14:paraId="4CCF2B71" w14:textId="77777777" w:rsidR="00E914FA" w:rsidRDefault="00E914FA" w:rsidP="00E914FA">
      <w:pPr>
        <w:pStyle w:val="berschrift1"/>
        <w:numPr>
          <w:ilvl w:val="0"/>
          <w:numId w:val="0"/>
        </w:numPr>
        <w:spacing w:before="0" w:after="0"/>
        <w:ind w:left="562" w:hanging="562"/>
        <w:rPr>
          <w:b w:val="0"/>
        </w:rPr>
      </w:pPr>
      <w:r w:rsidRPr="00E914FA">
        <w:rPr>
          <w:b w:val="0"/>
        </w:rPr>
        <w:t xml:space="preserve">in model fit compared to the metric one (Δχ2 = 3.00; df = 2; </w:t>
      </w:r>
      <w:r w:rsidRPr="00E914FA">
        <w:rPr>
          <w:b w:val="0"/>
          <w:i/>
        </w:rPr>
        <w:t>p</w:t>
      </w:r>
      <w:r w:rsidRPr="00E914FA">
        <w:rPr>
          <w:b w:val="0"/>
        </w:rPr>
        <w:t xml:space="preserve"> = .223), thereby supporting scalar</w:t>
      </w:r>
    </w:p>
    <w:p w14:paraId="2000019B" w14:textId="07A65FEB" w:rsidR="00E914FA" w:rsidRDefault="00E914FA" w:rsidP="00E914FA">
      <w:pPr>
        <w:pStyle w:val="berschrift1"/>
        <w:numPr>
          <w:ilvl w:val="0"/>
          <w:numId w:val="0"/>
        </w:numPr>
        <w:spacing w:before="0" w:after="0"/>
        <w:ind w:left="562" w:hanging="562"/>
        <w:rPr>
          <w:b w:val="0"/>
        </w:rPr>
      </w:pPr>
      <w:r w:rsidRPr="00E914FA">
        <w:rPr>
          <w:b w:val="0"/>
        </w:rPr>
        <w:t>invariance.</w:t>
      </w:r>
    </w:p>
    <w:p w14:paraId="14BA6E60" w14:textId="77777777" w:rsidR="00E914FA" w:rsidRPr="00E914FA" w:rsidRDefault="00E914FA" w:rsidP="00E914FA"/>
    <w:p w14:paraId="3B4A6A1B" w14:textId="5C18AA3A" w:rsidR="00E914FA" w:rsidRPr="00390FD3" w:rsidRDefault="00E914FA" w:rsidP="00E914FA">
      <w:pPr>
        <w:pStyle w:val="berschrift3"/>
        <w:rPr>
          <w:rFonts w:eastAsia="Times New Roman"/>
          <w:b w:val="0"/>
          <w:i/>
        </w:rPr>
      </w:pPr>
      <w:r w:rsidRPr="00390FD3">
        <w:rPr>
          <w:rFonts w:eastAsia="Times New Roman"/>
          <w:b w:val="0"/>
          <w:i/>
        </w:rPr>
        <w:t>Analysis 2 (Germany and UAE)</w:t>
      </w:r>
      <w:r w:rsidR="00390FD3">
        <w:rPr>
          <w:rFonts w:eastAsia="Times New Roman"/>
          <w:b w:val="0"/>
          <w:i/>
        </w:rPr>
        <w:t>.</w:t>
      </w:r>
    </w:p>
    <w:p w14:paraId="30D55CA2" w14:textId="77777777" w:rsidR="00E914FA" w:rsidRPr="00E914FA" w:rsidRDefault="00E914FA" w:rsidP="00E914FA">
      <w:pPr>
        <w:pStyle w:val="berschrift1"/>
        <w:numPr>
          <w:ilvl w:val="0"/>
          <w:numId w:val="0"/>
        </w:numPr>
        <w:spacing w:before="0" w:after="0"/>
        <w:rPr>
          <w:rFonts w:eastAsia="Times New Roman"/>
          <w:b w:val="0"/>
        </w:rPr>
      </w:pPr>
      <w:r w:rsidRPr="00E914FA">
        <w:rPr>
          <w:rFonts w:eastAsia="Times New Roman"/>
          <w:b w:val="0"/>
        </w:rPr>
        <w:t xml:space="preserve">The configural invariance model for thriving was a good fit to the data (χ2 = 0.000; df = 0; </w:t>
      </w:r>
      <w:r w:rsidRPr="00E914FA">
        <w:rPr>
          <w:rFonts w:eastAsia="Times New Roman"/>
          <w:b w:val="0"/>
          <w:i/>
        </w:rPr>
        <w:t>p</w:t>
      </w:r>
      <w:r w:rsidRPr="00E914FA">
        <w:rPr>
          <w:b w:val="0"/>
        </w:rPr>
        <w:t xml:space="preserve"> ≤ .001; CFI = 1.000; RMSEA = .000 (90% CI = .000/.000); SRMR = .000). The fit of the metric invariance model was also good (χ2 = 1.067; df = 2; </w:t>
      </w:r>
      <w:r w:rsidRPr="00E914FA">
        <w:rPr>
          <w:rFonts w:eastAsia="Times New Roman"/>
          <w:b w:val="0"/>
          <w:i/>
        </w:rPr>
        <w:t>p</w:t>
      </w:r>
      <w:r w:rsidRPr="00E914FA">
        <w:rPr>
          <w:rFonts w:eastAsia="Times New Roman"/>
          <w:b w:val="0"/>
        </w:rPr>
        <w:t xml:space="preserve"> = .587; CFI = 1.000; RMSEA = .000 (90% CI = .000 /.114); SRMR = .023), and imposing constraints on the factor loadings did not diminish model fit (Δχ2 = 1.067; df = 2; </w:t>
      </w:r>
      <w:r w:rsidRPr="00E914FA">
        <w:rPr>
          <w:rFonts w:eastAsia="Times New Roman"/>
          <w:b w:val="0"/>
          <w:i/>
        </w:rPr>
        <w:t>p</w:t>
      </w:r>
      <w:r w:rsidRPr="00E914FA">
        <w:rPr>
          <w:rFonts w:eastAsia="Times New Roman"/>
          <w:b w:val="0"/>
        </w:rPr>
        <w:t xml:space="preserve"> = .587). Thus, metric invariance was supported. After adding constraints on the intercepts of item 1 and 4, model fit was still good (χ2 = 3.998; df = 4; </w:t>
      </w:r>
      <w:r w:rsidRPr="00E914FA">
        <w:rPr>
          <w:rFonts w:eastAsia="Times New Roman"/>
          <w:b w:val="0"/>
          <w:i/>
        </w:rPr>
        <w:t>p</w:t>
      </w:r>
      <w:r w:rsidRPr="00E914FA">
        <w:rPr>
          <w:rFonts w:eastAsia="Times New Roman"/>
          <w:b w:val="0"/>
        </w:rPr>
        <w:t xml:space="preserve"> = .406; CFI = 1.000; RMSEA = .000 (90% CI = .000 /.105); SRMR = .044), and showed no reduction in model fit compared to the metric one (Δχ2 = 3.115; df = 2; </w:t>
      </w:r>
      <w:r w:rsidRPr="00E914FA">
        <w:rPr>
          <w:rFonts w:eastAsia="Times New Roman"/>
          <w:b w:val="0"/>
          <w:i/>
        </w:rPr>
        <w:t>p</w:t>
      </w:r>
      <w:r w:rsidRPr="00E914FA">
        <w:rPr>
          <w:rFonts w:eastAsia="Times New Roman"/>
          <w:b w:val="0"/>
        </w:rPr>
        <w:t xml:space="preserve"> = .211). Thus, partial scalar invariance was supported.</w:t>
      </w:r>
    </w:p>
    <w:p w14:paraId="5129464F" w14:textId="7D0E2B89" w:rsidR="00E914FA" w:rsidRDefault="00E914FA" w:rsidP="00E914FA">
      <w:pPr>
        <w:pStyle w:val="berschrift1"/>
        <w:numPr>
          <w:ilvl w:val="0"/>
          <w:numId w:val="0"/>
        </w:numPr>
        <w:spacing w:before="0" w:after="0"/>
        <w:rPr>
          <w:b w:val="0"/>
        </w:rPr>
      </w:pPr>
      <w:r w:rsidRPr="00E914FA">
        <w:rPr>
          <w:b w:val="0"/>
        </w:rPr>
        <w:t xml:space="preserve">For organization-based self-esteem (OBSE), the fits of the configural invariance model (χ2 = 0.000; df = 0; </w:t>
      </w:r>
      <w:r w:rsidRPr="00E914FA">
        <w:rPr>
          <w:b w:val="0"/>
          <w:i/>
        </w:rPr>
        <w:t>p</w:t>
      </w:r>
      <w:r w:rsidRPr="00E914FA">
        <w:rPr>
          <w:rFonts w:eastAsia="Gungsuh"/>
          <w:b w:val="0"/>
        </w:rPr>
        <w:t xml:space="preserve"> ≤ .001; CFI = 1.000; RMSEA = .000 (90% CI = .000/.000); SRMR = .000) and of the metric invariance model (χ2 = 0.104; df = 2; </w:t>
      </w:r>
      <w:r w:rsidRPr="00E914FA">
        <w:rPr>
          <w:b w:val="0"/>
          <w:i/>
        </w:rPr>
        <w:t>p</w:t>
      </w:r>
      <w:r w:rsidRPr="00E914FA">
        <w:rPr>
          <w:b w:val="0"/>
        </w:rPr>
        <w:t xml:space="preserve"> = .949; CFI = 1.000; RMSEA = .000 (90% CI = .000/.008); SRMR = .008) were good. The metric invariance model showed no significant reduction compared to the configural one (Δχ2 = 0.104; df = 2; </w:t>
      </w:r>
      <w:r w:rsidRPr="00E914FA">
        <w:rPr>
          <w:b w:val="0"/>
          <w:i/>
        </w:rPr>
        <w:t>p</w:t>
      </w:r>
      <w:r w:rsidRPr="00E914FA">
        <w:rPr>
          <w:b w:val="0"/>
        </w:rPr>
        <w:t xml:space="preserve"> = .949), supporting metric invariance. After adding constraints on item intercepts across countries, model fit was still good (χ2 = 5.006; df = 4; </w:t>
      </w:r>
      <w:r w:rsidRPr="00E914FA">
        <w:rPr>
          <w:b w:val="0"/>
          <w:i/>
        </w:rPr>
        <w:t>p</w:t>
      </w:r>
      <w:r w:rsidRPr="00E914FA">
        <w:rPr>
          <w:b w:val="0"/>
        </w:rPr>
        <w:t xml:space="preserve"> = .287; CFI = .996; RMSEA = .035 (90% CI = .000/.114); SRMR = .027), and showed no reduction </w:t>
      </w:r>
      <w:r w:rsidRPr="00E914FA">
        <w:rPr>
          <w:b w:val="0"/>
        </w:rPr>
        <w:lastRenderedPageBreak/>
        <w:t xml:space="preserve">in model fit compared to the metric one (Δχ2 = 5.169; df = 2; </w:t>
      </w:r>
      <w:r w:rsidRPr="00E914FA">
        <w:rPr>
          <w:b w:val="0"/>
          <w:i/>
        </w:rPr>
        <w:t>p</w:t>
      </w:r>
      <w:r w:rsidRPr="00E914FA">
        <w:rPr>
          <w:b w:val="0"/>
        </w:rPr>
        <w:t xml:space="preserve"> = .075). Thus, and because we assumed measurement invariance when models did not differ by more than .010 in CFI, supplemented by .015 in RMSEA or .030 in SRMR, based on the criteria by Chen (2007), scalar invariance was supported.</w:t>
      </w:r>
    </w:p>
    <w:p w14:paraId="23A90F4C" w14:textId="77777777" w:rsidR="00390FD3" w:rsidRPr="00390FD3" w:rsidRDefault="00390FD3" w:rsidP="00390FD3"/>
    <w:p w14:paraId="5E584EE8" w14:textId="7432987B" w:rsidR="00994A3D" w:rsidRPr="00994A3D" w:rsidRDefault="00654E8F" w:rsidP="0001436A">
      <w:pPr>
        <w:pStyle w:val="berschrift1"/>
      </w:pPr>
      <w:r w:rsidRPr="00994A3D">
        <w:t>Supplementary Tables</w:t>
      </w:r>
    </w:p>
    <w:p w14:paraId="480C5D66" w14:textId="43ACD948" w:rsidR="00E914FA" w:rsidRPr="00390FD3" w:rsidRDefault="00E914FA" w:rsidP="00E914FA">
      <w:pPr>
        <w:rPr>
          <w:i/>
        </w:rPr>
      </w:pPr>
      <w:r w:rsidRPr="00390FD3">
        <w:rPr>
          <w:i/>
        </w:rPr>
        <w:t xml:space="preserve">2.1. </w:t>
      </w:r>
      <w:r w:rsidRPr="00390FD3">
        <w:rPr>
          <w:rFonts w:eastAsia="Times New Roman" w:cs="Times New Roman"/>
          <w:i/>
        </w:rPr>
        <w:t>Additional analyses</w:t>
      </w:r>
      <w:r w:rsidR="00390FD3" w:rsidRPr="00390FD3">
        <w:rPr>
          <w:rFonts w:eastAsia="Times New Roman" w:cs="Times New Roman"/>
          <w:i/>
        </w:rPr>
        <w:t>.</w:t>
      </w:r>
    </w:p>
    <w:p w14:paraId="1D67FC88" w14:textId="77777777" w:rsidR="00E914FA" w:rsidRPr="00390FD3" w:rsidRDefault="00E914FA" w:rsidP="00E914FA">
      <w:pPr>
        <w:spacing w:before="240" w:line="360" w:lineRule="auto"/>
        <w:rPr>
          <w:rFonts w:eastAsia="Times New Roman" w:cs="Times New Roman"/>
        </w:rPr>
      </w:pPr>
      <w:r w:rsidRPr="00390FD3">
        <w:rPr>
          <w:rFonts w:eastAsia="Times New Roman" w:cs="Times New Roman"/>
        </w:rPr>
        <w:t>Table 1</w:t>
      </w:r>
    </w:p>
    <w:p w14:paraId="394FA527" w14:textId="77777777" w:rsidR="00E914FA" w:rsidRPr="00031C8C" w:rsidRDefault="00E914FA" w:rsidP="00E914FA">
      <w:pPr>
        <w:spacing w:before="240" w:line="360" w:lineRule="auto"/>
        <w:rPr>
          <w:rFonts w:eastAsia="Times New Roman" w:cs="Times New Roman"/>
          <w:i/>
        </w:rPr>
      </w:pPr>
      <w:r w:rsidRPr="00031C8C">
        <w:rPr>
          <w:rFonts w:eastAsia="Times New Roman" w:cs="Times New Roman"/>
          <w:i/>
        </w:rPr>
        <w:t>Sociodemographic characteristics of participants separated by country</w:t>
      </w:r>
    </w:p>
    <w:tbl>
      <w:tblPr>
        <w:tblW w:w="88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895"/>
        <w:gridCol w:w="705"/>
        <w:gridCol w:w="1110"/>
        <w:gridCol w:w="855"/>
        <w:gridCol w:w="1230"/>
        <w:gridCol w:w="855"/>
        <w:gridCol w:w="1230"/>
      </w:tblGrid>
      <w:tr w:rsidR="00E914FA" w:rsidRPr="00031C8C" w14:paraId="409AC3E6" w14:textId="77777777" w:rsidTr="00E3128F">
        <w:trPr>
          <w:trHeight w:val="525"/>
        </w:trPr>
        <w:tc>
          <w:tcPr>
            <w:tcW w:w="2895" w:type="dxa"/>
            <w:tcBorders>
              <w:top w:val="single" w:sz="8" w:space="0" w:color="000000"/>
              <w:left w:val="nil"/>
              <w:bottom w:val="nil"/>
              <w:right w:val="nil"/>
            </w:tcBorders>
            <w:shd w:val="clear" w:color="auto" w:fill="FFFFFF"/>
            <w:tcMar>
              <w:top w:w="160" w:type="dxa"/>
              <w:left w:w="160" w:type="dxa"/>
              <w:bottom w:w="0" w:type="dxa"/>
              <w:right w:w="80" w:type="dxa"/>
            </w:tcMar>
            <w:vAlign w:val="bottom"/>
          </w:tcPr>
          <w:p w14:paraId="3F7FA867"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Characteristic</w:t>
            </w:r>
          </w:p>
        </w:tc>
        <w:tc>
          <w:tcPr>
            <w:tcW w:w="1815" w:type="dxa"/>
            <w:gridSpan w:val="2"/>
            <w:tcBorders>
              <w:top w:val="single" w:sz="8" w:space="0" w:color="000000"/>
              <w:left w:val="nil"/>
              <w:bottom w:val="single" w:sz="8" w:space="0" w:color="000000"/>
              <w:right w:val="nil"/>
            </w:tcBorders>
            <w:shd w:val="clear" w:color="auto" w:fill="FFFFFF"/>
            <w:tcMar>
              <w:top w:w="160" w:type="dxa"/>
              <w:left w:w="160" w:type="dxa"/>
              <w:bottom w:w="0" w:type="dxa"/>
              <w:right w:w="80" w:type="dxa"/>
            </w:tcMar>
            <w:vAlign w:val="bottom"/>
          </w:tcPr>
          <w:p w14:paraId="1F6C4C17"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Germany</w:t>
            </w:r>
          </w:p>
        </w:tc>
        <w:tc>
          <w:tcPr>
            <w:tcW w:w="2085" w:type="dxa"/>
            <w:gridSpan w:val="2"/>
            <w:tcBorders>
              <w:top w:val="single" w:sz="8" w:space="0" w:color="000000"/>
              <w:left w:val="nil"/>
              <w:bottom w:val="single" w:sz="8" w:space="0" w:color="000000"/>
              <w:right w:val="nil"/>
            </w:tcBorders>
            <w:shd w:val="clear" w:color="auto" w:fill="auto"/>
            <w:tcMar>
              <w:top w:w="160" w:type="dxa"/>
              <w:left w:w="160" w:type="dxa"/>
              <w:bottom w:w="0" w:type="dxa"/>
              <w:right w:w="80" w:type="dxa"/>
            </w:tcMar>
            <w:vAlign w:val="bottom"/>
          </w:tcPr>
          <w:p w14:paraId="18AFCB93"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Indonesia</w:t>
            </w:r>
          </w:p>
        </w:tc>
        <w:tc>
          <w:tcPr>
            <w:tcW w:w="2085" w:type="dxa"/>
            <w:gridSpan w:val="2"/>
            <w:tcBorders>
              <w:top w:val="single" w:sz="8" w:space="0" w:color="000000"/>
              <w:left w:val="nil"/>
              <w:bottom w:val="single" w:sz="8" w:space="0" w:color="000000"/>
              <w:right w:val="nil"/>
            </w:tcBorders>
            <w:shd w:val="clear" w:color="auto" w:fill="auto"/>
            <w:tcMar>
              <w:top w:w="160" w:type="dxa"/>
              <w:left w:w="160" w:type="dxa"/>
              <w:bottom w:w="0" w:type="dxa"/>
              <w:right w:w="80" w:type="dxa"/>
            </w:tcMar>
            <w:vAlign w:val="bottom"/>
          </w:tcPr>
          <w:p w14:paraId="2B21893D"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UAE</w:t>
            </w:r>
          </w:p>
        </w:tc>
      </w:tr>
      <w:tr w:rsidR="00E914FA" w:rsidRPr="00031C8C" w14:paraId="13422D00" w14:textId="77777777" w:rsidTr="00E914FA">
        <w:trPr>
          <w:trHeight w:val="525"/>
        </w:trPr>
        <w:tc>
          <w:tcPr>
            <w:tcW w:w="2895" w:type="dxa"/>
            <w:tcBorders>
              <w:top w:val="nil"/>
              <w:left w:val="nil"/>
              <w:bottom w:val="nil"/>
              <w:right w:val="nil"/>
            </w:tcBorders>
            <w:shd w:val="clear" w:color="auto" w:fill="auto"/>
            <w:tcMar>
              <w:top w:w="160" w:type="dxa"/>
              <w:left w:w="160" w:type="dxa"/>
              <w:bottom w:w="0" w:type="dxa"/>
              <w:right w:w="80" w:type="dxa"/>
            </w:tcMar>
            <w:vAlign w:val="bottom"/>
          </w:tcPr>
          <w:p w14:paraId="0C5A2720"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 xml:space="preserve"> </w:t>
            </w:r>
          </w:p>
        </w:tc>
        <w:tc>
          <w:tcPr>
            <w:tcW w:w="705" w:type="dxa"/>
            <w:tcBorders>
              <w:top w:val="nil"/>
              <w:left w:val="nil"/>
              <w:bottom w:val="nil"/>
              <w:right w:val="nil"/>
            </w:tcBorders>
            <w:shd w:val="clear" w:color="auto" w:fill="auto"/>
            <w:tcMar>
              <w:top w:w="160" w:type="dxa"/>
              <w:left w:w="160" w:type="dxa"/>
              <w:bottom w:w="0" w:type="dxa"/>
              <w:right w:w="80" w:type="dxa"/>
            </w:tcMar>
            <w:vAlign w:val="bottom"/>
          </w:tcPr>
          <w:p w14:paraId="799B9E8F" w14:textId="77777777" w:rsidR="00E914FA" w:rsidRPr="000821F9" w:rsidRDefault="00E914FA" w:rsidP="00E3128F">
            <w:pPr>
              <w:spacing w:before="240" w:line="360" w:lineRule="auto"/>
              <w:rPr>
                <w:rFonts w:eastAsia="Times New Roman" w:cs="Times New Roman"/>
                <w:i/>
              </w:rPr>
            </w:pPr>
            <w:r w:rsidRPr="000821F9">
              <w:rPr>
                <w:rFonts w:eastAsia="Times New Roman" w:cs="Times New Roman"/>
                <w:i/>
              </w:rPr>
              <w:t>n</w:t>
            </w:r>
          </w:p>
        </w:tc>
        <w:tc>
          <w:tcPr>
            <w:tcW w:w="1110" w:type="dxa"/>
            <w:tcBorders>
              <w:top w:val="nil"/>
              <w:left w:val="nil"/>
              <w:bottom w:val="nil"/>
              <w:right w:val="nil"/>
            </w:tcBorders>
            <w:shd w:val="clear" w:color="auto" w:fill="auto"/>
            <w:tcMar>
              <w:top w:w="160" w:type="dxa"/>
              <w:left w:w="160" w:type="dxa"/>
              <w:bottom w:w="0" w:type="dxa"/>
              <w:right w:w="80" w:type="dxa"/>
            </w:tcMar>
            <w:vAlign w:val="bottom"/>
          </w:tcPr>
          <w:p w14:paraId="621ECD08" w14:textId="77777777" w:rsidR="00E914FA" w:rsidRPr="000821F9" w:rsidRDefault="00E914FA" w:rsidP="00E3128F">
            <w:pPr>
              <w:spacing w:before="240" w:line="360" w:lineRule="auto"/>
              <w:jc w:val="center"/>
              <w:rPr>
                <w:rFonts w:eastAsia="Times New Roman" w:cs="Times New Roman"/>
                <w:i/>
              </w:rPr>
            </w:pPr>
            <w:r w:rsidRPr="000821F9">
              <w:rPr>
                <w:rFonts w:eastAsia="Times New Roman" w:cs="Times New Roman"/>
                <w:i/>
              </w:rPr>
              <w:t>%</w:t>
            </w:r>
          </w:p>
        </w:tc>
        <w:tc>
          <w:tcPr>
            <w:tcW w:w="855" w:type="dxa"/>
            <w:tcBorders>
              <w:top w:val="nil"/>
              <w:left w:val="nil"/>
              <w:bottom w:val="nil"/>
              <w:right w:val="nil"/>
            </w:tcBorders>
            <w:shd w:val="clear" w:color="auto" w:fill="auto"/>
            <w:tcMar>
              <w:top w:w="160" w:type="dxa"/>
              <w:left w:w="160" w:type="dxa"/>
              <w:bottom w:w="0" w:type="dxa"/>
              <w:right w:w="80" w:type="dxa"/>
            </w:tcMar>
            <w:vAlign w:val="bottom"/>
          </w:tcPr>
          <w:p w14:paraId="52AC9A20" w14:textId="77777777" w:rsidR="00E914FA" w:rsidRPr="000821F9" w:rsidRDefault="00E914FA" w:rsidP="00E3128F">
            <w:pPr>
              <w:spacing w:before="240" w:line="360" w:lineRule="auto"/>
              <w:jc w:val="center"/>
              <w:rPr>
                <w:rFonts w:eastAsia="Times New Roman" w:cs="Times New Roman"/>
                <w:i/>
              </w:rPr>
            </w:pPr>
            <w:r w:rsidRPr="000821F9">
              <w:rPr>
                <w:rFonts w:eastAsia="Times New Roman" w:cs="Times New Roman"/>
                <w:i/>
              </w:rPr>
              <w:t>n</w:t>
            </w:r>
          </w:p>
        </w:tc>
        <w:tc>
          <w:tcPr>
            <w:tcW w:w="1230" w:type="dxa"/>
            <w:tcBorders>
              <w:top w:val="nil"/>
              <w:left w:val="nil"/>
              <w:bottom w:val="nil"/>
              <w:right w:val="nil"/>
            </w:tcBorders>
            <w:shd w:val="clear" w:color="auto" w:fill="auto"/>
            <w:tcMar>
              <w:top w:w="160" w:type="dxa"/>
              <w:left w:w="160" w:type="dxa"/>
              <w:bottom w:w="0" w:type="dxa"/>
              <w:right w:w="80" w:type="dxa"/>
            </w:tcMar>
            <w:vAlign w:val="bottom"/>
          </w:tcPr>
          <w:p w14:paraId="42A19EE2" w14:textId="77777777" w:rsidR="00E914FA" w:rsidRPr="000821F9" w:rsidRDefault="00E914FA" w:rsidP="00E3128F">
            <w:pPr>
              <w:spacing w:before="240" w:line="360" w:lineRule="auto"/>
              <w:jc w:val="center"/>
              <w:rPr>
                <w:rFonts w:eastAsia="Times New Roman" w:cs="Times New Roman"/>
                <w:i/>
              </w:rPr>
            </w:pPr>
            <w:r w:rsidRPr="000821F9">
              <w:rPr>
                <w:rFonts w:eastAsia="Times New Roman" w:cs="Times New Roman"/>
                <w:i/>
              </w:rPr>
              <w:t>%</w:t>
            </w:r>
          </w:p>
        </w:tc>
        <w:tc>
          <w:tcPr>
            <w:tcW w:w="855" w:type="dxa"/>
            <w:tcBorders>
              <w:top w:val="nil"/>
              <w:left w:val="nil"/>
              <w:bottom w:val="nil"/>
              <w:right w:val="nil"/>
            </w:tcBorders>
            <w:shd w:val="clear" w:color="auto" w:fill="auto"/>
            <w:tcMar>
              <w:top w:w="160" w:type="dxa"/>
              <w:left w:w="160" w:type="dxa"/>
              <w:bottom w:w="0" w:type="dxa"/>
              <w:right w:w="80" w:type="dxa"/>
            </w:tcMar>
            <w:vAlign w:val="bottom"/>
          </w:tcPr>
          <w:p w14:paraId="4D591519" w14:textId="77777777" w:rsidR="00E914FA" w:rsidRPr="000821F9" w:rsidRDefault="00E914FA" w:rsidP="00E3128F">
            <w:pPr>
              <w:spacing w:before="240" w:line="360" w:lineRule="auto"/>
              <w:jc w:val="center"/>
              <w:rPr>
                <w:rFonts w:eastAsia="Times New Roman" w:cs="Times New Roman"/>
                <w:i/>
              </w:rPr>
            </w:pPr>
            <w:r w:rsidRPr="000821F9">
              <w:rPr>
                <w:rFonts w:eastAsia="Times New Roman" w:cs="Times New Roman"/>
                <w:i/>
              </w:rPr>
              <w:t>n</w:t>
            </w:r>
          </w:p>
        </w:tc>
        <w:tc>
          <w:tcPr>
            <w:tcW w:w="1230" w:type="dxa"/>
            <w:tcBorders>
              <w:top w:val="nil"/>
              <w:left w:val="nil"/>
              <w:bottom w:val="nil"/>
              <w:right w:val="nil"/>
            </w:tcBorders>
            <w:shd w:val="clear" w:color="auto" w:fill="auto"/>
            <w:tcMar>
              <w:top w:w="160" w:type="dxa"/>
              <w:left w:w="160" w:type="dxa"/>
              <w:bottom w:w="0" w:type="dxa"/>
              <w:right w:w="80" w:type="dxa"/>
            </w:tcMar>
            <w:vAlign w:val="bottom"/>
          </w:tcPr>
          <w:p w14:paraId="6D8B477B" w14:textId="77777777" w:rsidR="00E914FA" w:rsidRPr="000821F9" w:rsidRDefault="00E914FA" w:rsidP="00E3128F">
            <w:pPr>
              <w:spacing w:before="240" w:line="360" w:lineRule="auto"/>
              <w:jc w:val="center"/>
              <w:rPr>
                <w:rFonts w:eastAsia="Times New Roman" w:cs="Times New Roman"/>
                <w:i/>
              </w:rPr>
            </w:pPr>
            <w:r w:rsidRPr="000821F9">
              <w:rPr>
                <w:rFonts w:eastAsia="Times New Roman" w:cs="Times New Roman"/>
                <w:i/>
              </w:rPr>
              <w:t>%</w:t>
            </w:r>
          </w:p>
        </w:tc>
      </w:tr>
      <w:tr w:rsidR="00E914FA" w:rsidRPr="00031C8C" w14:paraId="0DF0F767" w14:textId="77777777" w:rsidTr="00390FD3">
        <w:trPr>
          <w:trHeight w:val="716"/>
        </w:trPr>
        <w:tc>
          <w:tcPr>
            <w:tcW w:w="2895" w:type="dxa"/>
            <w:tcBorders>
              <w:top w:val="single" w:sz="8" w:space="0" w:color="000000"/>
              <w:left w:val="nil"/>
              <w:bottom w:val="nil"/>
              <w:right w:val="nil"/>
            </w:tcBorders>
            <w:shd w:val="clear" w:color="auto" w:fill="auto"/>
            <w:tcMar>
              <w:top w:w="160" w:type="dxa"/>
              <w:left w:w="160" w:type="dxa"/>
              <w:bottom w:w="0" w:type="dxa"/>
              <w:right w:w="80" w:type="dxa"/>
            </w:tcMar>
            <w:vAlign w:val="bottom"/>
          </w:tcPr>
          <w:p w14:paraId="6CC52174"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Gender</w:t>
            </w:r>
            <w:bookmarkStart w:id="0" w:name="_GoBack"/>
            <w:bookmarkEnd w:id="0"/>
          </w:p>
        </w:tc>
        <w:tc>
          <w:tcPr>
            <w:tcW w:w="1815" w:type="dxa"/>
            <w:gridSpan w:val="2"/>
            <w:tcBorders>
              <w:top w:val="single" w:sz="8" w:space="0" w:color="000000"/>
              <w:left w:val="nil"/>
              <w:bottom w:val="nil"/>
              <w:right w:val="nil"/>
            </w:tcBorders>
            <w:shd w:val="clear" w:color="auto" w:fill="auto"/>
            <w:tcMar>
              <w:top w:w="160" w:type="dxa"/>
              <w:left w:w="160" w:type="dxa"/>
              <w:bottom w:w="0" w:type="dxa"/>
              <w:right w:w="80" w:type="dxa"/>
            </w:tcMar>
            <w:vAlign w:val="bottom"/>
          </w:tcPr>
          <w:p w14:paraId="61A151C7"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 xml:space="preserve"> </w:t>
            </w:r>
          </w:p>
        </w:tc>
        <w:tc>
          <w:tcPr>
            <w:tcW w:w="2085" w:type="dxa"/>
            <w:gridSpan w:val="2"/>
            <w:tcBorders>
              <w:top w:val="single" w:sz="8" w:space="0" w:color="000000"/>
              <w:left w:val="nil"/>
              <w:bottom w:val="nil"/>
              <w:right w:val="nil"/>
            </w:tcBorders>
            <w:shd w:val="clear" w:color="auto" w:fill="auto"/>
            <w:tcMar>
              <w:top w:w="160" w:type="dxa"/>
              <w:left w:w="160" w:type="dxa"/>
              <w:bottom w:w="0" w:type="dxa"/>
              <w:right w:w="80" w:type="dxa"/>
            </w:tcMar>
            <w:vAlign w:val="bottom"/>
          </w:tcPr>
          <w:p w14:paraId="04CB3C34"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 xml:space="preserve"> </w:t>
            </w:r>
          </w:p>
        </w:tc>
        <w:tc>
          <w:tcPr>
            <w:tcW w:w="2085" w:type="dxa"/>
            <w:gridSpan w:val="2"/>
            <w:tcBorders>
              <w:top w:val="single" w:sz="8" w:space="0" w:color="000000"/>
              <w:left w:val="nil"/>
              <w:bottom w:val="nil"/>
              <w:right w:val="nil"/>
            </w:tcBorders>
            <w:shd w:val="clear" w:color="auto" w:fill="auto"/>
            <w:tcMar>
              <w:top w:w="160" w:type="dxa"/>
              <w:left w:w="160" w:type="dxa"/>
              <w:bottom w:w="0" w:type="dxa"/>
              <w:right w:w="80" w:type="dxa"/>
            </w:tcMar>
            <w:vAlign w:val="bottom"/>
          </w:tcPr>
          <w:p w14:paraId="03D14281"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 xml:space="preserve"> </w:t>
            </w:r>
          </w:p>
        </w:tc>
      </w:tr>
      <w:tr w:rsidR="00E914FA" w:rsidRPr="00031C8C" w14:paraId="4940D990" w14:textId="77777777" w:rsidTr="00E914FA">
        <w:trPr>
          <w:trHeight w:val="510"/>
        </w:trPr>
        <w:tc>
          <w:tcPr>
            <w:tcW w:w="2895" w:type="dxa"/>
            <w:tcBorders>
              <w:top w:val="nil"/>
              <w:left w:val="nil"/>
              <w:bottom w:val="nil"/>
              <w:right w:val="nil"/>
            </w:tcBorders>
            <w:shd w:val="clear" w:color="auto" w:fill="auto"/>
            <w:tcMar>
              <w:top w:w="160" w:type="dxa"/>
              <w:left w:w="160" w:type="dxa"/>
              <w:bottom w:w="0" w:type="dxa"/>
              <w:right w:w="80" w:type="dxa"/>
            </w:tcMar>
            <w:vAlign w:val="bottom"/>
          </w:tcPr>
          <w:p w14:paraId="704FE828"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 xml:space="preserve">  Female</w:t>
            </w:r>
          </w:p>
        </w:tc>
        <w:tc>
          <w:tcPr>
            <w:tcW w:w="705" w:type="dxa"/>
            <w:tcBorders>
              <w:top w:val="nil"/>
              <w:left w:val="nil"/>
              <w:bottom w:val="nil"/>
              <w:right w:val="nil"/>
            </w:tcBorders>
            <w:shd w:val="clear" w:color="auto" w:fill="auto"/>
            <w:tcMar>
              <w:top w:w="160" w:type="dxa"/>
              <w:left w:w="160" w:type="dxa"/>
              <w:bottom w:w="0" w:type="dxa"/>
              <w:right w:w="80" w:type="dxa"/>
            </w:tcMar>
            <w:vAlign w:val="bottom"/>
          </w:tcPr>
          <w:p w14:paraId="448A3A25"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132</w:t>
            </w:r>
          </w:p>
        </w:tc>
        <w:tc>
          <w:tcPr>
            <w:tcW w:w="1110" w:type="dxa"/>
            <w:tcBorders>
              <w:top w:val="nil"/>
              <w:left w:val="nil"/>
              <w:bottom w:val="nil"/>
              <w:right w:val="nil"/>
            </w:tcBorders>
            <w:shd w:val="clear" w:color="auto" w:fill="auto"/>
            <w:tcMar>
              <w:top w:w="160" w:type="dxa"/>
              <w:left w:w="160" w:type="dxa"/>
              <w:bottom w:w="0" w:type="dxa"/>
              <w:right w:w="80" w:type="dxa"/>
            </w:tcMar>
            <w:vAlign w:val="bottom"/>
          </w:tcPr>
          <w:p w14:paraId="05E581C6"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51%</w:t>
            </w:r>
          </w:p>
        </w:tc>
        <w:tc>
          <w:tcPr>
            <w:tcW w:w="855" w:type="dxa"/>
            <w:tcBorders>
              <w:top w:val="nil"/>
              <w:left w:val="nil"/>
              <w:bottom w:val="nil"/>
              <w:right w:val="nil"/>
            </w:tcBorders>
            <w:shd w:val="clear" w:color="auto" w:fill="auto"/>
            <w:tcMar>
              <w:top w:w="160" w:type="dxa"/>
              <w:left w:w="160" w:type="dxa"/>
              <w:bottom w:w="0" w:type="dxa"/>
              <w:right w:w="80" w:type="dxa"/>
            </w:tcMar>
            <w:vAlign w:val="bottom"/>
          </w:tcPr>
          <w:p w14:paraId="50B044B9"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508</w:t>
            </w:r>
          </w:p>
        </w:tc>
        <w:tc>
          <w:tcPr>
            <w:tcW w:w="1230" w:type="dxa"/>
            <w:tcBorders>
              <w:top w:val="nil"/>
              <w:left w:val="nil"/>
              <w:bottom w:val="nil"/>
              <w:right w:val="nil"/>
            </w:tcBorders>
            <w:shd w:val="clear" w:color="auto" w:fill="auto"/>
            <w:tcMar>
              <w:top w:w="160" w:type="dxa"/>
              <w:left w:w="160" w:type="dxa"/>
              <w:bottom w:w="0" w:type="dxa"/>
              <w:right w:w="80" w:type="dxa"/>
            </w:tcMar>
            <w:vAlign w:val="bottom"/>
          </w:tcPr>
          <w:p w14:paraId="1549451A"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60.6%</w:t>
            </w:r>
          </w:p>
        </w:tc>
        <w:tc>
          <w:tcPr>
            <w:tcW w:w="855" w:type="dxa"/>
            <w:tcBorders>
              <w:top w:val="nil"/>
              <w:left w:val="nil"/>
              <w:bottom w:val="nil"/>
              <w:right w:val="nil"/>
            </w:tcBorders>
            <w:shd w:val="clear" w:color="auto" w:fill="auto"/>
            <w:tcMar>
              <w:top w:w="160" w:type="dxa"/>
              <w:left w:w="160" w:type="dxa"/>
              <w:bottom w:w="0" w:type="dxa"/>
              <w:right w:w="80" w:type="dxa"/>
            </w:tcMar>
            <w:vAlign w:val="bottom"/>
          </w:tcPr>
          <w:p w14:paraId="36ECAC65"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152</w:t>
            </w:r>
          </w:p>
        </w:tc>
        <w:tc>
          <w:tcPr>
            <w:tcW w:w="1230" w:type="dxa"/>
            <w:tcBorders>
              <w:top w:val="nil"/>
              <w:left w:val="nil"/>
              <w:bottom w:val="nil"/>
              <w:right w:val="nil"/>
            </w:tcBorders>
            <w:shd w:val="clear" w:color="auto" w:fill="auto"/>
            <w:tcMar>
              <w:top w:w="160" w:type="dxa"/>
              <w:left w:w="160" w:type="dxa"/>
              <w:bottom w:w="0" w:type="dxa"/>
              <w:right w:w="80" w:type="dxa"/>
            </w:tcMar>
            <w:vAlign w:val="bottom"/>
          </w:tcPr>
          <w:p w14:paraId="309E7024"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66.1%</w:t>
            </w:r>
          </w:p>
        </w:tc>
      </w:tr>
      <w:tr w:rsidR="00E914FA" w:rsidRPr="00031C8C" w14:paraId="2EBE79EA" w14:textId="77777777" w:rsidTr="00E914FA">
        <w:trPr>
          <w:trHeight w:val="510"/>
        </w:trPr>
        <w:tc>
          <w:tcPr>
            <w:tcW w:w="2895" w:type="dxa"/>
            <w:tcBorders>
              <w:top w:val="nil"/>
              <w:left w:val="nil"/>
              <w:bottom w:val="nil"/>
              <w:right w:val="nil"/>
            </w:tcBorders>
            <w:shd w:val="clear" w:color="auto" w:fill="auto"/>
            <w:tcMar>
              <w:top w:w="160" w:type="dxa"/>
              <w:left w:w="160" w:type="dxa"/>
              <w:bottom w:w="0" w:type="dxa"/>
              <w:right w:w="80" w:type="dxa"/>
            </w:tcMar>
            <w:vAlign w:val="bottom"/>
          </w:tcPr>
          <w:p w14:paraId="57E743E6"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 xml:space="preserve">  Male</w:t>
            </w:r>
          </w:p>
        </w:tc>
        <w:tc>
          <w:tcPr>
            <w:tcW w:w="705" w:type="dxa"/>
            <w:tcBorders>
              <w:top w:val="nil"/>
              <w:left w:val="nil"/>
              <w:bottom w:val="nil"/>
              <w:right w:val="nil"/>
            </w:tcBorders>
            <w:shd w:val="clear" w:color="auto" w:fill="auto"/>
            <w:tcMar>
              <w:top w:w="160" w:type="dxa"/>
              <w:left w:w="160" w:type="dxa"/>
              <w:bottom w:w="0" w:type="dxa"/>
              <w:right w:w="80" w:type="dxa"/>
            </w:tcMar>
            <w:vAlign w:val="bottom"/>
          </w:tcPr>
          <w:p w14:paraId="5E24BF8C"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46</w:t>
            </w:r>
          </w:p>
        </w:tc>
        <w:tc>
          <w:tcPr>
            <w:tcW w:w="1110" w:type="dxa"/>
            <w:tcBorders>
              <w:top w:val="nil"/>
              <w:left w:val="nil"/>
              <w:bottom w:val="nil"/>
              <w:right w:val="nil"/>
            </w:tcBorders>
            <w:shd w:val="clear" w:color="auto" w:fill="auto"/>
            <w:tcMar>
              <w:top w:w="160" w:type="dxa"/>
              <w:left w:w="160" w:type="dxa"/>
              <w:bottom w:w="0" w:type="dxa"/>
              <w:right w:w="80" w:type="dxa"/>
            </w:tcMar>
            <w:vAlign w:val="bottom"/>
          </w:tcPr>
          <w:p w14:paraId="42D53467"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17.8%</w:t>
            </w:r>
          </w:p>
        </w:tc>
        <w:tc>
          <w:tcPr>
            <w:tcW w:w="855" w:type="dxa"/>
            <w:tcBorders>
              <w:top w:val="nil"/>
              <w:left w:val="nil"/>
              <w:bottom w:val="nil"/>
              <w:right w:val="nil"/>
            </w:tcBorders>
            <w:shd w:val="clear" w:color="auto" w:fill="auto"/>
            <w:tcMar>
              <w:top w:w="160" w:type="dxa"/>
              <w:left w:w="160" w:type="dxa"/>
              <w:bottom w:w="0" w:type="dxa"/>
              <w:right w:w="80" w:type="dxa"/>
            </w:tcMar>
            <w:vAlign w:val="bottom"/>
          </w:tcPr>
          <w:p w14:paraId="08482565"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126</w:t>
            </w:r>
          </w:p>
        </w:tc>
        <w:tc>
          <w:tcPr>
            <w:tcW w:w="1230" w:type="dxa"/>
            <w:tcBorders>
              <w:top w:val="nil"/>
              <w:left w:val="nil"/>
              <w:bottom w:val="nil"/>
              <w:right w:val="nil"/>
            </w:tcBorders>
            <w:shd w:val="clear" w:color="auto" w:fill="auto"/>
            <w:tcMar>
              <w:top w:w="160" w:type="dxa"/>
              <w:left w:w="160" w:type="dxa"/>
              <w:bottom w:w="0" w:type="dxa"/>
              <w:right w:w="80" w:type="dxa"/>
            </w:tcMar>
            <w:vAlign w:val="bottom"/>
          </w:tcPr>
          <w:p w14:paraId="52CF3C3A"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15%</w:t>
            </w:r>
          </w:p>
        </w:tc>
        <w:tc>
          <w:tcPr>
            <w:tcW w:w="855" w:type="dxa"/>
            <w:tcBorders>
              <w:top w:val="nil"/>
              <w:left w:val="nil"/>
              <w:bottom w:val="nil"/>
              <w:right w:val="nil"/>
            </w:tcBorders>
            <w:shd w:val="clear" w:color="auto" w:fill="auto"/>
            <w:tcMar>
              <w:top w:w="160" w:type="dxa"/>
              <w:left w:w="160" w:type="dxa"/>
              <w:bottom w:w="0" w:type="dxa"/>
              <w:right w:w="80" w:type="dxa"/>
            </w:tcMar>
            <w:vAlign w:val="bottom"/>
          </w:tcPr>
          <w:p w14:paraId="7346612C"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74</w:t>
            </w:r>
          </w:p>
        </w:tc>
        <w:tc>
          <w:tcPr>
            <w:tcW w:w="1230" w:type="dxa"/>
            <w:tcBorders>
              <w:top w:val="nil"/>
              <w:left w:val="nil"/>
              <w:bottom w:val="nil"/>
              <w:right w:val="nil"/>
            </w:tcBorders>
            <w:shd w:val="clear" w:color="auto" w:fill="auto"/>
            <w:tcMar>
              <w:top w:w="160" w:type="dxa"/>
              <w:left w:w="160" w:type="dxa"/>
              <w:bottom w:w="0" w:type="dxa"/>
              <w:right w:w="80" w:type="dxa"/>
            </w:tcMar>
            <w:vAlign w:val="bottom"/>
          </w:tcPr>
          <w:p w14:paraId="6E0AC899"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32.2%</w:t>
            </w:r>
          </w:p>
        </w:tc>
      </w:tr>
      <w:tr w:rsidR="00E914FA" w:rsidRPr="00031C8C" w14:paraId="703B4FF7" w14:textId="77777777" w:rsidTr="00E914FA">
        <w:trPr>
          <w:trHeight w:val="510"/>
        </w:trPr>
        <w:tc>
          <w:tcPr>
            <w:tcW w:w="2895" w:type="dxa"/>
            <w:tcBorders>
              <w:top w:val="nil"/>
              <w:left w:val="nil"/>
              <w:bottom w:val="nil"/>
              <w:right w:val="nil"/>
            </w:tcBorders>
            <w:shd w:val="clear" w:color="auto" w:fill="auto"/>
            <w:tcMar>
              <w:top w:w="160" w:type="dxa"/>
              <w:left w:w="160" w:type="dxa"/>
              <w:bottom w:w="0" w:type="dxa"/>
              <w:right w:w="80" w:type="dxa"/>
            </w:tcMar>
            <w:vAlign w:val="bottom"/>
          </w:tcPr>
          <w:p w14:paraId="5C57C1E0"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Degree</w:t>
            </w:r>
          </w:p>
        </w:tc>
        <w:tc>
          <w:tcPr>
            <w:tcW w:w="705" w:type="dxa"/>
            <w:tcBorders>
              <w:top w:val="nil"/>
              <w:left w:val="nil"/>
              <w:bottom w:val="nil"/>
              <w:right w:val="nil"/>
            </w:tcBorders>
            <w:shd w:val="clear" w:color="auto" w:fill="auto"/>
            <w:tcMar>
              <w:top w:w="160" w:type="dxa"/>
              <w:left w:w="160" w:type="dxa"/>
              <w:bottom w:w="0" w:type="dxa"/>
              <w:right w:w="80" w:type="dxa"/>
            </w:tcMar>
            <w:vAlign w:val="bottom"/>
          </w:tcPr>
          <w:p w14:paraId="2DB58D3C"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 xml:space="preserve"> </w:t>
            </w:r>
          </w:p>
        </w:tc>
        <w:tc>
          <w:tcPr>
            <w:tcW w:w="1110" w:type="dxa"/>
            <w:tcBorders>
              <w:top w:val="nil"/>
              <w:left w:val="nil"/>
              <w:bottom w:val="nil"/>
              <w:right w:val="nil"/>
            </w:tcBorders>
            <w:shd w:val="clear" w:color="auto" w:fill="auto"/>
            <w:tcMar>
              <w:top w:w="160" w:type="dxa"/>
              <w:left w:w="160" w:type="dxa"/>
              <w:bottom w:w="0" w:type="dxa"/>
              <w:right w:w="80" w:type="dxa"/>
            </w:tcMar>
            <w:vAlign w:val="bottom"/>
          </w:tcPr>
          <w:p w14:paraId="28F80EFD"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 xml:space="preserve"> </w:t>
            </w:r>
          </w:p>
        </w:tc>
        <w:tc>
          <w:tcPr>
            <w:tcW w:w="855" w:type="dxa"/>
            <w:tcBorders>
              <w:top w:val="nil"/>
              <w:left w:val="nil"/>
              <w:bottom w:val="nil"/>
              <w:right w:val="nil"/>
            </w:tcBorders>
            <w:shd w:val="clear" w:color="auto" w:fill="auto"/>
            <w:tcMar>
              <w:top w:w="160" w:type="dxa"/>
              <w:left w:w="160" w:type="dxa"/>
              <w:bottom w:w="0" w:type="dxa"/>
              <w:right w:w="80" w:type="dxa"/>
            </w:tcMar>
            <w:vAlign w:val="bottom"/>
          </w:tcPr>
          <w:p w14:paraId="4F63D1BB"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 xml:space="preserve"> </w:t>
            </w:r>
          </w:p>
        </w:tc>
        <w:tc>
          <w:tcPr>
            <w:tcW w:w="1230" w:type="dxa"/>
            <w:tcBorders>
              <w:top w:val="nil"/>
              <w:left w:val="nil"/>
              <w:bottom w:val="nil"/>
              <w:right w:val="nil"/>
            </w:tcBorders>
            <w:shd w:val="clear" w:color="auto" w:fill="auto"/>
            <w:tcMar>
              <w:top w:w="160" w:type="dxa"/>
              <w:left w:w="160" w:type="dxa"/>
              <w:bottom w:w="0" w:type="dxa"/>
              <w:right w:w="80" w:type="dxa"/>
            </w:tcMar>
            <w:vAlign w:val="bottom"/>
          </w:tcPr>
          <w:p w14:paraId="4371DA43"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 xml:space="preserve"> </w:t>
            </w:r>
          </w:p>
        </w:tc>
        <w:tc>
          <w:tcPr>
            <w:tcW w:w="855" w:type="dxa"/>
            <w:tcBorders>
              <w:top w:val="nil"/>
              <w:left w:val="nil"/>
              <w:bottom w:val="nil"/>
              <w:right w:val="nil"/>
            </w:tcBorders>
            <w:shd w:val="clear" w:color="auto" w:fill="auto"/>
            <w:tcMar>
              <w:top w:w="160" w:type="dxa"/>
              <w:left w:w="160" w:type="dxa"/>
              <w:bottom w:w="0" w:type="dxa"/>
              <w:right w:w="80" w:type="dxa"/>
            </w:tcMar>
            <w:vAlign w:val="bottom"/>
          </w:tcPr>
          <w:p w14:paraId="01CF0254"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 xml:space="preserve"> </w:t>
            </w:r>
          </w:p>
        </w:tc>
        <w:tc>
          <w:tcPr>
            <w:tcW w:w="1230" w:type="dxa"/>
            <w:tcBorders>
              <w:top w:val="nil"/>
              <w:left w:val="nil"/>
              <w:bottom w:val="nil"/>
              <w:right w:val="nil"/>
            </w:tcBorders>
            <w:shd w:val="clear" w:color="auto" w:fill="auto"/>
            <w:tcMar>
              <w:top w:w="160" w:type="dxa"/>
              <w:left w:w="160" w:type="dxa"/>
              <w:bottom w:w="0" w:type="dxa"/>
              <w:right w:w="80" w:type="dxa"/>
            </w:tcMar>
            <w:vAlign w:val="bottom"/>
          </w:tcPr>
          <w:p w14:paraId="7D98F6A7"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 xml:space="preserve"> </w:t>
            </w:r>
          </w:p>
        </w:tc>
      </w:tr>
      <w:tr w:rsidR="00E914FA" w:rsidRPr="00031C8C" w14:paraId="6FBAB7B2" w14:textId="77777777" w:rsidTr="00E914FA">
        <w:trPr>
          <w:trHeight w:val="510"/>
        </w:trPr>
        <w:tc>
          <w:tcPr>
            <w:tcW w:w="2895" w:type="dxa"/>
            <w:tcBorders>
              <w:top w:val="nil"/>
              <w:left w:val="nil"/>
              <w:bottom w:val="nil"/>
              <w:right w:val="nil"/>
            </w:tcBorders>
            <w:shd w:val="clear" w:color="auto" w:fill="auto"/>
            <w:tcMar>
              <w:top w:w="160" w:type="dxa"/>
              <w:left w:w="160" w:type="dxa"/>
              <w:bottom w:w="0" w:type="dxa"/>
              <w:right w:w="80" w:type="dxa"/>
            </w:tcMar>
            <w:vAlign w:val="bottom"/>
          </w:tcPr>
          <w:p w14:paraId="2E77ABD8"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 xml:space="preserve">  Bachelor</w:t>
            </w:r>
          </w:p>
        </w:tc>
        <w:tc>
          <w:tcPr>
            <w:tcW w:w="705" w:type="dxa"/>
            <w:tcBorders>
              <w:top w:val="nil"/>
              <w:left w:val="nil"/>
              <w:bottom w:val="nil"/>
              <w:right w:val="nil"/>
            </w:tcBorders>
            <w:shd w:val="clear" w:color="auto" w:fill="auto"/>
            <w:tcMar>
              <w:top w:w="160" w:type="dxa"/>
              <w:left w:w="160" w:type="dxa"/>
              <w:bottom w:w="0" w:type="dxa"/>
              <w:right w:w="80" w:type="dxa"/>
            </w:tcMar>
            <w:vAlign w:val="bottom"/>
          </w:tcPr>
          <w:p w14:paraId="400853B6"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90</w:t>
            </w:r>
          </w:p>
        </w:tc>
        <w:tc>
          <w:tcPr>
            <w:tcW w:w="1110" w:type="dxa"/>
            <w:tcBorders>
              <w:top w:val="nil"/>
              <w:left w:val="nil"/>
              <w:bottom w:val="nil"/>
              <w:right w:val="nil"/>
            </w:tcBorders>
            <w:shd w:val="clear" w:color="auto" w:fill="auto"/>
            <w:tcMar>
              <w:top w:w="160" w:type="dxa"/>
              <w:left w:w="160" w:type="dxa"/>
              <w:bottom w:w="0" w:type="dxa"/>
              <w:right w:w="80" w:type="dxa"/>
            </w:tcMar>
            <w:vAlign w:val="bottom"/>
          </w:tcPr>
          <w:p w14:paraId="1A804995"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34.8%</w:t>
            </w:r>
          </w:p>
        </w:tc>
        <w:tc>
          <w:tcPr>
            <w:tcW w:w="855" w:type="dxa"/>
            <w:tcBorders>
              <w:top w:val="nil"/>
              <w:left w:val="nil"/>
              <w:bottom w:val="nil"/>
              <w:right w:val="nil"/>
            </w:tcBorders>
            <w:shd w:val="clear" w:color="auto" w:fill="auto"/>
            <w:tcMar>
              <w:top w:w="160" w:type="dxa"/>
              <w:left w:w="160" w:type="dxa"/>
              <w:bottom w:w="0" w:type="dxa"/>
              <w:right w:w="80" w:type="dxa"/>
            </w:tcMar>
            <w:vAlign w:val="bottom"/>
          </w:tcPr>
          <w:p w14:paraId="46939226"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564</w:t>
            </w:r>
          </w:p>
        </w:tc>
        <w:tc>
          <w:tcPr>
            <w:tcW w:w="1230" w:type="dxa"/>
            <w:tcBorders>
              <w:top w:val="nil"/>
              <w:left w:val="nil"/>
              <w:bottom w:val="nil"/>
              <w:right w:val="nil"/>
            </w:tcBorders>
            <w:shd w:val="clear" w:color="auto" w:fill="auto"/>
            <w:tcMar>
              <w:top w:w="160" w:type="dxa"/>
              <w:left w:w="160" w:type="dxa"/>
              <w:bottom w:w="0" w:type="dxa"/>
              <w:right w:w="80" w:type="dxa"/>
            </w:tcMar>
            <w:vAlign w:val="bottom"/>
          </w:tcPr>
          <w:p w14:paraId="265A9E6A"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67.2%</w:t>
            </w:r>
          </w:p>
        </w:tc>
        <w:tc>
          <w:tcPr>
            <w:tcW w:w="855" w:type="dxa"/>
            <w:tcBorders>
              <w:top w:val="nil"/>
              <w:left w:val="nil"/>
              <w:bottom w:val="nil"/>
              <w:right w:val="nil"/>
            </w:tcBorders>
            <w:shd w:val="clear" w:color="auto" w:fill="auto"/>
            <w:tcMar>
              <w:top w:w="160" w:type="dxa"/>
              <w:left w:w="160" w:type="dxa"/>
              <w:bottom w:w="0" w:type="dxa"/>
              <w:right w:w="80" w:type="dxa"/>
            </w:tcMar>
            <w:vAlign w:val="bottom"/>
          </w:tcPr>
          <w:p w14:paraId="7D7BFD7B"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219</w:t>
            </w:r>
          </w:p>
        </w:tc>
        <w:tc>
          <w:tcPr>
            <w:tcW w:w="1230" w:type="dxa"/>
            <w:tcBorders>
              <w:top w:val="nil"/>
              <w:left w:val="nil"/>
              <w:bottom w:val="nil"/>
              <w:right w:val="nil"/>
            </w:tcBorders>
            <w:shd w:val="clear" w:color="auto" w:fill="auto"/>
            <w:tcMar>
              <w:top w:w="160" w:type="dxa"/>
              <w:left w:w="160" w:type="dxa"/>
              <w:bottom w:w="0" w:type="dxa"/>
              <w:right w:w="80" w:type="dxa"/>
            </w:tcMar>
            <w:vAlign w:val="bottom"/>
          </w:tcPr>
          <w:p w14:paraId="18B841A3"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95.2%</w:t>
            </w:r>
          </w:p>
        </w:tc>
      </w:tr>
      <w:tr w:rsidR="00E914FA" w:rsidRPr="00031C8C" w14:paraId="67029BBE" w14:textId="77777777" w:rsidTr="00E914FA">
        <w:trPr>
          <w:trHeight w:val="510"/>
        </w:trPr>
        <w:tc>
          <w:tcPr>
            <w:tcW w:w="2895" w:type="dxa"/>
            <w:tcBorders>
              <w:top w:val="nil"/>
              <w:left w:val="nil"/>
              <w:bottom w:val="nil"/>
              <w:right w:val="nil"/>
            </w:tcBorders>
            <w:shd w:val="clear" w:color="auto" w:fill="auto"/>
            <w:tcMar>
              <w:top w:w="160" w:type="dxa"/>
              <w:left w:w="160" w:type="dxa"/>
              <w:bottom w:w="0" w:type="dxa"/>
              <w:right w:w="80" w:type="dxa"/>
            </w:tcMar>
            <w:vAlign w:val="bottom"/>
          </w:tcPr>
          <w:p w14:paraId="69260B51"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 xml:space="preserve">  Master</w:t>
            </w:r>
          </w:p>
        </w:tc>
        <w:tc>
          <w:tcPr>
            <w:tcW w:w="705" w:type="dxa"/>
            <w:tcBorders>
              <w:top w:val="nil"/>
              <w:left w:val="nil"/>
              <w:bottom w:val="nil"/>
              <w:right w:val="nil"/>
            </w:tcBorders>
            <w:shd w:val="clear" w:color="auto" w:fill="auto"/>
            <w:tcMar>
              <w:top w:w="160" w:type="dxa"/>
              <w:left w:w="160" w:type="dxa"/>
              <w:bottom w:w="0" w:type="dxa"/>
              <w:right w:w="80" w:type="dxa"/>
            </w:tcMar>
            <w:vAlign w:val="bottom"/>
          </w:tcPr>
          <w:p w14:paraId="738D12BE"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96</w:t>
            </w:r>
          </w:p>
        </w:tc>
        <w:tc>
          <w:tcPr>
            <w:tcW w:w="1110" w:type="dxa"/>
            <w:tcBorders>
              <w:top w:val="nil"/>
              <w:left w:val="nil"/>
              <w:bottom w:val="nil"/>
              <w:right w:val="nil"/>
            </w:tcBorders>
            <w:shd w:val="clear" w:color="auto" w:fill="auto"/>
            <w:tcMar>
              <w:top w:w="160" w:type="dxa"/>
              <w:left w:w="160" w:type="dxa"/>
              <w:bottom w:w="0" w:type="dxa"/>
              <w:right w:w="80" w:type="dxa"/>
            </w:tcMar>
            <w:vAlign w:val="bottom"/>
          </w:tcPr>
          <w:p w14:paraId="0614E795"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37.1%</w:t>
            </w:r>
          </w:p>
        </w:tc>
        <w:tc>
          <w:tcPr>
            <w:tcW w:w="855" w:type="dxa"/>
            <w:tcBorders>
              <w:top w:val="nil"/>
              <w:left w:val="nil"/>
              <w:bottom w:val="nil"/>
              <w:right w:val="nil"/>
            </w:tcBorders>
            <w:shd w:val="clear" w:color="auto" w:fill="auto"/>
            <w:tcMar>
              <w:top w:w="160" w:type="dxa"/>
              <w:left w:w="160" w:type="dxa"/>
              <w:bottom w:w="0" w:type="dxa"/>
              <w:right w:w="80" w:type="dxa"/>
            </w:tcMar>
            <w:vAlign w:val="bottom"/>
          </w:tcPr>
          <w:p w14:paraId="6B04E99C"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68</w:t>
            </w:r>
          </w:p>
        </w:tc>
        <w:tc>
          <w:tcPr>
            <w:tcW w:w="1230" w:type="dxa"/>
            <w:tcBorders>
              <w:top w:val="nil"/>
              <w:left w:val="nil"/>
              <w:bottom w:val="nil"/>
              <w:right w:val="nil"/>
            </w:tcBorders>
            <w:shd w:val="clear" w:color="auto" w:fill="auto"/>
            <w:tcMar>
              <w:top w:w="160" w:type="dxa"/>
              <w:left w:w="160" w:type="dxa"/>
              <w:bottom w:w="0" w:type="dxa"/>
              <w:right w:w="80" w:type="dxa"/>
            </w:tcMar>
            <w:vAlign w:val="bottom"/>
          </w:tcPr>
          <w:p w14:paraId="36830580"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8.1%</w:t>
            </w:r>
          </w:p>
        </w:tc>
        <w:tc>
          <w:tcPr>
            <w:tcW w:w="855" w:type="dxa"/>
            <w:tcBorders>
              <w:top w:val="nil"/>
              <w:left w:val="nil"/>
              <w:bottom w:val="nil"/>
              <w:right w:val="nil"/>
            </w:tcBorders>
            <w:shd w:val="clear" w:color="auto" w:fill="auto"/>
            <w:tcMar>
              <w:top w:w="160" w:type="dxa"/>
              <w:left w:w="160" w:type="dxa"/>
              <w:bottom w:w="0" w:type="dxa"/>
              <w:right w:w="80" w:type="dxa"/>
            </w:tcMar>
            <w:vAlign w:val="bottom"/>
          </w:tcPr>
          <w:p w14:paraId="5B76D4D8"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3</w:t>
            </w:r>
          </w:p>
        </w:tc>
        <w:tc>
          <w:tcPr>
            <w:tcW w:w="1230" w:type="dxa"/>
            <w:tcBorders>
              <w:top w:val="nil"/>
              <w:left w:val="nil"/>
              <w:bottom w:val="nil"/>
              <w:right w:val="nil"/>
            </w:tcBorders>
            <w:shd w:val="clear" w:color="auto" w:fill="auto"/>
            <w:tcMar>
              <w:top w:w="160" w:type="dxa"/>
              <w:left w:w="160" w:type="dxa"/>
              <w:bottom w:w="0" w:type="dxa"/>
              <w:right w:w="80" w:type="dxa"/>
            </w:tcMar>
            <w:vAlign w:val="bottom"/>
          </w:tcPr>
          <w:p w14:paraId="78D03809"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1.3%</w:t>
            </w:r>
          </w:p>
        </w:tc>
      </w:tr>
      <w:tr w:rsidR="00E914FA" w:rsidRPr="00031C8C" w14:paraId="085ED514" w14:textId="77777777" w:rsidTr="00E914FA">
        <w:trPr>
          <w:trHeight w:val="510"/>
        </w:trPr>
        <w:tc>
          <w:tcPr>
            <w:tcW w:w="2895" w:type="dxa"/>
            <w:tcBorders>
              <w:top w:val="nil"/>
              <w:left w:val="nil"/>
              <w:bottom w:val="nil"/>
              <w:right w:val="nil"/>
            </w:tcBorders>
            <w:shd w:val="clear" w:color="auto" w:fill="auto"/>
            <w:tcMar>
              <w:top w:w="160" w:type="dxa"/>
              <w:left w:w="160" w:type="dxa"/>
              <w:bottom w:w="0" w:type="dxa"/>
              <w:right w:w="80" w:type="dxa"/>
            </w:tcMar>
            <w:vAlign w:val="bottom"/>
          </w:tcPr>
          <w:p w14:paraId="6A1DA635"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lastRenderedPageBreak/>
              <w:t>Teacher training</w:t>
            </w:r>
          </w:p>
        </w:tc>
        <w:tc>
          <w:tcPr>
            <w:tcW w:w="705" w:type="dxa"/>
            <w:tcBorders>
              <w:top w:val="nil"/>
              <w:left w:val="nil"/>
              <w:bottom w:val="nil"/>
              <w:right w:val="nil"/>
            </w:tcBorders>
            <w:shd w:val="clear" w:color="auto" w:fill="auto"/>
            <w:tcMar>
              <w:top w:w="160" w:type="dxa"/>
              <w:left w:w="160" w:type="dxa"/>
              <w:bottom w:w="0" w:type="dxa"/>
              <w:right w:w="80" w:type="dxa"/>
            </w:tcMar>
            <w:vAlign w:val="bottom"/>
          </w:tcPr>
          <w:p w14:paraId="0E7E2576"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 xml:space="preserve"> </w:t>
            </w:r>
          </w:p>
        </w:tc>
        <w:tc>
          <w:tcPr>
            <w:tcW w:w="1110" w:type="dxa"/>
            <w:tcBorders>
              <w:top w:val="nil"/>
              <w:left w:val="nil"/>
              <w:bottom w:val="nil"/>
              <w:right w:val="nil"/>
            </w:tcBorders>
            <w:shd w:val="clear" w:color="auto" w:fill="auto"/>
            <w:tcMar>
              <w:top w:w="160" w:type="dxa"/>
              <w:left w:w="160" w:type="dxa"/>
              <w:bottom w:w="0" w:type="dxa"/>
              <w:right w:w="80" w:type="dxa"/>
            </w:tcMar>
            <w:vAlign w:val="bottom"/>
          </w:tcPr>
          <w:p w14:paraId="186FCA0E"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 xml:space="preserve"> </w:t>
            </w:r>
          </w:p>
        </w:tc>
        <w:tc>
          <w:tcPr>
            <w:tcW w:w="855" w:type="dxa"/>
            <w:tcBorders>
              <w:top w:val="nil"/>
              <w:left w:val="nil"/>
              <w:bottom w:val="nil"/>
              <w:right w:val="nil"/>
            </w:tcBorders>
            <w:shd w:val="clear" w:color="auto" w:fill="auto"/>
            <w:tcMar>
              <w:top w:w="160" w:type="dxa"/>
              <w:left w:w="160" w:type="dxa"/>
              <w:bottom w:w="0" w:type="dxa"/>
              <w:right w:w="80" w:type="dxa"/>
            </w:tcMar>
            <w:vAlign w:val="bottom"/>
          </w:tcPr>
          <w:p w14:paraId="13A738AE"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 xml:space="preserve"> </w:t>
            </w:r>
          </w:p>
        </w:tc>
        <w:tc>
          <w:tcPr>
            <w:tcW w:w="1230" w:type="dxa"/>
            <w:tcBorders>
              <w:top w:val="nil"/>
              <w:left w:val="nil"/>
              <w:bottom w:val="nil"/>
              <w:right w:val="nil"/>
            </w:tcBorders>
            <w:shd w:val="clear" w:color="auto" w:fill="auto"/>
            <w:tcMar>
              <w:top w:w="160" w:type="dxa"/>
              <w:left w:w="160" w:type="dxa"/>
              <w:bottom w:w="0" w:type="dxa"/>
              <w:right w:w="80" w:type="dxa"/>
            </w:tcMar>
            <w:vAlign w:val="bottom"/>
          </w:tcPr>
          <w:p w14:paraId="11362A87"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 xml:space="preserve"> </w:t>
            </w:r>
          </w:p>
        </w:tc>
        <w:tc>
          <w:tcPr>
            <w:tcW w:w="855" w:type="dxa"/>
            <w:tcBorders>
              <w:top w:val="nil"/>
              <w:left w:val="nil"/>
              <w:bottom w:val="nil"/>
              <w:right w:val="nil"/>
            </w:tcBorders>
            <w:shd w:val="clear" w:color="auto" w:fill="auto"/>
            <w:tcMar>
              <w:top w:w="160" w:type="dxa"/>
              <w:left w:w="160" w:type="dxa"/>
              <w:bottom w:w="0" w:type="dxa"/>
              <w:right w:w="80" w:type="dxa"/>
            </w:tcMar>
            <w:vAlign w:val="bottom"/>
          </w:tcPr>
          <w:p w14:paraId="660A432D"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 xml:space="preserve"> </w:t>
            </w:r>
          </w:p>
        </w:tc>
        <w:tc>
          <w:tcPr>
            <w:tcW w:w="1230" w:type="dxa"/>
            <w:tcBorders>
              <w:top w:val="nil"/>
              <w:left w:val="nil"/>
              <w:bottom w:val="nil"/>
              <w:right w:val="nil"/>
            </w:tcBorders>
            <w:shd w:val="clear" w:color="auto" w:fill="auto"/>
            <w:tcMar>
              <w:top w:w="160" w:type="dxa"/>
              <w:left w:w="160" w:type="dxa"/>
              <w:bottom w:w="0" w:type="dxa"/>
              <w:right w:w="80" w:type="dxa"/>
            </w:tcMar>
            <w:vAlign w:val="bottom"/>
          </w:tcPr>
          <w:p w14:paraId="32BFEFCA"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 xml:space="preserve"> </w:t>
            </w:r>
          </w:p>
        </w:tc>
      </w:tr>
      <w:tr w:rsidR="00E914FA" w:rsidRPr="00031C8C" w14:paraId="6C676310" w14:textId="77777777" w:rsidTr="00390FD3">
        <w:trPr>
          <w:trHeight w:val="682"/>
        </w:trPr>
        <w:tc>
          <w:tcPr>
            <w:tcW w:w="2895" w:type="dxa"/>
            <w:tcBorders>
              <w:top w:val="nil"/>
              <w:left w:val="nil"/>
              <w:bottom w:val="nil"/>
              <w:right w:val="nil"/>
            </w:tcBorders>
            <w:shd w:val="clear" w:color="auto" w:fill="auto"/>
            <w:tcMar>
              <w:top w:w="160" w:type="dxa"/>
              <w:left w:w="160" w:type="dxa"/>
              <w:bottom w:w="0" w:type="dxa"/>
              <w:right w:w="80" w:type="dxa"/>
            </w:tcMar>
            <w:vAlign w:val="bottom"/>
          </w:tcPr>
          <w:p w14:paraId="392118B0"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 xml:space="preserve">  Yes</w:t>
            </w:r>
          </w:p>
        </w:tc>
        <w:tc>
          <w:tcPr>
            <w:tcW w:w="705" w:type="dxa"/>
            <w:tcBorders>
              <w:top w:val="nil"/>
              <w:left w:val="nil"/>
              <w:bottom w:val="nil"/>
              <w:right w:val="nil"/>
            </w:tcBorders>
            <w:shd w:val="clear" w:color="auto" w:fill="auto"/>
            <w:tcMar>
              <w:top w:w="160" w:type="dxa"/>
              <w:left w:w="160" w:type="dxa"/>
              <w:bottom w:w="0" w:type="dxa"/>
              <w:right w:w="80" w:type="dxa"/>
            </w:tcMar>
            <w:vAlign w:val="bottom"/>
          </w:tcPr>
          <w:p w14:paraId="45BCE929"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120</w:t>
            </w:r>
          </w:p>
        </w:tc>
        <w:tc>
          <w:tcPr>
            <w:tcW w:w="1110" w:type="dxa"/>
            <w:tcBorders>
              <w:top w:val="nil"/>
              <w:left w:val="nil"/>
              <w:bottom w:val="nil"/>
              <w:right w:val="nil"/>
            </w:tcBorders>
            <w:shd w:val="clear" w:color="auto" w:fill="auto"/>
            <w:tcMar>
              <w:top w:w="160" w:type="dxa"/>
              <w:left w:w="160" w:type="dxa"/>
              <w:bottom w:w="0" w:type="dxa"/>
              <w:right w:w="80" w:type="dxa"/>
            </w:tcMar>
            <w:vAlign w:val="bottom"/>
          </w:tcPr>
          <w:p w14:paraId="7B499FD6"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46.3%</w:t>
            </w:r>
          </w:p>
        </w:tc>
        <w:tc>
          <w:tcPr>
            <w:tcW w:w="855" w:type="dxa"/>
            <w:tcBorders>
              <w:top w:val="nil"/>
              <w:left w:val="nil"/>
              <w:bottom w:val="nil"/>
              <w:right w:val="nil"/>
            </w:tcBorders>
            <w:shd w:val="clear" w:color="auto" w:fill="auto"/>
            <w:tcMar>
              <w:top w:w="160" w:type="dxa"/>
              <w:left w:w="160" w:type="dxa"/>
              <w:bottom w:w="0" w:type="dxa"/>
              <w:right w:w="80" w:type="dxa"/>
            </w:tcMar>
            <w:vAlign w:val="bottom"/>
          </w:tcPr>
          <w:p w14:paraId="5285BBB1"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595</w:t>
            </w:r>
          </w:p>
        </w:tc>
        <w:tc>
          <w:tcPr>
            <w:tcW w:w="1230" w:type="dxa"/>
            <w:tcBorders>
              <w:top w:val="nil"/>
              <w:left w:val="nil"/>
              <w:bottom w:val="nil"/>
              <w:right w:val="nil"/>
            </w:tcBorders>
            <w:shd w:val="clear" w:color="auto" w:fill="auto"/>
            <w:tcMar>
              <w:top w:w="160" w:type="dxa"/>
              <w:left w:w="160" w:type="dxa"/>
              <w:bottom w:w="0" w:type="dxa"/>
              <w:right w:w="80" w:type="dxa"/>
            </w:tcMar>
            <w:vAlign w:val="bottom"/>
          </w:tcPr>
          <w:p w14:paraId="6F7E6551"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70.9%</w:t>
            </w:r>
          </w:p>
        </w:tc>
        <w:tc>
          <w:tcPr>
            <w:tcW w:w="855" w:type="dxa"/>
            <w:tcBorders>
              <w:top w:val="nil"/>
              <w:left w:val="nil"/>
              <w:bottom w:val="nil"/>
              <w:right w:val="nil"/>
            </w:tcBorders>
            <w:shd w:val="clear" w:color="auto" w:fill="auto"/>
            <w:tcMar>
              <w:top w:w="160" w:type="dxa"/>
              <w:left w:w="160" w:type="dxa"/>
              <w:bottom w:w="0" w:type="dxa"/>
              <w:right w:w="80" w:type="dxa"/>
            </w:tcMar>
            <w:vAlign w:val="bottom"/>
          </w:tcPr>
          <w:p w14:paraId="5F01C378"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28</w:t>
            </w:r>
          </w:p>
        </w:tc>
        <w:tc>
          <w:tcPr>
            <w:tcW w:w="1230" w:type="dxa"/>
            <w:tcBorders>
              <w:top w:val="nil"/>
              <w:left w:val="nil"/>
              <w:bottom w:val="nil"/>
              <w:right w:val="nil"/>
            </w:tcBorders>
            <w:shd w:val="clear" w:color="auto" w:fill="auto"/>
            <w:tcMar>
              <w:top w:w="160" w:type="dxa"/>
              <w:left w:w="160" w:type="dxa"/>
              <w:bottom w:w="0" w:type="dxa"/>
              <w:right w:w="80" w:type="dxa"/>
            </w:tcMar>
            <w:vAlign w:val="bottom"/>
          </w:tcPr>
          <w:p w14:paraId="61B4B3ED"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12.2%</w:t>
            </w:r>
          </w:p>
        </w:tc>
      </w:tr>
      <w:tr w:rsidR="00E914FA" w:rsidRPr="00031C8C" w14:paraId="0E323CE6" w14:textId="77777777" w:rsidTr="00E914FA">
        <w:trPr>
          <w:trHeight w:val="525"/>
        </w:trPr>
        <w:tc>
          <w:tcPr>
            <w:tcW w:w="2895" w:type="dxa"/>
            <w:tcBorders>
              <w:top w:val="nil"/>
              <w:left w:val="nil"/>
              <w:bottom w:val="single" w:sz="8" w:space="0" w:color="000000"/>
              <w:right w:val="nil"/>
            </w:tcBorders>
            <w:shd w:val="clear" w:color="auto" w:fill="auto"/>
            <w:tcMar>
              <w:top w:w="160" w:type="dxa"/>
              <w:left w:w="160" w:type="dxa"/>
              <w:bottom w:w="0" w:type="dxa"/>
              <w:right w:w="80" w:type="dxa"/>
            </w:tcMar>
            <w:vAlign w:val="bottom"/>
          </w:tcPr>
          <w:p w14:paraId="55504017"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 xml:space="preserve">  No</w:t>
            </w:r>
          </w:p>
        </w:tc>
        <w:tc>
          <w:tcPr>
            <w:tcW w:w="705" w:type="dxa"/>
            <w:tcBorders>
              <w:top w:val="nil"/>
              <w:left w:val="nil"/>
              <w:bottom w:val="single" w:sz="8" w:space="0" w:color="000000"/>
              <w:right w:val="nil"/>
            </w:tcBorders>
            <w:shd w:val="clear" w:color="auto" w:fill="auto"/>
            <w:tcMar>
              <w:top w:w="160" w:type="dxa"/>
              <w:left w:w="160" w:type="dxa"/>
              <w:bottom w:w="0" w:type="dxa"/>
              <w:right w:w="80" w:type="dxa"/>
            </w:tcMar>
            <w:vAlign w:val="bottom"/>
          </w:tcPr>
          <w:p w14:paraId="02B7A620" w14:textId="77777777" w:rsidR="00E914FA" w:rsidRPr="000821F9" w:rsidRDefault="00E914FA" w:rsidP="00E3128F">
            <w:pPr>
              <w:spacing w:before="240" w:line="360" w:lineRule="auto"/>
              <w:rPr>
                <w:rFonts w:eastAsia="Times New Roman" w:cs="Times New Roman"/>
              </w:rPr>
            </w:pPr>
            <w:r w:rsidRPr="000821F9">
              <w:rPr>
                <w:rFonts w:eastAsia="Times New Roman" w:cs="Times New Roman"/>
              </w:rPr>
              <w:t>64</w:t>
            </w:r>
          </w:p>
        </w:tc>
        <w:tc>
          <w:tcPr>
            <w:tcW w:w="1110" w:type="dxa"/>
            <w:tcBorders>
              <w:top w:val="nil"/>
              <w:left w:val="nil"/>
              <w:bottom w:val="single" w:sz="8" w:space="0" w:color="000000"/>
              <w:right w:val="nil"/>
            </w:tcBorders>
            <w:shd w:val="clear" w:color="auto" w:fill="auto"/>
            <w:tcMar>
              <w:top w:w="160" w:type="dxa"/>
              <w:left w:w="160" w:type="dxa"/>
              <w:bottom w:w="0" w:type="dxa"/>
              <w:right w:w="80" w:type="dxa"/>
            </w:tcMar>
            <w:vAlign w:val="bottom"/>
          </w:tcPr>
          <w:p w14:paraId="5A6CBF16"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24.7%</w:t>
            </w:r>
          </w:p>
        </w:tc>
        <w:tc>
          <w:tcPr>
            <w:tcW w:w="855" w:type="dxa"/>
            <w:tcBorders>
              <w:top w:val="nil"/>
              <w:left w:val="nil"/>
              <w:bottom w:val="single" w:sz="8" w:space="0" w:color="000000"/>
              <w:right w:val="nil"/>
            </w:tcBorders>
            <w:shd w:val="clear" w:color="auto" w:fill="auto"/>
            <w:tcMar>
              <w:top w:w="160" w:type="dxa"/>
              <w:left w:w="160" w:type="dxa"/>
              <w:bottom w:w="0" w:type="dxa"/>
              <w:right w:w="80" w:type="dxa"/>
            </w:tcMar>
            <w:vAlign w:val="bottom"/>
          </w:tcPr>
          <w:p w14:paraId="18EBA84E"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36</w:t>
            </w:r>
          </w:p>
        </w:tc>
        <w:tc>
          <w:tcPr>
            <w:tcW w:w="1230" w:type="dxa"/>
            <w:tcBorders>
              <w:top w:val="nil"/>
              <w:left w:val="nil"/>
              <w:bottom w:val="single" w:sz="8" w:space="0" w:color="000000"/>
              <w:right w:val="nil"/>
            </w:tcBorders>
            <w:shd w:val="clear" w:color="auto" w:fill="auto"/>
            <w:tcMar>
              <w:top w:w="160" w:type="dxa"/>
              <w:left w:w="160" w:type="dxa"/>
              <w:bottom w:w="0" w:type="dxa"/>
              <w:right w:w="80" w:type="dxa"/>
            </w:tcMar>
            <w:vAlign w:val="bottom"/>
          </w:tcPr>
          <w:p w14:paraId="23A485BD"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4.3%</w:t>
            </w:r>
          </w:p>
        </w:tc>
        <w:tc>
          <w:tcPr>
            <w:tcW w:w="855" w:type="dxa"/>
            <w:tcBorders>
              <w:top w:val="nil"/>
              <w:left w:val="nil"/>
              <w:bottom w:val="single" w:sz="8" w:space="0" w:color="000000"/>
              <w:right w:val="nil"/>
            </w:tcBorders>
            <w:shd w:val="clear" w:color="auto" w:fill="auto"/>
            <w:tcMar>
              <w:top w:w="160" w:type="dxa"/>
              <w:left w:w="160" w:type="dxa"/>
              <w:bottom w:w="0" w:type="dxa"/>
              <w:right w:w="80" w:type="dxa"/>
            </w:tcMar>
            <w:vAlign w:val="bottom"/>
          </w:tcPr>
          <w:p w14:paraId="79AB6F7C"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190</w:t>
            </w:r>
          </w:p>
        </w:tc>
        <w:tc>
          <w:tcPr>
            <w:tcW w:w="1230" w:type="dxa"/>
            <w:tcBorders>
              <w:top w:val="nil"/>
              <w:left w:val="nil"/>
              <w:bottom w:val="single" w:sz="8" w:space="0" w:color="000000"/>
              <w:right w:val="nil"/>
            </w:tcBorders>
            <w:shd w:val="clear" w:color="auto" w:fill="auto"/>
            <w:tcMar>
              <w:top w:w="160" w:type="dxa"/>
              <w:left w:w="160" w:type="dxa"/>
              <w:bottom w:w="0" w:type="dxa"/>
              <w:right w:w="80" w:type="dxa"/>
            </w:tcMar>
            <w:vAlign w:val="bottom"/>
          </w:tcPr>
          <w:p w14:paraId="40E0E15B" w14:textId="77777777" w:rsidR="00E914FA" w:rsidRPr="000821F9" w:rsidRDefault="00E914FA" w:rsidP="00E3128F">
            <w:pPr>
              <w:spacing w:before="240" w:line="360" w:lineRule="auto"/>
              <w:jc w:val="center"/>
              <w:rPr>
                <w:rFonts w:eastAsia="Times New Roman" w:cs="Times New Roman"/>
              </w:rPr>
            </w:pPr>
            <w:r w:rsidRPr="000821F9">
              <w:rPr>
                <w:rFonts w:eastAsia="Times New Roman" w:cs="Times New Roman"/>
              </w:rPr>
              <w:t>82.6%</w:t>
            </w:r>
          </w:p>
        </w:tc>
      </w:tr>
    </w:tbl>
    <w:p w14:paraId="1CB652CF" w14:textId="77777777" w:rsidR="00E914FA" w:rsidRDefault="00E914FA" w:rsidP="00E914FA">
      <w:pPr>
        <w:spacing w:before="0" w:after="0"/>
        <w:jc w:val="both"/>
        <w:rPr>
          <w:rFonts w:eastAsia="Times New Roman" w:cs="Times New Roman"/>
          <w:i/>
        </w:rPr>
      </w:pPr>
    </w:p>
    <w:p w14:paraId="3856F90E" w14:textId="63D5D0C0" w:rsidR="00E914FA" w:rsidRPr="00031C8C" w:rsidRDefault="00E914FA" w:rsidP="00E914FA">
      <w:pPr>
        <w:spacing w:before="0" w:after="0"/>
        <w:jc w:val="both"/>
        <w:rPr>
          <w:rFonts w:eastAsia="Times New Roman" w:cs="Times New Roman"/>
        </w:rPr>
      </w:pPr>
      <w:r w:rsidRPr="00031C8C">
        <w:rPr>
          <w:rFonts w:eastAsia="Times New Roman" w:cs="Times New Roman"/>
          <w:i/>
        </w:rPr>
        <w:t>Note.</w:t>
      </w:r>
      <w:r w:rsidRPr="00031C8C">
        <w:rPr>
          <w:rFonts w:eastAsia="Times New Roman" w:cs="Times New Roman"/>
        </w:rPr>
        <w:t xml:space="preserve"> Germany: </w:t>
      </w:r>
      <w:r w:rsidRPr="00031C8C">
        <w:rPr>
          <w:rFonts w:eastAsia="Times New Roman" w:cs="Times New Roman"/>
          <w:i/>
        </w:rPr>
        <w:t>n</w:t>
      </w:r>
      <w:r w:rsidRPr="00031C8C">
        <w:rPr>
          <w:rFonts w:eastAsia="Times New Roman" w:cs="Times New Roman"/>
        </w:rPr>
        <w:t xml:space="preserve"> = 259; Indonesia: </w:t>
      </w:r>
      <w:r w:rsidRPr="00031C8C">
        <w:rPr>
          <w:rFonts w:eastAsia="Times New Roman" w:cs="Times New Roman"/>
          <w:i/>
        </w:rPr>
        <w:t>n</w:t>
      </w:r>
      <w:r w:rsidRPr="00031C8C">
        <w:rPr>
          <w:rFonts w:eastAsia="Times New Roman" w:cs="Times New Roman"/>
        </w:rPr>
        <w:t xml:space="preserve"> = 839; UAE = 230. Participants in Germany were on average 24.49 (</w:t>
      </w:r>
      <w:r w:rsidRPr="00031C8C">
        <w:rPr>
          <w:rFonts w:eastAsia="Times New Roman" w:cs="Times New Roman"/>
          <w:i/>
        </w:rPr>
        <w:t>SD</w:t>
      </w:r>
      <w:r w:rsidRPr="00031C8C">
        <w:rPr>
          <w:rFonts w:eastAsia="Times New Roman" w:cs="Times New Roman"/>
        </w:rPr>
        <w:t xml:space="preserve"> = 4.69), in Indonesia 21.15 (</w:t>
      </w:r>
      <w:r w:rsidRPr="00031C8C">
        <w:rPr>
          <w:rFonts w:eastAsia="Times New Roman" w:cs="Times New Roman"/>
          <w:i/>
        </w:rPr>
        <w:t>SD</w:t>
      </w:r>
      <w:r w:rsidRPr="00031C8C">
        <w:rPr>
          <w:rFonts w:eastAsia="Times New Roman" w:cs="Times New Roman"/>
        </w:rPr>
        <w:t xml:space="preserve"> = 4.01), and in the UAE 19.77 (</w:t>
      </w:r>
      <w:r w:rsidRPr="00031C8C">
        <w:rPr>
          <w:rFonts w:eastAsia="Times New Roman" w:cs="Times New Roman"/>
          <w:i/>
        </w:rPr>
        <w:t>SD</w:t>
      </w:r>
      <w:r w:rsidRPr="00031C8C">
        <w:rPr>
          <w:rFonts w:eastAsia="Times New Roman" w:cs="Times New Roman"/>
        </w:rPr>
        <w:t xml:space="preserve"> = 1.78) years old. In Germany 81 (31.2%), in Indonesia 205 (24.4%), and in the UAE 4 (1.7%) of the students did not indicate their gender. In Germany, 73 (28.1%), in Indonesia 207 (24.7%), and in the UAE 8 (3.5%) of the students did not indicate their degree. In Germany, 75 (29%), in Indonesia 208 (24.8%), and in the UAE 12 (5.2%) of the students did not indicate if they were studying as part of a teacher training program.</w:t>
      </w:r>
    </w:p>
    <w:p w14:paraId="1BCCCA12" w14:textId="77777777" w:rsidR="00E914FA" w:rsidRPr="00E914FA" w:rsidRDefault="00E914FA" w:rsidP="00E914FA"/>
    <w:p w14:paraId="3B3B9581" w14:textId="77E336AC" w:rsidR="00E914FA" w:rsidRDefault="00E914FA" w:rsidP="00E914FA"/>
    <w:p w14:paraId="42B8F7F9" w14:textId="77777777" w:rsidR="00E914FA" w:rsidRPr="00031C8C" w:rsidRDefault="00E914FA" w:rsidP="00E914FA">
      <w:pPr>
        <w:spacing w:before="0" w:after="0" w:line="360" w:lineRule="auto"/>
        <w:rPr>
          <w:rFonts w:eastAsia="Times New Roman" w:cs="Times New Roman"/>
          <w:b/>
        </w:rPr>
      </w:pPr>
      <w:r w:rsidRPr="00031C8C">
        <w:rPr>
          <w:rFonts w:eastAsia="Times New Roman" w:cs="Times New Roman"/>
          <w:b/>
        </w:rPr>
        <w:t>References</w:t>
      </w:r>
    </w:p>
    <w:p w14:paraId="22E3636B" w14:textId="77777777" w:rsidR="00E914FA" w:rsidRDefault="00E914FA" w:rsidP="00E914FA">
      <w:pPr>
        <w:spacing w:before="0" w:after="0"/>
        <w:jc w:val="both"/>
        <w:rPr>
          <w:i/>
          <w:iCs/>
          <w:lang w:val="de-DE"/>
        </w:rPr>
      </w:pPr>
      <w:r w:rsidRPr="00031C8C">
        <w:rPr>
          <w:rFonts w:eastAsia="Times New Roman" w:cs="Times New Roman"/>
        </w:rPr>
        <w:t xml:space="preserve">Chen, F. F. (2007). Sensitivity of goodness of fit </w:t>
      </w:r>
      <w:proofErr w:type="spellStart"/>
      <w:r w:rsidRPr="00031C8C">
        <w:rPr>
          <w:rFonts w:eastAsia="Times New Roman" w:cs="Times New Roman"/>
        </w:rPr>
        <w:t>indixes</w:t>
      </w:r>
      <w:proofErr w:type="spellEnd"/>
      <w:r w:rsidRPr="00031C8C">
        <w:rPr>
          <w:rFonts w:eastAsia="Times New Roman" w:cs="Times New Roman"/>
        </w:rPr>
        <w:t xml:space="preserve"> to lack of measurement invariance. </w:t>
      </w:r>
      <w:proofErr w:type="spellStart"/>
      <w:r w:rsidRPr="00E914FA">
        <w:rPr>
          <w:i/>
          <w:iCs/>
          <w:lang w:val="de-DE"/>
        </w:rPr>
        <w:t>Struct</w:t>
      </w:r>
      <w:proofErr w:type="spellEnd"/>
      <w:r w:rsidRPr="00E914FA">
        <w:rPr>
          <w:i/>
          <w:iCs/>
          <w:lang w:val="de-DE"/>
        </w:rPr>
        <w:t xml:space="preserve">. </w:t>
      </w:r>
    </w:p>
    <w:p w14:paraId="4D0DE1A0" w14:textId="3FB57160" w:rsidR="00E914FA" w:rsidRDefault="00E914FA" w:rsidP="00E914FA">
      <w:pPr>
        <w:spacing w:before="0" w:after="0"/>
        <w:ind w:firstLine="720"/>
        <w:jc w:val="both"/>
        <w:rPr>
          <w:lang w:val="de-DE"/>
        </w:rPr>
      </w:pPr>
      <w:proofErr w:type="spellStart"/>
      <w:r w:rsidRPr="00E914FA">
        <w:rPr>
          <w:i/>
          <w:iCs/>
          <w:lang w:val="de-DE"/>
        </w:rPr>
        <w:t>Equ</w:t>
      </w:r>
      <w:proofErr w:type="spellEnd"/>
      <w:r w:rsidRPr="00E914FA">
        <w:rPr>
          <w:i/>
          <w:iCs/>
          <w:lang w:val="de-DE"/>
        </w:rPr>
        <w:t>. Model.</w:t>
      </w:r>
      <w:r w:rsidRPr="00E914FA">
        <w:rPr>
          <w:lang w:val="de-DE"/>
        </w:rPr>
        <w:t xml:space="preserve"> 14, 464–504. </w:t>
      </w:r>
      <w:proofErr w:type="spellStart"/>
      <w:r w:rsidRPr="00E914FA">
        <w:rPr>
          <w:lang w:val="de-DE"/>
        </w:rPr>
        <w:t>doi</w:t>
      </w:r>
      <w:proofErr w:type="spellEnd"/>
      <w:r w:rsidRPr="00E914FA">
        <w:rPr>
          <w:lang w:val="de-DE"/>
        </w:rPr>
        <w:t>: 10.1080/10705510701301834</w:t>
      </w:r>
    </w:p>
    <w:p w14:paraId="2ECB3CE7" w14:textId="77777777" w:rsidR="00E914FA" w:rsidRPr="00E914FA" w:rsidRDefault="00E914FA" w:rsidP="00E914FA">
      <w:pPr>
        <w:spacing w:before="0" w:after="0"/>
        <w:ind w:firstLine="720"/>
        <w:jc w:val="both"/>
        <w:rPr>
          <w:i/>
          <w:iCs/>
          <w:lang w:val="de-DE"/>
        </w:rPr>
      </w:pPr>
    </w:p>
    <w:p w14:paraId="5C8CBA33" w14:textId="77777777" w:rsidR="006F7A79" w:rsidRDefault="00E914FA" w:rsidP="006F7A79">
      <w:pPr>
        <w:spacing w:before="0" w:after="0"/>
        <w:jc w:val="both"/>
        <w:rPr>
          <w:rFonts w:eastAsia="Times New Roman" w:cs="Times New Roman"/>
        </w:rPr>
      </w:pPr>
      <w:proofErr w:type="spellStart"/>
      <w:r w:rsidRPr="00E914FA">
        <w:rPr>
          <w:rFonts w:eastAsia="Times New Roman" w:cs="Times New Roman"/>
          <w:lang w:val="de-DE"/>
        </w:rPr>
        <w:t>Schermelleh</w:t>
      </w:r>
      <w:proofErr w:type="spellEnd"/>
      <w:r w:rsidRPr="00E914FA">
        <w:rPr>
          <w:rFonts w:eastAsia="Times New Roman" w:cs="Times New Roman"/>
          <w:lang w:val="de-DE"/>
        </w:rPr>
        <w:t xml:space="preserve">-Engel, K., Moosbrugger, H., </w:t>
      </w:r>
      <w:r w:rsidR="006F7A79">
        <w:rPr>
          <w:rFonts w:eastAsia="Times New Roman" w:cs="Times New Roman"/>
          <w:lang w:val="de-DE"/>
        </w:rPr>
        <w:t>and</w:t>
      </w:r>
      <w:r w:rsidRPr="00E914FA">
        <w:rPr>
          <w:rFonts w:eastAsia="Times New Roman" w:cs="Times New Roman"/>
          <w:lang w:val="de-DE"/>
        </w:rPr>
        <w:t xml:space="preserve"> Müller, H. (2003). </w:t>
      </w:r>
      <w:r w:rsidRPr="00031C8C">
        <w:rPr>
          <w:rFonts w:eastAsia="Times New Roman" w:cs="Times New Roman"/>
        </w:rPr>
        <w:t xml:space="preserve">Evaluating the fit of structural </w:t>
      </w:r>
    </w:p>
    <w:p w14:paraId="4AA4DCAA" w14:textId="59318A1F" w:rsidR="00E914FA" w:rsidRPr="00CF6B77" w:rsidRDefault="00E914FA" w:rsidP="006F7A79">
      <w:pPr>
        <w:spacing w:before="0" w:after="0"/>
        <w:ind w:left="720"/>
        <w:jc w:val="both"/>
        <w:rPr>
          <w:rFonts w:eastAsia="Times New Roman" w:cs="Times New Roman"/>
        </w:rPr>
      </w:pPr>
      <w:r w:rsidRPr="00031C8C">
        <w:rPr>
          <w:rFonts w:eastAsia="Times New Roman" w:cs="Times New Roman"/>
        </w:rPr>
        <w:t xml:space="preserve">equation models: Tests of significance and descriptive goodness-of-fit measures. </w:t>
      </w:r>
      <w:r w:rsidRPr="00E914FA">
        <w:rPr>
          <w:rFonts w:eastAsia="Times New Roman" w:cs="Times New Roman"/>
          <w:i/>
        </w:rPr>
        <w:t>Methods Psychol. Res.</w:t>
      </w:r>
      <w:r w:rsidRPr="00E914FA">
        <w:rPr>
          <w:rFonts w:eastAsia="Times New Roman" w:cs="Times New Roman"/>
        </w:rPr>
        <w:t xml:space="preserve"> 8, 23–74.</w:t>
      </w:r>
    </w:p>
    <w:p w14:paraId="62B56941" w14:textId="77777777" w:rsidR="00E914FA" w:rsidRPr="00E914FA" w:rsidRDefault="00E914FA" w:rsidP="00E914FA"/>
    <w:p w14:paraId="4F4A444D" w14:textId="77777777" w:rsidR="00E914FA" w:rsidRPr="00E914FA" w:rsidRDefault="00E914FA" w:rsidP="00E914FA"/>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3EAF9" w14:textId="77777777" w:rsidR="005A1786" w:rsidRDefault="005A1786" w:rsidP="00117666">
      <w:pPr>
        <w:spacing w:after="0"/>
      </w:pPr>
      <w:r>
        <w:separator/>
      </w:r>
    </w:p>
  </w:endnote>
  <w:endnote w:type="continuationSeparator" w:id="0">
    <w:p w14:paraId="7028DF60" w14:textId="77777777" w:rsidR="005A1786" w:rsidRDefault="005A178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96C91" w14:textId="77777777" w:rsidR="005A1786" w:rsidRDefault="005A1786" w:rsidP="00117666">
      <w:pPr>
        <w:spacing w:after="0"/>
      </w:pPr>
      <w:r>
        <w:separator/>
      </w:r>
    </w:p>
  </w:footnote>
  <w:footnote w:type="continuationSeparator" w:id="0">
    <w:p w14:paraId="7D660020" w14:textId="77777777" w:rsidR="005A1786" w:rsidRDefault="005A178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lvlOverride w:ilvl="0"/>
    <w:lvlOverride w:ilvl="1"/>
    <w:lvlOverride w:ilv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45D52"/>
    <w:rsid w:val="003544FB"/>
    <w:rsid w:val="00390FD3"/>
    <w:rsid w:val="003D2D47"/>
    <w:rsid w:val="003D2F2D"/>
    <w:rsid w:val="00401590"/>
    <w:rsid w:val="00447801"/>
    <w:rsid w:val="00452E9C"/>
    <w:rsid w:val="004735C8"/>
    <w:rsid w:val="004961FF"/>
    <w:rsid w:val="00517A89"/>
    <w:rsid w:val="005250F2"/>
    <w:rsid w:val="00593EEA"/>
    <w:rsid w:val="005A1786"/>
    <w:rsid w:val="005A5EEE"/>
    <w:rsid w:val="006375C7"/>
    <w:rsid w:val="00654E8F"/>
    <w:rsid w:val="00660D05"/>
    <w:rsid w:val="006820B1"/>
    <w:rsid w:val="006B7D14"/>
    <w:rsid w:val="006F7A79"/>
    <w:rsid w:val="00701727"/>
    <w:rsid w:val="0070566C"/>
    <w:rsid w:val="00714C50"/>
    <w:rsid w:val="00725A7D"/>
    <w:rsid w:val="007501BE"/>
    <w:rsid w:val="00790BB3"/>
    <w:rsid w:val="00792C66"/>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914FA"/>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berarbeitung">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0AC20B3C-EFEF-4ECB-BC77-61DE7DCE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3</Pages>
  <Words>670</Words>
  <Characters>4222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Jannika Haase</cp:lastModifiedBy>
  <cp:revision>4</cp:revision>
  <cp:lastPrinted>2013-10-03T12:51:00Z</cp:lastPrinted>
  <dcterms:created xsi:type="dcterms:W3CDTF">2024-11-08T16:59:00Z</dcterms:created>
  <dcterms:modified xsi:type="dcterms:W3CDTF">2024-11-12T11:21:00Z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