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17" w:type="dxa"/>
        <w:tblInd w:w="720" w:type="dxa"/>
        <w:tblLook w:val="04A0" w:firstRow="1" w:lastRow="0" w:firstColumn="1" w:lastColumn="0" w:noHBand="0" w:noVBand="1"/>
      </w:tblPr>
      <w:tblGrid>
        <w:gridCol w:w="2520"/>
        <w:gridCol w:w="2061"/>
        <w:gridCol w:w="756"/>
      </w:tblGrid>
      <w:tr w:rsidR="00C8178B" w:rsidRPr="00EE727B" w14:paraId="41C90C07" w14:textId="77777777" w:rsidTr="006F0BE2">
        <w:trPr>
          <w:trHeight w:val="288"/>
        </w:trPr>
        <w:tc>
          <w:tcPr>
            <w:tcW w:w="2520" w:type="dxa"/>
            <w:tcBorders>
              <w:top w:val="nil"/>
              <w:left w:val="nil"/>
              <w:bottom w:val="nil"/>
              <w:right w:val="nil"/>
            </w:tcBorders>
            <w:noWrap/>
            <w:vAlign w:val="bottom"/>
            <w:hideMark/>
          </w:tcPr>
          <w:p w14:paraId="0616CC7D" w14:textId="3E149156" w:rsidR="00C8178B" w:rsidRPr="00EE727B" w:rsidRDefault="00C8178B" w:rsidP="006F0BE2">
            <w:r w:rsidRPr="00EE727B">
              <w:t xml:space="preserve">Supplementary Table </w:t>
            </w:r>
            <w:r>
              <w:t>1</w:t>
            </w:r>
            <w:r w:rsidRPr="00EE727B">
              <w:t>.</w:t>
            </w:r>
          </w:p>
        </w:tc>
        <w:tc>
          <w:tcPr>
            <w:tcW w:w="2061" w:type="dxa"/>
            <w:tcBorders>
              <w:top w:val="nil"/>
              <w:left w:val="nil"/>
              <w:bottom w:val="nil"/>
              <w:right w:val="nil"/>
            </w:tcBorders>
            <w:noWrap/>
            <w:vAlign w:val="bottom"/>
            <w:hideMark/>
          </w:tcPr>
          <w:p w14:paraId="33AF8C50" w14:textId="77777777" w:rsidR="00C8178B" w:rsidRPr="00EE727B" w:rsidRDefault="00C8178B" w:rsidP="006F0BE2"/>
        </w:tc>
        <w:tc>
          <w:tcPr>
            <w:tcW w:w="236" w:type="dxa"/>
            <w:tcBorders>
              <w:top w:val="nil"/>
              <w:left w:val="nil"/>
              <w:bottom w:val="nil"/>
              <w:right w:val="nil"/>
            </w:tcBorders>
            <w:noWrap/>
            <w:vAlign w:val="bottom"/>
            <w:hideMark/>
          </w:tcPr>
          <w:p w14:paraId="70A695AD" w14:textId="77777777" w:rsidR="00C8178B" w:rsidRPr="00EE727B" w:rsidRDefault="00C8178B" w:rsidP="006F0BE2">
            <w:pPr>
              <w:jc w:val="center"/>
              <w:rPr>
                <w:sz w:val="20"/>
                <w:szCs w:val="20"/>
              </w:rPr>
            </w:pPr>
          </w:p>
        </w:tc>
      </w:tr>
      <w:tr w:rsidR="00C8178B" w:rsidRPr="00EE727B" w14:paraId="07560309" w14:textId="77777777" w:rsidTr="006F0BE2">
        <w:trPr>
          <w:trHeight w:val="600"/>
        </w:trPr>
        <w:tc>
          <w:tcPr>
            <w:tcW w:w="4816" w:type="dxa"/>
            <w:gridSpan w:val="3"/>
            <w:tcBorders>
              <w:top w:val="nil"/>
              <w:left w:val="nil"/>
              <w:bottom w:val="single" w:sz="4" w:space="0" w:color="auto"/>
              <w:right w:val="nil"/>
            </w:tcBorders>
            <w:vAlign w:val="bottom"/>
            <w:hideMark/>
          </w:tcPr>
          <w:p w14:paraId="58DF3DE3" w14:textId="77777777" w:rsidR="00C8178B" w:rsidRPr="00EE727B" w:rsidRDefault="00C8178B" w:rsidP="006F0BE2">
            <w:pPr>
              <w:rPr>
                <w:i/>
                <w:iCs/>
              </w:rPr>
            </w:pPr>
            <w:r w:rsidRPr="00EE727B">
              <w:rPr>
                <w:i/>
                <w:iCs/>
              </w:rPr>
              <w:t xml:space="preserve">Chi-square Goodness of Fit Statistics for Covariate Variables Not Included During Model Building </w:t>
            </w:r>
          </w:p>
        </w:tc>
      </w:tr>
      <w:tr w:rsidR="00C8178B" w:rsidRPr="00EE727B" w14:paraId="2170B359" w14:textId="77777777" w:rsidTr="006F0BE2">
        <w:trPr>
          <w:trHeight w:val="684"/>
        </w:trPr>
        <w:tc>
          <w:tcPr>
            <w:tcW w:w="2520" w:type="dxa"/>
            <w:tcBorders>
              <w:top w:val="nil"/>
              <w:left w:val="nil"/>
              <w:bottom w:val="single" w:sz="4" w:space="0" w:color="auto"/>
              <w:right w:val="nil"/>
            </w:tcBorders>
            <w:noWrap/>
            <w:vAlign w:val="bottom"/>
            <w:hideMark/>
          </w:tcPr>
          <w:p w14:paraId="09BF3462" w14:textId="77777777" w:rsidR="00C8178B" w:rsidRPr="00EE727B" w:rsidRDefault="00C8178B" w:rsidP="006F0BE2">
            <w:pPr>
              <w:jc w:val="center"/>
            </w:pPr>
            <w:r w:rsidRPr="00EE727B">
              <w:t xml:space="preserve">Variable </w:t>
            </w:r>
          </w:p>
        </w:tc>
        <w:tc>
          <w:tcPr>
            <w:tcW w:w="2061" w:type="dxa"/>
            <w:tcBorders>
              <w:top w:val="nil"/>
              <w:left w:val="nil"/>
              <w:bottom w:val="single" w:sz="4" w:space="0" w:color="auto"/>
              <w:right w:val="nil"/>
            </w:tcBorders>
            <w:vAlign w:val="bottom"/>
            <w:hideMark/>
          </w:tcPr>
          <w:p w14:paraId="07494B5A" w14:textId="77777777" w:rsidR="00C8178B" w:rsidRPr="00EE727B" w:rsidRDefault="00C8178B" w:rsidP="006F0BE2">
            <w:pPr>
              <w:jc w:val="center"/>
              <w:rPr>
                <w:i/>
                <w:iCs/>
              </w:rPr>
            </w:pPr>
            <w:r w:rsidRPr="00EE727B">
              <w:rPr>
                <w:i/>
                <w:iCs/>
              </w:rPr>
              <w:t>X</w:t>
            </w:r>
            <w:r w:rsidRPr="00EE727B">
              <w:rPr>
                <w:i/>
                <w:iCs/>
                <w:vertAlign w:val="superscript"/>
              </w:rPr>
              <w:t>2</w:t>
            </w:r>
            <w:r w:rsidRPr="00EE727B">
              <w:rPr>
                <w:i/>
                <w:iCs/>
              </w:rPr>
              <w:t>(</w:t>
            </w:r>
            <w:proofErr w:type="spellStart"/>
            <w:r w:rsidRPr="00EE727B">
              <w:rPr>
                <w:i/>
                <w:iCs/>
              </w:rPr>
              <w:t>df</w:t>
            </w:r>
            <w:r w:rsidRPr="00EE727B">
              <w:rPr>
                <w:i/>
                <w:iCs/>
                <w:vertAlign w:val="subscript"/>
              </w:rPr>
              <w:t>between</w:t>
            </w:r>
            <w:proofErr w:type="spellEnd"/>
            <w:r w:rsidRPr="00EE727B">
              <w:rPr>
                <w:i/>
                <w:iCs/>
              </w:rPr>
              <w:t xml:space="preserve">, </w:t>
            </w:r>
            <w:proofErr w:type="spellStart"/>
            <w:r w:rsidRPr="00EE727B">
              <w:rPr>
                <w:i/>
                <w:iCs/>
              </w:rPr>
              <w:t>df</w:t>
            </w:r>
            <w:r w:rsidRPr="00EE727B">
              <w:rPr>
                <w:i/>
                <w:iCs/>
                <w:vertAlign w:val="subscript"/>
              </w:rPr>
              <w:t>within</w:t>
            </w:r>
            <w:proofErr w:type="spellEnd"/>
            <w:r w:rsidRPr="00EE727B">
              <w:rPr>
                <w:i/>
                <w:iCs/>
              </w:rPr>
              <w:t>)</w:t>
            </w:r>
          </w:p>
        </w:tc>
        <w:tc>
          <w:tcPr>
            <w:tcW w:w="236" w:type="dxa"/>
            <w:tcBorders>
              <w:top w:val="nil"/>
              <w:left w:val="nil"/>
              <w:bottom w:val="single" w:sz="4" w:space="0" w:color="auto"/>
              <w:right w:val="nil"/>
            </w:tcBorders>
            <w:noWrap/>
            <w:vAlign w:val="bottom"/>
            <w:hideMark/>
          </w:tcPr>
          <w:p w14:paraId="21DC7491" w14:textId="77777777" w:rsidR="00C8178B" w:rsidRPr="00EE727B" w:rsidRDefault="00C8178B" w:rsidP="006F0BE2">
            <w:pPr>
              <w:jc w:val="center"/>
            </w:pPr>
            <w:r w:rsidRPr="00EE727B">
              <w:rPr>
                <w:i/>
                <w:iCs/>
              </w:rPr>
              <w:t>p</w:t>
            </w:r>
            <w:r w:rsidRPr="00EE727B">
              <w:t>-value</w:t>
            </w:r>
          </w:p>
        </w:tc>
      </w:tr>
      <w:tr w:rsidR="00C8178B" w:rsidRPr="00EE727B" w14:paraId="30BE0201" w14:textId="77777777" w:rsidTr="006F0BE2">
        <w:trPr>
          <w:trHeight w:val="288"/>
        </w:trPr>
        <w:tc>
          <w:tcPr>
            <w:tcW w:w="2520" w:type="dxa"/>
            <w:tcBorders>
              <w:top w:val="nil"/>
              <w:left w:val="nil"/>
              <w:bottom w:val="nil"/>
              <w:right w:val="nil"/>
            </w:tcBorders>
            <w:noWrap/>
            <w:vAlign w:val="bottom"/>
            <w:hideMark/>
          </w:tcPr>
          <w:p w14:paraId="7B9D1A8C" w14:textId="77777777" w:rsidR="00C8178B" w:rsidRPr="00EE727B" w:rsidRDefault="00C8178B" w:rsidP="006F0BE2">
            <w:r w:rsidRPr="00EE727B">
              <w:t>Monthly Income</w:t>
            </w:r>
          </w:p>
        </w:tc>
        <w:tc>
          <w:tcPr>
            <w:tcW w:w="2061" w:type="dxa"/>
            <w:tcBorders>
              <w:top w:val="nil"/>
              <w:left w:val="nil"/>
              <w:bottom w:val="nil"/>
              <w:right w:val="nil"/>
            </w:tcBorders>
            <w:noWrap/>
            <w:vAlign w:val="bottom"/>
            <w:hideMark/>
          </w:tcPr>
          <w:p w14:paraId="5510560F" w14:textId="77777777" w:rsidR="00C8178B" w:rsidRPr="00EE727B" w:rsidRDefault="00C8178B" w:rsidP="006F0BE2">
            <w:pPr>
              <w:jc w:val="center"/>
            </w:pPr>
            <w:r w:rsidRPr="00EE727B">
              <w:t>2.67 (4, 260)</w:t>
            </w:r>
          </w:p>
        </w:tc>
        <w:tc>
          <w:tcPr>
            <w:tcW w:w="236" w:type="dxa"/>
            <w:tcBorders>
              <w:top w:val="nil"/>
              <w:left w:val="nil"/>
              <w:bottom w:val="nil"/>
              <w:right w:val="nil"/>
            </w:tcBorders>
            <w:noWrap/>
            <w:vAlign w:val="bottom"/>
            <w:hideMark/>
          </w:tcPr>
          <w:p w14:paraId="6EC2582F" w14:textId="77777777" w:rsidR="00C8178B" w:rsidRPr="00EE727B" w:rsidRDefault="00C8178B" w:rsidP="006F0BE2">
            <w:pPr>
              <w:jc w:val="center"/>
            </w:pPr>
            <w:r w:rsidRPr="00EE727B">
              <w:t>0.615</w:t>
            </w:r>
          </w:p>
        </w:tc>
      </w:tr>
      <w:tr w:rsidR="00C8178B" w:rsidRPr="00EE727B" w14:paraId="2910DFCC" w14:textId="77777777" w:rsidTr="006F0BE2">
        <w:trPr>
          <w:trHeight w:val="288"/>
        </w:trPr>
        <w:tc>
          <w:tcPr>
            <w:tcW w:w="2520" w:type="dxa"/>
            <w:tcBorders>
              <w:top w:val="nil"/>
              <w:left w:val="nil"/>
              <w:bottom w:val="nil"/>
              <w:right w:val="nil"/>
            </w:tcBorders>
            <w:noWrap/>
            <w:vAlign w:val="bottom"/>
            <w:hideMark/>
          </w:tcPr>
          <w:p w14:paraId="045FAED1" w14:textId="77777777" w:rsidR="00C8178B" w:rsidRPr="00EE727B" w:rsidRDefault="00C8178B" w:rsidP="006F0BE2">
            <w:r w:rsidRPr="00EE727B">
              <w:t>Age at Migration</w:t>
            </w:r>
          </w:p>
        </w:tc>
        <w:tc>
          <w:tcPr>
            <w:tcW w:w="2061" w:type="dxa"/>
            <w:tcBorders>
              <w:top w:val="nil"/>
              <w:left w:val="nil"/>
              <w:bottom w:val="nil"/>
              <w:right w:val="nil"/>
            </w:tcBorders>
            <w:noWrap/>
            <w:vAlign w:val="bottom"/>
            <w:hideMark/>
          </w:tcPr>
          <w:p w14:paraId="65C24238" w14:textId="77777777" w:rsidR="00C8178B" w:rsidRPr="00EE727B" w:rsidRDefault="00C8178B" w:rsidP="006F0BE2">
            <w:pPr>
              <w:jc w:val="center"/>
            </w:pPr>
            <w:r w:rsidRPr="00EE727B">
              <w:t>9.18 (4, 277)</w:t>
            </w:r>
          </w:p>
        </w:tc>
        <w:tc>
          <w:tcPr>
            <w:tcW w:w="236" w:type="dxa"/>
            <w:tcBorders>
              <w:top w:val="nil"/>
              <w:left w:val="nil"/>
              <w:bottom w:val="nil"/>
              <w:right w:val="nil"/>
            </w:tcBorders>
            <w:noWrap/>
            <w:vAlign w:val="bottom"/>
            <w:hideMark/>
          </w:tcPr>
          <w:p w14:paraId="68734452" w14:textId="77777777" w:rsidR="00C8178B" w:rsidRPr="00EE727B" w:rsidRDefault="00C8178B" w:rsidP="006F0BE2">
            <w:pPr>
              <w:jc w:val="center"/>
            </w:pPr>
            <w:r w:rsidRPr="00EE727B">
              <w:t>0.058</w:t>
            </w:r>
          </w:p>
        </w:tc>
      </w:tr>
      <w:tr w:rsidR="00C8178B" w:rsidRPr="00EE727B" w14:paraId="1CF1D370" w14:textId="77777777" w:rsidTr="006F0BE2">
        <w:trPr>
          <w:trHeight w:val="288"/>
        </w:trPr>
        <w:tc>
          <w:tcPr>
            <w:tcW w:w="2520" w:type="dxa"/>
            <w:tcBorders>
              <w:top w:val="nil"/>
              <w:left w:val="nil"/>
              <w:bottom w:val="nil"/>
              <w:right w:val="nil"/>
            </w:tcBorders>
            <w:noWrap/>
            <w:vAlign w:val="bottom"/>
            <w:hideMark/>
          </w:tcPr>
          <w:p w14:paraId="07665F11" w14:textId="77777777" w:rsidR="00C8178B" w:rsidRPr="00EE727B" w:rsidRDefault="00C8178B" w:rsidP="006F0BE2">
            <w:r w:rsidRPr="00EE727B">
              <w:t>Documentation Status</w:t>
            </w:r>
          </w:p>
        </w:tc>
        <w:tc>
          <w:tcPr>
            <w:tcW w:w="2061" w:type="dxa"/>
            <w:tcBorders>
              <w:top w:val="nil"/>
              <w:left w:val="nil"/>
              <w:bottom w:val="nil"/>
              <w:right w:val="nil"/>
            </w:tcBorders>
            <w:noWrap/>
            <w:vAlign w:val="bottom"/>
            <w:hideMark/>
          </w:tcPr>
          <w:p w14:paraId="7D59CD5D" w14:textId="77777777" w:rsidR="00C8178B" w:rsidRPr="00EE727B" w:rsidRDefault="00C8178B" w:rsidP="006F0BE2">
            <w:pPr>
              <w:jc w:val="center"/>
            </w:pPr>
            <w:r w:rsidRPr="00EE727B">
              <w:t>1.10 (4, 263)</w:t>
            </w:r>
          </w:p>
        </w:tc>
        <w:tc>
          <w:tcPr>
            <w:tcW w:w="236" w:type="dxa"/>
            <w:tcBorders>
              <w:top w:val="nil"/>
              <w:left w:val="nil"/>
              <w:bottom w:val="nil"/>
              <w:right w:val="nil"/>
            </w:tcBorders>
            <w:noWrap/>
            <w:vAlign w:val="bottom"/>
            <w:hideMark/>
          </w:tcPr>
          <w:p w14:paraId="79285FD8" w14:textId="77777777" w:rsidR="00C8178B" w:rsidRPr="00EE727B" w:rsidRDefault="00C8178B" w:rsidP="006F0BE2">
            <w:pPr>
              <w:jc w:val="center"/>
            </w:pPr>
            <w:r w:rsidRPr="00EE727B">
              <w:t>0.893</w:t>
            </w:r>
          </w:p>
        </w:tc>
      </w:tr>
      <w:tr w:rsidR="00C8178B" w:rsidRPr="00EE727B" w14:paraId="57063836" w14:textId="77777777" w:rsidTr="006F0BE2">
        <w:trPr>
          <w:trHeight w:val="288"/>
        </w:trPr>
        <w:tc>
          <w:tcPr>
            <w:tcW w:w="2520" w:type="dxa"/>
            <w:tcBorders>
              <w:top w:val="nil"/>
              <w:left w:val="nil"/>
              <w:bottom w:val="single" w:sz="4" w:space="0" w:color="auto"/>
              <w:right w:val="nil"/>
            </w:tcBorders>
            <w:noWrap/>
            <w:vAlign w:val="bottom"/>
            <w:hideMark/>
          </w:tcPr>
          <w:p w14:paraId="04492DCF" w14:textId="77777777" w:rsidR="00C8178B" w:rsidRPr="00EE727B" w:rsidRDefault="00C8178B" w:rsidP="006F0BE2">
            <w:r w:rsidRPr="00EE727B">
              <w:t>Health Insurance in Mexico</w:t>
            </w:r>
          </w:p>
        </w:tc>
        <w:tc>
          <w:tcPr>
            <w:tcW w:w="2061" w:type="dxa"/>
            <w:tcBorders>
              <w:top w:val="nil"/>
              <w:left w:val="nil"/>
              <w:bottom w:val="single" w:sz="4" w:space="0" w:color="auto"/>
              <w:right w:val="nil"/>
            </w:tcBorders>
            <w:noWrap/>
            <w:vAlign w:val="bottom"/>
            <w:hideMark/>
          </w:tcPr>
          <w:p w14:paraId="066F0192" w14:textId="77777777" w:rsidR="00C8178B" w:rsidRPr="00EE727B" w:rsidRDefault="00C8178B" w:rsidP="006F0BE2">
            <w:pPr>
              <w:jc w:val="center"/>
            </w:pPr>
            <w:r w:rsidRPr="00EE727B">
              <w:t>0.04 (1,278)</w:t>
            </w:r>
          </w:p>
        </w:tc>
        <w:tc>
          <w:tcPr>
            <w:tcW w:w="236" w:type="dxa"/>
            <w:tcBorders>
              <w:top w:val="nil"/>
              <w:left w:val="nil"/>
              <w:bottom w:val="single" w:sz="4" w:space="0" w:color="auto"/>
              <w:right w:val="nil"/>
            </w:tcBorders>
            <w:noWrap/>
            <w:vAlign w:val="bottom"/>
            <w:hideMark/>
          </w:tcPr>
          <w:p w14:paraId="6B9BE752" w14:textId="77777777" w:rsidR="00C8178B" w:rsidRPr="00EE727B" w:rsidRDefault="00C8178B" w:rsidP="006F0BE2">
            <w:pPr>
              <w:jc w:val="center"/>
            </w:pPr>
            <w:r w:rsidRPr="00EE727B">
              <w:t>0.841</w:t>
            </w:r>
          </w:p>
        </w:tc>
      </w:tr>
      <w:tr w:rsidR="00C8178B" w:rsidRPr="00EE727B" w14:paraId="442F3758" w14:textId="77777777" w:rsidTr="006F0BE2">
        <w:trPr>
          <w:trHeight w:val="2412"/>
        </w:trPr>
        <w:tc>
          <w:tcPr>
            <w:tcW w:w="4816" w:type="dxa"/>
            <w:gridSpan w:val="3"/>
            <w:tcBorders>
              <w:top w:val="single" w:sz="4" w:space="0" w:color="auto"/>
              <w:left w:val="nil"/>
              <w:bottom w:val="nil"/>
              <w:right w:val="nil"/>
            </w:tcBorders>
            <w:vAlign w:val="bottom"/>
            <w:hideMark/>
          </w:tcPr>
          <w:p w14:paraId="24A76089" w14:textId="77777777" w:rsidR="00C8178B" w:rsidRPr="00EE727B" w:rsidRDefault="00C8178B" w:rsidP="006F0BE2">
            <w:pPr>
              <w:rPr>
                <w:sz w:val="20"/>
                <w:szCs w:val="20"/>
              </w:rPr>
            </w:pPr>
            <w:r w:rsidRPr="00EE727B">
              <w:rPr>
                <w:i/>
                <w:iCs/>
                <w:sz w:val="20"/>
                <w:szCs w:val="20"/>
              </w:rPr>
              <w:t>Note.</w:t>
            </w:r>
            <w:r w:rsidRPr="00EE727B">
              <w:rPr>
                <w:sz w:val="20"/>
                <w:szCs w:val="20"/>
              </w:rPr>
              <w:t xml:space="preserve"> Covariates were added to the model in the following order: OTC medication count in Mexico, age, sex, marital status, monthly income, education, English fluency, age at migration, documentation status, health insurance in the U.S., and health insurance in Mexico. Variables shown in this table had a non-significant Chi-square goodness-of-fit test, indicating no significant improvement in model fit when the variable was included.</w:t>
            </w:r>
          </w:p>
        </w:tc>
      </w:tr>
    </w:tbl>
    <w:p w14:paraId="763BF89C" w14:textId="77777777" w:rsidR="003D7DDD" w:rsidRDefault="003D7DDD"/>
    <w:sectPr w:rsidR="003D7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8B"/>
    <w:rsid w:val="003D7DDD"/>
    <w:rsid w:val="0090599C"/>
    <w:rsid w:val="00A95A93"/>
    <w:rsid w:val="00C8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3943"/>
  <w15:chartTrackingRefBased/>
  <w15:docId w15:val="{43FE224C-5217-4F1F-A6E6-AB85E4FF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78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8178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8178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8178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8178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8178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8178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8178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8178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8178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7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7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7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7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7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78B"/>
    <w:rPr>
      <w:rFonts w:eastAsiaTheme="majorEastAsia" w:cstheme="majorBidi"/>
      <w:color w:val="272727" w:themeColor="text1" w:themeTint="D8"/>
    </w:rPr>
  </w:style>
  <w:style w:type="paragraph" w:styleId="Title">
    <w:name w:val="Title"/>
    <w:basedOn w:val="Normal"/>
    <w:next w:val="Normal"/>
    <w:link w:val="TitleChar"/>
    <w:uiPriority w:val="10"/>
    <w:qFormat/>
    <w:rsid w:val="00C8178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81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78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81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78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8178B"/>
    <w:rPr>
      <w:i/>
      <w:iCs/>
      <w:color w:val="404040" w:themeColor="text1" w:themeTint="BF"/>
    </w:rPr>
  </w:style>
  <w:style w:type="paragraph" w:styleId="ListParagraph">
    <w:name w:val="List Paragraph"/>
    <w:basedOn w:val="Normal"/>
    <w:uiPriority w:val="34"/>
    <w:qFormat/>
    <w:rsid w:val="00C8178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8178B"/>
    <w:rPr>
      <w:i/>
      <w:iCs/>
      <w:color w:val="0F4761" w:themeColor="accent1" w:themeShade="BF"/>
    </w:rPr>
  </w:style>
  <w:style w:type="paragraph" w:styleId="IntenseQuote">
    <w:name w:val="Intense Quote"/>
    <w:basedOn w:val="Normal"/>
    <w:next w:val="Normal"/>
    <w:link w:val="IntenseQuoteChar"/>
    <w:uiPriority w:val="30"/>
    <w:qFormat/>
    <w:rsid w:val="00C8178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8178B"/>
    <w:rPr>
      <w:i/>
      <w:iCs/>
      <w:color w:val="0F4761" w:themeColor="accent1" w:themeShade="BF"/>
    </w:rPr>
  </w:style>
  <w:style w:type="character" w:styleId="IntenseReference">
    <w:name w:val="Intense Reference"/>
    <w:basedOn w:val="DefaultParagraphFont"/>
    <w:uiPriority w:val="32"/>
    <w:qFormat/>
    <w:rsid w:val="00C817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Patel</dc:creator>
  <cp:keywords/>
  <dc:description/>
  <cp:lastModifiedBy>Sandhya Patel</cp:lastModifiedBy>
  <cp:revision>1</cp:revision>
  <dcterms:created xsi:type="dcterms:W3CDTF">2025-07-15T09:18:00Z</dcterms:created>
  <dcterms:modified xsi:type="dcterms:W3CDTF">2025-07-15T09:18:00Z</dcterms:modified>
</cp:coreProperties>
</file>