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Table 1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Achievements of soap horn industry development models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.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72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Connotation of development model</w:t>
            </w:r>
          </w:p>
        </w:tc>
        <w:tc>
          <w:tcPr>
            <w:tcW w:w="3668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Achievement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31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Product innovation with three interlocking links</w:t>
            </w:r>
          </w:p>
        </w:tc>
        <w:tc>
          <w:tcPr>
            <w:tcW w:w="3668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Developed five series of saponin cleaning products, natural saponin stock solution Dish-washing liquid, laundry detergent, soapy rice three gel face and other domestic exclusive products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3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The revenue from soap horn cleaning products reached 8.6 million yuan in 2019, and the revenue exceeded 13 million yuan in 2020.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31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68" w:type="pct"/>
            <w:tcBorders>
              <w:bottom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Developed a soap rice series of nutritional foods, with a revenue of 3.9 million yuan in 2020.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31" w:type="pct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Innovative model of tripartite collaboration</w:t>
            </w:r>
          </w:p>
        </w:tc>
        <w:tc>
          <w:tcPr>
            <w:tcW w:w="3668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The school enterprise cooperation has become a supporting unit for the provincial engineering technology research center of natural plant cleaning technology in Henan Province.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3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Establish an advanced natural plant cleaning industry technology research and development base.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31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668" w:type="pc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Obtained a county (city) innovation guidance plan project in Henan Province, with a funding of 500000 yuan.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1" w:type="pct"/>
            <w:vMerge w:val="restart"/>
            <w:tcBorders>
              <w:top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Development model of integrating three industries</w:t>
            </w:r>
          </w:p>
        </w:tc>
        <w:tc>
          <w:tcPr>
            <w:tcW w:w="3668" w:type="pct"/>
            <w:tcBorders>
              <w:top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Establish a standardized planting base for three varieties, covering an area of 900 acres, while also establishing a seedling breeding base, covering an area of 104 acres.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Holding a standardized soap horn planting base of 2160 acres and a breeding experiment base of 510 acres.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31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6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A soap horn cleaning solution production factory consisting of extraction workshop, cleaning solution production workshop, and packaging workshop, with laboratories and inspection and analysis rooms.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31" w:type="pct"/>
            <w:vMerge w:val="continue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68" w:type="pct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Preliminary construction of an ecological planting and product experience ecological sightseeing park for soap horn.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Note: 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he data in the table was sourced from the poverty alleviation summary report of Henan Hanyi Daily Chemical Technology Co., Ltd.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Table 2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The determination criteria of coordination degree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.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879"/>
        <w:gridCol w:w="2143"/>
        <w:gridCol w:w="2052"/>
        <w:gridCol w:w="162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091" w:type="pct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FZXBSJW--GB1-0" w:cs="Times New Roman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Coordination degree</w:t>
            </w:r>
          </w:p>
        </w:tc>
        <w:tc>
          <w:tcPr>
            <w:tcW w:w="953" w:type="pct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FZXBSJW--GB1-0" w:cs="Times New Roman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0.8&lt; </w:t>
            </w:r>
            <w:r>
              <w:rPr>
                <w:rFonts w:hint="default" w:ascii="Times New Roman" w:hAnsi="Times New Roman" w:eastAsia="NEU-BZ-Regular" w:cs="Times New Roman"/>
                <w:b/>
                <w:bCs/>
                <w:i/>
                <w:i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≤ 1</w:t>
            </w:r>
          </w:p>
        </w:tc>
        <w:tc>
          <w:tcPr>
            <w:tcW w:w="1087" w:type="pct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FZXBSJW--GB1-0" w:cs="Times New Roman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0.6 &lt;</w:t>
            </w:r>
            <w:r>
              <w:rPr>
                <w:rFonts w:hint="default" w:ascii="Times New Roman" w:hAnsi="Times New Roman" w:eastAsia="NEU-BZ-Regular" w:cs="Times New Roman"/>
                <w:b/>
                <w:bCs/>
                <w:i/>
                <w:i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≤ 0.8</w:t>
            </w:r>
          </w:p>
        </w:tc>
        <w:tc>
          <w:tcPr>
            <w:tcW w:w="1041" w:type="pct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0.4 &lt; </w:t>
            </w:r>
            <w:r>
              <w:rPr>
                <w:rFonts w:hint="default" w:ascii="Times New Roman" w:hAnsi="Times New Roman" w:eastAsia="NEU-BZ-Regular" w:cs="Times New Roman"/>
                <w:b/>
                <w:bCs/>
                <w:i/>
                <w:i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≤ 0.6</w:t>
            </w:r>
          </w:p>
        </w:tc>
        <w:tc>
          <w:tcPr>
            <w:tcW w:w="826" w:type="pct"/>
            <w:tcBorders>
              <w:top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 &lt; </w:t>
            </w:r>
            <w:r>
              <w:rPr>
                <w:rFonts w:hint="default" w:ascii="Times New Roman" w:hAnsi="Times New Roman" w:eastAsia="NEU-BZ-Regular" w:cs="Times New Roman"/>
                <w:b/>
                <w:bCs/>
                <w:i/>
                <w:i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NEU-BZ-Regular" w:cs="Times New Roman"/>
                <w:b/>
                <w:bCs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≤ 0.4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91" w:type="pct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FZXBSJW--GB1-0" w:cs="Times New Roman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Grade</w:t>
            </w:r>
          </w:p>
        </w:tc>
        <w:tc>
          <w:tcPr>
            <w:tcW w:w="953" w:type="pct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FZSSK--GBK1-0" w:cs="Times New Roman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Very collaborative</w:t>
            </w:r>
          </w:p>
        </w:tc>
        <w:tc>
          <w:tcPr>
            <w:tcW w:w="1087" w:type="pct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FZSSK--GBK1-0" w:cs="Times New Roman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FZSSK--GBK1-0" w:cs="Times New Roman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Compare coordination</w:t>
            </w:r>
          </w:p>
        </w:tc>
        <w:tc>
          <w:tcPr>
            <w:tcW w:w="1041" w:type="pct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FZSSK--GBK1-0" w:cs="Times New Roman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FZSSK--GBK1-0" w:cs="Times New Roman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General coordination</w:t>
            </w:r>
          </w:p>
        </w:tc>
        <w:tc>
          <w:tcPr>
            <w:tcW w:w="826" w:type="pct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FZSSK--GBK1-0" w:cs="Times New Roman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FZSSK--GBK1-0" w:cs="Times New Roman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Uncooperative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Table 3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Indicator analysis of enterprise innovation and farmer benefits in soap horn industry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.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442"/>
        <w:gridCol w:w="1895"/>
        <w:gridCol w:w="1068"/>
        <w:gridCol w:w="1068"/>
        <w:gridCol w:w="1068"/>
        <w:gridCol w:w="1069"/>
        <w:gridCol w:w="106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65" w:type="pct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Indicator type</w:t>
            </w:r>
          </w:p>
        </w:tc>
        <w:tc>
          <w:tcPr>
            <w:tcW w:w="692" w:type="pct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Indicator selection</w:t>
            </w:r>
          </w:p>
        </w:tc>
        <w:tc>
          <w:tcPr>
            <w:tcW w:w="907" w:type="pct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Indicator characterization</w:t>
            </w:r>
          </w:p>
        </w:tc>
        <w:tc>
          <w:tcPr>
            <w:tcW w:w="566" w:type="pct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Average value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2016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)</w:t>
            </w:r>
          </w:p>
        </w:tc>
        <w:tc>
          <w:tcPr>
            <w:tcW w:w="566" w:type="pct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Average value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2017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)</w:t>
            </w:r>
          </w:p>
        </w:tc>
        <w:tc>
          <w:tcPr>
            <w:tcW w:w="566" w:type="pct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Average value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2018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)</w:t>
            </w:r>
          </w:p>
        </w:tc>
        <w:tc>
          <w:tcPr>
            <w:tcW w:w="566" w:type="pct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Average value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2019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)</w:t>
            </w:r>
          </w:p>
        </w:tc>
        <w:tc>
          <w:tcPr>
            <w:tcW w:w="566" w:type="pct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Average value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2020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565" w:type="pct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Input indicators</w:t>
            </w:r>
          </w:p>
        </w:tc>
        <w:tc>
          <w:tcPr>
            <w:tcW w:w="692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Farmer work input</w:t>
            </w:r>
          </w:p>
        </w:tc>
        <w:tc>
          <w:tcPr>
            <w:tcW w:w="907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day</w:t>
            </w:r>
          </w:p>
        </w:tc>
        <w:tc>
          <w:tcPr>
            <w:tcW w:w="566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1664</w:t>
            </w:r>
          </w:p>
        </w:tc>
        <w:tc>
          <w:tcPr>
            <w:tcW w:w="566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2392</w:t>
            </w:r>
          </w:p>
        </w:tc>
        <w:tc>
          <w:tcPr>
            <w:tcW w:w="566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6500</w:t>
            </w:r>
          </w:p>
        </w:tc>
        <w:tc>
          <w:tcPr>
            <w:tcW w:w="566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9672</w:t>
            </w:r>
          </w:p>
        </w:tc>
        <w:tc>
          <w:tcPr>
            <w:tcW w:w="566" w:type="pc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19032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Government and enterprise joint investment funds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78.42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137.8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Various government financial incentives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4.25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5.3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5.5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Annual guidance frequency of universities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frequency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3.3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5.6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University research funding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8000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9000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7500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10100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The highest education level of senior managers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1=Primary school and below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2=Junior high school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3=High school and technical secondary school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4=University and junior college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5=graduate student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Frequency of enterprise meetings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frequency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11.6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11.6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Annual R&amp;D investment of enterprises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195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207.6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223.8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56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Output indicators</w:t>
            </w:r>
          </w:p>
        </w:tc>
        <w:tc>
          <w:tcPr>
            <w:tcW w:w="692" w:type="pc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Enterprise market share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0.10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Number of signed contracts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number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10.8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18.3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Per capita annual income of farmers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0.6875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0.6825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0.7993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0.8455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0.8595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Number of beneficiary farmers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number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275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293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386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Annual skill training frequency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frequency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4.1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Satisfaction of farmers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1=very dissatisfied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2=dissatisfied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3=generally satisfied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4=Satisfied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5=very satisfied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4.75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Average yield per mu 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4360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5610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7180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8570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10900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Enterprise sales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670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1100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1510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2160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Honor level related to schools and enterprises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1=Enterprise level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2=County level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3=prefecture level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4=Province level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5=National level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65" w:type="pct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Contribution rate of enterprise innovation</w:t>
            </w:r>
          </w:p>
        </w:tc>
        <w:tc>
          <w:tcPr>
            <w:tcW w:w="9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63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231F2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231F20"/>
          <w:kern w:val="0"/>
          <w:sz w:val="24"/>
          <w:szCs w:val="24"/>
          <w:highlight w:val="none"/>
          <w:lang w:val="en-US" w:eastAsia="zh-CN" w:bidi="ar"/>
        </w:rPr>
        <w:t>Table 4</w:t>
      </w:r>
      <w:r>
        <w:rPr>
          <w:rFonts w:hint="default" w:ascii="Times New Roman" w:hAnsi="Times New Roman" w:eastAsia="宋体" w:cs="Times New Roman"/>
          <w:b/>
          <w:bCs/>
          <w:color w:val="231F20"/>
          <w:kern w:val="0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default" w:ascii="Times New Roman" w:hAnsi="Times New Roman" w:eastAsia="宋体" w:cs="Times New Roman"/>
          <w:b/>
          <w:bCs/>
          <w:color w:val="231F20"/>
          <w:kern w:val="0"/>
          <w:sz w:val="24"/>
          <w:szCs w:val="24"/>
          <w:highlight w:val="none"/>
          <w:lang w:val="en-US" w:eastAsia="zh-CN" w:bidi="ar"/>
        </w:rPr>
        <w:t>Synergy analysis of input and output indicators in enterprise development</w:t>
      </w:r>
      <w:r>
        <w:rPr>
          <w:rFonts w:hint="default" w:ascii="Times New Roman" w:hAnsi="Times New Roman" w:eastAsia="宋体" w:cs="Times New Roman"/>
          <w:b/>
          <w:bCs/>
          <w:color w:val="231F20"/>
          <w:kern w:val="0"/>
          <w:sz w:val="24"/>
          <w:szCs w:val="24"/>
          <w:highlight w:val="none"/>
          <w:lang w:val="en-US" w:eastAsia="zh-CN" w:bidi="ar"/>
        </w:rPr>
        <w:t>.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164"/>
        <w:gridCol w:w="2448"/>
        <w:gridCol w:w="1397"/>
        <w:gridCol w:w="1156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Indicator type</w:t>
            </w:r>
          </w:p>
        </w:tc>
        <w:tc>
          <w:tcPr>
            <w:tcW w:w="111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Indicator selection</w:t>
            </w:r>
          </w:p>
        </w:tc>
        <w:tc>
          <w:tcPr>
            <w:tcW w:w="12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Indicator characterization</w:t>
            </w:r>
          </w:p>
        </w:tc>
        <w:tc>
          <w:tcPr>
            <w:tcW w:w="72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Standard deviation</w:t>
            </w:r>
          </w:p>
        </w:tc>
        <w:tc>
          <w:tcPr>
            <w:tcW w:w="60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Average value</w:t>
            </w:r>
          </w:p>
        </w:tc>
        <w:tc>
          <w:tcPr>
            <w:tcW w:w="60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Synergy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673" w:type="pct"/>
            <w:vMerge w:val="restar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Input indicators</w:t>
            </w:r>
          </w:p>
        </w:tc>
        <w:tc>
          <w:tcPr>
            <w:tcW w:w="1118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Government and enterprise joint investment funds</w:t>
            </w:r>
          </w:p>
        </w:tc>
        <w:tc>
          <w:tcPr>
            <w:tcW w:w="1262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729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319.8750</w:t>
            </w:r>
          </w:p>
        </w:tc>
        <w:tc>
          <w:tcPr>
            <w:tcW w:w="607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2560</w:t>
            </w:r>
          </w:p>
        </w:tc>
        <w:tc>
          <w:tcPr>
            <w:tcW w:w="607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Various government financial incentives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0.64992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4.91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Annual guidance frequency of universities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frequency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2.1581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4.02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Farmer work input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day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6296.5967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7852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0.1981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University research funding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1609.2234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9320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The highest education level of senior managers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1=Primary school and below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2=Junior high school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3=High school and technical secondary school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4=University and junior college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5=graduate student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Frequency of enterprise meetings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frequency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2.6138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9.8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7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Annual R&amp;D investment of enterprises</w:t>
            </w:r>
          </w:p>
        </w:tc>
        <w:tc>
          <w:tcPr>
            <w:tcW w:w="12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27.4729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200.28</w:t>
            </w: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Output indicators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Enterprise market share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0.7167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1.22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Number of signed contracts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number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6.1183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14.98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Per capita annual income of farmers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0.0760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0.77486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0.9019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Number of beneficiary farmers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number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107.1922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314.2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Annual skill training frequency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frequency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1.6322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Satisfaction of farmers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1=very dissatisfied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2=dissatisfied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3=generally satisfied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4=Satisfied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5=very satisfied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4.15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0.9277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Average yield per mu 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2284.0368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7324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0.6881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Enterprise sales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ten thousand yuan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633.4350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1560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Honor level related to schools and enterprises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1=Enterprise level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2=County level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3=prefecture level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4=Province level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5=National level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7.2277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11.6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Contribution rate of enterprise innovation</w:t>
            </w:r>
          </w:p>
        </w:tc>
        <w:tc>
          <w:tcPr>
            <w:tcW w:w="1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17.49997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37.6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0.5346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Note: “</w:t>
      </w:r>
      <w:r>
        <w:rPr>
          <w:rFonts w:hint="default" w:ascii="Times New Roman" w:hAnsi="Times New Roman" w:cs="Times New Roman"/>
          <w:sz w:val="24"/>
          <w:szCs w:val="24"/>
          <w:highlight w:val="none"/>
          <w:vertAlign w:val="baseline"/>
          <w:lang w:val="en-US" w:eastAsia="zh-CN"/>
        </w:rPr>
        <w:t>Honor level related to schools and enterprises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”=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hint="default" w:ascii="Cambria Math" w:hAnsi="Cambria Math" w:cs="Times New Roman"/>
                <w:i/>
                <w:sz w:val="24"/>
                <w:szCs w:val="24"/>
                <w:highlight w:val="none"/>
                <w:lang w:val="en-US"/>
              </w:rPr>
            </m:ctrlPr>
          </m:naryPr>
          <m:sub>
            <m:ctrlPr>
              <w:rPr>
                <w:rFonts w:hint="default" w:ascii="Cambria Math" w:hAnsi="Cambria Math" w:cs="Times New Roman"/>
                <w:i/>
                <w:sz w:val="24"/>
                <w:szCs w:val="24"/>
                <w:highlight w:val="none"/>
                <w:lang w:val="en-US"/>
              </w:rPr>
            </m:ctrlPr>
          </m:sub>
          <m:sup>
            <m:ctrlPr>
              <w:rPr>
                <w:rFonts w:hint="default" w:ascii="Cambria Math" w:hAnsi="Cambria Math" w:cs="Times New Roman"/>
                <w:i/>
                <w:sz w:val="24"/>
                <w:szCs w:val="24"/>
                <w:highlight w:val="none"/>
                <w:lang w:val="en-US"/>
              </w:rPr>
            </m:ctrlPr>
          </m:sup>
          <m:e>
            <m:d>
              <m:dPr>
                <m:ctrlPr>
                  <w:rPr>
                    <w:rFonts w:hint="default" w:ascii="Cambria Math" w:hAnsi="Cambria Math" w:cs="Times New Roman"/>
                    <w:i/>
                    <w:sz w:val="24"/>
                    <w:szCs w:val="24"/>
                    <w:highlight w:val="none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Times New Roman"/>
                    <w:sz w:val="24"/>
                    <w:szCs w:val="24"/>
                    <w:highlight w:val="none"/>
                    <w:lang w:val="en-US" w:eastAsia="zh-CN"/>
                  </w:rPr>
                  <m:t>honor level∗number of projects</m:t>
                </m:r>
                <m:ctrlPr>
                  <w:rPr>
                    <w:rFonts w:hint="default" w:ascii="Cambria Math" w:hAnsi="Cambria Math" w:cs="Times New Roman"/>
                    <w:i/>
                    <w:sz w:val="24"/>
                    <w:szCs w:val="24"/>
                    <w:highlight w:val="none"/>
                    <w:lang w:val="en-US"/>
                  </w:rPr>
                </m:ctrlPr>
              </m:e>
            </m:d>
            <m:ctrlPr>
              <w:rPr>
                <w:rFonts w:hint="default" w:ascii="Cambria Math" w:hAnsi="Cambria Math" w:cs="Times New Roman"/>
                <w:i/>
                <w:sz w:val="24"/>
                <w:szCs w:val="24"/>
                <w:highlight w:val="none"/>
                <w:lang w:val="en-US"/>
              </w:rPr>
            </m:ctrlPr>
          </m:e>
        </m:nary>
      </m:oMath>
      <w:r>
        <w:rPr>
          <w:rFonts w:hint="eastAsia" w:hAnsi="Cambria Math" w:eastAsia="宋体" w:cs="Times New Roman"/>
          <w:i w:val="0"/>
          <w:sz w:val="24"/>
          <w:szCs w:val="24"/>
          <w:highlight w:val="none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zQzNGJiMWE3YWMzZmIyYjcxYjExNGIxY2JiODcifQ=="/>
  </w:docVars>
  <w:rsids>
    <w:rsidRoot w:val="00000000"/>
    <w:rsid w:val="03D33574"/>
    <w:rsid w:val="05301A59"/>
    <w:rsid w:val="21A44C1C"/>
    <w:rsid w:val="37330286"/>
    <w:rsid w:val="3862042D"/>
    <w:rsid w:val="3FE0432D"/>
    <w:rsid w:val="48F90D4E"/>
    <w:rsid w:val="49644D96"/>
    <w:rsid w:val="4E421D33"/>
    <w:rsid w:val="5E420235"/>
    <w:rsid w:val="6C2D1939"/>
    <w:rsid w:val="710B095A"/>
    <w:rsid w:val="75C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4"/>
      <w:lang w:val="cs-CZ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2024-04-05T19:46:00Z</dcterms:created>
  <dc:creator>王彬</dc:creator>
  <cp:lastModifiedBy>=)</cp:lastModifiedBy>
  <dcterms:modified xsi:type="dcterms:W3CDTF">2024-05-05T08:26:00Z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9DE1CC51606644879A5D3A5F08BF24E2_12</vt:lpwstr>
  </property>
</Properties>
</file>