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B7A7C" w14:textId="64A2533A" w:rsidR="00D13063" w:rsidRPr="009B597F" w:rsidRDefault="00D13063">
      <w:pPr>
        <w:rPr>
          <w:rFonts w:asciiTheme="majorBidi" w:hAnsiTheme="majorBidi" w:cstheme="majorBidi"/>
          <w:b/>
          <w:bCs/>
          <w:sz w:val="24"/>
          <w:szCs w:val="44"/>
        </w:rPr>
      </w:pPr>
      <w:r w:rsidRPr="009B597F">
        <w:rPr>
          <w:rFonts w:asciiTheme="majorBidi" w:hAnsiTheme="majorBidi" w:cstheme="majorBidi"/>
          <w:b/>
          <w:bCs/>
          <w:sz w:val="24"/>
          <w:szCs w:val="44"/>
        </w:rPr>
        <w:t>Supporting Information file</w:t>
      </w:r>
    </w:p>
    <w:p w14:paraId="4E7EEA56" w14:textId="64A5ECF1" w:rsidR="00A11F3F" w:rsidRPr="00E33E99" w:rsidRDefault="00A11F3F" w:rsidP="00A11F3F">
      <w:pPr>
        <w:spacing w:after="0" w:line="480" w:lineRule="auto"/>
        <w:rPr>
          <w:rFonts w:ascii="Times New Roman" w:hAnsi="Times New Roman" w:cs="Times New Roman"/>
          <w:b/>
          <w:sz w:val="24"/>
          <w:szCs w:val="24"/>
        </w:rPr>
      </w:pPr>
      <w:bookmarkStart w:id="0" w:name="_GoBack"/>
      <w:bookmarkEnd w:id="0"/>
      <w:r w:rsidRPr="00E33E99">
        <w:rPr>
          <w:rFonts w:ascii="Times New Roman" w:hAnsi="Times New Roman" w:cs="Times New Roman"/>
          <w:b/>
          <w:sz w:val="24"/>
          <w:szCs w:val="24"/>
        </w:rPr>
        <w:t xml:space="preserve">FT-IR </w:t>
      </w:r>
      <w:r>
        <w:rPr>
          <w:rFonts w:ascii="Times New Roman" w:hAnsi="Times New Roman" w:cs="Times New Roman"/>
          <w:b/>
          <w:sz w:val="24"/>
          <w:szCs w:val="24"/>
        </w:rPr>
        <w:t>analysis</w:t>
      </w:r>
    </w:p>
    <w:p w14:paraId="75F0CED0" w14:textId="77777777" w:rsidR="00A11F3F" w:rsidRPr="00FB2344" w:rsidRDefault="00A11F3F" w:rsidP="00A11F3F">
      <w:pPr>
        <w:spacing w:after="0" w:line="480" w:lineRule="auto"/>
        <w:jc w:val="both"/>
        <w:rPr>
          <w:rFonts w:ascii="Times New Roman" w:hAnsi="Times New Roman" w:cs="Times New Roman"/>
          <w:sz w:val="24"/>
          <w:szCs w:val="24"/>
        </w:rPr>
      </w:pPr>
      <w:r w:rsidRPr="00FB2344">
        <w:rPr>
          <w:rFonts w:ascii="Times New Roman" w:hAnsi="Times New Roman" w:cs="Times New Roman"/>
          <w:sz w:val="24"/>
          <w:szCs w:val="24"/>
        </w:rPr>
        <w:t>Concisely, to investigate tensile and bending vibrations in PVA/PEO/CS and PVA/PEO/CS/</w:t>
      </w:r>
      <w:r w:rsidRPr="00E33E99">
        <w:rPr>
          <w:rFonts w:ascii="Times New Roman" w:hAnsi="Times New Roman" w:cs="Times New Roman"/>
          <w:i/>
          <w:sz w:val="24"/>
          <w:szCs w:val="24"/>
        </w:rPr>
        <w:t>TG</w:t>
      </w:r>
      <w:r w:rsidRPr="00FB2344">
        <w:rPr>
          <w:rFonts w:ascii="Times New Roman" w:hAnsi="Times New Roman" w:cs="Times New Roman"/>
          <w:sz w:val="24"/>
          <w:szCs w:val="24"/>
        </w:rPr>
        <w:t xml:space="preserve"> nanofibers, these samples were mixed with KBr (spectroscopy grade, Sigma Aldrich) powder and compressed into tablets. The resulting mixture was then inserted into the FT-IR sample holder and compacted. Spectra were captured within the scanning range of 200–4000 cm</w:t>
      </w:r>
      <w:r w:rsidRPr="00E33E99">
        <w:rPr>
          <w:rFonts w:ascii="Times New Roman" w:hAnsi="Times New Roman" w:cs="Times New Roman"/>
          <w:sz w:val="24"/>
          <w:szCs w:val="24"/>
          <w:vertAlign w:val="superscript"/>
        </w:rPr>
        <w:t>-1</w:t>
      </w:r>
      <w:r w:rsidRPr="00FB2344">
        <w:rPr>
          <w:rFonts w:ascii="Times New Roman" w:hAnsi="Times New Roman" w:cs="Times New Roman"/>
          <w:sz w:val="24"/>
          <w:szCs w:val="24"/>
        </w:rPr>
        <w:t xml:space="preserve"> using a spectral resolution of 4 cm</w:t>
      </w:r>
      <w:r w:rsidRPr="00E33E99">
        <w:rPr>
          <w:rFonts w:ascii="Times New Roman" w:hAnsi="Times New Roman" w:cs="Times New Roman"/>
          <w:sz w:val="24"/>
          <w:szCs w:val="24"/>
          <w:vertAlign w:val="superscript"/>
        </w:rPr>
        <w:t>-1</w:t>
      </w:r>
      <w:r w:rsidRPr="00FB2344">
        <w:rPr>
          <w:rFonts w:ascii="Times New Roman" w:hAnsi="Times New Roman" w:cs="Times New Roman"/>
          <w:sz w:val="24"/>
          <w:szCs w:val="24"/>
        </w:rPr>
        <w:t xml:space="preserve"> through the FT-IR spectrophotometer (IR Prestige-21 Shimadzu Spectrometer, Kyoto, Japan).</w:t>
      </w:r>
    </w:p>
    <w:p w14:paraId="16644244" w14:textId="45739C13" w:rsidR="00072BD4" w:rsidRPr="00FB2344" w:rsidRDefault="00072BD4" w:rsidP="0016175C">
      <w:pPr>
        <w:spacing w:after="0" w:line="480" w:lineRule="auto"/>
        <w:jc w:val="both"/>
        <w:rPr>
          <w:rFonts w:ascii="Times New Roman" w:hAnsi="Times New Roman" w:cs="Times New Roman"/>
          <w:sz w:val="24"/>
          <w:szCs w:val="24"/>
        </w:rPr>
      </w:pPr>
      <w:r w:rsidRPr="00FB2344">
        <w:rPr>
          <w:rFonts w:ascii="Times New Roman" w:hAnsi="Times New Roman" w:cs="Times New Roman"/>
          <w:sz w:val="24"/>
          <w:szCs w:val="24"/>
        </w:rPr>
        <w:t xml:space="preserve">The FT-IR spectra of PEO, CS, PVA, and optimal nanofiber containing PVA/PEO/CS with </w:t>
      </w:r>
      <w:r w:rsidRPr="00992B41">
        <w:rPr>
          <w:rFonts w:ascii="Times New Roman" w:hAnsi="Times New Roman" w:cs="Times New Roman"/>
          <w:i/>
          <w:sz w:val="24"/>
          <w:szCs w:val="24"/>
        </w:rPr>
        <w:t>TG</w:t>
      </w:r>
      <w:r w:rsidRPr="00FB2344">
        <w:rPr>
          <w:rFonts w:ascii="Times New Roman" w:hAnsi="Times New Roman" w:cs="Times New Roman"/>
          <w:sz w:val="24"/>
          <w:szCs w:val="24"/>
        </w:rPr>
        <w:t xml:space="preserve"> extract are shown in </w:t>
      </w:r>
      <w:r w:rsidR="0016175C" w:rsidRPr="0016175C">
        <w:rPr>
          <w:rFonts w:ascii="Times New Roman" w:hAnsi="Times New Roman" w:cs="Times New Roman"/>
          <w:b/>
          <w:bCs/>
          <w:sz w:val="24"/>
          <w:szCs w:val="24"/>
        </w:rPr>
        <w:t xml:space="preserve">Supplementary </w:t>
      </w:r>
      <w:r w:rsidRPr="00992B41">
        <w:rPr>
          <w:rFonts w:ascii="Times New Roman" w:hAnsi="Times New Roman" w:cs="Times New Roman"/>
          <w:b/>
          <w:sz w:val="24"/>
          <w:szCs w:val="24"/>
        </w:rPr>
        <w:t>Figure</w:t>
      </w:r>
      <w:r w:rsidR="009B597F">
        <w:rPr>
          <w:rFonts w:ascii="Times New Roman" w:hAnsi="Times New Roman" w:cs="Times New Roman"/>
          <w:b/>
          <w:sz w:val="24"/>
          <w:szCs w:val="24"/>
        </w:rPr>
        <w:t xml:space="preserve"> 1</w:t>
      </w:r>
      <w:r w:rsidRPr="00FB2344">
        <w:rPr>
          <w:rFonts w:ascii="Times New Roman" w:hAnsi="Times New Roman" w:cs="Times New Roman"/>
          <w:sz w:val="24"/>
          <w:szCs w:val="24"/>
        </w:rPr>
        <w:t>.  In the case of PEO, the following stretching peaks were identified: C-C stretching vibrations (3386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sp</w:t>
      </w:r>
      <w:r w:rsidRPr="00992B41">
        <w:rPr>
          <w:rFonts w:ascii="Times New Roman" w:hAnsi="Times New Roman" w:cs="Times New Roman"/>
          <w:sz w:val="24"/>
          <w:szCs w:val="24"/>
          <w:vertAlign w:val="superscript"/>
        </w:rPr>
        <w:t xml:space="preserve">2 </w:t>
      </w:r>
      <w:r w:rsidRPr="00FB2344">
        <w:rPr>
          <w:rFonts w:ascii="Times New Roman" w:hAnsi="Times New Roman" w:cs="Times New Roman"/>
          <w:sz w:val="24"/>
          <w:szCs w:val="24"/>
        </w:rPr>
        <w:t>C‐H stretching vibrations (842.8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C-O-C stretching frequency (1132.2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C=C absorption band (1604.7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C-O stretching frequency (1961.1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C‐H stretching vibrations (2814.4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CH</w:t>
      </w:r>
      <w:r w:rsidRPr="00992B41">
        <w:rPr>
          <w:rFonts w:ascii="Times New Roman" w:hAnsi="Times New Roman" w:cs="Times New Roman"/>
          <w:sz w:val="24"/>
          <w:szCs w:val="24"/>
          <w:vertAlign w:val="subscript"/>
        </w:rPr>
        <w:t xml:space="preserve">2 </w:t>
      </w:r>
      <w:r w:rsidRPr="00FB2344">
        <w:rPr>
          <w:rFonts w:ascii="Times New Roman" w:hAnsi="Times New Roman" w:cs="Times New Roman"/>
          <w:sz w:val="24"/>
          <w:szCs w:val="24"/>
        </w:rPr>
        <w:t>weak stretching absorptions (2873.9 and 2927.2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and finally O-H vibration (3414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In addition, in the FT-IR spectrum of PEO, the bending vibrations of C-H (947.4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C-O bending absorptions (1033.8, 1062.7, and 1109.6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CH</w:t>
      </w:r>
      <w:r w:rsidRPr="00992B41">
        <w:rPr>
          <w:rFonts w:ascii="Times New Roman" w:hAnsi="Times New Roman" w:cs="Times New Roman"/>
          <w:sz w:val="24"/>
          <w:szCs w:val="24"/>
          <w:vertAlign w:val="subscript"/>
        </w:rPr>
        <w:t>2</w:t>
      </w:r>
      <w:r w:rsidRPr="00FB2344">
        <w:rPr>
          <w:rFonts w:ascii="Times New Roman" w:hAnsi="Times New Roman" w:cs="Times New Roman"/>
          <w:sz w:val="24"/>
          <w:szCs w:val="24"/>
        </w:rPr>
        <w:t xml:space="preserve"> bending vibrations (1371.3 and 1427.3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and eventually bending vibration of O-H (1591.2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xml:space="preserve">) were characterized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mrt.2019.11.078","ISSN":"22387854","author":[{"dropping-particle":"","family":"Farea","given":"M.O.","non-dropping-particle":"","parse-names":false,"suffix":""},{"dropping-particle":"","family":"Abdelghany","given":"A.M.","non-dropping-particle":"","parse-names":false,"suffix":""},{"dropping-particle":"","family":"Meikhail","given":"M.S.","non-dropping-particle":"","parse-names":false,"suffix":""},{"dropping-particle":"","family":"Oraby","given":"A.H.","non-dropping-particle":"","parse-names":false,"suffix":""}],"container-title":"Journal of Materials Research and Technology","id":"ITEM-1","issue":"2","issued":{"date-parts":[["2020","3"]]},"page":"1530-1538","title":"Effect of cesium bromide on the structural, optical, thermal and electrical properties of polyvinyl alcohol and polyethylene oxide","type":"article-journal","volume":"9"},"uris":["http://www.mendeley.com/documents/?uuid=a3a4b226-5a23-4565-8dca-579b40435ad5"]}],"mendeley":{"formattedCitation":"(Farea et al., 2020)","plainTextFormattedCitation":"(Farea et al., 2020)","previouslyFormattedCitation":"(Farea et al., 2020)"},"properties":{"noteIndex":0},"schema":"https://github.com/citation-style-language/schema/raw/master/csl-citation.json"}</w:instrText>
      </w:r>
      <w:r>
        <w:rPr>
          <w:rFonts w:ascii="Times New Roman" w:hAnsi="Times New Roman" w:cs="Times New Roman"/>
          <w:sz w:val="24"/>
          <w:szCs w:val="24"/>
        </w:rPr>
        <w:fldChar w:fldCharType="separate"/>
      </w:r>
      <w:r w:rsidRPr="00992B41">
        <w:rPr>
          <w:rFonts w:ascii="Times New Roman" w:hAnsi="Times New Roman" w:cs="Times New Roman"/>
          <w:noProof/>
          <w:sz w:val="24"/>
          <w:szCs w:val="24"/>
        </w:rPr>
        <w:t>(Farea et al., 2020)</w:t>
      </w:r>
      <w:r>
        <w:rPr>
          <w:rFonts w:ascii="Times New Roman" w:hAnsi="Times New Roman" w:cs="Times New Roman"/>
          <w:sz w:val="24"/>
          <w:szCs w:val="24"/>
        </w:rPr>
        <w:fldChar w:fldCharType="end"/>
      </w:r>
      <w:r w:rsidRPr="00FB2344">
        <w:rPr>
          <w:rFonts w:ascii="Times New Roman" w:hAnsi="Times New Roman" w:cs="Times New Roman"/>
          <w:sz w:val="24"/>
          <w:szCs w:val="24"/>
        </w:rPr>
        <w:t>.</w:t>
      </w:r>
    </w:p>
    <w:p w14:paraId="1F4EE380" w14:textId="6A9C1EDC" w:rsidR="00072BD4" w:rsidRPr="00B47E1E" w:rsidRDefault="00072BD4" w:rsidP="00B47E1E">
      <w:pPr>
        <w:spacing w:after="0" w:line="480" w:lineRule="auto"/>
        <w:jc w:val="both"/>
        <w:rPr>
          <w:rFonts w:ascii="Times New Roman" w:hAnsi="Times New Roman" w:cs="Times New Roman"/>
          <w:sz w:val="24"/>
          <w:szCs w:val="24"/>
        </w:rPr>
      </w:pPr>
      <w:r w:rsidRPr="00FB2344">
        <w:rPr>
          <w:rFonts w:ascii="Times New Roman" w:hAnsi="Times New Roman" w:cs="Times New Roman"/>
          <w:sz w:val="24"/>
          <w:szCs w:val="24"/>
        </w:rPr>
        <w:t>The main functional groups appearing in the IR spectrum of CS are as follows: bending vibrations of C-O at 993.3, 1026.13, and 1072.04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stretching vibration of C-O-C at 1153.4 cm-1, bending vibration of C-N at 1217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stretching vibration of C-H in 1421.5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stretching vibrations of CH</w:t>
      </w:r>
      <w:r w:rsidRPr="00992B41">
        <w:rPr>
          <w:rFonts w:ascii="Times New Roman" w:hAnsi="Times New Roman" w:cs="Times New Roman"/>
          <w:sz w:val="24"/>
          <w:szCs w:val="24"/>
          <w:vertAlign w:val="subscript"/>
        </w:rPr>
        <w:t>2</w:t>
      </w:r>
      <w:r w:rsidRPr="00FB2344">
        <w:rPr>
          <w:rFonts w:ascii="Times New Roman" w:hAnsi="Times New Roman" w:cs="Times New Roman"/>
          <w:sz w:val="24"/>
          <w:szCs w:val="24"/>
        </w:rPr>
        <w:t>-OH, CH-OH, and C-H in 1381, 1641.4, 2862.3 and 2916.4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respectively. As the hydrogen bond is formed between the NH</w:t>
      </w:r>
      <w:r w:rsidRPr="00992B41">
        <w:rPr>
          <w:rFonts w:ascii="Times New Roman" w:hAnsi="Times New Roman" w:cs="Times New Roman"/>
          <w:sz w:val="24"/>
          <w:szCs w:val="24"/>
          <w:vertAlign w:val="subscript"/>
        </w:rPr>
        <w:t>2</w:t>
      </w:r>
      <w:r w:rsidRPr="00FB2344">
        <w:rPr>
          <w:rFonts w:ascii="Times New Roman" w:hAnsi="Times New Roman" w:cs="Times New Roman"/>
          <w:sz w:val="24"/>
          <w:szCs w:val="24"/>
        </w:rPr>
        <w:t xml:space="preserve"> and the O-H groups in chitosan, the resulting stretching absorptions appear in the range of 3307.3 to 3464.1 cm</w:t>
      </w:r>
      <w:r w:rsidRPr="00992B4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009B597F">
        <w:rPr>
          <w:rFonts w:ascii="Times New Roman" w:hAnsi="Times New Roman" w:cs="Times New Roman"/>
          <w:sz w:val="24"/>
          <w:szCs w:val="24"/>
          <w:vertAlign w:val="superscript"/>
        </w:rPr>
        <w:fldChar w:fldCharType="begin" w:fldLock="1"/>
      </w:r>
      <w:r w:rsidR="009B597F">
        <w:rPr>
          <w:rFonts w:ascii="Times New Roman" w:hAnsi="Times New Roman" w:cs="Times New Roman"/>
          <w:sz w:val="24"/>
          <w:szCs w:val="24"/>
          <w:vertAlign w:val="superscript"/>
        </w:rPr>
        <w:instrText>ADDIN CSL_CITATION {"citationItems":[{"id":"ITEM-1","itemData":{"DOI":"10.3390/md13010141","ISSN":"1660-3397","abstract":"Chitosan is widely used in the biomedical field due its chemical and pharmacological properties. However, intake of chitosan results in renal tissue accumulation of chitosan and promotes an increase in calcium excretion. On the other hand, the effect of chitosan on the formation of calcium oxalate crystals (CaOx) has not been described. In this work, we evaluated the antioxidant capacity of chitosan and its interference in the formation of CaOx crystals in vitro. Here, the chitosan obtained commercially had its identity confirmed by nuclear magnetic resonance and infrared spectroscopy. In several tests, this chitosan showed low or no antioxidant activity. However, it also showed excellent copper-chelating activity. In vitro, chitosan acted as an inducer mainly of monohydrate CaOx crystal formation, which is more prevalent in patients with urolithiasis. We also observed that chitosan modifies the morphology and size of these crystals, as well as changes the surface charge of the crystals, making them even more positive, which can facilitate the interaction of these crystals with renal cells. Chitosan greatly influences the formation of crystals in vitro, and in vivo analyses should be conducted to assess the risk of using chitosan.","author":[{"dropping-particle":"","family":"Fernandes Queiroz","given":"Moacir","non-dropping-particle":"","parse-names":false,"suffix":""},{"dropping-particle":"","family":"Melo","given":"Karoline","non-dropping-particle":"","parse-names":false,"suffix":""},{"dropping-particle":"","family":"Sabry","given":"Diego","non-dropping-particle":"","parse-names":false,"suffix":""},{"dropping-particle":"","family":"Sassaki","given":"Guilherme","non-dropping-particle":"","parse-names":false,"suffix":""},{"dropping-particle":"","family":"Rocha","given":"Hugo","non-dropping-particle":"","parse-names":false,"suffix":""}],"container-title":"Marine Drugs","id":"ITEM-1","issue":"1","issued":{"date-parts":[["2014","12","29"]]},"page":"141-158","title":"Does the Use of Chitosan Contribute to Oxalate Kidney Stone Formation?","type":"article-journal","volume":"13"},"uris":["http://www.mendeley.com/documents/?uuid=c0d3421b-e5aa-4610-b626-1c42cb1efd13"]}],"mendeley":{"formattedCitation":"(Fernandes Queiroz et al., 2014)","plainTextFormattedCitation":"(Fernandes Queiroz et al., 2014)","previouslyFormattedCitation":"(Fernandes Queiroz et al., 2014)"},"properties":{"noteIndex":0},"schema":"https://github.com/citation-style-language/schema/raw/master/csl-citation.json"}</w:instrText>
      </w:r>
      <w:r w:rsidR="009B597F">
        <w:rPr>
          <w:rFonts w:ascii="Times New Roman" w:hAnsi="Times New Roman" w:cs="Times New Roman"/>
          <w:sz w:val="24"/>
          <w:szCs w:val="24"/>
          <w:vertAlign w:val="superscript"/>
        </w:rPr>
        <w:fldChar w:fldCharType="separate"/>
      </w:r>
      <w:r w:rsidR="009B597F" w:rsidRPr="009B597F">
        <w:rPr>
          <w:rFonts w:ascii="Times New Roman" w:hAnsi="Times New Roman" w:cs="Times New Roman"/>
          <w:noProof/>
          <w:sz w:val="24"/>
          <w:szCs w:val="24"/>
        </w:rPr>
        <w:t>(Fernandes Queiroz et al., 2014)</w:t>
      </w:r>
      <w:r w:rsidR="009B597F">
        <w:rPr>
          <w:rFonts w:ascii="Times New Roman" w:hAnsi="Times New Roman" w:cs="Times New Roman"/>
          <w:sz w:val="24"/>
          <w:szCs w:val="24"/>
          <w:vertAlign w:val="superscript"/>
        </w:rPr>
        <w:fldChar w:fldCharType="end"/>
      </w:r>
      <w:r w:rsidR="00B47E1E">
        <w:rPr>
          <w:rFonts w:ascii="Times New Roman" w:hAnsi="Times New Roman" w:cs="Times New Roman"/>
          <w:sz w:val="24"/>
          <w:szCs w:val="24"/>
        </w:rPr>
        <w:t>.</w:t>
      </w:r>
    </w:p>
    <w:p w14:paraId="307A7334" w14:textId="7EBE2431" w:rsidR="00072BD4" w:rsidRPr="00FB2344" w:rsidRDefault="00072BD4" w:rsidP="00B47E1E">
      <w:pPr>
        <w:spacing w:after="0" w:line="480" w:lineRule="auto"/>
        <w:jc w:val="both"/>
        <w:rPr>
          <w:rFonts w:ascii="Times New Roman" w:hAnsi="Times New Roman" w:cs="Times New Roman"/>
          <w:sz w:val="24"/>
          <w:szCs w:val="24"/>
        </w:rPr>
      </w:pPr>
      <w:r w:rsidRPr="00FB2344">
        <w:rPr>
          <w:rFonts w:ascii="Times New Roman" w:hAnsi="Times New Roman" w:cs="Times New Roman"/>
          <w:sz w:val="24"/>
          <w:szCs w:val="24"/>
        </w:rPr>
        <w:lastRenderedPageBreak/>
        <w:t>In the FT-IR spectrum of PVA, the peak shown at 840.9 cm</w:t>
      </w:r>
      <w:r w:rsidRPr="00992B4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9237FC">
        <w:rPr>
          <w:rFonts w:ascii="Times New Roman" w:hAnsi="Times New Roman" w:cs="Times New Roman"/>
          <w:sz w:val="24"/>
          <w:szCs w:val="24"/>
        </w:rPr>
        <w:t>was assigned</w:t>
      </w:r>
      <w:r w:rsidRPr="00FB2344">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FB2344">
        <w:rPr>
          <w:rFonts w:ascii="Times New Roman" w:hAnsi="Times New Roman" w:cs="Times New Roman"/>
          <w:sz w:val="24"/>
          <w:szCs w:val="24"/>
        </w:rPr>
        <w:t>the symmetrical C-C stretching vibration. C-H bending vibration and C-O-C stretching vibration appeared at 947.4 and 1132.2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respectively. Also, vibrations at 10333.8, 1062.7, and 1109 cm</w:t>
      </w:r>
      <w:r w:rsidRPr="00992B4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were</w:t>
      </w:r>
      <w:r w:rsidRPr="00FB2344">
        <w:rPr>
          <w:rFonts w:ascii="Times New Roman" w:hAnsi="Times New Roman" w:cs="Times New Roman"/>
          <w:sz w:val="24"/>
          <w:szCs w:val="24"/>
        </w:rPr>
        <w:t xml:space="preserve"> related to C-O bending vibrations. The peaks shown in 1371.3 and 1427.3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xml:space="preserve"> </w:t>
      </w:r>
      <w:r>
        <w:rPr>
          <w:rFonts w:ascii="Times New Roman" w:hAnsi="Times New Roman" w:cs="Times New Roman"/>
          <w:sz w:val="24"/>
          <w:szCs w:val="24"/>
        </w:rPr>
        <w:t>were</w:t>
      </w:r>
      <w:r w:rsidRPr="00FB2344">
        <w:rPr>
          <w:rFonts w:ascii="Times New Roman" w:hAnsi="Times New Roman" w:cs="Times New Roman"/>
          <w:sz w:val="24"/>
          <w:szCs w:val="24"/>
        </w:rPr>
        <w:t xml:space="preserve"> attributed to the bending vibrations of the CH</w:t>
      </w:r>
      <w:r w:rsidRPr="00992B41">
        <w:rPr>
          <w:rFonts w:ascii="Times New Roman" w:hAnsi="Times New Roman" w:cs="Times New Roman"/>
          <w:sz w:val="24"/>
          <w:szCs w:val="24"/>
          <w:vertAlign w:val="subscript"/>
        </w:rPr>
        <w:t>2</w:t>
      </w:r>
      <w:r w:rsidRPr="00FB2344">
        <w:rPr>
          <w:rFonts w:ascii="Times New Roman" w:hAnsi="Times New Roman" w:cs="Times New Roman"/>
          <w:sz w:val="24"/>
          <w:szCs w:val="24"/>
        </w:rPr>
        <w:t xml:space="preserve"> group. The bending vibration and stretching vibr</w:t>
      </w:r>
      <w:r>
        <w:rPr>
          <w:rFonts w:ascii="Times New Roman" w:hAnsi="Times New Roman" w:cs="Times New Roman"/>
          <w:sz w:val="24"/>
          <w:szCs w:val="24"/>
        </w:rPr>
        <w:t>ation of O-H appeared in 1591.2</w:t>
      </w:r>
      <w:r w:rsidRPr="00FB2344">
        <w:rPr>
          <w:rFonts w:ascii="Times New Roman" w:hAnsi="Times New Roman" w:cs="Times New Roman"/>
          <w:sz w:val="24"/>
          <w:szCs w:val="24"/>
        </w:rPr>
        <w:t xml:space="preserve"> and 3332.9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respectively. Besides, C=C and C=O stretching vibrations can also be seen in 1651.9 and 1732.0 cm</w:t>
      </w:r>
      <w:r w:rsidRPr="00992B41">
        <w:rPr>
          <w:rFonts w:ascii="Times New Roman" w:hAnsi="Times New Roman" w:cs="Times New Roman"/>
          <w:sz w:val="24"/>
          <w:szCs w:val="24"/>
          <w:vertAlign w:val="superscript"/>
        </w:rPr>
        <w:t>-1</w:t>
      </w:r>
      <w:r w:rsidRPr="00FB2344">
        <w:rPr>
          <w:rFonts w:ascii="Times New Roman" w:hAnsi="Times New Roman" w:cs="Times New Roman"/>
          <w:sz w:val="24"/>
          <w:szCs w:val="24"/>
        </w:rPr>
        <w:t>, respectively</w:t>
      </w:r>
      <w:r w:rsidR="009B597F">
        <w:rPr>
          <w:rFonts w:ascii="Times New Roman" w:hAnsi="Times New Roman" w:cs="Times New Roman"/>
          <w:sz w:val="24"/>
          <w:szCs w:val="24"/>
        </w:rPr>
        <w:t xml:space="preserve"> </w:t>
      </w:r>
      <w:r w:rsidR="009B597F">
        <w:rPr>
          <w:rFonts w:ascii="Times New Roman" w:hAnsi="Times New Roman" w:cs="Times New Roman"/>
          <w:sz w:val="24"/>
          <w:szCs w:val="24"/>
        </w:rPr>
        <w:fldChar w:fldCharType="begin" w:fldLock="1"/>
      </w:r>
      <w:r w:rsidR="009B597F">
        <w:rPr>
          <w:rFonts w:ascii="Times New Roman" w:hAnsi="Times New Roman" w:cs="Times New Roman"/>
          <w:sz w:val="24"/>
          <w:szCs w:val="24"/>
        </w:rPr>
        <w:instrText>ADDIN CSL_CITATION {"citationItems":[{"id":"ITEM-1","itemData":{"DOI":"10.1016/j.ceramint.2014.01.058","ISSN":"02728842","author":[{"dropping-particle":"","family":"Uma Maheshwari","given":"Subramanian","non-dropping-particle":"","parse-names":false,"suffix":""},{"dropping-particle":"","family":"Samuel","given":"Vasanth Kumar","non-dropping-particle":"","parse-names":false,"suffix":""},{"dropping-particle":"","family":"Nagiah","given":"Naveen","non-dropping-particle":"","parse-names":false,"suffix":""}],"container-title":"Ceramics International","id":"ITEM-1","issue":"6","issued":{"date-parts":[["2014","7"]]},"page":"8469-8477","title":"Fabrication and evaluation of (PVA/HAp/PCL) bilayer composites as potential scaffolds for bone tissue regeneration application","type":"article-journal","volume":"40"},"uris":["http://www.mendeley.com/documents/?uuid=9d7e5d03-bd6b-4bad-adec-d14eac6077b8"]}],"mendeley":{"formattedCitation":"(Uma Maheshwari et al., 2014)","plainTextFormattedCitation":"(Uma Maheshwari et al., 2014)","previouslyFormattedCitation":"(Uma Maheshwari et al., 2014)"},"properties":{"noteIndex":0},"schema":"https://github.com/citation-style-language/schema/raw/master/csl-citation.json"}</w:instrText>
      </w:r>
      <w:r w:rsidR="009B597F">
        <w:rPr>
          <w:rFonts w:ascii="Times New Roman" w:hAnsi="Times New Roman" w:cs="Times New Roman"/>
          <w:sz w:val="24"/>
          <w:szCs w:val="24"/>
        </w:rPr>
        <w:fldChar w:fldCharType="separate"/>
      </w:r>
      <w:r w:rsidR="009B597F" w:rsidRPr="009B597F">
        <w:rPr>
          <w:rFonts w:ascii="Times New Roman" w:hAnsi="Times New Roman" w:cs="Times New Roman"/>
          <w:noProof/>
          <w:sz w:val="24"/>
          <w:szCs w:val="24"/>
        </w:rPr>
        <w:t>(Uma Maheshwari et al., 2014)</w:t>
      </w:r>
      <w:r w:rsidR="009B597F">
        <w:rPr>
          <w:rFonts w:ascii="Times New Roman" w:hAnsi="Times New Roman" w:cs="Times New Roman"/>
          <w:sz w:val="24"/>
          <w:szCs w:val="24"/>
        </w:rPr>
        <w:fldChar w:fldCharType="end"/>
      </w:r>
      <w:r w:rsidR="00B47E1E">
        <w:rPr>
          <w:rFonts w:ascii="Times New Roman" w:hAnsi="Times New Roman" w:cs="Times New Roman"/>
          <w:sz w:val="24"/>
          <w:szCs w:val="24"/>
        </w:rPr>
        <w:t>.</w:t>
      </w:r>
    </w:p>
    <w:p w14:paraId="624FCDCF" w14:textId="77777777" w:rsidR="00D13063" w:rsidRDefault="00D13063"/>
    <w:p w14:paraId="4B48C1B4" w14:textId="23780953" w:rsidR="00D13063" w:rsidRDefault="00D13063">
      <w:r w:rsidRPr="006D4140">
        <w:rPr>
          <w:rFonts w:ascii="Times New Roman" w:eastAsia="Calibri" w:hAnsi="Times New Roman" w:cs="Times New Roman"/>
          <w:iCs/>
          <w:noProof/>
          <w:color w:val="000000"/>
          <w:sz w:val="24"/>
          <w:szCs w:val="24"/>
        </w:rPr>
        <w:drawing>
          <wp:inline distT="0" distB="0" distL="0" distR="0" wp14:anchorId="4F0A8660" wp14:editId="61D1E6D1">
            <wp:extent cx="5505450" cy="3555468"/>
            <wp:effectExtent l="0" t="0" r="0" b="6985"/>
            <wp:docPr id="13" name="Picture 13" descr="C:\Users\Lenovo\Desktop\Collabrations\AA - For submission\6--Leila Almasi\newer\newer\Fig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ollabrations\AA - For submission\6--Leila Almasi\newer\newer\Fig 1.tif"/>
                    <pic:cNvPicPr>
                      <a:picLocks noChangeAspect="1" noChangeArrowheads="1"/>
                    </pic:cNvPicPr>
                  </pic:nvPicPr>
                  <pic:blipFill rotWithShape="1">
                    <a:blip r:embed="rId5">
                      <a:extLst>
                        <a:ext uri="{28A0092B-C50C-407E-A947-70E740481C1C}">
                          <a14:useLocalDpi xmlns:a14="http://schemas.microsoft.com/office/drawing/2010/main" val="0"/>
                        </a:ext>
                      </a:extLst>
                    </a:blip>
                    <a:srcRect l="808" t="3269" r="1488" b="2631"/>
                    <a:stretch/>
                  </pic:blipFill>
                  <pic:spPr bwMode="auto">
                    <a:xfrm>
                      <a:off x="0" y="0"/>
                      <a:ext cx="5506086" cy="3555879"/>
                    </a:xfrm>
                    <a:prstGeom prst="rect">
                      <a:avLst/>
                    </a:prstGeom>
                    <a:noFill/>
                    <a:ln>
                      <a:noFill/>
                    </a:ln>
                    <a:extLst>
                      <a:ext uri="{53640926-AAD7-44D8-BBD7-CCE9431645EC}">
                        <a14:shadowObscured xmlns:a14="http://schemas.microsoft.com/office/drawing/2010/main"/>
                      </a:ext>
                    </a:extLst>
                  </pic:spPr>
                </pic:pic>
              </a:graphicData>
            </a:graphic>
          </wp:inline>
        </w:drawing>
      </w:r>
    </w:p>
    <w:p w14:paraId="33949C94" w14:textId="4AB9DEBD" w:rsidR="00D13063" w:rsidRDefault="00072BD4">
      <w:pPr>
        <w:rPr>
          <w:rFonts w:ascii="Times New Roman" w:hAnsi="Times New Roman" w:cs="Times New Roman"/>
          <w:sz w:val="24"/>
          <w:szCs w:val="24"/>
        </w:rPr>
      </w:pPr>
      <w:r>
        <w:rPr>
          <w:rFonts w:ascii="Times New Roman" w:hAnsi="Times New Roman" w:cs="Times New Roman"/>
          <w:b/>
          <w:sz w:val="24"/>
          <w:szCs w:val="24"/>
        </w:rPr>
        <w:t>Supplementary Figure</w:t>
      </w:r>
      <w:r w:rsidR="009B597F">
        <w:rPr>
          <w:rFonts w:ascii="Times New Roman" w:hAnsi="Times New Roman" w:cs="Times New Roman"/>
          <w:b/>
          <w:sz w:val="24"/>
          <w:szCs w:val="24"/>
        </w:rPr>
        <w:t xml:space="preserve"> 1</w:t>
      </w:r>
      <w:r w:rsidR="00D13063" w:rsidRPr="00992B41">
        <w:rPr>
          <w:rFonts w:ascii="Times New Roman" w:hAnsi="Times New Roman" w:cs="Times New Roman"/>
          <w:b/>
          <w:sz w:val="24"/>
          <w:szCs w:val="24"/>
        </w:rPr>
        <w:t>.</w:t>
      </w:r>
      <w:r w:rsidR="00D13063" w:rsidRPr="00FB2344">
        <w:rPr>
          <w:rFonts w:ascii="Times New Roman" w:hAnsi="Times New Roman" w:cs="Times New Roman"/>
          <w:sz w:val="24"/>
          <w:szCs w:val="24"/>
        </w:rPr>
        <w:t xml:space="preserve"> FT-IR </w:t>
      </w:r>
      <w:r w:rsidR="00D13063">
        <w:rPr>
          <w:rFonts w:ascii="Times New Roman" w:hAnsi="Times New Roman" w:cs="Times New Roman"/>
          <w:sz w:val="24"/>
          <w:szCs w:val="24"/>
        </w:rPr>
        <w:t xml:space="preserve">spectra </w:t>
      </w:r>
      <w:r w:rsidR="00D13063" w:rsidRPr="00FB2344">
        <w:rPr>
          <w:rFonts w:ascii="Times New Roman" w:hAnsi="Times New Roman" w:cs="Times New Roman"/>
          <w:sz w:val="24"/>
          <w:szCs w:val="24"/>
        </w:rPr>
        <w:t>of polymers and polymer + extract, PEO, CS, and PVA.</w:t>
      </w:r>
    </w:p>
    <w:p w14:paraId="6955037E" w14:textId="77777777" w:rsidR="009B597F" w:rsidRDefault="009B597F">
      <w:pPr>
        <w:rPr>
          <w:rFonts w:ascii="Times New Roman" w:hAnsi="Times New Roman" w:cs="Times New Roman"/>
          <w:b/>
          <w:sz w:val="24"/>
          <w:szCs w:val="24"/>
        </w:rPr>
      </w:pPr>
      <w:r>
        <w:rPr>
          <w:rFonts w:ascii="Times New Roman" w:hAnsi="Times New Roman" w:cs="Times New Roman"/>
          <w:b/>
          <w:sz w:val="24"/>
          <w:szCs w:val="24"/>
        </w:rPr>
        <w:br w:type="page"/>
      </w:r>
    </w:p>
    <w:p w14:paraId="57A2E501" w14:textId="05364167" w:rsidR="009B597F" w:rsidRDefault="009B597F">
      <w:pPr>
        <w:rPr>
          <w:rFonts w:ascii="Times New Roman" w:hAnsi="Times New Roman" w:cs="Times New Roman"/>
          <w:b/>
          <w:sz w:val="24"/>
          <w:szCs w:val="24"/>
        </w:rPr>
      </w:pPr>
      <w:r w:rsidRPr="009B597F">
        <w:rPr>
          <w:rFonts w:ascii="Times New Roman" w:hAnsi="Times New Roman" w:cs="Times New Roman"/>
          <w:b/>
          <w:sz w:val="24"/>
          <w:szCs w:val="24"/>
        </w:rPr>
        <w:lastRenderedPageBreak/>
        <w:t>References</w:t>
      </w:r>
    </w:p>
    <w:p w14:paraId="129A45AE" w14:textId="71F48F45" w:rsidR="009B597F" w:rsidRPr="009B597F" w:rsidRDefault="009B597F" w:rsidP="009B597F">
      <w:pPr>
        <w:widowControl w:val="0"/>
        <w:autoSpaceDE w:val="0"/>
        <w:autoSpaceDN w:val="0"/>
        <w:adjustRightInd w:val="0"/>
        <w:spacing w:line="240" w:lineRule="auto"/>
        <w:ind w:left="480" w:hanging="480"/>
        <w:rPr>
          <w:rFonts w:ascii="Times New Roman" w:hAnsi="Times New Roman" w:cs="Times New Roman"/>
          <w:noProof/>
          <w:sz w:val="24"/>
          <w:szCs w:val="24"/>
        </w:rPr>
      </w:pPr>
      <w:r w:rsidRPr="009B597F">
        <w:rPr>
          <w:rFonts w:ascii="Times New Roman" w:hAnsi="Times New Roman" w:cs="Times New Roman"/>
          <w:b/>
          <w:sz w:val="24"/>
        </w:rPr>
        <w:fldChar w:fldCharType="begin" w:fldLock="1"/>
      </w:r>
      <w:r w:rsidRPr="009B597F">
        <w:rPr>
          <w:rFonts w:ascii="Times New Roman" w:hAnsi="Times New Roman" w:cs="Times New Roman"/>
          <w:b/>
          <w:sz w:val="24"/>
        </w:rPr>
        <w:instrText xml:space="preserve">ADDIN Mendeley Bibliography CSL_BIBLIOGRAPHY </w:instrText>
      </w:r>
      <w:r w:rsidRPr="009B597F">
        <w:rPr>
          <w:rFonts w:ascii="Times New Roman" w:hAnsi="Times New Roman" w:cs="Times New Roman"/>
          <w:b/>
          <w:sz w:val="24"/>
        </w:rPr>
        <w:fldChar w:fldCharType="separate"/>
      </w:r>
      <w:r w:rsidRPr="009B597F">
        <w:rPr>
          <w:rFonts w:ascii="Times New Roman" w:hAnsi="Times New Roman" w:cs="Times New Roman"/>
          <w:noProof/>
          <w:sz w:val="24"/>
          <w:szCs w:val="24"/>
        </w:rPr>
        <w:t xml:space="preserve">Farea, M. O., Abdelghany, A. M., Meikhail, M. S., and Oraby, A. H. (2020). Effect of cesium bromide on the structural, optical, thermal and electrical properties of polyvinyl alcohol and polyethylene oxide. </w:t>
      </w:r>
      <w:r w:rsidRPr="009B597F">
        <w:rPr>
          <w:rFonts w:ascii="Times New Roman" w:hAnsi="Times New Roman" w:cs="Times New Roman"/>
          <w:i/>
          <w:iCs/>
          <w:noProof/>
          <w:sz w:val="24"/>
          <w:szCs w:val="24"/>
        </w:rPr>
        <w:t>J. Mater. Res. Technol.</w:t>
      </w:r>
      <w:r w:rsidRPr="009B597F">
        <w:rPr>
          <w:rFonts w:ascii="Times New Roman" w:hAnsi="Times New Roman" w:cs="Times New Roman"/>
          <w:noProof/>
          <w:sz w:val="24"/>
          <w:szCs w:val="24"/>
        </w:rPr>
        <w:t xml:space="preserve"> 9, 1530–1538. doi: 10.1016/j.jmrt.2019.11.078</w:t>
      </w:r>
    </w:p>
    <w:p w14:paraId="436FEE51" w14:textId="77777777" w:rsidR="009B597F" w:rsidRPr="009B597F" w:rsidRDefault="009B597F" w:rsidP="009B597F">
      <w:pPr>
        <w:widowControl w:val="0"/>
        <w:autoSpaceDE w:val="0"/>
        <w:autoSpaceDN w:val="0"/>
        <w:adjustRightInd w:val="0"/>
        <w:spacing w:line="240" w:lineRule="auto"/>
        <w:ind w:left="480" w:hanging="480"/>
        <w:rPr>
          <w:rFonts w:ascii="Times New Roman" w:hAnsi="Times New Roman" w:cs="Times New Roman"/>
          <w:noProof/>
          <w:sz w:val="24"/>
          <w:szCs w:val="24"/>
        </w:rPr>
      </w:pPr>
      <w:r w:rsidRPr="009B597F">
        <w:rPr>
          <w:rFonts w:ascii="Times New Roman" w:hAnsi="Times New Roman" w:cs="Times New Roman"/>
          <w:noProof/>
          <w:sz w:val="24"/>
          <w:szCs w:val="24"/>
        </w:rPr>
        <w:t xml:space="preserve">Fernandes Queiroz, M., Melo, K., Sabry, D., Sassaki, G., and Rocha, H. (2014). Does the Use of Chitosan Contribute to Oxalate Kidney Stone Formation? </w:t>
      </w:r>
      <w:r w:rsidRPr="009B597F">
        <w:rPr>
          <w:rFonts w:ascii="Times New Roman" w:hAnsi="Times New Roman" w:cs="Times New Roman"/>
          <w:i/>
          <w:iCs/>
          <w:noProof/>
          <w:sz w:val="24"/>
          <w:szCs w:val="24"/>
        </w:rPr>
        <w:t>Mar. Drugs</w:t>
      </w:r>
      <w:r w:rsidRPr="009B597F">
        <w:rPr>
          <w:rFonts w:ascii="Times New Roman" w:hAnsi="Times New Roman" w:cs="Times New Roman"/>
          <w:noProof/>
          <w:sz w:val="24"/>
          <w:szCs w:val="24"/>
        </w:rPr>
        <w:t xml:space="preserve"> 13, 141–158. doi: 10.3390/md13010141</w:t>
      </w:r>
    </w:p>
    <w:p w14:paraId="3816658E" w14:textId="77777777" w:rsidR="009B597F" w:rsidRPr="009B597F" w:rsidRDefault="009B597F" w:rsidP="009B597F">
      <w:pPr>
        <w:widowControl w:val="0"/>
        <w:autoSpaceDE w:val="0"/>
        <w:autoSpaceDN w:val="0"/>
        <w:adjustRightInd w:val="0"/>
        <w:spacing w:line="240" w:lineRule="auto"/>
        <w:ind w:left="480" w:hanging="480"/>
        <w:rPr>
          <w:rFonts w:ascii="Times New Roman" w:hAnsi="Times New Roman" w:cs="Times New Roman"/>
          <w:noProof/>
          <w:sz w:val="24"/>
        </w:rPr>
      </w:pPr>
      <w:r w:rsidRPr="009B597F">
        <w:rPr>
          <w:rFonts w:ascii="Times New Roman" w:hAnsi="Times New Roman" w:cs="Times New Roman"/>
          <w:noProof/>
          <w:sz w:val="24"/>
          <w:szCs w:val="24"/>
        </w:rPr>
        <w:t xml:space="preserve">Uma Maheshwari, S., Samuel, V. K., and Nagiah, N. (2014). Fabrication and evaluation of (PVA/HAp/PCL) bilayer composites as potential scaffolds for bone tissue regeneration application. </w:t>
      </w:r>
      <w:r w:rsidRPr="009B597F">
        <w:rPr>
          <w:rFonts w:ascii="Times New Roman" w:hAnsi="Times New Roman" w:cs="Times New Roman"/>
          <w:i/>
          <w:iCs/>
          <w:noProof/>
          <w:sz w:val="24"/>
          <w:szCs w:val="24"/>
        </w:rPr>
        <w:t>Ceram. Int.</w:t>
      </w:r>
      <w:r w:rsidRPr="009B597F">
        <w:rPr>
          <w:rFonts w:ascii="Times New Roman" w:hAnsi="Times New Roman" w:cs="Times New Roman"/>
          <w:noProof/>
          <w:sz w:val="24"/>
          <w:szCs w:val="24"/>
        </w:rPr>
        <w:t xml:space="preserve"> 40, 8469–8477. doi: 10.1016/j.ceramint.2014.01.058</w:t>
      </w:r>
    </w:p>
    <w:p w14:paraId="0D77BA5A" w14:textId="4E42C10B" w:rsidR="009B597F" w:rsidRPr="009B597F" w:rsidRDefault="009B597F">
      <w:pPr>
        <w:rPr>
          <w:b/>
        </w:rPr>
      </w:pPr>
      <w:r w:rsidRPr="009B597F">
        <w:rPr>
          <w:rFonts w:ascii="Times New Roman" w:hAnsi="Times New Roman" w:cs="Times New Roman"/>
          <w:b/>
          <w:sz w:val="24"/>
        </w:rPr>
        <w:fldChar w:fldCharType="end"/>
      </w:r>
    </w:p>
    <w:sectPr w:rsidR="009B597F" w:rsidRPr="009B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7Q0szAwNzOxNLU0MTNX0lEKTi0uzszPAykwrAUA/nWefiwAAAA="/>
  </w:docVars>
  <w:rsids>
    <w:rsidRoot w:val="00D13063"/>
    <w:rsid w:val="00072BD4"/>
    <w:rsid w:val="00080695"/>
    <w:rsid w:val="0016175C"/>
    <w:rsid w:val="002A07F4"/>
    <w:rsid w:val="0043777E"/>
    <w:rsid w:val="006416A3"/>
    <w:rsid w:val="0074410A"/>
    <w:rsid w:val="009B597F"/>
    <w:rsid w:val="00A11F3F"/>
    <w:rsid w:val="00B47E1E"/>
    <w:rsid w:val="00C82BE5"/>
    <w:rsid w:val="00D13063"/>
    <w:rsid w:val="00DD5171"/>
    <w:rsid w:val="00F57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E0C9F"/>
  <w15:chartTrackingRefBased/>
  <w15:docId w15:val="{CC2F68A0-FD62-4F12-A10D-74C1D109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13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13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1306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1306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1306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130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30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30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30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306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1306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1306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1306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1306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130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30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30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3063"/>
    <w:rPr>
      <w:rFonts w:eastAsiaTheme="majorEastAsia" w:cstheme="majorBidi"/>
      <w:color w:val="272727" w:themeColor="text1" w:themeTint="D8"/>
    </w:rPr>
  </w:style>
  <w:style w:type="paragraph" w:styleId="Ttulo">
    <w:name w:val="Title"/>
    <w:basedOn w:val="Normal"/>
    <w:next w:val="Normal"/>
    <w:link w:val="TtuloCar"/>
    <w:uiPriority w:val="10"/>
    <w:qFormat/>
    <w:rsid w:val="00D13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30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30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30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3063"/>
    <w:pPr>
      <w:spacing w:before="160"/>
      <w:jc w:val="center"/>
    </w:pPr>
    <w:rPr>
      <w:i/>
      <w:iCs/>
      <w:color w:val="404040" w:themeColor="text1" w:themeTint="BF"/>
    </w:rPr>
  </w:style>
  <w:style w:type="character" w:customStyle="1" w:styleId="CitaCar">
    <w:name w:val="Cita Car"/>
    <w:basedOn w:val="Fuentedeprrafopredeter"/>
    <w:link w:val="Cita"/>
    <w:uiPriority w:val="29"/>
    <w:rsid w:val="00D13063"/>
    <w:rPr>
      <w:i/>
      <w:iCs/>
      <w:color w:val="404040" w:themeColor="text1" w:themeTint="BF"/>
    </w:rPr>
  </w:style>
  <w:style w:type="paragraph" w:styleId="Prrafodelista">
    <w:name w:val="List Paragraph"/>
    <w:basedOn w:val="Normal"/>
    <w:uiPriority w:val="34"/>
    <w:qFormat/>
    <w:rsid w:val="00D13063"/>
    <w:pPr>
      <w:ind w:left="720"/>
      <w:contextualSpacing/>
    </w:pPr>
  </w:style>
  <w:style w:type="character" w:styleId="nfasisintenso">
    <w:name w:val="Intense Emphasis"/>
    <w:basedOn w:val="Fuentedeprrafopredeter"/>
    <w:uiPriority w:val="21"/>
    <w:qFormat/>
    <w:rsid w:val="00D13063"/>
    <w:rPr>
      <w:i/>
      <w:iCs/>
      <w:color w:val="2F5496" w:themeColor="accent1" w:themeShade="BF"/>
    </w:rPr>
  </w:style>
  <w:style w:type="paragraph" w:styleId="Citadestacada">
    <w:name w:val="Intense Quote"/>
    <w:basedOn w:val="Normal"/>
    <w:next w:val="Normal"/>
    <w:link w:val="CitadestacadaCar"/>
    <w:uiPriority w:val="30"/>
    <w:qFormat/>
    <w:rsid w:val="00D13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13063"/>
    <w:rPr>
      <w:i/>
      <w:iCs/>
      <w:color w:val="2F5496" w:themeColor="accent1" w:themeShade="BF"/>
    </w:rPr>
  </w:style>
  <w:style w:type="character" w:styleId="Referenciaintensa">
    <w:name w:val="Intense Reference"/>
    <w:basedOn w:val="Fuentedeprrafopredeter"/>
    <w:uiPriority w:val="32"/>
    <w:qFormat/>
    <w:rsid w:val="00D13063"/>
    <w:rPr>
      <w:b/>
      <w:bCs/>
      <w:smallCaps/>
      <w:color w:val="2F5496" w:themeColor="accent1" w:themeShade="BF"/>
      <w:spacing w:val="5"/>
    </w:rPr>
  </w:style>
  <w:style w:type="character" w:styleId="Refdecomentario">
    <w:name w:val="annotation reference"/>
    <w:basedOn w:val="Fuentedeprrafopredeter"/>
    <w:uiPriority w:val="99"/>
    <w:semiHidden/>
    <w:unhideWhenUsed/>
    <w:rsid w:val="0016175C"/>
    <w:rPr>
      <w:sz w:val="16"/>
      <w:szCs w:val="16"/>
    </w:rPr>
  </w:style>
  <w:style w:type="paragraph" w:styleId="Textocomentario">
    <w:name w:val="annotation text"/>
    <w:basedOn w:val="Normal"/>
    <w:link w:val="TextocomentarioCar"/>
    <w:uiPriority w:val="99"/>
    <w:semiHidden/>
    <w:unhideWhenUsed/>
    <w:rsid w:val="001617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175C"/>
    <w:rPr>
      <w:sz w:val="20"/>
      <w:szCs w:val="20"/>
    </w:rPr>
  </w:style>
  <w:style w:type="paragraph" w:styleId="Asuntodelcomentario">
    <w:name w:val="annotation subject"/>
    <w:basedOn w:val="Textocomentario"/>
    <w:next w:val="Textocomentario"/>
    <w:link w:val="AsuntodelcomentarioCar"/>
    <w:uiPriority w:val="99"/>
    <w:semiHidden/>
    <w:unhideWhenUsed/>
    <w:rsid w:val="0016175C"/>
    <w:rPr>
      <w:b/>
      <w:bCs/>
    </w:rPr>
  </w:style>
  <w:style w:type="character" w:customStyle="1" w:styleId="AsuntodelcomentarioCar">
    <w:name w:val="Asunto del comentario Car"/>
    <w:basedOn w:val="TextocomentarioCar"/>
    <w:link w:val="Asuntodelcomentario"/>
    <w:uiPriority w:val="99"/>
    <w:semiHidden/>
    <w:rsid w:val="0016175C"/>
    <w:rPr>
      <w:b/>
      <w:bCs/>
      <w:sz w:val="20"/>
      <w:szCs w:val="20"/>
    </w:rPr>
  </w:style>
  <w:style w:type="paragraph" w:styleId="Textodeglobo">
    <w:name w:val="Balloon Text"/>
    <w:basedOn w:val="Normal"/>
    <w:link w:val="TextodegloboCar"/>
    <w:uiPriority w:val="99"/>
    <w:semiHidden/>
    <w:unhideWhenUsed/>
    <w:rsid w:val="001617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75C"/>
    <w:rPr>
      <w:rFonts w:ascii="Segoe UI" w:hAnsi="Segoe UI" w:cs="Segoe UI"/>
      <w:sz w:val="18"/>
      <w:szCs w:val="18"/>
    </w:rPr>
  </w:style>
  <w:style w:type="character" w:customStyle="1" w:styleId="id-label">
    <w:name w:val="id-label"/>
    <w:basedOn w:val="Fuentedeprrafopredeter"/>
    <w:rsid w:val="00B47E1E"/>
  </w:style>
  <w:style w:type="character" w:styleId="Textoennegrita">
    <w:name w:val="Strong"/>
    <w:basedOn w:val="Fuentedeprrafopredeter"/>
    <w:uiPriority w:val="22"/>
    <w:qFormat/>
    <w:rsid w:val="00B47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E46FF-B149-44D7-862F-09AD5602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1300</Words>
  <Characters>7307</Characters>
  <Application>Microsoft Office Word</Application>
  <DocSecurity>0</DocSecurity>
  <Lines>117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Faranak Aghaz</dc:creator>
  <cp:keywords/>
  <dc:description/>
  <cp:lastModifiedBy>Javier Echeverria</cp:lastModifiedBy>
  <cp:revision>5</cp:revision>
  <dcterms:created xsi:type="dcterms:W3CDTF">2024-12-27T07:30:00Z</dcterms:created>
  <dcterms:modified xsi:type="dcterms:W3CDTF">2025-01-10T17:34:00Z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3341918d-9d6d-4bab-9ed6-afa5faf24833</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http://www.zotero.org/styles/food-bioscience</vt:lpwstr>
  </property>
  <property fmtid="{D5CDD505-2E9C-101B-9397-08002B2CF9AE}" pid="10" name="Mendeley Recent Style Name 3_1">
    <vt:lpwstr>Food Bioscience</vt:lpwstr>
  </property>
  <property fmtid="{D5CDD505-2E9C-101B-9397-08002B2CF9AE}" pid="11" name="Mendeley Recent Style Id 4_1">
    <vt:lpwstr>http://www.zotero.org/styles/frontiers-in-pharmacology</vt:lpwstr>
  </property>
  <property fmtid="{D5CDD505-2E9C-101B-9397-08002B2CF9AE}" pid="12" name="Mendeley Recent Style Name 4_1">
    <vt:lpwstr>Frontiers in Pharmacology</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http://www.zotero.org/styles/journal-of-ethnopharmacology</vt:lpwstr>
  </property>
  <property fmtid="{D5CDD505-2E9C-101B-9397-08002B2CF9AE}" pid="16" name="Mendeley Recent Style Name 6_1">
    <vt:lpwstr>Journal of Ethnopharmacology</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http://www.zotero.org/styles/phytomedicine</vt:lpwstr>
  </property>
  <property fmtid="{D5CDD505-2E9C-101B-9397-08002B2CF9AE}" pid="20" name="Mendeley Recent Style Name 8_1">
    <vt:lpwstr>Phytomedicine</vt:lpwstr>
  </property>
  <property fmtid="{D5CDD505-2E9C-101B-9397-08002B2CF9AE}" pid="21" name="Mendeley Recent Style Id 9_1">
    <vt:lpwstr>http://www.zotero.org/styles/science</vt:lpwstr>
  </property>
  <property fmtid="{D5CDD505-2E9C-101B-9397-08002B2CF9AE}" pid="22" name="Mendeley Recent Style Name 9_1">
    <vt:lpwstr>Science</vt:lpwstr>
  </property>
  <property fmtid="{D5CDD505-2E9C-101B-9397-08002B2CF9AE}" pid="23" name="Mendeley Document_1">
    <vt:lpwstr>True</vt:lpwstr>
  </property>
  <property fmtid="{D5CDD505-2E9C-101B-9397-08002B2CF9AE}" pid="24" name="Mendeley Unique User Id_1">
    <vt:lpwstr>da420c7b-d7f0-3111-aca3-e6f384b660f3</vt:lpwstr>
  </property>
  <property fmtid="{D5CDD505-2E9C-101B-9397-08002B2CF9AE}" pid="25" name="Mendeley Citation Style_1">
    <vt:lpwstr>http://www.zotero.org/styles/frontiers-in-pharmacology</vt:lpwstr>
  </property>
</Properties>
</file>