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F5BDF8">
      <w:pPr>
        <w:pStyle w:val="11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Supplementary Material</w:t>
      </w:r>
    </w:p>
    <w:p w14:paraId="4C85C309">
      <w:r>
        <w:rPr>
          <w:rFonts w:hint="eastAsia" w:ascii="Times New Roman" w:hAnsi="Times New Roman"/>
          <w:b/>
          <w:bCs/>
          <w:sz w:val="24"/>
        </w:rPr>
        <w:t>Updates from a single-center phase 2 study of PD-1 inhibitor combined with hypomethylating agent plus CAG regimen in patients with relapsed/refractory acute myeloid leukemia</w:t>
      </w:r>
    </w:p>
    <w:p w14:paraId="4298187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FF08D03">
      <w:pPr>
        <w:spacing w:before="240" w:after="240"/>
        <w:outlineLvl w:val="0"/>
        <w:rPr>
          <w:rFonts w:ascii="Times New Roman" w:hAnsi="Times New Roman" w:eastAsia="Cambria" w:cs="Times New Roman"/>
          <w:b/>
          <w:sz w:val="24"/>
          <w:lang w:eastAsia="en-US"/>
        </w:rPr>
      </w:pPr>
      <w:bookmarkStart w:id="0" w:name="_Hlk176681781"/>
      <w:r>
        <w:rPr>
          <w:rFonts w:ascii="Times New Roman" w:hAnsi="Times New Roman" w:eastAsia="Cambria" w:cs="Times New Roman"/>
          <w:b/>
          <w:sz w:val="24"/>
          <w:lang w:eastAsia="en-US"/>
        </w:rPr>
        <w:t>Supplementary Figures and Tables</w:t>
      </w:r>
    </w:p>
    <w:p w14:paraId="2A5E93DE">
      <w:pPr>
        <w:spacing w:before="240" w:after="240"/>
        <w:outlineLvl w:val="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 xml:space="preserve">1.1  </w:t>
      </w:r>
      <w:r>
        <w:rPr>
          <w:rFonts w:ascii="Times New Roman" w:hAnsi="Times New Roman" w:eastAsia="Cambria" w:cs="Times New Roman"/>
          <w:b/>
          <w:sz w:val="24"/>
          <w:lang w:eastAsia="en-US"/>
        </w:rPr>
        <w:t>Supplementary Tables</w:t>
      </w:r>
    </w:p>
    <w:p w14:paraId="095B7515">
      <w:pPr>
        <w:autoSpaceDE w:val="0"/>
        <w:autoSpaceDN w:val="0"/>
        <w:spacing w:before="100" w:beforeAutospacing="1"/>
        <w:contextualSpacing/>
        <w:rPr>
          <w:rFonts w:ascii="Times New Roman" w:hAnsi="Times New Roman" w:eastAsia="宋体" w:cs="Times New Roman"/>
          <w:bCs/>
          <w:color w:val="000000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  <w:t>Supplementary</w:t>
      </w:r>
      <w:bookmarkEnd w:id="0"/>
      <w: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  <w:t xml:space="preserve"> Table 1</w:t>
      </w:r>
      <w:r>
        <w:rPr>
          <w:rFonts w:ascii="Times New Roman" w:hAnsi="Times New Roman" w:eastAsia="宋体" w:cs="Times New Roman"/>
          <w:bCs/>
          <w:color w:val="000000"/>
          <w:szCs w:val="21"/>
          <w:shd w:val="clear" w:color="auto" w:fill="FFFFFF"/>
        </w:rPr>
        <w:t xml:space="preserve"> Baseline characteristics of patients with AML 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shd w:val="clear" w:color="auto" w:fill="FFFFFF"/>
        </w:rPr>
        <w:t>in</w:t>
      </w:r>
      <w:r>
        <w:rPr>
          <w:rFonts w:ascii="Times New Roman" w:hAnsi="Times New Roman" w:eastAsia="宋体" w:cs="Times New Roman"/>
          <w:bCs/>
          <w:color w:val="000000"/>
          <w:szCs w:val="21"/>
          <w:shd w:val="clear" w:color="auto" w:fill="FFFFFF"/>
        </w:rPr>
        <w:t xml:space="preserve"> propensity score matched subgroup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shd w:val="clear" w:color="auto" w:fill="FFFFFF"/>
        </w:rPr>
        <w:t>s</w:t>
      </w:r>
    </w:p>
    <w:tbl>
      <w:tblPr>
        <w:tblStyle w:val="6"/>
        <w:tblpPr w:leftFromText="180" w:rightFromText="180" w:vertAnchor="text" w:horzAnchor="margin" w:tblpY="93"/>
        <w:tblW w:w="5000" w:type="pct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1403"/>
        <w:gridCol w:w="1488"/>
        <w:gridCol w:w="1335"/>
        <w:gridCol w:w="863"/>
      </w:tblGrid>
      <w:tr w14:paraId="14FEE2A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vMerge w:val="restart"/>
            <w:tcBorders>
              <w:top w:val="single" w:color="000000" w:themeColor="text1" w:sz="8" w:space="0"/>
              <w:left w:val="nil"/>
              <w:right w:val="nil"/>
            </w:tcBorders>
            <w:shd w:val="clear" w:color="auto" w:fill="FFFFFF"/>
            <w:vAlign w:val="center"/>
          </w:tcPr>
          <w:p w14:paraId="14A75A68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Variable</w:t>
            </w:r>
          </w:p>
        </w:tc>
        <w:tc>
          <w:tcPr>
            <w:tcW w:w="2985" w:type="pct"/>
            <w:gridSpan w:val="4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73440EF6">
            <w:pPr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Propensity score matched subgroup</w:t>
            </w:r>
          </w:p>
        </w:tc>
      </w:tr>
      <w:tr w14:paraId="618E119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vMerge w:val="continue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11495704">
            <w:pPr>
              <w:tabs>
                <w:tab w:val="left" w:pos="790"/>
              </w:tabs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23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459BF916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Total</w:t>
            </w:r>
          </w:p>
        </w:tc>
        <w:tc>
          <w:tcPr>
            <w:tcW w:w="873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0BAFA985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shd w:val="clear" w:color="auto" w:fill="FFFFFF"/>
              </w:rPr>
              <w:t xml:space="preserve">Tislelizumab </w:t>
            </w:r>
            <w:r>
              <w:rPr>
                <w:rFonts w:hint="eastAsia" w:ascii="Times New Roman" w:hAnsi="Times New Roman" w:cs="Times New Roman"/>
                <w:szCs w:val="21"/>
              </w:rPr>
              <w:t>+ HMA + CAG</w:t>
            </w:r>
          </w:p>
        </w:tc>
        <w:tc>
          <w:tcPr>
            <w:tcW w:w="783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6D0715B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HMA + CAG</w:t>
            </w:r>
          </w:p>
        </w:tc>
        <w:tc>
          <w:tcPr>
            <w:tcW w:w="505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43D871AF">
            <w:pPr>
              <w:jc w:val="left"/>
              <w:rPr>
                <w:rFonts w:ascii="Times New Roman" w:hAnsi="Times New Roman" w:eastAsia="宋体" w:cs="Times New Roman"/>
                <w:bCs/>
                <w:i/>
                <w:i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i/>
                <w:iCs/>
                <w:color w:val="000000"/>
                <w:szCs w:val="21"/>
                <w:shd w:val="clear" w:color="auto" w:fill="FFFFFF"/>
              </w:rPr>
              <w:t>P</w:t>
            </w: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 xml:space="preserve"> value</w:t>
            </w:r>
          </w:p>
        </w:tc>
      </w:tr>
      <w:tr w14:paraId="4A0FB40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</w:tcPr>
          <w:p w14:paraId="22452DCA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Total number of patients</w:t>
            </w:r>
          </w:p>
        </w:tc>
        <w:tc>
          <w:tcPr>
            <w:tcW w:w="823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FA5BC0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68</w:t>
            </w:r>
          </w:p>
        </w:tc>
        <w:tc>
          <w:tcPr>
            <w:tcW w:w="873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9EA585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24</w:t>
            </w:r>
          </w:p>
        </w:tc>
        <w:tc>
          <w:tcPr>
            <w:tcW w:w="783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40D82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</w:t>
            </w:r>
          </w:p>
        </w:tc>
        <w:tc>
          <w:tcPr>
            <w:tcW w:w="505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20FAB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7A83B83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79CD5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Style w:val="8"/>
                <w:rFonts w:eastAsia="宋体"/>
                <w:i w:val="0"/>
                <w:iCs w:val="0"/>
                <w:sz w:val="21"/>
                <w:szCs w:val="21"/>
                <w:lang w:bidi="ar"/>
              </w:rPr>
              <w:t>Age, median, years</w:t>
            </w:r>
            <w:r>
              <w:rPr>
                <w:rStyle w:val="8"/>
                <w:rFonts w:hint="eastAsia" w:eastAsia="宋体"/>
                <w:i w:val="0"/>
                <w:iCs w:val="0"/>
                <w:sz w:val="21"/>
                <w:szCs w:val="21"/>
                <w:lang w:bidi="ar"/>
              </w:rPr>
              <w:t xml:space="preserve"> (range)</w:t>
            </w:r>
            <w:r>
              <w:rPr>
                <w:rStyle w:val="8"/>
                <w:rFonts w:eastAsia="宋体"/>
                <w:i w:val="0"/>
                <w:iCs w:val="0"/>
                <w:sz w:val="21"/>
                <w:szCs w:val="21"/>
                <w:lang w:bidi="ar"/>
              </w:rPr>
              <w:t xml:space="preserve"> 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C6E694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 (12 - 79)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8BE84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 (18 - 71)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01A67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44 (12 - 79)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5B2ABF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0.664</w:t>
            </w:r>
          </w:p>
        </w:tc>
      </w:tr>
      <w:tr w14:paraId="79F5197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3F76E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Gender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C1D3EF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C6B5E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FAC12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D90DD9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0.428</w:t>
            </w:r>
          </w:p>
        </w:tc>
      </w:tr>
      <w:tr w14:paraId="2B8DCA7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DEF00D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Male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C0C72">
            <w:pPr>
              <w:widowControl/>
              <w:tabs>
                <w:tab w:val="center" w:pos="751"/>
              </w:tabs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41 (63.0%)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65692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16 (66.7%)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3DAC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25 (56.8%)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BC156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303C976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9DEE7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Female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D2D30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27 (37.0%)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F788FE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 (33.3%)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4F47FF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19(43.2%)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89E5A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78941BD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8932C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Antecedent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allo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-H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SCT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E708F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E0FD7C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69484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078C0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0.413</w:t>
            </w:r>
          </w:p>
        </w:tc>
      </w:tr>
      <w:tr w14:paraId="72E9F68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FD20E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E54737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62 (89.1%)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E9F361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23 (95.8%)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2AA76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 (88.6%)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64179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55444A4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A2E6B2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bookmarkStart w:id="4" w:name="_GoBack"/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78EBB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6 (10.9%)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F8B0E3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1 (4.2%)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6DEA4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5(11.4%)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B7FBD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</w:p>
        </w:tc>
      </w:tr>
      <w:tr w14:paraId="1B3E036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E27F5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Past HMA exposure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B84D3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334D3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EE2F89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A26D0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0.710</w:t>
            </w:r>
          </w:p>
        </w:tc>
      </w:tr>
      <w:tr w14:paraId="3710A8F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158067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BBE2C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50 (73.5%)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EB4DCA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17 (70.8%)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1413E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33 (75.0%)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4B5BE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</w:p>
        </w:tc>
      </w:tr>
      <w:tr w14:paraId="44E307FF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2F10F5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AA38D5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18 (26.5%)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531534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7 (29.2%)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12CDA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11 (25.0%)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02938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</w:pPr>
          </w:p>
        </w:tc>
      </w:tr>
      <w:bookmarkEnd w:id="4"/>
      <w:tr w14:paraId="27430EF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B6AD0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Subsequent allo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-H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SCT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180ABA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07C14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4E48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3F0F8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0.695</w:t>
            </w:r>
          </w:p>
        </w:tc>
      </w:tr>
      <w:tr w14:paraId="5BCFB6E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A14B94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D5BAA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29 (42.6%)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235A5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11 (45.8%)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0A6DA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 (40.9%)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2DBD9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11CF142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A99736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1AC8C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39 (57.4%)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59C84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 (54.2%)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2311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26 (59.1%)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247F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1E582C9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45AE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Diagnosis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60481A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BAF4C6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4D15E9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4E7E83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1.000</w:t>
            </w:r>
          </w:p>
        </w:tc>
      </w:tr>
      <w:tr w14:paraId="5538210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B3CE96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AML </w:t>
            </w:r>
            <w:r>
              <w:rPr>
                <w:rFonts w:hint="eastAsia" w:ascii="Times New Roman" w:hAnsi="Times New Roman" w:eastAsia="宋体" w:cs="Times New Roman"/>
                <w:i/>
                <w:iCs/>
                <w:color w:val="000000"/>
                <w:kern w:val="0"/>
                <w:szCs w:val="21"/>
                <w:lang w:bidi="ar"/>
              </w:rPr>
              <w:t>de novo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924A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59 (86.8%)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CF5A6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21 (87.5%)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CB1AE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38 (86.4%)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D4A7D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1DCDEA6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58B4C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Secondary AML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1D2EC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9 (13.2%)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998B3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3 (12.5%)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EE33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 (13.6%)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E0C40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338438C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A58C43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Disease status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02DE4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17027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68EE9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547E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0.678</w:t>
            </w:r>
          </w:p>
        </w:tc>
      </w:tr>
      <w:tr w14:paraId="7EFD58A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38F59">
            <w:pPr>
              <w:ind w:firstLine="210" w:firstLineChars="100"/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Refractory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F2DB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46 (67.6%)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2A6E6D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 (70.8%)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DAF90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29 (65.9%)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8F780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64612D0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3EAE8C">
            <w:pPr>
              <w:ind w:firstLine="210" w:firstLineChars="100"/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Relapse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B0D65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22 (32.4%)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FDC20B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7 (29.2%)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9FEA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 (34.1%)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7A502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4BEB0A6F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F0A199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Bone marrow blast, median, % (range)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3EBA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19 (5.0 - 94.4)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F52C94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24.5 (5.6 - 83.6)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C16B6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16.6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5.0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94.4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C02228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0.801</w:t>
            </w:r>
          </w:p>
        </w:tc>
      </w:tr>
      <w:tr w14:paraId="3A257B1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FC1D1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White blood cell count, median, × 10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/L (range)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F5C4B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5.9 (0.6 -172.1)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897362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3.5 (0.6 - 80.8)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1C3FA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8.8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172.1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C2EDB0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0.183</w:t>
            </w:r>
          </w:p>
        </w:tc>
      </w:tr>
      <w:tr w14:paraId="22654DB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EFE87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Platelets, median, × 10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/L (range)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B5DF2A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99 (14 - 521)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F4878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116 (16 - 310)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CBE0F5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521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820E25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0.207</w:t>
            </w:r>
          </w:p>
        </w:tc>
      </w:tr>
      <w:tr w14:paraId="1709143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3997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Hemoglobin, median, g/L (rang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302E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83 (30 - 140)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9268B9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76 (37 - 140)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C86C2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90F9E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0.197</w:t>
            </w:r>
          </w:p>
        </w:tc>
      </w:tr>
      <w:tr w14:paraId="29D67DC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A3AF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ELN 2022 risk classification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9497D4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917D26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7B128B">
            <w:pPr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831C02">
            <w:pPr>
              <w:jc w:val="left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0.079</w:t>
            </w:r>
          </w:p>
        </w:tc>
      </w:tr>
      <w:tr w14:paraId="3FF1018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A4EBB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Favorable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418A2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17 (25.0%)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61E56D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9 (37.5%)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AB79F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 (18.2%)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73AE4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63E4C3B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D472E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Intermediate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/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Adverse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49FAF7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 (75.0%)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2D9BC9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 (65.2%)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BE67D9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36 (81.8%)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A2FD8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62FAFB7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35FD2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Normal karyotype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CC22A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F1A3AC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0ABD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6E27D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0.649</w:t>
            </w:r>
          </w:p>
        </w:tc>
      </w:tr>
      <w:tr w14:paraId="0D28D7CB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8D92B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416C50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28 (41.2%)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E51500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 (37.5%)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6375F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19 (43.2%)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B1842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1F01B54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EB3C9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816A3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 (58.8%)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D5954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 (62.5%)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CACF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25 (56.8%)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385D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4E721C0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939B5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DNA 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ethylation-related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BC2F53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707C9C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69577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4C840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0.252</w:t>
            </w:r>
          </w:p>
        </w:tc>
      </w:tr>
      <w:tr w14:paraId="56B2C60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A9C210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8695EA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43 (63.2%)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31EB0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 (54.2%)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124E26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30 (68.2%)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4CE32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7C9A1D6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63CE3D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BCFE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25 (36.8%)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92BCC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 (45.8%)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6140E4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14 (31.8%)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3247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4831F6D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6D92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>RAS pathway-related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A573D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594A8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8C236F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383AB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0.335</w:t>
            </w:r>
          </w:p>
        </w:tc>
      </w:tr>
      <w:tr w14:paraId="62858F15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881C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F8AFE6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49 (71.2%)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80F24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19 (79.2%)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DA907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30 (68.2%)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3F6F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3E2469B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CF0B6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F5EC3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19 (27.9%)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7342A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 (20.8%)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D20B9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14 (31.8%)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4704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069B18F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F8C9C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bookmarkStart w:id="1" w:name="_Hlk179989650"/>
            <w:r>
              <w:rPr>
                <w:rFonts w:ascii="Times New Roman" w:hAnsi="Times New Roman" w:cs="Times New Roman"/>
                <w:szCs w:val="21"/>
              </w:rPr>
              <w:t>Transcription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-related</w:t>
            </w:r>
            <w:r>
              <w:rPr>
                <w:rFonts w:ascii="Times New Roman" w:hAnsi="Times New Roman" w:cs="Times New Roman"/>
                <w:szCs w:val="21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</w:t>
            </w:r>
            <w:bookmarkEnd w:id="1"/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2B76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1F26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5C73E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D6C6F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0.140</w:t>
            </w:r>
          </w:p>
        </w:tc>
      </w:tr>
      <w:tr w14:paraId="18735C30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8A61A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A8F109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42 (61.8%)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33CBF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 (50.0%)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23EF68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30 (68.2%)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A4699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205000E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A455DC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7EAA24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26 (38.2%)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52236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 (50.0%)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244D8E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14 (31.8%)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C00A1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0F6791BF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40658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RNA splicing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-related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82E4CD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04545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BE35C5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2187E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  <w:t>0.439</w:t>
            </w:r>
          </w:p>
        </w:tc>
      </w:tr>
      <w:tr w14:paraId="762F6C0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F0449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42B53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60 (88.2%)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DF01F1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 (83.3%)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5A5EE1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 (90.9%)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F6BFF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  <w:tr w14:paraId="6705FED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14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145027B4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2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620FF23D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 (11.8%)</w:t>
            </w:r>
          </w:p>
        </w:tc>
        <w:tc>
          <w:tcPr>
            <w:tcW w:w="87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18CD03CD">
            <w:pPr>
              <w:widowControl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 (16.7%)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0C1789B2">
            <w:pPr>
              <w:widowControl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 (9.1%)</w:t>
            </w:r>
          </w:p>
        </w:tc>
        <w:tc>
          <w:tcPr>
            <w:tcW w:w="505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7E0A2A4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  <w:shd w:val="clear" w:color="auto" w:fill="FFFFFF"/>
              </w:rPr>
            </w:pPr>
          </w:p>
        </w:tc>
      </w:tr>
    </w:tbl>
    <w:p w14:paraId="6C0DD4AB">
      <w:pP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DNA methylation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>-related gene mutation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TET2, DNMT3A, IDH1, IDH2, and WT1. </w:t>
      </w:r>
      <w:r>
        <w:rPr>
          <w:rFonts w:ascii="Times New Roman" w:hAnsi="Times New Roman" w:eastAsia="Segoe UI" w:cs="Times New Roman"/>
          <w:szCs w:val="21"/>
          <w:shd w:val="clear" w:color="auto" w:fill="FFFFFF"/>
        </w:rPr>
        <w:t>RAS pathway-related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KRAS, NRAS, FTL3-ITD, PTPN11, KIT, and CBL. </w:t>
      </w:r>
      <w:r>
        <w:rPr>
          <w:rFonts w:ascii="Times New Roman" w:hAnsi="Times New Roman" w:cs="Times New Roman"/>
          <w:szCs w:val="21"/>
        </w:rPr>
        <w:t>Transcription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-related</w:t>
      </w:r>
      <w:r>
        <w:rPr>
          <w:rFonts w:ascii="Times New Roman" w:hAnsi="Times New Roman" w:cs="Times New Roman"/>
          <w:szCs w:val="21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RUNX1, BCOR, CEBPA, and NPM1. </w:t>
      </w:r>
      <w:r>
        <w:rPr>
          <w:rFonts w:ascii="Times New Roman" w:hAnsi="Times New Roman" w:cs="Times New Roman"/>
          <w:szCs w:val="21"/>
        </w:rPr>
        <w:t>RNA splicing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-related</w:t>
      </w:r>
      <w:r>
        <w:rPr>
          <w:rFonts w:hint="eastAsia" w:ascii="Times New Roman" w:hAnsi="Times New Roman" w:cs="Times New Roman"/>
          <w:szCs w:val="21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SRSF2 and U2AF1.</w:t>
      </w:r>
    </w:p>
    <w:p w14:paraId="69A4932A">
      <w:pPr>
        <w:autoSpaceDE w:val="0"/>
        <w:autoSpaceDN w:val="0"/>
        <w:spacing w:before="100" w:beforeAutospacing="1"/>
        <w:contextualSpacing/>
        <w:rPr>
          <w:rFonts w:ascii="TimesNewRomanPSMT" w:hAnsi="TimesNewRomanPSMT" w:cs="TimesNewRomanPSMT"/>
          <w:b/>
          <w:szCs w:val="21"/>
        </w:rPr>
      </w:pPr>
      <w:r>
        <w:rPr>
          <w:rFonts w:hint="eastAsia" w:ascii="Times New Roman" w:hAnsi="Times New Roman" w:cs="Times New Roman"/>
          <w:szCs w:val="21"/>
        </w:rPr>
        <w:t>A</w:t>
      </w:r>
      <w:r>
        <w:rPr>
          <w:rFonts w:ascii="Times New Roman" w:hAnsi="Times New Roman" w:cs="Times New Roman"/>
          <w:szCs w:val="21"/>
        </w:rPr>
        <w:t>llo-</w:t>
      </w:r>
      <w:r>
        <w:rPr>
          <w:rFonts w:hint="eastAsia" w:ascii="Times New Roman" w:hAnsi="Times New Roman" w:cs="Times New Roman"/>
          <w:szCs w:val="21"/>
        </w:rPr>
        <w:t>H</w:t>
      </w:r>
      <w:r>
        <w:rPr>
          <w:rFonts w:ascii="Times New Roman" w:hAnsi="Times New Roman" w:cs="Times New Roman"/>
          <w:szCs w:val="21"/>
        </w:rPr>
        <w:t>SCT, allogeneic hematopoietic stem cell transplantation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 AML</w:t>
      </w:r>
      <w:r>
        <w:rPr>
          <w:rFonts w:hint="eastAsia" w:ascii="Times New Roman" w:hAnsi="Times New Roman" w:eastAsia="宋体" w:cs="Times New Roman"/>
          <w:b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shd w:val="clear" w:color="auto" w:fill="FFFFFF"/>
        </w:rPr>
        <w:t xml:space="preserve">AML, acute myeloid leukemia; 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 xml:space="preserve">HMA, </w:t>
      </w:r>
      <w:r>
        <w:rPr>
          <w:rFonts w:ascii="Times New Roman" w:hAnsi="Times New Roman" w:cs="Times New Roman"/>
          <w:color w:val="000000"/>
          <w:shd w:val="clear" w:color="auto" w:fill="FFFFFF"/>
        </w:rPr>
        <w:t>hypomethylating agent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hd w:val="clear" w:color="auto" w:fill="FFFFFF"/>
        </w:rPr>
        <w:t>CAG, decitabine/</w:t>
      </w:r>
      <w:r>
        <w:rPr>
          <w:rFonts w:ascii="Times New Roman" w:hAnsi="Times New Roman" w:cs="Times New Roman"/>
          <w:shd w:val="clear" w:color="auto" w:fill="FFFFFF"/>
        </w:rPr>
        <w:t xml:space="preserve">azacitidine, </w:t>
      </w:r>
      <w:r>
        <w:rPr>
          <w:rFonts w:ascii="Times New Roman" w:hAnsi="Times New Roman" w:cs="Times New Roman"/>
          <w:color w:val="000000"/>
        </w:rPr>
        <w:t xml:space="preserve">cytarabine, </w:t>
      </w:r>
      <w:r>
        <w:rPr>
          <w:rFonts w:ascii="Times New Roman" w:hAnsi="Times New Roman" w:cs="Times New Roman"/>
        </w:rPr>
        <w:t>idarubicin</w:t>
      </w:r>
      <w:r>
        <w:rPr>
          <w:rFonts w:ascii="Times New Roman" w:hAnsi="Times New Roman" w:cs="Times New Roman"/>
          <w:color w:val="000000"/>
        </w:rPr>
        <w:t>/aclarubicin</w:t>
      </w:r>
      <w:r>
        <w:rPr>
          <w:rFonts w:hint="eastAsia" w:ascii="Times New Roman" w:hAnsi="Times New Roman" w:cs="Times New Roman"/>
          <w:color w:val="000000"/>
        </w:rPr>
        <w:t>, G-CSF</w:t>
      </w:r>
      <w:r>
        <w:rPr>
          <w:rFonts w:ascii="Times New Roman" w:hAnsi="Times New Roman" w:cs="Times New Roman"/>
          <w:shd w:val="clear" w:color="auto" w:fill="FFFFFF"/>
        </w:rPr>
        <w:t>;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shd w:val="clear" w:color="auto" w:fill="FFFFFF"/>
        </w:rPr>
        <w:t xml:space="preserve"> ELN, European LeukemiaNet</w:t>
      </w:r>
      <w:r>
        <w:rPr>
          <w:rFonts w:ascii="Times New Roman" w:hAnsi="Times New Roman" w:eastAsia="宋体" w:cs="Times New Roman"/>
          <w:bCs/>
          <w:color w:val="000000"/>
          <w:szCs w:val="21"/>
          <w:shd w:val="clear" w:color="auto" w:fill="FFFFFF"/>
        </w:rPr>
        <w:t>;</w:t>
      </w:r>
      <w:r>
        <w:rPr>
          <w:rFonts w:ascii="Times New Roman" w:hAnsi="Times New Roman" w:cs="Times New Roman"/>
        </w:rPr>
        <w:t xml:space="preserve"> FLT3-ITD, </w:t>
      </w:r>
      <w:r>
        <w:rPr>
          <w:rFonts w:ascii="Times New Roman" w:hAnsi="Times New Roman" w:cs="Times New Roman"/>
          <w:color w:val="000000"/>
          <w:szCs w:val="21"/>
        </w:rPr>
        <w:t>FMS-like tyrosine kinase-3 internal tandem duplication</w:t>
      </w:r>
      <w:r>
        <w:rPr>
          <w:rFonts w:hint="eastAsia" w:ascii="Times New Roman" w:hAnsi="Times New Roman" w:cs="Times New Roman"/>
          <w:color w:val="000000"/>
          <w:szCs w:val="21"/>
        </w:rPr>
        <w:t>;</w:t>
      </w:r>
      <w:r>
        <w:rPr>
          <w:rFonts w:ascii="Times New Roman" w:hAnsi="Times New Roman" w:cs="Times New Roman"/>
          <w:color w:val="000000"/>
          <w:szCs w:val="21"/>
        </w:rPr>
        <w:t xml:space="preserve"> U2AF1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, </w:t>
      </w:r>
      <w:r>
        <w:rPr>
          <w:rFonts w:ascii="Times New Roman" w:hAnsi="Times New Roman" w:cs="Times New Roman"/>
          <w:color w:val="000000"/>
          <w:szCs w:val="21"/>
        </w:rPr>
        <w:t>U2 small nuclear RNA auxiliary factor 1 gene</w:t>
      </w:r>
      <w:r>
        <w:rPr>
          <w:rFonts w:hint="eastAsia" w:ascii="Times New Roman" w:hAnsi="Times New Roman" w:cs="Times New Roman"/>
          <w:color w:val="000000"/>
          <w:szCs w:val="21"/>
        </w:rPr>
        <w:t>.</w:t>
      </w:r>
    </w:p>
    <w:p w14:paraId="69AE9396"/>
    <w:p w14:paraId="6960DFD2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4775E92">
      <w:pPr>
        <w:autoSpaceDE w:val="0"/>
        <w:autoSpaceDN w:val="0"/>
        <w:spacing w:before="100" w:beforeAutospacing="1" w:line="480" w:lineRule="auto"/>
        <w:contextualSpacing/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Table </w:t>
      </w:r>
      <w:r>
        <w:rPr>
          <w:rFonts w:hint="eastAsia" w:ascii="Times New Roman" w:hAnsi="Times New Roman" w:cs="Times New Roman"/>
          <w:b/>
          <w:color w:val="000000"/>
          <w:szCs w:val="21"/>
        </w:rPr>
        <w:t>2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/>
          <w:szCs w:val="21"/>
        </w:rPr>
        <w:t>O</w:t>
      </w:r>
      <w:r>
        <w:rPr>
          <w:rFonts w:ascii="Times New Roman" w:hAnsi="Times New Roman" w:cs="Times New Roman"/>
          <w:color w:val="000000"/>
          <w:szCs w:val="21"/>
        </w:rPr>
        <w:t>verall survival</w:t>
      </w:r>
      <w:r>
        <w:rPr>
          <w:rFonts w:hint="eastAsia" w:ascii="Times New Roman" w:hAnsi="Times New Roman" w:cs="Times New Roman"/>
          <w:color w:val="000000"/>
          <w:szCs w:val="21"/>
        </w:rPr>
        <w:t>,</w:t>
      </w:r>
      <w:r>
        <w:rPr>
          <w:rFonts w:ascii="Times New Roman" w:hAnsi="Times New Roman" w:cs="Times New Roman"/>
          <w:color w:val="000000"/>
          <w:szCs w:val="21"/>
        </w:rPr>
        <w:t xml:space="preserve"> </w:t>
      </w:r>
      <w:r>
        <w:rPr>
          <w:rFonts w:hint="eastAsia" w:ascii="Times New Roman" w:hAnsi="Times New Roman" w:cs="Times New Roman"/>
          <w:color w:val="000000"/>
          <w:szCs w:val="21"/>
        </w:rPr>
        <w:t>e</w:t>
      </w:r>
      <w:r>
        <w:rPr>
          <w:rFonts w:ascii="Times New Roman" w:hAnsi="Times New Roman" w:cs="Times New Roman"/>
          <w:color w:val="000000"/>
          <w:szCs w:val="21"/>
        </w:rPr>
        <w:t>vent-free survival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and d</w:t>
      </w:r>
      <w:r>
        <w:rPr>
          <w:rFonts w:ascii="Times New Roman" w:hAnsi="Times New Roman" w:cs="Times New Roman"/>
          <w:color w:val="000000"/>
          <w:szCs w:val="21"/>
        </w:rPr>
        <w:t>uration of response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by baseline characteristics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in r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efractory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and r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elapse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patients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</w:t>
      </w:r>
    </w:p>
    <w:tbl>
      <w:tblPr>
        <w:tblStyle w:val="6"/>
        <w:tblpPr w:leftFromText="180" w:rightFromText="180" w:vertAnchor="text" w:horzAnchor="margin" w:tblpY="11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6"/>
        <w:gridCol w:w="2417"/>
        <w:gridCol w:w="1160"/>
        <w:gridCol w:w="321"/>
        <w:gridCol w:w="2638"/>
        <w:gridCol w:w="993"/>
        <w:gridCol w:w="491"/>
        <w:gridCol w:w="2150"/>
        <w:gridCol w:w="1178"/>
      </w:tblGrid>
      <w:tr w14:paraId="16367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vMerge w:val="restart"/>
            <w:tcBorders>
              <w:top w:val="single" w:color="000000" w:themeColor="text1" w:sz="4" w:space="0"/>
              <w:left w:val="nil"/>
              <w:right w:val="nil"/>
            </w:tcBorders>
            <w:shd w:val="clear" w:color="auto" w:fill="auto"/>
            <w:vAlign w:val="center"/>
          </w:tcPr>
          <w:p w14:paraId="3273D45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Variable</w:t>
            </w:r>
          </w:p>
        </w:tc>
        <w:tc>
          <w:tcPr>
            <w:tcW w:w="1261" w:type="pct"/>
            <w:gridSpan w:val="2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nil"/>
            </w:tcBorders>
            <w:shd w:val="clear" w:color="auto" w:fill="auto"/>
            <w:vAlign w:val="center"/>
          </w:tcPr>
          <w:p w14:paraId="20A6DF03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month OS</w:t>
            </w:r>
          </w:p>
        </w:tc>
        <w:tc>
          <w:tcPr>
            <w:tcW w:w="113" w:type="pct"/>
            <w:tcBorders>
              <w:top w:val="single" w:color="000000" w:themeColor="text1" w:sz="4" w:space="0"/>
              <w:left w:val="nil"/>
              <w:bottom w:val="nil"/>
              <w:right w:val="nil"/>
            </w:tcBorders>
          </w:tcPr>
          <w:p w14:paraId="3CC626CB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280" w:type="pct"/>
            <w:gridSpan w:val="2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nil"/>
            </w:tcBorders>
            <w:shd w:val="clear" w:color="auto" w:fill="auto"/>
            <w:vAlign w:val="center"/>
          </w:tcPr>
          <w:p w14:paraId="18CB1623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month 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EFS</w:t>
            </w:r>
          </w:p>
        </w:tc>
        <w:tc>
          <w:tcPr>
            <w:tcW w:w="173" w:type="pct"/>
            <w:tcBorders>
              <w:top w:val="single" w:color="000000" w:themeColor="text1" w:sz="4" w:space="0"/>
              <w:left w:val="nil"/>
              <w:bottom w:val="nil"/>
              <w:right w:val="nil"/>
            </w:tcBorders>
          </w:tcPr>
          <w:p w14:paraId="421CEEC4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73" w:type="pct"/>
            <w:gridSpan w:val="2"/>
            <w:tcBorders>
              <w:top w:val="single" w:color="000000" w:themeColor="text1" w:sz="4" w:space="0"/>
              <w:left w:val="nil"/>
              <w:bottom w:val="single" w:color="000000" w:themeColor="text1" w:sz="4" w:space="0"/>
              <w:right w:val="nil"/>
            </w:tcBorders>
            <w:shd w:val="clear" w:color="auto" w:fill="auto"/>
            <w:vAlign w:val="center"/>
          </w:tcPr>
          <w:p w14:paraId="6B00BBED">
            <w:pPr>
              <w:jc w:val="center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12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month 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DOR</w:t>
            </w:r>
          </w:p>
        </w:tc>
      </w:tr>
      <w:tr w14:paraId="2AD38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vMerge w:val="continue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421D40DB">
            <w:pPr>
              <w:rPr>
                <w:szCs w:val="21"/>
              </w:rPr>
            </w:pPr>
          </w:p>
        </w:tc>
        <w:tc>
          <w:tcPr>
            <w:tcW w:w="852" w:type="pct"/>
            <w:tcBorders>
              <w:top w:val="single" w:color="000000" w:themeColor="text1" w:sz="4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774DE16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% (95% CI)</w:t>
            </w:r>
          </w:p>
        </w:tc>
        <w:tc>
          <w:tcPr>
            <w:tcW w:w="408" w:type="pct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01CE2AEE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value</w:t>
            </w:r>
          </w:p>
        </w:tc>
        <w:tc>
          <w:tcPr>
            <w:tcW w:w="11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5D51AA93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single" w:color="000000" w:themeColor="text1" w:sz="4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2109B980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% (95% CI)</w:t>
            </w:r>
          </w:p>
        </w:tc>
        <w:tc>
          <w:tcPr>
            <w:tcW w:w="349" w:type="pct"/>
            <w:tcBorders>
              <w:top w:val="single" w:color="000000" w:themeColor="text1" w:sz="4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0D1E23CB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value</w:t>
            </w:r>
          </w:p>
        </w:tc>
        <w:tc>
          <w:tcPr>
            <w:tcW w:w="17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584FD060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single" w:color="000000" w:themeColor="text1" w:sz="4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08F9E478">
            <w:pPr>
              <w:ind w:right="-286" w:rightChars="-136"/>
              <w:rPr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% (95% CI)</w:t>
            </w:r>
          </w:p>
        </w:tc>
        <w:tc>
          <w:tcPr>
            <w:tcW w:w="415" w:type="pct"/>
            <w:tcBorders>
              <w:top w:val="single" w:color="000000" w:themeColor="text1" w:sz="4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75BE9127">
            <w:pPr>
              <w:rPr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value</w:t>
            </w:r>
          </w:p>
        </w:tc>
      </w:tr>
      <w:tr w14:paraId="087F4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51839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Gender</w:t>
            </w:r>
          </w:p>
        </w:tc>
        <w:tc>
          <w:tcPr>
            <w:tcW w:w="852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453280D0">
            <w:pPr>
              <w:rPr>
                <w:szCs w:val="21"/>
              </w:rPr>
            </w:pPr>
          </w:p>
        </w:tc>
        <w:tc>
          <w:tcPr>
            <w:tcW w:w="408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3D848B8C">
            <w:pPr>
              <w:rPr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554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20EA477D">
            <w:pPr>
              <w:rPr>
                <w:szCs w:val="21"/>
              </w:rPr>
            </w:pPr>
          </w:p>
        </w:tc>
        <w:tc>
          <w:tcPr>
            <w:tcW w:w="93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56C540C7">
            <w:pPr>
              <w:rPr>
                <w:szCs w:val="21"/>
              </w:rPr>
            </w:pPr>
          </w:p>
        </w:tc>
        <w:tc>
          <w:tcPr>
            <w:tcW w:w="349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2FF3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821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5316A50B">
            <w:pPr>
              <w:rPr>
                <w:szCs w:val="21"/>
              </w:rPr>
            </w:pPr>
          </w:p>
        </w:tc>
        <w:tc>
          <w:tcPr>
            <w:tcW w:w="758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26C687B1">
            <w:pPr>
              <w:ind w:right="-286" w:rightChars="-136"/>
              <w:rPr>
                <w:szCs w:val="21"/>
              </w:rPr>
            </w:pPr>
          </w:p>
        </w:tc>
        <w:tc>
          <w:tcPr>
            <w:tcW w:w="415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504BF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477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5EF86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822DA0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Male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</w:tcPr>
          <w:p w14:paraId="1B1D1EF4">
            <w:pPr>
              <w:rPr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54.81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33.07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2.12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</w:tcPr>
          <w:p w14:paraId="47394996">
            <w:pPr>
              <w:rPr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C8DC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B67E81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45.45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16.66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0136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95FA0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A62960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45.00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10.76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8E164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05526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4D748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Female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3ED27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43.64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14.70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69.86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2DBEB8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FA729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0B955F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41.54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22.55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59.56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6E616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9AE0D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AF8133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63.53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(37.57 -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81.81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C624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0200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DCBDC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Age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years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6906D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37F22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530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523ED4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41116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4458D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11A04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D973B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DFA66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102</w:t>
            </w:r>
            <w:r>
              <w:rPr>
                <w:rFonts w:ascii="Times New Roman" w:hAnsi="Times New Roman" w:eastAsia="宋体" w:cs="Times New Roman"/>
                <w:color w:val="FF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7B66A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21B9AD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&lt;4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DCFFB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53.33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19.88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78.30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BB0A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C3E87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98D92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41.46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15.25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78F56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6A4DD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386B5A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73.56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(52.21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86.50)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B0B2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5115CA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A09C54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≥4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99FC96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0.67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29.71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7BD79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99DA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F30B7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44.00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24.49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0C3D69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9CA2C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1ECBD9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51.52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(33.54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66.85)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7F05F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07608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F41F7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Diagnosis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82FE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1E38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827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8226E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1A5D1B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72A6B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591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7235A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8262CD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151F5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823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41F3F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45D89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AML </w:t>
            </w:r>
            <w:r>
              <w:rPr>
                <w:rFonts w:ascii="Times New Roman" w:hAnsi="Times New Roman" w:eastAsia="宋体" w:cs="Times New Roman"/>
                <w:i/>
                <w:color w:val="000000"/>
                <w:kern w:val="0"/>
                <w:szCs w:val="21"/>
                <w:lang w:bidi="ar"/>
              </w:rPr>
              <w:t>de novo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36616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51.05 (31.37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67.71)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C0212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C584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6F8157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44.67 (26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61.07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C1A44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C7D7B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AB497F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56.34 (32.43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2F419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287B6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5891B9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Secondary AML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DB394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50.00 (11.09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80.37)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3229A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75782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8EA996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33.33 (4.61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67.56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CB548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938A8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367B85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66.67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(5.41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2D575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3E6C4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71D7C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Antecedent allo-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SCT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EA93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5E22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583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5F91C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9298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6A375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DAF48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E2CD29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E55EA3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274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57D32C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84CA1C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A7E5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49.66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31.17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65.69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DDDE9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B0506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0905D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40.72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24.24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56.58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32BA9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2CFB6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B4D837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53.89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30.91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D761E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634C7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50AC8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B86B3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66.67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5.41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B7E6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EC4B0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06DB5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66.67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5.41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94.52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19F22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A74C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F47F2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100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47CB3B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2D62B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C0D07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Past HMA exposure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0B1F7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383E1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</w:rPr>
              <w:t>0.421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A7328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4AD63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09B088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</w:rPr>
              <w:t>0.191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C6519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359F59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2ECC5B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</w:rPr>
              <w:t>0.844</w:t>
            </w:r>
          </w:p>
        </w:tc>
      </w:tr>
      <w:tr w14:paraId="6E617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92B30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EC126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43.44 (23.18 - 62.16)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8BC07B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64033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DBB78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45.83 (26.83 - 62.97)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CCDDA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11D7D1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9172E6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</w:rPr>
              <w:t>60.03 (35.4 - 77.82)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F1B2B3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</w:tr>
      <w:tr w14:paraId="260FD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6D44DC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000000"/>
                <w:szCs w:val="21"/>
                <w:highlight w:val="none"/>
                <w:shd w:val="clear" w:color="auto" w:fill="FFFFFF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7752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33.33 (7.83 - 62.26)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553839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5AB6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EA36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22.22 (3.37 - 51.31)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9F3422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9FB90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8AB9C8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  <w:highlight w:val="none"/>
              </w:rPr>
              <w:t>50.00 (5.78 - 84.49)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05FEE0">
            <w:pPr>
              <w:jc w:val="left"/>
              <w:rPr>
                <w:rFonts w:ascii="Times New Roman" w:hAnsi="Times New Roman" w:cs="Times New Roman"/>
                <w:color w:val="000000"/>
                <w:szCs w:val="21"/>
                <w:highlight w:val="none"/>
              </w:rPr>
            </w:pPr>
          </w:p>
        </w:tc>
      </w:tr>
      <w:tr w14:paraId="58361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8A12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Subsequent allo-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SCT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8B91C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63C6F2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D41B5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29A1E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344DA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94688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B8B04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90EF3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0.0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43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4EEE7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32333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E4B6C1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00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13.81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53.75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43CCC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14A14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BDB3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25.00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9.10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44.85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9680B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D49FE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066BCE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36.36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11.18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29B59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25C29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C5A15A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CBB3E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73.53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43.43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1F70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2E3A9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8A2FB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37.71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D551AFA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F8DC2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21F318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77.38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4.93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92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77CB6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6393C4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FE2300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Disease status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918D8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EFDF7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185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5CCD7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43EE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2D0AF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122</w:t>
            </w:r>
            <w:r>
              <w:rPr>
                <w:rFonts w:ascii="Times New Roman" w:hAnsi="Times New Roman" w:eastAsia="宋体" w:cs="Times New Roman"/>
                <w:color w:val="FF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0B702A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AD672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61AF6C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069</w:t>
            </w:r>
            <w:r>
              <w:rPr>
                <w:rFonts w:ascii="Times New Roman" w:hAnsi="Times New Roman" w:eastAsia="宋体" w:cs="Times New Roman"/>
                <w:color w:val="FF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41EEF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E790BD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Refractory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A87BBF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58.46 (36.09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5.37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A04D78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C8AA7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08813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49.36 (29.09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66.78)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B1098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C69A7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FAF34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70.71 (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2.87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86.77)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9122C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25148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7F8C5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Relapse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36B17A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36.36 (11.18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62.68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）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37C0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AB35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BE3E42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27.27 (6.52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53.89)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67524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CC41A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FEEDF3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28.57 (4.11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61.15)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FB2DB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7EE65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35FAA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Bone marrow blast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(%)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DD2CD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0DDD9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001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FBC20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4E5E6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87E8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&lt;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001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6B6E44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20363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F8E1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003</w:t>
            </w:r>
          </w:p>
        </w:tc>
      </w:tr>
      <w:tr w14:paraId="7EBE0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B8BE18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&lt;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618526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69.27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(45.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86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3DC1E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4445C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5F07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61.90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39.42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78.11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69A6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6F7DA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351829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98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CAD3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495C2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EE4A5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A7E3A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18.46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3.06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44.09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D60A1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4CD3B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2ED65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7.69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29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A145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2AD62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663E68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16.67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0.77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51.68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74E40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45C2E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FD956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ELN 2022 risk classification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59A00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5E1AD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778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39920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A53A5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BCF7B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865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784A4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73A92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1EE1A3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495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1DC6F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551A3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Favorable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CCC2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72.73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37.08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90.28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1229A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E9426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A4C50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35.71 (13.03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59.44)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686B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0ADBA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9A0A03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50.00 (18.36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75.32)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7ED53A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354E5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1DFB5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Intermediate/Adverse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3F4091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1.97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28.50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71.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9CFB7A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685A7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2D38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47.83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26.83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66.13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59D58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60B28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AE61ED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63.64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32.69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83.30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EF9C5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6E7FA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A23F3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Normal karyotype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60B62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858A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535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AD9C6B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67AF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B8F7DA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958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094C0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B65640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17A77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917</w:t>
            </w:r>
          </w:p>
        </w:tc>
      </w:tr>
      <w:tr w14:paraId="4830E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CBD016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FAAA7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38.89 (17.49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59.96)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6991B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07B2E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6651A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38.89 (17.49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59.96)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586849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A59DD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4714F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58.33 (27.01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09)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9BAC6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4E726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048744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C600D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67.67 (41.63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84.03)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1BEAD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0DEC3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2AC76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47.37 (24.44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67.28)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318034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104267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D043DB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56.98 (24.25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99)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C80B9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42CB3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929D8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DNA 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ethylation-related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B1808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CC85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821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BF3AE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44773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9DEF5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szCs w:val="21"/>
              </w:rPr>
              <w:t>890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F2BFB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B14EF6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2EDC6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0.</w:t>
            </w: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652</w:t>
            </w:r>
          </w:p>
        </w:tc>
      </w:tr>
      <w:tr w14:paraId="4CE3A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1DCAA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B0DE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51.95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(28.91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70.78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D1D7FF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58337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BC4B4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40.91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20.85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60.07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1C3B4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DBE7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08843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64.29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34.33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83.31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D8528C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12AC4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997BC5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2E299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51.43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23.78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73.50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EEE82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10CAD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427D3C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45.71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20.10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68.26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CB4CA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476A3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C1D25C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47.73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15.54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- 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74.54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FF739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01E1B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B2510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>RAS pathway-related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AC0B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21458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573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74A28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8C237B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3A0AF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555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C46C9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85DCA7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6ED4A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bidi="ar"/>
              </w:rPr>
              <w:t>169</w:t>
            </w:r>
            <w:r>
              <w:rPr>
                <w:rFonts w:ascii="Times New Roman" w:hAnsi="Times New Roman" w:eastAsia="宋体" w:cs="Times New Roman"/>
                <w:kern w:val="0"/>
                <w:szCs w:val="21"/>
                <w:lang w:bidi="ar"/>
              </w:rPr>
              <w:t xml:space="preserve"> </w:t>
            </w:r>
          </w:p>
        </w:tc>
      </w:tr>
      <w:tr w14:paraId="2B6B32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C82F07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0F03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47.64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27.20 - 65.55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CD5D0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77B67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F6E3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38.08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19.97 -56.06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53E0F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E9306E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F3AC41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48.89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24.60 - 69.41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23E73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3E3E7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81A7A5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09536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.61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25.07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3.42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D0CCC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84C3FE9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CBD2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54.55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22.85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77.96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30CC58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1C23A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8FEB9F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85.71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33.41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97.86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4F10A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631B7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F379E1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Transcription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-related</w:t>
            </w:r>
            <w:r>
              <w:rPr>
                <w:rFonts w:ascii="Times New Roman" w:hAnsi="Times New Roman" w:cs="Times New Roman"/>
                <w:szCs w:val="21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97B59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1CFC8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035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0F944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B7CAE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EEA28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064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DD125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168261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94A218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950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22B1C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D55C4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0EA9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37.74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18.25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58.93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3F5C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A7934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C8E98D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34.78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16.63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53.71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B47DE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4E927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556B4B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55.56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23.11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78.99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01FF7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13FD6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D8B68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E0433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39.38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87.91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80A3AD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13EAE2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269B11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7.14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28.40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77.97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17D981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000D26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0511C4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szCs w:val="21"/>
              </w:rPr>
              <w:t>59.83 (28.50 - 81.04)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87776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3A514B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7EC124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</w:rPr>
              <w:t>RNA splicing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-related</w:t>
            </w:r>
            <w:r>
              <w:rPr>
                <w:rFonts w:hint="eastAsia" w:ascii="Times New Roman" w:hAnsi="Times New Roman" w:cs="Times New Roman"/>
                <w:szCs w:val="21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C480DB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90384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216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CC237B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7A1327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3DA78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677</w:t>
            </w: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15A5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02683B">
            <w:pPr>
              <w:ind w:right="-286" w:rightChars="-136"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658FFB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0.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525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</w:tr>
      <w:tr w14:paraId="4D6AE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2AEE0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No</w:t>
            </w: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BBA269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44.14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25.36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61.42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528A94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9B5A4F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E45CFE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41.40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24.03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57.96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D06360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813150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4DC94A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54.03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(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29.74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3.15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300636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  <w:tr w14:paraId="3B01B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1A701014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Yes</w:t>
            </w:r>
          </w:p>
        </w:tc>
        <w:tc>
          <w:tcPr>
            <w:tcW w:w="852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58258B3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83.33 (27.31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97.47)</w:t>
            </w:r>
          </w:p>
        </w:tc>
        <w:tc>
          <w:tcPr>
            <w:tcW w:w="408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335A5615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2BA537B3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7C56A03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50.00 (11.09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-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 80.37)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224D8E83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</w:tcPr>
          <w:p w14:paraId="14610F55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6A95FE40">
            <w:pPr>
              <w:widowControl/>
              <w:ind w:right="-286" w:rightChars="-136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Cs w:val="21"/>
              </w:rPr>
              <w:t>75.00 (12.79 - 96.05)</w:t>
            </w:r>
          </w:p>
        </w:tc>
        <w:tc>
          <w:tcPr>
            <w:tcW w:w="415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FFFFFF"/>
            <w:vAlign w:val="center"/>
          </w:tcPr>
          <w:p w14:paraId="1747DD4E">
            <w:pPr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</w:p>
        </w:tc>
      </w:tr>
    </w:tbl>
    <w:p w14:paraId="4CBF3D2C">
      <w:pP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</w:pPr>
      <w:bookmarkStart w:id="2" w:name="_Hlk180030920"/>
      <w:r>
        <w:rPr>
          <w:rFonts w:hint="eastAsia" w:ascii="Times New Roman" w:hAnsi="Times New Roman" w:eastAsia="宋体" w:cs="Times New Roman"/>
          <w:color w:val="000000"/>
          <w:kern w:val="0"/>
          <w:szCs w:val="21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DNA methylation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>-related gene mutation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TET2, DNMT3A, IDH1, IDH2, and WT1. </w:t>
      </w:r>
      <w:r>
        <w:rPr>
          <w:rFonts w:ascii="Times New Roman" w:hAnsi="Times New Roman" w:eastAsia="Segoe UI" w:cs="Times New Roman"/>
          <w:szCs w:val="21"/>
          <w:shd w:val="clear" w:color="auto" w:fill="FFFFFF"/>
        </w:rPr>
        <w:t>RAS pathway-related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KRAS, NRAS, FTL3-ITD, PTPN11, KIT, and CBL. </w:t>
      </w:r>
      <w:r>
        <w:rPr>
          <w:rFonts w:ascii="Times New Roman" w:hAnsi="Times New Roman" w:cs="Times New Roman"/>
          <w:szCs w:val="21"/>
        </w:rPr>
        <w:t>Transcription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-related</w:t>
      </w:r>
      <w:r>
        <w:rPr>
          <w:rFonts w:ascii="Times New Roman" w:hAnsi="Times New Roman" w:cs="Times New Roman"/>
          <w:szCs w:val="21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RUNX1, BCOR, CEBPA, and NPM1. </w:t>
      </w:r>
      <w:r>
        <w:rPr>
          <w:rFonts w:ascii="Times New Roman" w:hAnsi="Times New Roman" w:cs="Times New Roman"/>
          <w:szCs w:val="21"/>
        </w:rPr>
        <w:t>RNA splicing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>-related</w:t>
      </w:r>
      <w:r>
        <w:rPr>
          <w:rFonts w:hint="eastAsia" w:ascii="Times New Roman" w:hAnsi="Times New Roman" w:cs="Times New Roman"/>
          <w:szCs w:val="21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lang w:bidi="ar"/>
        </w:rPr>
        <w:t xml:space="preserve"> include SRSF2 and U2AF1.</w:t>
      </w:r>
    </w:p>
    <w:bookmarkEnd w:id="2"/>
    <w:p w14:paraId="5F9A8E75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color w:val="000000"/>
          <w:szCs w:val="21"/>
        </w:rPr>
      </w:pPr>
      <w:r>
        <w:rPr>
          <w:rFonts w:ascii="Times New Roman" w:hAnsi="Times New Roman" w:cs="Times New Roman"/>
          <w:color w:val="000000"/>
          <w:szCs w:val="21"/>
        </w:rPr>
        <w:t>Allo-</w:t>
      </w:r>
      <w:r>
        <w:rPr>
          <w:rFonts w:hint="eastAsia" w:ascii="Times New Roman" w:hAnsi="Times New Roman" w:cs="Times New Roman"/>
          <w:color w:val="000000"/>
          <w:szCs w:val="21"/>
        </w:rPr>
        <w:t>H</w:t>
      </w:r>
      <w:r>
        <w:rPr>
          <w:rFonts w:ascii="Times New Roman" w:hAnsi="Times New Roman" w:cs="Times New Roman"/>
          <w:color w:val="000000"/>
          <w:szCs w:val="21"/>
        </w:rPr>
        <w:t>SCT, allogeneic hematopoietic stem cell transplantation; AML, acute myeloid leukemia; CI, confidence interval; ASXL,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 xml:space="preserve">additional sex combs like; </w:t>
      </w:r>
      <w:bookmarkStart w:id="3" w:name="_Hlk179489578"/>
      <w:r>
        <w:rPr>
          <w:rFonts w:hint="eastAsia" w:ascii="Times New Roman" w:hAnsi="Times New Roman" w:cs="Times New Roman"/>
          <w:color w:val="000000"/>
          <w:shd w:val="clear" w:color="auto" w:fill="FFFFFF"/>
        </w:rPr>
        <w:t xml:space="preserve">HMA, </w:t>
      </w:r>
      <w:r>
        <w:rPr>
          <w:rFonts w:ascii="Times New Roman" w:hAnsi="Times New Roman" w:cs="Times New Roman"/>
          <w:color w:val="000000"/>
          <w:shd w:val="clear" w:color="auto" w:fill="FFFFFF"/>
        </w:rPr>
        <w:t>hypomethylating agent</w:t>
      </w:r>
      <w:r>
        <w:rPr>
          <w:rFonts w:hint="eastAsia" w:ascii="Times New Roman" w:hAnsi="Times New Roman" w:cs="Times New Roman"/>
          <w:color w:val="000000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hd w:val="clear" w:color="auto" w:fill="FFFFFF"/>
        </w:rPr>
        <w:t>CAG, decitabine/</w:t>
      </w:r>
      <w:r>
        <w:rPr>
          <w:rFonts w:ascii="Times New Roman" w:hAnsi="Times New Roman" w:cs="Times New Roman"/>
          <w:shd w:val="clear" w:color="auto" w:fill="FFFFFF"/>
        </w:rPr>
        <w:t xml:space="preserve">azacitidine, </w:t>
      </w:r>
      <w:r>
        <w:rPr>
          <w:rFonts w:ascii="Times New Roman" w:hAnsi="Times New Roman" w:cs="Times New Roman"/>
          <w:color w:val="000000"/>
        </w:rPr>
        <w:t xml:space="preserve">cytarabine, </w:t>
      </w:r>
      <w:r>
        <w:rPr>
          <w:rFonts w:ascii="Times New Roman" w:hAnsi="Times New Roman" w:cs="Times New Roman"/>
        </w:rPr>
        <w:t>idarubicin</w:t>
      </w:r>
      <w:r>
        <w:rPr>
          <w:rFonts w:ascii="Times New Roman" w:hAnsi="Times New Roman" w:cs="Times New Roman"/>
          <w:color w:val="000000"/>
        </w:rPr>
        <w:t>/aclarubicin</w:t>
      </w:r>
      <w:r>
        <w:rPr>
          <w:rFonts w:hint="eastAsia" w:ascii="Times New Roman" w:hAnsi="Times New Roman" w:cs="Times New Roman"/>
          <w:color w:val="000000"/>
        </w:rPr>
        <w:t>, G-CSF</w:t>
      </w:r>
      <w:r>
        <w:rPr>
          <w:rFonts w:ascii="Times New Roman" w:hAnsi="Times New Roman" w:cs="Times New Roman"/>
          <w:shd w:val="clear" w:color="auto" w:fill="FFFFFF"/>
        </w:rPr>
        <w:t>;</w:t>
      </w:r>
      <w:bookmarkEnd w:id="3"/>
      <w:r>
        <w:rPr>
          <w:rFonts w:ascii="Times New Roman" w:hAnsi="Times New Roman" w:cs="Times New Roman"/>
          <w:color w:val="000000"/>
          <w:szCs w:val="21"/>
        </w:rPr>
        <w:t xml:space="preserve"> DOR, duration of response; EFS, event-free survival; ELN, European Leukemia Net;</w:t>
      </w:r>
      <w:r>
        <w:rPr>
          <w:rFonts w:ascii="Times New Roman" w:hAnsi="Times New Roman" w:cs="Times New Roman"/>
        </w:rPr>
        <w:t xml:space="preserve"> FLT3-ITD, </w:t>
      </w:r>
      <w:r>
        <w:rPr>
          <w:rFonts w:ascii="Times New Roman" w:hAnsi="Times New Roman" w:cs="Times New Roman"/>
          <w:color w:val="000000"/>
          <w:szCs w:val="21"/>
        </w:rPr>
        <w:t>FMS-like tyrosine kinase-3 internal tandem duplication; OS, overall survival;RUNX1;Runt-related transcription factor 1; TET2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, </w:t>
      </w:r>
      <w:r>
        <w:rPr>
          <w:rFonts w:ascii="Times New Roman" w:hAnsi="Times New Roman" w:cs="Times New Roman"/>
          <w:color w:val="000000"/>
          <w:szCs w:val="21"/>
        </w:rPr>
        <w:t>ten-eleven translocation 2; U2AF1,</w:t>
      </w:r>
      <w:r>
        <w:rPr>
          <w:rFonts w:hint="eastAsia" w:ascii="Times New Roman" w:hAnsi="Times New Roman" w:cs="Times New Roman"/>
          <w:color w:val="000000"/>
          <w:szCs w:val="21"/>
        </w:rPr>
        <w:t xml:space="preserve"> </w:t>
      </w:r>
      <w:r>
        <w:rPr>
          <w:rFonts w:ascii="Times New Roman" w:hAnsi="Times New Roman" w:cs="Times New Roman"/>
          <w:color w:val="000000"/>
          <w:szCs w:val="21"/>
        </w:rPr>
        <w:t>U2 small nuclear RNA auxiliary factor 1 gene</w:t>
      </w:r>
      <w:r>
        <w:rPr>
          <w:rFonts w:hint="eastAsia" w:ascii="Times New Roman" w:hAnsi="Times New Roman" w:cs="Times New Roman"/>
          <w:color w:val="000000"/>
          <w:szCs w:val="21"/>
        </w:rPr>
        <w:t>.</w:t>
      </w:r>
      <w:r>
        <w:rPr>
          <w:rFonts w:ascii="Times New Roman" w:hAnsi="Times New Roman" w:cs="Times New Roman"/>
          <w:color w:val="000000"/>
          <w:szCs w:val="21"/>
        </w:rPr>
        <w:br w:type="page"/>
      </w:r>
    </w:p>
    <w:p w14:paraId="1990A396">
      <w:pPr>
        <w:autoSpaceDE w:val="0"/>
        <w:autoSpaceDN w:val="0"/>
        <w:spacing w:before="100" w:beforeAutospacing="1"/>
        <w:contextualSpacing/>
        <w:rPr>
          <w:rFonts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</w:pPr>
      <w:r>
        <w:rPr>
          <w:rFonts w:hint="eastAsia" w:ascii="Times New Roman" w:hAnsi="Times New Roman" w:cs="Times New Roman"/>
          <w:b/>
          <w:bCs/>
          <w:highlight w:val="none"/>
        </w:rPr>
        <w:t>Supplementary Table 3</w:t>
      </w:r>
      <w:r>
        <w:rPr>
          <w:rFonts w:ascii="Times New Roman" w:hAnsi="Times New Roman" w:cs="Times New Roman"/>
          <w:szCs w:val="21"/>
          <w:highlight w:val="none"/>
        </w:rPr>
        <w:t xml:space="preserve"> Univariate </w:t>
      </w:r>
      <w:r>
        <w:rPr>
          <w:rFonts w:hint="eastAsia" w:ascii="Times New Roman" w:hAnsi="Times New Roman" w:cs="Times New Roman"/>
          <w:szCs w:val="21"/>
          <w:highlight w:val="none"/>
        </w:rPr>
        <w:t xml:space="preserve">and multivariate </w:t>
      </w:r>
      <w:r>
        <w:rPr>
          <w:rFonts w:ascii="Times New Roman" w:hAnsi="Times New Roman" w:cs="Times New Roman"/>
          <w:szCs w:val="21"/>
          <w:highlight w:val="none"/>
        </w:rPr>
        <w:t xml:space="preserve">analysis of prognostic factors for overall response rate </w:t>
      </w:r>
      <w:r>
        <w:rPr>
          <w:rFonts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>of patients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 xml:space="preserve">with AML 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>in</w:t>
      </w:r>
      <w:r>
        <w:rPr>
          <w:rFonts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 xml:space="preserve"> propensity score matched subgroup</w:t>
      </w:r>
      <w:r>
        <w:rPr>
          <w:rFonts w:hint="eastAsia" w:ascii="Times New Roman" w:hAnsi="Times New Roman" w:eastAsia="宋体" w:cs="Times New Roman"/>
          <w:bCs/>
          <w:color w:val="000000"/>
          <w:szCs w:val="21"/>
          <w:highlight w:val="none"/>
          <w:shd w:val="clear" w:color="auto" w:fill="FFFFFF"/>
        </w:rPr>
        <w:t>s</w:t>
      </w:r>
    </w:p>
    <w:tbl>
      <w:tblPr>
        <w:tblStyle w:val="6"/>
        <w:tblW w:w="477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59"/>
        <w:gridCol w:w="1963"/>
        <w:gridCol w:w="1954"/>
        <w:gridCol w:w="1029"/>
        <w:gridCol w:w="671"/>
        <w:gridCol w:w="2808"/>
        <w:gridCol w:w="1044"/>
      </w:tblGrid>
      <w:tr w14:paraId="5232B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vMerge w:val="restar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5CE0684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Variable</w:t>
            </w:r>
          </w:p>
        </w:tc>
        <w:tc>
          <w:tcPr>
            <w:tcW w:w="725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280CCA14">
            <w:pPr>
              <w:jc w:val="left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Univariate analysis</w:t>
            </w:r>
          </w:p>
        </w:tc>
        <w:tc>
          <w:tcPr>
            <w:tcW w:w="722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0DB11EC9">
            <w:pPr>
              <w:jc w:val="left"/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vMerge w:val="restart"/>
            <w:tcBorders>
              <w:top w:val="single" w:color="000000" w:themeColor="text1" w:sz="8" w:space="0"/>
              <w:left w:val="nil"/>
              <w:right w:val="nil"/>
            </w:tcBorders>
            <w:vAlign w:val="center"/>
          </w:tcPr>
          <w:p w14:paraId="5EF6BD5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  <w:highlight w:val="none"/>
              </w:rPr>
              <w:t>P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 value</w:t>
            </w:r>
          </w:p>
        </w:tc>
        <w:tc>
          <w:tcPr>
            <w:tcW w:w="248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3ACB8967">
            <w:pPr>
              <w:rPr>
                <w:rFonts w:ascii="Times New Roman" w:hAnsi="Times New Roman" w:cs="Times New Roman"/>
                <w:i/>
                <w:iCs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2D630E7C">
            <w:pPr>
              <w:rPr>
                <w:rFonts w:ascii="Times New Roman" w:hAnsi="Times New Roman" w:cs="Times New Roman"/>
                <w:i/>
                <w:iCs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Multivariate analysis</w:t>
            </w:r>
          </w:p>
        </w:tc>
        <w:tc>
          <w:tcPr>
            <w:tcW w:w="386" w:type="pct"/>
            <w:vMerge w:val="restart"/>
            <w:tcBorders>
              <w:top w:val="single" w:color="000000" w:themeColor="text1" w:sz="8" w:space="0"/>
              <w:left w:val="nil"/>
              <w:right w:val="nil"/>
            </w:tcBorders>
            <w:vAlign w:val="center"/>
          </w:tcPr>
          <w:p w14:paraId="4C2F6B4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P value</w:t>
            </w:r>
          </w:p>
        </w:tc>
      </w:tr>
      <w:tr w14:paraId="32FBF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vMerge w:val="continue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7E8B037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5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361206B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Response </w:t>
            </w:r>
            <w:r>
              <w:rPr>
                <w:rFonts w:ascii="Times New Roman" w:hAnsi="Times New Roman" w:cs="Times New Roman"/>
                <w:i/>
                <w:iCs/>
                <w:szCs w:val="21"/>
                <w:highlight w:val="none"/>
              </w:rPr>
              <w:t>n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 (%)</w:t>
            </w:r>
          </w:p>
        </w:tc>
        <w:tc>
          <w:tcPr>
            <w:tcW w:w="722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6C9768F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No response </w:t>
            </w:r>
            <w:r>
              <w:rPr>
                <w:rFonts w:ascii="Times New Roman" w:hAnsi="Times New Roman" w:cs="Times New Roman"/>
                <w:i/>
                <w:iCs/>
                <w:szCs w:val="21"/>
                <w:highlight w:val="none"/>
              </w:rPr>
              <w:t>n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 (%)</w:t>
            </w:r>
          </w:p>
        </w:tc>
        <w:tc>
          <w:tcPr>
            <w:tcW w:w="380" w:type="pct"/>
            <w:vMerge w:val="continue"/>
            <w:tcBorders>
              <w:left w:val="nil"/>
              <w:bottom w:val="single" w:color="000000" w:themeColor="text1" w:sz="8" w:space="0"/>
              <w:right w:val="nil"/>
            </w:tcBorders>
          </w:tcPr>
          <w:p w14:paraId="07A30CE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1532918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50057D7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OR ( 95% CI )</w:t>
            </w:r>
          </w:p>
        </w:tc>
        <w:tc>
          <w:tcPr>
            <w:tcW w:w="386" w:type="pct"/>
            <w:vMerge w:val="continue"/>
            <w:tcBorders>
              <w:left w:val="nil"/>
              <w:bottom w:val="single" w:color="000000" w:themeColor="text1" w:sz="8" w:space="0"/>
              <w:right w:val="nil"/>
            </w:tcBorders>
          </w:tcPr>
          <w:p w14:paraId="7DAB62D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0AB9B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07DE8BE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Gender</w:t>
            </w:r>
          </w:p>
        </w:tc>
        <w:tc>
          <w:tcPr>
            <w:tcW w:w="725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7FA96E4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21F9CD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07534A6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0.974</w:t>
            </w:r>
          </w:p>
        </w:tc>
        <w:tc>
          <w:tcPr>
            <w:tcW w:w="248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2158FC0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6DC9400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5CAA422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5DF94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F23F00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Male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679A8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(7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.7)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9FD10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12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(2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.3)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221AC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6966E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9EAC3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41F8F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0867C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740F27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Female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76207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70.4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C7374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29.6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A0DA1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DC684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9901D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E7BE9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7D43F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50A04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Age (years)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20F90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FDDD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2D294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0.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459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95924A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19E047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BDAA87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</w:tr>
      <w:tr w14:paraId="44B41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D011A3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&lt; 40 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41758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65.4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478C2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34.6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D947A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9FB40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C9636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F651F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6D05E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F95E63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≥ 40 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A6C81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31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73.8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57092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 xml:space="preserve">11 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26.2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07CFA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B5038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754C95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BD58D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0E4931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65AC6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Diagnosis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292C60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C4BF2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E5501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0.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016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3E9345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A47CEF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599F83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0.018</w:t>
            </w:r>
          </w:p>
        </w:tc>
      </w:tr>
      <w:tr w14:paraId="2DE1A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F8AA23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AML </w:t>
            </w:r>
            <w:r>
              <w:rPr>
                <w:rFonts w:ascii="Times New Roman" w:hAnsi="Times New Roman" w:cs="Times New Roman"/>
                <w:i/>
                <w:iCs/>
                <w:szCs w:val="21"/>
                <w:highlight w:val="none"/>
                <w:lang w:bidi="ar"/>
              </w:rPr>
              <w:t>de novo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A3CE4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45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(7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2CE07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(2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AC264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460F2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BEE61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8EB5C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5E803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4C83CAB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Secondary AML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0CC492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3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33.3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8205A7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 xml:space="preserve">6 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66.7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3BE25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66422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03936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8.330 (1.429 - 48.554)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A3A9EB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AFB6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EAE04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Antecedent 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allo-HSCT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AAED7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63E63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847D7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0.349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CE06C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E63A1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4F304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6D226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62DD27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CB164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45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72.6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229E5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27.4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20ABA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65BC7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EFB43A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5EEFC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2D20A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5642A7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47EF0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50.0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AA1B7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50.0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EC6CF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1DE7B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4E83E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2853B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D7CD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0A4D00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Past HMA exposure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38D4C9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48106A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AA93D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0.303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F6771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142D0D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B51D59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54022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78C1621D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DDFC41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37 (74.0)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231E0F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13 (26.0)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44F42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563ED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B4FE4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8B59D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74812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717DB373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E5A3F74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11 (61.1)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7414EEF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 (38.9)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7E022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25C8D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96DA2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A3C52F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B757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4308A484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Treatment groups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9C3BF0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B433D1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34934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0.028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D03913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E5E2D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3C041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0.058</w:t>
            </w:r>
          </w:p>
        </w:tc>
      </w:tr>
      <w:tr w14:paraId="04512D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04BEAA0E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HMA + CAG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8E7B75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27 (61.4)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22FCF6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17 (38.6)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4F51D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02A0D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0E1DAE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97DEF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4E668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3944BE91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shd w:val="clear" w:color="auto" w:fill="FFFFFF"/>
              </w:rPr>
              <w:t xml:space="preserve">Tislelizumab 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+ HMA + CAG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4F8C5B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21 (87.5)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C84412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 (12.5)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E8252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4E729D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3D8FB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0.239 (0.054 - 1.053)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BF8BE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06B63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D93EBC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Disease status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C8A9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21314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6C40D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0.763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FF6B7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BCA906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512363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F7A6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733C83E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Refractory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959DD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71.7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D4CDC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28.3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E6CCC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4B538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5CF217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44263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6976D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6C70AA9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Relapse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CF0BC5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68.2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76A31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31.8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5A528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1D34A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7AA1B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29A032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4C491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03678B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Bone marrow blast (%)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C19B1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268557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A39D5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0.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741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D79D52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BB2BA7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3868FD8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</w:tr>
      <w:tr w14:paraId="621EC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A88AFFB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&lt; 40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8D3FF3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69.1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7F36C7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30.9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095495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2B008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EBFC27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94020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279F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9B950C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≥ 40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B1BF2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76.9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002F0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23.1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19589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869720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492F9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2B3B02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7263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CBF8BB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ELN 2022 risk classification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B5F5C8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46E694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CADE9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0.075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3CAB128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FB2513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C9FFB4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0.172</w:t>
            </w:r>
          </w:p>
        </w:tc>
      </w:tr>
      <w:tr w14:paraId="2DB96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962EDA4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Favorable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43ACC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88.2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48465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11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BEDDE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E53DB8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218D5F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D5CA2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7DF94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CCF11D0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Intermediate/Adverse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EB2E3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64.7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58725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18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(3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F27010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65EE3F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15D9CE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3.216 (0.601 - 17.204)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59400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7B8F99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A7CAF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Normal karyotype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3229AF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1A077E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25E31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0.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504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C86C0D3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8A05112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952E106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</w:tr>
      <w:tr w14:paraId="48B887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1188A5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B3F08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21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(7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81FCCB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25.0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FDD94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86681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65423A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E7B93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2B4F88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A373A58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3C6378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27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67.5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4D360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13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 xml:space="preserve"> 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  <w:lang w:bidi="ar"/>
              </w:rPr>
              <w:t>32.5</w:t>
            </w:r>
            <w: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B1E40F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2AE69A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18923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1AE6B1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0572B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33ADD4">
            <w:pPr>
              <w:jc w:val="left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DNA 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ethylation-related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 xml:space="preserve"> mutation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vertAlign w:val="superscript"/>
                <w:lang w:bidi="ar"/>
              </w:rPr>
              <w:t>a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AA05B0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D0300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CF16E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0.455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AF0CD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8B606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BFF1FC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61CF7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C0387FA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8454F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29 (67.4)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5BD5F9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14 (32.6)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D08794D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9222BD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F942D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85A9C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1934A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21BB1C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141DB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19 (76.0)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C4580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6 (24.0)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E721C5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AB65C7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106552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FD0EF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40F8E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4EA019">
            <w:pPr>
              <w:jc w:val="left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ascii="Times New Roman" w:hAnsi="Times New Roman" w:eastAsia="Segoe UI" w:cs="Times New Roman"/>
                <w:szCs w:val="21"/>
                <w:highlight w:val="none"/>
                <w:shd w:val="clear" w:color="auto" w:fill="FFFFFF"/>
              </w:rPr>
              <w:t>RAS pathway-related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vertAlign w:val="superscript"/>
                <w:lang w:bidi="ar"/>
              </w:rPr>
              <w:t>a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760A55E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1B4C929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F9604B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0.727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93F734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236A81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DA40E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29659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8F4DFD6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53BE79D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34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69.4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63147D3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15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30.6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9D690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0D329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FF1CC0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A2CF2A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E578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94BC8BA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B6056B2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14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73.7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9EABD50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5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2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6.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3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6D66F4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9135D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6FCC6A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A5DDF9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DA38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EA5FA04">
            <w:pPr>
              <w:jc w:val="left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Transcription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-related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vertAlign w:val="superscript"/>
                <w:lang w:bidi="ar"/>
              </w:rPr>
              <w:t>a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075426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D8004F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4B320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0.147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CB01A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50B7AB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46E7C4E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51A1A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67ECCB3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97FBCA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27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64.3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04753368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15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35.7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41BD0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7FC86E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DCF7CC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BF358C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5F19C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6FEF06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B3180E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21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80.8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52A57C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5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19.2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476934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3FC31A1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D08C17C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F37D4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6A88DC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C0E507F">
            <w:pPr>
              <w:jc w:val="left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RNA splicing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-related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 gene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 xml:space="preserve"> mutations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highlight w:val="none"/>
                <w:vertAlign w:val="superscript"/>
                <w:lang w:bidi="ar"/>
              </w:rPr>
              <w:t>a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C33175D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5F14351B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25464359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1.000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3926E73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3A3DF55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70BBAA8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3DA520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F849DCD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No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DA67360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42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70.0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35A502AA">
            <w:pPr>
              <w:rPr>
                <w:rFonts w:ascii="Times New Roman" w:hAnsi="Times New Roman" w:cs="Times New Roman"/>
                <w:szCs w:val="21"/>
                <w:highlight w:val="none"/>
                <w:lang w:bidi="ar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18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30.0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66416F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18D1C817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42F5E356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vAlign w:val="center"/>
          </w:tcPr>
          <w:p w14:paraId="6E1F30E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  <w:tr w14:paraId="04C0F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99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02E592F5">
            <w:pPr>
              <w:ind w:firstLine="210" w:firstLineChars="100"/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highlight w:val="none"/>
                <w:lang w:bidi="ar"/>
              </w:rPr>
              <w:t>Yes</w:t>
            </w:r>
          </w:p>
        </w:tc>
        <w:tc>
          <w:tcPr>
            <w:tcW w:w="725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3C437F7F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6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75.0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722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047EF15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  <w:r>
              <w:rPr>
                <w:rFonts w:ascii="Times New Roman" w:hAnsi="Times New Roman" w:cs="Times New Roman"/>
                <w:szCs w:val="21"/>
                <w:highlight w:val="none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(</w:t>
            </w:r>
            <w:r>
              <w:rPr>
                <w:rFonts w:hint="eastAsia" w:ascii="Times New Roman" w:hAnsi="Times New Roman" w:cs="Times New Roman"/>
                <w:szCs w:val="21"/>
                <w:highlight w:val="none"/>
              </w:rPr>
              <w:t>25.0</w:t>
            </w:r>
            <w:r>
              <w:rPr>
                <w:rFonts w:ascii="Times New Roman" w:hAnsi="Times New Roman" w:cs="Times New Roman"/>
                <w:szCs w:val="21"/>
                <w:highlight w:val="none"/>
              </w:rPr>
              <w:t>)</w:t>
            </w:r>
          </w:p>
        </w:tc>
        <w:tc>
          <w:tcPr>
            <w:tcW w:w="380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14FDB562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6424201B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58F08BCA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1F2FB860">
            <w:pPr>
              <w:rPr>
                <w:rFonts w:ascii="Times New Roman" w:hAnsi="Times New Roman" w:cs="Times New Roman"/>
                <w:szCs w:val="21"/>
                <w:highlight w:val="none"/>
              </w:rPr>
            </w:pPr>
          </w:p>
        </w:tc>
      </w:tr>
    </w:tbl>
    <w:p w14:paraId="798D3877">
      <w:pP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Cs w:val="21"/>
          <w:highlight w:val="none"/>
          <w:vertAlign w:val="superscript"/>
          <w:lang w:bidi="ar"/>
        </w:rPr>
        <w:t>a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>DNA methylation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>-related gene mutation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include TET2, DNMT3A, IDH1, IDH2, and WT1. </w:t>
      </w:r>
      <w:r>
        <w:rPr>
          <w:rFonts w:ascii="Times New Roman" w:hAnsi="Times New Roman" w:eastAsia="Segoe UI" w:cs="Times New Roman"/>
          <w:szCs w:val="21"/>
          <w:highlight w:val="none"/>
          <w:shd w:val="clear" w:color="auto" w:fill="FFFFFF"/>
        </w:rPr>
        <w:t>RAS pathway-related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include KRAS, NRAS, FTL3-ITD, PTPN11, KIT, and CBL. </w:t>
      </w:r>
      <w:r>
        <w:rPr>
          <w:rFonts w:ascii="Times New Roman" w:hAnsi="Times New Roman" w:cs="Times New Roman"/>
          <w:szCs w:val="21"/>
          <w:highlight w:val="none"/>
        </w:rPr>
        <w:t>Transcription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>-related</w:t>
      </w:r>
      <w:r>
        <w:rPr>
          <w:rFonts w:ascii="Times New Roman" w:hAnsi="Times New Roman" w:cs="Times New Roman"/>
          <w:szCs w:val="21"/>
          <w:highlight w:val="none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include RUNX1, BCOR, CEBPA, and NPM1. </w:t>
      </w:r>
      <w:r>
        <w:rPr>
          <w:rFonts w:ascii="Times New Roman" w:hAnsi="Times New Roman" w:cs="Times New Roman"/>
          <w:szCs w:val="21"/>
          <w:highlight w:val="none"/>
        </w:rPr>
        <w:t>RNA splicing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>-related</w:t>
      </w:r>
      <w:r>
        <w:rPr>
          <w:rFonts w:hint="eastAsia" w:ascii="Times New Roman" w:hAnsi="Times New Roman" w:cs="Times New Roman"/>
          <w:szCs w:val="21"/>
          <w:highlight w:val="none"/>
        </w:rPr>
        <w:t xml:space="preserve"> gene</w:t>
      </w:r>
      <w:r>
        <w:rPr>
          <w:rFonts w:hint="eastAsia"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mutations</w:t>
      </w:r>
      <w:r>
        <w:rPr>
          <w:rFonts w:ascii="Times New Roman" w:hAnsi="Times New Roman" w:eastAsia="宋体" w:cs="Times New Roman"/>
          <w:color w:val="000000"/>
          <w:kern w:val="0"/>
          <w:szCs w:val="21"/>
          <w:highlight w:val="none"/>
          <w:lang w:bidi="ar"/>
        </w:rPr>
        <w:t xml:space="preserve"> include SRSF2 and U2AF1.</w:t>
      </w:r>
    </w:p>
    <w:p w14:paraId="39BC317B">
      <w:pPr>
        <w:rPr>
          <w:rFonts w:ascii="Times New Roman" w:hAnsi="Times New Roman" w:cs="Times New Roman"/>
          <w:sz w:val="20"/>
          <w:szCs w:val="20"/>
          <w:highlight w:val="none"/>
        </w:rPr>
      </w:pPr>
      <w:r>
        <w:rPr>
          <w:rFonts w:hint="eastAsia" w:ascii="Times New Roman" w:hAnsi="Times New Roman" w:cs="Times New Roman"/>
          <w:sz w:val="20"/>
          <w:szCs w:val="20"/>
          <w:highlight w:val="none"/>
        </w:rPr>
        <w:t>allo-HSCT</w:t>
      </w:r>
      <w:r>
        <w:rPr>
          <w:rFonts w:ascii="Times New Roman" w:hAnsi="Times New Roman" w:cs="Times New Roman"/>
          <w:sz w:val="20"/>
          <w:szCs w:val="20"/>
          <w:highlight w:val="none"/>
        </w:rPr>
        <w:t>, allogeneic hematopoietic stem cell transplantation; AML, acute myeloid leukemia;</w:t>
      </w:r>
      <w:r>
        <w:rPr>
          <w:rFonts w:ascii="Times New Roman" w:hAnsi="Times New Roman"/>
          <w:sz w:val="20"/>
          <w:szCs w:val="20"/>
          <w:highlight w:val="none"/>
        </w:rPr>
        <w:t xml:space="preserve"> ASXL1, additional sex comb like 1; CEBPA-bZip</w:t>
      </w:r>
      <w:r>
        <w:rPr>
          <w:rFonts w:ascii="Times New Roman" w:hAnsi="Times New Roman" w:cs="Times New Roman"/>
          <w:sz w:val="20"/>
          <w:szCs w:val="20"/>
          <w:highlight w:val="none"/>
          <w:shd w:val="clear" w:color="auto" w:fill="FFFFFF"/>
        </w:rPr>
        <w:t>, CCAAT/enhancer-binding protein α-</w:t>
      </w:r>
      <w:r>
        <w:rPr>
          <w:rFonts w:ascii="Arial" w:hAnsi="Arial" w:cs="Arial"/>
          <w:color w:val="1F1F1F"/>
          <w:sz w:val="20"/>
          <w:szCs w:val="20"/>
          <w:highlight w:val="non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none"/>
          <w:shd w:val="clear" w:color="auto" w:fill="FFFFFF"/>
        </w:rPr>
        <w:t>basic leucine zipper;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 </w:t>
      </w:r>
      <w:r>
        <w:rPr>
          <w:rFonts w:hint="eastAsia"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w:t xml:space="preserve">HMA, 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w:t>hypomethylating agent</w:t>
      </w:r>
      <w:r>
        <w:rPr>
          <w:rFonts w:hint="eastAsia"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  <w:t>CAG, decitabine/</w:t>
      </w:r>
      <w:r>
        <w:rPr>
          <w:rFonts w:ascii="Times New Roman" w:hAnsi="Times New Roman" w:cs="Times New Roman"/>
          <w:sz w:val="20"/>
          <w:szCs w:val="20"/>
          <w:highlight w:val="none"/>
          <w:shd w:val="clear" w:color="auto" w:fill="FFFFFF"/>
        </w:rPr>
        <w:t xml:space="preserve">azacitidine, 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  <w:t xml:space="preserve">cytarabine, </w:t>
      </w:r>
      <w:r>
        <w:rPr>
          <w:rFonts w:ascii="Times New Roman" w:hAnsi="Times New Roman" w:cs="Times New Roman"/>
          <w:sz w:val="20"/>
          <w:szCs w:val="20"/>
          <w:highlight w:val="none"/>
        </w:rPr>
        <w:t>idarubicin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  <w:t>/aclarubicin</w:t>
      </w:r>
      <w:r>
        <w:rPr>
          <w:rFonts w:hint="eastAsia" w:ascii="Times New Roman" w:hAnsi="Times New Roman" w:cs="Times New Roman"/>
          <w:color w:val="000000"/>
          <w:sz w:val="20"/>
          <w:szCs w:val="20"/>
          <w:highlight w:val="none"/>
        </w:rPr>
        <w:t>, G-CSF</w:t>
      </w:r>
      <w:r>
        <w:rPr>
          <w:rFonts w:ascii="Times New Roman" w:hAnsi="Times New Roman" w:cs="Times New Roman"/>
          <w:sz w:val="20"/>
          <w:szCs w:val="20"/>
          <w:highlight w:val="none"/>
          <w:shd w:val="clear" w:color="auto" w:fill="FFFFFF"/>
        </w:rPr>
        <w:t>;</w:t>
      </w:r>
      <w:r>
        <w:rPr>
          <w:rFonts w:ascii="Times New Roman" w:hAnsi="Times New Roman" w:cs="Times New Roman"/>
          <w:sz w:val="20"/>
          <w:szCs w:val="20"/>
          <w:highlight w:val="none"/>
        </w:rPr>
        <w:t xml:space="preserve"> ELN, European LeukemiaNet;</w:t>
      </w:r>
      <w:r>
        <w:rPr>
          <w:rFonts w:ascii="Times New Roman" w:hAnsi="Times New Roman"/>
          <w:sz w:val="20"/>
          <w:szCs w:val="20"/>
          <w:highlight w:val="none"/>
        </w:rPr>
        <w:t xml:space="preserve"> FLT3-ITD,</w:t>
      </w:r>
      <w:r>
        <w:rPr>
          <w:sz w:val="20"/>
          <w:szCs w:val="20"/>
          <w:highlight w:val="none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</w:rPr>
        <w:t>FMS-like tyrosine kinase-3 internal tandem duplication;</w:t>
      </w:r>
      <w:r>
        <w:rPr>
          <w:rFonts w:ascii="Times New Roman" w:hAnsi="Times New Roman" w:cs="Times New Roman"/>
          <w:sz w:val="20"/>
          <w:szCs w:val="20"/>
          <w:highlight w:val="none"/>
          <w:shd w:val="clear" w:color="auto" w:fill="FFFFFF"/>
        </w:rPr>
        <w:t xml:space="preserve"> </w:t>
      </w:r>
      <w:r>
        <w:rPr>
          <w:rFonts w:ascii="Times New Roman" w:hAnsi="Times New Roman"/>
          <w:sz w:val="20"/>
          <w:szCs w:val="20"/>
          <w:highlight w:val="none"/>
        </w:rPr>
        <w:t xml:space="preserve"> RUNX1</w:t>
      </w:r>
      <w:r>
        <w:rPr>
          <w:rFonts w:hint="eastAsia" w:ascii="Times New Roman" w:hAnsi="Times New Roman"/>
          <w:sz w:val="20"/>
          <w:szCs w:val="20"/>
          <w:highlight w:val="none"/>
        </w:rPr>
        <w:t xml:space="preserve">, </w:t>
      </w:r>
      <w:r>
        <w:rPr>
          <w:rFonts w:ascii="Times New Roman" w:hAnsi="Times New Roman"/>
          <w:sz w:val="20"/>
          <w:szCs w:val="20"/>
          <w:highlight w:val="none"/>
        </w:rPr>
        <w:t>runt-related transcription factor 1;TET2</w:t>
      </w:r>
      <w:r>
        <w:rPr>
          <w:rFonts w:hint="eastAsia" w:ascii="Times New Roman" w:hAnsi="Times New Roman"/>
          <w:sz w:val="20"/>
          <w:szCs w:val="20"/>
          <w:highlight w:val="none"/>
        </w:rPr>
        <w:t xml:space="preserve">, </w:t>
      </w:r>
      <w:r>
        <w:rPr>
          <w:rFonts w:ascii="Times New Roman" w:hAnsi="Times New Roman"/>
          <w:sz w:val="20"/>
          <w:szCs w:val="20"/>
          <w:highlight w:val="none"/>
        </w:rPr>
        <w:t>ten-eleven translocation 2; U2AF1,U2 small nuclear RNA auxiliary factor 1</w:t>
      </w:r>
      <w:r>
        <w:rPr>
          <w:rFonts w:hint="eastAsia" w:ascii="Times New Roman" w:hAnsi="Times New Roman"/>
          <w:sz w:val="20"/>
          <w:szCs w:val="20"/>
          <w:highlight w:val="none"/>
        </w:rPr>
        <w:t>.</w:t>
      </w:r>
    </w:p>
    <w:p w14:paraId="03C30617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color w:val="000000"/>
          <w:szCs w:val="21"/>
        </w:rPr>
      </w:pPr>
    </w:p>
    <w:p w14:paraId="6BCD61FE"/>
    <w:p w14:paraId="41352B9C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FD6CD86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Table </w:t>
      </w:r>
      <w:r>
        <w:rPr>
          <w:rFonts w:hint="eastAsia" w:ascii="Times New Roman" w:hAnsi="Times New Roman" w:cs="Times New Roman"/>
          <w:b/>
          <w:color w:val="000000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Hematologic and nonhematologic treatment-related toxicities of </w:t>
      </w:r>
      <w:r>
        <w:rPr>
          <w:rFonts w:hint="eastAsia" w:ascii="Times New Roman" w:hAnsi="Times New Roman" w:cs="Times New Roman"/>
          <w:szCs w:val="21"/>
        </w:rPr>
        <w:t>all</w:t>
      </w:r>
      <w:r>
        <w:rPr>
          <w:rFonts w:ascii="Times New Roman" w:hAnsi="Times New Roman" w:cs="Times New Roman"/>
          <w:szCs w:val="21"/>
        </w:rPr>
        <w:t xml:space="preserve"> cycle</w:t>
      </w:r>
      <w:r>
        <w:rPr>
          <w:rFonts w:hint="eastAsia"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 xml:space="preserve">in </w:t>
      </w:r>
      <w:r>
        <w:rPr>
          <w:rFonts w:ascii="Times New Roman" w:hAnsi="Times New Roman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  <w:shd w:val="clear" w:color="auto" w:fill="FFFFFF"/>
        </w:rPr>
        <w:t>t</w:t>
      </w:r>
      <w:r>
        <w:rPr>
          <w:rFonts w:hint="eastAsia" w:ascii="Times New Roman" w:hAnsi="Times New Roman" w:cs="Times New Roman"/>
          <w:szCs w:val="21"/>
          <w:shd w:val="clear" w:color="auto" w:fill="FFFFFF"/>
        </w:rPr>
        <w:t xml:space="preserve">islelizumab </w:t>
      </w:r>
      <w:r>
        <w:rPr>
          <w:rFonts w:hint="eastAsia" w:ascii="Times New Roman" w:hAnsi="Times New Roman" w:cs="Times New Roman"/>
          <w:szCs w:val="21"/>
        </w:rPr>
        <w:t>+ HMA + CAG group</w:t>
      </w:r>
      <w:r>
        <w:rPr>
          <w:rFonts w:hint="eastAsia" w:ascii="Times New Roman" w:hAnsi="Times New Roman" w:cs="Times New Roman"/>
          <w:szCs w:val="21"/>
          <w:vertAlign w:val="superscript"/>
        </w:rPr>
        <w:t>*</w:t>
      </w:r>
    </w:p>
    <w:tbl>
      <w:tblPr>
        <w:tblStyle w:val="6"/>
        <w:tblpPr w:leftFromText="180" w:rightFromText="180" w:vertAnchor="text" w:horzAnchor="margin" w:tblpY="12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92"/>
        <w:gridCol w:w="1001"/>
        <w:gridCol w:w="1001"/>
        <w:gridCol w:w="997"/>
        <w:gridCol w:w="1007"/>
        <w:gridCol w:w="1024"/>
      </w:tblGrid>
      <w:tr w14:paraId="3598F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vMerge w:val="restart"/>
            <w:tcBorders>
              <w:top w:val="single" w:color="000000" w:themeColor="text1" w:sz="8" w:space="0"/>
              <w:left w:val="nil"/>
              <w:bottom w:val="nil"/>
              <w:right w:val="nil"/>
            </w:tcBorders>
          </w:tcPr>
          <w:p w14:paraId="5E975CF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Adverse event </w:t>
            </w:r>
          </w:p>
        </w:tc>
        <w:tc>
          <w:tcPr>
            <w:tcW w:w="2350" w:type="pct"/>
            <w:gridSpan w:val="4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6FD5DD3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Grade</w:t>
            </w:r>
          </w:p>
        </w:tc>
        <w:tc>
          <w:tcPr>
            <w:tcW w:w="601" w:type="pct"/>
            <w:vMerge w:val="restar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7A94B2B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Total</w:t>
            </w:r>
          </w:p>
        </w:tc>
      </w:tr>
      <w:tr w14:paraId="4DC4B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vMerge w:val="continue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491FB653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shd w:val="clear" w:color="auto" w:fill="auto"/>
          </w:tcPr>
          <w:p w14:paraId="60A27D3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587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54A9C8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585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1077C85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90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</w:tcPr>
          <w:p w14:paraId="5E4E5CF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601" w:type="pct"/>
            <w:vMerge w:val="continue"/>
            <w:tcBorders>
              <w:top w:val="nil"/>
              <w:left w:val="nil"/>
              <w:bottom w:val="single" w:color="000000" w:themeColor="text1" w:sz="8" w:space="0"/>
              <w:right w:val="nil"/>
            </w:tcBorders>
          </w:tcPr>
          <w:p w14:paraId="7F507C7D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5D519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0F13FBD7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Immune-related adverse events</w:t>
            </w:r>
          </w:p>
        </w:tc>
        <w:tc>
          <w:tcPr>
            <w:tcW w:w="587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1205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0232EDD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76DB46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552A482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 w14:paraId="521DD3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DFFC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F7920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Immune-related thyroiditis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6687F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A98D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(2.3)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845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ED5D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E7EB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(2.3)</w:t>
            </w:r>
          </w:p>
        </w:tc>
      </w:tr>
      <w:tr w14:paraId="3BE17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667B8">
            <w:pPr>
              <w:widowControl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Infection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5BA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3993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91F5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4BA3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8362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D425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14593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Febrile neutropenia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6F1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2A7E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21(48.8)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F24F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A542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C15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1(48.8)</w:t>
            </w:r>
          </w:p>
        </w:tc>
      </w:tr>
      <w:tr w14:paraId="1B975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B4E4C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Lung infection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77D7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63A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7(16.3)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9073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6296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0757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8(18.6)</w:t>
            </w:r>
          </w:p>
        </w:tc>
      </w:tr>
      <w:tr w14:paraId="187D33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CF139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Sepsis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EED85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84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4(9.3)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D94A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DCEF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8FDC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4(9.3)</w:t>
            </w:r>
          </w:p>
        </w:tc>
      </w:tr>
      <w:tr w14:paraId="5D903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BD9C3">
            <w:pPr>
              <w:ind w:firstLine="210" w:firstLineChars="100"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Small intestine infection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4DC18B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6B1B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hint="eastAsia" w:ascii="Times New Roman" w:hAnsi="Times New Roman" w:cs="Times New Roman"/>
              </w:rPr>
              <w:t>(4.7)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C602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3AC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93EE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hint="eastAsia" w:ascii="Times New Roman" w:hAnsi="Times New Roman" w:cs="Times New Roman"/>
              </w:rPr>
              <w:t>(4.7)</w:t>
            </w:r>
          </w:p>
        </w:tc>
      </w:tr>
      <w:tr w14:paraId="3644E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FF99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Anal mucositis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80ED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4D61D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F168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FECF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2BB3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</w:rPr>
              <w:t>(2.3)</w:t>
            </w:r>
          </w:p>
        </w:tc>
      </w:tr>
      <w:tr w14:paraId="26B4C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DAF0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Hematologic treatment-related toxicities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0827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946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419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130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3A16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7410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DBF66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Neutropenia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746C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41(95.3)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D3FF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BD7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281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E5F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43(100)</w:t>
            </w:r>
          </w:p>
        </w:tc>
      </w:tr>
      <w:tr w14:paraId="234518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2EA25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Thrombocytopenia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9D669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41(95.3)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627F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9136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9AE2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C062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43(100)</w:t>
            </w:r>
          </w:p>
        </w:tc>
      </w:tr>
      <w:tr w14:paraId="7D01D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F9CA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Anemia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89D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04E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41(95.3)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C014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A642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D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43(100)</w:t>
            </w:r>
          </w:p>
        </w:tc>
      </w:tr>
      <w:tr w14:paraId="484D3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5F4D7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Nonhematologic treatment-related toxicities 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EBD2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ACA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AC76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FECC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BFAB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03058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7BD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Blood bilirubin increased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1609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461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029E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3C78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951D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</w:tr>
      <w:tr w14:paraId="51382F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6F15F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Gamma-glutamyltransferase increased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26903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89D5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8E2B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DF3E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2969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</w:tr>
      <w:tr w14:paraId="4BB9C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4B7AB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cs="Times New Roman"/>
                <w:lang w:bidi="ar"/>
              </w:rPr>
              <w:t>Hyperglycemia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87029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B7B9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0A7F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9A33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76B2E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</w:tr>
      <w:tr w14:paraId="27072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DB34A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Hyperphosphatemia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3DFB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3B6F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28454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6191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2C997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</w:tr>
      <w:tr w14:paraId="7C88A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B06A0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Hypocalcemia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A008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224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DF20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39EC8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3BA8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</w:tr>
      <w:tr w14:paraId="64B49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6124E7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Hypokalemia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D183A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4F11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2D60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8B07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5(11.6)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079A3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5(11.6)</w:t>
            </w:r>
          </w:p>
        </w:tc>
      </w:tr>
      <w:tr w14:paraId="13A483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03D82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Hypophosphatemia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48E9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067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67F2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C816B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B47F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</w:tr>
      <w:tr w14:paraId="0BCC8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439B81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Pericardial effusion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B1764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3A0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0F300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24C0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6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C113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1(2.3)</w:t>
            </w:r>
          </w:p>
        </w:tc>
      </w:tr>
      <w:tr w14:paraId="6ECA8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47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4011895E">
            <w:pPr>
              <w:widowControl/>
              <w:ind w:firstLine="210" w:firstLineChars="100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Pleural effusion</w:t>
            </w:r>
          </w:p>
        </w:tc>
        <w:tc>
          <w:tcPr>
            <w:tcW w:w="587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7BCFC3B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6C9566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85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3A7AED0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18E5046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24E7E1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2(4.7)</w:t>
            </w:r>
          </w:p>
        </w:tc>
      </w:tr>
    </w:tbl>
    <w:p w14:paraId="6A7F4AF3">
      <w:pPr>
        <w:autoSpaceDE w:val="0"/>
        <w:autoSpaceDN w:val="0"/>
        <w:spacing w:before="100" w:beforeAutospacing="1"/>
        <w:contextualSpacing/>
        <w:rPr>
          <w:rFonts w:ascii="TimesNewRomanPSMT" w:hAnsi="TimesNewRomanPSMT" w:cs="TimesNewRomanPSMT"/>
          <w:b/>
          <w:szCs w:val="21"/>
        </w:rPr>
      </w:pPr>
      <w:r>
        <w:rPr>
          <w:rFonts w:ascii="Times New Roman" w:hAnsi="Times New Roman" w:cs="Times New Roman"/>
        </w:rPr>
        <w:t xml:space="preserve">All data are shown as number of patients (%). </w:t>
      </w: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>The addition of patients attending each treatment visits (treatment cycles) adds up to 2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+ </w:t>
      </w:r>
      <w:r>
        <w:rPr>
          <w:rFonts w:hint="eastAsia" w:ascii="Times New Roman" w:hAnsi="Times New Roman" w:cs="Times New Roman"/>
          <w:szCs w:val="21"/>
        </w:rPr>
        <w:t>15</w:t>
      </w:r>
      <w:r>
        <w:rPr>
          <w:rFonts w:ascii="Times New Roman" w:hAnsi="Times New Roman" w:cs="Times New Roman"/>
          <w:szCs w:val="21"/>
        </w:rPr>
        <w:t xml:space="preserve"> + </w:t>
      </w:r>
      <w:r>
        <w:rPr>
          <w:rFonts w:hint="eastAsia"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/>
          <w:szCs w:val="21"/>
        </w:rPr>
        <w:t xml:space="preserve"> = </w:t>
      </w:r>
      <w:r>
        <w:rPr>
          <w:rFonts w:hint="eastAsia" w:ascii="Times New Roman" w:hAnsi="Times New Roman" w:cs="Times New Roman"/>
          <w:szCs w:val="21"/>
        </w:rPr>
        <w:t>43.</w:t>
      </w:r>
    </w:p>
    <w:p w14:paraId="306B454A"/>
    <w:p w14:paraId="1E4DE8C6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DE7B2F2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  <w:t>Supplementary</w:t>
      </w:r>
      <w:r>
        <w:rPr>
          <w:rFonts w:ascii="Times New Roman" w:hAnsi="Times New Roman" w:cs="Times New Roman"/>
          <w:b/>
          <w:color w:val="000000"/>
          <w:szCs w:val="21"/>
        </w:rPr>
        <w:t xml:space="preserve"> Table</w:t>
      </w:r>
      <w:r>
        <w:rPr>
          <w:rFonts w:hint="eastAsia" w:ascii="Times New Roman" w:hAnsi="Times New Roman" w:cs="Times New Roman"/>
          <w:b/>
          <w:color w:val="000000"/>
          <w:szCs w:val="21"/>
        </w:rPr>
        <w:t xml:space="preserve"> 5</w:t>
      </w:r>
      <w:r>
        <w:rPr>
          <w:rFonts w:ascii="Times New Roman" w:hAnsi="Times New Roman" w:cs="Times New Roman"/>
          <w:szCs w:val="21"/>
        </w:rPr>
        <w:t xml:space="preserve"> Hematologic and nonhematologic treatment-related toxicities of </w:t>
      </w:r>
      <w:r>
        <w:rPr>
          <w:rFonts w:hint="eastAsia" w:ascii="Times New Roman" w:hAnsi="Times New Roman" w:cs="Times New Roman"/>
          <w:szCs w:val="21"/>
        </w:rPr>
        <w:t>all</w:t>
      </w:r>
      <w:r>
        <w:rPr>
          <w:rFonts w:ascii="Times New Roman" w:hAnsi="Times New Roman" w:cs="Times New Roman"/>
          <w:szCs w:val="21"/>
        </w:rPr>
        <w:t xml:space="preserve"> cycle</w:t>
      </w:r>
      <w:r>
        <w:rPr>
          <w:rFonts w:hint="eastAsia" w:ascii="Times New Roman" w:hAnsi="Times New Roman" w:cs="Times New Roman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in historical control group</w:t>
      </w:r>
      <w:r>
        <w:rPr>
          <w:rFonts w:hint="eastAsia" w:ascii="Times New Roman" w:hAnsi="Times New Roman" w:cs="Times New Roman"/>
          <w:szCs w:val="21"/>
          <w:vertAlign w:val="superscript"/>
        </w:rPr>
        <w:t>*</w:t>
      </w:r>
    </w:p>
    <w:tbl>
      <w:tblPr>
        <w:tblStyle w:val="6"/>
        <w:tblpPr w:leftFromText="180" w:rightFromText="180" w:vertAnchor="text" w:horzAnchor="margin" w:tblpY="90"/>
        <w:tblOverlap w:val="never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27"/>
        <w:gridCol w:w="934"/>
        <w:gridCol w:w="934"/>
        <w:gridCol w:w="902"/>
        <w:gridCol w:w="907"/>
        <w:gridCol w:w="1018"/>
      </w:tblGrid>
      <w:tr w14:paraId="2C906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vMerge w:val="restart"/>
            <w:tcBorders>
              <w:top w:val="single" w:color="000000" w:themeColor="text1" w:sz="8" w:space="0"/>
              <w:left w:val="single" w:color="FFFFFF" w:sz="8" w:space="0"/>
              <w:bottom w:val="single" w:color="000000" w:themeColor="text1" w:sz="8" w:space="0"/>
              <w:right w:val="single" w:color="FFFFFF" w:sz="4" w:space="0"/>
            </w:tcBorders>
          </w:tcPr>
          <w:p w14:paraId="2CC8BE8A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Adverse event </w:t>
            </w:r>
          </w:p>
        </w:tc>
        <w:tc>
          <w:tcPr>
            <w:tcW w:w="2157" w:type="pct"/>
            <w:gridSpan w:val="4"/>
            <w:tcBorders>
              <w:top w:val="single" w:color="000000" w:themeColor="text1" w:sz="8" w:space="0"/>
              <w:left w:val="single" w:color="FFFFFF" w:sz="4" w:space="0"/>
              <w:bottom w:val="single" w:color="000000" w:themeColor="text1" w:sz="8" w:space="0"/>
              <w:right w:val="single" w:color="FFFFFF" w:sz="4" w:space="0"/>
            </w:tcBorders>
            <w:vAlign w:val="center"/>
          </w:tcPr>
          <w:p w14:paraId="2C4278B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Grade</w:t>
            </w:r>
          </w:p>
        </w:tc>
        <w:tc>
          <w:tcPr>
            <w:tcW w:w="597" w:type="pct"/>
            <w:vMerge w:val="restart"/>
            <w:tcBorders>
              <w:top w:val="single" w:color="000000" w:themeColor="text1" w:sz="8" w:space="0"/>
              <w:left w:val="single" w:color="FFFFFF" w:sz="4" w:space="0"/>
              <w:right w:val="single" w:color="FFFFFF" w:sz="8" w:space="0"/>
            </w:tcBorders>
            <w:vAlign w:val="center"/>
          </w:tcPr>
          <w:p w14:paraId="0D1CFFD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Total</w:t>
            </w:r>
          </w:p>
        </w:tc>
      </w:tr>
      <w:tr w14:paraId="0C85A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vMerge w:val="continue"/>
            <w:tcBorders>
              <w:top w:val="single" w:color="000000" w:themeColor="text1" w:sz="8" w:space="0"/>
              <w:left w:val="single" w:color="FFFFFF" w:sz="8" w:space="0"/>
              <w:bottom w:val="single" w:color="000000" w:themeColor="text1" w:sz="8" w:space="0"/>
              <w:right w:val="single" w:color="FFFFFF" w:sz="4" w:space="0"/>
            </w:tcBorders>
          </w:tcPr>
          <w:p w14:paraId="39F68FE1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000000" w:themeColor="text1" w:sz="8" w:space="0"/>
              <w:left w:val="single" w:color="FFFFFF" w:sz="4" w:space="0"/>
              <w:bottom w:val="single" w:color="000000" w:themeColor="text1" w:sz="8" w:space="0"/>
              <w:right w:val="single" w:color="FFFFFF" w:sz="4" w:space="0"/>
            </w:tcBorders>
          </w:tcPr>
          <w:p w14:paraId="42FA793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548" w:type="pct"/>
            <w:tcBorders>
              <w:top w:val="single" w:color="000000" w:themeColor="text1" w:sz="8" w:space="0"/>
              <w:left w:val="single" w:color="FFFFFF" w:sz="4" w:space="0"/>
              <w:bottom w:val="single" w:color="000000" w:themeColor="text1" w:sz="8" w:space="0"/>
              <w:right w:val="single" w:color="FFFFFF" w:sz="4" w:space="0"/>
            </w:tcBorders>
          </w:tcPr>
          <w:p w14:paraId="1E08071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529" w:type="pct"/>
            <w:tcBorders>
              <w:top w:val="single" w:color="000000" w:themeColor="text1" w:sz="8" w:space="0"/>
              <w:left w:val="single" w:color="FFFFFF" w:sz="4" w:space="0"/>
              <w:bottom w:val="single" w:color="000000" w:themeColor="text1" w:sz="8" w:space="0"/>
              <w:right w:val="single" w:color="FFFFFF" w:sz="4" w:space="0"/>
            </w:tcBorders>
          </w:tcPr>
          <w:p w14:paraId="350509B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532" w:type="pct"/>
            <w:tcBorders>
              <w:top w:val="single" w:color="000000" w:themeColor="text1" w:sz="8" w:space="0"/>
              <w:left w:val="single" w:color="FFFFFF" w:sz="4" w:space="0"/>
              <w:bottom w:val="single" w:color="000000" w:themeColor="text1" w:sz="8" w:space="0"/>
              <w:right w:val="single" w:color="FFFFFF" w:sz="4" w:space="0"/>
            </w:tcBorders>
          </w:tcPr>
          <w:p w14:paraId="1D51D3A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597" w:type="pct"/>
            <w:vMerge w:val="continue"/>
            <w:tcBorders>
              <w:left w:val="single" w:color="FFFFFF" w:sz="4" w:space="0"/>
              <w:bottom w:val="single" w:color="000000" w:themeColor="text1" w:sz="8" w:space="0"/>
              <w:right w:val="single" w:color="FFFFFF" w:sz="8" w:space="0"/>
            </w:tcBorders>
          </w:tcPr>
          <w:p w14:paraId="67323770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14:paraId="49540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000000" w:themeColor="text1" w:sz="8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E942338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Infection</w:t>
            </w:r>
          </w:p>
        </w:tc>
        <w:tc>
          <w:tcPr>
            <w:tcW w:w="548" w:type="pct"/>
            <w:tcBorders>
              <w:top w:val="single" w:color="000000" w:themeColor="text1" w:sz="8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4180D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000000" w:themeColor="text1" w:sz="8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9C0943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000000" w:themeColor="text1" w:sz="8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C0388A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000000" w:themeColor="text1" w:sz="8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E9F4EC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000000" w:themeColor="text1" w:sz="8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209D305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6F76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8AF25B7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Febrile neutropenia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2469E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24(</w:t>
            </w:r>
            <w:r>
              <w:rPr>
                <w:rFonts w:hint="eastAsia" w:ascii="Times New Roman" w:hAnsi="Times New Roman" w:cs="Times New Roman"/>
                <w:szCs w:val="21"/>
              </w:rPr>
              <w:t>40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A3C214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FD51C7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DB12D1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511B7F8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24(40)</w:t>
            </w:r>
          </w:p>
        </w:tc>
      </w:tr>
      <w:tr w14:paraId="684E0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B731C20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Lung infection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A0AEF9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0961F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16(26.7)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A56063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139A65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2BAEB47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16(26.7)</w:t>
            </w:r>
          </w:p>
        </w:tc>
      </w:tr>
      <w:tr w14:paraId="7A49C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52797C2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Septicemia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AF5B09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E85474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A0C839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D217AB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686EB60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</w:tr>
      <w:tr w14:paraId="2B87D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B4AE05A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Bacteremia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28DDA81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70439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81C6ED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5D4B68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1C6A0D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</w:tr>
      <w:tr w14:paraId="1D048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4F8E6EC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Breast</w:t>
            </w: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 xml:space="preserve"> infections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BBFAF2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3AFF0B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FB386F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54E42F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066CF5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44737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0CFF5D3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Perianal abscess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516763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9C12E2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313C39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8444225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3DAA2C5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3(5)</w:t>
            </w:r>
          </w:p>
        </w:tc>
      </w:tr>
      <w:tr w14:paraId="17DB0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CA03EC2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Appendicitis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A944E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685FD9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D5D52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02A6D4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46ADE2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5DC475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922778D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Gallbladder infection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A514B3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BBE710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402749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D40231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108F1FD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07AED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4D9FB5D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Hematologic treatment-related toxicities 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98D090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2A0677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EAE788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653B32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740BE72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207D3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A79B1C5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Neutropenia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9A5C09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58</w:t>
            </w:r>
            <w:r>
              <w:rPr>
                <w:rFonts w:hint="eastAsia" w:ascii="Times New Roman" w:hAnsi="Times New Roman" w:cs="Times New Roman"/>
                <w:szCs w:val="21"/>
              </w:rPr>
              <w:t>(96.7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6D920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(33.3)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2C6F71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603202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20F635D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60(100)</w:t>
            </w:r>
          </w:p>
        </w:tc>
      </w:tr>
      <w:tr w14:paraId="092D0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FEB47F2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Thrombocytopenia 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0341E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58</w:t>
            </w:r>
            <w:r>
              <w:rPr>
                <w:rFonts w:hint="eastAsia" w:ascii="Times New Roman" w:hAnsi="Times New Roman" w:cs="Times New Roman"/>
                <w:szCs w:val="21"/>
              </w:rPr>
              <w:t>(96.7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A7969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</w:rPr>
              <w:t>(33.3)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ED1FF3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938B86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4007E01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60(100)</w:t>
            </w:r>
          </w:p>
        </w:tc>
      </w:tr>
      <w:tr w14:paraId="2F634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FC8EB37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Anemia 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9F4665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5(</w:t>
            </w:r>
            <w:r>
              <w:rPr>
                <w:rFonts w:hint="eastAsia" w:ascii="Times New Roman" w:hAnsi="Times New Roman" w:cs="Times New Roman"/>
                <w:szCs w:val="21"/>
              </w:rPr>
              <w:t>8.3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006C46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55(</w:t>
            </w:r>
            <w:r>
              <w:rPr>
                <w:rFonts w:hint="eastAsia" w:ascii="Times New Roman" w:hAnsi="Times New Roman" w:cs="Times New Roman"/>
                <w:szCs w:val="21"/>
              </w:rPr>
              <w:t>91.7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EA9E1F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64E70D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2A4B8CB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60(100)</w:t>
            </w:r>
          </w:p>
        </w:tc>
      </w:tr>
      <w:tr w14:paraId="1CD09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FC3CF84">
            <w:pPr>
              <w:widowControl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 xml:space="preserve">Nonhematologic treatment-related toxicities 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5FCA55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860B34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0CAAA7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9FAAB3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40872C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6E140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9909E4D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>Alanine aminotransferase increased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C15B2B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776AA1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E672A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36E42E3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6ACDA3D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35161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2058E23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>Aspartate aminotransferase increased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A2A9EF7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0216A2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CF2674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A7029F0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6C05C9A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3FBA5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BFD02BA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  <w:t>Hypoalbuminemia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45E56D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5237261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8BD16F9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927276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6E1F3ED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5954A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A826277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Segoe UI" w:cs="Times New Roman"/>
                <w:szCs w:val="21"/>
                <w:shd w:val="clear" w:color="auto" w:fill="FFFFFF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Diarrhea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70863F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07EFFA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C74B4C2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44731BF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7A4C39D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6AA28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1F744288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Oral ulcer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4A29192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25B6940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685AC156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 w14:paraId="7CB801CA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8" w:space="0"/>
            </w:tcBorders>
            <w:vAlign w:val="center"/>
          </w:tcPr>
          <w:p w14:paraId="3A29A4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  <w:tr w14:paraId="1CB57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45" w:type="pct"/>
            <w:tcBorders>
              <w:top w:val="single" w:color="FFFFFF" w:sz="4" w:space="0"/>
              <w:left w:val="single" w:color="FFFFFF" w:sz="8" w:space="0"/>
              <w:bottom w:val="single" w:color="000000" w:themeColor="text1" w:sz="6" w:space="0"/>
              <w:right w:val="single" w:color="FFFFFF" w:sz="4" w:space="0"/>
            </w:tcBorders>
            <w:vAlign w:val="center"/>
          </w:tcPr>
          <w:p w14:paraId="7771F179">
            <w:pPr>
              <w:widowControl/>
              <w:ind w:firstLine="140" w:firstLineChars="67"/>
              <w:jc w:val="left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lang w:bidi="ar"/>
              </w:rPr>
              <w:t>Pleural effusion</w:t>
            </w: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000000" w:themeColor="text1" w:sz="6" w:space="0"/>
              <w:right w:val="single" w:color="FFFFFF" w:sz="4" w:space="0"/>
            </w:tcBorders>
            <w:vAlign w:val="center"/>
          </w:tcPr>
          <w:p w14:paraId="6949AE6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48" w:type="pct"/>
            <w:tcBorders>
              <w:top w:val="single" w:color="FFFFFF" w:sz="4" w:space="0"/>
              <w:left w:val="single" w:color="FFFFFF" w:sz="4" w:space="0"/>
              <w:bottom w:val="single" w:color="000000" w:themeColor="text1" w:sz="6" w:space="0"/>
              <w:right w:val="single" w:color="FFFFFF" w:sz="4" w:space="0"/>
            </w:tcBorders>
            <w:vAlign w:val="center"/>
          </w:tcPr>
          <w:p w14:paraId="4AB4CA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29" w:type="pct"/>
            <w:tcBorders>
              <w:top w:val="single" w:color="FFFFFF" w:sz="4" w:space="0"/>
              <w:left w:val="single" w:color="FFFFFF" w:sz="4" w:space="0"/>
              <w:bottom w:val="single" w:color="000000" w:themeColor="text1" w:sz="6" w:space="0"/>
              <w:right w:val="single" w:color="FFFFFF" w:sz="4" w:space="0"/>
            </w:tcBorders>
            <w:vAlign w:val="center"/>
          </w:tcPr>
          <w:p w14:paraId="14DA1608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532" w:type="pct"/>
            <w:tcBorders>
              <w:top w:val="single" w:color="FFFFFF" w:sz="4" w:space="0"/>
              <w:left w:val="single" w:color="FFFFFF" w:sz="4" w:space="0"/>
              <w:bottom w:val="single" w:color="000000" w:themeColor="text1" w:sz="6" w:space="0"/>
              <w:right w:val="single" w:color="FFFFFF" w:sz="4" w:space="0"/>
            </w:tcBorders>
            <w:vAlign w:val="center"/>
          </w:tcPr>
          <w:p w14:paraId="0D8BF74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  <w:tc>
          <w:tcPr>
            <w:tcW w:w="597" w:type="pct"/>
            <w:tcBorders>
              <w:top w:val="single" w:color="FFFFFF" w:sz="4" w:space="0"/>
              <w:left w:val="single" w:color="FFFFFF" w:sz="4" w:space="0"/>
              <w:bottom w:val="single" w:color="000000" w:themeColor="text1" w:sz="6" w:space="0"/>
              <w:right w:val="single" w:color="FFFFFF" w:sz="8" w:space="0"/>
            </w:tcBorders>
            <w:vAlign w:val="center"/>
          </w:tcPr>
          <w:p w14:paraId="4D99B4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1(1.7)</w:t>
            </w:r>
          </w:p>
        </w:tc>
      </w:tr>
    </w:tbl>
    <w:p w14:paraId="783A349C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All data are shown as number of patients (%). </w:t>
      </w:r>
      <w:r>
        <w:rPr>
          <w:rFonts w:ascii="Times New Roman" w:hAnsi="Times New Roman" w:cs="Times New Roman"/>
          <w:szCs w:val="21"/>
          <w:vertAlign w:val="superscript"/>
        </w:rPr>
        <w:t>*</w:t>
      </w:r>
      <w:r>
        <w:rPr>
          <w:rFonts w:ascii="Times New Roman" w:hAnsi="Times New Roman" w:cs="Times New Roman"/>
          <w:szCs w:val="21"/>
        </w:rPr>
        <w:t xml:space="preserve">The addition of patients attending each treatment visits (treatment cycles) adds up to </w:t>
      </w:r>
      <w:r>
        <w:rPr>
          <w:rFonts w:hint="eastAsia" w:ascii="Times New Roman" w:hAnsi="Times New Roman" w:cs="Times New Roman"/>
          <w:szCs w:val="21"/>
        </w:rPr>
        <w:t>44</w:t>
      </w:r>
      <w:r>
        <w:rPr>
          <w:rFonts w:ascii="Times New Roman" w:hAnsi="Times New Roman" w:cs="Times New Roman"/>
          <w:szCs w:val="21"/>
        </w:rPr>
        <w:t xml:space="preserve"> + </w:t>
      </w:r>
      <w:r>
        <w:rPr>
          <w:rFonts w:hint="eastAsia" w:ascii="Times New Roman" w:hAnsi="Times New Roman" w:cs="Times New Roman"/>
          <w:szCs w:val="21"/>
        </w:rPr>
        <w:t>14</w:t>
      </w:r>
      <w:r>
        <w:rPr>
          <w:rFonts w:ascii="Times New Roman" w:hAnsi="Times New Roman" w:cs="Times New Roman"/>
          <w:szCs w:val="21"/>
        </w:rPr>
        <w:t xml:space="preserve"> + </w:t>
      </w:r>
      <w:r>
        <w:rPr>
          <w:rFonts w:hint="eastAsia"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/>
          <w:szCs w:val="21"/>
        </w:rPr>
        <w:t xml:space="preserve"> = </w:t>
      </w:r>
      <w:r>
        <w:rPr>
          <w:rFonts w:hint="eastAsia" w:ascii="Times New Roman" w:hAnsi="Times New Roman" w:cs="Times New Roman"/>
          <w:szCs w:val="21"/>
        </w:rPr>
        <w:t>60.</w:t>
      </w:r>
    </w:p>
    <w:p w14:paraId="6C0131B1">
      <w:pPr>
        <w:autoSpaceDE w:val="0"/>
        <w:autoSpaceDN w:val="0"/>
        <w:spacing w:before="100" w:beforeAutospacing="1"/>
        <w:contextualSpacing/>
        <w:rPr>
          <w:rFonts w:ascii="Times New Roman" w:hAnsi="Times New Roman" w:cs="Times New Roman"/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4DC383C">
      <w:pPr>
        <w:spacing w:before="240" w:after="240"/>
        <w:ind w:left="241" w:hanging="241" w:hangingChars="100"/>
        <w:outlineLvl w:val="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 xml:space="preserve">1.2  </w:t>
      </w:r>
      <w:r>
        <w:rPr>
          <w:rFonts w:ascii="Times New Roman" w:hAnsi="Times New Roman" w:eastAsia="Cambria" w:cs="Times New Roman"/>
          <w:b/>
          <w:sz w:val="24"/>
          <w:lang w:eastAsia="en-US"/>
        </w:rPr>
        <w:t>Supplementary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 Figures</w:t>
      </w:r>
    </w:p>
    <w:p w14:paraId="0F65FCB0">
      <w:pPr>
        <w:spacing w:before="240" w:after="240"/>
        <w:ind w:left="241" w:hanging="241" w:hangingChars="100"/>
        <w:outlineLvl w:val="0"/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drawing>
          <wp:inline distT="0" distB="0" distL="114300" distR="114300">
            <wp:extent cx="5255895" cy="3621405"/>
            <wp:effectExtent l="0" t="0" r="1905" b="17145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A9D4">
      <w:pPr>
        <w:autoSpaceDE w:val="0"/>
        <w:autoSpaceDN w:val="0"/>
        <w:spacing w:before="100" w:beforeAutospacing="1"/>
        <w:contextualSpacing/>
        <w:jc w:val="center"/>
        <w:rPr>
          <w:rStyle w:val="8"/>
        </w:rPr>
      </w:pPr>
    </w:p>
    <w:p w14:paraId="2CCF0534">
      <w:pPr>
        <w:rPr>
          <w:rFonts w:ascii="Times New Roman" w:hAnsi="Times New Roman"/>
          <w:sz w:val="24"/>
        </w:rPr>
      </w:pPr>
      <w:r>
        <w:rPr>
          <w:rFonts w:ascii="Times New Roman" w:hAnsi="Times New Roman" w:eastAsia="宋体" w:cs="Times New Roman"/>
          <w:b/>
          <w:color w:val="000000"/>
          <w:sz w:val="24"/>
          <w:shd w:val="clear" w:color="auto" w:fill="FFFFFF"/>
        </w:rPr>
        <w:t>Supplementary</w:t>
      </w:r>
      <w:r>
        <w:rPr>
          <w:rFonts w:hint="eastAsia" w:ascii="Times New Roman" w:hAnsi="Times New Roman" w:eastAsia="宋体" w:cs="Times New Roman"/>
          <w:b/>
          <w:color w:val="000000"/>
          <w:sz w:val="24"/>
          <w:shd w:val="clear" w:color="auto" w:fill="FFFFFF"/>
        </w:rPr>
        <w:t xml:space="preserve"> Figure 1</w:t>
      </w:r>
      <w:r>
        <w:rPr>
          <w:rFonts w:ascii="Times New Roman" w:hAnsi="Times New Roman"/>
          <w:sz w:val="24"/>
        </w:rPr>
        <w:t xml:space="preserve"> The schematic diagram of the clinical study design plan.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</w:rPr>
        <w:t xml:space="preserve">AML, </w:t>
      </w:r>
      <w:r>
        <w:rPr>
          <w:rFonts w:hint="eastAsia" w:ascii="Times New Roman" w:hAnsi="Times New Roman"/>
          <w:sz w:val="24"/>
        </w:rPr>
        <w:t xml:space="preserve">acute myeloid leukemia; </w:t>
      </w:r>
      <w:r>
        <w:rPr>
          <w:rFonts w:ascii="Times New Roman" w:hAnsi="Times New Roman" w:cs="Times New Roman"/>
          <w:sz w:val="24"/>
        </w:rPr>
        <w:t>HMA, hypomethylating agent; CAG, decitabine/azacitidine, cytarabine, idarubicin/aclarubicin, G-CSF; MRD, measurable residual disease</w:t>
      </w:r>
      <w:r>
        <w:rPr>
          <w:rFonts w:hint="eastAsia" w:ascii="Times New Roman" w:hAnsi="Times New Roman" w:cs="Times New Roman"/>
          <w:sz w:val="24"/>
        </w:rPr>
        <w:t xml:space="preserve">; r/r, </w:t>
      </w:r>
      <w:r>
        <w:rPr>
          <w:rFonts w:hint="eastAsia" w:ascii="Times New Roman" w:hAnsi="Times New Roman"/>
          <w:sz w:val="24"/>
        </w:rPr>
        <w:t>relapsed/refractory.</w:t>
      </w:r>
    </w:p>
    <w:p w14:paraId="1D0777E8">
      <w:pPr>
        <w:rPr>
          <w:rFonts w:ascii="Times New Roman" w:hAnsi="Times New Roman"/>
        </w:rPr>
      </w:pPr>
    </w:p>
    <w:p w14:paraId="428FB4DB">
      <w:pPr>
        <w:rPr>
          <w:rFonts w:ascii="Times New Roman" w:hAnsi="Times New Roma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E1A0A88">
      <w:pPr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73040" cy="3559810"/>
            <wp:effectExtent l="0" t="0" r="3810" b="2540"/>
            <wp:docPr id="1" name="图片 1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B621">
      <w:pPr>
        <w:rPr>
          <w:sz w:val="24"/>
        </w:rPr>
      </w:pPr>
      <w:r>
        <w:rPr>
          <w:rFonts w:ascii="Times New Roman" w:hAnsi="Times New Roman" w:eastAsia="宋体" w:cs="Times New Roman"/>
          <w:b/>
          <w:color w:val="000000"/>
          <w:sz w:val="24"/>
          <w:shd w:val="clear" w:color="auto" w:fill="FFFFFF"/>
        </w:rPr>
        <w:t>Supplementary</w:t>
      </w:r>
      <w:r>
        <w:rPr>
          <w:rFonts w:hint="eastAsia" w:ascii="Times New Roman" w:hAnsi="Times New Roman" w:eastAsia="宋体" w:cs="Times New Roman"/>
          <w:b/>
          <w:color w:val="000000"/>
          <w:sz w:val="24"/>
          <w:shd w:val="clear" w:color="auto" w:fill="FFFFFF"/>
        </w:rPr>
        <w:t xml:space="preserve"> Figure 2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Overall s</w:t>
      </w:r>
      <w:r>
        <w:rPr>
          <w:rFonts w:ascii="Times New Roman" w:hAnsi="Times New Roman"/>
          <w:sz w:val="24"/>
        </w:rPr>
        <w:t>urvival plots of the patients with</w:t>
      </w:r>
      <w:r>
        <w:rPr>
          <w:rFonts w:hint="eastAsia" w:ascii="Times New Roman" w:hAnsi="Times New Roman"/>
          <w:sz w:val="24"/>
        </w:rPr>
        <w:t xml:space="preserve"> relapsed/refractory AML treated with </w:t>
      </w:r>
      <w:r>
        <w:rPr>
          <w:rFonts w:ascii="Times New Roman" w:hAnsi="Times New Roman"/>
          <w:sz w:val="24"/>
        </w:rPr>
        <w:t xml:space="preserve">tislelizumab </w:t>
      </w:r>
      <w:r>
        <w:rPr>
          <w:rFonts w:hint="eastAsia" w:ascii="Times New Roman" w:hAnsi="Times New Roman"/>
          <w:sz w:val="24"/>
        </w:rPr>
        <w:t xml:space="preserve">+ HMA + </w:t>
      </w:r>
      <w:r>
        <w:rPr>
          <w:rFonts w:ascii="Times New Roman" w:hAnsi="Times New Roman"/>
          <w:sz w:val="24"/>
        </w:rPr>
        <w:t>CAG regimen based on subsequent allo-</w:t>
      </w:r>
      <w:r>
        <w:rPr>
          <w:rFonts w:hint="eastAsia"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SCT status</w:t>
      </w:r>
      <w:r>
        <w:rPr>
          <w:rFonts w:hint="eastAsia" w:ascii="Times New Roman" w:hAnsi="Times New Roman"/>
          <w:b/>
          <w:bCs/>
          <w:sz w:val="24"/>
        </w:rPr>
        <w:t xml:space="preserve"> (A)</w:t>
      </w:r>
      <w:r>
        <w:rPr>
          <w:rFonts w:hint="eastAsia"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bone marrow blast</w:t>
      </w:r>
      <w:r>
        <w:rPr>
          <w:rFonts w:hint="eastAsia" w:ascii="Times New Roman" w:hAnsi="Times New Roman"/>
          <w:sz w:val="24"/>
        </w:rPr>
        <w:t xml:space="preserve"> percentage</w:t>
      </w:r>
      <w:r>
        <w:rPr>
          <w:rFonts w:hint="eastAsia" w:ascii="Times New Roman" w:hAnsi="Times New Roman"/>
          <w:b/>
          <w:bCs/>
          <w:sz w:val="24"/>
        </w:rPr>
        <w:t xml:space="preserve"> (B) </w:t>
      </w:r>
      <w:r>
        <w:rPr>
          <w:rFonts w:hint="eastAsia" w:ascii="Times New Roman" w:hAnsi="Times New Roman"/>
          <w:sz w:val="24"/>
        </w:rPr>
        <w:t>or transcription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-related</w:t>
      </w:r>
      <w:r>
        <w:rPr>
          <w:rFonts w:hint="eastAsia" w:ascii="Times New Roman" w:hAnsi="Times New Roman"/>
          <w:sz w:val="24"/>
        </w:rPr>
        <w:t xml:space="preserve"> gene mutation status</w:t>
      </w:r>
      <w:r>
        <w:rPr>
          <w:rFonts w:hint="eastAsia" w:ascii="Times New Roman" w:hAnsi="Times New Roman"/>
          <w:b/>
          <w:bCs/>
          <w:sz w:val="24"/>
        </w:rPr>
        <w:t xml:space="preserve"> (C)</w:t>
      </w: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Allo-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SCT, allogeneic hematopoietic stem cell transplantation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HMA, hypomethylating agent; CAG, decitabine/azacitidine, cytarabine, idarubicin/aclarubicin, G-CSF</w:t>
      </w:r>
    </w:p>
    <w:p w14:paraId="30E20F11">
      <w:pPr>
        <w:rPr>
          <w:szCs w:val="21"/>
        </w:rPr>
      </w:pPr>
    </w:p>
    <w:p w14:paraId="6B68DB69">
      <w:pPr>
        <w:rPr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0B63BFD">
      <w:pPr>
        <w:jc w:val="center"/>
        <w:rPr>
          <w:szCs w:val="21"/>
        </w:rPr>
      </w:pPr>
      <w:r>
        <w:rPr>
          <w:rFonts w:hint="eastAsia"/>
          <w:szCs w:val="21"/>
        </w:rPr>
        <w:drawing>
          <wp:inline distT="0" distB="0" distL="114300" distR="114300">
            <wp:extent cx="5271770" cy="3539490"/>
            <wp:effectExtent l="0" t="0" r="5080" b="381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21AA">
      <w:pPr>
        <w:rPr>
          <w:rFonts w:ascii="Times New Roman" w:hAnsi="Times New Roman"/>
          <w:sz w:val="24"/>
        </w:rPr>
      </w:pPr>
      <w:r>
        <w:rPr>
          <w:rFonts w:ascii="Times New Roman" w:hAnsi="Times New Roman" w:eastAsia="宋体" w:cs="Times New Roman"/>
          <w:b/>
          <w:color w:val="000000"/>
          <w:sz w:val="24"/>
          <w:shd w:val="clear" w:color="auto" w:fill="FFFFFF"/>
        </w:rPr>
        <w:t>Supplementary</w:t>
      </w:r>
      <w:r>
        <w:rPr>
          <w:rFonts w:hint="eastAsia" w:ascii="Times New Roman" w:hAnsi="Times New Roman" w:eastAsia="宋体" w:cs="Times New Roman"/>
          <w:b/>
          <w:color w:val="000000"/>
          <w:sz w:val="24"/>
          <w:shd w:val="clear" w:color="auto" w:fill="FFFFFF"/>
        </w:rPr>
        <w:t xml:space="preserve"> Figure 3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>vent-free</w:t>
      </w:r>
      <w:r>
        <w:rPr>
          <w:rFonts w:hint="eastAsia" w:ascii="Times New Roman" w:hAnsi="Times New Roman"/>
          <w:sz w:val="24"/>
        </w:rPr>
        <w:t xml:space="preserve"> s</w:t>
      </w:r>
      <w:r>
        <w:rPr>
          <w:rFonts w:ascii="Times New Roman" w:hAnsi="Times New Roman"/>
          <w:sz w:val="24"/>
        </w:rPr>
        <w:t>urvival plots of the patients with</w:t>
      </w:r>
      <w:r>
        <w:rPr>
          <w:rFonts w:hint="eastAsia" w:ascii="Times New Roman" w:hAnsi="Times New Roman"/>
          <w:sz w:val="24"/>
        </w:rPr>
        <w:t xml:space="preserve"> relapsed/refractory AML treated with </w:t>
      </w:r>
      <w:r>
        <w:rPr>
          <w:rFonts w:ascii="Times New Roman" w:hAnsi="Times New Roman"/>
          <w:sz w:val="24"/>
        </w:rPr>
        <w:t xml:space="preserve">tislelizumab </w:t>
      </w:r>
      <w:r>
        <w:rPr>
          <w:rFonts w:hint="eastAsia" w:ascii="Times New Roman" w:hAnsi="Times New Roman"/>
          <w:sz w:val="24"/>
        </w:rPr>
        <w:t xml:space="preserve">+ HMA + </w:t>
      </w:r>
      <w:r>
        <w:rPr>
          <w:rFonts w:ascii="Times New Roman" w:hAnsi="Times New Roman"/>
          <w:sz w:val="24"/>
        </w:rPr>
        <w:t>CAG regimen based on subsequent allo-</w:t>
      </w:r>
      <w:r>
        <w:rPr>
          <w:rFonts w:hint="eastAsia"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SCT status</w:t>
      </w:r>
      <w:r>
        <w:rPr>
          <w:rFonts w:hint="eastAsia" w:ascii="Times New Roman" w:hAnsi="Times New Roman"/>
          <w:b/>
          <w:bCs/>
          <w:sz w:val="24"/>
        </w:rPr>
        <w:t xml:space="preserve"> (A) </w:t>
      </w:r>
      <w:r>
        <w:rPr>
          <w:rFonts w:hint="eastAsia" w:ascii="Times New Roman" w:hAnsi="Times New Roman"/>
          <w:sz w:val="24"/>
        </w:rPr>
        <w:t>or</w:t>
      </w:r>
      <w:r>
        <w:rPr>
          <w:rFonts w:ascii="Times New Roman" w:hAnsi="Times New Roman"/>
          <w:sz w:val="24"/>
        </w:rPr>
        <w:t xml:space="preserve"> bone marrow blast</w:t>
      </w:r>
      <w:r>
        <w:rPr>
          <w:rFonts w:hint="eastAsia" w:ascii="Times New Roman" w:hAnsi="Times New Roman"/>
          <w:sz w:val="24"/>
        </w:rPr>
        <w:t xml:space="preserve"> percentage</w:t>
      </w:r>
      <w:r>
        <w:rPr>
          <w:rFonts w:hint="eastAsia" w:ascii="Times New Roman" w:hAnsi="Times New Roman"/>
          <w:b/>
          <w:bCs/>
          <w:sz w:val="24"/>
        </w:rPr>
        <w:t xml:space="preserve"> (B) </w:t>
      </w:r>
      <w:r>
        <w:rPr>
          <w:rFonts w:hint="eastAsia" w:ascii="Times New Roman" w:hAnsi="Times New Roman"/>
          <w:sz w:val="24"/>
        </w:rPr>
        <w:t>or transcription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-related</w:t>
      </w:r>
      <w:r>
        <w:rPr>
          <w:rFonts w:hint="eastAsia" w:ascii="Times New Roman" w:hAnsi="Times New Roman"/>
          <w:sz w:val="24"/>
        </w:rPr>
        <w:t xml:space="preserve"> gene mutation status</w:t>
      </w:r>
      <w:r>
        <w:rPr>
          <w:rFonts w:hint="eastAsia" w:ascii="Times New Roman" w:hAnsi="Times New Roman"/>
          <w:b/>
          <w:bCs/>
          <w:sz w:val="24"/>
        </w:rPr>
        <w:t xml:space="preserve"> (C)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Abbreviations: Allo-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SCT, allogeneic hematopoietic stem cell transplantation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HMA, hypomethylating agent; CAG, decitabine/azacitidine, cytarabine, idarubicin/aclarubicin, G-CSF</w:t>
      </w:r>
      <w:r>
        <w:rPr>
          <w:rFonts w:hint="eastAsia" w:ascii="Times New Roman" w:hAnsi="Times New Roman" w:cs="Times New Roman"/>
          <w:sz w:val="24"/>
        </w:rPr>
        <w:t>.</w:t>
      </w:r>
    </w:p>
    <w:p w14:paraId="50A05EE8">
      <w:pPr>
        <w:rPr>
          <w:szCs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365D68E">
      <w:pPr>
        <w:jc w:val="center"/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</w:pPr>
      <w:r>
        <w:rPr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</w:rPr>
        <w:drawing>
          <wp:inline distT="0" distB="0" distL="114300" distR="114300">
            <wp:extent cx="5274310" cy="3390900"/>
            <wp:effectExtent l="0" t="0" r="2540" b="0"/>
            <wp:docPr id="4" name="图片 4" descr="Supplementary Figure 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-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CB1E">
      <w:pPr>
        <w:rPr>
          <w:sz w:val="24"/>
        </w:rPr>
      </w:pPr>
      <w:r>
        <w:rPr>
          <w:rFonts w:ascii="Times New Roman" w:hAnsi="Times New Roman" w:eastAsia="宋体" w:cs="Times New Roman"/>
          <w:b/>
          <w:color w:val="000000"/>
          <w:sz w:val="24"/>
          <w:shd w:val="clear" w:color="auto" w:fill="FFFFFF"/>
        </w:rPr>
        <w:t>Supplementary</w:t>
      </w:r>
      <w:r>
        <w:rPr>
          <w:rFonts w:hint="eastAsia" w:ascii="Times New Roman" w:hAnsi="Times New Roman" w:eastAsia="宋体" w:cs="Times New Roman"/>
          <w:b/>
          <w:color w:val="000000"/>
          <w:sz w:val="24"/>
          <w:shd w:val="clear" w:color="auto" w:fill="FFFFFF"/>
        </w:rPr>
        <w:t xml:space="preserve"> Figure 4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>uration of response of the patients with</w:t>
      </w:r>
      <w:r>
        <w:rPr>
          <w:rFonts w:hint="eastAsia" w:ascii="Times New Roman" w:hAnsi="Times New Roman"/>
          <w:sz w:val="24"/>
        </w:rPr>
        <w:t xml:space="preserve"> relapsed/refractory AML treated with </w:t>
      </w:r>
      <w:r>
        <w:rPr>
          <w:rFonts w:ascii="Times New Roman" w:hAnsi="Times New Roman"/>
          <w:sz w:val="24"/>
        </w:rPr>
        <w:t xml:space="preserve">tislelizumab </w:t>
      </w:r>
      <w:r>
        <w:rPr>
          <w:rFonts w:hint="eastAsia" w:ascii="Times New Roman" w:hAnsi="Times New Roman"/>
          <w:sz w:val="24"/>
        </w:rPr>
        <w:t xml:space="preserve">+ HMA + </w:t>
      </w:r>
      <w:r>
        <w:rPr>
          <w:rFonts w:ascii="Times New Roman" w:hAnsi="Times New Roman"/>
          <w:sz w:val="24"/>
        </w:rPr>
        <w:t>CAG regimen based on subsequent allo-</w:t>
      </w:r>
      <w:r>
        <w:rPr>
          <w:rFonts w:hint="eastAsia" w:ascii="Times New Roman" w:hAnsi="Times New Roman"/>
          <w:sz w:val="24"/>
        </w:rPr>
        <w:t>H</w:t>
      </w:r>
      <w:r>
        <w:rPr>
          <w:rFonts w:ascii="Times New Roman" w:hAnsi="Times New Roman"/>
          <w:sz w:val="24"/>
        </w:rPr>
        <w:t>SCT status</w:t>
      </w: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hint="eastAsia" w:ascii="Times New Roman" w:hAnsi="Times New Roman"/>
          <w:b/>
          <w:bCs/>
          <w:sz w:val="24"/>
        </w:rPr>
        <w:t xml:space="preserve">(A) </w:t>
      </w:r>
      <w:r>
        <w:rPr>
          <w:rFonts w:ascii="Times New Roman" w:hAnsi="Times New Roman"/>
          <w:sz w:val="24"/>
        </w:rPr>
        <w:t>or bone marrow blast</w:t>
      </w:r>
      <w:r>
        <w:rPr>
          <w:rFonts w:hint="eastAsia" w:ascii="Times New Roman" w:hAnsi="Times New Roman"/>
          <w:sz w:val="24"/>
        </w:rPr>
        <w:t xml:space="preserve"> percentage</w:t>
      </w:r>
      <w:r>
        <w:rPr>
          <w:rFonts w:hint="eastAsia" w:ascii="Times New Roman" w:hAnsi="Times New Roman"/>
          <w:b/>
          <w:bCs/>
          <w:sz w:val="24"/>
        </w:rPr>
        <w:t xml:space="preserve"> (B) </w:t>
      </w:r>
      <w:r>
        <w:rPr>
          <w:rFonts w:hint="eastAsia" w:ascii="Times New Roman" w:hAnsi="Times New Roman"/>
          <w:sz w:val="24"/>
        </w:rPr>
        <w:t>or transcription</w:t>
      </w:r>
      <w:r>
        <w:rPr>
          <w:rFonts w:ascii="Times New Roman" w:hAnsi="Times New Roman" w:eastAsia="宋体" w:cs="Times New Roman"/>
          <w:color w:val="000000"/>
          <w:kern w:val="0"/>
          <w:sz w:val="24"/>
          <w:lang w:bidi="ar"/>
        </w:rPr>
        <w:t>-related</w:t>
      </w:r>
      <w:r>
        <w:rPr>
          <w:rFonts w:hint="eastAsia" w:ascii="Times New Roman" w:hAnsi="Times New Roman"/>
          <w:sz w:val="24"/>
        </w:rPr>
        <w:t xml:space="preserve"> gene mutation status</w:t>
      </w:r>
      <w:r>
        <w:rPr>
          <w:rFonts w:hint="eastAsia" w:ascii="Times New Roman" w:hAnsi="Times New Roman"/>
          <w:b/>
          <w:bCs/>
          <w:sz w:val="24"/>
        </w:rPr>
        <w:t xml:space="preserve"> (C)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Allo-</w:t>
      </w:r>
      <w:r>
        <w:rPr>
          <w:rFonts w:hint="eastAsia" w:ascii="Times New Roman" w:hAnsi="Times New Roman" w:cs="Times New Roman"/>
          <w:sz w:val="24"/>
        </w:rPr>
        <w:t>H</w:t>
      </w:r>
      <w:r>
        <w:rPr>
          <w:rFonts w:ascii="Times New Roman" w:hAnsi="Times New Roman" w:cs="Times New Roman"/>
          <w:sz w:val="24"/>
        </w:rPr>
        <w:t>SCT, allogeneic hematopoietic stem cell transplantation</w:t>
      </w:r>
      <w:r>
        <w:rPr>
          <w:rFonts w:hint="eastAsia" w:ascii="Times New Roman" w:hAnsi="Times New Roman" w:cs="Times New Roman"/>
          <w:sz w:val="24"/>
        </w:rPr>
        <w:t xml:space="preserve">; </w:t>
      </w:r>
      <w:r>
        <w:rPr>
          <w:rFonts w:ascii="Times New Roman" w:hAnsi="Times New Roman" w:cs="Times New Roman"/>
          <w:sz w:val="24"/>
        </w:rPr>
        <w:t>HMA, hypomethylating agent; CAG, decitabine/azacitidine, cytarabine, idarubicin/aclarubicin, G-CSF</w:t>
      </w:r>
      <w:r>
        <w:rPr>
          <w:rFonts w:hint="eastAsia" w:ascii="Times New Roman" w:hAnsi="Times New Roman" w:cs="Times New Roman"/>
          <w:sz w:val="24"/>
        </w:rPr>
        <w:t>.</w:t>
      </w:r>
    </w:p>
    <w:p w14:paraId="38512D51">
      <w:pPr>
        <w:rPr>
          <w:rFonts w:ascii="Times New Roman" w:hAnsi="Times New Roman" w:eastAsia="宋体" w:cs="Times New Roman"/>
          <w:b/>
          <w:color w:val="000000"/>
          <w:szCs w:val="21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yY2JlOTM2NzY2MmNjN2JlZmU5NGRmNDY2N2Q0NzAifQ=="/>
  </w:docVars>
  <w:rsids>
    <w:rsidRoot w:val="55E7649E"/>
    <w:rsid w:val="00294B06"/>
    <w:rsid w:val="003925B4"/>
    <w:rsid w:val="00414F12"/>
    <w:rsid w:val="00547CF2"/>
    <w:rsid w:val="0056071E"/>
    <w:rsid w:val="00780F8E"/>
    <w:rsid w:val="00782985"/>
    <w:rsid w:val="009507E8"/>
    <w:rsid w:val="00957BEB"/>
    <w:rsid w:val="00991314"/>
    <w:rsid w:val="009B393F"/>
    <w:rsid w:val="00AE0D68"/>
    <w:rsid w:val="00AF3A9A"/>
    <w:rsid w:val="00D50DE8"/>
    <w:rsid w:val="00DB63BA"/>
    <w:rsid w:val="00E54F10"/>
    <w:rsid w:val="14066291"/>
    <w:rsid w:val="1E902E86"/>
    <w:rsid w:val="31F016AC"/>
    <w:rsid w:val="37AD1DE2"/>
    <w:rsid w:val="40AA5CF0"/>
    <w:rsid w:val="438C0A54"/>
    <w:rsid w:val="47C25F14"/>
    <w:rsid w:val="527B6BA8"/>
    <w:rsid w:val="52FC261F"/>
    <w:rsid w:val="55E7649E"/>
    <w:rsid w:val="5820357B"/>
    <w:rsid w:val="608F0467"/>
    <w:rsid w:val="67CC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1"/>
    <w:basedOn w:val="7"/>
    <w:autoRedefine/>
    <w:qFormat/>
    <w:uiPriority w:val="0"/>
    <w:rPr>
      <w:rFonts w:hint="default" w:ascii="Times New Roman" w:hAnsi="Times New Roman" w:cs="Times New Roman"/>
      <w:i/>
      <w:iCs/>
      <w:color w:val="000000"/>
      <w:sz w:val="28"/>
      <w:szCs w:val="28"/>
      <w:u w:val="none"/>
    </w:r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  <w:style w:type="paragraph" w:customStyle="1" w:styleId="11">
    <w:name w:val="Supplementary Material"/>
    <w:basedOn w:val="4"/>
    <w:next w:val="4"/>
    <w:qFormat/>
    <w:uiPriority w:val="0"/>
    <w:pPr>
      <w:spacing w:after="120"/>
    </w:pPr>
    <w:rPr>
      <w:i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990</Words>
  <Characters>4979</Characters>
  <Lines>94</Lines>
  <Paragraphs>26</Paragraphs>
  <TotalTime>7</TotalTime>
  <ScaleCrop>false</ScaleCrop>
  <LinksUpToDate>false</LinksUpToDate>
  <CharactersWithSpaces>5650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2024-11-18T10:59:00Z</dcterms:created>
  <dc:creator>8237476879</dc:creator>
  <cp:lastModifiedBy>那年冬天</cp:lastModifiedBy>
  <dcterms:modified xsi:type="dcterms:W3CDTF">2025-04-08T16:47:36Z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CFD6FC2A447B487F9212C88BDD3F6383_11</vt:lpwstr>
  </property>
  <property fmtid="{D5CDD505-2E9C-101B-9397-08002B2CF9AE}" pid="4" name="KSOTemplateDocerSaveRecord">
    <vt:lpwstr>eyJoZGlkIjoiMzkyY2JlOTM2NzY2MmNjN2JlZmU5NGRmNDY2N2Q0NzAiLCJ1c2VySWQiOiIyOTk4OTAwNzUifQ==</vt:lpwstr>
  </property>
</Properties>
</file>