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250E4">
      <w:pPr>
        <w:pStyle w:val="3"/>
      </w:pPr>
      <w:r>
        <w:rPr>
          <w:rFonts w:hint="default" w:ascii="Times New Roman" w:hAnsi="Times New Roman" w:eastAsia="MyriadPro-SemiboldSemiCn" w:cs="等线"/>
          <w:b/>
          <w:bCs/>
          <w:kern w:val="0"/>
          <w:szCs w:val="21"/>
          <w:lang w:bidi="ar"/>
        </w:rPr>
        <w:t xml:space="preserve">Table </w:t>
      </w:r>
      <w:r>
        <w:rPr>
          <w:rFonts w:hint="eastAsia" w:ascii="Times New Roman" w:hAnsi="Times New Roman" w:cs="等线"/>
          <w:b/>
          <w:bCs/>
          <w:kern w:val="0"/>
          <w:szCs w:val="21"/>
          <w:lang w:val="en-US" w:eastAsia="zh-CN" w:bidi="ar"/>
        </w:rPr>
        <w:t>S</w:t>
      </w:r>
      <w:r>
        <w:rPr>
          <w:rFonts w:hint="default" w:ascii="Times New Roman" w:hAnsi="Times New Roman" w:eastAsia="MyriadPro-SemiboldSemiCn" w:cs="等线"/>
          <w:b/>
          <w:bCs/>
          <w:kern w:val="0"/>
          <w:szCs w:val="21"/>
          <w:lang w:bidi="ar"/>
        </w:rPr>
        <w:t>1</w:t>
      </w:r>
      <w:r>
        <w:rPr>
          <w:rFonts w:hint="default" w:ascii="Times New Roman" w:hAnsi="Times New Roman" w:eastAsia="等线" w:cs="等线"/>
          <w:kern w:val="0"/>
          <w:szCs w:val="21"/>
          <w:lang w:bidi="ar"/>
        </w:rPr>
        <w:t>.</w:t>
      </w:r>
      <w:r>
        <w:rPr>
          <w:rFonts w:hint="default" w:ascii="Times New Roman" w:hAnsi="Times New Roman" w:eastAsia="等线" w:cs="等线"/>
          <w:b/>
          <w:bCs/>
          <w:kern w:val="0"/>
          <w:szCs w:val="21"/>
          <w:lang w:bidi="ar"/>
        </w:rPr>
        <w:t xml:space="preserve"> </w:t>
      </w:r>
      <w:r>
        <w:rPr>
          <w:rFonts w:hint="default" w:ascii="Times New Roman" w:hAnsi="Times New Roman" w:eastAsia="MyriadPro-SemiboldSemiCn" w:cs="等线"/>
          <w:kern w:val="0"/>
          <w:szCs w:val="21"/>
          <w:lang w:bidi="ar"/>
        </w:rPr>
        <w:t xml:space="preserve">The </w:t>
      </w:r>
      <w:r>
        <w:rPr>
          <w:rFonts w:hint="default" w:ascii="Times New Roman" w:hAnsi="Times New Roman" w:eastAsia="等线" w:cs="等线"/>
          <w:szCs w:val="21"/>
          <w:lang w:bidi="ar"/>
        </w:rPr>
        <w:t>swarm learning characteristics over conventional AI and FL</w:t>
      </w:r>
      <w:r>
        <w:rPr>
          <w:rFonts w:hint="eastAsia" w:ascii="Times New Roman" w:hAnsi="Times New Roman" w:eastAsia="等线" w:cs="等线"/>
          <w:szCs w:val="21"/>
          <w:lang w:bidi="ar"/>
        </w:rPr>
        <w:t xml:space="preserve"> </w:t>
      </w:r>
      <w:r>
        <w:rPr>
          <w:rFonts w:hint="default" w:ascii="Times New Roman" w:hAnsi="Times New Roman" w:eastAsia="等线" w:cs="等线"/>
          <w:szCs w:val="21"/>
          <w:lang w:bidi="ar"/>
        </w:rPr>
        <w:t>[15,16,19,20</w:t>
      </w:r>
      <w:r>
        <w:rPr>
          <w:rFonts w:hint="eastAsia" w:ascii="Times New Roman" w:hAnsi="Times New Roman" w:eastAsia="等线" w:cs="等线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等线" w:cs="等线"/>
          <w:szCs w:val="21"/>
          <w:lang w:bidi="ar"/>
        </w:rPr>
        <w:t>22-28].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9"/>
        <w:gridCol w:w="3947"/>
        <w:gridCol w:w="3323"/>
        <w:gridCol w:w="3992"/>
      </w:tblGrid>
      <w:tr w14:paraId="30EE6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BEBEBE" w:themeFill="background1" w:themeFillShade="BF"/>
          </w:tcPr>
          <w:p w14:paraId="7664703A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</w:p>
        </w:tc>
        <w:tc>
          <w:tcPr>
            <w:tcW w:w="1403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BEBEBE" w:themeFill="background1" w:themeFillShade="BF"/>
            <w:vAlign w:val="center"/>
          </w:tcPr>
          <w:p w14:paraId="6077F584">
            <w:pPr>
              <w:spacing w:line="360" w:lineRule="auto"/>
              <w:jc w:val="center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AI</w:t>
            </w:r>
          </w:p>
        </w:tc>
        <w:tc>
          <w:tcPr>
            <w:tcW w:w="1181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BEBEBE" w:themeFill="background1" w:themeFillShade="BF"/>
            <w:vAlign w:val="center"/>
          </w:tcPr>
          <w:p w14:paraId="187B8004">
            <w:pPr>
              <w:spacing w:line="360" w:lineRule="auto"/>
              <w:jc w:val="center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FL</w:t>
            </w:r>
          </w:p>
        </w:tc>
        <w:tc>
          <w:tcPr>
            <w:tcW w:w="1419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BEBEBE" w:themeFill="background1" w:themeFillShade="BF"/>
            <w:vAlign w:val="center"/>
          </w:tcPr>
          <w:p w14:paraId="1F1DE6BC">
            <w:pPr>
              <w:spacing w:line="360" w:lineRule="auto"/>
              <w:jc w:val="center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SL</w:t>
            </w:r>
          </w:p>
        </w:tc>
      </w:tr>
      <w:tr w14:paraId="7FCF1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 w14:paraId="44C18D5B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Decentralization</w:t>
            </w:r>
          </w:p>
        </w:tc>
        <w:tc>
          <w:tcPr>
            <w:tcW w:w="1403" w:type="pct"/>
            <w:tcBorders>
              <w:top w:val="single" w:color="000000" w:sz="4" w:space="0"/>
              <w:left w:val="nil"/>
              <w:bottom w:val="nil"/>
              <w:right w:val="nil"/>
            </w:tcBorders>
          </w:tcPr>
          <w:p w14:paraId="6833A78A">
            <w:pPr>
              <w:spacing w:line="360" w:lineRule="auto"/>
              <w:rPr>
                <w:rFonts w:hint="default" w:ascii="Times New Roman" w:hAnsi="Times New Roman" w:eastAsia="等线" w:cs="等线"/>
                <w:szCs w:val="21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Relies on centralized big data for deep learning modeling. It is difficult in the collection and organization of data, even has the risk of data leakage and legal liability.</w:t>
            </w:r>
          </w:p>
        </w:tc>
        <w:tc>
          <w:tcPr>
            <w:tcW w:w="1181" w:type="pct"/>
            <w:tcBorders>
              <w:top w:val="single" w:color="000000" w:sz="4" w:space="0"/>
              <w:left w:val="nil"/>
              <w:bottom w:val="nil"/>
              <w:right w:val="nil"/>
            </w:tcBorders>
          </w:tcPr>
          <w:p w14:paraId="116383DB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Rely on centralized servers and vulnerable to compromise by malicious users, may be insecure.</w:t>
            </w:r>
          </w:p>
        </w:tc>
        <w:tc>
          <w:tcPr>
            <w:tcW w:w="1419" w:type="pct"/>
            <w:tcBorders>
              <w:top w:val="single" w:color="000000" w:sz="4" w:space="0"/>
              <w:left w:val="nil"/>
              <w:bottom w:val="nil"/>
              <w:right w:val="nil"/>
            </w:tcBorders>
          </w:tcPr>
          <w:p w14:paraId="032727BB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Store model updates in a resistant and fault-tolerant manner, resilient against single point of failure attacks.</w:t>
            </w:r>
          </w:p>
        </w:tc>
      </w:tr>
      <w:tr w14:paraId="2E994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CFD0B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Traceability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</w:tcPr>
          <w:p w14:paraId="179D7750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Only responsible for extracting data features. It cannot distinguish the authenticity and source of the data, requires manual screening and verification.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</w:tcPr>
          <w:p w14:paraId="0867BB96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Only store the most recent model, impossible to hold participants accountable or conduct audits.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</w:tcPr>
          <w:p w14:paraId="137B3F85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Keeps the history of all blocks linked into a chain, participants cannot deny the authorship of model updates.</w:t>
            </w:r>
          </w:p>
        </w:tc>
      </w:tr>
      <w:tr w14:paraId="53653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251C8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Immutability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</w:tcPr>
          <w:p w14:paraId="3EB61886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The medical data can be tampered with and easily falsified; difficult to realize continuous accounting and filing.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</w:tcPr>
          <w:p w14:paraId="084ED697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Historical model training updates can be tampered with by a malicious server, and hard to detect.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</w:tcPr>
          <w:p w14:paraId="27BBDD03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The tempering of records in SL is detectable and blocked by the server. Each block contains a unique hash value to ensure its permanence and unalterability.</w:t>
            </w:r>
          </w:p>
        </w:tc>
      </w:tr>
      <w:tr w14:paraId="58AC2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7CD12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Incentives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</w:tcPr>
          <w:p w14:paraId="07562271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Non-incentive mechanism. It can’t benefits participants in the annotation and data contribution.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</w:tcPr>
          <w:p w14:paraId="5B967C58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 xml:space="preserve">There is no specific incentive mechanism to encourage all parties to participate in the relevant model training. 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</w:tcPr>
          <w:p w14:paraId="188B98F0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Rewards or incentives mechanisms, participants are attracted and contributed with quality data model updates, resulting in an accurate global model.</w:t>
            </w:r>
          </w:p>
        </w:tc>
      </w:tr>
      <w:tr w14:paraId="5482A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1A418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Integrity and reliability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</w:tcPr>
          <w:p w14:paraId="49049489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Difficult to guarantee the authenticity and transparency of medical data sources. The applicability and credibility of the model cannot be further improved.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</w:tcPr>
          <w:p w14:paraId="3CB127FE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Training tasks are coordinated by a single central server, and the results are susceptible to malicious actors or certain servers.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</w:tcPr>
          <w:p w14:paraId="760C71EF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All blocks are connected cryptographically, in case of data alteration they can be detected easily. Blockchain proves as an inherently secure and reliable technology.</w:t>
            </w:r>
          </w:p>
        </w:tc>
      </w:tr>
      <w:tr w14:paraId="032E8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pct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7C74C243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szCs w:val="21"/>
                <w:lang w:bidi="ar"/>
              </w:rPr>
              <w:t>Trust</w:t>
            </w:r>
          </w:p>
        </w:tc>
        <w:tc>
          <w:tcPr>
            <w:tcW w:w="1403" w:type="pct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14:paraId="378F9A37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Centralized model training, individual medical institutions can not monitor each other and dynamic summary.</w:t>
            </w:r>
          </w:p>
        </w:tc>
        <w:tc>
          <w:tcPr>
            <w:tcW w:w="1181" w:type="pct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14:paraId="419046F1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Do not provide any consensus algorithms or protocols for training design models.</w:t>
            </w:r>
          </w:p>
        </w:tc>
        <w:tc>
          <w:tcPr>
            <w:tcW w:w="1419" w:type="pct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14:paraId="2A4A07FE">
            <w:pPr>
              <w:spacing w:line="360" w:lineRule="auto"/>
              <w:rPr>
                <w:rFonts w:hint="default" w:ascii="Times New Roman" w:hAnsi="Times New Roman" w:eastAsia="等线" w:cs="等线"/>
              </w:rPr>
            </w:pPr>
            <w:r>
              <w:rPr>
                <w:rFonts w:hint="default" w:ascii="Times New Roman" w:hAnsi="Times New Roman" w:eastAsia="等线" w:cs="等线"/>
                <w:szCs w:val="21"/>
                <w:lang w:bidi="ar"/>
              </w:rPr>
              <w:t>Using consensus algorithms to build trust between parties, participants can participate in different rounds of training.</w:t>
            </w:r>
          </w:p>
        </w:tc>
      </w:tr>
    </w:tbl>
    <w:p w14:paraId="0D2E3852"/>
    <w:p w14:paraId="1B4B2DC7">
      <w:pPr>
        <w:spacing w:line="360" w:lineRule="auto"/>
        <w:rPr>
          <w:rFonts w:hint="default" w:ascii="Times New Roman" w:hAnsi="Times New Roman" w:cs="Times New Roman"/>
          <w:b/>
          <w:bCs/>
          <w:sz w:val="20"/>
          <w:szCs w:val="20"/>
        </w:rPr>
      </w:pPr>
    </w:p>
    <w:p w14:paraId="16CFBA24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25C39254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25F6BE46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736CE562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12CC5566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05FCA763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3CDBFCD8">
      <w:pPr>
        <w:spacing w:line="360" w:lineRule="auto"/>
        <w:rPr>
          <w:rFonts w:hint="default" w:ascii="Times New Roman" w:hAnsi="Times New Roman"/>
          <w:b/>
          <w:bCs/>
          <w:color w:val="000000"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Table </w:t>
      </w:r>
      <w:r>
        <w:rPr>
          <w:rFonts w:hint="eastAsia" w:ascii="Times New Roman" w:hAnsi="Times New Roman"/>
          <w:b/>
          <w:bCs/>
          <w:color w:val="000000"/>
          <w:sz w:val="22"/>
          <w:szCs w:val="22"/>
          <w:lang w:val="en-US" w:eastAsia="zh-CN"/>
        </w:rPr>
        <w:t xml:space="preserve">S2. </w:t>
      </w:r>
      <w:r>
        <w:rPr>
          <w:rFonts w:hint="default" w:ascii="Times New Roman" w:hAnsi="Times New Roman" w:eastAsia="宋体" w:cs="Times New Roman"/>
          <w:sz w:val="22"/>
          <w:szCs w:val="22"/>
        </w:rPr>
        <w:t xml:space="preserve">The included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and excluded </w:t>
      </w:r>
      <w:r>
        <w:rPr>
          <w:rFonts w:hint="default" w:ascii="Times New Roman" w:hAnsi="Times New Roman" w:eastAsia="宋体" w:cs="Times New Roman"/>
          <w:sz w:val="22"/>
          <w:szCs w:val="22"/>
        </w:rPr>
        <w:t>content.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11"/>
        <w:gridCol w:w="4450"/>
      </w:tblGrid>
      <w:tr w14:paraId="6628A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417" w:type="pct"/>
            <w:tcBorders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138C8F2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Inclusion criteria</w:t>
            </w:r>
          </w:p>
        </w:tc>
        <w:tc>
          <w:tcPr>
            <w:tcW w:w="1582" w:type="pct"/>
            <w:tcBorders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3439CBE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Exclusion criteria</w:t>
            </w:r>
          </w:p>
        </w:tc>
      </w:tr>
      <w:tr w14:paraId="67D05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7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098DBE3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1.Patients were adults (age &gt;18 years old)</w:t>
            </w:r>
          </w:p>
        </w:tc>
        <w:tc>
          <w:tcPr>
            <w:tcW w:w="1582" w:type="pct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80A9DC0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Juvenile patients (age &lt;18 years old)</w:t>
            </w:r>
          </w:p>
        </w:tc>
      </w:tr>
      <w:tr w14:paraId="70F96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7" w:type="pct"/>
            <w:tcBorders>
              <w:top w:val="nil"/>
              <w:left w:val="nil"/>
              <w:bottom w:val="nil"/>
              <w:right w:val="nil"/>
            </w:tcBorders>
          </w:tcPr>
          <w:p w14:paraId="253BCEC8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2.No other knee fractures and chronic pain were associated (such as the fractures of the distal femoral fracture,osteoarthritis, and osteomyelitis involves the tibial plateau)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</w:tcPr>
          <w:p w14:paraId="32B398FC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Combined with other diseases affecting the diagnosis of fracture were associated</w:t>
            </w:r>
          </w:p>
          <w:p w14:paraId="5E2E5282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1156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7" w:type="pct"/>
            <w:tcBorders>
              <w:top w:val="nil"/>
              <w:left w:val="nil"/>
              <w:right w:val="nil"/>
            </w:tcBorders>
          </w:tcPr>
          <w:p w14:paraId="65468AC5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3.The preoperative anteroposterior X-ray was available and standard without any improper position, overexposure, ghosting, and shelters, such as plaster, splint, and metal objects on clothes </w:t>
            </w:r>
          </w:p>
        </w:tc>
        <w:tc>
          <w:tcPr>
            <w:tcW w:w="1582" w:type="pct"/>
            <w:tcBorders>
              <w:top w:val="nil"/>
              <w:left w:val="nil"/>
              <w:right w:val="nil"/>
            </w:tcBorders>
          </w:tcPr>
          <w:p w14:paraId="1636A62E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The preoperative anteroposterior X-ray was not performed in the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hospital or no standard</w:t>
            </w:r>
          </w:p>
        </w:tc>
      </w:tr>
    </w:tbl>
    <w:p w14:paraId="1725C6CC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6A6E21EC">
      <w:pPr>
        <w:spacing w:line="360" w:lineRule="auto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Table </w:t>
      </w:r>
      <w:r>
        <w:rPr>
          <w:rFonts w:hint="eastAsia" w:ascii="Times New Roman" w:hAnsi="Times New Roman"/>
          <w:b/>
          <w:bCs/>
          <w:color w:val="000000"/>
          <w:sz w:val="22"/>
          <w:szCs w:val="22"/>
          <w:lang w:val="en-US" w:eastAsia="zh-CN"/>
        </w:rPr>
        <w:t>S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3</w:t>
      </w:r>
      <w:r>
        <w:rPr>
          <w:rFonts w:ascii="Times New Roman" w:hAnsi="Times New Roman"/>
          <w:color w:val="000000"/>
          <w:sz w:val="22"/>
          <w:szCs w:val="22"/>
        </w:rPr>
        <w:t>. Summary of fracture detection performance of different versions of YOLOv8 model at optimal thresholds.</w:t>
      </w:r>
    </w:p>
    <w:tbl>
      <w:tblPr>
        <w:tblStyle w:val="6"/>
        <w:tblW w:w="4999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2214"/>
        <w:gridCol w:w="2607"/>
        <w:gridCol w:w="2607"/>
        <w:gridCol w:w="2607"/>
        <w:gridCol w:w="2608"/>
      </w:tblGrid>
      <w:tr w14:paraId="0A9A802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90" w:hRule="atLeast"/>
        </w:trPr>
        <w:tc>
          <w:tcPr>
            <w:tcW w:w="503" w:type="pct"/>
            <w:tcBorders>
              <w:top w:val="single" w:color="auto" w:sz="8" w:space="0"/>
              <w:bottom w:val="single" w:color="auto" w:sz="4" w:space="0"/>
              <w:right w:val="single" w:color="FFFFFF" w:sz="2" w:space="0"/>
            </w:tcBorders>
            <w:shd w:val="clear" w:color="auto" w:fill="BEBEBE" w:themeFill="background1" w:themeFillShade="BF"/>
            <w:vAlign w:val="center"/>
          </w:tcPr>
          <w:p w14:paraId="78544BE5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  <w:shd w:val="clear" w:color="FFFFFF" w:fill="D9D9D9"/>
              </w:rPr>
            </w:pPr>
          </w:p>
        </w:tc>
        <w:tc>
          <w:tcPr>
            <w:tcW w:w="787" w:type="pct"/>
            <w:tcBorders>
              <w:top w:val="single" w:color="auto" w:sz="8" w:space="0"/>
              <w:left w:val="single" w:color="FFFFFF" w:sz="2" w:space="0"/>
              <w:bottom w:val="single" w:color="auto" w:sz="4" w:space="0"/>
              <w:right w:val="single" w:color="FFFFFF" w:sz="2" w:space="0"/>
            </w:tcBorders>
            <w:shd w:val="clear" w:color="auto" w:fill="BEBEBE" w:themeFill="background1" w:themeFillShade="BF"/>
            <w:vAlign w:val="center"/>
          </w:tcPr>
          <w:p w14:paraId="54F0805C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Optimal thresholds</w:t>
            </w:r>
          </w:p>
        </w:tc>
        <w:tc>
          <w:tcPr>
            <w:tcW w:w="927" w:type="pct"/>
            <w:tcBorders>
              <w:top w:val="single" w:color="auto" w:sz="8" w:space="0"/>
              <w:left w:val="single" w:color="FFFFFF" w:sz="2" w:space="0"/>
              <w:bottom w:val="single" w:color="auto" w:sz="4" w:space="0"/>
              <w:right w:val="single" w:color="FFFFFF" w:sz="2" w:space="0"/>
            </w:tcBorders>
            <w:shd w:val="clear" w:color="auto" w:fill="BEBEBE" w:themeFill="background1" w:themeFillShade="BF"/>
            <w:vAlign w:val="center"/>
          </w:tcPr>
          <w:p w14:paraId="26D1D872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Accuracy</w:t>
            </w:r>
            <w:r>
              <w:rPr>
                <w:rFonts w:hint="eastAsia" w:ascii="Times New Roman" w:hAnsi="Times New Roman" w:eastAsia="等线" w:cs="等线"/>
                <w:b/>
                <w:bCs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927" w:type="pct"/>
            <w:tcBorders>
              <w:top w:val="single" w:color="auto" w:sz="8" w:space="0"/>
              <w:left w:val="single" w:color="FFFFFF" w:sz="2" w:space="0"/>
              <w:bottom w:val="single" w:color="auto" w:sz="4" w:space="0"/>
              <w:right w:val="single" w:color="FFFFFF" w:sz="2" w:space="0"/>
            </w:tcBorders>
            <w:shd w:val="clear" w:color="auto" w:fill="BEBEBE" w:themeFill="background1" w:themeFillShade="BF"/>
            <w:vAlign w:val="center"/>
          </w:tcPr>
          <w:p w14:paraId="72CB1B64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Sensitivity</w:t>
            </w:r>
            <w:r>
              <w:rPr>
                <w:rFonts w:hint="eastAsia" w:ascii="Times New Roman" w:hAnsi="Times New Roman" w:eastAsia="等线" w:cs="等线"/>
                <w:b/>
                <w:bCs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927" w:type="pct"/>
            <w:tcBorders>
              <w:top w:val="single" w:color="auto" w:sz="8" w:space="0"/>
              <w:left w:val="single" w:color="FFFFFF" w:sz="2" w:space="0"/>
              <w:bottom w:val="single" w:color="auto" w:sz="4" w:space="0"/>
              <w:right w:val="single" w:color="FFFFFF" w:sz="2" w:space="0"/>
            </w:tcBorders>
            <w:shd w:val="clear" w:color="auto" w:fill="BEBEBE" w:themeFill="background1" w:themeFillShade="BF"/>
            <w:vAlign w:val="center"/>
          </w:tcPr>
          <w:p w14:paraId="5229D409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Specificity</w:t>
            </w:r>
            <w:r>
              <w:rPr>
                <w:rFonts w:hint="eastAsia" w:ascii="Times New Roman" w:hAnsi="Times New Roman" w:eastAsia="等线" w:cs="等线"/>
                <w:b/>
                <w:bCs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927" w:type="pct"/>
            <w:tcBorders>
              <w:top w:val="single" w:color="auto" w:sz="8" w:space="0"/>
              <w:left w:val="single" w:color="FFFFFF" w:sz="2" w:space="0"/>
              <w:bottom w:val="single" w:color="auto" w:sz="4" w:space="0"/>
            </w:tcBorders>
            <w:shd w:val="clear" w:color="auto" w:fill="BEBEBE" w:themeFill="background1" w:themeFillShade="BF"/>
            <w:vAlign w:val="center"/>
          </w:tcPr>
          <w:p w14:paraId="1CF8A9E5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Youden index</w:t>
            </w:r>
            <w:r>
              <w:rPr>
                <w:rFonts w:hint="eastAsia" w:ascii="Times New Roman" w:hAnsi="Times New Roman" w:eastAsia="等线" w:cs="等线"/>
                <w:b/>
                <w:bCs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b/>
                <w:bCs/>
                <w:color w:val="000000"/>
                <w:sz w:val="20"/>
                <w:szCs w:val="20"/>
              </w:rPr>
              <w:t>(95% CI)</w:t>
            </w:r>
          </w:p>
        </w:tc>
      </w:tr>
      <w:tr w14:paraId="459565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tcBorders>
              <w:top w:val="single" w:color="auto" w:sz="4" w:space="0"/>
              <w:bottom w:val="nil"/>
              <w:right w:val="single" w:color="FFFFFF" w:sz="2" w:space="0"/>
            </w:tcBorders>
            <w:shd w:val="clear" w:color="auto" w:fill="FFFFFF"/>
          </w:tcPr>
          <w:p w14:paraId="6432EFFE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  <w:t>YOLOv8-n</w:t>
            </w:r>
          </w:p>
        </w:tc>
        <w:tc>
          <w:tcPr>
            <w:tcW w:w="787" w:type="pct"/>
            <w:tcBorders>
              <w:top w:val="single" w:color="auto" w:sz="4" w:space="0"/>
              <w:left w:val="single" w:color="FFFFFF" w:sz="2" w:space="0"/>
              <w:bottom w:val="nil"/>
              <w:right w:val="single" w:color="FFFFFF" w:sz="2" w:space="0"/>
            </w:tcBorders>
            <w:shd w:val="clear" w:color="auto" w:fill="FFFFFF"/>
          </w:tcPr>
          <w:p w14:paraId="112DDA56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0.5493</w:t>
            </w:r>
          </w:p>
        </w:tc>
        <w:tc>
          <w:tcPr>
            <w:tcW w:w="927" w:type="pct"/>
            <w:tcBorders>
              <w:top w:val="single" w:color="auto" w:sz="4" w:space="0"/>
              <w:left w:val="single" w:color="FFFFFF" w:sz="2" w:space="0"/>
              <w:bottom w:val="nil"/>
              <w:right w:val="single" w:color="FFFFFF" w:sz="2" w:space="0"/>
            </w:tcBorders>
            <w:shd w:val="clear" w:color="auto" w:fill="FFFFFF"/>
          </w:tcPr>
          <w:p w14:paraId="4044C301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0.9632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(0.9469, 0.9815)</w:t>
            </w:r>
          </w:p>
        </w:tc>
        <w:tc>
          <w:tcPr>
            <w:tcW w:w="927" w:type="pct"/>
            <w:tcBorders>
              <w:top w:val="single" w:color="auto" w:sz="4" w:space="0"/>
              <w:left w:val="single" w:color="FFFFFF" w:sz="2" w:space="0"/>
              <w:bottom w:val="nil"/>
              <w:right w:val="single" w:color="FFFFFF" w:sz="2" w:space="0"/>
            </w:tcBorders>
            <w:shd w:val="clear" w:color="auto" w:fill="FFFFFF"/>
          </w:tcPr>
          <w:p w14:paraId="10EA7849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0.9884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(0.9769, 0.9968)</w:t>
            </w:r>
          </w:p>
        </w:tc>
        <w:tc>
          <w:tcPr>
            <w:tcW w:w="927" w:type="pct"/>
            <w:tcBorders>
              <w:top w:val="single" w:color="auto" w:sz="4" w:space="0"/>
              <w:left w:val="single" w:color="FFFFFF" w:sz="2" w:space="0"/>
              <w:bottom w:val="nil"/>
              <w:right w:val="single" w:color="FFFFFF" w:sz="2" w:space="0"/>
            </w:tcBorders>
            <w:shd w:val="clear" w:color="auto" w:fill="FFFFFF"/>
          </w:tcPr>
          <w:p w14:paraId="609FCC50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0.9366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(0.9242, 0.9468)</w:t>
            </w:r>
          </w:p>
        </w:tc>
        <w:tc>
          <w:tcPr>
            <w:tcW w:w="927" w:type="pct"/>
            <w:tcBorders>
              <w:top w:val="single" w:color="auto" w:sz="4" w:space="0"/>
              <w:left w:val="single" w:color="FFFFFF" w:sz="2" w:space="0"/>
              <w:bottom w:val="nil"/>
            </w:tcBorders>
            <w:shd w:val="clear" w:color="auto" w:fill="FFFFFF"/>
          </w:tcPr>
          <w:p w14:paraId="32FA40D1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0.9290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(0.9054, 0.9427)</w:t>
            </w:r>
          </w:p>
        </w:tc>
      </w:tr>
      <w:tr w14:paraId="384F3B5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tcBorders>
              <w:top w:val="nil"/>
              <w:bottom w:val="nil"/>
              <w:right w:val="single" w:color="FFFFFF" w:sz="0" w:space="0"/>
            </w:tcBorders>
            <w:shd w:val="clear" w:color="auto" w:fill="FFFFFF"/>
          </w:tcPr>
          <w:p w14:paraId="0F5CDB00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  <w:t>YOLOv8-s</w:t>
            </w:r>
          </w:p>
        </w:tc>
        <w:tc>
          <w:tcPr>
            <w:tcW w:w="78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784A4B2A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0.6042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0E24CC22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0.9630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(0.9526, 0.9725)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0F6214E3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0.9603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(0.9431, 0.9815)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552166D0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0.9610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(0.9366, 0.9865)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</w:tcBorders>
            <w:shd w:val="clear" w:color="auto" w:fill="FFFFFF"/>
          </w:tcPr>
          <w:p w14:paraId="1F812403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0.9263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(0.9054, 0.9481)</w:t>
            </w:r>
          </w:p>
        </w:tc>
      </w:tr>
      <w:tr w14:paraId="3017AA7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tcBorders>
              <w:top w:val="nil"/>
              <w:bottom w:val="nil"/>
              <w:right w:val="single" w:color="FFFFFF" w:sz="0" w:space="0"/>
            </w:tcBorders>
            <w:shd w:val="clear" w:color="auto" w:fill="FFFFFF"/>
          </w:tcPr>
          <w:p w14:paraId="52A35D0E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  <w:t>YOLOv8-m</w:t>
            </w:r>
          </w:p>
        </w:tc>
        <w:tc>
          <w:tcPr>
            <w:tcW w:w="78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6035B8A0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0.5646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6E7BDFC4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0.9550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(0.9388, 0.9730)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534A11F3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0.9711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(0.9513, 0.9846)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1052EB99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0.9415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(0.9691, 0.9967)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</w:tcBorders>
            <w:shd w:val="clear" w:color="auto" w:fill="FFFFFF"/>
          </w:tcPr>
          <w:p w14:paraId="1ED36D5F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0.9126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(0.8889, 0.9335)</w:t>
            </w:r>
          </w:p>
        </w:tc>
      </w:tr>
      <w:tr w14:paraId="6E4753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tcBorders>
              <w:top w:val="nil"/>
              <w:bottom w:val="nil"/>
              <w:right w:val="single" w:color="FFFFFF" w:sz="0" w:space="0"/>
            </w:tcBorders>
            <w:shd w:val="clear" w:color="auto" w:fill="FFFFFF"/>
          </w:tcPr>
          <w:p w14:paraId="16F409C7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  <w:t>YOLOv8-l</w:t>
            </w:r>
          </w:p>
        </w:tc>
        <w:tc>
          <w:tcPr>
            <w:tcW w:w="78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2B27C9A5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0.6033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44A0FE31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0.9524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(0.9360, 0.9757)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2E197DFF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0.9538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(0.9123, 0.9673)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  <w:right w:val="single" w:color="FFFFFF" w:sz="0" w:space="0"/>
            </w:tcBorders>
            <w:shd w:val="clear" w:color="auto" w:fill="FFFFFF"/>
          </w:tcPr>
          <w:p w14:paraId="5597A32A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0.9512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(0.9613, 0.9932)</w:t>
            </w:r>
          </w:p>
        </w:tc>
        <w:tc>
          <w:tcPr>
            <w:tcW w:w="927" w:type="pct"/>
            <w:tcBorders>
              <w:top w:val="nil"/>
              <w:left w:val="single" w:color="FFFFFF" w:sz="0" w:space="0"/>
              <w:bottom w:val="nil"/>
            </w:tcBorders>
            <w:shd w:val="clear" w:color="auto" w:fill="FFFFFF"/>
          </w:tcPr>
          <w:p w14:paraId="11330B5B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0.9050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(0.8806, 0.9289)</w:t>
            </w:r>
          </w:p>
        </w:tc>
      </w:tr>
      <w:tr w14:paraId="256052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" w:type="pct"/>
            <w:tcBorders>
              <w:top w:val="nil"/>
              <w:bottom w:val="single" w:color="auto" w:sz="8" w:space="0"/>
              <w:right w:val="single" w:color="FFFFFF" w:sz="2" w:space="0"/>
            </w:tcBorders>
            <w:shd w:val="clear" w:color="auto" w:fill="FFFFFF"/>
          </w:tcPr>
          <w:p w14:paraId="41643D8C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bCs/>
                <w:color w:val="000000"/>
                <w:sz w:val="20"/>
                <w:szCs w:val="20"/>
              </w:rPr>
              <w:t>YOLOv8-x</w:t>
            </w:r>
          </w:p>
        </w:tc>
        <w:tc>
          <w:tcPr>
            <w:tcW w:w="787" w:type="pct"/>
            <w:tcBorders>
              <w:top w:val="nil"/>
              <w:left w:val="single" w:color="FFFFFF" w:sz="2" w:space="0"/>
              <w:bottom w:val="single" w:color="auto" w:sz="8" w:space="0"/>
              <w:right w:val="single" w:color="FFFFFF" w:sz="2" w:space="0"/>
            </w:tcBorders>
            <w:shd w:val="clear" w:color="auto" w:fill="FFFFFF"/>
          </w:tcPr>
          <w:p w14:paraId="3D99ED37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0.5722</w:t>
            </w:r>
          </w:p>
        </w:tc>
        <w:tc>
          <w:tcPr>
            <w:tcW w:w="927" w:type="pct"/>
            <w:tcBorders>
              <w:top w:val="nil"/>
              <w:left w:val="single" w:color="FFFFFF" w:sz="2" w:space="0"/>
              <w:bottom w:val="single" w:color="auto" w:sz="8" w:space="0"/>
              <w:right w:val="single" w:color="FFFFFF" w:sz="2" w:space="0"/>
            </w:tcBorders>
            <w:shd w:val="clear" w:color="auto" w:fill="FFFFFF"/>
          </w:tcPr>
          <w:p w14:paraId="6713E578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0.9630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(0.9361, 0.9822)</w:t>
            </w:r>
          </w:p>
        </w:tc>
        <w:tc>
          <w:tcPr>
            <w:tcW w:w="927" w:type="pct"/>
            <w:tcBorders>
              <w:top w:val="nil"/>
              <w:left w:val="single" w:color="FFFFFF" w:sz="2" w:space="0"/>
              <w:bottom w:val="single" w:color="auto" w:sz="8" w:space="0"/>
              <w:right w:val="single" w:color="FFFFFF" w:sz="2" w:space="0"/>
            </w:tcBorders>
            <w:shd w:val="clear" w:color="auto" w:fill="FFFFFF"/>
          </w:tcPr>
          <w:p w14:paraId="05C65DA9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0.9769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(0.9488, 0.9886)</w:t>
            </w:r>
          </w:p>
        </w:tc>
        <w:tc>
          <w:tcPr>
            <w:tcW w:w="927" w:type="pct"/>
            <w:tcBorders>
              <w:top w:val="nil"/>
              <w:left w:val="single" w:color="FFFFFF" w:sz="2" w:space="0"/>
              <w:bottom w:val="single" w:color="auto" w:sz="8" w:space="0"/>
              <w:right w:val="single" w:color="FFFFFF" w:sz="2" w:space="0"/>
            </w:tcBorders>
            <w:shd w:val="clear" w:color="auto" w:fill="FFFFFF"/>
          </w:tcPr>
          <w:p w14:paraId="7A28283D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0.9532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(0.9309, 0.9770)</w:t>
            </w:r>
          </w:p>
        </w:tc>
        <w:tc>
          <w:tcPr>
            <w:tcW w:w="927" w:type="pct"/>
            <w:tcBorders>
              <w:top w:val="nil"/>
              <w:left w:val="single" w:color="FFFFFF" w:sz="2" w:space="0"/>
              <w:bottom w:val="single" w:color="auto" w:sz="8" w:space="0"/>
            </w:tcBorders>
            <w:shd w:val="clear" w:color="auto" w:fill="FFFFFF"/>
          </w:tcPr>
          <w:p w14:paraId="22AB6C23">
            <w:pPr>
              <w:pStyle w:val="4"/>
              <w:widowControl/>
              <w:spacing w:beforeAutospacing="0" w:afterAutospacing="0" w:line="360" w:lineRule="auto"/>
              <w:jc w:val="center"/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0.9281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(0.8884, 0.9544)</w:t>
            </w:r>
          </w:p>
        </w:tc>
      </w:tr>
    </w:tbl>
    <w:p w14:paraId="70EE1B65">
      <w:pPr>
        <w:spacing w:line="360" w:lineRule="auto"/>
        <w:rPr>
          <w:rFonts w:hint="default" w:ascii="Times New Roman" w:hAnsi="Times New Roman" w:cs="Times New Roman"/>
          <w:b/>
          <w:bCs/>
          <w:sz w:val="20"/>
          <w:szCs w:val="20"/>
        </w:rPr>
      </w:pPr>
    </w:p>
    <w:p w14:paraId="523BD8FD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Table </w:t>
      </w:r>
      <w:r>
        <w:rPr>
          <w:rFonts w:hint="eastAsia" w:ascii="Times New Roman" w:hAnsi="Times New Roman"/>
          <w:b/>
          <w:bCs/>
          <w:color w:val="000000"/>
          <w:sz w:val="20"/>
          <w:szCs w:val="20"/>
          <w:lang w:val="en-US" w:eastAsia="zh-CN"/>
        </w:rPr>
        <w:t>S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4</w:t>
      </w:r>
      <w:r>
        <w:rPr>
          <w:rFonts w:ascii="Times New Roman" w:hAnsi="Times New Roman"/>
          <w:color w:val="000000"/>
          <w:sz w:val="20"/>
          <w:szCs w:val="20"/>
        </w:rPr>
        <w:t xml:space="preserve">. Summary of the performance of different models in the classification of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TPF.</w:t>
      </w:r>
    </w:p>
    <w:tbl>
      <w:tblPr>
        <w:tblStyle w:val="5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4" w:space="0"/>
          <w:insideV w:val="none" w:color="auto" w:sz="4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5"/>
        <w:gridCol w:w="2114"/>
        <w:gridCol w:w="1758"/>
        <w:gridCol w:w="1758"/>
        <w:gridCol w:w="1783"/>
        <w:gridCol w:w="1783"/>
        <w:gridCol w:w="1817"/>
      </w:tblGrid>
      <w:tr w14:paraId="271A7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3" w:type="pct"/>
            <w:vMerge w:val="restart"/>
            <w:tcBorders>
              <w:top w:val="single" w:color="auto" w:sz="8" w:space="0"/>
              <w:bottom w:val="single" w:color="FFFFFF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5D004D95"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2" w:type="pct"/>
            <w:vMerge w:val="restart"/>
            <w:tcBorders>
              <w:top w:val="single" w:color="auto" w:sz="8" w:space="0"/>
              <w:left w:val="single" w:color="FFFFFF" w:sz="0" w:space="0"/>
              <w:bottom w:val="single" w:color="FFFFFF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6FAD27A4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Average</w:t>
            </w:r>
          </w:p>
          <w:p w14:paraId="60D6A89A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accuracy</w:t>
            </w:r>
          </w:p>
        </w:tc>
        <w:tc>
          <w:tcPr>
            <w:tcW w:w="3164" w:type="pct"/>
            <w:gridSpan w:val="5"/>
            <w:tcBorders>
              <w:top w:val="single" w:color="auto" w:sz="8" w:space="0"/>
              <w:left w:val="single" w:color="FFFFFF" w:sz="0" w:space="0"/>
              <w:bottom w:val="single" w:color="auto" w:sz="4" w:space="0"/>
            </w:tcBorders>
            <w:shd w:val="clear" w:color="auto" w:fill="BEBEBE" w:themeFill="background1" w:themeFillShade="BF"/>
            <w:noWrap/>
            <w:vAlign w:val="center"/>
          </w:tcPr>
          <w:p w14:paraId="260EF6AF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Accuracy in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classification</w:t>
            </w:r>
          </w:p>
        </w:tc>
      </w:tr>
      <w:tr w14:paraId="04F96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83" w:type="pct"/>
            <w:vMerge w:val="continue"/>
            <w:tcBorders>
              <w:top w:val="single" w:color="FFFFFF" w:sz="4" w:space="0"/>
              <w:bottom w:val="single" w:color="auto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3C4CE36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2" w:type="pct"/>
            <w:vMerge w:val="continue"/>
            <w:tcBorders>
              <w:top w:val="single" w:color="FFFFFF" w:sz="4" w:space="0"/>
              <w:left w:val="single" w:color="FFFFFF" w:sz="0" w:space="0"/>
              <w:bottom w:val="single" w:color="auto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6CBBD2F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4" w:space="0"/>
              <w:left w:val="single" w:color="FFFFFF" w:sz="0" w:space="0"/>
              <w:bottom w:val="single" w:color="auto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7C98EF38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Type A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FFFFFF" w:sz="0" w:space="0"/>
              <w:bottom w:val="single" w:color="auto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121E3F0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Type B</w:t>
            </w:r>
          </w:p>
        </w:tc>
        <w:tc>
          <w:tcPr>
            <w:tcW w:w="634" w:type="pct"/>
            <w:tcBorders>
              <w:top w:val="single" w:color="auto" w:sz="4" w:space="0"/>
              <w:left w:val="single" w:color="FFFFFF" w:sz="0" w:space="0"/>
              <w:bottom w:val="single" w:color="auto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2D653AAD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Type C</w:t>
            </w:r>
          </w:p>
        </w:tc>
        <w:tc>
          <w:tcPr>
            <w:tcW w:w="634" w:type="pct"/>
            <w:tcBorders>
              <w:top w:val="single" w:color="auto" w:sz="4" w:space="0"/>
              <w:left w:val="single" w:color="FFFFFF" w:sz="0" w:space="0"/>
              <w:bottom w:val="single" w:color="auto" w:sz="4" w:space="0"/>
              <w:right w:val="single" w:color="FFFFFF" w:sz="0" w:space="0"/>
            </w:tcBorders>
            <w:shd w:val="clear" w:color="auto" w:fill="BEBEBE" w:themeFill="background1" w:themeFillShade="BF"/>
            <w:noWrap/>
            <w:vAlign w:val="center"/>
          </w:tcPr>
          <w:p w14:paraId="1F88C2BC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Type D</w:t>
            </w:r>
          </w:p>
        </w:tc>
        <w:tc>
          <w:tcPr>
            <w:tcW w:w="643" w:type="pct"/>
            <w:tcBorders>
              <w:top w:val="single" w:color="auto" w:sz="4" w:space="0"/>
              <w:left w:val="single" w:color="FFFFFF" w:sz="0" w:space="0"/>
              <w:bottom w:val="single" w:color="auto" w:sz="4" w:space="0"/>
            </w:tcBorders>
            <w:shd w:val="clear" w:color="auto" w:fill="BEBEBE" w:themeFill="background1" w:themeFillShade="BF"/>
            <w:noWrap/>
            <w:vAlign w:val="center"/>
          </w:tcPr>
          <w:p w14:paraId="5CA36F8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Type K</w:t>
            </w:r>
          </w:p>
        </w:tc>
      </w:tr>
      <w:tr w14:paraId="5CFAE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auto" w:sz="4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6FDB2BA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YOLOv8n-cls</w:t>
            </w:r>
          </w:p>
        </w:tc>
        <w:tc>
          <w:tcPr>
            <w:tcW w:w="752" w:type="pct"/>
            <w:tcBorders>
              <w:top w:val="single" w:color="auto" w:sz="4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46258745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0.844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28C33C8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0.83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60</w:t>
            </w:r>
          </w:p>
          <w:p w14:paraId="0A11A2E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8198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0.8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64F503EB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0.82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21</w:t>
            </w:r>
          </w:p>
          <w:p w14:paraId="78B77FB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69, 0.8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auto" w:sz="4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26A42D28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0.87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25</w:t>
            </w:r>
          </w:p>
          <w:p w14:paraId="5345CCB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469, 0.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815)</w:t>
            </w:r>
          </w:p>
        </w:tc>
        <w:tc>
          <w:tcPr>
            <w:tcW w:w="634" w:type="pct"/>
            <w:tcBorders>
              <w:top w:val="single" w:color="auto" w:sz="4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036528C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0.85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53</w:t>
            </w:r>
          </w:p>
          <w:p w14:paraId="52801B2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4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9, 0.8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726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auto" w:sz="4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5AD94A0E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20</w:t>
            </w:r>
          </w:p>
          <w:p w14:paraId="5C02171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(0.9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6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0.9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72F15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1FBE6324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YOLOv8s-cls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65EE16D2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0.751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79EE5FB6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0.71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12</w:t>
            </w:r>
          </w:p>
          <w:p w14:paraId="68C4FEF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69, 0.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7218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48DAB8C3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0.79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03</w:t>
            </w:r>
          </w:p>
          <w:p w14:paraId="138EC61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7699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8103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09EEDD3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05</w:t>
            </w:r>
          </w:p>
          <w:p w14:paraId="2FF4BBC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6897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7125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2BA87E2A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86</w:t>
            </w:r>
          </w:p>
          <w:p w14:paraId="1C82AA4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7655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7818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79FCD12B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55</w:t>
            </w:r>
          </w:p>
          <w:p w14:paraId="0260F2D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6654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6868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6C095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30767A56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YOLOv8m-cls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4C3FF501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0.751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4CA7174E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71</w:t>
            </w:r>
          </w:p>
          <w:p w14:paraId="4669DFB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6517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6824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4135F369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0.79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18</w:t>
            </w:r>
          </w:p>
          <w:p w14:paraId="5CF94F9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7803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8029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4DC7E87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21</w:t>
            </w:r>
          </w:p>
          <w:p w14:paraId="5E43BBF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6801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7125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092D4D6F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74</w:t>
            </w:r>
          </w:p>
          <w:p w14:paraId="7F89005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7589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7821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2A00640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56</w:t>
            </w:r>
          </w:p>
          <w:p w14:paraId="524DC04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7412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7751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24989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3E09D3E4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YOLOv8l-cls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1A1296FD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5637347C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72</w:t>
            </w:r>
          </w:p>
          <w:p w14:paraId="6F6F2E5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6521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6885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1EE56B51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0.80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06</w:t>
            </w:r>
          </w:p>
          <w:p w14:paraId="4B3D2C5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69, 0.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15)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6252B5FA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56</w:t>
            </w:r>
          </w:p>
          <w:p w14:paraId="106C196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69, 0.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7221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1A1C1077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86</w:t>
            </w:r>
          </w:p>
          <w:p w14:paraId="28B75EE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7654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7863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41B05423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60</w:t>
            </w:r>
          </w:p>
          <w:p w14:paraId="34BB7A2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7433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7642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0F0C64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0C0B98A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YOLOv8x-cls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33EC42C5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09CA3BF6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0.71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15</w:t>
            </w:r>
          </w:p>
          <w:p w14:paraId="0F2A4C6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7012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7344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2E6B0F48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40</w:t>
            </w:r>
          </w:p>
          <w:p w14:paraId="4C0A6F3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7566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7825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5C35F880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0.74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67</w:t>
            </w:r>
          </w:p>
          <w:p w14:paraId="3000F1D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7212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7599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1D8B1AF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0.81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21</w:t>
            </w:r>
          </w:p>
          <w:p w14:paraId="765EE29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7769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8256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7C958496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0.58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87</w:t>
            </w:r>
          </w:p>
          <w:p w14:paraId="5BDEC48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5633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6235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33ACC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696746C6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Densenet-161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3A130407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0.746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068E622E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0.71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31</w:t>
            </w:r>
          </w:p>
          <w:p w14:paraId="013B603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6895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7202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1F5925D3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0.79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03</w:t>
            </w:r>
          </w:p>
          <w:p w14:paraId="61310BB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7801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8058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3A0CE273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0.74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58</w:t>
            </w:r>
          </w:p>
          <w:p w14:paraId="7759FF8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7262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7568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1B58249B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20</w:t>
            </w:r>
          </w:p>
          <w:p w14:paraId="5F5DC63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7563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7897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1F810515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0.50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43</w:t>
            </w:r>
          </w:p>
          <w:p w14:paraId="29743CC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4898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5188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6C9C1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06818BE2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ResNet-50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32E01573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0.688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59A3A708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0.58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65</w:t>
            </w:r>
          </w:p>
          <w:p w14:paraId="4178256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5625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6077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764BB7F8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0.72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12</w:t>
            </w:r>
          </w:p>
          <w:p w14:paraId="2BD501F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6856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7488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51DD8BAB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67</w:t>
            </w:r>
          </w:p>
          <w:p w14:paraId="5A18605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6912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7256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FFFFFF"/>
            <w:vAlign w:val="center"/>
          </w:tcPr>
          <w:p w14:paraId="3B441296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0.75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65</w:t>
            </w:r>
          </w:p>
          <w:p w14:paraId="4148C6F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7322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7816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0" w:space="0"/>
            </w:tcBorders>
            <w:shd w:val="clear" w:color="auto" w:fill="FFFFFF"/>
            <w:vAlign w:val="center"/>
          </w:tcPr>
          <w:p w14:paraId="3D89DACF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0.42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32</w:t>
            </w:r>
          </w:p>
          <w:p w14:paraId="372C4AE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4219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4403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31A85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083" w:type="pct"/>
            <w:tcBorders>
              <w:top w:val="single" w:color="FFFFFF" w:sz="0" w:space="0"/>
              <w:bottom w:val="single" w:color="FFFFFF" w:sz="2" w:space="0"/>
              <w:right w:val="single" w:color="FFFFFF" w:sz="0" w:space="0"/>
            </w:tcBorders>
            <w:shd w:val="clear" w:color="auto" w:fill="FFFFFF"/>
            <w:noWrap/>
            <w:vAlign w:val="center"/>
          </w:tcPr>
          <w:p w14:paraId="3BB66DC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Swin-s</w:t>
            </w:r>
          </w:p>
        </w:tc>
        <w:tc>
          <w:tcPr>
            <w:tcW w:w="752" w:type="pct"/>
            <w:tcBorders>
              <w:top w:val="single" w:color="FFFFFF" w:sz="0" w:space="0"/>
              <w:left w:val="single" w:color="FFFFFF" w:sz="0" w:space="0"/>
              <w:bottom w:val="single" w:color="FFFFFF" w:sz="2" w:space="0"/>
              <w:right w:val="single" w:color="FFFFFF" w:sz="0" w:space="0"/>
            </w:tcBorders>
            <w:shd w:val="clear" w:color="auto" w:fill="FFFFFF"/>
            <w:vAlign w:val="center"/>
          </w:tcPr>
          <w:p w14:paraId="609D41E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0.740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2" w:space="0"/>
              <w:right w:val="single" w:color="FFFFFF" w:sz="0" w:space="0"/>
            </w:tcBorders>
            <w:shd w:val="clear" w:color="auto" w:fill="FFFFFF"/>
            <w:vAlign w:val="center"/>
          </w:tcPr>
          <w:p w14:paraId="0BF53A7F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32</w:t>
            </w:r>
          </w:p>
          <w:p w14:paraId="0056619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6642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6858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single" w:color="FFFFFF" w:sz="0" w:space="0"/>
              <w:left w:val="single" w:color="FFFFFF" w:sz="0" w:space="0"/>
              <w:bottom w:val="single" w:color="FFFFFF" w:sz="2" w:space="0"/>
              <w:right w:val="single" w:color="FFFFFF" w:sz="0" w:space="0"/>
            </w:tcBorders>
            <w:shd w:val="clear" w:color="auto" w:fill="FFFFFF"/>
            <w:vAlign w:val="center"/>
          </w:tcPr>
          <w:p w14:paraId="59D1C0E0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67</w:t>
            </w:r>
          </w:p>
          <w:p w14:paraId="5EFD20E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7517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7961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2" w:space="0"/>
              <w:right w:val="single" w:color="FFFFFF" w:sz="0" w:space="0"/>
            </w:tcBorders>
            <w:shd w:val="clear" w:color="auto" w:fill="FFFFFF"/>
            <w:vAlign w:val="center"/>
          </w:tcPr>
          <w:p w14:paraId="5EE127B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0.74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BFACF7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7215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7644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0" w:space="0"/>
              <w:left w:val="single" w:color="FFFFFF" w:sz="0" w:space="0"/>
              <w:bottom w:val="single" w:color="FFFFFF" w:sz="2" w:space="0"/>
              <w:right w:val="single" w:color="FFFFFF" w:sz="0" w:space="0"/>
            </w:tcBorders>
            <w:shd w:val="clear" w:color="auto" w:fill="FFFFFF"/>
            <w:vAlign w:val="center"/>
          </w:tcPr>
          <w:p w14:paraId="7EBC94BA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0.79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03</w:t>
            </w:r>
          </w:p>
          <w:p w14:paraId="10EAFE3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7808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7989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0" w:space="0"/>
              <w:left w:val="single" w:color="FFFFFF" w:sz="0" w:space="0"/>
              <w:bottom w:val="single" w:color="FFFFFF" w:sz="2" w:space="0"/>
            </w:tcBorders>
            <w:shd w:val="clear" w:color="auto" w:fill="FFFFFF"/>
            <w:vAlign w:val="center"/>
          </w:tcPr>
          <w:p w14:paraId="23A2A53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0.50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50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1E8954A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4981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5103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</w:tr>
      <w:tr w14:paraId="73D1D4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083" w:type="pct"/>
            <w:tcBorders>
              <w:top w:val="single" w:color="FFFFFF" w:sz="2" w:space="0"/>
              <w:bottom w:val="single" w:color="000000" w:sz="8" w:space="0"/>
              <w:right w:val="single" w:color="FFFFFF" w:sz="2" w:space="0"/>
            </w:tcBorders>
            <w:shd w:val="clear" w:color="auto" w:fill="FFFFFF"/>
            <w:noWrap/>
            <w:vAlign w:val="center"/>
          </w:tcPr>
          <w:p w14:paraId="2169ED0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 w:val="0"/>
                <w:color w:val="000000"/>
                <w:kern w:val="0"/>
                <w:sz w:val="20"/>
                <w:szCs w:val="20"/>
                <w:lang w:bidi="ar"/>
              </w:rPr>
              <w:t>Efficient-B5</w:t>
            </w:r>
          </w:p>
        </w:tc>
        <w:tc>
          <w:tcPr>
            <w:tcW w:w="752" w:type="pct"/>
            <w:tcBorders>
              <w:top w:val="single" w:color="FFFFFF" w:sz="2" w:space="0"/>
              <w:left w:val="single" w:color="FFFFFF" w:sz="2" w:space="0"/>
              <w:bottom w:val="single" w:color="000000" w:sz="8" w:space="0"/>
              <w:right w:val="single" w:color="FFFFFF" w:sz="2" w:space="0"/>
            </w:tcBorders>
            <w:shd w:val="clear" w:color="auto" w:fill="FFFFFF"/>
            <w:vAlign w:val="center"/>
          </w:tcPr>
          <w:p w14:paraId="77B5E619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0.705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625" w:type="pct"/>
            <w:tcBorders>
              <w:top w:val="single" w:color="FFFFFF" w:sz="2" w:space="0"/>
              <w:left w:val="single" w:color="FFFFFF" w:sz="2" w:space="0"/>
              <w:bottom w:val="single" w:color="000000" w:sz="8" w:space="0"/>
              <w:right w:val="single" w:color="FFFFFF" w:sz="2" w:space="0"/>
            </w:tcBorders>
            <w:shd w:val="clear" w:color="auto" w:fill="FFFFFF"/>
            <w:vAlign w:val="center"/>
          </w:tcPr>
          <w:p w14:paraId="54903D3C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0.63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03</w:t>
            </w:r>
          </w:p>
          <w:p w14:paraId="184949C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6288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6403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5" w:type="pct"/>
            <w:tcBorders>
              <w:top w:val="single" w:color="FFFFFF" w:sz="2" w:space="0"/>
              <w:left w:val="single" w:color="FFFFFF" w:sz="2" w:space="0"/>
              <w:bottom w:val="single" w:color="000000" w:sz="8" w:space="0"/>
              <w:right w:val="single" w:color="FFFFFF" w:sz="2" w:space="0"/>
            </w:tcBorders>
            <w:shd w:val="clear" w:color="auto" w:fill="FFFFFF"/>
            <w:vAlign w:val="center"/>
          </w:tcPr>
          <w:p w14:paraId="0294AC6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0.74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78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4E9FA14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7345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7628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4" w:type="pct"/>
            <w:tcBorders>
              <w:top w:val="single" w:color="FFFFFF" w:sz="2" w:space="0"/>
              <w:left w:val="single" w:color="FFFFFF" w:sz="2" w:space="0"/>
              <w:bottom w:val="single" w:color="000000" w:sz="8" w:space="0"/>
              <w:right w:val="single" w:color="FFFFFF" w:sz="2" w:space="0"/>
            </w:tcBorders>
            <w:shd w:val="clear" w:color="auto" w:fill="FFFFFF"/>
            <w:vAlign w:val="center"/>
          </w:tcPr>
          <w:p w14:paraId="5CFAAF5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0.65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6D6D2DB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6389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6725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color="FFFFFF" w:sz="2" w:space="0"/>
              <w:left w:val="single" w:color="FFFFFF" w:sz="2" w:space="0"/>
              <w:bottom w:val="single" w:color="000000" w:sz="8" w:space="0"/>
              <w:right w:val="single" w:color="FFFFFF" w:sz="2" w:space="0"/>
            </w:tcBorders>
            <w:shd w:val="clear" w:color="auto" w:fill="FFFFFF"/>
            <w:vAlign w:val="center"/>
          </w:tcPr>
          <w:p w14:paraId="18250C8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0.77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89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9473FC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7652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7859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</w:p>
        </w:tc>
        <w:tc>
          <w:tcPr>
            <w:tcW w:w="643" w:type="pct"/>
            <w:tcBorders>
              <w:top w:val="single" w:color="FFFFFF" w:sz="2" w:space="0"/>
              <w:left w:val="single" w:color="FFFFFF" w:sz="2" w:space="0"/>
              <w:bottom w:val="single" w:color="000000" w:sz="8" w:space="0"/>
            </w:tcBorders>
            <w:shd w:val="clear" w:color="auto" w:fill="FFFFFF"/>
            <w:vAlign w:val="center"/>
          </w:tcPr>
          <w:p w14:paraId="721DE7B1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0.50</w:t>
            </w:r>
            <w:r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  <w:t>68</w:t>
            </w:r>
          </w:p>
          <w:p w14:paraId="605D3BF3">
            <w:pPr>
              <w:widowControl/>
              <w:jc w:val="center"/>
              <w:textAlignment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(0.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4915</w:t>
            </w:r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, 0.</w:t>
            </w:r>
            <w:r>
              <w:rPr>
                <w:rFonts w:hint="eastAsia" w:ascii="Times New Roman" w:hAnsi="Times New Roman" w:eastAsia="等线" w:cs="等线"/>
                <w:color w:val="000000"/>
                <w:sz w:val="20"/>
                <w:szCs w:val="20"/>
                <w:lang w:val="en-US" w:eastAsia="zh-CN"/>
              </w:rPr>
              <w:t>5106</w:t>
            </w:r>
            <w:bookmarkStart w:id="1" w:name="_GoBack"/>
            <w:bookmarkEnd w:id="1"/>
            <w:r>
              <w:rPr>
                <w:rFonts w:hint="default" w:ascii="Times New Roman" w:hAnsi="Times New Roman" w:eastAsia="等线" w:cs="等线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03B2016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eastAsia="zh-CN"/>
        </w:rPr>
        <w:drawing>
          <wp:inline distT="0" distB="0" distL="114300" distR="114300">
            <wp:extent cx="8789670" cy="4944745"/>
            <wp:effectExtent l="0" t="0" r="11430" b="8255"/>
            <wp:docPr id="1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967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C33A">
      <w:pPr>
        <w:spacing w:line="360" w:lineRule="auto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1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Data preprocessing and identification workflow of normal knee joint and TPF images. </w:t>
      </w:r>
      <w:bookmarkStart w:id="0" w:name="OLE_LINK14"/>
      <w:r>
        <w:rPr>
          <w:rFonts w:hint="default" w:ascii="Times New Roman" w:hAnsi="Times New Roman" w:eastAsia="宋体" w:cs="Times New Roman"/>
          <w:sz w:val="20"/>
          <w:szCs w:val="20"/>
        </w:rPr>
        <w:t xml:space="preserve">The bold white letters ABCDK on the right represent: A, Schatzker Type I, split wedge of the lateral tibial plateau. B, Schatzker Type II, split wedge depression of the lateral tibial plateau; Schatzker Type III, pure depression of the lateral tibial plateau. C, Schatzker Type IV: split wedge of the medial tibial plateau. D, Schatzker Type V: bicondylar tibial plateau fracture, where there is continuity between the epiphysis and the diaphysis; Schatzker Type VI: bicondylar fracture with complete dissociation between the epiphysis and the diaphysis. K, Type K: not in Schatzker Type, intercondylar crest fracture of the tibial plateau. </w:t>
      </w:r>
      <w:bookmarkEnd w:id="0"/>
      <w:r>
        <w:rPr>
          <w:rFonts w:hint="default" w:ascii="Times New Roman" w:hAnsi="Times New Roman" w:eastAsia="宋体" w:cs="Times New Roman"/>
          <w:sz w:val="20"/>
          <w:szCs w:val="20"/>
        </w:rPr>
        <w:t>TPF, tibial plateau fracture; SL, swarm learning; DL, deep learning.</w:t>
      </w:r>
    </w:p>
    <w:p w14:paraId="4909448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90305" cy="4944745"/>
            <wp:effectExtent l="0" t="0" r="10795" b="8255"/>
            <wp:docPr id="2" name="图片 2" descr="Figure S2. TPF detection model development and evaluation process.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. TPF detection model development and evaluation process.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030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3BE5">
      <w:pPr>
        <w:pStyle w:val="2"/>
        <w:spacing w:line="360" w:lineRule="auto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2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 TPF detection model development and evaluation process. </w:t>
      </w:r>
    </w:p>
    <w:p w14:paraId="54A5755C">
      <w:pPr>
        <w:pStyle w:val="2"/>
        <w:spacing w:line="360" w:lineRule="auto"/>
        <w:rPr>
          <w:rFonts w:hint="eastAsia" w:ascii="Times New Roman" w:hAnsi="Times New Roman" w:eastAsia="宋体" w:cs="Times New Roman"/>
          <w:b/>
          <w:b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eastAsia="zh-CN"/>
        </w:rPr>
        <w:drawing>
          <wp:inline distT="0" distB="0" distL="114300" distR="114300">
            <wp:extent cx="8789670" cy="4944745"/>
            <wp:effectExtent l="0" t="0" r="11430" b="8255"/>
            <wp:docPr id="4" name="图片 4" descr="Fig S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 S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967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E178">
      <w:pPr>
        <w:pStyle w:val="2"/>
        <w:spacing w:line="360" w:lineRule="auto"/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S3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Partial visualization results of fracture detection and classification.</w:t>
      </w:r>
    </w:p>
    <w:sectPr>
      <w:pgSz w:w="16838" w:h="11906" w:orient="landscape"/>
      <w:pgMar w:top="1860" w:right="1440" w:bottom="1800" w:left="15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yriadPro-SemiboldSemiCn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05572"/>
    <w:rsid w:val="0FF87544"/>
    <w:rsid w:val="26A90A1D"/>
    <w:rsid w:val="2952680E"/>
    <w:rsid w:val="2D1E3223"/>
    <w:rsid w:val="2DA27F6D"/>
    <w:rsid w:val="3130009C"/>
    <w:rsid w:val="351849C1"/>
    <w:rsid w:val="36F86DBF"/>
    <w:rsid w:val="410A07A5"/>
    <w:rsid w:val="426A68ED"/>
    <w:rsid w:val="592F3088"/>
    <w:rsid w:val="5B841BB9"/>
    <w:rsid w:val="749C2A22"/>
    <w:rsid w:val="7E52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3">
    <w:name w:val="Body Text 2"/>
    <w:basedOn w:val="1"/>
    <w:qFormat/>
    <w:uiPriority w:val="0"/>
    <w:pPr>
      <w:spacing w:after="120" w:line="480" w:lineRule="auto"/>
    </w:pPr>
    <w:rPr>
      <w:kern w:val="0"/>
      <w:sz w:val="24"/>
      <w:szCs w:val="20"/>
      <w:lang w:val="zh-CN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rPr>
      <w:rFonts w:hint="eastAsia" w:ascii="等线" w:hAnsi="等线" w:eastAsia="等线" w:cs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375</Words>
  <Characters>2215</Characters>
  <Lines>0</Lines>
  <Paragraphs>0</Paragraphs>
  <TotalTime>19</TotalTime>
  <ScaleCrop>false</ScaleCrop>
  <LinksUpToDate>false</LinksUpToDate>
  <CharactersWithSpaces>2558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2024-11-23T03:46:00Z</dcterms:created>
  <dc:creator>xieyi</dc:creator>
  <cp:lastModifiedBy>Shey</cp:lastModifiedBy>
  <dcterms:modified xsi:type="dcterms:W3CDTF">2025-05-16T06:28:59Z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8FB5C8BBD72A4A4AB01B5D020668FC21_12</vt:lpwstr>
  </property>
  <property fmtid="{D5CDD505-2E9C-101B-9397-08002B2CF9AE}" pid="4" name="KSOTemplateDocerSaveRecord">
    <vt:lpwstr>eyJoZGlkIjoiYTFlMDEyZjRhYWFhOGJkMjc0MDQwMzgzZDk0YjYyMGEiLCJ1c2VySWQiOiIzNzYwMTk1NDQifQ==</vt:lpwstr>
  </property>
</Properties>
</file>