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SUPPLEMENTARY FIGURES</w:t>
      </w:r>
    </w:p>
    <w:p w:rsidR="00000000" w:rsidDel="00000000" w:rsidP="00000000" w:rsidRDefault="00000000" w:rsidRPr="00000000" w14:paraId="00000002">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role of CsrA in controls the extracellular electron transfer and biofilm production in </w:t>
      </w:r>
      <w:r w:rsidDel="00000000" w:rsidR="00000000" w:rsidRPr="00000000">
        <w:rPr>
          <w:rFonts w:ascii="Times New Roman" w:cs="Times New Roman" w:eastAsia="Times New Roman" w:hAnsi="Times New Roman"/>
          <w:b w:val="1"/>
          <w:i w:val="1"/>
          <w:sz w:val="32"/>
          <w:szCs w:val="32"/>
          <w:rtl w:val="0"/>
        </w:rPr>
        <w:t xml:space="preserve">Geobacter sulfurreducens</w:t>
      </w:r>
      <w:r w:rsidDel="00000000" w:rsidR="00000000" w:rsidRPr="00000000">
        <w:rPr>
          <w:rtl w:val="0"/>
        </w:rPr>
      </w:r>
    </w:p>
    <w:p w:rsidR="00000000" w:rsidDel="00000000" w:rsidP="00000000" w:rsidRDefault="00000000" w:rsidRPr="00000000" w14:paraId="0000000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Alberto Hernández-Eligio,</w:t>
      </w:r>
      <w:r w:rsidDel="00000000" w:rsidR="00000000" w:rsidRPr="00000000">
        <w:rPr>
          <w:rFonts w:ascii="Times New Roman" w:cs="Times New Roman" w:eastAsia="Times New Roman" w:hAnsi="Times New Roman"/>
          <w:b w:val="1"/>
          <w:vertAlign w:val="superscript"/>
          <w:rtl w:val="0"/>
        </w:rPr>
        <w:t xml:space="preserve">1,4</w:t>
      </w:r>
      <w:r w:rsidDel="00000000" w:rsidR="00000000" w:rsidRPr="00000000">
        <w:rPr>
          <w:rFonts w:ascii="Noto Sans Symbols" w:cs="Noto Sans Symbols" w:eastAsia="Noto Sans Symbols" w:hAnsi="Noto Sans Symbols"/>
          <w:vertAlign w:val="superscript"/>
          <w:rtl w:val="0"/>
        </w:rPr>
        <w:t xml:space="preserve">*</w:t>
      </w:r>
      <w:r w:rsidDel="00000000" w:rsidR="00000000" w:rsidRPr="00000000">
        <w:rPr>
          <w:rFonts w:ascii="Times New Roman" w:cs="Times New Roman" w:eastAsia="Times New Roman" w:hAnsi="Times New Roman"/>
          <w:b w:val="1"/>
          <w:rtl w:val="0"/>
        </w:rPr>
        <w:t xml:space="preserve"> Leticia Vega-Alvarado,</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Fonts w:ascii="Times New Roman" w:cs="Times New Roman" w:eastAsia="Times New Roman" w:hAnsi="Times New Roman"/>
          <w:b w:val="1"/>
          <w:rtl w:val="0"/>
        </w:rPr>
        <w:t xml:space="preserve"> Xinying Liu,</w:t>
      </w:r>
      <w:r w:rsidDel="00000000" w:rsidR="00000000" w:rsidRPr="00000000">
        <w:rPr>
          <w:rFonts w:ascii="Times New Roman" w:cs="Times New Roman" w:eastAsia="Times New Roman" w:hAnsi="Times New Roman"/>
          <w:b w:val="1"/>
          <w:vertAlign w:val="superscript"/>
          <w:rtl w:val="0"/>
        </w:rPr>
        <w:t xml:space="preserve">3</w:t>
      </w:r>
      <w:r w:rsidDel="00000000" w:rsidR="00000000" w:rsidRPr="00000000">
        <w:rPr>
          <w:rFonts w:ascii="Times New Roman" w:cs="Times New Roman" w:eastAsia="Times New Roman" w:hAnsi="Times New Roman"/>
          <w:b w:val="1"/>
          <w:rtl w:val="0"/>
        </w:rPr>
        <w:t xml:space="preserve"> Jessica Cholula-Calixto,</w:t>
      </w: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Times New Roman" w:cs="Times New Roman" w:eastAsia="Times New Roman" w:hAnsi="Times New Roman"/>
          <w:b w:val="1"/>
          <w:rtl w:val="0"/>
        </w:rPr>
        <w:t xml:space="preserve"> Guillermo Huerta-Miranda,</w:t>
      </w: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Times New Roman" w:cs="Times New Roman" w:eastAsia="Times New Roman" w:hAnsi="Times New Roman"/>
          <w:b w:val="1"/>
          <w:rtl w:val="0"/>
        </w:rPr>
        <w:t xml:space="preserve"> Juárez Katy</w:t>
      </w: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Noto Sans Symbols" w:cs="Noto Sans Symbols" w:eastAsia="Noto Sans Symbols" w:hAnsi="Noto Sans Symbols"/>
          <w:vertAlign w:val="superscript"/>
          <w:rtl w:val="0"/>
        </w:rPr>
        <w:t xml:space="preserve">#</w:t>
      </w:r>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1</w:t>
      </w:r>
      <w:r w:rsidDel="00000000" w:rsidR="00000000" w:rsidRPr="00000000">
        <w:rPr>
          <w:rFonts w:ascii="Times New Roman" w:cs="Times New Roman" w:eastAsia="Times New Roman" w:hAnsi="Times New Roman"/>
          <w:rtl w:val="0"/>
        </w:rPr>
        <w:t xml:space="preserve">Departamento de Microbiología Molecular, Instituto de Biotecnología, Universidad Nacional Autónoma de México, Cuernavaca, Morelos, México.</w:t>
      </w:r>
    </w:p>
    <w:p w:rsidR="00000000" w:rsidDel="00000000" w:rsidP="00000000" w:rsidRDefault="00000000" w:rsidRPr="00000000" w14:paraId="0000000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Instituto de Ciencias Aplicadas y Tecnología, Universidad Nacional Autónoma de México, Ciudad Universitaria, Ciudad de México, México.</w:t>
      </w:r>
    </w:p>
    <w:p w:rsidR="00000000" w:rsidDel="00000000" w:rsidP="00000000" w:rsidRDefault="00000000" w:rsidRPr="00000000" w14:paraId="0000000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Beijing Key Laboratory for Source Control Technology of Water Pollution, Engineering Research Center for Water Pollution Source Control and Eco-remediation, College of Environmental Science and Engineering, Beijing Forestry University, Beijing 100083, China.</w:t>
      </w:r>
    </w:p>
    <w:p w:rsidR="00000000" w:rsidDel="00000000" w:rsidP="00000000" w:rsidRDefault="00000000" w:rsidRPr="00000000" w14:paraId="00000009">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Investigador por México, CONAHCYT.</w:t>
      </w:r>
    </w:p>
    <w:p w:rsidR="00000000" w:rsidDel="00000000" w:rsidP="00000000" w:rsidRDefault="00000000" w:rsidRPr="00000000" w14:paraId="0000000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Correspondence:</w:t>
      </w:r>
    </w:p>
    <w:p w:rsidR="00000000" w:rsidDel="00000000" w:rsidP="00000000" w:rsidRDefault="00000000" w:rsidRPr="00000000" w14:paraId="0000000C">
      <w:pPr>
        <w:spacing w:line="360" w:lineRule="auto"/>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hyperlink r:id="rId7">
        <w:r w:rsidDel="00000000" w:rsidR="00000000" w:rsidRPr="00000000">
          <w:rPr>
            <w:rFonts w:ascii="Times New Roman" w:cs="Times New Roman" w:eastAsia="Times New Roman" w:hAnsi="Times New Roman"/>
            <w:color w:val="0563c1"/>
            <w:u w:val="single"/>
            <w:rtl w:val="0"/>
          </w:rPr>
          <w:t xml:space="preserve">alberto.hernandez@ibt.unam.mx</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D">
      <w:pPr>
        <w:spacing w:line="360" w:lineRule="auto"/>
        <w:jc w:val="both"/>
        <w:rPr>
          <w:rFonts w:ascii="Times New Roman" w:cs="Times New Roman" w:eastAsia="Times New Roman" w:hAnsi="Times New Roman"/>
        </w:rPr>
      </w:pPr>
      <w:r w:rsidDel="00000000" w:rsidR="00000000" w:rsidRPr="00000000">
        <w:rPr>
          <w:rFonts w:ascii="Noto Sans Symbols" w:cs="Noto Sans Symbols" w:eastAsia="Noto Sans Symbols" w:hAnsi="Noto Sans Symbols"/>
          <w:rtl w:val="0"/>
        </w:rPr>
        <w:t xml:space="preserve">#</w:t>
      </w:r>
      <w:hyperlink r:id="rId8">
        <w:r w:rsidDel="00000000" w:rsidR="00000000" w:rsidRPr="00000000">
          <w:rPr>
            <w:rFonts w:ascii="Times New Roman" w:cs="Times New Roman" w:eastAsia="Times New Roman" w:hAnsi="Times New Roman"/>
            <w:color w:val="0563c1"/>
            <w:u w:val="single"/>
            <w:rtl w:val="0"/>
          </w:rPr>
          <w:t xml:space="preserve">katy.juarez@ibt.unam.mx</w:t>
        </w:r>
      </w:hyperlink>
      <w:r w:rsidDel="00000000" w:rsidR="00000000" w:rsidRPr="00000000">
        <w:rPr>
          <w:rtl w:val="0"/>
        </w:rPr>
      </w:r>
    </w:p>
    <w:p w:rsidR="00000000" w:rsidDel="00000000" w:rsidP="00000000" w:rsidRDefault="00000000" w:rsidRPr="00000000" w14:paraId="0000000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b w:val="1"/>
          <w:color w:val="000000"/>
        </w:rPr>
      </w:pPr>
      <w:bookmarkStart w:colFirst="0" w:colLast="0" w:name="_heading=h.gjdgxs" w:id="0"/>
      <w:bookmarkEnd w:id="0"/>
      <w:r w:rsidDel="00000000" w:rsidR="00000000" w:rsidRPr="00000000">
        <w:rPr>
          <w:rFonts w:ascii="Times New Roman" w:cs="Times New Roman" w:eastAsia="Times New Roman" w:hAnsi="Times New Roman"/>
          <w:b w:val="1"/>
          <w:color w:val="000000"/>
        </w:rPr>
        <w:drawing>
          <wp:inline distB="0" distT="0" distL="0" distR="0">
            <wp:extent cx="5612130" cy="3227070"/>
            <wp:effectExtent b="0" l="0" r="0" t="0"/>
            <wp:docPr id="185553668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5612130" cy="322707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36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Supplementary Figure 1.</w:t>
      </w:r>
      <w:r w:rsidDel="00000000" w:rsidR="00000000" w:rsidRPr="00000000">
        <w:rPr>
          <w:rFonts w:ascii="Times New Roman" w:cs="Times New Roman" w:eastAsia="Times New Roman" w:hAnsi="Times New Roman"/>
          <w:rtl w:val="0"/>
        </w:rPr>
        <w:t xml:space="preserve"> A) Diagram of construction of Δ</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 strain of </w:t>
      </w:r>
      <w:r w:rsidDel="00000000" w:rsidR="00000000" w:rsidRPr="00000000">
        <w:rPr>
          <w:rFonts w:ascii="Times New Roman" w:cs="Times New Roman" w:eastAsia="Times New Roman" w:hAnsi="Times New Roman"/>
          <w:i w:val="1"/>
          <w:rtl w:val="0"/>
        </w:rPr>
        <w:t xml:space="preserve">G. sulfurreducens</w:t>
      </w:r>
      <w:r w:rsidDel="00000000" w:rsidR="00000000" w:rsidRPr="00000000">
        <w:rPr>
          <w:rFonts w:ascii="Times New Roman" w:cs="Times New Roman" w:eastAsia="Times New Roman" w:hAnsi="Times New Roman"/>
          <w:rtl w:val="0"/>
        </w:rPr>
        <w:t xml:space="preserve">. B) Gel with PCR fragments of </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 locus. Arrows showed the primers used and expected sizes. Lines 1 and 2 PCRs result using DNA of wild type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and Δ</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 strains using 1, 2 primers, respectively. Lines 3 and 4, PCRs results using DNA of wild type and Δ</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 strains using 3, 4 primers, respectively. 1 Kb Plus DNA ladder was used as molecular weight (Invitrogen). Arrows indicate expected molecular weights.</w:t>
      </w:r>
    </w:p>
    <w:p w:rsidR="00000000" w:rsidDel="00000000" w:rsidP="00000000" w:rsidRDefault="00000000" w:rsidRPr="00000000" w14:paraId="0000001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36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200025</wp:posOffset>
            </wp:positionH>
            <wp:positionV relativeFrom="paragraph">
              <wp:posOffset>196850</wp:posOffset>
            </wp:positionV>
            <wp:extent cx="4855210" cy="3702685"/>
            <wp:effectExtent b="0" l="0" r="0" t="0"/>
            <wp:wrapNone/>
            <wp:docPr id="185553669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855210" cy="3702685"/>
                    </a:xfrm>
                    <a:prstGeom prst="rect"/>
                    <a:ln/>
                  </pic:spPr>
                </pic:pic>
              </a:graphicData>
            </a:graphic>
          </wp:anchor>
        </w:drawing>
      </w:r>
    </w:p>
    <w:p w:rsidR="00000000" w:rsidDel="00000000" w:rsidP="00000000" w:rsidRDefault="00000000" w:rsidRPr="00000000" w14:paraId="0000002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line="360" w:lineRule="auto"/>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b w:val="1"/>
          <w:rtl w:val="0"/>
        </w:rPr>
        <w:t xml:space="preserve">Supplementary Figure 2.</w:t>
      </w:r>
      <w:r w:rsidDel="00000000" w:rsidR="00000000" w:rsidRPr="00000000">
        <w:rPr>
          <w:rFonts w:ascii="Times New Roman" w:cs="Times New Roman" w:eastAsia="Times New Roman" w:hAnsi="Times New Roman"/>
          <w:rtl w:val="0"/>
        </w:rPr>
        <w:t xml:space="preserve"> Principal component analysis. A) Glass. B) Electrode. Δ</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 red circle and DL1 blue circle. </w:t>
      </w:r>
    </w:p>
    <w:p w:rsidR="00000000" w:rsidDel="00000000" w:rsidP="00000000" w:rsidRDefault="00000000" w:rsidRPr="00000000" w14:paraId="0000003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spacing w:line="36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-272305</wp:posOffset>
            </wp:positionH>
            <wp:positionV relativeFrom="paragraph">
              <wp:posOffset>221913</wp:posOffset>
            </wp:positionV>
            <wp:extent cx="6275185" cy="3959157"/>
            <wp:effectExtent b="0" l="0" r="0" t="0"/>
            <wp:wrapNone/>
            <wp:docPr id="185553668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275185" cy="3959157"/>
                    </a:xfrm>
                    <a:prstGeom prst="rect"/>
                    <a:ln/>
                  </pic:spPr>
                </pic:pic>
              </a:graphicData>
            </a:graphic>
          </wp:anchor>
        </w:drawing>
      </w:r>
    </w:p>
    <w:p w:rsidR="00000000" w:rsidDel="00000000" w:rsidP="00000000" w:rsidRDefault="00000000" w:rsidRPr="00000000" w14:paraId="0000003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3.</w:t>
      </w:r>
      <w:r w:rsidDel="00000000" w:rsidR="00000000" w:rsidRPr="00000000">
        <w:rPr>
          <w:rFonts w:ascii="Times New Roman" w:cs="Times New Roman" w:eastAsia="Times New Roman" w:hAnsi="Times New Roman"/>
          <w:rtl w:val="0"/>
        </w:rPr>
        <w:t xml:space="preserve"> Amplification of selected genes for RT-qPCR analysis. A) Lines 1-13 show the specific amplification of GSU1970 (</w:t>
      </w:r>
      <w:r w:rsidDel="00000000" w:rsidR="00000000" w:rsidRPr="00000000">
        <w:rPr>
          <w:rFonts w:ascii="Times New Roman" w:cs="Times New Roman" w:eastAsia="Times New Roman" w:hAnsi="Times New Roman"/>
          <w:i w:val="1"/>
          <w:rtl w:val="0"/>
        </w:rPr>
        <w:t xml:space="preserve">neuB</w:t>
      </w:r>
      <w:r w:rsidDel="00000000" w:rsidR="00000000" w:rsidRPr="00000000">
        <w:rPr>
          <w:rFonts w:ascii="Times New Roman" w:cs="Times New Roman" w:eastAsia="Times New Roman" w:hAnsi="Times New Roman"/>
          <w:rtl w:val="0"/>
        </w:rPr>
        <w:t xml:space="preserve">), GSU0470, GSU0597, GSU2236 (</w:t>
      </w:r>
      <w:r w:rsidDel="00000000" w:rsidR="00000000" w:rsidRPr="00000000">
        <w:rPr>
          <w:rFonts w:ascii="Times New Roman" w:cs="Times New Roman" w:eastAsia="Times New Roman" w:hAnsi="Times New Roman"/>
          <w:i w:val="1"/>
          <w:rtl w:val="0"/>
        </w:rPr>
        <w:t xml:space="preserve">relA</w:t>
      </w:r>
      <w:r w:rsidDel="00000000" w:rsidR="00000000" w:rsidRPr="00000000">
        <w:rPr>
          <w:rFonts w:ascii="Times New Roman" w:cs="Times New Roman" w:eastAsia="Times New Roman" w:hAnsi="Times New Roman"/>
          <w:rtl w:val="0"/>
        </w:rPr>
        <w:t xml:space="preserve">), GSU1944, GSU3014, GSU3410, GSU3268, GSU2822, GSU2044, GSU0364 (</w:t>
      </w:r>
      <w:r w:rsidDel="00000000" w:rsidR="00000000" w:rsidRPr="00000000">
        <w:rPr>
          <w:rFonts w:ascii="Times New Roman" w:cs="Times New Roman" w:eastAsia="Times New Roman" w:hAnsi="Times New Roman"/>
          <w:i w:val="1"/>
          <w:rtl w:val="0"/>
        </w:rPr>
        <w:t xml:space="preserve">ppcB</w:t>
      </w:r>
      <w:r w:rsidDel="00000000" w:rsidR="00000000" w:rsidRPr="00000000">
        <w:rPr>
          <w:rFonts w:ascii="Times New Roman" w:cs="Times New Roman" w:eastAsia="Times New Roman" w:hAnsi="Times New Roman"/>
          <w:rtl w:val="0"/>
        </w:rPr>
        <w:t xml:space="preserve">), GSU1554, and GSU0018 respectively. B) Lines 1-9 show the specific amplification of GSU3409, GSU3247, GSU0972, GSU2883 (</w:t>
      </w:r>
      <w:r w:rsidDel="00000000" w:rsidR="00000000" w:rsidRPr="00000000">
        <w:rPr>
          <w:rFonts w:ascii="Times New Roman" w:cs="Times New Roman" w:eastAsia="Times New Roman" w:hAnsi="Times New Roman"/>
          <w:i w:val="1"/>
          <w:rtl w:val="0"/>
        </w:rPr>
        <w:t xml:space="preserve">omcH</w:t>
      </w:r>
      <w:r w:rsidDel="00000000" w:rsidR="00000000" w:rsidRPr="00000000">
        <w:rPr>
          <w:rFonts w:ascii="Times New Roman" w:cs="Times New Roman" w:eastAsia="Times New Roman" w:hAnsi="Times New Roman"/>
          <w:rtl w:val="0"/>
        </w:rPr>
        <w:t xml:space="preserve">), GSU1496 (</w:t>
      </w:r>
      <w:r w:rsidDel="00000000" w:rsidR="00000000" w:rsidRPr="00000000">
        <w:rPr>
          <w:rFonts w:ascii="Times New Roman" w:cs="Times New Roman" w:eastAsia="Times New Roman" w:hAnsi="Times New Roman"/>
          <w:i w:val="1"/>
          <w:rtl w:val="0"/>
        </w:rPr>
        <w:t xml:space="preserve">pilA</w:t>
      </w:r>
      <w:r w:rsidDel="00000000" w:rsidR="00000000" w:rsidRPr="00000000">
        <w:rPr>
          <w:rFonts w:ascii="Times New Roman" w:cs="Times New Roman" w:eastAsia="Times New Roman" w:hAnsi="Times New Roman"/>
          <w:rtl w:val="0"/>
        </w:rPr>
        <w:t xml:space="preserve">), GSU3142 (</w:t>
      </w:r>
      <w:r w:rsidDel="00000000" w:rsidR="00000000" w:rsidRPr="00000000">
        <w:rPr>
          <w:rFonts w:ascii="Times New Roman" w:cs="Times New Roman" w:eastAsia="Times New Roman" w:hAnsi="Times New Roman"/>
          <w:i w:val="1"/>
          <w:rtl w:val="0"/>
        </w:rPr>
        <w:t xml:space="preserve">aroG-2</w:t>
      </w:r>
      <w:r w:rsidDel="00000000" w:rsidR="00000000" w:rsidRPr="00000000">
        <w:rPr>
          <w:rFonts w:ascii="Times New Roman" w:cs="Times New Roman" w:eastAsia="Times New Roman" w:hAnsi="Times New Roman"/>
          <w:rtl w:val="0"/>
        </w:rPr>
        <w:t xml:space="preserve">), GSU0490, GSU2236 and GSU1963 respectively. In A) and B) The molecular weight (MW) used is 1 kb DNA Ladder Plus (Thermo).</w:t>
      </w:r>
    </w:p>
    <w:p w:rsidR="00000000" w:rsidDel="00000000" w:rsidP="00000000" w:rsidRDefault="00000000" w:rsidRPr="00000000" w14:paraId="0000004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5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spacing w:line="360" w:lineRule="auto"/>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2542</wp:posOffset>
            </wp:positionH>
            <wp:positionV relativeFrom="paragraph">
              <wp:posOffset>0</wp:posOffset>
            </wp:positionV>
            <wp:extent cx="5612130" cy="4258310"/>
            <wp:effectExtent b="0" l="0" r="0" t="0"/>
            <wp:wrapNone/>
            <wp:docPr id="185553668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612130" cy="4258310"/>
                    </a:xfrm>
                    <a:prstGeom prst="rect"/>
                    <a:ln/>
                  </pic:spPr>
                </pic:pic>
              </a:graphicData>
            </a:graphic>
          </wp:anchor>
        </w:drawing>
      </w:r>
    </w:p>
    <w:p w:rsidR="00000000" w:rsidDel="00000000" w:rsidP="00000000" w:rsidRDefault="00000000" w:rsidRPr="00000000" w14:paraId="0000005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4. </w:t>
      </w:r>
      <w:r w:rsidDel="00000000" w:rsidR="00000000" w:rsidRPr="00000000">
        <w:rPr>
          <w:rFonts w:ascii="Times New Roman" w:cs="Times New Roman" w:eastAsia="Times New Roman" w:hAnsi="Times New Roman"/>
          <w:rtl w:val="0"/>
        </w:rPr>
        <w:t xml:space="preserve">Schematic diagram of the MFC used in this work.</w:t>
      </w:r>
    </w:p>
    <w:p w:rsidR="00000000" w:rsidDel="00000000" w:rsidP="00000000" w:rsidRDefault="00000000" w:rsidRPr="00000000" w14:paraId="0000006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7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612130" cy="2076450"/>
            <wp:effectExtent b="0" l="0" r="0" t="0"/>
            <wp:docPr id="185553668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612130"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5. </w:t>
      </w:r>
      <w:r w:rsidDel="00000000" w:rsidR="00000000" w:rsidRPr="00000000">
        <w:rPr>
          <w:rFonts w:ascii="Times New Roman" w:cs="Times New Roman" w:eastAsia="Times New Roman" w:hAnsi="Times New Roman"/>
          <w:rtl w:val="0"/>
        </w:rPr>
        <w:t xml:space="preserve">Complementation of the </w:t>
      </w:r>
      <w:r w:rsidDel="00000000" w:rsidR="00000000" w:rsidRPr="00000000">
        <w:rPr>
          <w:rFonts w:ascii="Noto Sans Symbols" w:cs="Noto Sans Symbols" w:eastAsia="Noto Sans Symbols" w:hAnsi="Noto Sans Symbols"/>
          <w:rtl w:val="0"/>
        </w:rPr>
        <w:t xml:space="preserve">Δ</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 mutant strain. A) Growth on acetate and fumarate (donor and electron acceptor, respectively). B) Soluble Fe(III) reduction in </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 complementation. DL1 blue line with filled squares, DL1/pGR5.1 blue line with empty squares, </w:t>
      </w:r>
      <w:r w:rsidDel="00000000" w:rsidR="00000000" w:rsidRPr="00000000">
        <w:rPr>
          <w:rFonts w:ascii="Noto Sans Symbols" w:cs="Noto Sans Symbols" w:eastAsia="Noto Sans Symbols" w:hAnsi="Noto Sans Symbols"/>
          <w:rtl w:val="0"/>
        </w:rPr>
        <w:t xml:space="preserve">Δ</w:t>
      </w:r>
      <w:r w:rsidDel="00000000" w:rsidR="00000000" w:rsidRPr="00000000">
        <w:rPr>
          <w:rFonts w:ascii="Times New Roman" w:cs="Times New Roman" w:eastAsia="Times New Roman" w:hAnsi="Times New Roman"/>
          <w:i w:val="1"/>
          <w:rtl w:val="0"/>
        </w:rPr>
        <w:t xml:space="preserve">csrA </w:t>
      </w:r>
      <w:r w:rsidDel="00000000" w:rsidR="00000000" w:rsidRPr="00000000">
        <w:rPr>
          <w:rFonts w:ascii="Times New Roman" w:cs="Times New Roman" w:eastAsia="Times New Roman" w:hAnsi="Times New Roman"/>
          <w:rtl w:val="0"/>
        </w:rPr>
        <w:t xml:space="preserve">orange line with filled circle, </w:t>
      </w:r>
      <w:r w:rsidDel="00000000" w:rsidR="00000000" w:rsidRPr="00000000">
        <w:rPr>
          <w:rFonts w:ascii="Noto Sans Symbols" w:cs="Noto Sans Symbols" w:eastAsia="Noto Sans Symbols" w:hAnsi="Noto Sans Symbols"/>
          <w:rtl w:val="0"/>
        </w:rPr>
        <w:t xml:space="preserve">Δ</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/pRG5.1 orange line with empty circle, and DcsrA/pRG5.1-RRflg-</w:t>
      </w:r>
      <w:r w:rsidDel="00000000" w:rsidR="00000000" w:rsidRPr="00000000">
        <w:rPr>
          <w:rFonts w:ascii="Times New Roman" w:cs="Times New Roman" w:eastAsia="Times New Roman" w:hAnsi="Times New Roman"/>
          <w:i w:val="1"/>
          <w:rtl w:val="0"/>
        </w:rPr>
        <w:t xml:space="preserve">csrA</w:t>
      </w:r>
      <w:r w:rsidDel="00000000" w:rsidR="00000000" w:rsidRPr="00000000">
        <w:rPr>
          <w:rFonts w:ascii="Times New Roman" w:cs="Times New Roman" w:eastAsia="Times New Roman" w:hAnsi="Times New Roman"/>
          <w:rtl w:val="0"/>
        </w:rPr>
        <w:t xml:space="preserve"> dashed orange line with empty circle. </w:t>
      </w:r>
    </w:p>
    <w:p w:rsidR="00000000" w:rsidDel="00000000" w:rsidP="00000000" w:rsidRDefault="00000000" w:rsidRPr="00000000" w14:paraId="0000007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83">
      <w:pPr>
        <w:spacing w:line="360" w:lineRule="auto"/>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774065</wp:posOffset>
            </wp:positionH>
            <wp:positionV relativeFrom="paragraph">
              <wp:posOffset>102360</wp:posOffset>
            </wp:positionV>
            <wp:extent cx="3898900" cy="5079212"/>
            <wp:effectExtent b="0" l="0" r="0" t="0"/>
            <wp:wrapNone/>
            <wp:docPr id="185553668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3898900" cy="5079212"/>
                    </a:xfrm>
                    <a:prstGeom prst="rect"/>
                    <a:ln/>
                  </pic:spPr>
                </pic:pic>
              </a:graphicData>
            </a:graphic>
          </wp:anchor>
        </w:drawing>
      </w:r>
    </w:p>
    <w:p w:rsidR="00000000" w:rsidDel="00000000" w:rsidP="00000000" w:rsidRDefault="00000000" w:rsidRPr="00000000" w14:paraId="0000008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Supplementary Figure 6. </w:t>
      </w:r>
      <w:r w:rsidDel="00000000" w:rsidR="00000000" w:rsidRPr="00000000">
        <w:rPr>
          <w:rFonts w:ascii="Times New Roman" w:cs="Times New Roman" w:eastAsia="Times New Roman" w:hAnsi="Times New Roman"/>
          <w:rtl w:val="0"/>
        </w:rPr>
        <w:t xml:space="preserve">Predicted sRNAs of the CsrB/CsrC family in </w:t>
      </w:r>
      <w:r w:rsidDel="00000000" w:rsidR="00000000" w:rsidRPr="00000000">
        <w:rPr>
          <w:rFonts w:ascii="Times New Roman" w:cs="Times New Roman" w:eastAsia="Times New Roman" w:hAnsi="Times New Roman"/>
          <w:i w:val="1"/>
          <w:rtl w:val="0"/>
        </w:rPr>
        <w:t xml:space="preserve">Geobacter sulfurreducens</w:t>
      </w:r>
      <w:r w:rsidDel="00000000" w:rsidR="00000000" w:rsidRPr="00000000">
        <w:rPr>
          <w:rFonts w:ascii="Times New Roman" w:cs="Times New Roman" w:eastAsia="Times New Roman" w:hAnsi="Times New Roman"/>
          <w:rtl w:val="0"/>
        </w:rPr>
        <w:t xml:space="preserve"> PCA strain. A) Predicted secondary structure of the first sRNA (sRNA-1, 71 ribonucleotides) encoded in the antisense of the GSU0072 gene. The gene is located at coordinates 87387-87457 in the genome. B) Predicted secondary structure of the second sRNA (sRNA-2, 75 ribonucleotides) encoded between the GSU1100 and </w:t>
      </w:r>
      <w:r w:rsidDel="00000000" w:rsidR="00000000" w:rsidRPr="00000000">
        <w:rPr>
          <w:rFonts w:ascii="Times New Roman" w:cs="Times New Roman" w:eastAsia="Times New Roman" w:hAnsi="Times New Roman"/>
          <w:i w:val="1"/>
          <w:rtl w:val="0"/>
        </w:rPr>
        <w:t xml:space="preserve">phoR</w:t>
      </w:r>
      <w:r w:rsidDel="00000000" w:rsidR="00000000" w:rsidRPr="00000000">
        <w:rPr>
          <w:rFonts w:ascii="Times New Roman" w:cs="Times New Roman" w:eastAsia="Times New Roman" w:hAnsi="Times New Roman"/>
          <w:rtl w:val="0"/>
        </w:rPr>
        <w:t xml:space="preserve"> genes. The gene is located at positions 1185706-1185780 in the genome. C) Predicted secondary structure of the third sRNA (sRNA-3, 82 ribonucleotides) encoded in the antisense of the GSU2675 gene. The gene is located at positions 2953737-2953818 in the genome. In each panel, the GGA motif that may be part of the possible CsrA binding site is highlighted with yellow circles.</w:t>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9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line="360" w:lineRule="auto"/>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1905</wp:posOffset>
            </wp:positionV>
            <wp:extent cx="5029200" cy="3746500"/>
            <wp:effectExtent b="0" l="0" r="0" t="0"/>
            <wp:wrapNone/>
            <wp:docPr id="185553668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029200" cy="3746500"/>
                    </a:xfrm>
                    <a:prstGeom prst="rect"/>
                    <a:ln/>
                  </pic:spPr>
                </pic:pic>
              </a:graphicData>
            </a:graphic>
          </wp:anchor>
        </w:drawing>
      </w:r>
    </w:p>
    <w:p w:rsidR="00000000" w:rsidDel="00000000" w:rsidP="00000000" w:rsidRDefault="00000000" w:rsidRPr="00000000" w14:paraId="0000009D">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Supplementary Figure 7. </w:t>
      </w:r>
      <w:r w:rsidDel="00000000" w:rsidR="00000000" w:rsidRPr="00000000">
        <w:rPr>
          <w:rFonts w:ascii="Times New Roman" w:cs="Times New Roman" w:eastAsia="Times New Roman" w:hAnsi="Times New Roman"/>
          <w:rtl w:val="0"/>
        </w:rPr>
        <w:t xml:space="preserve">Sequence analysis of the predicted sRNAs of the </w:t>
      </w:r>
      <w:r w:rsidDel="00000000" w:rsidR="00000000" w:rsidRPr="00000000">
        <w:rPr>
          <w:rFonts w:ascii="Times New Roman" w:cs="Times New Roman" w:eastAsia="Times New Roman" w:hAnsi="Times New Roman"/>
          <w:i w:val="1"/>
          <w:rtl w:val="0"/>
        </w:rPr>
        <w:t xml:space="preserve">Gebacter sulfurreducens</w:t>
      </w:r>
      <w:r w:rsidDel="00000000" w:rsidR="00000000" w:rsidRPr="00000000">
        <w:rPr>
          <w:rFonts w:ascii="Times New Roman" w:cs="Times New Roman" w:eastAsia="Times New Roman" w:hAnsi="Times New Roman"/>
          <w:rtl w:val="0"/>
        </w:rPr>
        <w:t xml:space="preserve"> CsrB/CsrC family. The putative consensus CsrA binding sequence identified by MEME is shown at the top. The putative CsrA binding sites in the predicted sRNAs are shown. Nucleotides highlighted in yellow show the conserved bases relative to the consensus identified by MEME. In the consensus generated by MEME, V is A, G or C and R is A or G.</w:t>
      </w:r>
      <w:r w:rsidDel="00000000" w:rsidR="00000000" w:rsidRPr="00000000">
        <w:rPr>
          <w:rtl w:val="0"/>
        </w:rPr>
      </w:r>
    </w:p>
    <w:p w:rsidR="00000000" w:rsidDel="00000000" w:rsidP="00000000" w:rsidRDefault="00000000" w:rsidRPr="00000000" w14:paraId="000000AB">
      <w:pPr>
        <w:spacing w:line="360" w:lineRule="auto"/>
        <w:jc w:val="both"/>
        <w:rPr>
          <w:rFonts w:ascii="Times New Roman" w:cs="Times New Roman" w:eastAsia="Times New Roman" w:hAnsi="Times New Roman"/>
        </w:rPr>
      </w:pPr>
      <w:r w:rsidDel="00000000" w:rsidR="00000000" w:rsidRPr="00000000">
        <w:rPr>
          <w:rtl w:val="0"/>
        </w:rPr>
      </w:r>
    </w:p>
    <w:sectPr>
      <w:headerReference r:id="rId16"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color w:val="a6a6a6"/>
      </w:rPr>
      <w:drawing>
        <wp:inline distB="0" distT="0" distL="0" distR="0">
          <wp:extent cx="1534909" cy="551877"/>
          <wp:effectExtent b="0" l="0" r="0" t="0"/>
          <wp:docPr descr="C:\Users\Elaine.Scott\Documents\LaTex\____TEST____Frontiers_LaTeX_Templates_V2.5\Frontiers LaTeX (Science, Health and Engineering) V2.5 - with Supplementary material (V1.2)\logo1.jpg" id="1855536683" name="image6.jpg"/>
          <a:graphic>
            <a:graphicData uri="http://schemas.openxmlformats.org/drawingml/2006/picture">
              <pic:pic>
                <pic:nvPicPr>
                  <pic:cNvPr descr="C:\Users\Elaine.Scott\Documents\LaTex\____TEST____Frontiers_LaTeX_Templates_V2.5\Frontiers LaTeX (Science, Health and Engineering) V2.5 - with Supplementary material (V1.2)\logo1.jpg" id="0" name="image6.jpg"/>
                  <pic:cNvPicPr preferRelativeResize="0"/>
                </pic:nvPicPr>
                <pic:blipFill>
                  <a:blip r:embed="rId1"/>
                  <a:srcRect b="0" l="0" r="0" t="0"/>
                  <a:stretch>
                    <a:fillRect/>
                  </a:stretch>
                </pic:blipFill>
                <pic:spPr>
                  <a:xfrm>
                    <a:off x="0" y="0"/>
                    <a:ext cx="1534909" cy="55187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5061F"/>
    <w:rPr>
      <w:rFonts w:eastAsiaTheme="minorEastAsia"/>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220814"/>
    <w:pPr>
      <w:tabs>
        <w:tab w:val="center" w:pos="4419"/>
        <w:tab w:val="right" w:pos="8838"/>
      </w:tabs>
    </w:pPr>
  </w:style>
  <w:style w:type="character" w:styleId="EncabezadoCar" w:customStyle="1">
    <w:name w:val="Encabezado Car"/>
    <w:basedOn w:val="Fuentedeprrafopredeter"/>
    <w:link w:val="Encabezado"/>
    <w:uiPriority w:val="99"/>
    <w:rsid w:val="00220814"/>
    <w:rPr>
      <w:rFonts w:ascii="Calibri" w:cs="Calibri" w:hAnsi="Calibri" w:eastAsiaTheme="minorEastAsia"/>
      <w:kern w:val="0"/>
      <w:lang w:eastAsia="es-MX" w:val="en-US"/>
    </w:rPr>
  </w:style>
  <w:style w:type="paragraph" w:styleId="Piedepgina">
    <w:name w:val="footer"/>
    <w:basedOn w:val="Normal"/>
    <w:link w:val="PiedepginaCar"/>
    <w:uiPriority w:val="99"/>
    <w:unhideWhenUsed w:val="1"/>
    <w:rsid w:val="00220814"/>
    <w:pPr>
      <w:tabs>
        <w:tab w:val="center" w:pos="4419"/>
        <w:tab w:val="right" w:pos="8838"/>
      </w:tabs>
    </w:pPr>
  </w:style>
  <w:style w:type="character" w:styleId="PiedepginaCar" w:customStyle="1">
    <w:name w:val="Pie de página Car"/>
    <w:basedOn w:val="Fuentedeprrafopredeter"/>
    <w:link w:val="Piedepgina"/>
    <w:uiPriority w:val="99"/>
    <w:rsid w:val="00220814"/>
    <w:rPr>
      <w:rFonts w:ascii="Calibri" w:cs="Calibri" w:hAnsi="Calibri" w:eastAsiaTheme="minorEastAsia"/>
      <w:kern w:val="0"/>
      <w:lang w:eastAsia="es-MX" w:val="en-U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7.png"/><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4.png"/><Relationship Id="rId14" Type="http://schemas.openxmlformats.org/officeDocument/2006/relationships/image" Target="media/image1.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lberto.hernandez@ibt.unam.mx" TargetMode="External"/><Relationship Id="rId8" Type="http://schemas.openxmlformats.org/officeDocument/2006/relationships/hyperlink" Target="mailto:katy.juarez@ibt.unam.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l7oeFlrEW2mK3kqnuESHDqtb2g==">CgMxLjAyCGguZ2pkZ3hzMgloLjMwajB6bGw4AHIhMXEtQzllalI4c0NSb05Rb2VjektJT0U4MHpQaVMyNHRE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2025-01-06T22:43:00Z</dcterms:created>
  <dc:creator>Alberto</dc:creator>
</cp:coreProperties>
</file>