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56A16E">
      <w:pPr>
        <w:spacing w:line="360" w:lineRule="auto"/>
        <w:jc w:val="center"/>
        <w:rPr>
          <w:rFonts w:hint="default" w:ascii="Times New Roman" w:hAnsi="Times New Roman" w:cs="Times New Roman" w:eastAsiaTheme="minorEastAsia"/>
          <w:b/>
          <w:bCs/>
          <w:sz w:val="28"/>
          <w:szCs w:val="28"/>
          <w:lang w:val="en-US" w:eastAsia="zh-CN"/>
        </w:rPr>
      </w:pPr>
      <w:r>
        <w:rPr>
          <w:rFonts w:hint="eastAsia" w:ascii="Times New Roman" w:hAnsi="Times New Roman" w:cs="Times New Roman"/>
          <w:b/>
          <w:bCs/>
          <w:sz w:val="28"/>
          <w:szCs w:val="28"/>
          <w:lang w:val="en-US" w:eastAsia="zh-CN"/>
        </w:rPr>
        <w:t>Supplementary Materials</w:t>
      </w:r>
    </w:p>
    <w:p w14:paraId="4DCF3F0A">
      <w:pPr>
        <w:spacing w:line="360" w:lineRule="auto"/>
        <w:rPr>
          <w:rFonts w:ascii="Times New Roman" w:hAnsi="Times New Roman" w:cs="Times New Roman"/>
          <w:b/>
          <w:bCs/>
          <w:sz w:val="24"/>
          <w:szCs w:val="24"/>
        </w:rPr>
      </w:pPr>
      <w:r>
        <w:rPr>
          <w:rFonts w:ascii="Times New Roman" w:hAnsi="Times New Roman" w:cs="Times New Roman"/>
          <w:b/>
          <w:bCs/>
          <w:sz w:val="24"/>
          <w:szCs w:val="24"/>
        </w:rPr>
        <w:t>Table of Contents:</w:t>
      </w:r>
    </w:p>
    <w:p w14:paraId="6A3C63CA">
      <w:pPr>
        <w:rPr>
          <w:rFonts w:hint="eastAsia" w:ascii="Times New Roman" w:hAnsi="Times New Roman" w:cs="Times New Roman"/>
          <w:b/>
          <w:bCs/>
          <w:szCs w:val="21"/>
          <w:lang w:val="en-US" w:eastAsia="zh-CN"/>
        </w:rPr>
      </w:pPr>
      <w:bookmarkStart w:id="0" w:name="OLE_LINK5"/>
      <w:bookmarkStart w:id="1" w:name="OLE_LINK6"/>
      <w:r>
        <w:rPr>
          <w:rFonts w:hint="eastAsia" w:ascii="Times New Roman" w:hAnsi="Times New Roman" w:cs="Times New Roman"/>
          <w:b/>
          <w:bCs/>
          <w:szCs w:val="21"/>
          <w:lang w:val="en-US" w:eastAsia="zh-CN"/>
        </w:rPr>
        <w:t>Figure S1. Heat maps showing the Pearson correlations between the soil properties, enzyme activity and carbon cycle genes.</w:t>
      </w:r>
    </w:p>
    <w:p w14:paraId="350DA477">
      <w:pPr>
        <w:spacing w:line="240" w:lineRule="auto"/>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Figure S</w:t>
      </w:r>
      <w:bookmarkEnd w:id="0"/>
      <w:r>
        <w:rPr>
          <w:rFonts w:hint="eastAsia" w:ascii="Times New Roman" w:hAnsi="Times New Roman" w:cs="Times New Roman"/>
          <w:b/>
          <w:bCs/>
          <w:szCs w:val="21"/>
          <w:lang w:val="en-US" w:eastAsia="zh-CN"/>
        </w:rPr>
        <w:t xml:space="preserve">2. </w:t>
      </w:r>
      <w:bookmarkEnd w:id="1"/>
      <w:r>
        <w:rPr>
          <w:rFonts w:hint="eastAsia" w:ascii="Times New Roman" w:hAnsi="Times New Roman" w:cs="Times New Roman"/>
          <w:b/>
          <w:bCs/>
          <w:szCs w:val="21"/>
          <w:lang w:val="en-US" w:eastAsia="zh-CN"/>
        </w:rPr>
        <w:t>Heat maps showing the</w:t>
      </w:r>
      <w:bookmarkStart w:id="3" w:name="_GoBack"/>
      <w:bookmarkEnd w:id="3"/>
      <w:r>
        <w:rPr>
          <w:rFonts w:hint="eastAsia" w:ascii="Times New Roman" w:hAnsi="Times New Roman" w:cs="Times New Roman"/>
          <w:b/>
          <w:bCs/>
          <w:szCs w:val="21"/>
          <w:lang w:val="en-US" w:eastAsia="zh-CN"/>
        </w:rPr>
        <w:t xml:space="preserve"> Pearson correlations between the soil properties, enzyme activity and nitrogen cycle genes. </w:t>
      </w:r>
    </w:p>
    <w:p w14:paraId="70E03C3F">
      <w:pPr>
        <w:spacing w:line="240" w:lineRule="auto"/>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 xml:space="preserve">Table S1. Soil properties and enzyme activities in rhizosphere of different </w:t>
      </w:r>
      <w:r>
        <w:rPr>
          <w:rFonts w:hint="eastAsia" w:ascii="Times New Roman" w:hAnsi="Times New Roman" w:cs="Times New Roman"/>
          <w:b/>
          <w:bCs/>
          <w:i/>
          <w:iCs/>
          <w:szCs w:val="21"/>
          <w:lang w:val="en-US" w:eastAsia="zh-CN"/>
        </w:rPr>
        <w:t xml:space="preserve">Pinus massoniana </w:t>
      </w:r>
      <w:r>
        <w:rPr>
          <w:rFonts w:hint="eastAsia" w:ascii="Times New Roman" w:hAnsi="Times New Roman" w:cs="Times New Roman"/>
          <w:b/>
          <w:bCs/>
          <w:szCs w:val="21"/>
          <w:lang w:val="en-US" w:eastAsia="zh-CN"/>
        </w:rPr>
        <w:t>provenances</w:t>
      </w:r>
    </w:p>
    <w:p w14:paraId="170417C5">
      <w:pPr>
        <w:widowControl w:val="0"/>
        <w:numPr>
          <w:ilvl w:val="0"/>
          <w:numId w:val="0"/>
        </w:numPr>
        <w:spacing w:line="240" w:lineRule="auto"/>
        <w:jc w:val="both"/>
        <w:rPr>
          <w:rFonts w:hint="default" w:ascii="Times New Roman" w:hAnsi="Times New Roman" w:cs="Times New Roman"/>
          <w:lang w:val="en-US" w:eastAsia="zh-CN"/>
        </w:rPr>
      </w:pPr>
      <w:r>
        <w:rPr>
          <w:rFonts w:hint="default" w:ascii="Times New Roman" w:hAnsi="Times New Roman" w:cs="Times New Roman"/>
          <w:b/>
          <w:bCs/>
          <w:lang w:val="en-US" w:eastAsia="zh-CN"/>
        </w:rPr>
        <w:t>Table</w:t>
      </w:r>
      <w:r>
        <w:rPr>
          <w:rFonts w:hint="eastAsia" w:ascii="Times New Roman" w:hAnsi="Times New Roman" w:cs="Times New Roman"/>
          <w:b/>
          <w:bCs/>
          <w:lang w:val="en-US" w:eastAsia="zh-CN"/>
        </w:rPr>
        <w:t xml:space="preserve"> </w:t>
      </w:r>
      <w:r>
        <w:rPr>
          <w:rFonts w:hint="default" w:ascii="Times New Roman" w:hAnsi="Times New Roman" w:cs="Times New Roman"/>
          <w:b/>
          <w:bCs/>
          <w:lang w:val="en-US" w:eastAsia="zh-CN"/>
        </w:rPr>
        <w:t>S</w:t>
      </w:r>
      <w:r>
        <w:rPr>
          <w:rFonts w:hint="eastAsia" w:ascii="Times New Roman" w:hAnsi="Times New Roman" w:cs="Times New Roman"/>
          <w:b/>
          <w:bCs/>
          <w:lang w:val="en-US" w:eastAsia="zh-CN"/>
        </w:rPr>
        <w:t>2.</w:t>
      </w:r>
      <w:r>
        <w:rPr>
          <w:rFonts w:hint="default" w:ascii="Times New Roman" w:hAnsi="Times New Roman" w:cs="Times New Roman"/>
          <w:lang w:val="en-US" w:eastAsia="zh-CN"/>
        </w:rPr>
        <w:t xml:space="preserve"> </w:t>
      </w:r>
      <w:r>
        <w:rPr>
          <w:rFonts w:hint="default" w:ascii="Times New Roman" w:hAnsi="Times New Roman" w:cs="Times New Roman"/>
          <w:b/>
          <w:bCs/>
          <w:lang w:val="en-US" w:eastAsia="zh-CN"/>
        </w:rPr>
        <w:t>Information of microbial functional genes involved in the C and N cycling processes identified in this study</w:t>
      </w:r>
      <w:r>
        <w:rPr>
          <w:rFonts w:hint="eastAsia" w:ascii="Times New Roman" w:hAnsi="Times New Roman" w:cs="Times New Roman"/>
          <w:b/>
          <w:bCs/>
          <w:lang w:val="en-US" w:eastAsia="zh-CN"/>
        </w:rPr>
        <w:t>.</w:t>
      </w:r>
    </w:p>
    <w:p w14:paraId="15F7E706">
      <w:pPr>
        <w:numPr>
          <w:ilvl w:val="0"/>
          <w:numId w:val="0"/>
        </w:numPr>
        <w:spacing w:line="240" w:lineRule="auto"/>
        <w:rPr>
          <w:rFonts w:hint="eastAsia" w:ascii="Times New Roman" w:hAnsi="Times New Roman" w:cs="Times New Roman"/>
          <w:b/>
          <w:bCs/>
          <w:szCs w:val="21"/>
          <w:lang w:val="en-US" w:eastAsia="zh-CN"/>
        </w:rPr>
      </w:pPr>
      <w:r>
        <w:rPr>
          <w:rFonts w:hint="eastAsia" w:ascii="Times New Roman" w:hAnsi="Times New Roman" w:cs="Times New Roman"/>
          <w:b/>
          <w:bCs/>
          <w:szCs w:val="21"/>
        </w:rPr>
        <w:t>Table</w:t>
      </w:r>
      <w:r>
        <w:rPr>
          <w:rFonts w:hint="eastAsia" w:ascii="Times New Roman" w:hAnsi="Times New Roman" w:cs="Times New Roman"/>
          <w:b/>
          <w:bCs/>
          <w:szCs w:val="21"/>
          <w:lang w:val="en-US" w:eastAsia="zh-CN"/>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3.</w:t>
      </w:r>
      <w:r>
        <w:rPr>
          <w:rFonts w:hint="eastAsia" w:ascii="Times New Roman" w:hAnsi="Times New Roman" w:cs="Times New Roman"/>
          <w:szCs w:val="21"/>
          <w:lang w:val="en-US" w:eastAsia="zh-CN"/>
        </w:rPr>
        <w:t xml:space="preserve"> </w:t>
      </w:r>
      <w:r>
        <w:rPr>
          <w:rFonts w:hint="eastAsia" w:ascii="Times New Roman" w:hAnsi="Times New Roman" w:cs="Times New Roman"/>
          <w:b/>
          <w:bCs/>
          <w:szCs w:val="21"/>
          <w:lang w:val="en-US" w:eastAsia="zh-CN"/>
        </w:rPr>
        <w:t>Results of Mantel tests between carbon and nitrogen cycling genes composition  with environmental factors across all treatment, values at p&lt;0.05 are shown in bold.</w:t>
      </w:r>
    </w:p>
    <w:p w14:paraId="02C02F47">
      <w:pPr>
        <w:numPr>
          <w:ilvl w:val="0"/>
          <w:numId w:val="0"/>
        </w:numPr>
        <w:spacing w:line="240" w:lineRule="auto"/>
        <w:rPr>
          <w:rFonts w:hint="default" w:ascii="Times New Roman" w:hAnsi="Times New Roman" w:cs="Times New Roman"/>
          <w:b/>
          <w:bCs/>
          <w:szCs w:val="21"/>
          <w:lang w:val="en-US" w:eastAsia="zh-CN"/>
        </w:rPr>
      </w:pPr>
      <w:r>
        <w:rPr>
          <w:rFonts w:hint="eastAsia" w:ascii="Times New Roman" w:hAnsi="Times New Roman" w:cs="Times New Roman"/>
          <w:b/>
          <w:bCs/>
          <w:szCs w:val="21"/>
          <w:lang w:val="en-US" w:eastAsia="zh-CN"/>
        </w:rPr>
        <w:t>Text S1. Measurements of soil properties</w:t>
      </w:r>
    </w:p>
    <w:p w14:paraId="10A90972">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871085" cy="8117205"/>
            <wp:effectExtent l="0" t="0" r="5715" b="17145"/>
            <wp:docPr id="1" name="图片 1" descr="carbon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rbon_heatmap"/>
                    <pic:cNvPicPr>
                      <a:picLocks noChangeAspect="1"/>
                    </pic:cNvPicPr>
                  </pic:nvPicPr>
                  <pic:blipFill>
                    <a:blip r:embed="rId4"/>
                    <a:stretch>
                      <a:fillRect/>
                    </a:stretch>
                  </pic:blipFill>
                  <pic:spPr>
                    <a:xfrm>
                      <a:off x="0" y="0"/>
                      <a:ext cx="4871085" cy="8117205"/>
                    </a:xfrm>
                    <a:prstGeom prst="rect">
                      <a:avLst/>
                    </a:prstGeom>
                  </pic:spPr>
                </pic:pic>
              </a:graphicData>
            </a:graphic>
          </wp:inline>
        </w:drawing>
      </w:r>
    </w:p>
    <w:p w14:paraId="7D8D2D43">
      <w:pPr>
        <w:rPr>
          <w:rFonts w:hint="eastAsia" w:ascii="Times New Roman" w:hAnsi="Times New Roman" w:cs="Times New Roman"/>
          <w:b w:val="0"/>
          <w:bCs w:val="0"/>
          <w:szCs w:val="21"/>
          <w:lang w:val="en-US" w:eastAsia="zh-CN"/>
        </w:rPr>
      </w:pPr>
      <w:r>
        <w:rPr>
          <w:rFonts w:hint="eastAsia" w:ascii="Times New Roman" w:hAnsi="Times New Roman" w:cs="Times New Roman"/>
          <w:b/>
          <w:bCs/>
          <w:szCs w:val="21"/>
          <w:lang w:val="en-US" w:eastAsia="zh-CN"/>
        </w:rPr>
        <w:t>Figure S1. Heat maps showing the Pearson correlations between the soil properties, enzyme activity and carbon cycle genes.</w:t>
      </w:r>
    </w:p>
    <w:p w14:paraId="4EDECEF4">
      <w:pPr>
        <w:rPr>
          <w:rFonts w:hint="default" w:ascii="Times New Roman" w:hAnsi="Times New Roman" w:cs="Times New Roman"/>
          <w:lang w:val="en-US" w:eastAsia="zh-CN"/>
        </w:rPr>
      </w:pPr>
    </w:p>
    <w:p w14:paraId="522763A2">
      <w:pP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010785" cy="5848350"/>
            <wp:effectExtent l="0" t="0" r="18415" b="0"/>
            <wp:docPr id="2" name="图片 2" descr="nitrogen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itrogen_heatmap"/>
                    <pic:cNvPicPr>
                      <a:picLocks noChangeAspect="1"/>
                    </pic:cNvPicPr>
                  </pic:nvPicPr>
                  <pic:blipFill>
                    <a:blip r:embed="rId5"/>
                    <a:stretch>
                      <a:fillRect/>
                    </a:stretch>
                  </pic:blipFill>
                  <pic:spPr>
                    <a:xfrm>
                      <a:off x="0" y="0"/>
                      <a:ext cx="5010785" cy="5848350"/>
                    </a:xfrm>
                    <a:prstGeom prst="rect">
                      <a:avLst/>
                    </a:prstGeom>
                  </pic:spPr>
                </pic:pic>
              </a:graphicData>
            </a:graphic>
          </wp:inline>
        </w:drawing>
      </w:r>
    </w:p>
    <w:p w14:paraId="3A96D23C">
      <w:pPr>
        <w:rPr>
          <w:rFonts w:hint="default" w:ascii="Times New Roman" w:hAnsi="Times New Roman" w:cs="Times New Roman"/>
          <w:b/>
          <w:bCs/>
          <w:lang w:val="en-US" w:eastAsia="zh-CN"/>
        </w:rPr>
      </w:pPr>
      <w:r>
        <w:rPr>
          <w:rFonts w:hint="default" w:ascii="Times New Roman" w:hAnsi="Times New Roman" w:cs="Times New Roman"/>
          <w:b/>
          <w:bCs/>
          <w:lang w:val="en-US" w:eastAsia="zh-CN"/>
        </w:rPr>
        <w:t>Figure S2</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 xml:space="preserve"> Heat maps showing the Pearson correlations between the soil properties, enzyme activity and nitrogen cycle genes. </w:t>
      </w:r>
    </w:p>
    <w:p w14:paraId="5C9A7DE0">
      <w:pPr>
        <w:rPr>
          <w:rFonts w:hint="default" w:ascii="Times New Roman" w:hAnsi="Times New Roman" w:cs="Times New Roman"/>
          <w:lang w:val="en-US" w:eastAsia="zh-CN"/>
        </w:rPr>
      </w:pPr>
    </w:p>
    <w:p w14:paraId="68A44484">
      <w:pPr>
        <w:rPr>
          <w:rFonts w:hint="default" w:ascii="Times New Roman" w:hAnsi="Times New Roman" w:cs="Times New Roman"/>
          <w:lang w:val="en-US" w:eastAsia="zh-CN"/>
        </w:rPr>
      </w:pPr>
      <w:r>
        <w:rPr>
          <w:rFonts w:hint="default" w:ascii="Times New Roman" w:hAnsi="Times New Roman" w:cs="Times New Roman"/>
          <w:b/>
          <w:bCs/>
          <w:lang w:val="en-US" w:eastAsia="zh-CN"/>
        </w:rPr>
        <w:t>Table</w:t>
      </w:r>
      <w:r>
        <w:rPr>
          <w:rFonts w:hint="eastAsia" w:ascii="Times New Roman" w:hAnsi="Times New Roman" w:cs="Times New Roman"/>
          <w:b/>
          <w:bCs/>
          <w:lang w:val="en-US" w:eastAsia="zh-CN"/>
        </w:rPr>
        <w:t xml:space="preserve"> S</w:t>
      </w:r>
      <w:r>
        <w:rPr>
          <w:rFonts w:hint="default" w:ascii="Times New Roman" w:hAnsi="Times New Roman" w:cs="Times New Roman"/>
          <w:b/>
          <w:bCs/>
          <w:lang w:val="en-US" w:eastAsia="zh-CN"/>
        </w:rPr>
        <w:t>1. Soil properties and enzyme activities in rhizosphere of different Pinus massoniana provenances</w:t>
      </w:r>
    </w:p>
    <w:tbl>
      <w:tblPr>
        <w:tblStyle w:val="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left w:w="108" w:type="dxa"/>
          <w:right w:w="108" w:type="dxa"/>
        </w:tblCellMar>
      </w:tblPr>
      <w:tblGrid>
        <w:gridCol w:w="2130"/>
        <w:gridCol w:w="2130"/>
        <w:gridCol w:w="2131"/>
        <w:gridCol w:w="2131"/>
      </w:tblGrid>
      <w:tr w14:paraId="31EC896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bottom w:val="single" w:color="auto" w:sz="4" w:space="0"/>
            </w:tcBorders>
          </w:tcPr>
          <w:p w14:paraId="175A1B26">
            <w:pPr>
              <w:jc w:val="left"/>
              <w:rPr>
                <w:rFonts w:hint="default" w:ascii="Times New Roman" w:hAnsi="Times New Roman" w:cs="Times New Roman"/>
                <w:b w:val="0"/>
                <w:bCs w:val="0"/>
                <w:vertAlign w:val="baseline"/>
                <w:lang w:val="en-US" w:eastAsia="zh-CN"/>
              </w:rPr>
            </w:pPr>
          </w:p>
        </w:tc>
        <w:tc>
          <w:tcPr>
            <w:tcW w:w="2130" w:type="dxa"/>
            <w:tcBorders>
              <w:bottom w:val="single" w:color="auto" w:sz="4" w:space="0"/>
            </w:tcBorders>
          </w:tcPr>
          <w:p w14:paraId="1FAFFFB3">
            <w:pPr>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SM</w:t>
            </w:r>
          </w:p>
        </w:tc>
        <w:tc>
          <w:tcPr>
            <w:tcW w:w="2131" w:type="dxa"/>
            <w:tcBorders>
              <w:bottom w:val="single" w:color="auto" w:sz="4" w:space="0"/>
            </w:tcBorders>
          </w:tcPr>
          <w:p w14:paraId="6367715B">
            <w:pPr>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QJ</w:t>
            </w:r>
          </w:p>
        </w:tc>
        <w:tc>
          <w:tcPr>
            <w:tcW w:w="2131" w:type="dxa"/>
            <w:tcBorders>
              <w:bottom w:val="single" w:color="auto" w:sz="4" w:space="0"/>
            </w:tcBorders>
          </w:tcPr>
          <w:p w14:paraId="26806FFF">
            <w:pPr>
              <w:jc w:val="left"/>
              <w:rPr>
                <w:rFonts w:hint="default" w:ascii="Times New Roman" w:hAnsi="Times New Roman" w:cs="Times New Roman"/>
                <w:b w:val="0"/>
                <w:bCs w:val="0"/>
                <w:vertAlign w:val="baseline"/>
                <w:lang w:val="en-US" w:eastAsia="zh-CN"/>
              </w:rPr>
            </w:pPr>
            <w:r>
              <w:rPr>
                <w:rFonts w:hint="default" w:ascii="Times New Roman" w:hAnsi="Times New Roman" w:cs="Times New Roman"/>
                <w:b w:val="0"/>
                <w:bCs w:val="0"/>
                <w:vertAlign w:val="baseline"/>
                <w:lang w:val="en-US" w:eastAsia="zh-CN"/>
              </w:rPr>
              <w:t>HF</w:t>
            </w:r>
          </w:p>
        </w:tc>
      </w:tr>
      <w:tr w14:paraId="54001E1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op w:val="single" w:color="auto" w:sz="4" w:space="0"/>
              <w:tl2br w:val="nil"/>
              <w:tr2bl w:val="nil"/>
            </w:tcBorders>
            <w:vAlign w:val="center"/>
          </w:tcPr>
          <w:p w14:paraId="6EF52DA9">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SOC(g/kg)</w:t>
            </w:r>
          </w:p>
        </w:tc>
        <w:tc>
          <w:tcPr>
            <w:tcW w:w="2130" w:type="dxa"/>
            <w:tcBorders>
              <w:top w:val="single" w:color="auto" w:sz="4" w:space="0"/>
              <w:tl2br w:val="nil"/>
              <w:tr2bl w:val="nil"/>
            </w:tcBorders>
            <w:vAlign w:val="center"/>
          </w:tcPr>
          <w:p w14:paraId="7C68DA3B">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27.59</w:t>
            </w:r>
            <w:r>
              <w:rPr>
                <w:rStyle w:val="8"/>
                <w:rFonts w:hint="default" w:ascii="Times New Roman" w:hAnsi="Times New Roman" w:eastAsia="宋体" w:cs="Times New Roman"/>
                <w:b w:val="0"/>
                <w:bCs w:val="0"/>
                <w:lang w:val="en-US" w:eastAsia="zh-CN" w:bidi="ar"/>
              </w:rPr>
              <w:t>±</w:t>
            </w:r>
            <w:r>
              <w:rPr>
                <w:rStyle w:val="9"/>
                <w:rFonts w:hint="default" w:ascii="Times New Roman" w:hAnsi="Times New Roman" w:cs="Times New Roman"/>
                <w:b w:val="0"/>
                <w:bCs w:val="0"/>
                <w:lang w:val="en-US" w:eastAsia="zh-CN" w:bidi="ar"/>
              </w:rPr>
              <w:t>0.74a</w:t>
            </w:r>
          </w:p>
        </w:tc>
        <w:tc>
          <w:tcPr>
            <w:tcW w:w="2131" w:type="dxa"/>
            <w:tcBorders>
              <w:top w:val="single" w:color="auto" w:sz="4" w:space="0"/>
              <w:tl2br w:val="nil"/>
              <w:tr2bl w:val="nil"/>
            </w:tcBorders>
            <w:vAlign w:val="center"/>
          </w:tcPr>
          <w:p w14:paraId="55209846">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25.11±1.42a</w:t>
            </w:r>
          </w:p>
        </w:tc>
        <w:tc>
          <w:tcPr>
            <w:tcW w:w="2131" w:type="dxa"/>
            <w:tcBorders>
              <w:top w:val="single" w:color="auto" w:sz="4" w:space="0"/>
              <w:tl2br w:val="nil"/>
              <w:tr2bl w:val="nil"/>
            </w:tcBorders>
            <w:vAlign w:val="center"/>
          </w:tcPr>
          <w:p w14:paraId="2418D466">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12.29±0.29b</w:t>
            </w:r>
          </w:p>
        </w:tc>
      </w:tr>
      <w:tr w14:paraId="37A1BA4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4C9E6B39">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TN(g/kg)</w:t>
            </w:r>
          </w:p>
        </w:tc>
        <w:tc>
          <w:tcPr>
            <w:tcW w:w="2130" w:type="dxa"/>
            <w:tcBorders>
              <w:tl2br w:val="nil"/>
              <w:tr2bl w:val="nil"/>
            </w:tcBorders>
            <w:vAlign w:val="center"/>
          </w:tcPr>
          <w:p w14:paraId="19A0ED77">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2.61±0.06a</w:t>
            </w:r>
          </w:p>
        </w:tc>
        <w:tc>
          <w:tcPr>
            <w:tcW w:w="2131" w:type="dxa"/>
            <w:tcBorders>
              <w:tl2br w:val="nil"/>
              <w:tr2bl w:val="nil"/>
            </w:tcBorders>
            <w:vAlign w:val="center"/>
          </w:tcPr>
          <w:p w14:paraId="5981966C">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2.59±0.13a</w:t>
            </w:r>
          </w:p>
        </w:tc>
        <w:tc>
          <w:tcPr>
            <w:tcW w:w="2131" w:type="dxa"/>
            <w:tcBorders>
              <w:tl2br w:val="nil"/>
              <w:tr2bl w:val="nil"/>
            </w:tcBorders>
            <w:vAlign w:val="center"/>
          </w:tcPr>
          <w:p w14:paraId="4BE99556">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1.25±0.07b</w:t>
            </w:r>
          </w:p>
        </w:tc>
      </w:tr>
      <w:tr w14:paraId="57BCE045">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18EE04D3">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pH</w:t>
            </w:r>
          </w:p>
        </w:tc>
        <w:tc>
          <w:tcPr>
            <w:tcW w:w="2130" w:type="dxa"/>
            <w:tcBorders>
              <w:tl2br w:val="nil"/>
              <w:tr2bl w:val="nil"/>
            </w:tcBorders>
            <w:vAlign w:val="center"/>
          </w:tcPr>
          <w:p w14:paraId="19D49633">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4.61±0.02b</w:t>
            </w:r>
          </w:p>
        </w:tc>
        <w:tc>
          <w:tcPr>
            <w:tcW w:w="2131" w:type="dxa"/>
            <w:tcBorders>
              <w:tl2br w:val="nil"/>
              <w:tr2bl w:val="nil"/>
            </w:tcBorders>
            <w:vAlign w:val="center"/>
          </w:tcPr>
          <w:p w14:paraId="7C5C85F7">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4.85±0.01a</w:t>
            </w:r>
          </w:p>
        </w:tc>
        <w:tc>
          <w:tcPr>
            <w:tcW w:w="2131" w:type="dxa"/>
            <w:tcBorders>
              <w:tl2br w:val="nil"/>
              <w:tr2bl w:val="nil"/>
            </w:tcBorders>
            <w:vAlign w:val="center"/>
          </w:tcPr>
          <w:p w14:paraId="7241C12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4.89±0.04a</w:t>
            </w:r>
          </w:p>
        </w:tc>
      </w:tr>
      <w:tr w14:paraId="62D4E24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3B42A5EE">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NH4+-N(μg/g)</w:t>
            </w:r>
          </w:p>
        </w:tc>
        <w:tc>
          <w:tcPr>
            <w:tcW w:w="2130" w:type="dxa"/>
            <w:tcBorders>
              <w:tl2br w:val="nil"/>
              <w:tr2bl w:val="nil"/>
            </w:tcBorders>
            <w:vAlign w:val="center"/>
          </w:tcPr>
          <w:p w14:paraId="00FF78C8">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6.11±0.75b</w:t>
            </w:r>
          </w:p>
        </w:tc>
        <w:tc>
          <w:tcPr>
            <w:tcW w:w="2131" w:type="dxa"/>
            <w:tcBorders>
              <w:tl2br w:val="nil"/>
              <w:tr2bl w:val="nil"/>
            </w:tcBorders>
            <w:vAlign w:val="center"/>
          </w:tcPr>
          <w:p w14:paraId="157BC465">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9.23±1.56ab</w:t>
            </w:r>
          </w:p>
        </w:tc>
        <w:tc>
          <w:tcPr>
            <w:tcW w:w="2131" w:type="dxa"/>
            <w:tcBorders>
              <w:tl2br w:val="nil"/>
              <w:tr2bl w:val="nil"/>
            </w:tcBorders>
            <w:vAlign w:val="center"/>
          </w:tcPr>
          <w:p w14:paraId="3837470C">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10.66±1.18a</w:t>
            </w:r>
          </w:p>
        </w:tc>
      </w:tr>
      <w:tr w14:paraId="1CF3B4A0">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03B5307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NO3--N(μg/g)</w:t>
            </w:r>
          </w:p>
        </w:tc>
        <w:tc>
          <w:tcPr>
            <w:tcW w:w="2130" w:type="dxa"/>
            <w:tcBorders>
              <w:tl2br w:val="nil"/>
              <w:tr2bl w:val="nil"/>
            </w:tcBorders>
            <w:vAlign w:val="center"/>
          </w:tcPr>
          <w:p w14:paraId="24A4B321">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0.99±0.43c</w:t>
            </w:r>
          </w:p>
        </w:tc>
        <w:tc>
          <w:tcPr>
            <w:tcW w:w="2131" w:type="dxa"/>
            <w:tcBorders>
              <w:tl2br w:val="nil"/>
              <w:tr2bl w:val="nil"/>
            </w:tcBorders>
            <w:vAlign w:val="center"/>
          </w:tcPr>
          <w:p w14:paraId="406D22B0">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5.42±1.34b</w:t>
            </w:r>
          </w:p>
        </w:tc>
        <w:tc>
          <w:tcPr>
            <w:tcW w:w="2131" w:type="dxa"/>
            <w:tcBorders>
              <w:tl2br w:val="nil"/>
              <w:tr2bl w:val="nil"/>
            </w:tcBorders>
            <w:vAlign w:val="center"/>
          </w:tcPr>
          <w:p w14:paraId="10E9531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11.68±1.41a</w:t>
            </w:r>
          </w:p>
        </w:tc>
      </w:tr>
      <w:tr w14:paraId="0A970919">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2CF62E5B">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NiR(μmol/d/g)</w:t>
            </w:r>
          </w:p>
        </w:tc>
        <w:tc>
          <w:tcPr>
            <w:tcW w:w="2130" w:type="dxa"/>
            <w:tcBorders>
              <w:tl2br w:val="nil"/>
              <w:tr2bl w:val="nil"/>
            </w:tcBorders>
            <w:vAlign w:val="center"/>
          </w:tcPr>
          <w:p w14:paraId="75A9A356">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20.62±1.15</w:t>
            </w:r>
          </w:p>
        </w:tc>
        <w:tc>
          <w:tcPr>
            <w:tcW w:w="2131" w:type="dxa"/>
            <w:tcBorders>
              <w:tl2br w:val="nil"/>
              <w:tr2bl w:val="nil"/>
            </w:tcBorders>
            <w:vAlign w:val="center"/>
          </w:tcPr>
          <w:p w14:paraId="09154D50">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20.31±1.48</w:t>
            </w:r>
          </w:p>
        </w:tc>
        <w:tc>
          <w:tcPr>
            <w:tcW w:w="2131" w:type="dxa"/>
            <w:tcBorders>
              <w:tl2br w:val="nil"/>
              <w:tr2bl w:val="nil"/>
            </w:tcBorders>
            <w:vAlign w:val="center"/>
          </w:tcPr>
          <w:p w14:paraId="4CD05E2E">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29.65±4.68</w:t>
            </w:r>
          </w:p>
        </w:tc>
      </w:tr>
      <w:tr w14:paraId="728EB57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53495586">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UR(μmol/d/g)</w:t>
            </w:r>
          </w:p>
        </w:tc>
        <w:tc>
          <w:tcPr>
            <w:tcW w:w="2130" w:type="dxa"/>
            <w:tcBorders>
              <w:tl2br w:val="nil"/>
              <w:tr2bl w:val="nil"/>
            </w:tcBorders>
            <w:vAlign w:val="center"/>
          </w:tcPr>
          <w:p w14:paraId="6C867919">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131.78±28.67b</w:t>
            </w:r>
          </w:p>
        </w:tc>
        <w:tc>
          <w:tcPr>
            <w:tcW w:w="2131" w:type="dxa"/>
            <w:tcBorders>
              <w:tl2br w:val="nil"/>
              <w:tr2bl w:val="nil"/>
            </w:tcBorders>
            <w:vAlign w:val="center"/>
          </w:tcPr>
          <w:p w14:paraId="24FCEB01">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238.93±33.09a</w:t>
            </w:r>
          </w:p>
        </w:tc>
        <w:tc>
          <w:tcPr>
            <w:tcW w:w="2131" w:type="dxa"/>
            <w:tcBorders>
              <w:tl2br w:val="nil"/>
              <w:tr2bl w:val="nil"/>
            </w:tcBorders>
            <w:vAlign w:val="center"/>
          </w:tcPr>
          <w:p w14:paraId="6746D727">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193.16±21.62ab</w:t>
            </w:r>
          </w:p>
        </w:tc>
      </w:tr>
      <w:tr w14:paraId="16D8EB62">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456D0DF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PPO(nmol/h/g)</w:t>
            </w:r>
          </w:p>
        </w:tc>
        <w:tc>
          <w:tcPr>
            <w:tcW w:w="2130" w:type="dxa"/>
            <w:tcBorders>
              <w:tl2br w:val="nil"/>
              <w:tr2bl w:val="nil"/>
            </w:tcBorders>
            <w:vAlign w:val="center"/>
          </w:tcPr>
          <w:p w14:paraId="0843B235">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270.26±25.71</w:t>
            </w:r>
          </w:p>
        </w:tc>
        <w:tc>
          <w:tcPr>
            <w:tcW w:w="2131" w:type="dxa"/>
            <w:tcBorders>
              <w:tl2br w:val="nil"/>
              <w:tr2bl w:val="nil"/>
            </w:tcBorders>
            <w:vAlign w:val="center"/>
          </w:tcPr>
          <w:p w14:paraId="1CF919AE">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262.14±36.82</w:t>
            </w:r>
          </w:p>
        </w:tc>
        <w:tc>
          <w:tcPr>
            <w:tcW w:w="2131" w:type="dxa"/>
            <w:tcBorders>
              <w:tl2br w:val="nil"/>
              <w:tr2bl w:val="nil"/>
            </w:tcBorders>
            <w:vAlign w:val="center"/>
          </w:tcPr>
          <w:p w14:paraId="1B867257">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204.04±11.11</w:t>
            </w:r>
          </w:p>
        </w:tc>
      </w:tr>
      <w:tr w14:paraId="7B87C5F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left w:w="108" w:type="dxa"/>
            <w:right w:w="108" w:type="dxa"/>
          </w:tblCellMar>
        </w:tblPrEx>
        <w:tc>
          <w:tcPr>
            <w:tcW w:w="2130" w:type="dxa"/>
            <w:tcBorders>
              <w:tl2br w:val="nil"/>
              <w:tr2bl w:val="nil"/>
            </w:tcBorders>
            <w:vAlign w:val="center"/>
          </w:tcPr>
          <w:p w14:paraId="25A08B54">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POD(nmol/h/g)</w:t>
            </w:r>
          </w:p>
        </w:tc>
        <w:tc>
          <w:tcPr>
            <w:tcW w:w="2130" w:type="dxa"/>
            <w:tcBorders>
              <w:tl2br w:val="nil"/>
              <w:tr2bl w:val="nil"/>
            </w:tcBorders>
            <w:vAlign w:val="center"/>
          </w:tcPr>
          <w:p w14:paraId="796C926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2820.06±135.45a</w:t>
            </w:r>
          </w:p>
        </w:tc>
        <w:tc>
          <w:tcPr>
            <w:tcW w:w="2131" w:type="dxa"/>
            <w:tcBorders>
              <w:tl2br w:val="nil"/>
              <w:tr2bl w:val="nil"/>
            </w:tcBorders>
            <w:vAlign w:val="center"/>
          </w:tcPr>
          <w:p w14:paraId="02466C30">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1482.32±327.96b</w:t>
            </w:r>
          </w:p>
        </w:tc>
        <w:tc>
          <w:tcPr>
            <w:tcW w:w="2131" w:type="dxa"/>
            <w:tcBorders>
              <w:tl2br w:val="nil"/>
              <w:tr2bl w:val="nil"/>
            </w:tcBorders>
            <w:vAlign w:val="center"/>
          </w:tcPr>
          <w:p w14:paraId="673C5B0F">
            <w:pPr>
              <w:keepNext w:val="0"/>
              <w:keepLines w:val="0"/>
              <w:widowControl/>
              <w:suppressLineNumbers w:val="0"/>
              <w:jc w:val="left"/>
              <w:textAlignment w:val="center"/>
              <w:rPr>
                <w:rFonts w:hint="default" w:ascii="Times New Roman" w:hAnsi="Times New Roman" w:cs="Times New Roman"/>
                <w:b w:val="0"/>
                <w:bCs w:val="0"/>
                <w:vertAlign w:val="baseline"/>
                <w:lang w:val="en-US" w:eastAsia="zh-CN"/>
              </w:rPr>
            </w:pPr>
            <w:r>
              <w:rPr>
                <w:rFonts w:hint="default" w:ascii="Times New Roman" w:hAnsi="Times New Roman" w:eastAsia="宋体" w:cs="Times New Roman"/>
                <w:b w:val="0"/>
                <w:bCs w:val="0"/>
                <w:i w:val="0"/>
                <w:iCs w:val="0"/>
                <w:color w:val="000000"/>
                <w:kern w:val="0"/>
                <w:sz w:val="22"/>
                <w:szCs w:val="22"/>
                <w:u w:val="none"/>
                <w:lang w:val="en-US" w:eastAsia="zh-CN" w:bidi="ar"/>
              </w:rPr>
              <w:t>2134.98±114.17ab</w:t>
            </w:r>
          </w:p>
        </w:tc>
      </w:tr>
    </w:tbl>
    <w:p w14:paraId="68C0F887">
      <w:pPr>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Note: SM, SanMing provenance; QJ, QingJiang provenance; HF, HeFeng</w:t>
      </w:r>
      <w:bookmarkStart w:id="2" w:name="OLE_LINK39"/>
      <w:r>
        <w:rPr>
          <w:rFonts w:hint="default" w:ascii="Times New Roman" w:hAnsi="Times New Roman" w:cs="Times New Roman"/>
          <w:sz w:val="20"/>
          <w:szCs w:val="20"/>
          <w:lang w:val="en-US" w:eastAsia="zh-CN"/>
        </w:rPr>
        <w:t xml:space="preserve"> provenance</w:t>
      </w:r>
      <w:bookmarkEnd w:id="2"/>
      <w:r>
        <w:rPr>
          <w:rFonts w:hint="default" w:ascii="Times New Roman" w:hAnsi="Times New Roman" w:cs="Times New Roman"/>
          <w:sz w:val="20"/>
          <w:szCs w:val="20"/>
          <w:lang w:val="en-US" w:eastAsia="zh-CN"/>
        </w:rPr>
        <w:t xml:space="preserve">; Different letters indicate significant differences among provenances using one-way ANOVA (LSD, P &lt; 0.05). </w:t>
      </w:r>
    </w:p>
    <w:p w14:paraId="4FFDADB6">
      <w:pPr>
        <w:rPr>
          <w:rFonts w:hint="default" w:ascii="Times New Roman" w:hAnsi="Times New Roman" w:cs="Times New Roman"/>
          <w:lang w:val="en-US" w:eastAsia="zh-CN"/>
        </w:rPr>
      </w:pPr>
    </w:p>
    <w:p w14:paraId="002E2D51">
      <w:pP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Text S1. </w:t>
      </w:r>
      <w:r>
        <w:rPr>
          <w:rFonts w:hint="default" w:ascii="Times New Roman" w:hAnsi="Times New Roman" w:cs="Times New Roman"/>
          <w:b/>
          <w:bCs/>
          <w:lang w:val="en-US" w:eastAsia="zh-CN"/>
        </w:rPr>
        <w:t xml:space="preserve">Measurements of soil properties </w:t>
      </w:r>
    </w:p>
    <w:p w14:paraId="6F409DBB">
      <w:pPr>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Soil pH was determined using the glass electrode method at a water to soil ratio of 1:2.5</w:t>
      </w:r>
      <w:r>
        <w:rPr>
          <w:rFonts w:hint="eastAsia" w:ascii="Times New Roman" w:hAnsi="Times New Roman" w:cs="Times New Roman"/>
          <w:lang w:val="en-US" w:eastAsia="zh-CN"/>
        </w:rPr>
        <w:t xml:space="preserve"> </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EN.CITE &lt;EndNote&gt;&lt;Cite&gt;&lt;Author&gt;Wang&lt;/Author&gt;&lt;Year&gt;2024&lt;/Year&gt;&lt;RecNum&gt;112&lt;/RecNum&gt;&lt;DisplayText&gt;(Wang et al., 2024)&lt;/DisplayText&gt;&lt;record&gt;&lt;rec-number&gt;112&lt;/rec-number&gt;&lt;foreign-keys&gt;&lt;key app="EN" db-id="ttrzteatnzd905e2296xpzepx0tw2d20w9ez" timestamp="1727877712"&gt;112&lt;/key&gt;&lt;/foreign-keys&gt;&lt;ref-type name="Journal Article"&gt;17&lt;/ref-type&gt;&lt;contributors&gt;&lt;authors&gt;&lt;author&gt;Wang, Anning&lt;/author&gt;&lt;author&gt;Zhang, Yifan&lt;/author&gt;&lt;author&gt;Wang, Guilin&lt;/author&gt;&lt;author&gt;Zhang, Zhiqiang&lt;/author&gt;&lt;/authors&gt;&lt;/contributors&gt;&lt;titles&gt;&lt;title&gt;Soil physicochemical properties and microorganisms jointly regulate the variations of soil carbon and nitrogen cycles along vegetation restoration on the Loess Plateau, China&lt;/title&gt;&lt;secondary-title&gt;Plant and Soil&lt;/secondary-title&gt;&lt;/titles&gt;&lt;periodical&gt;&lt;full-title&gt;Plant and Soil&lt;/full-title&gt;&lt;/periodical&gt;&lt;pages&gt;413-436&lt;/pages&gt;&lt;volume&gt;494&lt;/volume&gt;&lt;number&gt;1-2&lt;/number&gt;&lt;dates&gt;&lt;year&gt;2024&lt;/year&gt;&lt;pub-dates&gt;&lt;date&gt;Jan&lt;/date&gt;&lt;/pub-dates&gt;&lt;/dates&gt;&lt;isbn&gt;0032-079X&lt;/isbn&gt;&lt;accession-num&gt;WOS:001071572700001&lt;/accession-num&gt;&lt;work-type&gt;Article&lt;/work-type&gt;&lt;urls&gt;&lt;related-urls&gt;&lt;url&gt;&amp;lt;Go to ISI&amp;gt;://WOS:001071572700001&lt;/url&gt;&lt;/related-urls&gt;&lt;/urls&gt;&lt;electronic-resource-num&gt;10.1007/s11104-023-06290-2&lt;/electronic-resource-num&gt;&lt;/record&gt;&lt;/Cite&gt;&lt;/EndNote&gt;</w:instrText>
      </w:r>
      <w:r>
        <w:rPr>
          <w:rFonts w:hint="eastAsia" w:ascii="Times New Roman" w:hAnsi="Times New Roman" w:cs="Times New Roman"/>
          <w:lang w:val="en-US" w:eastAsia="zh-CN"/>
        </w:rPr>
        <w:fldChar w:fldCharType="separate"/>
      </w:r>
      <w:r>
        <w:rPr>
          <w:rFonts w:hint="eastAsia" w:ascii="Times New Roman" w:hAnsi="Times New Roman" w:cs="Times New Roman" w:eastAsiaTheme="minorEastAsia"/>
          <w:kern w:val="2"/>
          <w:sz w:val="21"/>
          <w:szCs w:val="24"/>
          <w:lang w:val="en-US" w:eastAsia="zh-CN" w:bidi="ar-SA"/>
        </w:rPr>
        <w:t>(Wang et al., 2024)</w:t>
      </w:r>
      <w:r>
        <w:rPr>
          <w:rFonts w:hint="eastAsia" w:ascii="Times New Roman" w:hAnsi="Times New Roman" w:cs="Times New Roman"/>
          <w:lang w:val="en-US" w:eastAsia="zh-CN"/>
        </w:rPr>
        <w:fldChar w:fldCharType="end"/>
      </w:r>
      <w:r>
        <w:rPr>
          <w:rFonts w:hint="eastAsia" w:ascii="Times New Roman" w:hAnsi="Times New Roman" w:cs="Times New Roman"/>
          <w:lang w:val="en-US" w:eastAsia="zh-CN"/>
        </w:rPr>
        <w:t xml:space="preserve">. Soil organic carbon was determined by external heating with potassium dichromate </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EN.CITE &lt;EndNote&gt;&lt;Cite&gt;&lt;Author&gt;Benbi&lt;/Author&gt;&lt;Year&gt;2018&lt;/Year&gt;&lt;RecNum&gt;115&lt;/RecNum&gt;&lt;DisplayText&gt;(Benbi, 2018)&lt;/DisplayText&gt;&lt;record&gt;&lt;rec-number&gt;115&lt;/rec-number&gt;&lt;foreign-keys&gt;&lt;key app="EN" db-id="ttrzteatnzd905e2296xpzepx0tw2d20w9ez" timestamp="1727877753"&gt;115&lt;/key&gt;&lt;/foreign-keys&gt;&lt;ref-type name="Journal Article"&gt;17&lt;/ref-type&gt;&lt;contributors&gt;&lt;authors&gt;&lt;author&gt;Benbi, Dinesh K.&lt;/author&gt;&lt;/authors&gt;&lt;/contributors&gt;&lt;titles&gt;&lt;title&gt;Evaluation of a rapid microwave digestion method for determination of total organic carbon in soil&lt;/title&gt;&lt;secondary-title&gt;Communications in Soil Science and Plant Analysis&lt;/secondary-title&gt;&lt;/titles&gt;&lt;periodical&gt;&lt;full-title&gt;Communications in Soil Science and Plant Analysis&lt;/full-title&gt;&lt;/periodical&gt;&lt;pages&gt;2103-2112&lt;/pages&gt;&lt;volume&gt;49&lt;/volume&gt;&lt;number&gt;17&lt;/number&gt;&lt;dates&gt;&lt;year&gt;2018&lt;/year&gt;&lt;pub-dates&gt;&lt;date&gt;2018&lt;/date&gt;&lt;/pub-dates&gt;&lt;/dates&gt;&lt;isbn&gt;0010-3624&lt;/isbn&gt;&lt;accession-num&gt;WOS:000444493900002&lt;/accession-num&gt;&lt;work-type&gt;Article&lt;/work-type&gt;&lt;urls&gt;&lt;related-urls&gt;&lt;url&gt;&amp;lt;Go to ISI&amp;gt;://WOS:000444493900002&lt;/url&gt;&lt;/related-urls&gt;&lt;/urls&gt;&lt;electronic-resource-num&gt;10.1080/00103624.2018.1495732&lt;/electronic-resource-num&gt;&lt;/record&gt;&lt;/Cite&gt;&lt;/EndNote&gt;</w:instrText>
      </w:r>
      <w:r>
        <w:rPr>
          <w:rFonts w:hint="eastAsia" w:ascii="Times New Roman" w:hAnsi="Times New Roman" w:cs="Times New Roman"/>
          <w:lang w:val="en-US" w:eastAsia="zh-CN"/>
        </w:rPr>
        <w:fldChar w:fldCharType="separate"/>
      </w:r>
      <w:r>
        <w:rPr>
          <w:rFonts w:hint="eastAsia" w:ascii="Times New Roman" w:hAnsi="Times New Roman" w:cs="Times New Roman" w:eastAsiaTheme="minorEastAsia"/>
          <w:kern w:val="2"/>
          <w:sz w:val="21"/>
          <w:szCs w:val="24"/>
          <w:lang w:val="en-US" w:eastAsia="zh-CN" w:bidi="ar-SA"/>
        </w:rPr>
        <w:t>(Benbi, 2018)</w:t>
      </w:r>
      <w:r>
        <w:rPr>
          <w:rFonts w:hint="eastAsia" w:ascii="Times New Roman" w:hAnsi="Times New Roman" w:cs="Times New Roman"/>
          <w:lang w:val="en-US" w:eastAsia="zh-CN"/>
        </w:rPr>
        <w:fldChar w:fldCharType="end"/>
      </w:r>
      <w:r>
        <w:rPr>
          <w:rFonts w:hint="eastAsia" w:ascii="Times New Roman" w:hAnsi="Times New Roman" w:cs="Times New Roman"/>
          <w:lang w:val="en-US" w:eastAsia="zh-CN"/>
        </w:rPr>
        <w:t xml:space="preserve">. Soil total nitrogen was determined by Kjeldahl method. Soil nitrate nitrogen and ammonia nitrogen were measured by flow analyzer </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EN.CITE &lt;EndNote&gt;&lt;Cite&gt;&lt;Author&gt;Bunch&lt;/Author&gt;&lt;Year&gt;2012&lt;/Year&gt;&lt;RecNum&gt;114&lt;/RecNum&gt;&lt;DisplayText&gt;(Bunch and Bernot, 2012)&lt;/DisplayText&gt;&lt;record&gt;&lt;rec-number&gt;114&lt;/rec-number&gt;&lt;foreign-keys&gt;&lt;key app="EN" db-id="ttrzteatnzd905e2296xpzepx0tw2d20w9ez" timestamp="1727877739"&gt;114&lt;/key&gt;&lt;/foreign-keys&gt;&lt;ref-type name="Journal Article"&gt;17&lt;/ref-type&gt;&lt;contributors&gt;&lt;authors&gt;&lt;author&gt;Bunch, Nathan D.&lt;/author&gt;&lt;author&gt;Bernot, Melody J.&lt;/author&gt;&lt;/authors&gt;&lt;/contributors&gt;&lt;titles&gt;&lt;title&gt;Nitrate and ammonium uptake by natural stream sediment microbial communities in response to nutrient enrichment&lt;/title&gt;&lt;secondary-title&gt;Research in Microbiology&lt;/secondary-title&gt;&lt;/titles&gt;&lt;periodical&gt;&lt;full-title&gt;Research in Microbiology&lt;/full-title&gt;&lt;/periodical&gt;&lt;pages&gt;137-141&lt;/pages&gt;&lt;volume&gt;163&lt;/volume&gt;&lt;number&gt;2&lt;/number&gt;&lt;dates&gt;&lt;year&gt;2012&lt;/year&gt;&lt;pub-dates&gt;&lt;date&gt;Feb-Mar&lt;/date&gt;&lt;/pub-dates&gt;&lt;/dates&gt;&lt;isbn&gt;0923-2508&lt;/isbn&gt;&lt;accession-num&gt;WOS:000302446200009&lt;/accession-num&gt;&lt;work-type&gt;Article&lt;/work-type&gt;&lt;urls&gt;&lt;related-urls&gt;&lt;url&gt;&amp;lt;Go to ISI&amp;gt;://WOS:000302446200009&lt;/url&gt;&lt;/related-urls&gt;&lt;/urls&gt;&lt;electronic-resource-num&gt;10.1016/j.resmic.2011.11.004&lt;/electronic-resource-num&gt;&lt;/record&gt;&lt;/Cite&gt;&lt;/EndNote&gt;</w:instrText>
      </w:r>
      <w:r>
        <w:rPr>
          <w:rFonts w:hint="eastAsia" w:ascii="Times New Roman" w:hAnsi="Times New Roman" w:cs="Times New Roman"/>
          <w:lang w:val="en-US" w:eastAsia="zh-CN"/>
        </w:rPr>
        <w:fldChar w:fldCharType="separate"/>
      </w:r>
      <w:r>
        <w:rPr>
          <w:rFonts w:hint="eastAsia" w:ascii="Times New Roman" w:hAnsi="Times New Roman" w:cs="Times New Roman" w:eastAsiaTheme="minorEastAsia"/>
          <w:kern w:val="2"/>
          <w:sz w:val="21"/>
          <w:szCs w:val="24"/>
          <w:lang w:val="en-US" w:eastAsia="zh-CN" w:bidi="ar-SA"/>
        </w:rPr>
        <w:t>(Bunch and Bernot, 2012)</w:t>
      </w:r>
      <w:r>
        <w:rPr>
          <w:rFonts w:hint="eastAsia" w:ascii="Times New Roman" w:hAnsi="Times New Roman" w:cs="Times New Roman"/>
          <w:lang w:val="en-US" w:eastAsia="zh-CN"/>
        </w:rPr>
        <w:fldChar w:fldCharType="end"/>
      </w:r>
      <w:r>
        <w:rPr>
          <w:rFonts w:hint="eastAsia" w:ascii="Times New Roman" w:hAnsi="Times New Roman" w:cs="Times New Roman"/>
          <w:lang w:val="en-US" w:eastAsia="zh-CN"/>
        </w:rPr>
        <w:t>.</w:t>
      </w:r>
    </w:p>
    <w:p w14:paraId="05B075B5">
      <w:pPr>
        <w:rPr>
          <w:rFonts w:hint="default" w:ascii="Times New Roman" w:hAnsi="Times New Roman" w:cs="Times New Roman"/>
          <w:lang w:val="en-US" w:eastAsia="zh-CN"/>
        </w:rPr>
      </w:pPr>
    </w:p>
    <w:p w14:paraId="0794DFA0">
      <w:pPr>
        <w:rPr>
          <w:rFonts w:hint="default" w:ascii="Times New Roman" w:hAnsi="Times New Roman" w:cs="Times New Roman"/>
          <w:lang w:val="en-US" w:eastAsia="zh-CN"/>
        </w:rPr>
      </w:pPr>
    </w:p>
    <w:p w14:paraId="5724904E">
      <w:pPr>
        <w:pStyle w:val="7"/>
        <w:bidi w:val="0"/>
        <w:ind w:left="720" w:hanging="72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ADDIN EN.REFLIST </w:instrText>
      </w:r>
      <w:r>
        <w:rPr>
          <w:rFonts w:hint="default" w:ascii="Times New Roman" w:hAnsi="Times New Roman" w:cs="Times New Roman"/>
          <w:lang w:val="en-US" w:eastAsia="zh-CN"/>
        </w:rPr>
        <w:fldChar w:fldCharType="separate"/>
      </w:r>
      <w:r>
        <w:rPr>
          <w:rFonts w:hint="default" w:ascii="Times New Roman" w:hAnsi="Times New Roman" w:cs="Times New Roman" w:eastAsiaTheme="minorEastAsia"/>
          <w:kern w:val="2"/>
          <w:sz w:val="20"/>
          <w:szCs w:val="24"/>
          <w:lang w:val="en-US" w:eastAsia="zh-CN" w:bidi="ar-SA"/>
        </w:rPr>
        <w:t>Benbi, D. K. (2018). Evaluation of a rapid microwave digestion method for determination of total organic carbon in soil. Communications in Soil Science and Plant Analysis</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49: 2103-2112</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w:t>
      </w:r>
      <w:r>
        <w:rPr>
          <w:rFonts w:hint="default" w:ascii="Times New Roman" w:hAnsi="Times New Roman" w:cs="Times New Roman" w:eastAsiaTheme="minorEastAsia"/>
          <w:kern w:val="2"/>
          <w:sz w:val="20"/>
          <w:szCs w:val="24"/>
          <w:lang w:val="en-US" w:eastAsia="zh-CN" w:bidi="ar-SA"/>
        </w:rPr>
        <w:fldChar w:fldCharType="begin"/>
      </w:r>
      <w:r>
        <w:rPr>
          <w:rFonts w:hint="default" w:ascii="Times New Roman" w:hAnsi="Times New Roman" w:cs="Times New Roman" w:eastAsiaTheme="minorEastAsia"/>
          <w:kern w:val="2"/>
          <w:sz w:val="20"/>
          <w:szCs w:val="24"/>
          <w:lang w:val="en-US" w:eastAsia="zh-CN" w:bidi="ar-SA"/>
        </w:rPr>
        <w:instrText xml:space="preserve"> HYPERLINK "http://10.1080/00103624.2018.1495732" </w:instrText>
      </w:r>
      <w:r>
        <w:rPr>
          <w:rFonts w:hint="default" w:ascii="Times New Roman" w:hAnsi="Times New Roman" w:cs="Times New Roman" w:eastAsiaTheme="minorEastAsia"/>
          <w:kern w:val="2"/>
          <w:sz w:val="20"/>
          <w:szCs w:val="24"/>
          <w:lang w:val="en-US" w:eastAsia="zh-CN" w:bidi="ar-SA"/>
        </w:rPr>
        <w:fldChar w:fldCharType="separate"/>
      </w:r>
      <w:r>
        <w:rPr>
          <w:rStyle w:val="5"/>
          <w:rFonts w:hint="default" w:ascii="Times New Roman" w:hAnsi="Times New Roman" w:cs="Times New Roman" w:eastAsiaTheme="minorEastAsia"/>
          <w:kern w:val="2"/>
          <w:sz w:val="20"/>
          <w:szCs w:val="24"/>
          <w:lang w:val="en-US" w:eastAsia="zh-CN" w:bidi="ar-SA"/>
        </w:rPr>
        <w:t>http://10.1080/00103624.2018.1495732</w:t>
      </w:r>
      <w:r>
        <w:rPr>
          <w:rFonts w:hint="default" w:ascii="Times New Roman" w:hAnsi="Times New Roman" w:cs="Times New Roman" w:eastAsiaTheme="minorEastAsia"/>
          <w:kern w:val="2"/>
          <w:sz w:val="20"/>
          <w:szCs w:val="24"/>
          <w:lang w:val="en-US" w:eastAsia="zh-CN" w:bidi="ar-SA"/>
        </w:rPr>
        <w:fldChar w:fldCharType="end"/>
      </w:r>
      <w:r>
        <w:rPr>
          <w:rFonts w:hint="default" w:ascii="Times New Roman" w:hAnsi="Times New Roman" w:cs="Times New Roman" w:eastAsiaTheme="minorEastAsia"/>
          <w:kern w:val="2"/>
          <w:sz w:val="20"/>
          <w:szCs w:val="24"/>
          <w:lang w:val="en-US" w:eastAsia="zh-CN" w:bidi="ar-SA"/>
        </w:rPr>
        <w:t>.</w:t>
      </w:r>
    </w:p>
    <w:p w14:paraId="14D05CED">
      <w:pPr>
        <w:pStyle w:val="7"/>
        <w:bidi w:val="0"/>
        <w:ind w:left="720" w:hanging="72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Bunch, N. D., Bernot M. J. (2012). Nitrate and ammonium uptake by natural stream sediment microbial communities in response to nutrient enrichment. Research in Microbiology</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163: 137-141</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w:t>
      </w:r>
      <w:r>
        <w:rPr>
          <w:rFonts w:hint="default" w:ascii="Times New Roman" w:hAnsi="Times New Roman" w:cs="Times New Roman" w:eastAsiaTheme="minorEastAsia"/>
          <w:kern w:val="2"/>
          <w:sz w:val="20"/>
          <w:szCs w:val="24"/>
          <w:lang w:val="en-US" w:eastAsia="zh-CN" w:bidi="ar-SA"/>
        </w:rPr>
        <w:fldChar w:fldCharType="begin"/>
      </w:r>
      <w:r>
        <w:rPr>
          <w:rFonts w:hint="default" w:ascii="Times New Roman" w:hAnsi="Times New Roman" w:cs="Times New Roman" w:eastAsiaTheme="minorEastAsia"/>
          <w:kern w:val="2"/>
          <w:sz w:val="20"/>
          <w:szCs w:val="24"/>
          <w:lang w:val="en-US" w:eastAsia="zh-CN" w:bidi="ar-SA"/>
        </w:rPr>
        <w:instrText xml:space="preserve"> HYPERLINK "http://10.1016/j.resmic.2011.11.004" </w:instrText>
      </w:r>
      <w:r>
        <w:rPr>
          <w:rFonts w:hint="default" w:ascii="Times New Roman" w:hAnsi="Times New Roman" w:cs="Times New Roman" w:eastAsiaTheme="minorEastAsia"/>
          <w:kern w:val="2"/>
          <w:sz w:val="20"/>
          <w:szCs w:val="24"/>
          <w:lang w:val="en-US" w:eastAsia="zh-CN" w:bidi="ar-SA"/>
        </w:rPr>
        <w:fldChar w:fldCharType="separate"/>
      </w:r>
      <w:r>
        <w:rPr>
          <w:rStyle w:val="5"/>
          <w:rFonts w:hint="default" w:ascii="Times New Roman" w:hAnsi="Times New Roman" w:cs="Times New Roman" w:eastAsiaTheme="minorEastAsia"/>
          <w:kern w:val="2"/>
          <w:sz w:val="20"/>
          <w:szCs w:val="24"/>
          <w:lang w:val="en-US" w:eastAsia="zh-CN" w:bidi="ar-SA"/>
        </w:rPr>
        <w:t>http://10.1016/j.resmic.2011.11.004</w:t>
      </w:r>
      <w:r>
        <w:rPr>
          <w:rFonts w:hint="default" w:ascii="Times New Roman" w:hAnsi="Times New Roman" w:cs="Times New Roman" w:eastAsiaTheme="minorEastAsia"/>
          <w:kern w:val="2"/>
          <w:sz w:val="20"/>
          <w:szCs w:val="24"/>
          <w:lang w:val="en-US" w:eastAsia="zh-CN" w:bidi="ar-SA"/>
        </w:rPr>
        <w:fldChar w:fldCharType="end"/>
      </w:r>
      <w:r>
        <w:rPr>
          <w:rFonts w:hint="default" w:ascii="Times New Roman" w:hAnsi="Times New Roman" w:cs="Times New Roman" w:eastAsiaTheme="minorEastAsia"/>
          <w:kern w:val="2"/>
          <w:sz w:val="20"/>
          <w:szCs w:val="24"/>
          <w:lang w:val="en-US" w:eastAsia="zh-CN" w:bidi="ar-SA"/>
        </w:rPr>
        <w:t>.</w:t>
      </w:r>
    </w:p>
    <w:p w14:paraId="2DAEB4F9">
      <w:pPr>
        <w:pStyle w:val="7"/>
        <w:bidi w:val="0"/>
        <w:ind w:left="720" w:hanging="720"/>
        <w:rPr>
          <w:rFonts w:hint="default" w:ascii="Times New Roman" w:hAnsi="Times New Roman" w:cs="Times New Roman" w:eastAsiaTheme="minorEastAsia"/>
          <w:kern w:val="2"/>
          <w:sz w:val="20"/>
          <w:szCs w:val="24"/>
          <w:lang w:val="en-US" w:eastAsia="zh-CN" w:bidi="ar-SA"/>
        </w:rPr>
      </w:pPr>
      <w:r>
        <w:rPr>
          <w:rFonts w:hint="default" w:ascii="Times New Roman" w:hAnsi="Times New Roman" w:cs="Times New Roman" w:eastAsiaTheme="minorEastAsia"/>
          <w:kern w:val="2"/>
          <w:sz w:val="20"/>
          <w:szCs w:val="24"/>
          <w:lang w:val="en-US" w:eastAsia="zh-CN" w:bidi="ar-SA"/>
        </w:rPr>
        <w:t>Wang, A., Zhang Y., Wang G., Zhang Z. (2024). Soil physicochemical properties and microorganisms jointly regulate the variations of soil carbon and nitrogen cycles along vegetation restoration on the Loess Plateau, China. Plant and Soil</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494: 413-436</w:t>
      </w:r>
      <w:r>
        <w:rPr>
          <w:rFonts w:ascii="Calibri" w:hAnsi="Calibri" w:cs="Calibri" w:eastAsiaTheme="minorEastAsia"/>
          <w:kern w:val="2"/>
          <w:sz w:val="20"/>
          <w:szCs w:val="24"/>
          <w:lang w:val="en-US" w:eastAsia="zh-CN" w:bidi="ar-SA"/>
        </w:rPr>
        <w:t>.</w:t>
      </w:r>
      <w:r>
        <w:rPr>
          <w:rFonts w:hint="default" w:ascii="Times New Roman" w:hAnsi="Times New Roman" w:cs="Times New Roman" w:eastAsiaTheme="minorEastAsia"/>
          <w:kern w:val="2"/>
          <w:sz w:val="20"/>
          <w:szCs w:val="24"/>
          <w:lang w:val="en-US" w:eastAsia="zh-CN" w:bidi="ar-SA"/>
        </w:rPr>
        <w:t xml:space="preserve"> </w:t>
      </w:r>
      <w:r>
        <w:rPr>
          <w:rFonts w:hint="default" w:ascii="Times New Roman" w:hAnsi="Times New Roman" w:cs="Times New Roman" w:eastAsiaTheme="minorEastAsia"/>
          <w:kern w:val="2"/>
          <w:sz w:val="20"/>
          <w:szCs w:val="24"/>
          <w:lang w:val="en-US" w:eastAsia="zh-CN" w:bidi="ar-SA"/>
        </w:rPr>
        <w:fldChar w:fldCharType="begin"/>
      </w:r>
      <w:r>
        <w:rPr>
          <w:rFonts w:hint="default" w:ascii="Times New Roman" w:hAnsi="Times New Roman" w:cs="Times New Roman" w:eastAsiaTheme="minorEastAsia"/>
          <w:kern w:val="2"/>
          <w:sz w:val="20"/>
          <w:szCs w:val="24"/>
          <w:lang w:val="en-US" w:eastAsia="zh-CN" w:bidi="ar-SA"/>
        </w:rPr>
        <w:instrText xml:space="preserve"> HYPERLINK "http://10.1007/s11104-023-06290-2" </w:instrText>
      </w:r>
      <w:r>
        <w:rPr>
          <w:rFonts w:hint="default" w:ascii="Times New Roman" w:hAnsi="Times New Roman" w:cs="Times New Roman" w:eastAsiaTheme="minorEastAsia"/>
          <w:kern w:val="2"/>
          <w:sz w:val="20"/>
          <w:szCs w:val="24"/>
          <w:lang w:val="en-US" w:eastAsia="zh-CN" w:bidi="ar-SA"/>
        </w:rPr>
        <w:fldChar w:fldCharType="separate"/>
      </w:r>
      <w:r>
        <w:rPr>
          <w:rStyle w:val="5"/>
          <w:rFonts w:hint="default" w:ascii="Times New Roman" w:hAnsi="Times New Roman" w:cs="Times New Roman" w:eastAsiaTheme="minorEastAsia"/>
          <w:kern w:val="2"/>
          <w:sz w:val="20"/>
          <w:szCs w:val="24"/>
          <w:lang w:val="en-US" w:eastAsia="zh-CN" w:bidi="ar-SA"/>
        </w:rPr>
        <w:t>http://10.1007/s11104-023-06290-2</w:t>
      </w:r>
      <w:r>
        <w:rPr>
          <w:rFonts w:hint="default" w:ascii="Times New Roman" w:hAnsi="Times New Roman" w:cs="Times New Roman" w:eastAsiaTheme="minorEastAsia"/>
          <w:kern w:val="2"/>
          <w:sz w:val="20"/>
          <w:szCs w:val="24"/>
          <w:lang w:val="en-US" w:eastAsia="zh-CN" w:bidi="ar-SA"/>
        </w:rPr>
        <w:fldChar w:fldCharType="end"/>
      </w:r>
      <w:r>
        <w:rPr>
          <w:rFonts w:hint="default" w:ascii="Times New Roman" w:hAnsi="Times New Roman" w:cs="Times New Roman" w:eastAsiaTheme="minorEastAsia"/>
          <w:kern w:val="2"/>
          <w:sz w:val="20"/>
          <w:szCs w:val="24"/>
          <w:lang w:val="en-US" w:eastAsia="zh-CN" w:bidi="ar-SA"/>
        </w:rPr>
        <w:t>.</w:t>
      </w:r>
    </w:p>
    <w:p w14:paraId="0D133852">
      <w:pPr>
        <w:pStyle w:val="7"/>
        <w:bidi w:val="0"/>
        <w:rPr>
          <w:rFonts w:hint="default" w:ascii="Times New Roman" w:hAnsi="Times New Roman" w:cs="Times New Roman"/>
          <w:lang w:val="en-US" w:eastAsia="zh-CN"/>
        </w:rPr>
      </w:pPr>
      <w:r>
        <w:rPr>
          <w:rFonts w:hint="default" w:ascii="Times New Roman" w:hAnsi="Times New Roman" w:cs="Times New Roman"/>
          <w:lang w:val="en-US" w:eastAsia="zh-CN"/>
        </w:rPr>
        <w:fldChar w:fldCharType="end"/>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 w:name="EN.InstantFormat" w:val="&lt;ENInstantFormat&gt;&lt;Enabled&gt;1&lt;/Enabled&gt;&lt;ScanUnformatted&gt;1&lt;/ScanUnformatted&gt;&lt;ScanChanges&gt;1&lt;/ScanChanges&gt;&lt;Suspended&gt;1&lt;/Suspended&gt;&lt;/ENInstantFormat&gt;"/>
    <w:docVar w:name="EN.Layout" w:val="&lt;ENLayout&gt;&lt;Style&gt;Science of the Total Environment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rzteatnzd905e2296xpzepx0tw2d20w9ez&quot;&gt;paper3&lt;record-ids&gt;&lt;item&gt;112&lt;/item&gt;&lt;item&gt;114&lt;/item&gt;&lt;item&gt;115&lt;/item&gt;&lt;/record-ids&gt;&lt;/item&gt;&lt;/Libraries&gt;"/>
  </w:docVars>
  <w:rsids>
    <w:rsidRoot w:val="52713F69"/>
    <w:rsid w:val="0A8F288C"/>
    <w:rsid w:val="14F518EA"/>
    <w:rsid w:val="1B881D99"/>
    <w:rsid w:val="2BAA3819"/>
    <w:rsid w:val="3A9A11EA"/>
    <w:rsid w:val="45BA4C71"/>
    <w:rsid w:val="51BE11A2"/>
    <w:rsid w:val="52713F69"/>
    <w:rsid w:val="66882EA5"/>
    <w:rsid w:val="68CA2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0000FF"/>
      <w:u w:val="single"/>
    </w:rPr>
  </w:style>
  <w:style w:type="paragraph" w:customStyle="1" w:styleId="6">
    <w:name w:val="EndNote Bibliography Title"/>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cs="Calibri" w:eastAsiaTheme="minorEastAsia"/>
      <w:kern w:val="2"/>
      <w:sz w:val="20"/>
      <w:szCs w:val="24"/>
      <w:lang w:val="en-US" w:eastAsia="zh-CN" w:bidi="ar-SA"/>
    </w:rPr>
  </w:style>
  <w:style w:type="paragraph" w:customStyle="1" w:styleId="7">
    <w:name w:val="EndNote Bibliography"/>
    <w:qFormat/>
    <w:uiPriority w:val="0"/>
    <w:pPr>
      <w:pBdr>
        <w:top w:val="none" w:color="auto" w:sz="0" w:space="0"/>
        <w:left w:val="none" w:color="auto" w:sz="0" w:space="0"/>
        <w:bottom w:val="none" w:color="auto" w:sz="0" w:space="0"/>
        <w:right w:val="none" w:color="auto" w:sz="0" w:space="0"/>
        <w:between w:val="none" w:color="auto" w:sz="0" w:space="0"/>
      </w:pBdr>
      <w:jc w:val="both"/>
    </w:pPr>
    <w:rPr>
      <w:rFonts w:ascii="Calibri" w:hAnsi="Calibri" w:cs="Calibri" w:eastAsiaTheme="minorEastAsia"/>
      <w:kern w:val="2"/>
      <w:sz w:val="20"/>
      <w:szCs w:val="24"/>
      <w:lang w:val="en-US" w:eastAsia="zh-CN" w:bidi="ar-SA"/>
    </w:rPr>
  </w:style>
  <w:style w:type="character" w:customStyle="1" w:styleId="8">
    <w:name w:val="font11"/>
    <w:basedOn w:val="4"/>
    <w:uiPriority w:val="0"/>
    <w:rPr>
      <w:rFonts w:hint="default" w:ascii="Times New Roman" w:hAnsi="Times New Roman" w:cs="Times New Roman"/>
      <w:color w:val="000000"/>
      <w:sz w:val="22"/>
      <w:szCs w:val="22"/>
      <w:u w:val="none"/>
    </w:rPr>
  </w:style>
  <w:style w:type="character" w:customStyle="1" w:styleId="9">
    <w:name w:val="font01"/>
    <w:basedOn w:val="4"/>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124</Words>
  <Characters>729</Characters>
  <Lines>0</Lines>
  <Paragraphs>0</Paragraphs>
  <TotalTime>1</TotalTime>
  <ScaleCrop>false</ScaleCrop>
  <LinksUpToDate>false</LinksUpToDate>
  <CharactersWithSpaces>846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2024-09-14T08:18:00Z</dcterms:created>
  <dc:creator>apple</dc:creator>
  <cp:lastModifiedBy>amber</cp:lastModifiedBy>
  <dcterms:modified xsi:type="dcterms:W3CDTF">2024-11-27T03:47:22Z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5C2F86BE3F354BD6A7637BC880E72D1F_11</vt:lpwstr>
  </property>
</Properties>
</file>