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49BD05C" w:rsidR="00EA3D3C" w:rsidRDefault="00654E8F" w:rsidP="0001436A">
      <w:pPr>
        <w:pStyle w:val="Heading1"/>
      </w:pPr>
      <w:r w:rsidRPr="00994A3D">
        <w:t xml:space="preserve">Supplementary </w:t>
      </w:r>
      <w:r w:rsidR="006F682F">
        <w:t xml:space="preserve">Tables </w:t>
      </w:r>
    </w:p>
    <w:p w14:paraId="3118696D" w14:textId="1D1E7CD5" w:rsidR="006F682F" w:rsidRDefault="00293174" w:rsidP="006F682F">
      <w:r w:rsidRPr="0055154A">
        <w:rPr>
          <w:b/>
          <w:bCs/>
        </w:rPr>
        <w:t>Supplementary Table 1.</w:t>
      </w:r>
      <w:r w:rsidRPr="00293174">
        <w:t xml:space="preserve"> Standardized exercise test (SET) protocol to determine the velocity corresponding to the lactate threshold (VLT) in horses (n=8).</w:t>
      </w:r>
    </w:p>
    <w:tbl>
      <w:tblPr>
        <w:tblStyle w:val="SombreamentoClaro1"/>
        <w:tblW w:w="8503" w:type="dxa"/>
        <w:tblLayout w:type="fixed"/>
        <w:tblLook w:val="04A0" w:firstRow="1" w:lastRow="0" w:firstColumn="1" w:lastColumn="0" w:noHBand="0" w:noVBand="1"/>
      </w:tblPr>
      <w:tblGrid>
        <w:gridCol w:w="2551"/>
        <w:gridCol w:w="1984"/>
        <w:gridCol w:w="1984"/>
        <w:gridCol w:w="1984"/>
      </w:tblGrid>
      <w:tr w:rsidR="0055154A" w:rsidRPr="0055154A" w14:paraId="3E49E6A7" w14:textId="77777777" w:rsidTr="00977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82B61CF" w14:textId="77777777" w:rsidR="0055154A" w:rsidRPr="0055154A" w:rsidRDefault="0055154A" w:rsidP="0055154A">
            <w:pPr>
              <w:spacing w:before="0" w:after="160" w:line="259" w:lineRule="auto"/>
              <w:ind w:right="-383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Steps</w:t>
            </w:r>
          </w:p>
        </w:tc>
        <w:tc>
          <w:tcPr>
            <w:tcW w:w="1984" w:type="dxa"/>
          </w:tcPr>
          <w:p w14:paraId="735403FC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Time (min)</w:t>
            </w:r>
          </w:p>
        </w:tc>
        <w:tc>
          <w:tcPr>
            <w:tcW w:w="1984" w:type="dxa"/>
          </w:tcPr>
          <w:p w14:paraId="7929C6D1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Speed (m/s)</w:t>
            </w:r>
          </w:p>
        </w:tc>
        <w:tc>
          <w:tcPr>
            <w:tcW w:w="1984" w:type="dxa"/>
          </w:tcPr>
          <w:p w14:paraId="52BD2BE6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Inclination (%)</w:t>
            </w:r>
          </w:p>
        </w:tc>
      </w:tr>
      <w:tr w:rsidR="0055154A" w:rsidRPr="0055154A" w14:paraId="1A11B4AD" w14:textId="77777777" w:rsidTr="0097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422752D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Warming-up 1</w:t>
            </w:r>
          </w:p>
        </w:tc>
        <w:tc>
          <w:tcPr>
            <w:tcW w:w="1984" w:type="dxa"/>
          </w:tcPr>
          <w:p w14:paraId="28F61764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1984" w:type="dxa"/>
          </w:tcPr>
          <w:p w14:paraId="03EC1B38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1.5</w:t>
            </w:r>
          </w:p>
        </w:tc>
        <w:tc>
          <w:tcPr>
            <w:tcW w:w="1984" w:type="dxa"/>
          </w:tcPr>
          <w:p w14:paraId="13DCD630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0</w:t>
            </w:r>
          </w:p>
        </w:tc>
      </w:tr>
      <w:tr w:rsidR="0055154A" w:rsidRPr="0055154A" w14:paraId="1F0B9077" w14:textId="77777777" w:rsidTr="0097716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44CFE08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Warming-up 2</w:t>
            </w:r>
          </w:p>
        </w:tc>
        <w:tc>
          <w:tcPr>
            <w:tcW w:w="1984" w:type="dxa"/>
          </w:tcPr>
          <w:p w14:paraId="08BA40B1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6C507A39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2.5</w:t>
            </w:r>
          </w:p>
        </w:tc>
        <w:tc>
          <w:tcPr>
            <w:tcW w:w="1984" w:type="dxa"/>
          </w:tcPr>
          <w:p w14:paraId="666DD830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16FCA146" w14:textId="77777777" w:rsidTr="0097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9B1F5B5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Step 1</w:t>
            </w:r>
          </w:p>
        </w:tc>
        <w:tc>
          <w:tcPr>
            <w:tcW w:w="1984" w:type="dxa"/>
          </w:tcPr>
          <w:p w14:paraId="5B2BD760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3BF267AD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1984" w:type="dxa"/>
          </w:tcPr>
          <w:p w14:paraId="5D801D9B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2C6DB90A" w14:textId="77777777" w:rsidTr="0097716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4C3A55C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Recovery period 1</w:t>
            </w:r>
          </w:p>
        </w:tc>
        <w:tc>
          <w:tcPr>
            <w:tcW w:w="1984" w:type="dxa"/>
          </w:tcPr>
          <w:p w14:paraId="10ABBDB3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2799387F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1.5</w:t>
            </w:r>
          </w:p>
        </w:tc>
        <w:tc>
          <w:tcPr>
            <w:tcW w:w="1984" w:type="dxa"/>
          </w:tcPr>
          <w:p w14:paraId="3C192A04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7808B093" w14:textId="77777777" w:rsidTr="0097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8608975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Step 2</w:t>
            </w:r>
          </w:p>
        </w:tc>
        <w:tc>
          <w:tcPr>
            <w:tcW w:w="1984" w:type="dxa"/>
          </w:tcPr>
          <w:p w14:paraId="7A85F24A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7FAD0833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1984" w:type="dxa"/>
          </w:tcPr>
          <w:p w14:paraId="2C208E88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6929D9B6" w14:textId="77777777" w:rsidTr="0097716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06AE7F3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Recovery period 2</w:t>
            </w:r>
          </w:p>
        </w:tc>
        <w:tc>
          <w:tcPr>
            <w:tcW w:w="1984" w:type="dxa"/>
          </w:tcPr>
          <w:p w14:paraId="20510229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5ECCB12A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1.5</w:t>
            </w:r>
          </w:p>
        </w:tc>
        <w:tc>
          <w:tcPr>
            <w:tcW w:w="1984" w:type="dxa"/>
          </w:tcPr>
          <w:p w14:paraId="6DB58E88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1BB278C2" w14:textId="77777777" w:rsidTr="0097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59200F3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Step 3</w:t>
            </w:r>
          </w:p>
        </w:tc>
        <w:tc>
          <w:tcPr>
            <w:tcW w:w="1984" w:type="dxa"/>
          </w:tcPr>
          <w:p w14:paraId="4D3B17FC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6F13F0BE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6</w:t>
            </w:r>
          </w:p>
        </w:tc>
        <w:tc>
          <w:tcPr>
            <w:tcW w:w="1984" w:type="dxa"/>
          </w:tcPr>
          <w:p w14:paraId="6B078CD3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4B1C0BBD" w14:textId="77777777" w:rsidTr="0097716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8CF78EE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Recovery period 3</w:t>
            </w:r>
          </w:p>
        </w:tc>
        <w:tc>
          <w:tcPr>
            <w:tcW w:w="1984" w:type="dxa"/>
          </w:tcPr>
          <w:p w14:paraId="3A5EFCC1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69135E17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1.5</w:t>
            </w:r>
          </w:p>
        </w:tc>
        <w:tc>
          <w:tcPr>
            <w:tcW w:w="1984" w:type="dxa"/>
          </w:tcPr>
          <w:p w14:paraId="270D7A5D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7CBB9FF6" w14:textId="77777777" w:rsidTr="0097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DFB3638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Step 4</w:t>
            </w:r>
          </w:p>
        </w:tc>
        <w:tc>
          <w:tcPr>
            <w:tcW w:w="1984" w:type="dxa"/>
          </w:tcPr>
          <w:p w14:paraId="795BACAD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4CFC5ABD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7</w:t>
            </w:r>
          </w:p>
        </w:tc>
        <w:tc>
          <w:tcPr>
            <w:tcW w:w="1984" w:type="dxa"/>
          </w:tcPr>
          <w:p w14:paraId="0831E219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2D2A1A5D" w14:textId="77777777" w:rsidTr="0097716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4F49A20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Recovery period 4</w:t>
            </w:r>
          </w:p>
        </w:tc>
        <w:tc>
          <w:tcPr>
            <w:tcW w:w="1984" w:type="dxa"/>
          </w:tcPr>
          <w:p w14:paraId="76C99DE8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2FBBB6C8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1.5</w:t>
            </w:r>
          </w:p>
        </w:tc>
        <w:tc>
          <w:tcPr>
            <w:tcW w:w="1984" w:type="dxa"/>
          </w:tcPr>
          <w:p w14:paraId="4F5FE6E7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7B33A106" w14:textId="77777777" w:rsidTr="0097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43423195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Step 5</w:t>
            </w:r>
          </w:p>
        </w:tc>
        <w:tc>
          <w:tcPr>
            <w:tcW w:w="1984" w:type="dxa"/>
          </w:tcPr>
          <w:p w14:paraId="5D750C20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6E5F1026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8</w:t>
            </w:r>
          </w:p>
        </w:tc>
        <w:tc>
          <w:tcPr>
            <w:tcW w:w="1984" w:type="dxa"/>
          </w:tcPr>
          <w:p w14:paraId="4FFB6A8E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131A5022" w14:textId="77777777" w:rsidTr="0097716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6B56269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Recovery period 5</w:t>
            </w:r>
          </w:p>
        </w:tc>
        <w:tc>
          <w:tcPr>
            <w:tcW w:w="1984" w:type="dxa"/>
          </w:tcPr>
          <w:p w14:paraId="778D1A1A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7B2F4DFB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1.5</w:t>
            </w:r>
          </w:p>
        </w:tc>
        <w:tc>
          <w:tcPr>
            <w:tcW w:w="1984" w:type="dxa"/>
          </w:tcPr>
          <w:p w14:paraId="60CF7DCF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53CEA20C" w14:textId="77777777" w:rsidTr="00977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380EB56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Step 6</w:t>
            </w:r>
          </w:p>
        </w:tc>
        <w:tc>
          <w:tcPr>
            <w:tcW w:w="1984" w:type="dxa"/>
          </w:tcPr>
          <w:p w14:paraId="33D12AEB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984" w:type="dxa"/>
          </w:tcPr>
          <w:p w14:paraId="7A6849C4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9</w:t>
            </w:r>
          </w:p>
        </w:tc>
        <w:tc>
          <w:tcPr>
            <w:tcW w:w="1984" w:type="dxa"/>
          </w:tcPr>
          <w:p w14:paraId="0DE2E096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</w:tr>
      <w:tr w:rsidR="0055154A" w:rsidRPr="0055154A" w14:paraId="65758E99" w14:textId="77777777" w:rsidTr="0097716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92B921B" w14:textId="77777777" w:rsidR="0055154A" w:rsidRPr="0055154A" w:rsidRDefault="0055154A" w:rsidP="0055154A">
            <w:pPr>
              <w:spacing w:before="0" w:after="160" w:line="259" w:lineRule="auto"/>
              <w:jc w:val="center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Cooling-down</w:t>
            </w:r>
          </w:p>
        </w:tc>
        <w:tc>
          <w:tcPr>
            <w:tcW w:w="1984" w:type="dxa"/>
          </w:tcPr>
          <w:p w14:paraId="5790F74A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5</w:t>
            </w:r>
          </w:p>
        </w:tc>
        <w:tc>
          <w:tcPr>
            <w:tcW w:w="1984" w:type="dxa"/>
          </w:tcPr>
          <w:p w14:paraId="6F6BB7C8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Individual*</w:t>
            </w:r>
          </w:p>
        </w:tc>
        <w:tc>
          <w:tcPr>
            <w:tcW w:w="1984" w:type="dxa"/>
          </w:tcPr>
          <w:p w14:paraId="1276750F" w14:textId="77777777" w:rsidR="0055154A" w:rsidRPr="0055154A" w:rsidRDefault="0055154A" w:rsidP="0055154A">
            <w:pPr>
              <w:spacing w:before="0"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ptos"/>
                <w:kern w:val="2"/>
                <w:szCs w:val="24"/>
                <w14:ligatures w14:val="standardContextual"/>
              </w:rPr>
            </w:pPr>
            <w:r w:rsidRPr="0055154A">
              <w:rPr>
                <w:rFonts w:eastAsia="Aptos"/>
                <w:kern w:val="2"/>
                <w:szCs w:val="24"/>
                <w14:ligatures w14:val="standardContextual"/>
              </w:rPr>
              <w:t>0</w:t>
            </w:r>
          </w:p>
        </w:tc>
      </w:tr>
    </w:tbl>
    <w:p w14:paraId="3993102C" w14:textId="3AA128DA" w:rsidR="0055154A" w:rsidRDefault="001B5AD0" w:rsidP="006F682F">
      <w:pPr>
        <w:rPr>
          <w:sz w:val="18"/>
          <w:szCs w:val="16"/>
        </w:rPr>
      </w:pPr>
      <w:r w:rsidRPr="001B5AD0">
        <w:rPr>
          <w:sz w:val="18"/>
          <w:szCs w:val="16"/>
        </w:rPr>
        <w:t>*Speed varied from 1.2 to 1.6 m/s.</w:t>
      </w:r>
    </w:p>
    <w:p w14:paraId="28A8FFEC" w14:textId="77777777" w:rsidR="003E367F" w:rsidRDefault="003E367F" w:rsidP="006F682F">
      <w:pPr>
        <w:rPr>
          <w:sz w:val="18"/>
          <w:szCs w:val="16"/>
        </w:rPr>
      </w:pPr>
    </w:p>
    <w:p w14:paraId="15652F58" w14:textId="13E736EE" w:rsidR="003E367F" w:rsidRDefault="003E367F" w:rsidP="006F682F">
      <w:r w:rsidRPr="003B4494">
        <w:rPr>
          <w:b/>
          <w:bCs/>
        </w:rPr>
        <w:t>Supplementary Table 2.</w:t>
      </w:r>
      <w:r w:rsidRPr="003E367F">
        <w:t xml:space="preserve"> External load of acute intense exercise bout (AIEB) for each of the eight horses submitted to the SET.</w:t>
      </w:r>
    </w:p>
    <w:tbl>
      <w:tblPr>
        <w:tblStyle w:val="Tabelacomgrade1"/>
        <w:tblW w:w="85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72A0B" w:rsidRPr="00A72A0B" w14:paraId="5B52F8E0" w14:textId="77777777" w:rsidTr="00977162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7D20F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Horses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268E8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F75DC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929C7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47B41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93CC9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DD27F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1260E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D1B5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H8</w:t>
            </w:r>
          </w:p>
        </w:tc>
      </w:tr>
      <w:tr w:rsidR="00A72A0B" w:rsidRPr="00A72A0B" w14:paraId="71B6FCAD" w14:textId="77777777" w:rsidTr="00977162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228756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VLT</w:t>
            </w: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  <w:vertAlign w:val="subscript"/>
              </w:rPr>
              <w:t>V</w:t>
            </w: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 xml:space="preserve"> (m/s)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CAEBF8A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4.9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6F6EE0B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A16FED4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5.2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F3AD4E6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7.0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F0632C7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5.4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D6D11D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7.0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2110B1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6.8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E8A10E5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5.9</w:t>
            </w:r>
          </w:p>
        </w:tc>
      </w:tr>
      <w:tr w:rsidR="00A72A0B" w:rsidRPr="00A72A0B" w14:paraId="54227F41" w14:textId="77777777" w:rsidTr="00977162">
        <w:tc>
          <w:tcPr>
            <w:tcW w:w="1701" w:type="dxa"/>
            <w:vAlign w:val="center"/>
          </w:tcPr>
          <w:p w14:paraId="140870BC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VLT</w:t>
            </w: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  <w:vertAlign w:val="subscript"/>
              </w:rPr>
              <w:t xml:space="preserve">BI </w:t>
            </w: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(m/s)</w:t>
            </w:r>
          </w:p>
        </w:tc>
        <w:tc>
          <w:tcPr>
            <w:tcW w:w="850" w:type="dxa"/>
            <w:vAlign w:val="center"/>
          </w:tcPr>
          <w:p w14:paraId="22D9A7C0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5.0</w:t>
            </w:r>
          </w:p>
        </w:tc>
        <w:tc>
          <w:tcPr>
            <w:tcW w:w="850" w:type="dxa"/>
            <w:vAlign w:val="center"/>
          </w:tcPr>
          <w:p w14:paraId="13054738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6.6</w:t>
            </w:r>
          </w:p>
        </w:tc>
        <w:tc>
          <w:tcPr>
            <w:tcW w:w="850" w:type="dxa"/>
            <w:vAlign w:val="center"/>
          </w:tcPr>
          <w:p w14:paraId="4C89FA59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4.8</w:t>
            </w:r>
          </w:p>
        </w:tc>
        <w:tc>
          <w:tcPr>
            <w:tcW w:w="850" w:type="dxa"/>
            <w:vAlign w:val="center"/>
          </w:tcPr>
          <w:p w14:paraId="6455FB5A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7.1</w:t>
            </w:r>
          </w:p>
        </w:tc>
        <w:tc>
          <w:tcPr>
            <w:tcW w:w="850" w:type="dxa"/>
            <w:vAlign w:val="center"/>
          </w:tcPr>
          <w:p w14:paraId="51988F6D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4.8</w:t>
            </w:r>
          </w:p>
        </w:tc>
        <w:tc>
          <w:tcPr>
            <w:tcW w:w="850" w:type="dxa"/>
            <w:vAlign w:val="center"/>
          </w:tcPr>
          <w:p w14:paraId="64C3195E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7.1</w:t>
            </w:r>
          </w:p>
        </w:tc>
        <w:tc>
          <w:tcPr>
            <w:tcW w:w="850" w:type="dxa"/>
            <w:vAlign w:val="center"/>
          </w:tcPr>
          <w:p w14:paraId="2BB12402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b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b/>
                <w:szCs w:val="24"/>
                <w:shd w:val="clear" w:color="auto" w:fill="FFFFFF"/>
              </w:rPr>
              <w:t>7.0</w:t>
            </w:r>
          </w:p>
        </w:tc>
        <w:tc>
          <w:tcPr>
            <w:tcW w:w="850" w:type="dxa"/>
            <w:vAlign w:val="center"/>
          </w:tcPr>
          <w:p w14:paraId="45BF3A0B" w14:textId="77777777" w:rsidR="00A72A0B" w:rsidRPr="00A72A0B" w:rsidRDefault="00A72A0B" w:rsidP="00A72A0B">
            <w:pPr>
              <w:spacing w:before="0" w:after="0"/>
              <w:contextualSpacing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 w:rsidRPr="00A72A0B">
              <w:rPr>
                <w:rFonts w:eastAsia="Calibri" w:cs="Times New Roman"/>
                <w:szCs w:val="24"/>
                <w:shd w:val="clear" w:color="auto" w:fill="FFFFFF"/>
              </w:rPr>
              <w:t>5.1</w:t>
            </w:r>
          </w:p>
        </w:tc>
      </w:tr>
    </w:tbl>
    <w:p w14:paraId="4964DBED" w14:textId="4852D521" w:rsidR="003E367F" w:rsidRDefault="003B4494" w:rsidP="006F682F">
      <w:pPr>
        <w:rPr>
          <w:sz w:val="18"/>
          <w:szCs w:val="16"/>
        </w:rPr>
      </w:pPr>
      <w:r w:rsidRPr="003B4494">
        <w:rPr>
          <w:sz w:val="18"/>
          <w:szCs w:val="16"/>
        </w:rPr>
        <w:t>Velocities corresponding to the lactate threshold were determined using the visual method (VLT</w:t>
      </w:r>
      <w:r w:rsidRPr="003B4494">
        <w:rPr>
          <w:sz w:val="18"/>
          <w:szCs w:val="16"/>
          <w:vertAlign w:val="subscript"/>
        </w:rPr>
        <w:t>V</w:t>
      </w:r>
      <w:r w:rsidRPr="003B4494">
        <w:rPr>
          <w:sz w:val="18"/>
          <w:szCs w:val="16"/>
        </w:rPr>
        <w:t>) and the bi-segmented method (VLT</w:t>
      </w:r>
      <w:r w:rsidRPr="003B4494">
        <w:rPr>
          <w:sz w:val="18"/>
          <w:szCs w:val="16"/>
          <w:vertAlign w:val="subscript"/>
        </w:rPr>
        <w:t>BI</w:t>
      </w:r>
      <w:r w:rsidRPr="003B4494">
        <w:rPr>
          <w:sz w:val="18"/>
          <w:szCs w:val="16"/>
        </w:rPr>
        <w:t>). The velocities utilized during the AIEB are highlighted in bold. H, horses.</w:t>
      </w:r>
    </w:p>
    <w:p w14:paraId="3B5254DB" w14:textId="77777777" w:rsidR="00561469" w:rsidRDefault="00561469" w:rsidP="006F682F">
      <w:pPr>
        <w:rPr>
          <w:sz w:val="18"/>
          <w:szCs w:val="16"/>
        </w:rPr>
      </w:pPr>
    </w:p>
    <w:p w14:paraId="4B949884" w14:textId="5B70DC33" w:rsidR="00561469" w:rsidRPr="008319DE" w:rsidRDefault="007D4540" w:rsidP="006F682F">
      <w:r w:rsidRPr="008319DE">
        <w:rPr>
          <w:b/>
          <w:bCs/>
        </w:rPr>
        <w:lastRenderedPageBreak/>
        <w:t>Supplementary Table 3.</w:t>
      </w:r>
      <w:r w:rsidRPr="008319DE">
        <w:t xml:space="preserve"> Means ± standard deviation of heart rate (HR) and plasma lactate concentration in horses after intense exercise in each experimental block.</w:t>
      </w:r>
    </w:p>
    <w:tbl>
      <w:tblPr>
        <w:tblStyle w:val="Tabelacomgrade2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4"/>
        <w:gridCol w:w="2444"/>
        <w:gridCol w:w="2444"/>
      </w:tblGrid>
      <w:tr w:rsidR="008319DE" w:rsidRPr="008319DE" w14:paraId="0CAEF02D" w14:textId="77777777" w:rsidTr="00977162">
        <w:tc>
          <w:tcPr>
            <w:tcW w:w="1250" w:type="pct"/>
            <w:vMerge w:val="restart"/>
            <w:tcBorders>
              <w:top w:val="single" w:sz="4" w:space="0" w:color="auto"/>
            </w:tcBorders>
            <w:vAlign w:val="center"/>
          </w:tcPr>
          <w:p w14:paraId="2324FC3A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Variables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0A3F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Blocks</w:t>
            </w:r>
          </w:p>
        </w:tc>
      </w:tr>
      <w:tr w:rsidR="008319DE" w:rsidRPr="008319DE" w14:paraId="33F1C666" w14:textId="77777777" w:rsidTr="00977162">
        <w:tc>
          <w:tcPr>
            <w:tcW w:w="1250" w:type="pct"/>
            <w:vMerge/>
            <w:tcBorders>
              <w:bottom w:val="single" w:sz="4" w:space="0" w:color="auto"/>
            </w:tcBorders>
            <w:vAlign w:val="center"/>
          </w:tcPr>
          <w:p w14:paraId="2E40A74B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EC3E3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D9490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91B86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3</w:t>
            </w:r>
          </w:p>
        </w:tc>
      </w:tr>
      <w:tr w:rsidR="008319DE" w:rsidRPr="008319DE" w14:paraId="1762793C" w14:textId="77777777" w:rsidTr="00977162"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D5509B3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Lactate (mM)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2261FF48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8.27±3.95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248B2C2C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7.79±5.29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0A2A649C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6.43±1.03</w:t>
            </w:r>
          </w:p>
        </w:tc>
      </w:tr>
      <w:tr w:rsidR="006A7183" w:rsidRPr="008319DE" w14:paraId="32D9F5DB" w14:textId="77777777" w:rsidTr="00977162">
        <w:tc>
          <w:tcPr>
            <w:tcW w:w="1250" w:type="pct"/>
            <w:vAlign w:val="center"/>
          </w:tcPr>
          <w:p w14:paraId="37D1ADFE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HR (bpm)</w:t>
            </w:r>
          </w:p>
        </w:tc>
        <w:tc>
          <w:tcPr>
            <w:tcW w:w="1250" w:type="pct"/>
            <w:vAlign w:val="center"/>
          </w:tcPr>
          <w:p w14:paraId="020CAFC9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200±11</w:t>
            </w:r>
          </w:p>
        </w:tc>
        <w:tc>
          <w:tcPr>
            <w:tcW w:w="1250" w:type="pct"/>
            <w:vAlign w:val="center"/>
          </w:tcPr>
          <w:p w14:paraId="3BC06293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195±11</w:t>
            </w:r>
          </w:p>
        </w:tc>
        <w:tc>
          <w:tcPr>
            <w:tcW w:w="1250" w:type="pct"/>
            <w:vAlign w:val="center"/>
          </w:tcPr>
          <w:p w14:paraId="5E926FDA" w14:textId="77777777" w:rsidR="006A7183" w:rsidRPr="008319DE" w:rsidRDefault="006A7183" w:rsidP="006A7183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  <w:lang w:eastAsia="x-none"/>
              </w:rPr>
              <w:t>195±10</w:t>
            </w:r>
          </w:p>
        </w:tc>
      </w:tr>
    </w:tbl>
    <w:p w14:paraId="3D6C13C7" w14:textId="77777777" w:rsidR="007D4540" w:rsidRPr="008319DE" w:rsidRDefault="007D4540" w:rsidP="006F682F"/>
    <w:p w14:paraId="5EC0ABFF" w14:textId="57D6844F" w:rsidR="001366D3" w:rsidRPr="008319DE" w:rsidRDefault="001366D3" w:rsidP="006F682F">
      <w:r w:rsidRPr="008319DE">
        <w:rPr>
          <w:b/>
          <w:bCs/>
        </w:rPr>
        <w:t>Supplementary Table 4.</w:t>
      </w:r>
      <w:r w:rsidRPr="008319DE">
        <w:t xml:space="preserve"> Means ± standard deviation of heart rate (bpm) of horses submitted to an acute intense exercise bout (AIEB) </w:t>
      </w:r>
      <w:r w:rsidR="000B64F2" w:rsidRPr="008319DE">
        <w:t>and a 10-minute recovery period on the treadmill (TG), on a whole-body vibration session (WBVG), or the vibrating platform off (SG).</w:t>
      </w:r>
    </w:p>
    <w:tbl>
      <w:tblPr>
        <w:tblStyle w:val="Tabelacomgrade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1658"/>
        <w:gridCol w:w="1682"/>
        <w:gridCol w:w="1701"/>
        <w:gridCol w:w="1756"/>
        <w:gridCol w:w="1731"/>
      </w:tblGrid>
      <w:tr w:rsidR="008319DE" w:rsidRPr="008319DE" w14:paraId="6A2792E6" w14:textId="77777777" w:rsidTr="00977162"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14:paraId="013B624A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Groups</w:t>
            </w:r>
          </w:p>
        </w:tc>
        <w:tc>
          <w:tcPr>
            <w:tcW w:w="436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674B1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Moments</w:t>
            </w:r>
          </w:p>
        </w:tc>
      </w:tr>
      <w:tr w:rsidR="008319DE" w:rsidRPr="008319DE" w14:paraId="696C09D7" w14:textId="77777777" w:rsidTr="002D7F4F"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14:paraId="0B3B7CBE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D29D1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Baseline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9F185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A</w:t>
            </w:r>
          </w:p>
        </w:tc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56CE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BR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5EE5C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AR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0ADF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10min</w:t>
            </w:r>
          </w:p>
        </w:tc>
      </w:tr>
      <w:tr w:rsidR="008319DE" w:rsidRPr="008319DE" w14:paraId="175D1572" w14:textId="77777777" w:rsidTr="002D7F4F">
        <w:tc>
          <w:tcPr>
            <w:tcW w:w="639" w:type="pct"/>
            <w:tcBorders>
              <w:top w:val="single" w:sz="4" w:space="0" w:color="auto"/>
            </w:tcBorders>
            <w:vAlign w:val="center"/>
          </w:tcPr>
          <w:p w14:paraId="70C26E9F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TG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14:paraId="6E1AAAB7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39±4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860" w:type="pct"/>
            <w:tcBorders>
              <w:top w:val="single" w:sz="4" w:space="0" w:color="auto"/>
            </w:tcBorders>
            <w:vAlign w:val="center"/>
          </w:tcPr>
          <w:p w14:paraId="1014307C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197±11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  <w:tc>
          <w:tcPr>
            <w:tcW w:w="870" w:type="pct"/>
            <w:tcBorders>
              <w:top w:val="single" w:sz="4" w:space="0" w:color="auto"/>
            </w:tcBorders>
            <w:vAlign w:val="center"/>
          </w:tcPr>
          <w:p w14:paraId="7194BE37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79±14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c</w:t>
            </w:r>
          </w:p>
        </w:tc>
        <w:tc>
          <w:tcPr>
            <w:tcW w:w="898" w:type="pct"/>
            <w:tcBorders>
              <w:top w:val="single" w:sz="4" w:space="0" w:color="auto"/>
            </w:tcBorders>
            <w:vAlign w:val="center"/>
          </w:tcPr>
          <w:p w14:paraId="72523485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84±11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Ac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14:paraId="56B5CBED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53±16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</w:tr>
      <w:tr w:rsidR="008319DE" w:rsidRPr="008319DE" w14:paraId="166210C9" w14:textId="77777777" w:rsidTr="002D7F4F">
        <w:tc>
          <w:tcPr>
            <w:tcW w:w="639" w:type="pct"/>
            <w:vAlign w:val="center"/>
          </w:tcPr>
          <w:p w14:paraId="690C81CA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WBVG</w:t>
            </w:r>
          </w:p>
        </w:tc>
        <w:tc>
          <w:tcPr>
            <w:tcW w:w="848" w:type="pct"/>
            <w:vAlign w:val="center"/>
          </w:tcPr>
          <w:p w14:paraId="1FDC183F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43±9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860" w:type="pct"/>
            <w:vAlign w:val="center"/>
          </w:tcPr>
          <w:p w14:paraId="599AF802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194±12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  <w:tc>
          <w:tcPr>
            <w:tcW w:w="870" w:type="pct"/>
            <w:vAlign w:val="center"/>
          </w:tcPr>
          <w:p w14:paraId="29295DBD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75±13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c</w:t>
            </w:r>
          </w:p>
        </w:tc>
        <w:tc>
          <w:tcPr>
            <w:tcW w:w="898" w:type="pct"/>
            <w:vAlign w:val="center"/>
          </w:tcPr>
          <w:p w14:paraId="32FDDC8D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59±9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Ba</w:t>
            </w:r>
          </w:p>
        </w:tc>
        <w:tc>
          <w:tcPr>
            <w:tcW w:w="885" w:type="pct"/>
            <w:vAlign w:val="center"/>
          </w:tcPr>
          <w:p w14:paraId="5002CC3D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49±6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</w:tr>
      <w:tr w:rsidR="008319DE" w:rsidRPr="008319DE" w14:paraId="657D19BC" w14:textId="77777777" w:rsidTr="002D7F4F"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4B2AB394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SG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40381653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40±6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42BD34A9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198±10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6F9A0E4F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79±10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c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0423E184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65±12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Bd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14:paraId="6F8F3F52" w14:textId="77777777" w:rsidR="009F1DC1" w:rsidRPr="008319DE" w:rsidRDefault="009F1DC1" w:rsidP="009F1DC1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53±10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ad</w:t>
            </w:r>
          </w:p>
        </w:tc>
      </w:tr>
    </w:tbl>
    <w:p w14:paraId="5F578B94" w14:textId="54361511" w:rsidR="001366D3" w:rsidRPr="008319DE" w:rsidRDefault="002D7F4F" w:rsidP="006F682F">
      <w:pPr>
        <w:rPr>
          <w:sz w:val="18"/>
          <w:szCs w:val="16"/>
        </w:rPr>
      </w:pPr>
      <w:r w:rsidRPr="008319DE">
        <w:rPr>
          <w:sz w:val="18"/>
          <w:szCs w:val="16"/>
        </w:rPr>
        <w:t xml:space="preserve">A, after AIEB. BR, before recovery. AR, after recovery. 10min, 10 min after the end of recovery. Different lowercase letters indicate significant differences in the intragroup comparison at </w:t>
      </w:r>
      <w:r w:rsidRPr="008319DE">
        <w:rPr>
          <w:i/>
          <w:iCs/>
          <w:sz w:val="18"/>
          <w:szCs w:val="16"/>
        </w:rPr>
        <w:t>P</w:t>
      </w:r>
      <w:r w:rsidRPr="008319DE">
        <w:rPr>
          <w:sz w:val="18"/>
          <w:szCs w:val="16"/>
        </w:rPr>
        <w:t xml:space="preserve">&lt;0.05. Different capital letters indicate differences in the intergroup comparison at </w:t>
      </w:r>
      <w:r w:rsidRPr="008319DE">
        <w:rPr>
          <w:i/>
          <w:iCs/>
          <w:sz w:val="18"/>
          <w:szCs w:val="16"/>
        </w:rPr>
        <w:t>P</w:t>
      </w:r>
      <w:r w:rsidRPr="008319DE">
        <w:rPr>
          <w:sz w:val="18"/>
          <w:szCs w:val="16"/>
        </w:rPr>
        <w:t>&lt;0.05.</w:t>
      </w:r>
    </w:p>
    <w:p w14:paraId="740DB383" w14:textId="77777777" w:rsidR="002D7F4F" w:rsidRPr="008319DE" w:rsidRDefault="002D7F4F" w:rsidP="006F682F"/>
    <w:p w14:paraId="15A67326" w14:textId="15EA5A33" w:rsidR="002D7F4F" w:rsidRPr="008319DE" w:rsidRDefault="00F5214F" w:rsidP="006F682F">
      <w:r w:rsidRPr="008319DE">
        <w:rPr>
          <w:b/>
          <w:bCs/>
        </w:rPr>
        <w:t>Supplementary Table 5</w:t>
      </w:r>
      <w:r w:rsidRPr="008319DE">
        <w:t xml:space="preserve">. Means ± standard deviation of rectal temperature (ºC) of horses submitted to an acute intense exercise bout (AIEB) </w:t>
      </w:r>
      <w:r w:rsidR="000B64F2" w:rsidRPr="008319DE">
        <w:t>and a 10-minute recovery period on the treadmill (TG), on a whole-body vibration session (WBVG), or the vibrating platform off (SG).</w:t>
      </w:r>
    </w:p>
    <w:tbl>
      <w:tblPr>
        <w:tblStyle w:val="Tabelacomgrade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4"/>
        <w:gridCol w:w="2444"/>
        <w:gridCol w:w="2444"/>
      </w:tblGrid>
      <w:tr w:rsidR="008319DE" w:rsidRPr="008319DE" w14:paraId="2A6B0F73" w14:textId="77777777" w:rsidTr="00977162">
        <w:tc>
          <w:tcPr>
            <w:tcW w:w="125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D7E1E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Groups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093B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Moments</w:t>
            </w:r>
          </w:p>
        </w:tc>
      </w:tr>
      <w:tr w:rsidR="008319DE" w:rsidRPr="008319DE" w14:paraId="65ACE39C" w14:textId="77777777" w:rsidTr="00977162">
        <w:tc>
          <w:tcPr>
            <w:tcW w:w="125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C81B9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972F7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Baseline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C68FD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4841A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AR</w:t>
            </w:r>
          </w:p>
        </w:tc>
      </w:tr>
      <w:tr w:rsidR="008319DE" w:rsidRPr="008319DE" w14:paraId="202C1E3E" w14:textId="77777777" w:rsidTr="00977162"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34A4D5C7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TG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32AA01AB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37.0±0.44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3F0ED6D0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37.8±0.59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3753AD4C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38.1±0.52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</w:tr>
      <w:tr w:rsidR="008319DE" w:rsidRPr="008319DE" w14:paraId="655E5FBD" w14:textId="77777777" w:rsidTr="00977162">
        <w:tc>
          <w:tcPr>
            <w:tcW w:w="1250" w:type="pct"/>
            <w:vAlign w:val="center"/>
          </w:tcPr>
          <w:p w14:paraId="5790FE00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WBVG</w:t>
            </w:r>
          </w:p>
        </w:tc>
        <w:tc>
          <w:tcPr>
            <w:tcW w:w="1250" w:type="pct"/>
            <w:vAlign w:val="center"/>
          </w:tcPr>
          <w:p w14:paraId="706D18CB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37.0±0.36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1250" w:type="pct"/>
            <w:vAlign w:val="center"/>
          </w:tcPr>
          <w:p w14:paraId="245D18F0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37.8±0.29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  <w:tc>
          <w:tcPr>
            <w:tcW w:w="1250" w:type="pct"/>
            <w:vAlign w:val="center"/>
          </w:tcPr>
          <w:p w14:paraId="229265F6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38.4±0.28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c</w:t>
            </w:r>
          </w:p>
        </w:tc>
      </w:tr>
      <w:tr w:rsidR="008319DE" w:rsidRPr="008319DE" w14:paraId="5E2BD1CB" w14:textId="77777777" w:rsidTr="00977162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08BB989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b/>
                <w:szCs w:val="24"/>
                <w:lang w:eastAsia="x-none"/>
              </w:rPr>
              <w:t>SG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B59C1D8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36.9±0.62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D6E45B8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38.1±0.47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A75A446" w14:textId="77777777" w:rsidR="00D66CA4" w:rsidRPr="008319DE" w:rsidRDefault="00D66CA4" w:rsidP="00D66CA4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  <w:lang w:eastAsia="x-none"/>
              </w:rPr>
            </w:pPr>
            <w:r w:rsidRPr="008319DE">
              <w:rPr>
                <w:rFonts w:eastAsia="Calibri" w:cs="Times New Roman"/>
                <w:szCs w:val="24"/>
              </w:rPr>
              <w:t>38.5±0.22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</w:t>
            </w:r>
          </w:p>
        </w:tc>
      </w:tr>
    </w:tbl>
    <w:p w14:paraId="67C3F9F4" w14:textId="3CD0CD35" w:rsidR="00F5214F" w:rsidRPr="008319DE" w:rsidRDefault="005D4B0F" w:rsidP="006F682F">
      <w:pPr>
        <w:rPr>
          <w:sz w:val="18"/>
          <w:szCs w:val="16"/>
        </w:rPr>
      </w:pPr>
      <w:r w:rsidRPr="008319DE">
        <w:rPr>
          <w:sz w:val="18"/>
          <w:szCs w:val="16"/>
        </w:rPr>
        <w:t xml:space="preserve">A, after AIEB. AR, after recovery. 10min, 10 min after the end of recovery. Different lowercase letters indicate significant differences in the intragroup comparison at </w:t>
      </w:r>
      <w:r w:rsidRPr="008319DE">
        <w:rPr>
          <w:i/>
          <w:iCs/>
          <w:sz w:val="18"/>
          <w:szCs w:val="16"/>
        </w:rPr>
        <w:t>P</w:t>
      </w:r>
      <w:r w:rsidRPr="008319DE">
        <w:rPr>
          <w:sz w:val="18"/>
          <w:szCs w:val="16"/>
        </w:rPr>
        <w:t>&lt;0.05.</w:t>
      </w:r>
    </w:p>
    <w:p w14:paraId="2F4BCFDD" w14:textId="77777777" w:rsidR="00F5214F" w:rsidRPr="008319DE" w:rsidRDefault="00F5214F" w:rsidP="006F682F"/>
    <w:p w14:paraId="1186ED27" w14:textId="77777777" w:rsidR="006117AD" w:rsidRPr="008319DE" w:rsidRDefault="006117AD" w:rsidP="006F682F"/>
    <w:p w14:paraId="43FD5B44" w14:textId="02227B27" w:rsidR="00F5214F" w:rsidRPr="008319DE" w:rsidRDefault="00B56C37" w:rsidP="006F682F">
      <w:r w:rsidRPr="008319DE">
        <w:rPr>
          <w:b/>
          <w:bCs/>
        </w:rPr>
        <w:lastRenderedPageBreak/>
        <w:t>Supplementary Table 6</w:t>
      </w:r>
      <w:r w:rsidRPr="008319DE">
        <w:t xml:space="preserve">. Means ± standard deviation of plasma lactate and glucose of horses submitted to an acute intense exercise bout (AIEB) </w:t>
      </w:r>
      <w:r w:rsidR="000B64F2" w:rsidRPr="008319DE">
        <w:t>and a 10-minute recovery period on the treadmill (TG), on a whole-body vibration session (WBVG), or the vibrating platform off (SG).</w:t>
      </w:r>
    </w:p>
    <w:tbl>
      <w:tblPr>
        <w:tblStyle w:val="Tabelacomgrade5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926"/>
        <w:gridCol w:w="1239"/>
        <w:gridCol w:w="1239"/>
        <w:gridCol w:w="1239"/>
        <w:gridCol w:w="1177"/>
        <w:gridCol w:w="1239"/>
        <w:gridCol w:w="1302"/>
      </w:tblGrid>
      <w:tr w:rsidR="008319DE" w:rsidRPr="008319DE" w14:paraId="35F7EAFA" w14:textId="77777777" w:rsidTr="00977162"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14:paraId="45B23FCB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Variables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vAlign w:val="center"/>
          </w:tcPr>
          <w:p w14:paraId="6246285C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Groups</w:t>
            </w:r>
          </w:p>
        </w:tc>
        <w:tc>
          <w:tcPr>
            <w:tcW w:w="71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7348E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Time points</w:t>
            </w:r>
          </w:p>
        </w:tc>
      </w:tr>
      <w:tr w:rsidR="008319DE" w:rsidRPr="008319DE" w14:paraId="3E6DFB6E" w14:textId="77777777" w:rsidTr="00977162"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02FE45ED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14:paraId="6FCD450D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EE728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Baseline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6B56E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A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3D3E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BR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25CD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AR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BFEBD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10min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88DA0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1h</w:t>
            </w:r>
          </w:p>
        </w:tc>
      </w:tr>
      <w:tr w:rsidR="008319DE" w:rsidRPr="008319DE" w14:paraId="5CCDB5B5" w14:textId="77777777" w:rsidTr="00977162"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14:paraId="1C538FAB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Lactate</w:t>
            </w:r>
          </w:p>
          <w:p w14:paraId="4CBB4B64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(mM)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484824FA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TG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12BF6902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0.49±0,05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ac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542C3191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7.70±4.11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b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3E765839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6.41±4.58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5D2366A9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3.18±3.24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32264713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2.20±2.00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c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center"/>
          </w:tcPr>
          <w:p w14:paraId="01816A0A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0.65±0.18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ac</w:t>
            </w:r>
          </w:p>
        </w:tc>
      </w:tr>
      <w:tr w:rsidR="008319DE" w:rsidRPr="008319DE" w14:paraId="76892062" w14:textId="77777777" w:rsidTr="00977162">
        <w:tc>
          <w:tcPr>
            <w:tcW w:w="1017" w:type="dxa"/>
            <w:vMerge/>
            <w:vAlign w:val="center"/>
          </w:tcPr>
          <w:p w14:paraId="5AC0C3CF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866" w:type="dxa"/>
            <w:vAlign w:val="center"/>
          </w:tcPr>
          <w:p w14:paraId="3024C673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WBVG</w:t>
            </w:r>
          </w:p>
        </w:tc>
        <w:tc>
          <w:tcPr>
            <w:tcW w:w="1192" w:type="dxa"/>
            <w:vAlign w:val="center"/>
          </w:tcPr>
          <w:p w14:paraId="0DDDF2FC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0.49±0.03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93" w:type="dxa"/>
            <w:vAlign w:val="center"/>
          </w:tcPr>
          <w:p w14:paraId="16BF72C9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7.71±3.83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b</w:t>
            </w:r>
          </w:p>
        </w:tc>
        <w:tc>
          <w:tcPr>
            <w:tcW w:w="1193" w:type="dxa"/>
            <w:vAlign w:val="center"/>
          </w:tcPr>
          <w:p w14:paraId="49A33633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6.24±3.51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c</w:t>
            </w:r>
          </w:p>
        </w:tc>
        <w:tc>
          <w:tcPr>
            <w:tcW w:w="1188" w:type="dxa"/>
            <w:vAlign w:val="center"/>
          </w:tcPr>
          <w:p w14:paraId="156330AD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3.82±2.82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93" w:type="dxa"/>
            <w:vAlign w:val="center"/>
          </w:tcPr>
          <w:p w14:paraId="194F10C7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2.64±1.97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209" w:type="dxa"/>
            <w:vAlign w:val="center"/>
          </w:tcPr>
          <w:p w14:paraId="0943510D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0.64±0.17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abc</w:t>
            </w:r>
          </w:p>
        </w:tc>
      </w:tr>
      <w:tr w:rsidR="008319DE" w:rsidRPr="008319DE" w14:paraId="441FEA19" w14:textId="77777777" w:rsidTr="00977162">
        <w:tc>
          <w:tcPr>
            <w:tcW w:w="1017" w:type="dxa"/>
            <w:vMerge/>
            <w:vAlign w:val="center"/>
          </w:tcPr>
          <w:p w14:paraId="05AC4671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866" w:type="dxa"/>
            <w:vAlign w:val="center"/>
          </w:tcPr>
          <w:p w14:paraId="3D1713D3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SG</w:t>
            </w:r>
          </w:p>
        </w:tc>
        <w:tc>
          <w:tcPr>
            <w:tcW w:w="1192" w:type="dxa"/>
            <w:vAlign w:val="center"/>
          </w:tcPr>
          <w:p w14:paraId="39605706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0.52±0.09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93" w:type="dxa"/>
            <w:vAlign w:val="center"/>
          </w:tcPr>
          <w:p w14:paraId="3FF7650F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7.92±5.22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93" w:type="dxa"/>
            <w:vAlign w:val="center"/>
          </w:tcPr>
          <w:p w14:paraId="10ECCF29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6.92±5.85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88" w:type="dxa"/>
            <w:vAlign w:val="center"/>
          </w:tcPr>
          <w:p w14:paraId="67D42225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4.65±5.31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b</w:t>
            </w:r>
          </w:p>
        </w:tc>
        <w:tc>
          <w:tcPr>
            <w:tcW w:w="1193" w:type="dxa"/>
            <w:vAlign w:val="center"/>
          </w:tcPr>
          <w:p w14:paraId="502EE5DE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3.46±4.35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b</w:t>
            </w:r>
          </w:p>
        </w:tc>
        <w:tc>
          <w:tcPr>
            <w:tcW w:w="1209" w:type="dxa"/>
            <w:vAlign w:val="center"/>
          </w:tcPr>
          <w:p w14:paraId="32355C3A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0.77±0.58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</w:tr>
      <w:tr w:rsidR="008319DE" w:rsidRPr="008319DE" w14:paraId="2445A727" w14:textId="77777777" w:rsidTr="00977162">
        <w:tc>
          <w:tcPr>
            <w:tcW w:w="1017" w:type="dxa"/>
            <w:vAlign w:val="center"/>
          </w:tcPr>
          <w:p w14:paraId="1764906F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866" w:type="dxa"/>
            <w:vAlign w:val="center"/>
          </w:tcPr>
          <w:p w14:paraId="0805B384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1192" w:type="dxa"/>
            <w:vAlign w:val="center"/>
          </w:tcPr>
          <w:p w14:paraId="5DC4837A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lang w:eastAsia="x-none"/>
              </w:rPr>
            </w:pPr>
          </w:p>
        </w:tc>
        <w:tc>
          <w:tcPr>
            <w:tcW w:w="1193" w:type="dxa"/>
            <w:vAlign w:val="center"/>
          </w:tcPr>
          <w:p w14:paraId="56F4C5D2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lang w:eastAsia="x-none"/>
              </w:rPr>
            </w:pPr>
          </w:p>
        </w:tc>
        <w:tc>
          <w:tcPr>
            <w:tcW w:w="1193" w:type="dxa"/>
            <w:vAlign w:val="center"/>
          </w:tcPr>
          <w:p w14:paraId="0755F5B7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lang w:eastAsia="x-none"/>
              </w:rPr>
            </w:pPr>
          </w:p>
        </w:tc>
        <w:tc>
          <w:tcPr>
            <w:tcW w:w="1188" w:type="dxa"/>
            <w:vAlign w:val="center"/>
          </w:tcPr>
          <w:p w14:paraId="07C01A97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lang w:eastAsia="x-none"/>
              </w:rPr>
            </w:pPr>
          </w:p>
        </w:tc>
        <w:tc>
          <w:tcPr>
            <w:tcW w:w="1193" w:type="dxa"/>
            <w:vAlign w:val="center"/>
          </w:tcPr>
          <w:p w14:paraId="6FC8D3AA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lang w:eastAsia="x-none"/>
              </w:rPr>
            </w:pPr>
          </w:p>
        </w:tc>
        <w:tc>
          <w:tcPr>
            <w:tcW w:w="1209" w:type="dxa"/>
            <w:vAlign w:val="center"/>
          </w:tcPr>
          <w:p w14:paraId="066D2589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lang w:eastAsia="x-none"/>
              </w:rPr>
            </w:pPr>
          </w:p>
        </w:tc>
      </w:tr>
      <w:tr w:rsidR="008319DE" w:rsidRPr="008319DE" w14:paraId="47C76976" w14:textId="77777777" w:rsidTr="00977162">
        <w:tc>
          <w:tcPr>
            <w:tcW w:w="1017" w:type="dxa"/>
            <w:vMerge w:val="restart"/>
            <w:vAlign w:val="center"/>
          </w:tcPr>
          <w:p w14:paraId="1F2A475B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Glucose</w:t>
            </w:r>
          </w:p>
          <w:p w14:paraId="34002CC6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(mM)</w:t>
            </w:r>
          </w:p>
        </w:tc>
        <w:tc>
          <w:tcPr>
            <w:tcW w:w="866" w:type="dxa"/>
            <w:vAlign w:val="center"/>
          </w:tcPr>
          <w:p w14:paraId="05C2830C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TG</w:t>
            </w:r>
          </w:p>
        </w:tc>
        <w:tc>
          <w:tcPr>
            <w:tcW w:w="1192" w:type="dxa"/>
            <w:vAlign w:val="center"/>
          </w:tcPr>
          <w:p w14:paraId="122A120B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6.16±0.92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93" w:type="dxa"/>
            <w:vAlign w:val="center"/>
          </w:tcPr>
          <w:p w14:paraId="7302E9B0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6.78±1.06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93" w:type="dxa"/>
            <w:vAlign w:val="center"/>
          </w:tcPr>
          <w:p w14:paraId="51CBFFE5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7.11±1.86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88" w:type="dxa"/>
            <w:vAlign w:val="center"/>
          </w:tcPr>
          <w:p w14:paraId="1A24D0E1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7.24±1.39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93" w:type="dxa"/>
            <w:vAlign w:val="center"/>
          </w:tcPr>
          <w:p w14:paraId="116E15AB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6.99±1.33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209" w:type="dxa"/>
            <w:vAlign w:val="center"/>
          </w:tcPr>
          <w:p w14:paraId="4741F100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6.50±1.15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b</w:t>
            </w:r>
          </w:p>
        </w:tc>
      </w:tr>
      <w:tr w:rsidR="008319DE" w:rsidRPr="008319DE" w14:paraId="7215284B" w14:textId="77777777" w:rsidTr="00977162">
        <w:tc>
          <w:tcPr>
            <w:tcW w:w="1017" w:type="dxa"/>
            <w:vMerge/>
            <w:vAlign w:val="center"/>
          </w:tcPr>
          <w:p w14:paraId="4825B340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866" w:type="dxa"/>
            <w:vAlign w:val="center"/>
          </w:tcPr>
          <w:p w14:paraId="695A80DA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WBVG</w:t>
            </w:r>
          </w:p>
        </w:tc>
        <w:tc>
          <w:tcPr>
            <w:tcW w:w="1192" w:type="dxa"/>
            <w:vAlign w:val="center"/>
          </w:tcPr>
          <w:p w14:paraId="500E2CE5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6.03±0.56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93" w:type="dxa"/>
            <w:vAlign w:val="center"/>
          </w:tcPr>
          <w:p w14:paraId="4ADD3724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6.61±0.81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93" w:type="dxa"/>
            <w:vAlign w:val="center"/>
          </w:tcPr>
          <w:p w14:paraId="239933C6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7.62±1.53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88" w:type="dxa"/>
            <w:vAlign w:val="center"/>
          </w:tcPr>
          <w:p w14:paraId="476408A6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7.43±1.51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93" w:type="dxa"/>
            <w:vAlign w:val="center"/>
          </w:tcPr>
          <w:p w14:paraId="63AC9A59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7.41±1.46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209" w:type="dxa"/>
            <w:vAlign w:val="center"/>
          </w:tcPr>
          <w:p w14:paraId="6FAA4490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6.50±1.00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b</w:t>
            </w:r>
          </w:p>
        </w:tc>
      </w:tr>
      <w:tr w:rsidR="008319DE" w:rsidRPr="008319DE" w14:paraId="12783B6D" w14:textId="77777777" w:rsidTr="00977162">
        <w:tc>
          <w:tcPr>
            <w:tcW w:w="1017" w:type="dxa"/>
            <w:vMerge/>
            <w:tcBorders>
              <w:bottom w:val="single" w:sz="4" w:space="0" w:color="auto"/>
            </w:tcBorders>
            <w:vAlign w:val="center"/>
          </w:tcPr>
          <w:p w14:paraId="30B7B950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134CF37A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 w:val="22"/>
                <w:lang w:eastAsia="x-none"/>
              </w:rPr>
            </w:pPr>
            <w:r w:rsidRPr="008319DE">
              <w:rPr>
                <w:rFonts w:eastAsia="Calibri" w:cs="Times New Roman"/>
                <w:b/>
                <w:sz w:val="22"/>
                <w:lang w:eastAsia="x-none"/>
              </w:rPr>
              <w:t>SG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0A2558C1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6.17±0.78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5CA97E3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6.55±1.20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ab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831CD02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7.98±2.07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0992B500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7.63±1.74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C366A5C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7.57±1.71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a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2E9B2F74" w14:textId="77777777" w:rsidR="006117AD" w:rsidRPr="008319DE" w:rsidRDefault="006117AD" w:rsidP="006117AD">
            <w:pPr>
              <w:spacing w:before="0" w:after="0" w:line="360" w:lineRule="auto"/>
              <w:jc w:val="center"/>
              <w:rPr>
                <w:rFonts w:eastAsia="Calibri" w:cs="Times New Roman"/>
                <w:sz w:val="22"/>
                <w:vertAlign w:val="superscript"/>
                <w:lang w:eastAsia="x-none"/>
              </w:rPr>
            </w:pPr>
            <w:r w:rsidRPr="008319DE">
              <w:rPr>
                <w:rFonts w:eastAsia="Calibri" w:cs="Times New Roman"/>
                <w:sz w:val="22"/>
                <w:lang w:eastAsia="x-none"/>
              </w:rPr>
              <w:t>6.44±1.57</w:t>
            </w:r>
            <w:r w:rsidRPr="008319DE">
              <w:rPr>
                <w:rFonts w:eastAsia="Calibri" w:cs="Times New Roman"/>
                <w:sz w:val="22"/>
                <w:vertAlign w:val="superscript"/>
                <w:lang w:eastAsia="x-none"/>
              </w:rPr>
              <w:t>b</w:t>
            </w:r>
          </w:p>
        </w:tc>
      </w:tr>
    </w:tbl>
    <w:p w14:paraId="5C6A30A0" w14:textId="54338F64" w:rsidR="00B56C37" w:rsidRPr="008319DE" w:rsidRDefault="00F74CA5" w:rsidP="006F682F">
      <w:pPr>
        <w:rPr>
          <w:sz w:val="18"/>
          <w:szCs w:val="16"/>
        </w:rPr>
      </w:pPr>
      <w:r w:rsidRPr="008319DE">
        <w:rPr>
          <w:sz w:val="18"/>
          <w:szCs w:val="16"/>
        </w:rPr>
        <w:t xml:space="preserve">A, after AIEB. BR, before recovery. AR, after recovery. 10min, 10 min after the end of recovery. 1h, 1 hour after the end of recovery. Different lowercase letters indicate differences in the intragroup comparison at </w:t>
      </w:r>
      <w:r w:rsidRPr="008319DE">
        <w:rPr>
          <w:i/>
          <w:iCs/>
          <w:sz w:val="18"/>
          <w:szCs w:val="16"/>
        </w:rPr>
        <w:t>P</w:t>
      </w:r>
      <w:r w:rsidRPr="008319DE">
        <w:rPr>
          <w:sz w:val="18"/>
          <w:szCs w:val="16"/>
        </w:rPr>
        <w:t>&lt;0.05.</w:t>
      </w:r>
    </w:p>
    <w:p w14:paraId="4E9AA1F9" w14:textId="77777777" w:rsidR="00F74CA5" w:rsidRPr="008319DE" w:rsidRDefault="00F74CA5" w:rsidP="006F682F"/>
    <w:p w14:paraId="7150D80F" w14:textId="78C5BDAA" w:rsidR="00F74CA5" w:rsidRPr="008319DE" w:rsidRDefault="005326AB" w:rsidP="006F682F">
      <w:r w:rsidRPr="008319DE">
        <w:rPr>
          <w:b/>
          <w:bCs/>
        </w:rPr>
        <w:t>Supplementary Table 7</w:t>
      </w:r>
      <w:r w:rsidRPr="008319DE">
        <w:t xml:space="preserve">. Means ± standard deviation of MCT1 and MCT4 proteins content, in arbitrary units, in the gluteus medius muscle of horses submitted to an acute intense exercise bout (AIEB) </w:t>
      </w:r>
      <w:r w:rsidR="000B64F2" w:rsidRPr="008319DE">
        <w:t>and a 10-minute recovery period on the treadmill (TG), on a whole-body vibration session (WBVG), or the vibrating platform off (SG).</w:t>
      </w:r>
    </w:p>
    <w:tbl>
      <w:tblPr>
        <w:tblStyle w:val="Tabelacomgrade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1232"/>
        <w:gridCol w:w="1551"/>
        <w:gridCol w:w="1601"/>
        <w:gridCol w:w="1549"/>
        <w:gridCol w:w="1599"/>
      </w:tblGrid>
      <w:tr w:rsidR="008319DE" w:rsidRPr="008319DE" w14:paraId="084F0C8C" w14:textId="77777777" w:rsidTr="00977162">
        <w:tc>
          <w:tcPr>
            <w:tcW w:w="972" w:type="dxa"/>
            <w:tcBorders>
              <w:top w:val="single" w:sz="4" w:space="0" w:color="auto"/>
            </w:tcBorders>
          </w:tcPr>
          <w:p w14:paraId="0EB9FADB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</w:tcBorders>
            <w:vAlign w:val="center"/>
          </w:tcPr>
          <w:p w14:paraId="0FD96712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Groups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3EA4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Moments</w:t>
            </w:r>
          </w:p>
        </w:tc>
      </w:tr>
      <w:tr w:rsidR="008319DE" w:rsidRPr="008319DE" w14:paraId="75CB19E1" w14:textId="77777777" w:rsidTr="00977162">
        <w:tc>
          <w:tcPr>
            <w:tcW w:w="972" w:type="dxa"/>
            <w:tcBorders>
              <w:bottom w:val="single" w:sz="4" w:space="0" w:color="auto"/>
            </w:tcBorders>
          </w:tcPr>
          <w:p w14:paraId="5BA1022B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14:paraId="4ADD0503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61251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Baseline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9792E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AR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AA5B0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3h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331D1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6h</w:t>
            </w:r>
          </w:p>
        </w:tc>
      </w:tr>
      <w:tr w:rsidR="008319DE" w:rsidRPr="008319DE" w14:paraId="48E6A48E" w14:textId="77777777" w:rsidTr="00977162">
        <w:tc>
          <w:tcPr>
            <w:tcW w:w="972" w:type="dxa"/>
            <w:vMerge w:val="restart"/>
            <w:tcBorders>
              <w:top w:val="single" w:sz="4" w:space="0" w:color="auto"/>
            </w:tcBorders>
            <w:vAlign w:val="center"/>
          </w:tcPr>
          <w:p w14:paraId="0BACCFCB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MCT1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FAC4661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TG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0F14FAD1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0.067±0.034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14:paraId="32E6D5E7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0.044±0.022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5CA8DEAD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0.038±0.023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557371EE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0.056±0.011</w:t>
            </w:r>
          </w:p>
        </w:tc>
      </w:tr>
      <w:tr w:rsidR="008319DE" w:rsidRPr="008319DE" w14:paraId="51ED74F6" w14:textId="77777777" w:rsidTr="00977162">
        <w:tc>
          <w:tcPr>
            <w:tcW w:w="972" w:type="dxa"/>
            <w:vMerge/>
          </w:tcPr>
          <w:p w14:paraId="5343C768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6A45C93B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WBVG</w:t>
            </w:r>
          </w:p>
        </w:tc>
        <w:tc>
          <w:tcPr>
            <w:tcW w:w="1551" w:type="dxa"/>
            <w:vAlign w:val="center"/>
          </w:tcPr>
          <w:p w14:paraId="1245BE38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0.070±0.036</w:t>
            </w:r>
          </w:p>
        </w:tc>
        <w:tc>
          <w:tcPr>
            <w:tcW w:w="1601" w:type="dxa"/>
            <w:vAlign w:val="center"/>
          </w:tcPr>
          <w:p w14:paraId="189F1F6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0.049±0.026</w:t>
            </w:r>
          </w:p>
        </w:tc>
        <w:tc>
          <w:tcPr>
            <w:tcW w:w="1549" w:type="dxa"/>
            <w:vAlign w:val="center"/>
          </w:tcPr>
          <w:p w14:paraId="2B84303F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0.057±0.028</w:t>
            </w:r>
          </w:p>
        </w:tc>
        <w:tc>
          <w:tcPr>
            <w:tcW w:w="1599" w:type="dxa"/>
            <w:vAlign w:val="center"/>
          </w:tcPr>
          <w:p w14:paraId="093BB077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0.057±0.047</w:t>
            </w:r>
          </w:p>
        </w:tc>
      </w:tr>
      <w:tr w:rsidR="008319DE" w:rsidRPr="008319DE" w14:paraId="091B292D" w14:textId="77777777" w:rsidTr="00977162">
        <w:tc>
          <w:tcPr>
            <w:tcW w:w="972" w:type="dxa"/>
            <w:vMerge/>
          </w:tcPr>
          <w:p w14:paraId="1DACCFE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9B0457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SG</w:t>
            </w:r>
          </w:p>
        </w:tc>
        <w:tc>
          <w:tcPr>
            <w:tcW w:w="1551" w:type="dxa"/>
            <w:vAlign w:val="center"/>
          </w:tcPr>
          <w:p w14:paraId="4A6554FF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0.055±0.042</w:t>
            </w:r>
          </w:p>
        </w:tc>
        <w:tc>
          <w:tcPr>
            <w:tcW w:w="1601" w:type="dxa"/>
            <w:vAlign w:val="center"/>
          </w:tcPr>
          <w:p w14:paraId="2C7A9D0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0.047±0.023</w:t>
            </w:r>
          </w:p>
        </w:tc>
        <w:tc>
          <w:tcPr>
            <w:tcW w:w="1549" w:type="dxa"/>
            <w:vAlign w:val="center"/>
          </w:tcPr>
          <w:p w14:paraId="76E68F3F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0.055±0.035</w:t>
            </w:r>
          </w:p>
        </w:tc>
        <w:tc>
          <w:tcPr>
            <w:tcW w:w="1599" w:type="dxa"/>
            <w:vAlign w:val="center"/>
          </w:tcPr>
          <w:p w14:paraId="06125A34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0.067±0.046</w:t>
            </w:r>
          </w:p>
        </w:tc>
      </w:tr>
      <w:tr w:rsidR="008319DE" w:rsidRPr="008319DE" w14:paraId="1AD825DF" w14:textId="77777777" w:rsidTr="00977162">
        <w:tc>
          <w:tcPr>
            <w:tcW w:w="972" w:type="dxa"/>
          </w:tcPr>
          <w:p w14:paraId="7207643C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209D372D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A5A8A0C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0E6EB9E4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8DE16E6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0B2162CE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19DE" w:rsidRPr="008319DE" w14:paraId="0AB81FD4" w14:textId="77777777" w:rsidTr="00977162">
        <w:tc>
          <w:tcPr>
            <w:tcW w:w="972" w:type="dxa"/>
            <w:vMerge w:val="restart"/>
            <w:vAlign w:val="center"/>
          </w:tcPr>
          <w:p w14:paraId="713195DB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MCT4</w:t>
            </w:r>
          </w:p>
        </w:tc>
        <w:tc>
          <w:tcPr>
            <w:tcW w:w="1232" w:type="dxa"/>
            <w:vAlign w:val="center"/>
          </w:tcPr>
          <w:p w14:paraId="164ED518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TG</w:t>
            </w:r>
          </w:p>
        </w:tc>
        <w:tc>
          <w:tcPr>
            <w:tcW w:w="1551" w:type="dxa"/>
            <w:vAlign w:val="center"/>
          </w:tcPr>
          <w:p w14:paraId="6951A7CC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0.443±0.259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1601" w:type="dxa"/>
            <w:vAlign w:val="center"/>
          </w:tcPr>
          <w:p w14:paraId="7C9F322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0.424±0.294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ab</w:t>
            </w:r>
          </w:p>
        </w:tc>
        <w:tc>
          <w:tcPr>
            <w:tcW w:w="1549" w:type="dxa"/>
            <w:vAlign w:val="center"/>
          </w:tcPr>
          <w:p w14:paraId="0253AB02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0.239±0.136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c</w:t>
            </w:r>
          </w:p>
        </w:tc>
        <w:tc>
          <w:tcPr>
            <w:tcW w:w="1599" w:type="dxa"/>
            <w:vAlign w:val="center"/>
          </w:tcPr>
          <w:p w14:paraId="5ED41F0D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0.267±0.162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bc</w:t>
            </w:r>
          </w:p>
        </w:tc>
      </w:tr>
      <w:tr w:rsidR="008319DE" w:rsidRPr="008319DE" w14:paraId="084951D8" w14:textId="77777777" w:rsidTr="00977162">
        <w:tc>
          <w:tcPr>
            <w:tcW w:w="972" w:type="dxa"/>
            <w:vMerge/>
          </w:tcPr>
          <w:p w14:paraId="54A9B3EC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0D684F83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WBVG</w:t>
            </w:r>
          </w:p>
        </w:tc>
        <w:tc>
          <w:tcPr>
            <w:tcW w:w="1551" w:type="dxa"/>
            <w:vAlign w:val="center"/>
          </w:tcPr>
          <w:p w14:paraId="75BF01D8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0.456±0.265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1601" w:type="dxa"/>
            <w:vAlign w:val="center"/>
          </w:tcPr>
          <w:p w14:paraId="3BB6B09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0.512±0.381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ab</w:t>
            </w:r>
          </w:p>
        </w:tc>
        <w:tc>
          <w:tcPr>
            <w:tcW w:w="1549" w:type="dxa"/>
            <w:vAlign w:val="center"/>
          </w:tcPr>
          <w:p w14:paraId="6AA11A5E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0.317±0.173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c</w:t>
            </w:r>
          </w:p>
        </w:tc>
        <w:tc>
          <w:tcPr>
            <w:tcW w:w="1599" w:type="dxa"/>
            <w:vAlign w:val="center"/>
          </w:tcPr>
          <w:p w14:paraId="417D8AF9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0.376±0.193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bc</w:t>
            </w:r>
          </w:p>
        </w:tc>
      </w:tr>
      <w:tr w:rsidR="008319DE" w:rsidRPr="008319DE" w14:paraId="31A7B752" w14:textId="77777777" w:rsidTr="00977162">
        <w:tc>
          <w:tcPr>
            <w:tcW w:w="972" w:type="dxa"/>
            <w:vMerge/>
            <w:tcBorders>
              <w:bottom w:val="single" w:sz="4" w:space="0" w:color="auto"/>
            </w:tcBorders>
          </w:tcPr>
          <w:p w14:paraId="7FD587B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DC42C75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SG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9EA482A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0.468±0.368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1BDF4DEC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0.328±0.121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ab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60BD2854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0.271±0.156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c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53C1174D" w14:textId="77777777" w:rsidR="00B604BE" w:rsidRPr="008319DE" w:rsidRDefault="00B604BE" w:rsidP="00B604BE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0.264±0.168</w:t>
            </w:r>
            <w:r w:rsidRPr="008319DE">
              <w:rPr>
                <w:rFonts w:eastAsia="Calibri" w:cs="Times New Roman"/>
                <w:szCs w:val="24"/>
                <w:vertAlign w:val="superscript"/>
              </w:rPr>
              <w:t>bc</w:t>
            </w:r>
          </w:p>
        </w:tc>
      </w:tr>
    </w:tbl>
    <w:p w14:paraId="32B90E20" w14:textId="5496F755" w:rsidR="005326AB" w:rsidRPr="008319DE" w:rsidRDefault="00890A2E" w:rsidP="006F682F">
      <w:pPr>
        <w:rPr>
          <w:sz w:val="18"/>
          <w:szCs w:val="16"/>
        </w:rPr>
      </w:pPr>
      <w:r w:rsidRPr="008319DE">
        <w:rPr>
          <w:sz w:val="18"/>
          <w:szCs w:val="16"/>
        </w:rPr>
        <w:t xml:space="preserve">AR, after recovery.  3h, 3 hours after recovery; 6h, 6 hours after recovery. Different lowercase letters indicate differences in the intragroup comparison at </w:t>
      </w:r>
      <w:r w:rsidRPr="008319DE">
        <w:rPr>
          <w:i/>
          <w:iCs/>
          <w:sz w:val="18"/>
          <w:szCs w:val="16"/>
        </w:rPr>
        <w:t>P</w:t>
      </w:r>
      <w:r w:rsidRPr="008319DE">
        <w:rPr>
          <w:sz w:val="18"/>
          <w:szCs w:val="16"/>
        </w:rPr>
        <w:t>&lt;0.05.</w:t>
      </w:r>
    </w:p>
    <w:p w14:paraId="036B8603" w14:textId="77777777" w:rsidR="00890A2E" w:rsidRPr="008319DE" w:rsidRDefault="00890A2E" w:rsidP="006F682F"/>
    <w:p w14:paraId="70FCE96E" w14:textId="77777777" w:rsidR="001A22CC" w:rsidRPr="008319DE" w:rsidRDefault="001A22CC" w:rsidP="006F682F"/>
    <w:p w14:paraId="14240E81" w14:textId="77777777" w:rsidR="000B64F2" w:rsidRPr="008319DE" w:rsidRDefault="000B64F2" w:rsidP="006F682F"/>
    <w:p w14:paraId="6C973F7A" w14:textId="1ACCA247" w:rsidR="00890A2E" w:rsidRPr="008319DE" w:rsidRDefault="00830156" w:rsidP="006F682F">
      <w:r w:rsidRPr="008319DE">
        <w:rPr>
          <w:b/>
          <w:bCs/>
        </w:rPr>
        <w:lastRenderedPageBreak/>
        <w:t>Supplementary Table 8</w:t>
      </w:r>
      <w:r w:rsidRPr="008319DE">
        <w:t xml:space="preserve">. Means ± standard deviation of the area under the curve of lactate, MCT1 and MCT4 proteins content, of horses submitted to an acute intense exercise bout (AIEB) </w:t>
      </w:r>
      <w:r w:rsidR="000B64F2" w:rsidRPr="008319DE">
        <w:t>and a 10-minute recovery period on the treadmill (TG), on a whole-body vibration session (WBVG), or the vibrating platform off (SG).</w:t>
      </w:r>
    </w:p>
    <w:tbl>
      <w:tblPr>
        <w:tblStyle w:val="Tabelacomgrade7"/>
        <w:tblW w:w="8503" w:type="dxa"/>
        <w:tblLook w:val="04A0" w:firstRow="1" w:lastRow="0" w:firstColumn="1" w:lastColumn="0" w:noHBand="0" w:noVBand="1"/>
      </w:tblPr>
      <w:tblGrid>
        <w:gridCol w:w="1134"/>
        <w:gridCol w:w="1417"/>
        <w:gridCol w:w="1984"/>
        <w:gridCol w:w="1984"/>
        <w:gridCol w:w="1984"/>
      </w:tblGrid>
      <w:tr w:rsidR="008319DE" w:rsidRPr="008319DE" w14:paraId="5CAF8D5B" w14:textId="77777777" w:rsidTr="00456BE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84D75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04324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Groups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C9A6B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Mean ± SD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CA249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Median (range)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A92D4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Confidence interval</w:t>
            </w:r>
          </w:p>
        </w:tc>
      </w:tr>
      <w:tr w:rsidR="008319DE" w:rsidRPr="008319DE" w14:paraId="2B7A66D7" w14:textId="77777777" w:rsidTr="00456BE5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EBAB1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Lactate (mM)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D01F2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TG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A0A577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225 ± 146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F88626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177 (101-475)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F10F5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122</w:t>
            </w:r>
          </w:p>
        </w:tc>
      </w:tr>
      <w:tr w:rsidR="008319DE" w:rsidRPr="008319DE" w14:paraId="402A09B2" w14:textId="77777777" w:rsidTr="00456BE5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05CC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25B9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WBVG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AF00A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226 ± 133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9490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188 (108-517)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B257D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111</w:t>
            </w:r>
          </w:p>
        </w:tc>
      </w:tr>
      <w:tr w:rsidR="008319DE" w:rsidRPr="008319DE" w14:paraId="4E88FF62" w14:textId="77777777" w:rsidTr="00456BE5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D0FA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BC17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SG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C42E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278 ± 278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DDC13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188 (81.6-937)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83B2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232</w:t>
            </w:r>
          </w:p>
        </w:tc>
      </w:tr>
      <w:tr w:rsidR="008319DE" w:rsidRPr="008319DE" w14:paraId="1BEB4BF5" w14:textId="77777777" w:rsidTr="00456BE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A2385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AC1D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A5AF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F98D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65AEE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19DE" w:rsidRPr="008319DE" w14:paraId="0657D268" w14:textId="77777777" w:rsidTr="00456BE5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B445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MCT1 (AU)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92BB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TG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FDB4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2.3 ± 2.8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C034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1.31 (0.022-8.32)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4E41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2.59</w:t>
            </w:r>
          </w:p>
        </w:tc>
      </w:tr>
      <w:tr w:rsidR="008319DE" w:rsidRPr="008319DE" w14:paraId="785880D0" w14:textId="77777777" w:rsidTr="00456BE5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F9B7F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D4E6D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WBVG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665AB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1.28 ± 1.08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2232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1.19 (0.236-3.3)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A02C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0.997</w:t>
            </w:r>
          </w:p>
        </w:tc>
      </w:tr>
      <w:tr w:rsidR="008319DE" w:rsidRPr="008319DE" w14:paraId="301A7A70" w14:textId="77777777" w:rsidTr="00456BE5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29AAE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ED6F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SG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5AEA4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1.16 ± 0.789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991F5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1.08 (0.178-2.43)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4FAD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0.73</w:t>
            </w:r>
          </w:p>
        </w:tc>
      </w:tr>
      <w:tr w:rsidR="008319DE" w:rsidRPr="008319DE" w14:paraId="66F86869" w14:textId="77777777" w:rsidTr="00456BE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D7E552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2AF8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3E12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FF814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CF24E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8319DE" w:rsidRPr="008319DE" w14:paraId="54221877" w14:textId="77777777" w:rsidTr="00456BE5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6852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MCT4 (AU)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10C60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TG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78A5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13.1 ± 9.12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52D80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11.5 (3.5-27.6)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F865B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8.43</w:t>
            </w:r>
          </w:p>
        </w:tc>
      </w:tr>
      <w:tr w:rsidR="008319DE" w:rsidRPr="008319DE" w14:paraId="719172B5" w14:textId="77777777" w:rsidTr="00456BE5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16B0B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485C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WBVG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8B037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14.9 ± 11.4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E9B4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10.0 (3.28-32.1)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E48F3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10.5</w:t>
            </w:r>
          </w:p>
        </w:tc>
      </w:tr>
      <w:tr w:rsidR="008319DE" w:rsidRPr="008319DE" w14:paraId="5E2503B5" w14:textId="77777777" w:rsidTr="00456BE5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A8130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AFCF6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319DE">
              <w:rPr>
                <w:rFonts w:eastAsia="Calibri" w:cs="Times New Roman"/>
                <w:b/>
                <w:szCs w:val="24"/>
              </w:rPr>
              <w:t>SG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719D8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9.60 ± 4.54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76150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8.65 (2.24-15.8)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D1ED7" w14:textId="77777777" w:rsidR="001A22CC" w:rsidRPr="008319DE" w:rsidRDefault="001A22CC" w:rsidP="001A22CC">
            <w:pPr>
              <w:spacing w:before="0" w:after="0" w:line="360" w:lineRule="auto"/>
              <w:jc w:val="center"/>
              <w:rPr>
                <w:rFonts w:eastAsia="Calibri" w:cs="Times New Roman"/>
                <w:szCs w:val="24"/>
              </w:rPr>
            </w:pPr>
            <w:r w:rsidRPr="008319DE">
              <w:rPr>
                <w:rFonts w:eastAsia="Calibri" w:cs="Times New Roman"/>
                <w:szCs w:val="24"/>
              </w:rPr>
              <w:t>4.20</w:t>
            </w:r>
          </w:p>
        </w:tc>
      </w:tr>
    </w:tbl>
    <w:p w14:paraId="7B1D66B4" w14:textId="72B720A8" w:rsidR="00830156" w:rsidRPr="00527C24" w:rsidRDefault="00527C24" w:rsidP="006F682F">
      <w:pPr>
        <w:rPr>
          <w:sz w:val="18"/>
          <w:szCs w:val="16"/>
        </w:rPr>
      </w:pPr>
      <w:r w:rsidRPr="008319DE">
        <w:rPr>
          <w:sz w:val="18"/>
          <w:szCs w:val="16"/>
        </w:rPr>
        <w:t>TG, recovery on the treadmill. WBVG, recovery on whole-body vibration session. SG, sham</w:t>
      </w:r>
      <w:r w:rsidRPr="00527C24">
        <w:rPr>
          <w:sz w:val="18"/>
          <w:szCs w:val="16"/>
        </w:rPr>
        <w:t xml:space="preserve"> group, recovery on platform off.</w:t>
      </w:r>
    </w:p>
    <w:sectPr w:rsidR="00830156" w:rsidRPr="00527C24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07AD4" w14:textId="77777777" w:rsidR="002E573B" w:rsidRDefault="002E573B" w:rsidP="00117666">
      <w:pPr>
        <w:spacing w:after="0"/>
      </w:pPr>
      <w:r>
        <w:separator/>
      </w:r>
    </w:p>
  </w:endnote>
  <w:endnote w:type="continuationSeparator" w:id="0">
    <w:p w14:paraId="08686582" w14:textId="77777777" w:rsidR="002E573B" w:rsidRDefault="002E57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EA35F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A35F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EA35F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EA35F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A35F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EA35F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DA13" w14:textId="77777777" w:rsidR="002E573B" w:rsidRDefault="002E573B" w:rsidP="00117666">
      <w:pPr>
        <w:spacing w:after="0"/>
      </w:pPr>
      <w:r>
        <w:separator/>
      </w:r>
    </w:p>
  </w:footnote>
  <w:footnote w:type="continuationSeparator" w:id="0">
    <w:p w14:paraId="711C388F" w14:textId="77777777" w:rsidR="002E573B" w:rsidRDefault="002E57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EA35F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EA35F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463C"/>
    <w:rsid w:val="00035434"/>
    <w:rsid w:val="00052A14"/>
    <w:rsid w:val="00077D53"/>
    <w:rsid w:val="000B64F2"/>
    <w:rsid w:val="00105FD9"/>
    <w:rsid w:val="00117666"/>
    <w:rsid w:val="0012303D"/>
    <w:rsid w:val="001366D3"/>
    <w:rsid w:val="001549D3"/>
    <w:rsid w:val="00160065"/>
    <w:rsid w:val="00177D84"/>
    <w:rsid w:val="001A22CC"/>
    <w:rsid w:val="001B5AD0"/>
    <w:rsid w:val="001E1300"/>
    <w:rsid w:val="00267D18"/>
    <w:rsid w:val="002868E2"/>
    <w:rsid w:val="002869C3"/>
    <w:rsid w:val="00293174"/>
    <w:rsid w:val="002936E4"/>
    <w:rsid w:val="002B4A57"/>
    <w:rsid w:val="002C74CA"/>
    <w:rsid w:val="002D7F4F"/>
    <w:rsid w:val="002E573B"/>
    <w:rsid w:val="002E6C88"/>
    <w:rsid w:val="003232B1"/>
    <w:rsid w:val="003544FB"/>
    <w:rsid w:val="003B4494"/>
    <w:rsid w:val="003D2D47"/>
    <w:rsid w:val="003D2F2D"/>
    <w:rsid w:val="003E367F"/>
    <w:rsid w:val="00401590"/>
    <w:rsid w:val="00447801"/>
    <w:rsid w:val="00452E9C"/>
    <w:rsid w:val="00456BE5"/>
    <w:rsid w:val="004735C8"/>
    <w:rsid w:val="004961FF"/>
    <w:rsid w:val="00517A89"/>
    <w:rsid w:val="005250F2"/>
    <w:rsid w:val="00527C24"/>
    <w:rsid w:val="005326AB"/>
    <w:rsid w:val="0055154A"/>
    <w:rsid w:val="00561469"/>
    <w:rsid w:val="00593EEA"/>
    <w:rsid w:val="005A5EEE"/>
    <w:rsid w:val="005D4B0F"/>
    <w:rsid w:val="006117AD"/>
    <w:rsid w:val="006375C7"/>
    <w:rsid w:val="00654E8F"/>
    <w:rsid w:val="00660D05"/>
    <w:rsid w:val="006820B1"/>
    <w:rsid w:val="006A6E43"/>
    <w:rsid w:val="006A7183"/>
    <w:rsid w:val="006B7D14"/>
    <w:rsid w:val="006F682F"/>
    <w:rsid w:val="00701727"/>
    <w:rsid w:val="0070566C"/>
    <w:rsid w:val="00714C50"/>
    <w:rsid w:val="00720B33"/>
    <w:rsid w:val="00725A7D"/>
    <w:rsid w:val="007501BE"/>
    <w:rsid w:val="00790BB3"/>
    <w:rsid w:val="007C206C"/>
    <w:rsid w:val="007D4540"/>
    <w:rsid w:val="00803D24"/>
    <w:rsid w:val="00817DD6"/>
    <w:rsid w:val="00830156"/>
    <w:rsid w:val="008319DE"/>
    <w:rsid w:val="00885156"/>
    <w:rsid w:val="00890A2E"/>
    <w:rsid w:val="009151AA"/>
    <w:rsid w:val="0093429D"/>
    <w:rsid w:val="00943573"/>
    <w:rsid w:val="00970F7D"/>
    <w:rsid w:val="00971B05"/>
    <w:rsid w:val="00994A3D"/>
    <w:rsid w:val="009C2B12"/>
    <w:rsid w:val="009C70F3"/>
    <w:rsid w:val="009F1DC1"/>
    <w:rsid w:val="00A174D9"/>
    <w:rsid w:val="00A569CD"/>
    <w:rsid w:val="00A72A0B"/>
    <w:rsid w:val="00AA4B67"/>
    <w:rsid w:val="00AB5EE2"/>
    <w:rsid w:val="00AB6715"/>
    <w:rsid w:val="00B1671E"/>
    <w:rsid w:val="00B25EB8"/>
    <w:rsid w:val="00B274C5"/>
    <w:rsid w:val="00B354E1"/>
    <w:rsid w:val="00B35C91"/>
    <w:rsid w:val="00B37F4D"/>
    <w:rsid w:val="00B56C37"/>
    <w:rsid w:val="00B604BE"/>
    <w:rsid w:val="00C47822"/>
    <w:rsid w:val="00C52A7B"/>
    <w:rsid w:val="00C56BAF"/>
    <w:rsid w:val="00C679AA"/>
    <w:rsid w:val="00C75972"/>
    <w:rsid w:val="00CC0A3A"/>
    <w:rsid w:val="00CD066B"/>
    <w:rsid w:val="00CE4FEE"/>
    <w:rsid w:val="00D66CA4"/>
    <w:rsid w:val="00DB59C3"/>
    <w:rsid w:val="00DC259A"/>
    <w:rsid w:val="00DE23E8"/>
    <w:rsid w:val="00E02468"/>
    <w:rsid w:val="00E52377"/>
    <w:rsid w:val="00E64E17"/>
    <w:rsid w:val="00E866C9"/>
    <w:rsid w:val="00EA35FC"/>
    <w:rsid w:val="00EA3D3C"/>
    <w:rsid w:val="00EE6918"/>
    <w:rsid w:val="00F46900"/>
    <w:rsid w:val="00F5214F"/>
    <w:rsid w:val="00F61D89"/>
    <w:rsid w:val="00F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SombreamentoClaro1">
    <w:name w:val="Sombreamento Claro1"/>
    <w:basedOn w:val="TableNormal"/>
    <w:uiPriority w:val="60"/>
    <w:rsid w:val="005515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pt-BR"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1">
    <w:name w:val="Tabela com grade1"/>
    <w:basedOn w:val="TableNormal"/>
    <w:next w:val="TableGrid"/>
    <w:uiPriority w:val="39"/>
    <w:rsid w:val="00A72A0B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leNormal"/>
    <w:next w:val="TableGrid"/>
    <w:uiPriority w:val="39"/>
    <w:rsid w:val="006A7183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leNormal"/>
    <w:next w:val="TableGrid"/>
    <w:uiPriority w:val="39"/>
    <w:rsid w:val="009F1DC1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leNormal"/>
    <w:next w:val="TableGrid"/>
    <w:uiPriority w:val="39"/>
    <w:rsid w:val="00D66CA4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leNormal"/>
    <w:next w:val="TableGrid"/>
    <w:uiPriority w:val="39"/>
    <w:rsid w:val="006117AD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leNormal"/>
    <w:next w:val="TableGrid"/>
    <w:uiPriority w:val="39"/>
    <w:rsid w:val="00B604BE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leNormal"/>
    <w:next w:val="TableGrid"/>
    <w:uiPriority w:val="39"/>
    <w:rsid w:val="001A22C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Giada Zaffin</cp:lastModifiedBy>
  <cp:revision>39</cp:revision>
  <cp:lastPrinted>2013-10-03T12:51:00Z</cp:lastPrinted>
  <dcterms:created xsi:type="dcterms:W3CDTF">2022-11-17T16:58:00Z</dcterms:created>
  <dcterms:modified xsi:type="dcterms:W3CDTF">2025-02-17T16:33:00Z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