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4450" w:rsidP="507D76BB" w:rsidRDefault="001A4450" w14:paraId="521C8ABA" w14:textId="7708B5B8">
      <w:pPr>
        <w:pStyle w:val="SupplementaryMaterial"/>
        <w:rPr>
          <w:b w:val="0"/>
          <w:bCs w:val="0"/>
        </w:rPr>
      </w:pPr>
      <w:r w:rsidR="6F17C7FF">
        <w:rPr/>
        <w:t>Supplementary Material</w:t>
      </w:r>
    </w:p>
    <w:p w:rsidR="715C2479" w:rsidP="51C5DE28" w:rsidRDefault="715C2479" w14:paraId="2F0EBCC1" w14:textId="742EE643">
      <w:pPr>
        <w:pStyle w:val="Heading1"/>
        <w:rPr/>
      </w:pPr>
      <w:r w:rsidR="1A6219E9">
        <w:rPr/>
        <w:t>Table S</w:t>
      </w:r>
      <w:r w:rsidR="7F09FE2F">
        <w:rPr/>
        <w:t>1</w:t>
      </w:r>
      <w:r w:rsidR="1A6219E9">
        <w:rPr/>
        <w:t>.</w:t>
      </w:r>
      <w:r w:rsidR="30FF4A99">
        <w:rPr/>
        <w:t xml:space="preserve"> </w:t>
      </w:r>
      <w:r w:rsidRPr="507D76BB" w:rsidR="34E28B58">
        <w:rPr>
          <w:rFonts w:eastAsia="Times New Roman"/>
          <w:b w:val="0"/>
          <w:bCs w:val="0"/>
          <w:color w:val="000000" w:themeColor="text1" w:themeTint="FF" w:themeShade="FF"/>
        </w:rPr>
        <w:t>Inclusion and exclusion criteria for articles (</w:t>
      </w:r>
      <w:r w:rsidRPr="507D76BB" w:rsidR="34E28B58">
        <w:rPr>
          <w:rFonts w:eastAsia="Times New Roman"/>
          <w:b w:val="0"/>
          <w:bCs w:val="0"/>
          <w:color w:val="000000" w:themeColor="text1" w:themeTint="FF" w:themeShade="FF"/>
        </w:rPr>
        <w:t xml:space="preserve">Ho </w:t>
      </w:r>
      <w:r w:rsidRPr="507D76BB" w:rsidR="34E28B58">
        <w:rPr>
          <w:rFonts w:eastAsia="Times New Roman"/>
          <w:b w:val="0"/>
          <w:bCs w:val="0"/>
          <w:color w:val="000000" w:themeColor="text1" w:themeTint="FF" w:themeShade="FF"/>
        </w:rPr>
        <w:t>et al.,</w:t>
      </w:r>
      <w:r w:rsidRPr="507D76BB" w:rsidR="02F1283C">
        <w:rPr>
          <w:rFonts w:eastAsia="Times New Roman"/>
          <w:b w:val="0"/>
          <w:bCs w:val="0"/>
          <w:color w:val="000000" w:themeColor="text1" w:themeTint="FF" w:themeShade="FF"/>
        </w:rPr>
        <w:t xml:space="preserve"> </w:t>
      </w:r>
      <w:r w:rsidRPr="507D76BB" w:rsidR="5B45ABEF">
        <w:rPr>
          <w:rFonts w:eastAsia="Times New Roman"/>
          <w:b w:val="0"/>
          <w:bCs w:val="0"/>
          <w:color w:val="000000" w:themeColor="text1" w:themeTint="FF" w:themeShade="FF"/>
        </w:rPr>
        <w:t>2024</w:t>
      </w:r>
      <w:r w:rsidRPr="507D76BB" w:rsidR="34E28B58">
        <w:rPr>
          <w:rFonts w:eastAsia="Times New Roman"/>
          <w:b w:val="0"/>
          <w:bCs w:val="0"/>
          <w:i w:val="1"/>
          <w:iCs w:val="1"/>
          <w:color w:val="000000" w:themeColor="text1" w:themeTint="FF" w:themeShade="FF"/>
        </w:rPr>
        <w:t>)</w:t>
      </w:r>
      <w:r w:rsidRPr="507D76BB" w:rsidR="34E28B58">
        <w:rPr>
          <w:rFonts w:eastAsia="Times New Roman"/>
          <w:b w:val="0"/>
          <w:bCs w:val="0"/>
          <w:color w:val="000000" w:themeColor="text1" w:themeTint="FF" w:themeShade="FF"/>
        </w:rPr>
        <w:t>.</w:t>
      </w:r>
    </w:p>
    <w:tbl>
      <w:tblPr>
        <w:tblW w:w="13702"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2385"/>
        <w:gridCol w:w="4815"/>
        <w:gridCol w:w="6502"/>
      </w:tblGrid>
      <w:tr w:rsidR="51C5DE28" w:rsidTr="1A25CDED" w14:paraId="4E9CDC42" w14:textId="77777777">
        <w:trPr>
          <w:trHeight w:val="300"/>
        </w:trPr>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1C5DE28" w:rsidP="51C5DE28" w:rsidRDefault="51C5DE28" w14:paraId="40F27BE3" w14:textId="29ACC156">
            <w:pPr>
              <w:spacing w:after="0"/>
              <w:rPr>
                <w:rFonts w:ascii="Aptos" w:hAnsi="Aptos" w:eastAsia="Aptos" w:cs="Aptos"/>
                <w:szCs w:val="24"/>
              </w:rPr>
            </w:pP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1C5DE28" w:rsidP="51C5DE28" w:rsidRDefault="51C5DE28" w14:paraId="4D0866A5" w14:textId="48DBF5DA">
            <w:pPr>
              <w:spacing w:after="0"/>
              <w:jc w:val="center"/>
              <w:rPr>
                <w:rFonts w:eastAsia="Times New Roman" w:cs="Times New Roman"/>
                <w:szCs w:val="24"/>
              </w:rPr>
            </w:pPr>
            <w:r w:rsidRPr="51C5DE28">
              <w:rPr>
                <w:rFonts w:eastAsia="Times New Roman" w:cs="Times New Roman"/>
                <w:szCs w:val="24"/>
              </w:rPr>
              <w:t>Inclusion criteria</w:t>
            </w:r>
          </w:p>
        </w:tc>
        <w:tc>
          <w:tcPr>
            <w:tcW w:w="65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1C5DE28" w:rsidP="51C5DE28" w:rsidRDefault="51C5DE28" w14:paraId="208F0C67" w14:textId="0655B9FD">
            <w:pPr>
              <w:spacing w:after="0"/>
              <w:jc w:val="center"/>
              <w:rPr>
                <w:rFonts w:eastAsia="Times New Roman" w:cs="Times New Roman"/>
                <w:szCs w:val="24"/>
              </w:rPr>
            </w:pPr>
            <w:r w:rsidRPr="51C5DE28">
              <w:rPr>
                <w:rFonts w:eastAsia="Times New Roman" w:cs="Times New Roman"/>
                <w:szCs w:val="24"/>
              </w:rPr>
              <w:t>Exclusion criteria</w:t>
            </w:r>
          </w:p>
        </w:tc>
      </w:tr>
      <w:tr w:rsidR="51C5DE28" w:rsidTr="1A25CDED" w14:paraId="0F982A46" w14:textId="77777777">
        <w:trPr>
          <w:trHeight w:val="300"/>
        </w:trPr>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1C5DE28" w:rsidP="51C5DE28" w:rsidRDefault="51C5DE28" w14:paraId="3B23E48A" w14:textId="3606E4FE">
            <w:pPr>
              <w:spacing w:after="0"/>
              <w:rPr>
                <w:rFonts w:eastAsia="Times New Roman" w:cs="Times New Roman"/>
                <w:szCs w:val="24"/>
              </w:rPr>
            </w:pPr>
            <w:r w:rsidRPr="51C5DE28">
              <w:rPr>
                <w:rFonts w:eastAsia="Times New Roman" w:cs="Times New Roman"/>
                <w:szCs w:val="24"/>
              </w:rPr>
              <w:t>Population</w:t>
            </w: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1C5DE28" w:rsidP="1A25CDED" w:rsidRDefault="51C5DE28" w14:paraId="270F121E" w14:textId="794C1292">
            <w:pPr>
              <w:spacing w:after="0"/>
              <w:rPr>
                <w:rFonts w:eastAsia="Times New Roman" w:cs="Times New Roman"/>
                <w:color w:val="2D374B"/>
              </w:rPr>
            </w:pPr>
            <w:r w:rsidRPr="1A25CDED" w:rsidR="51C5DE28">
              <w:rPr>
                <w:rFonts w:eastAsia="Times New Roman" w:cs="Times New Roman"/>
                <w:color w:val="2D374B"/>
              </w:rPr>
              <w:t>The assessment was conducted with at least one group of individuals over 45 year</w:t>
            </w:r>
            <w:r w:rsidRPr="1A25CDED" w:rsidR="19303396">
              <w:rPr>
                <w:rFonts w:eastAsia="Times New Roman" w:cs="Times New Roman"/>
                <w:color w:val="2D374B"/>
              </w:rPr>
              <w:t>s.</w:t>
            </w:r>
          </w:p>
          <w:p w:rsidR="51C5DE28" w:rsidP="51C5DE28" w:rsidRDefault="51C5DE28" w14:paraId="050BE656" w14:textId="4E4AF40A">
            <w:pPr>
              <w:spacing w:after="0"/>
              <w:rPr>
                <w:rFonts w:eastAsia="Times New Roman" w:cs="Times New Roman"/>
                <w:color w:val="2D374B"/>
                <w:szCs w:val="24"/>
              </w:rPr>
            </w:pPr>
          </w:p>
        </w:tc>
        <w:tc>
          <w:tcPr>
            <w:tcW w:w="65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1C5DE28" w:rsidP="51C5DE28" w:rsidRDefault="51C5DE28" w14:paraId="16A1DEEC" w14:textId="35AB69AB">
            <w:pPr>
              <w:spacing w:after="0"/>
              <w:rPr>
                <w:rFonts w:eastAsia="Times New Roman" w:cs="Times New Roman"/>
                <w:color w:val="2D374B"/>
                <w:szCs w:val="24"/>
              </w:rPr>
            </w:pPr>
            <w:r w:rsidRPr="51C5DE28">
              <w:rPr>
                <w:rFonts w:eastAsia="Times New Roman" w:cs="Times New Roman"/>
                <w:color w:val="2D374B"/>
                <w:szCs w:val="24"/>
              </w:rPr>
              <w:t>Adults ≤ 45 years old</w:t>
            </w:r>
          </w:p>
        </w:tc>
      </w:tr>
      <w:tr w:rsidR="51C5DE28" w:rsidTr="1A25CDED" w14:paraId="20C2885C" w14:textId="77777777">
        <w:trPr>
          <w:trHeight w:val="300"/>
        </w:trPr>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1C5DE28" w:rsidP="51C5DE28" w:rsidRDefault="51C5DE28" w14:paraId="7838EBE4" w14:textId="58BBB878">
            <w:pPr>
              <w:spacing w:after="0"/>
              <w:rPr>
                <w:rFonts w:eastAsia="Times New Roman" w:cs="Times New Roman"/>
                <w:szCs w:val="24"/>
              </w:rPr>
            </w:pPr>
            <w:r w:rsidRPr="51C5DE28">
              <w:rPr>
                <w:rFonts w:eastAsia="Times New Roman" w:cs="Times New Roman"/>
                <w:szCs w:val="24"/>
              </w:rPr>
              <w:t>Study Characteristics</w:t>
            </w: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1C5DE28" w:rsidP="51C5DE28" w:rsidRDefault="51C5DE28" w14:paraId="7773F555" w14:textId="5474F259">
            <w:pPr>
              <w:spacing w:after="0"/>
              <w:rPr>
                <w:rFonts w:eastAsia="Times New Roman" w:cs="Times New Roman"/>
                <w:color w:val="2D374B"/>
                <w:szCs w:val="24"/>
              </w:rPr>
            </w:pPr>
            <w:r w:rsidRPr="51C5DE28">
              <w:rPr>
                <w:rFonts w:eastAsia="Times New Roman" w:cs="Times New Roman"/>
                <w:color w:val="2D374B"/>
                <w:szCs w:val="24"/>
              </w:rPr>
              <w:t>The study mentions at least one assessment of a DM target domain. The domain of interest is an outcome assessed by the study.</w:t>
            </w:r>
          </w:p>
          <w:p w:rsidR="51C5DE28" w:rsidP="51C5DE28" w:rsidRDefault="51C5DE28" w14:paraId="0F0B2147" w14:textId="0885B96B">
            <w:pPr>
              <w:spacing w:after="0"/>
              <w:rPr>
                <w:rFonts w:ascii="Aptos" w:hAnsi="Aptos" w:eastAsia="Aptos" w:cs="Aptos"/>
                <w:szCs w:val="24"/>
              </w:rPr>
            </w:pPr>
          </w:p>
        </w:tc>
        <w:tc>
          <w:tcPr>
            <w:tcW w:w="65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1C5DE28" w:rsidP="51C5DE28" w:rsidRDefault="51C5DE28" w14:paraId="0CB84774" w14:textId="40F7278F">
            <w:pPr>
              <w:spacing w:after="0"/>
              <w:rPr>
                <w:rFonts w:eastAsia="Times New Roman" w:cs="Times New Roman"/>
                <w:color w:val="2D374B"/>
                <w:szCs w:val="24"/>
              </w:rPr>
            </w:pPr>
            <w:r w:rsidRPr="51C5DE28">
              <w:rPr>
                <w:rFonts w:eastAsia="Times New Roman" w:cs="Times New Roman"/>
                <w:color w:val="2D374B"/>
                <w:szCs w:val="24"/>
              </w:rPr>
              <w:t>Single-subject research</w:t>
            </w:r>
          </w:p>
          <w:p w:rsidR="51C5DE28" w:rsidP="1A25CDED" w:rsidRDefault="51C5DE28" w14:paraId="37BD214A" w14:textId="666041E1">
            <w:pPr>
              <w:spacing w:after="0"/>
              <w:rPr>
                <w:rFonts w:eastAsia="Times New Roman" w:cs="Times New Roman"/>
                <w:color w:val="2D374B"/>
              </w:rPr>
            </w:pPr>
            <w:r w:rsidRPr="1A25CDED" w:rsidR="51C5DE28">
              <w:rPr>
                <w:rFonts w:eastAsia="Times New Roman" w:cs="Times New Roman"/>
                <w:color w:val="2D374B"/>
              </w:rPr>
              <w:t>Case studies</w:t>
            </w:r>
          </w:p>
          <w:p w:rsidR="51C5DE28" w:rsidP="51C5DE28" w:rsidRDefault="51C5DE28" w14:paraId="44E48406" w14:textId="6F945090">
            <w:pPr>
              <w:spacing w:after="0"/>
              <w:rPr>
                <w:rFonts w:eastAsia="Times New Roman" w:cs="Times New Roman"/>
                <w:color w:val="2D374B"/>
                <w:szCs w:val="24"/>
              </w:rPr>
            </w:pPr>
            <w:r w:rsidRPr="51C5DE28">
              <w:rPr>
                <w:rFonts w:eastAsia="Times New Roman" w:cs="Times New Roman"/>
                <w:color w:val="2D374B"/>
                <w:szCs w:val="24"/>
              </w:rPr>
              <w:t>Focus group</w:t>
            </w:r>
          </w:p>
          <w:p w:rsidR="51C5DE28" w:rsidP="51C5DE28" w:rsidRDefault="51C5DE28" w14:paraId="1510B4D6" w14:textId="0020FAD8">
            <w:pPr>
              <w:spacing w:after="0"/>
              <w:rPr>
                <w:rFonts w:eastAsia="Times New Roman" w:cs="Times New Roman"/>
                <w:color w:val="2D374B"/>
                <w:szCs w:val="24"/>
              </w:rPr>
            </w:pPr>
            <w:r w:rsidRPr="51C5DE28">
              <w:rPr>
                <w:rFonts w:eastAsia="Times New Roman" w:cs="Times New Roman"/>
                <w:color w:val="2D374B"/>
                <w:szCs w:val="24"/>
              </w:rPr>
              <w:t>Review articles</w:t>
            </w:r>
          </w:p>
          <w:p w:rsidR="51C5DE28" w:rsidP="51C5DE28" w:rsidRDefault="51C5DE28" w14:paraId="50A23AC0" w14:textId="74945872">
            <w:pPr>
              <w:spacing w:after="0"/>
              <w:rPr>
                <w:rFonts w:eastAsia="Times New Roman" w:cs="Times New Roman"/>
                <w:color w:val="2D374B"/>
                <w:szCs w:val="24"/>
              </w:rPr>
            </w:pPr>
            <w:r w:rsidRPr="51C5DE28">
              <w:rPr>
                <w:rFonts w:eastAsia="Times New Roman" w:cs="Times New Roman"/>
                <w:color w:val="2D374B"/>
                <w:szCs w:val="24"/>
              </w:rPr>
              <w:t>Narrative reviews</w:t>
            </w:r>
          </w:p>
          <w:p w:rsidR="51C5DE28" w:rsidP="51C5DE28" w:rsidRDefault="51C5DE28" w14:paraId="4543045A" w14:textId="1DCB6BFC">
            <w:pPr>
              <w:spacing w:after="0"/>
              <w:rPr>
                <w:rFonts w:eastAsia="Times New Roman" w:cs="Times New Roman"/>
                <w:color w:val="2D374B"/>
                <w:szCs w:val="24"/>
              </w:rPr>
            </w:pPr>
            <w:r w:rsidRPr="51C5DE28">
              <w:rPr>
                <w:rFonts w:eastAsia="Times New Roman" w:cs="Times New Roman"/>
                <w:color w:val="2D374B"/>
                <w:szCs w:val="24"/>
              </w:rPr>
              <w:t xml:space="preserve">Grey literature including theses, conference papers, and preprints </w:t>
            </w:r>
          </w:p>
          <w:p w:rsidR="51C5DE28" w:rsidP="51C5DE28" w:rsidRDefault="51C5DE28" w14:paraId="19CE3386" w14:textId="4D3B0997">
            <w:pPr>
              <w:spacing w:after="0"/>
              <w:rPr>
                <w:rFonts w:eastAsia="Times New Roman" w:cs="Times New Roman"/>
                <w:color w:val="2D374B"/>
                <w:szCs w:val="24"/>
              </w:rPr>
            </w:pPr>
            <w:r w:rsidRPr="51C5DE28">
              <w:rPr>
                <w:rFonts w:eastAsia="Times New Roman" w:cs="Times New Roman"/>
                <w:color w:val="2D374B"/>
                <w:szCs w:val="24"/>
              </w:rPr>
              <w:t>Books and/or book chapters</w:t>
            </w:r>
          </w:p>
          <w:p w:rsidR="51C5DE28" w:rsidP="51C5DE28" w:rsidRDefault="51C5DE28" w14:paraId="6A47D822" w14:textId="5C0BAEF1">
            <w:pPr>
              <w:spacing w:after="0"/>
              <w:rPr>
                <w:rFonts w:eastAsia="Times New Roman" w:cs="Times New Roman"/>
                <w:color w:val="2D374B"/>
                <w:szCs w:val="24"/>
              </w:rPr>
            </w:pPr>
            <w:r w:rsidRPr="51C5DE28">
              <w:rPr>
                <w:rFonts w:eastAsia="Times New Roman" w:cs="Times New Roman"/>
                <w:color w:val="2D374B"/>
                <w:szCs w:val="24"/>
              </w:rPr>
              <w:t>Commentaries</w:t>
            </w:r>
          </w:p>
          <w:p w:rsidR="51C5DE28" w:rsidP="51C5DE28" w:rsidRDefault="51C5DE28" w14:paraId="2E44B519" w14:textId="59332C3F">
            <w:pPr>
              <w:spacing w:after="0"/>
              <w:rPr>
                <w:rFonts w:eastAsia="Times New Roman" w:cs="Times New Roman"/>
                <w:color w:val="2D374B"/>
                <w:szCs w:val="24"/>
              </w:rPr>
            </w:pPr>
            <w:r w:rsidRPr="51C5DE28">
              <w:rPr>
                <w:rFonts w:eastAsia="Times New Roman" w:cs="Times New Roman"/>
                <w:color w:val="2D374B"/>
                <w:szCs w:val="24"/>
              </w:rPr>
              <w:t>Other non-research publications</w:t>
            </w:r>
          </w:p>
        </w:tc>
      </w:tr>
      <w:tr w:rsidR="51C5DE28" w:rsidTr="1A25CDED" w14:paraId="3D799413" w14:textId="77777777">
        <w:trPr>
          <w:trHeight w:val="300"/>
        </w:trPr>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1C5DE28" w:rsidP="51C5DE28" w:rsidRDefault="51C5DE28" w14:paraId="07D9BDCF" w14:textId="18D4EC83">
            <w:pPr>
              <w:spacing w:after="0"/>
              <w:rPr>
                <w:rFonts w:eastAsia="Times New Roman" w:cs="Times New Roman"/>
                <w:szCs w:val="24"/>
              </w:rPr>
            </w:pPr>
            <w:r w:rsidRPr="51C5DE28">
              <w:rPr>
                <w:rFonts w:eastAsia="Times New Roman" w:cs="Times New Roman"/>
                <w:szCs w:val="24"/>
              </w:rPr>
              <w:t>Other</w:t>
            </w: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1C5DE28" w:rsidP="1A25CDED" w:rsidRDefault="51C5DE28" w14:paraId="600B2F73" w14:textId="0E455F25">
            <w:pPr>
              <w:spacing w:after="0"/>
              <w:rPr>
                <w:rFonts w:eastAsia="Times New Roman" w:cs="Times New Roman"/>
              </w:rPr>
            </w:pPr>
            <w:r w:rsidRPr="1A25CDED" w:rsidR="51C5DE28">
              <w:rPr>
                <w:rFonts w:eastAsia="Times New Roman" w:cs="Times New Roman"/>
              </w:rPr>
              <w:t xml:space="preserve">Language: All languages </w:t>
            </w:r>
            <w:r w:rsidRPr="1A25CDED" w:rsidR="51C5DE28">
              <w:rPr>
                <w:rFonts w:eastAsia="Times New Roman" w:cs="Times New Roman"/>
              </w:rPr>
              <w:t>as long as</w:t>
            </w:r>
            <w:r w:rsidRPr="1A25CDED" w:rsidR="51C5DE28">
              <w:rPr>
                <w:rFonts w:eastAsia="Times New Roman" w:cs="Times New Roman"/>
              </w:rPr>
              <w:t xml:space="preserve"> manuscript is in English</w:t>
            </w:r>
            <w:r w:rsidRPr="1A25CDED" w:rsidR="4DDB39B9">
              <w:rPr>
                <w:rFonts w:eastAsia="Times New Roman" w:cs="Times New Roman"/>
              </w:rPr>
              <w:t>.</w:t>
            </w:r>
          </w:p>
          <w:p w:rsidR="51C5DE28" w:rsidP="51C5DE28" w:rsidRDefault="51C5DE28" w14:paraId="24BAF08E" w14:textId="492BC2D4">
            <w:pPr>
              <w:spacing w:after="0"/>
              <w:rPr>
                <w:rFonts w:ascii="Aptos" w:hAnsi="Aptos" w:eastAsia="Aptos" w:cs="Aptos"/>
                <w:szCs w:val="24"/>
              </w:rPr>
            </w:pPr>
          </w:p>
          <w:p w:rsidR="51C5DE28" w:rsidP="1A25CDED" w:rsidRDefault="51C5DE28" w14:paraId="106BB6BA" w14:textId="293501F7">
            <w:pPr>
              <w:spacing w:after="0"/>
              <w:rPr>
                <w:rFonts w:eastAsia="Times New Roman" w:cs="Times New Roman"/>
              </w:rPr>
            </w:pPr>
            <w:r w:rsidRPr="1A25CDED" w:rsidR="51C5DE28">
              <w:rPr>
                <w:rFonts w:eastAsia="Times New Roman" w:cs="Times New Roman"/>
              </w:rPr>
              <w:t>Location: All geographical locations</w:t>
            </w:r>
            <w:r w:rsidRPr="1A25CDED" w:rsidR="2BE9FA05">
              <w:rPr>
                <w:rFonts w:eastAsia="Times New Roman" w:cs="Times New Roman"/>
              </w:rPr>
              <w:t>.</w:t>
            </w:r>
          </w:p>
        </w:tc>
        <w:tc>
          <w:tcPr>
            <w:tcW w:w="65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1C5DE28" w:rsidP="51C5DE28" w:rsidRDefault="51C5DE28" w14:paraId="2E628E9F" w14:textId="4F9E5C89">
            <w:pPr>
              <w:spacing w:after="0"/>
              <w:rPr>
                <w:rFonts w:eastAsia="Times New Roman" w:cs="Times New Roman"/>
                <w:szCs w:val="24"/>
              </w:rPr>
            </w:pPr>
            <w:r w:rsidRPr="51C5DE28">
              <w:rPr>
                <w:rFonts w:eastAsia="Times New Roman" w:cs="Times New Roman"/>
                <w:szCs w:val="24"/>
              </w:rPr>
              <w:t>Articles that only measure shared decision-making</w:t>
            </w:r>
          </w:p>
          <w:p w:rsidR="51C5DE28" w:rsidP="51C5DE28" w:rsidRDefault="51C5DE28" w14:paraId="029CCCBB" w14:textId="3BD30FED">
            <w:pPr>
              <w:spacing w:after="0"/>
              <w:rPr>
                <w:rFonts w:eastAsia="Times New Roman" w:cs="Times New Roman"/>
                <w:szCs w:val="24"/>
              </w:rPr>
            </w:pPr>
            <w:r w:rsidRPr="51C5DE28">
              <w:rPr>
                <w:rFonts w:eastAsia="Times New Roman" w:cs="Times New Roman"/>
                <w:szCs w:val="24"/>
              </w:rPr>
              <w:t>Articles that only measure decision aids</w:t>
            </w:r>
          </w:p>
          <w:p w:rsidR="51C5DE28" w:rsidP="51C5DE28" w:rsidRDefault="51C5DE28" w14:paraId="2D17FF27" w14:textId="34B38F04">
            <w:pPr>
              <w:spacing w:after="0"/>
              <w:rPr>
                <w:rFonts w:eastAsia="Times New Roman" w:cs="Times New Roman"/>
                <w:szCs w:val="24"/>
              </w:rPr>
            </w:pPr>
            <w:r w:rsidRPr="51C5DE28">
              <w:rPr>
                <w:rFonts w:eastAsia="Times New Roman" w:cs="Times New Roman"/>
                <w:szCs w:val="24"/>
              </w:rPr>
              <w:t>Perceptual/Low-level decision making</w:t>
            </w:r>
          </w:p>
        </w:tc>
      </w:tr>
    </w:tbl>
    <w:p w:rsidR="51C5DE28" w:rsidP="51C5DE28" w:rsidRDefault="51C5DE28" w14:paraId="7B2A5728" w14:textId="5EC1D00C"/>
    <w:p w:rsidR="53E2160F" w:rsidP="51C5DE28" w:rsidRDefault="53E2160F" w14:paraId="5DC97853" w14:textId="6E7B1113">
      <w:pPr>
        <w:pStyle w:val="Heading1"/>
        <w:rPr/>
      </w:pPr>
      <w:r w:rsidR="71D311A1">
        <w:rPr/>
        <w:t>Table S</w:t>
      </w:r>
      <w:r w:rsidR="3FEDD1A0">
        <w:rPr/>
        <w:t>2</w:t>
      </w:r>
      <w:r w:rsidR="71D311A1">
        <w:rPr/>
        <w:t>.</w:t>
      </w:r>
      <w:r w:rsidRPr="507D76BB" w:rsidR="71D311A1">
        <w:rPr>
          <w:rFonts w:eastAsia="Times New Roman"/>
        </w:rPr>
        <w:t xml:space="preserve"> </w:t>
      </w:r>
      <w:r w:rsidRPr="507D76BB" w:rsidR="71D311A1">
        <w:rPr>
          <w:rFonts w:eastAsia="Times New Roman"/>
          <w:b w:val="0"/>
          <w:bCs w:val="0"/>
        </w:rPr>
        <w:t>Measures used to assess end-of-life decision-making.</w:t>
      </w:r>
    </w:p>
    <w:tbl>
      <w:tblPr>
        <w:tblStyle w:val="TableGridLight"/>
        <w:tblW w:w="13703" w:type="dxa"/>
        <w:jc w:val="left"/>
        <w:tblBorders/>
        <w:tblLayout w:type="fixed"/>
        <w:tblLook w:val="04A0" w:firstRow="1" w:lastRow="0" w:firstColumn="1" w:lastColumn="0" w:noHBand="0" w:noVBand="1"/>
      </w:tblPr>
      <w:tblGrid>
        <w:gridCol w:w="1245"/>
        <w:gridCol w:w="825"/>
        <w:gridCol w:w="1140"/>
        <w:gridCol w:w="2460"/>
        <w:gridCol w:w="870"/>
        <w:gridCol w:w="2250"/>
        <w:gridCol w:w="915"/>
        <w:gridCol w:w="1260"/>
        <w:gridCol w:w="1290"/>
        <w:gridCol w:w="1448"/>
      </w:tblGrid>
      <w:tr w:rsidR="51C5DE28" w:rsidTr="507D76BB" w14:paraId="48A84657" w14:textId="77777777">
        <w:trPr>
          <w:trHeight w:val="300"/>
        </w:trPr>
        <w:tc>
          <w:tcPr>
            <w:tcW w:w="1245" w:type="dxa"/>
            <w:tcBorders/>
            <w:tcMar>
              <w:left w:w="90" w:type="dxa"/>
              <w:right w:w="90" w:type="dxa"/>
            </w:tcMar>
            <w:vAlign w:val="center"/>
          </w:tcPr>
          <w:p w:rsidR="51C5DE28" w:rsidP="507D76BB" w:rsidRDefault="51C5DE28" w14:paraId="4F93605E" w14:textId="1AA5ED55">
            <w:pPr>
              <w:jc w:val="center"/>
              <w:rPr>
                <w:rFonts w:eastAsia="Times New Roman" w:cs="Times New Roman"/>
                <w:color w:val="000000" w:themeColor="text1"/>
                <w:sz w:val="18"/>
                <w:szCs w:val="18"/>
              </w:rPr>
            </w:pPr>
            <w:r w:rsidRPr="507D76BB" w:rsidR="067F69CA">
              <w:rPr>
                <w:rFonts w:eastAsia="Times New Roman" w:cs="Times New Roman"/>
                <w:b w:val="1"/>
                <w:bCs w:val="1"/>
                <w:color w:val="000000" w:themeColor="text1" w:themeTint="FF" w:themeShade="FF"/>
                <w:sz w:val="18"/>
                <w:szCs w:val="18"/>
              </w:rPr>
              <w:t>Measure Name</w:t>
            </w:r>
          </w:p>
        </w:tc>
        <w:tc>
          <w:tcPr>
            <w:tcW w:w="825" w:type="dxa"/>
            <w:tcBorders/>
            <w:tcMar>
              <w:left w:w="90" w:type="dxa"/>
              <w:right w:w="90" w:type="dxa"/>
            </w:tcMar>
            <w:vAlign w:val="center"/>
          </w:tcPr>
          <w:p w:rsidR="51C5DE28" w:rsidP="507D76BB" w:rsidRDefault="51C5DE28" w14:paraId="5CD976B5" w14:textId="4C5448BB">
            <w:pPr>
              <w:jc w:val="center"/>
              <w:rPr>
                <w:rFonts w:eastAsia="Times New Roman" w:cs="Times New Roman"/>
                <w:color w:val="000000" w:themeColor="text1"/>
                <w:sz w:val="18"/>
                <w:szCs w:val="18"/>
              </w:rPr>
            </w:pPr>
            <w:r w:rsidRPr="507D76BB" w:rsidR="067F69CA">
              <w:rPr>
                <w:rFonts w:eastAsia="Times New Roman" w:cs="Times New Roman"/>
                <w:b w:val="1"/>
                <w:bCs w:val="1"/>
                <w:color w:val="000000" w:themeColor="text1" w:themeTint="FF" w:themeShade="FF"/>
                <w:sz w:val="18"/>
                <w:szCs w:val="18"/>
              </w:rPr>
              <w:t xml:space="preserve"># of </w:t>
            </w:r>
            <w:r w:rsidRPr="507D76BB" w:rsidR="54233324">
              <w:rPr>
                <w:rFonts w:eastAsia="Times New Roman" w:cs="Times New Roman"/>
                <w:b w:val="1"/>
                <w:bCs w:val="1"/>
                <w:color w:val="000000" w:themeColor="text1" w:themeTint="FF" w:themeShade="FF"/>
                <w:sz w:val="18"/>
                <w:szCs w:val="18"/>
              </w:rPr>
              <w:t xml:space="preserve">Citing </w:t>
            </w:r>
            <w:r w:rsidRPr="507D76BB" w:rsidR="067F69CA">
              <w:rPr>
                <w:rFonts w:eastAsia="Times New Roman" w:cs="Times New Roman"/>
                <w:b w:val="1"/>
                <w:bCs w:val="1"/>
                <w:color w:val="000000" w:themeColor="text1" w:themeTint="FF" w:themeShade="FF"/>
                <w:sz w:val="18"/>
                <w:szCs w:val="18"/>
              </w:rPr>
              <w:t>Article</w:t>
            </w:r>
            <w:r w:rsidRPr="507D76BB" w:rsidR="665E1CB8">
              <w:rPr>
                <w:rFonts w:eastAsia="Times New Roman" w:cs="Times New Roman"/>
                <w:b w:val="1"/>
                <w:bCs w:val="1"/>
                <w:color w:val="000000" w:themeColor="text1" w:themeTint="FF" w:themeShade="FF"/>
                <w:sz w:val="18"/>
                <w:szCs w:val="18"/>
              </w:rPr>
              <w:t>s</w:t>
            </w:r>
          </w:p>
        </w:tc>
        <w:tc>
          <w:tcPr>
            <w:tcW w:w="1140" w:type="dxa"/>
            <w:tcBorders/>
            <w:tcMar>
              <w:left w:w="90" w:type="dxa"/>
              <w:right w:w="90" w:type="dxa"/>
            </w:tcMar>
            <w:vAlign w:val="center"/>
          </w:tcPr>
          <w:p w:rsidR="51C5DE28" w:rsidP="507D76BB" w:rsidRDefault="51C5DE28" w14:paraId="0B1C9694" w14:textId="2AD66765">
            <w:pPr>
              <w:spacing w:after="0"/>
              <w:jc w:val="center"/>
              <w:rPr>
                <w:rFonts w:eastAsia="Times New Roman" w:cs="Times New Roman"/>
                <w:color w:val="000000" w:themeColor="text1"/>
                <w:sz w:val="18"/>
                <w:szCs w:val="18"/>
              </w:rPr>
            </w:pPr>
            <w:r w:rsidRPr="507D76BB" w:rsidR="067F69CA">
              <w:rPr>
                <w:rFonts w:eastAsia="Times New Roman" w:cs="Times New Roman"/>
                <w:b w:val="1"/>
                <w:bCs w:val="1"/>
                <w:color w:val="000000" w:themeColor="text1" w:themeTint="FF" w:themeShade="FF"/>
                <w:sz w:val="18"/>
                <w:szCs w:val="18"/>
              </w:rPr>
              <w:t>Citing Articles</w:t>
            </w:r>
          </w:p>
        </w:tc>
        <w:tc>
          <w:tcPr>
            <w:tcW w:w="2460" w:type="dxa"/>
            <w:tcBorders/>
            <w:tcMar>
              <w:left w:w="90" w:type="dxa"/>
              <w:right w:w="90" w:type="dxa"/>
            </w:tcMar>
            <w:vAlign w:val="center"/>
          </w:tcPr>
          <w:p w:rsidR="51C5DE28" w:rsidP="507D76BB" w:rsidRDefault="51C5DE28" w14:paraId="6660CCBC" w14:textId="3F1E17E2">
            <w:pPr>
              <w:jc w:val="center"/>
              <w:rPr>
                <w:rFonts w:eastAsia="Times New Roman" w:cs="Times New Roman"/>
                <w:color w:val="000000" w:themeColor="text1"/>
                <w:sz w:val="18"/>
                <w:szCs w:val="18"/>
              </w:rPr>
            </w:pPr>
            <w:r w:rsidRPr="507D76BB" w:rsidR="067F69CA">
              <w:rPr>
                <w:rFonts w:eastAsia="Times New Roman" w:cs="Times New Roman"/>
                <w:b w:val="1"/>
                <w:bCs w:val="1"/>
                <w:color w:val="000000" w:themeColor="text1" w:themeTint="FF" w:themeShade="FF"/>
                <w:sz w:val="18"/>
                <w:szCs w:val="18"/>
              </w:rPr>
              <w:t>Measure Description</w:t>
            </w:r>
          </w:p>
        </w:tc>
        <w:tc>
          <w:tcPr>
            <w:tcW w:w="870" w:type="dxa"/>
            <w:tcBorders/>
            <w:tcMar>
              <w:left w:w="90" w:type="dxa"/>
              <w:right w:w="90" w:type="dxa"/>
            </w:tcMar>
            <w:vAlign w:val="center"/>
          </w:tcPr>
          <w:p w:rsidR="51C5DE28" w:rsidP="507D76BB" w:rsidRDefault="51C5DE28" w14:paraId="43758B3B" w14:textId="46A19971">
            <w:pPr>
              <w:jc w:val="center"/>
              <w:rPr>
                <w:rFonts w:eastAsia="Times New Roman" w:cs="Times New Roman"/>
                <w:color w:val="000000" w:themeColor="text1"/>
                <w:sz w:val="18"/>
                <w:szCs w:val="18"/>
              </w:rPr>
            </w:pPr>
            <w:r w:rsidRPr="507D76BB" w:rsidR="067F69CA">
              <w:rPr>
                <w:rFonts w:eastAsia="Times New Roman" w:cs="Times New Roman"/>
                <w:b w:val="1"/>
                <w:bCs w:val="1"/>
                <w:color w:val="000000" w:themeColor="text1" w:themeTint="FF" w:themeShade="FF"/>
                <w:sz w:val="18"/>
                <w:szCs w:val="18"/>
              </w:rPr>
              <w:t>Age Ranges covered</w:t>
            </w:r>
          </w:p>
        </w:tc>
        <w:tc>
          <w:tcPr>
            <w:tcW w:w="2250" w:type="dxa"/>
            <w:tcBorders/>
            <w:tcMar>
              <w:left w:w="90" w:type="dxa"/>
              <w:right w:w="90" w:type="dxa"/>
            </w:tcMar>
            <w:vAlign w:val="center"/>
          </w:tcPr>
          <w:p w:rsidR="51C5DE28" w:rsidP="507D76BB" w:rsidRDefault="51C5DE28" w14:paraId="310E49B8" w14:textId="12075D31">
            <w:pPr>
              <w:jc w:val="center"/>
              <w:rPr>
                <w:rFonts w:eastAsia="Times New Roman" w:cs="Times New Roman"/>
                <w:color w:val="000000" w:themeColor="text1"/>
                <w:sz w:val="18"/>
                <w:szCs w:val="18"/>
              </w:rPr>
            </w:pPr>
            <w:r w:rsidRPr="507D76BB" w:rsidR="067F69CA">
              <w:rPr>
                <w:rFonts w:eastAsia="Times New Roman" w:cs="Times New Roman"/>
                <w:b w:val="1"/>
                <w:bCs w:val="1"/>
                <w:color w:val="000000" w:themeColor="text1" w:themeTint="FF" w:themeShade="FF"/>
                <w:sz w:val="18"/>
                <w:szCs w:val="18"/>
              </w:rPr>
              <w:t>Clinical Groups</w:t>
            </w:r>
          </w:p>
        </w:tc>
        <w:tc>
          <w:tcPr>
            <w:tcW w:w="915" w:type="dxa"/>
            <w:tcBorders/>
            <w:tcMar>
              <w:left w:w="90" w:type="dxa"/>
              <w:right w:w="90" w:type="dxa"/>
            </w:tcMar>
            <w:vAlign w:val="center"/>
          </w:tcPr>
          <w:p w:rsidR="51C5DE28" w:rsidP="507D76BB" w:rsidRDefault="51C5DE28" w14:paraId="04240107" w14:textId="1AAE2A0D">
            <w:pPr>
              <w:jc w:val="center"/>
              <w:rPr>
                <w:rFonts w:eastAsia="Times New Roman" w:cs="Times New Roman"/>
                <w:color w:val="000000" w:themeColor="text1"/>
                <w:sz w:val="18"/>
                <w:szCs w:val="18"/>
              </w:rPr>
            </w:pPr>
            <w:r w:rsidRPr="507D76BB" w:rsidR="067F69CA">
              <w:rPr>
                <w:rFonts w:eastAsia="Times New Roman" w:cs="Times New Roman"/>
                <w:b w:val="1"/>
                <w:bCs w:val="1"/>
                <w:color w:val="000000" w:themeColor="text1" w:themeTint="FF" w:themeShade="FF"/>
                <w:sz w:val="18"/>
                <w:szCs w:val="18"/>
              </w:rPr>
              <w:t>In person vs. Remote</w:t>
            </w:r>
          </w:p>
        </w:tc>
        <w:tc>
          <w:tcPr>
            <w:tcW w:w="1260" w:type="dxa"/>
            <w:tcBorders/>
            <w:tcMar>
              <w:left w:w="90" w:type="dxa"/>
              <w:right w:w="90" w:type="dxa"/>
            </w:tcMar>
            <w:vAlign w:val="center"/>
          </w:tcPr>
          <w:p w:rsidR="51C5DE28" w:rsidP="507D76BB" w:rsidRDefault="51C5DE28" w14:paraId="682A5923" w14:textId="6C4C0DB6">
            <w:pPr>
              <w:jc w:val="center"/>
              <w:rPr>
                <w:rFonts w:eastAsia="Times New Roman" w:cs="Times New Roman"/>
                <w:color w:val="000000" w:themeColor="text1"/>
                <w:sz w:val="18"/>
                <w:szCs w:val="18"/>
              </w:rPr>
            </w:pPr>
            <w:r w:rsidRPr="507D76BB" w:rsidR="067F69CA">
              <w:rPr>
                <w:rFonts w:eastAsia="Times New Roman" w:cs="Times New Roman"/>
                <w:b w:val="1"/>
                <w:bCs w:val="1"/>
                <w:color w:val="000000" w:themeColor="text1" w:themeTint="FF" w:themeShade="FF"/>
                <w:sz w:val="18"/>
                <w:szCs w:val="18"/>
              </w:rPr>
              <w:t>Format</w:t>
            </w:r>
          </w:p>
        </w:tc>
        <w:tc>
          <w:tcPr>
            <w:tcW w:w="1290" w:type="dxa"/>
            <w:tcBorders/>
            <w:tcMar>
              <w:left w:w="90" w:type="dxa"/>
              <w:right w:w="90" w:type="dxa"/>
            </w:tcMar>
            <w:vAlign w:val="center"/>
          </w:tcPr>
          <w:p w:rsidR="51C5DE28" w:rsidP="507D76BB" w:rsidRDefault="51C5DE28" w14:paraId="44FDF6E5" w14:textId="778694AC">
            <w:pPr>
              <w:jc w:val="center"/>
              <w:rPr>
                <w:rFonts w:eastAsia="Times New Roman" w:cs="Times New Roman"/>
                <w:color w:val="000000" w:themeColor="text1"/>
                <w:sz w:val="18"/>
                <w:szCs w:val="18"/>
              </w:rPr>
            </w:pPr>
            <w:r w:rsidRPr="507D76BB" w:rsidR="067F69CA">
              <w:rPr>
                <w:rFonts w:eastAsia="Times New Roman" w:cs="Times New Roman"/>
                <w:b w:val="1"/>
                <w:bCs w:val="1"/>
                <w:color w:val="000000" w:themeColor="text1" w:themeTint="FF" w:themeShade="FF"/>
                <w:sz w:val="18"/>
                <w:szCs w:val="18"/>
              </w:rPr>
              <w:t>Examiner vs. Self-Administered</w:t>
            </w:r>
          </w:p>
        </w:tc>
        <w:tc>
          <w:tcPr>
            <w:tcW w:w="1448" w:type="dxa"/>
            <w:tcBorders/>
            <w:tcMar>
              <w:left w:w="90" w:type="dxa"/>
              <w:right w:w="90" w:type="dxa"/>
            </w:tcMar>
            <w:vAlign w:val="center"/>
          </w:tcPr>
          <w:p w:rsidR="51C5DE28" w:rsidP="507D76BB" w:rsidRDefault="51C5DE28" w14:paraId="02E7FECE" w14:textId="14B46BAE">
            <w:pPr>
              <w:jc w:val="center"/>
              <w:rPr>
                <w:rFonts w:eastAsia="Times New Roman" w:cs="Times New Roman"/>
                <w:color w:val="000000" w:themeColor="text1"/>
                <w:sz w:val="18"/>
                <w:szCs w:val="18"/>
              </w:rPr>
            </w:pPr>
            <w:r w:rsidRPr="507D76BB" w:rsidR="067F69CA">
              <w:rPr>
                <w:rFonts w:eastAsia="Times New Roman" w:cs="Times New Roman"/>
                <w:b w:val="1"/>
                <w:bCs w:val="1"/>
                <w:color w:val="000000" w:themeColor="text1" w:themeTint="FF" w:themeShade="FF"/>
                <w:sz w:val="18"/>
                <w:szCs w:val="18"/>
              </w:rPr>
              <w:t>Reporter</w:t>
            </w:r>
          </w:p>
        </w:tc>
      </w:tr>
      <w:tr w:rsidR="51C5DE28" w:rsidTr="507D76BB" w14:paraId="321EC5EA" w14:textId="77777777">
        <w:trPr>
          <w:trHeight w:val="300"/>
        </w:trPr>
        <w:tc>
          <w:tcPr>
            <w:tcW w:w="1245" w:type="dxa"/>
            <w:tcBorders/>
            <w:tcMar>
              <w:left w:w="90" w:type="dxa"/>
              <w:right w:w="90" w:type="dxa"/>
            </w:tcMar>
            <w:vAlign w:val="center"/>
          </w:tcPr>
          <w:p w:rsidR="51C5DE28" w:rsidP="507D76BB" w:rsidRDefault="51C5DE28" w14:paraId="472D2ACA" w14:textId="6CD9C35A">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MacArthur Competence Assessment Tool for Treatment (</w:t>
            </w:r>
            <w:r w:rsidRPr="507D76BB" w:rsidR="067F69CA">
              <w:rPr>
                <w:rFonts w:eastAsia="Times New Roman" w:cs="Times New Roman"/>
                <w:color w:val="000000" w:themeColor="text1" w:themeTint="FF" w:themeShade="FF"/>
                <w:sz w:val="18"/>
                <w:szCs w:val="18"/>
              </w:rPr>
              <w:t>MacCAT</w:t>
            </w:r>
            <w:r w:rsidRPr="507D76BB" w:rsidR="067F69CA">
              <w:rPr>
                <w:rFonts w:eastAsia="Times New Roman" w:cs="Times New Roman"/>
                <w:color w:val="000000" w:themeColor="text1" w:themeTint="FF" w:themeShade="FF"/>
                <w:sz w:val="18"/>
                <w:szCs w:val="18"/>
              </w:rPr>
              <w:t>-T)</w:t>
            </w:r>
          </w:p>
        </w:tc>
        <w:tc>
          <w:tcPr>
            <w:tcW w:w="825" w:type="dxa"/>
            <w:tcBorders/>
            <w:tcMar>
              <w:left w:w="90" w:type="dxa"/>
              <w:right w:w="90" w:type="dxa"/>
            </w:tcMar>
            <w:vAlign w:val="center"/>
          </w:tcPr>
          <w:p w:rsidR="51C5DE28" w:rsidP="507D76BB" w:rsidRDefault="51C5DE28" w14:paraId="2E6C446A" w14:textId="25B6B83B">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7</w:t>
            </w:r>
          </w:p>
        </w:tc>
        <w:tc>
          <w:tcPr>
            <w:tcW w:w="1140" w:type="dxa"/>
            <w:tcBorders/>
            <w:tcMar>
              <w:left w:w="90" w:type="dxa"/>
              <w:right w:w="90" w:type="dxa"/>
            </w:tcMar>
            <w:vAlign w:val="center"/>
          </w:tcPr>
          <w:p w:rsidR="51C5DE28" w:rsidP="507D76BB" w:rsidRDefault="51C5DE28" w14:paraId="0EED37C7" w14:textId="21BB9DD9">
            <w:pPr>
              <w:pStyle w:val="Normal"/>
              <w:ind w:left="0"/>
              <w:jc w:val="left"/>
              <w:rPr>
                <w:rFonts w:eastAsia="Times New Roman" w:cs="Times New Roman"/>
                <w:color w:val="222222"/>
                <w:sz w:val="24"/>
                <w:szCs w:val="24"/>
              </w:rPr>
            </w:pPr>
            <w:r w:rsidRPr="507D76BB" w:rsidR="067F69CA">
              <w:rPr>
                <w:rFonts w:eastAsia="Times New Roman" w:cs="Times New Roman"/>
                <w:color w:val="222222"/>
                <w:sz w:val="18"/>
                <w:szCs w:val="18"/>
                <w:lang w:val="fr-FR"/>
              </w:rPr>
              <w:t>Kiriaev</w:t>
            </w:r>
            <w:r w:rsidRPr="507D76BB" w:rsidR="067F69CA">
              <w:rPr>
                <w:rFonts w:eastAsia="Times New Roman" w:cs="Times New Roman"/>
                <w:color w:val="222222"/>
                <w:sz w:val="18"/>
                <w:szCs w:val="18"/>
                <w:lang w:val="fr-FR"/>
              </w:rPr>
              <w:t xml:space="preserve"> et al., </w:t>
            </w:r>
            <w:r w:rsidRPr="507D76BB" w:rsidR="067F69CA">
              <w:rPr>
                <w:rFonts w:eastAsia="Times New Roman" w:cs="Times New Roman"/>
                <w:color w:val="222222"/>
                <w:sz w:val="18"/>
                <w:szCs w:val="18"/>
                <w:lang w:val="fr-FR"/>
              </w:rPr>
              <w:t>2018</w:t>
            </w:r>
            <w:r w:rsidRPr="507D76BB" w:rsidR="74DA804E">
              <w:rPr>
                <w:rFonts w:eastAsia="Times New Roman" w:cs="Times New Roman"/>
                <w:color w:val="222222"/>
                <w:sz w:val="18"/>
                <w:szCs w:val="18"/>
                <w:lang w:val="fr-FR"/>
              </w:rPr>
              <w:t>;</w:t>
            </w:r>
            <w:r w:rsidRPr="507D76BB" w:rsidR="74DA804E">
              <w:rPr>
                <w:rFonts w:eastAsia="Times New Roman" w:cs="Times New Roman"/>
                <w:color w:val="222222"/>
                <w:sz w:val="18"/>
                <w:szCs w:val="18"/>
                <w:lang w:val="fr-FR"/>
              </w:rPr>
              <w:t xml:space="preserve"> </w:t>
            </w:r>
            <w:r w:rsidRPr="507D76BB" w:rsidR="067F69CA">
              <w:rPr>
                <w:rFonts w:eastAsia="Times New Roman" w:cs="Times New Roman"/>
                <w:color w:val="222222"/>
                <w:sz w:val="18"/>
                <w:szCs w:val="18"/>
                <w:lang w:val="fr-FR"/>
              </w:rPr>
              <w:t xml:space="preserve">Kolva et al., </w:t>
            </w:r>
            <w:r w:rsidRPr="507D76BB" w:rsidR="067F69CA">
              <w:rPr>
                <w:rFonts w:eastAsia="Times New Roman" w:cs="Times New Roman"/>
                <w:color w:val="222222"/>
                <w:sz w:val="18"/>
                <w:szCs w:val="18"/>
                <w:lang w:val="fr-FR"/>
              </w:rPr>
              <w:t>2018</w:t>
            </w:r>
            <w:r w:rsidRPr="507D76BB" w:rsidR="0321E76E">
              <w:rPr>
                <w:rFonts w:eastAsia="Times New Roman" w:cs="Times New Roman"/>
                <w:color w:val="222222"/>
                <w:sz w:val="18"/>
                <w:szCs w:val="18"/>
                <w:lang w:val="fr-FR"/>
              </w:rPr>
              <w:t>;</w:t>
            </w:r>
            <w:r w:rsidRPr="507D76BB" w:rsidR="0321E76E">
              <w:rPr>
                <w:rFonts w:eastAsia="Times New Roman" w:cs="Times New Roman"/>
                <w:color w:val="222222"/>
                <w:sz w:val="18"/>
                <w:szCs w:val="18"/>
                <w:lang w:val="fr-FR"/>
              </w:rPr>
              <w:t xml:space="preserve"> </w:t>
            </w:r>
            <w:r w:rsidRPr="507D76BB" w:rsidR="067F69CA">
              <w:rPr>
                <w:rFonts w:eastAsia="Times New Roman" w:cs="Times New Roman"/>
                <w:color w:val="222222"/>
                <w:sz w:val="18"/>
                <w:szCs w:val="18"/>
                <w:lang w:val="fr-FR"/>
              </w:rPr>
              <w:t xml:space="preserve">Kolva et al., </w:t>
            </w:r>
            <w:r w:rsidRPr="507D76BB" w:rsidR="067F69CA">
              <w:rPr>
                <w:rFonts w:eastAsia="Times New Roman" w:cs="Times New Roman"/>
                <w:color w:val="222222"/>
                <w:sz w:val="18"/>
                <w:szCs w:val="18"/>
                <w:lang w:val="fr-FR"/>
              </w:rPr>
              <w:t>2020</w:t>
            </w:r>
            <w:r w:rsidRPr="507D76BB" w:rsidR="6C3EC6BE">
              <w:rPr>
                <w:rFonts w:eastAsia="Times New Roman" w:cs="Times New Roman"/>
                <w:color w:val="222222"/>
                <w:sz w:val="18"/>
                <w:szCs w:val="18"/>
                <w:lang w:val="fr-FR"/>
              </w:rPr>
              <w:t>;</w:t>
            </w:r>
            <w:r w:rsidRPr="507D76BB" w:rsidR="6C3EC6BE">
              <w:rPr>
                <w:rFonts w:eastAsia="Times New Roman" w:cs="Times New Roman"/>
                <w:color w:val="222222"/>
                <w:sz w:val="18"/>
                <w:szCs w:val="18"/>
                <w:lang w:val="fr-FR"/>
              </w:rPr>
              <w:t xml:space="preserve"> </w:t>
            </w:r>
            <w:r w:rsidRPr="507D76BB" w:rsidR="067F69CA">
              <w:rPr>
                <w:rFonts w:eastAsia="Times New Roman" w:cs="Times New Roman"/>
                <w:color w:val="222222"/>
                <w:sz w:val="18"/>
                <w:szCs w:val="18"/>
                <w:lang w:val="fr-FR"/>
              </w:rPr>
              <w:t>Occhiogrosso</w:t>
            </w:r>
            <w:r w:rsidRPr="507D76BB" w:rsidR="067F69CA">
              <w:rPr>
                <w:rFonts w:eastAsia="Times New Roman" w:cs="Times New Roman"/>
                <w:color w:val="222222"/>
                <w:sz w:val="18"/>
                <w:szCs w:val="18"/>
                <w:lang w:val="fr-FR"/>
              </w:rPr>
              <w:t xml:space="preserve"> et </w:t>
            </w:r>
            <w:r w:rsidRPr="507D76BB" w:rsidR="067F69CA">
              <w:rPr>
                <w:rFonts w:eastAsia="Times New Roman" w:cs="Times New Roman"/>
                <w:color w:val="222222"/>
                <w:sz w:val="18"/>
                <w:szCs w:val="18"/>
                <w:lang w:val="fr-FR"/>
              </w:rPr>
              <w:t>al,,</w:t>
            </w:r>
            <w:r w:rsidRPr="507D76BB" w:rsidR="067F69CA">
              <w:rPr>
                <w:rFonts w:eastAsia="Times New Roman" w:cs="Times New Roman"/>
                <w:color w:val="222222"/>
                <w:sz w:val="18"/>
                <w:szCs w:val="18"/>
                <w:lang w:val="fr-FR"/>
              </w:rPr>
              <w:t xml:space="preserve"> </w:t>
            </w:r>
            <w:r w:rsidRPr="507D76BB" w:rsidR="067F69CA">
              <w:rPr>
                <w:rFonts w:eastAsia="Times New Roman" w:cs="Times New Roman"/>
                <w:color w:val="222222"/>
                <w:sz w:val="18"/>
                <w:szCs w:val="18"/>
                <w:lang w:val="fr-FR"/>
              </w:rPr>
              <w:t>2020</w:t>
            </w:r>
            <w:r w:rsidRPr="507D76BB" w:rsidR="0913EEFD">
              <w:rPr>
                <w:rFonts w:eastAsia="Times New Roman" w:cs="Times New Roman"/>
                <w:color w:val="222222"/>
                <w:sz w:val="18"/>
                <w:szCs w:val="18"/>
                <w:lang w:val="fr-FR"/>
              </w:rPr>
              <w:t>;</w:t>
            </w:r>
            <w:r w:rsidRPr="507D76BB" w:rsidR="0913EEFD">
              <w:rPr>
                <w:rFonts w:eastAsia="Times New Roman" w:cs="Times New Roman"/>
                <w:color w:val="222222"/>
                <w:sz w:val="18"/>
                <w:szCs w:val="18"/>
                <w:lang w:val="fr-FR"/>
              </w:rPr>
              <w:t xml:space="preserve"> </w:t>
            </w:r>
            <w:r w:rsidRPr="507D76BB" w:rsidR="067F69CA">
              <w:rPr>
                <w:rFonts w:eastAsia="Times New Roman" w:cs="Times New Roman"/>
                <w:color w:val="222222"/>
                <w:sz w:val="18"/>
                <w:szCs w:val="18"/>
                <w:lang w:val="fr-FR"/>
              </w:rPr>
              <w:t>Poth</w:t>
            </w:r>
            <w:r w:rsidRPr="507D76BB" w:rsidR="067F69CA">
              <w:rPr>
                <w:rFonts w:eastAsia="Times New Roman" w:cs="Times New Roman"/>
                <w:color w:val="222222"/>
                <w:sz w:val="18"/>
                <w:szCs w:val="18"/>
                <w:lang w:val="fr-FR"/>
              </w:rPr>
              <w:t xml:space="preserve"> et al., </w:t>
            </w:r>
            <w:r w:rsidRPr="507D76BB" w:rsidR="067F69CA">
              <w:rPr>
                <w:rFonts w:eastAsia="Times New Roman" w:cs="Times New Roman"/>
                <w:color w:val="222222"/>
                <w:sz w:val="18"/>
                <w:szCs w:val="18"/>
                <w:lang w:val="fr-FR"/>
              </w:rPr>
              <w:t>202</w:t>
            </w:r>
            <w:r w:rsidRPr="507D76BB" w:rsidR="60B1AA11">
              <w:rPr>
                <w:rFonts w:eastAsia="Times New Roman" w:cs="Times New Roman"/>
                <w:color w:val="222222"/>
                <w:sz w:val="18"/>
                <w:szCs w:val="18"/>
                <w:lang w:val="fr-FR"/>
              </w:rPr>
              <w:t>3</w:t>
            </w:r>
            <w:r w:rsidRPr="507D76BB" w:rsidR="31F9C87F">
              <w:rPr>
                <w:rFonts w:eastAsia="Times New Roman" w:cs="Times New Roman"/>
                <w:color w:val="222222"/>
                <w:sz w:val="18"/>
                <w:szCs w:val="18"/>
                <w:lang w:val="fr-FR"/>
              </w:rPr>
              <w:t>;</w:t>
            </w:r>
            <w:r w:rsidRPr="507D76BB" w:rsidR="31F9C87F">
              <w:rPr>
                <w:rFonts w:eastAsia="Times New Roman" w:cs="Times New Roman"/>
                <w:color w:val="222222"/>
                <w:sz w:val="18"/>
                <w:szCs w:val="18"/>
                <w:lang w:val="fr-FR"/>
              </w:rPr>
              <w:t xml:space="preserve"> </w:t>
            </w:r>
            <w:r w:rsidRPr="507D76BB" w:rsidR="067F69CA">
              <w:rPr>
                <w:rFonts w:eastAsia="Times New Roman" w:cs="Times New Roman"/>
                <w:color w:val="222222"/>
                <w:sz w:val="18"/>
                <w:szCs w:val="18"/>
                <w:lang w:val="fr-FR"/>
              </w:rPr>
              <w:t>Santos</w:t>
            </w:r>
            <w:r w:rsidRPr="507D76BB" w:rsidR="067F69CA">
              <w:rPr>
                <w:rFonts w:eastAsia="Times New Roman" w:cs="Times New Roman"/>
                <w:color w:val="222222"/>
                <w:sz w:val="18"/>
                <w:szCs w:val="18"/>
                <w:lang w:val="fr-FR"/>
              </w:rPr>
              <w:t xml:space="preserve">, </w:t>
            </w:r>
            <w:r w:rsidRPr="507D76BB" w:rsidR="067F69CA">
              <w:rPr>
                <w:rFonts w:eastAsia="Times New Roman" w:cs="Times New Roman"/>
                <w:color w:val="222222"/>
                <w:sz w:val="18"/>
                <w:szCs w:val="18"/>
                <w:lang w:val="fr-FR"/>
              </w:rPr>
              <w:t>2022</w:t>
            </w:r>
            <w:r w:rsidRPr="507D76BB" w:rsidR="1CCC4537">
              <w:rPr>
                <w:rFonts w:eastAsia="Times New Roman" w:cs="Times New Roman"/>
                <w:color w:val="222222"/>
                <w:sz w:val="18"/>
                <w:szCs w:val="18"/>
                <w:lang w:val="fr-FR"/>
              </w:rPr>
              <w:t xml:space="preserve">; </w:t>
            </w:r>
            <w:r w:rsidRPr="507D76BB" w:rsidR="067F69CA">
              <w:rPr>
                <w:rFonts w:eastAsia="Times New Roman" w:cs="Times New Roman"/>
                <w:color w:val="222222"/>
                <w:sz w:val="18"/>
                <w:szCs w:val="18"/>
                <w:lang w:val="fr-FR"/>
              </w:rPr>
              <w:t>S</w:t>
            </w:r>
            <w:r w:rsidRPr="507D76BB" w:rsidR="067F69CA">
              <w:rPr>
                <w:rFonts w:eastAsia="Times New Roman" w:cs="Times New Roman"/>
                <w:color w:val="222222"/>
                <w:sz w:val="18"/>
                <w:szCs w:val="18"/>
                <w:lang w:val="fr-FR"/>
              </w:rPr>
              <w:t>pataro</w:t>
            </w:r>
            <w:r w:rsidRPr="507D76BB" w:rsidR="067F69CA">
              <w:rPr>
                <w:rFonts w:eastAsia="Times New Roman" w:cs="Times New Roman"/>
                <w:color w:val="222222"/>
                <w:sz w:val="18"/>
                <w:szCs w:val="18"/>
                <w:lang w:val="fr-FR"/>
              </w:rPr>
              <w:t xml:space="preserve"> &amp; La Bella, </w:t>
            </w:r>
            <w:r w:rsidRPr="507D76BB" w:rsidR="067F69CA">
              <w:rPr>
                <w:rFonts w:eastAsia="Times New Roman" w:cs="Times New Roman"/>
                <w:color w:val="222222"/>
                <w:sz w:val="18"/>
                <w:szCs w:val="18"/>
                <w:lang w:val="fr-FR"/>
              </w:rPr>
              <w:t>2021</w:t>
            </w:r>
            <w:r w:rsidRPr="507D76BB" w:rsidR="067F69CA">
              <w:rPr>
                <w:rFonts w:eastAsia="Times New Roman" w:cs="Times New Roman"/>
                <w:color w:val="222222"/>
                <w:sz w:val="18"/>
                <w:szCs w:val="18"/>
                <w:lang w:val="fr-FR"/>
              </w:rPr>
              <w:t xml:space="preserve"> </w:t>
            </w:r>
          </w:p>
        </w:tc>
        <w:tc>
          <w:tcPr>
            <w:tcW w:w="2460" w:type="dxa"/>
            <w:tcBorders/>
            <w:tcMar>
              <w:left w:w="90" w:type="dxa"/>
              <w:right w:w="90" w:type="dxa"/>
            </w:tcMar>
            <w:vAlign w:val="center"/>
          </w:tcPr>
          <w:p w:rsidR="51C5DE28" w:rsidP="507D76BB" w:rsidRDefault="51C5DE28" w14:paraId="123B727C" w14:textId="6166C7F0">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Tool uses an interview and vignette format to measure four domains of competence: understanding information relevant to the condition and recommended treatment, reasoning of potential risks and benefits of choices </w:t>
            </w:r>
            <w:r w:rsidRPr="507D76BB" w:rsidR="067F69CA">
              <w:rPr>
                <w:rFonts w:eastAsia="Times New Roman" w:cs="Times New Roman"/>
                <w:color w:val="000000" w:themeColor="text1" w:themeTint="FF" w:themeShade="FF"/>
                <w:sz w:val="18"/>
                <w:szCs w:val="18"/>
              </w:rPr>
              <w:t>regarding</w:t>
            </w:r>
            <w:r w:rsidRPr="507D76BB" w:rsidR="067F69CA">
              <w:rPr>
                <w:rFonts w:eastAsia="Times New Roman" w:cs="Times New Roman"/>
                <w:color w:val="000000" w:themeColor="text1" w:themeTint="FF" w:themeShade="FF"/>
                <w:sz w:val="18"/>
                <w:szCs w:val="18"/>
              </w:rPr>
              <w:t xml:space="preserve"> treatment, appreciation of the nature of the situation and potential consequences of the choice, and expression of a choice. Made specifically for treatment and medical decisions.</w:t>
            </w:r>
          </w:p>
        </w:tc>
        <w:tc>
          <w:tcPr>
            <w:tcW w:w="870" w:type="dxa"/>
            <w:tcBorders/>
            <w:tcMar>
              <w:left w:w="90" w:type="dxa"/>
              <w:right w:w="90" w:type="dxa"/>
            </w:tcMar>
            <w:vAlign w:val="center"/>
          </w:tcPr>
          <w:p w:rsidR="51C5DE28" w:rsidP="507D76BB" w:rsidRDefault="51C5DE28" w14:paraId="16617B7F" w14:textId="5F97426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45-85+</w:t>
            </w:r>
          </w:p>
        </w:tc>
        <w:tc>
          <w:tcPr>
            <w:tcW w:w="2250" w:type="dxa"/>
            <w:tcBorders/>
            <w:tcMar>
              <w:left w:w="90" w:type="dxa"/>
              <w:right w:w="90" w:type="dxa"/>
            </w:tcMar>
            <w:vAlign w:val="center"/>
          </w:tcPr>
          <w:p w:rsidR="51C5DE28" w:rsidP="507D76BB" w:rsidRDefault="51C5DE28" w14:paraId="427C52FE" w14:textId="1B1EF691">
            <w:pPr>
              <w:pStyle w:val="ListParagraph"/>
              <w:ind w:left="360"/>
              <w:jc w:val="left"/>
              <w:rPr>
                <w:rFonts w:eastAsia="Times New Roman" w:cs="Times New Roman"/>
                <w:color w:val="000000" w:themeColor="text1" w:themeTint="FF" w:themeShade="FF"/>
                <w:sz w:val="24"/>
                <w:szCs w:val="24"/>
              </w:rPr>
            </w:pPr>
            <w:r w:rsidRPr="507D76BB" w:rsidR="1D151E41">
              <w:rPr>
                <w:rFonts w:eastAsia="Times New Roman" w:cs="Times New Roman"/>
                <w:color w:val="000000" w:themeColor="text1" w:themeTint="FF" w:themeShade="FF"/>
                <w:sz w:val="18"/>
                <w:szCs w:val="18"/>
              </w:rPr>
              <w:t>Nursing home residents</w:t>
            </w:r>
          </w:p>
          <w:p w:rsidR="51C5DE28" w:rsidP="507D76BB" w:rsidRDefault="51C5DE28" w14:paraId="580AF80A" w14:textId="2C58ABCF">
            <w:pPr>
              <w:pStyle w:val="ListParagraph"/>
              <w:ind w:left="360"/>
              <w:jc w:val="left"/>
              <w:rPr>
                <w:rFonts w:eastAsia="Times New Roman" w:cs="Times New Roman"/>
                <w:color w:val="000000" w:themeColor="text1" w:themeTint="FF" w:themeShade="FF"/>
                <w:sz w:val="18"/>
                <w:szCs w:val="18"/>
              </w:rPr>
            </w:pPr>
            <w:r w:rsidRPr="507D76BB" w:rsidR="067F69CA">
              <w:rPr>
                <w:rFonts w:eastAsia="Times New Roman" w:cs="Times New Roman"/>
                <w:color w:val="000000" w:themeColor="text1" w:themeTint="FF" w:themeShade="FF"/>
                <w:sz w:val="18"/>
                <w:szCs w:val="18"/>
              </w:rPr>
              <w:t>Terminally ill patients with cancer</w:t>
            </w:r>
          </w:p>
          <w:p w:rsidR="51C5DE28" w:rsidP="507D76BB" w:rsidRDefault="51C5DE28" w14:paraId="5CECCD94" w14:textId="223EED28">
            <w:pPr>
              <w:pStyle w:val="ListParagraph"/>
              <w:ind w:left="360"/>
              <w:jc w:val="left"/>
              <w:rPr>
                <w:rFonts w:eastAsia="Times New Roman" w:cs="Times New Roman"/>
                <w:color w:val="000000" w:themeColor="text1" w:themeTint="FF" w:themeShade="FF"/>
                <w:sz w:val="18"/>
                <w:szCs w:val="18"/>
              </w:rPr>
            </w:pPr>
            <w:r w:rsidRPr="507D76BB" w:rsidR="067F69CA">
              <w:rPr>
                <w:rFonts w:eastAsia="Times New Roman" w:cs="Times New Roman"/>
                <w:color w:val="000000" w:themeColor="text1" w:themeTint="FF" w:themeShade="FF"/>
                <w:sz w:val="18"/>
                <w:szCs w:val="18"/>
              </w:rPr>
              <w:t xml:space="preserve">Mild to Moderate Alzheimer's </w:t>
            </w:r>
            <w:r w:rsidRPr="507D76BB" w:rsidR="067F69CA">
              <w:rPr>
                <w:rFonts w:eastAsia="Times New Roman" w:cs="Times New Roman"/>
                <w:color w:val="000000" w:themeColor="text1" w:themeTint="FF" w:themeShade="FF"/>
                <w:sz w:val="18"/>
                <w:szCs w:val="18"/>
              </w:rPr>
              <w:t>Disease</w:t>
            </w:r>
            <w:r w:rsidRPr="507D76BB" w:rsidR="21665345">
              <w:rPr>
                <w:rFonts w:eastAsia="Times New Roman" w:cs="Times New Roman"/>
                <w:color w:val="000000" w:themeColor="text1" w:themeTint="FF" w:themeShade="FF"/>
                <w:sz w:val="18"/>
                <w:szCs w:val="18"/>
              </w:rPr>
              <w:t xml:space="preserve"> (AD)</w:t>
            </w:r>
          </w:p>
          <w:p w:rsidR="51C5DE28" w:rsidP="507D76BB" w:rsidRDefault="51C5DE28" w14:paraId="75B98DA2" w14:textId="1BF233F1">
            <w:pPr>
              <w:pStyle w:val="ListParagraph"/>
              <w:ind w:left="360"/>
              <w:jc w:val="left"/>
              <w:rPr>
                <w:rFonts w:eastAsia="Times New Roman" w:cs="Times New Roman"/>
                <w:color w:val="000000" w:themeColor="text1" w:themeTint="FF" w:themeShade="FF"/>
                <w:sz w:val="18"/>
                <w:szCs w:val="18"/>
              </w:rPr>
            </w:pPr>
            <w:r w:rsidRPr="507D76BB" w:rsidR="3DC21348">
              <w:rPr>
                <w:rFonts w:eastAsia="Times New Roman" w:cs="Times New Roman"/>
                <w:color w:val="000000" w:themeColor="text1" w:themeTint="FF" w:themeShade="FF"/>
                <w:sz w:val="18"/>
                <w:szCs w:val="18"/>
              </w:rPr>
              <w:t>Dementia</w:t>
            </w:r>
          </w:p>
          <w:p w:rsidR="51C5DE28" w:rsidP="507D76BB" w:rsidRDefault="51C5DE28" w14:paraId="336BE6AD" w14:textId="59D5B0AB">
            <w:pPr>
              <w:pStyle w:val="ListParagraph"/>
              <w:ind w:left="360"/>
              <w:jc w:val="left"/>
              <w:rPr>
                <w:rFonts w:eastAsia="Times New Roman" w:cs="Times New Roman"/>
                <w:color w:val="000000" w:themeColor="text1" w:themeTint="FF" w:themeShade="FF"/>
                <w:sz w:val="24"/>
                <w:szCs w:val="24"/>
              </w:rPr>
            </w:pPr>
            <w:r w:rsidRPr="507D76BB" w:rsidR="31C65E0C">
              <w:rPr>
                <w:rFonts w:eastAsia="Times New Roman" w:cs="Times New Roman"/>
                <w:color w:val="000000" w:themeColor="text1" w:themeTint="FF" w:themeShade="FF"/>
                <w:sz w:val="18"/>
                <w:szCs w:val="18"/>
              </w:rPr>
              <w:t>Amyotrophic Lateral Sclerosis (</w:t>
            </w:r>
            <w:r w:rsidRPr="507D76BB" w:rsidR="067F69CA">
              <w:rPr>
                <w:rFonts w:eastAsia="Times New Roman" w:cs="Times New Roman"/>
                <w:color w:val="000000" w:themeColor="text1" w:themeTint="FF" w:themeShade="FF"/>
                <w:sz w:val="18"/>
                <w:szCs w:val="18"/>
              </w:rPr>
              <w:t>ALS</w:t>
            </w:r>
            <w:r w:rsidRPr="507D76BB" w:rsidR="3839D9CD">
              <w:rPr>
                <w:rFonts w:eastAsia="Times New Roman" w:cs="Times New Roman"/>
                <w:color w:val="000000" w:themeColor="text1" w:themeTint="FF" w:themeShade="FF"/>
                <w:sz w:val="18"/>
                <w:szCs w:val="18"/>
              </w:rPr>
              <w:t>)</w:t>
            </w:r>
          </w:p>
          <w:p w:rsidR="51C5DE28" w:rsidP="507D76BB" w:rsidRDefault="51C5DE28" w14:paraId="42146A8A" w14:textId="0D8F0D3B">
            <w:pPr>
              <w:pStyle w:val="ListParagraph"/>
              <w:ind w:left="360"/>
              <w:jc w:val="left"/>
              <w:rPr>
                <w:rFonts w:eastAsia="Times New Roman" w:cs="Times New Roman"/>
                <w:color w:val="000000" w:themeColor="text1" w:themeTint="FF" w:themeShade="FF"/>
                <w:sz w:val="24"/>
                <w:szCs w:val="24"/>
              </w:rPr>
            </w:pPr>
            <w:r w:rsidRPr="507D76BB" w:rsidR="067F69CA">
              <w:rPr>
                <w:rFonts w:eastAsia="Times New Roman" w:cs="Times New Roman"/>
                <w:color w:val="000000" w:themeColor="text1" w:themeTint="FF" w:themeShade="FF"/>
                <w:sz w:val="18"/>
                <w:szCs w:val="18"/>
              </w:rPr>
              <w:t>Patients w/ Malignant Gliomas</w:t>
            </w:r>
          </w:p>
          <w:p w:rsidR="51C5DE28" w:rsidP="507D76BB" w:rsidRDefault="51C5DE28" w14:paraId="59A7E1D3" w14:textId="6B70ACEC">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Terminally Ill Patients with Advanced Cancer</w:t>
            </w:r>
          </w:p>
        </w:tc>
        <w:tc>
          <w:tcPr>
            <w:tcW w:w="915" w:type="dxa"/>
            <w:tcBorders/>
            <w:tcMar>
              <w:left w:w="90" w:type="dxa"/>
              <w:right w:w="90" w:type="dxa"/>
            </w:tcMar>
            <w:vAlign w:val="center"/>
          </w:tcPr>
          <w:p w:rsidR="51C5DE28" w:rsidP="507D76BB" w:rsidRDefault="51C5DE28" w14:paraId="5869B500" w14:textId="06C459DE">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In </w:t>
            </w:r>
            <w:r w:rsidRPr="507D76BB" w:rsidR="4A111162">
              <w:rPr>
                <w:rFonts w:eastAsia="Times New Roman" w:cs="Times New Roman"/>
                <w:color w:val="000000" w:themeColor="text1" w:themeTint="FF" w:themeShade="FF"/>
                <w:sz w:val="18"/>
                <w:szCs w:val="18"/>
              </w:rPr>
              <w:t>p</w:t>
            </w:r>
            <w:r w:rsidRPr="507D76BB" w:rsidR="067F69CA">
              <w:rPr>
                <w:rFonts w:eastAsia="Times New Roman" w:cs="Times New Roman"/>
                <w:color w:val="000000" w:themeColor="text1" w:themeTint="FF" w:themeShade="FF"/>
                <w:sz w:val="18"/>
                <w:szCs w:val="18"/>
              </w:rPr>
              <w:t>erson</w:t>
            </w:r>
          </w:p>
        </w:tc>
        <w:tc>
          <w:tcPr>
            <w:tcW w:w="1260" w:type="dxa"/>
            <w:tcBorders/>
            <w:tcMar>
              <w:left w:w="90" w:type="dxa"/>
              <w:right w:w="90" w:type="dxa"/>
            </w:tcMar>
            <w:vAlign w:val="center"/>
          </w:tcPr>
          <w:p w:rsidR="51C5DE28" w:rsidP="507D76BB" w:rsidRDefault="51C5DE28" w14:paraId="2285B08B" w14:textId="50B2381E">
            <w:pPr>
              <w:pStyle w:val="Normal"/>
              <w:ind w:left="0"/>
              <w:jc w:val="left"/>
              <w:rPr>
                <w:rFonts w:eastAsia="Times New Roman" w:cs="Times New Roman"/>
                <w:color w:val="000000" w:themeColor="text1" w:themeTint="FF" w:themeShade="FF"/>
                <w:sz w:val="24"/>
                <w:szCs w:val="24"/>
              </w:rPr>
            </w:pPr>
            <w:r w:rsidRPr="507D76BB" w:rsidR="067F69CA">
              <w:rPr>
                <w:rFonts w:eastAsia="Times New Roman" w:cs="Times New Roman"/>
                <w:color w:val="000000" w:themeColor="text1" w:themeTint="FF" w:themeShade="FF"/>
                <w:sz w:val="18"/>
                <w:szCs w:val="18"/>
              </w:rPr>
              <w:t>Semi-structured intervie</w:t>
            </w:r>
            <w:r w:rsidRPr="507D76BB" w:rsidR="439DC800">
              <w:rPr>
                <w:rFonts w:eastAsia="Times New Roman" w:cs="Times New Roman"/>
                <w:color w:val="000000" w:themeColor="text1" w:themeTint="FF" w:themeShade="FF"/>
                <w:sz w:val="18"/>
                <w:szCs w:val="18"/>
              </w:rPr>
              <w:t>w</w:t>
            </w:r>
          </w:p>
          <w:p w:rsidR="51C5DE28" w:rsidP="507D76BB" w:rsidRDefault="51C5DE28" w14:paraId="6675808E" w14:textId="234AE8EC">
            <w:pPr>
              <w:jc w:val="left"/>
              <w:rPr>
                <w:rFonts w:eastAsia="Times New Roman" w:cs="Times New Roman"/>
                <w:color w:val="000000" w:themeColor="text1"/>
                <w:sz w:val="18"/>
                <w:szCs w:val="18"/>
              </w:rPr>
            </w:pPr>
            <w:r w:rsidRPr="507D76BB" w:rsidR="12A7FD74">
              <w:rPr>
                <w:rFonts w:eastAsia="Times New Roman" w:cs="Times New Roman"/>
                <w:color w:val="000000" w:themeColor="text1" w:themeTint="FF" w:themeShade="FF"/>
                <w:sz w:val="18"/>
                <w:szCs w:val="18"/>
              </w:rPr>
              <w:t>(w/ vignette)</w:t>
            </w:r>
            <w:r w:rsidRPr="507D76BB" w:rsidR="067F69CA">
              <w:rPr>
                <w:rFonts w:eastAsia="Times New Roman" w:cs="Times New Roman"/>
                <w:color w:val="000000" w:themeColor="text1" w:themeTint="FF" w:themeShade="FF"/>
                <w:sz w:val="18"/>
                <w:szCs w:val="18"/>
              </w:rPr>
              <w:t xml:space="preserve"> </w:t>
            </w:r>
          </w:p>
        </w:tc>
        <w:tc>
          <w:tcPr>
            <w:tcW w:w="1290" w:type="dxa"/>
            <w:tcBorders/>
            <w:tcMar>
              <w:left w:w="90" w:type="dxa"/>
              <w:right w:w="90" w:type="dxa"/>
            </w:tcMar>
            <w:vAlign w:val="center"/>
          </w:tcPr>
          <w:p w:rsidR="51C5DE28" w:rsidP="507D76BB" w:rsidRDefault="51C5DE28" w14:paraId="22B1FE1E" w14:textId="0C1D7CC1">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Examiner</w:t>
            </w:r>
          </w:p>
        </w:tc>
        <w:tc>
          <w:tcPr>
            <w:tcW w:w="1448" w:type="dxa"/>
            <w:tcBorders/>
            <w:tcMar>
              <w:left w:w="90" w:type="dxa"/>
              <w:right w:w="90" w:type="dxa"/>
            </w:tcMar>
            <w:vAlign w:val="center"/>
          </w:tcPr>
          <w:p w:rsidR="51C5DE28" w:rsidP="507D76BB" w:rsidRDefault="51C5DE28" w14:paraId="5CF63D6A" w14:textId="7D373417">
            <w:pPr>
              <w:pStyle w:val="ListParagraph"/>
              <w:ind w:left="360"/>
              <w:jc w:val="left"/>
              <w:rPr>
                <w:rFonts w:eastAsia="Times New Roman" w:cs="Times New Roman"/>
                <w:color w:val="000000" w:themeColor="text1" w:themeTint="FF" w:themeShade="FF"/>
                <w:sz w:val="24"/>
                <w:szCs w:val="24"/>
              </w:rPr>
            </w:pPr>
            <w:r w:rsidRPr="507D76BB" w:rsidR="067F69CA">
              <w:rPr>
                <w:rFonts w:eastAsia="Times New Roman" w:cs="Times New Roman"/>
                <w:color w:val="000000" w:themeColor="text1" w:themeTint="FF" w:themeShade="FF"/>
                <w:sz w:val="18"/>
                <w:szCs w:val="18"/>
              </w:rPr>
              <w:t>Patient</w:t>
            </w:r>
          </w:p>
          <w:p w:rsidR="51C5DE28" w:rsidP="507D76BB" w:rsidRDefault="51C5DE28" w14:paraId="3DB7E586" w14:textId="4CB77F13">
            <w:pPr>
              <w:pStyle w:val="ListParagraph"/>
              <w:ind w:left="360"/>
              <w:jc w:val="left"/>
              <w:rPr>
                <w:rFonts w:eastAsia="Times New Roman" w:cs="Times New Roman"/>
                <w:color w:val="000000" w:themeColor="text1" w:themeTint="FF" w:themeShade="FF"/>
                <w:sz w:val="24"/>
                <w:szCs w:val="24"/>
              </w:rPr>
            </w:pPr>
            <w:r w:rsidRPr="507D76BB" w:rsidR="067F69CA">
              <w:rPr>
                <w:rFonts w:eastAsia="Times New Roman" w:cs="Times New Roman"/>
                <w:color w:val="000000" w:themeColor="text1" w:themeTint="FF" w:themeShade="FF"/>
                <w:sz w:val="18"/>
                <w:szCs w:val="18"/>
              </w:rPr>
              <w:t>Patient and caregiver</w:t>
            </w:r>
          </w:p>
          <w:p w:rsidR="51C5DE28" w:rsidP="507D76BB" w:rsidRDefault="51C5DE28" w14:paraId="71DD4FD0" w14:textId="0CC050C9">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 and next-of-kin</w:t>
            </w:r>
          </w:p>
        </w:tc>
      </w:tr>
      <w:tr w:rsidR="51C5DE28" w:rsidTr="507D76BB" w14:paraId="50626577" w14:textId="77777777">
        <w:trPr>
          <w:trHeight w:val="300"/>
        </w:trPr>
        <w:tc>
          <w:tcPr>
            <w:tcW w:w="1245" w:type="dxa"/>
            <w:tcBorders/>
            <w:tcMar>
              <w:left w:w="90" w:type="dxa"/>
              <w:right w:w="90" w:type="dxa"/>
            </w:tcMar>
            <w:vAlign w:val="center"/>
          </w:tcPr>
          <w:p w:rsidR="51C5DE28" w:rsidP="507D76BB" w:rsidRDefault="51C5DE28" w14:paraId="3FFF3C86" w14:textId="2F5F8FD5">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Decisional Conflict Scale (DCS)</w:t>
            </w:r>
          </w:p>
        </w:tc>
        <w:tc>
          <w:tcPr>
            <w:tcW w:w="825" w:type="dxa"/>
            <w:tcBorders/>
            <w:tcMar>
              <w:left w:w="90" w:type="dxa"/>
              <w:right w:w="90" w:type="dxa"/>
            </w:tcMar>
            <w:vAlign w:val="center"/>
          </w:tcPr>
          <w:p w:rsidR="51C5DE28" w:rsidP="507D76BB" w:rsidRDefault="51C5DE28" w14:paraId="04D55CD0" w14:textId="3B7CA8C2">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5</w:t>
            </w:r>
          </w:p>
        </w:tc>
        <w:tc>
          <w:tcPr>
            <w:tcW w:w="1140" w:type="dxa"/>
            <w:tcBorders/>
            <w:tcMar>
              <w:left w:w="90" w:type="dxa"/>
              <w:right w:w="90" w:type="dxa"/>
            </w:tcMar>
            <w:vAlign w:val="center"/>
          </w:tcPr>
          <w:p w:rsidR="51C5DE28" w:rsidP="507D76BB" w:rsidRDefault="51C5DE28" w14:paraId="6B9876EE" w14:textId="46A97546">
            <w:pPr>
              <w:jc w:val="left"/>
              <w:rPr>
                <w:rFonts w:eastAsia="Times New Roman" w:cs="Times New Roman"/>
                <w:color w:val="000000" w:themeColor="text1"/>
                <w:sz w:val="18"/>
                <w:szCs w:val="18"/>
                <w:lang w:val="fr-FR"/>
              </w:rPr>
            </w:pPr>
            <w:r w:rsidRPr="507D76BB" w:rsidR="067F69CA">
              <w:rPr>
                <w:rFonts w:eastAsia="Times New Roman" w:cs="Times New Roman"/>
                <w:color w:val="000000" w:themeColor="text1" w:themeTint="FF" w:themeShade="FF"/>
                <w:sz w:val="18"/>
                <w:szCs w:val="18"/>
                <w:lang w:val="fr-FR"/>
              </w:rPr>
              <w:t xml:space="preserve">Huang et al., </w:t>
            </w:r>
            <w:r w:rsidRPr="507D76BB" w:rsidR="067F69CA">
              <w:rPr>
                <w:rFonts w:eastAsia="Times New Roman" w:cs="Times New Roman"/>
                <w:color w:val="000000" w:themeColor="text1" w:themeTint="FF" w:themeShade="FF"/>
                <w:sz w:val="18"/>
                <w:szCs w:val="18"/>
                <w:lang w:val="fr-FR"/>
              </w:rPr>
              <w:t>2020;</w:t>
            </w:r>
            <w:r w:rsidRPr="507D76BB" w:rsidR="067F69CA">
              <w:rPr>
                <w:rFonts w:eastAsia="Times New Roman" w:cs="Times New Roman"/>
                <w:color w:val="000000" w:themeColor="text1" w:themeTint="FF" w:themeShade="FF"/>
                <w:sz w:val="18"/>
                <w:szCs w:val="18"/>
                <w:lang w:val="fr-FR"/>
              </w:rPr>
              <w:t xml:space="preserve"> </w:t>
            </w:r>
            <w:r w:rsidRPr="507D76BB" w:rsidR="067F69CA">
              <w:rPr>
                <w:rFonts w:eastAsia="Times New Roman" w:cs="Times New Roman"/>
                <w:color w:val="000000" w:themeColor="text1" w:themeTint="FF" w:themeShade="FF"/>
                <w:sz w:val="18"/>
                <w:szCs w:val="18"/>
                <w:lang w:val="fr-FR"/>
              </w:rPr>
              <w:t>Rego</w:t>
            </w:r>
            <w:r w:rsidRPr="507D76BB" w:rsidR="067F69CA">
              <w:rPr>
                <w:rFonts w:eastAsia="Times New Roman" w:cs="Times New Roman"/>
                <w:color w:val="000000" w:themeColor="text1" w:themeTint="FF" w:themeShade="FF"/>
                <w:sz w:val="18"/>
                <w:szCs w:val="18"/>
                <w:lang w:val="fr-FR"/>
              </w:rPr>
              <w:t xml:space="preserve"> et al., </w:t>
            </w:r>
            <w:r w:rsidRPr="507D76BB" w:rsidR="067F69CA">
              <w:rPr>
                <w:rFonts w:eastAsia="Times New Roman" w:cs="Times New Roman"/>
                <w:color w:val="000000" w:themeColor="text1" w:themeTint="FF" w:themeShade="FF"/>
                <w:sz w:val="18"/>
                <w:szCs w:val="18"/>
                <w:lang w:val="fr-FR"/>
              </w:rPr>
              <w:t>2020;</w:t>
            </w:r>
            <w:r w:rsidRPr="507D76BB" w:rsidR="067F69CA">
              <w:rPr>
                <w:rFonts w:eastAsia="Times New Roman" w:cs="Times New Roman"/>
                <w:color w:val="000000" w:themeColor="text1" w:themeTint="FF" w:themeShade="FF"/>
                <w:sz w:val="18"/>
                <w:szCs w:val="18"/>
                <w:lang w:val="fr-FR"/>
              </w:rPr>
              <w:t xml:space="preserve"> Song et al., </w:t>
            </w:r>
            <w:r w:rsidRPr="507D76BB" w:rsidR="067F69CA">
              <w:rPr>
                <w:rFonts w:eastAsia="Times New Roman" w:cs="Times New Roman"/>
                <w:color w:val="000000" w:themeColor="text1" w:themeTint="FF" w:themeShade="FF"/>
                <w:sz w:val="18"/>
                <w:szCs w:val="18"/>
                <w:lang w:val="fr-FR"/>
              </w:rPr>
              <w:t>2019;</w:t>
            </w:r>
            <w:r w:rsidRPr="507D76BB" w:rsidR="067F69CA">
              <w:rPr>
                <w:rFonts w:eastAsia="Times New Roman" w:cs="Times New Roman"/>
                <w:color w:val="D13438"/>
                <w:sz w:val="18"/>
                <w:szCs w:val="18"/>
                <w:lang w:val="fr-FR"/>
              </w:rPr>
              <w:t xml:space="preserve"> </w:t>
            </w:r>
            <w:r w:rsidRPr="507D76BB" w:rsidR="067F69CA">
              <w:rPr>
                <w:rFonts w:eastAsia="Times New Roman" w:cs="Times New Roman"/>
                <w:color w:val="000000" w:themeColor="text1" w:themeTint="FF" w:themeShade="FF"/>
                <w:sz w:val="18"/>
                <w:szCs w:val="18"/>
                <w:lang w:val="fr-FR"/>
              </w:rPr>
              <w:t xml:space="preserve"> Tan</w:t>
            </w:r>
            <w:r w:rsidRPr="507D76BB" w:rsidR="067F69CA">
              <w:rPr>
                <w:rFonts w:eastAsia="Times New Roman" w:cs="Times New Roman"/>
                <w:color w:val="000000" w:themeColor="text1" w:themeTint="FF" w:themeShade="FF"/>
                <w:sz w:val="18"/>
                <w:szCs w:val="18"/>
                <w:lang w:val="fr-FR"/>
              </w:rPr>
              <w:t xml:space="preserve"> et al., </w:t>
            </w:r>
            <w:r w:rsidRPr="507D76BB" w:rsidR="067F69CA">
              <w:rPr>
                <w:rFonts w:eastAsia="Times New Roman" w:cs="Times New Roman"/>
                <w:color w:val="000000" w:themeColor="text1" w:themeTint="FF" w:themeShade="FF"/>
                <w:sz w:val="18"/>
                <w:szCs w:val="18"/>
                <w:lang w:val="fr-FR"/>
              </w:rPr>
              <w:t>2019;</w:t>
            </w:r>
            <w:r w:rsidRPr="507D76BB" w:rsidR="067F69CA">
              <w:rPr>
                <w:rFonts w:eastAsia="Times New Roman" w:cs="Times New Roman"/>
                <w:color w:val="000000" w:themeColor="text1" w:themeTint="FF" w:themeShade="FF"/>
                <w:sz w:val="18"/>
                <w:szCs w:val="18"/>
                <w:lang w:val="fr-FR"/>
              </w:rPr>
              <w:t xml:space="preserve"> You, </w:t>
            </w:r>
            <w:r w:rsidRPr="507D76BB" w:rsidR="067F69CA">
              <w:rPr>
                <w:rFonts w:eastAsia="Times New Roman" w:cs="Times New Roman"/>
                <w:color w:val="000000" w:themeColor="text1" w:themeTint="FF" w:themeShade="FF"/>
                <w:sz w:val="18"/>
                <w:szCs w:val="18"/>
                <w:lang w:val="fr-FR"/>
              </w:rPr>
              <w:t>2019</w:t>
            </w:r>
          </w:p>
        </w:tc>
        <w:tc>
          <w:tcPr>
            <w:tcW w:w="2460" w:type="dxa"/>
            <w:tcBorders/>
            <w:tcMar>
              <w:left w:w="90" w:type="dxa"/>
              <w:right w:w="90" w:type="dxa"/>
            </w:tcMar>
            <w:vAlign w:val="center"/>
          </w:tcPr>
          <w:p w:rsidR="51C5DE28" w:rsidP="507D76BB" w:rsidRDefault="51C5DE28" w14:paraId="734099CB" w14:textId="3BE2083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Tool designed to gauge the amount of uncertainty or difficulty a person experiences when </w:t>
            </w:r>
            <w:r w:rsidRPr="507D76BB" w:rsidR="067F69CA">
              <w:rPr>
                <w:rFonts w:eastAsia="Times New Roman" w:cs="Times New Roman"/>
                <w:color w:val="000000" w:themeColor="text1" w:themeTint="FF" w:themeShade="FF"/>
                <w:sz w:val="18"/>
                <w:szCs w:val="18"/>
              </w:rPr>
              <w:t>making a decision</w:t>
            </w:r>
            <w:r w:rsidRPr="507D76BB" w:rsidR="067F69CA">
              <w:rPr>
                <w:rFonts w:eastAsia="Times New Roman" w:cs="Times New Roman"/>
                <w:color w:val="000000" w:themeColor="text1" w:themeTint="FF" w:themeShade="FF"/>
                <w:sz w:val="18"/>
                <w:szCs w:val="18"/>
              </w:rPr>
              <w:t xml:space="preserve">. While it is commonly used in healthcare to evaluate how confident patients feel about their treatment choices, it can also be </w:t>
            </w:r>
            <w:r w:rsidRPr="507D76BB" w:rsidR="067F69CA">
              <w:rPr>
                <w:rFonts w:eastAsia="Times New Roman" w:cs="Times New Roman"/>
                <w:color w:val="000000" w:themeColor="text1" w:themeTint="FF" w:themeShade="FF"/>
                <w:sz w:val="18"/>
                <w:szCs w:val="18"/>
              </w:rPr>
              <w:t>utilized</w:t>
            </w:r>
            <w:r w:rsidRPr="507D76BB" w:rsidR="067F69CA">
              <w:rPr>
                <w:rFonts w:eastAsia="Times New Roman" w:cs="Times New Roman"/>
                <w:color w:val="000000" w:themeColor="text1" w:themeTint="FF" w:themeShade="FF"/>
                <w:sz w:val="18"/>
                <w:szCs w:val="18"/>
              </w:rPr>
              <w:t xml:space="preserve"> in various other contexts.</w:t>
            </w:r>
          </w:p>
        </w:tc>
        <w:tc>
          <w:tcPr>
            <w:tcW w:w="870" w:type="dxa"/>
            <w:tcBorders/>
            <w:tcMar>
              <w:left w:w="90" w:type="dxa"/>
              <w:right w:w="90" w:type="dxa"/>
            </w:tcMar>
            <w:vAlign w:val="center"/>
          </w:tcPr>
          <w:p w:rsidR="51C5DE28" w:rsidP="507D76BB" w:rsidRDefault="51C5DE28" w14:paraId="477DCB92" w14:textId="6B3ABA03">
            <w:pPr>
              <w:pStyle w:val="Normal"/>
              <w:ind w:left="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18-95</w:t>
            </w:r>
          </w:p>
        </w:tc>
        <w:tc>
          <w:tcPr>
            <w:tcW w:w="2250" w:type="dxa"/>
            <w:tcBorders/>
            <w:tcMar>
              <w:left w:w="90" w:type="dxa"/>
              <w:right w:w="90" w:type="dxa"/>
            </w:tcMar>
            <w:vAlign w:val="center"/>
          </w:tcPr>
          <w:p w:rsidR="51C5DE28" w:rsidP="507D76BB" w:rsidRDefault="51C5DE28" w14:paraId="47B4A906" w14:textId="28B9EB40">
            <w:pPr>
              <w:pStyle w:val="ListParagraph"/>
              <w:ind w:left="360"/>
              <w:jc w:val="left"/>
              <w:rPr>
                <w:rFonts w:eastAsia="Times New Roman" w:cs="Times New Roman"/>
                <w:color w:val="000000" w:themeColor="text1" w:themeTint="FF" w:themeShade="FF"/>
                <w:sz w:val="24"/>
                <w:szCs w:val="24"/>
              </w:rPr>
            </w:pPr>
            <w:r w:rsidRPr="507D76BB" w:rsidR="067F69CA">
              <w:rPr>
                <w:rFonts w:eastAsia="Times New Roman" w:cs="Times New Roman"/>
                <w:color w:val="000000" w:themeColor="text1" w:themeTint="FF" w:themeShade="FF"/>
                <w:sz w:val="18"/>
                <w:szCs w:val="18"/>
              </w:rPr>
              <w:t>Palliative care outpatients (cancer</w:t>
            </w:r>
            <w:r w:rsidRPr="507D76BB" w:rsidR="067F69CA">
              <w:rPr>
                <w:rFonts w:eastAsia="Times New Roman" w:cs="Times New Roman"/>
                <w:color w:val="000000" w:themeColor="text1" w:themeTint="FF" w:themeShade="FF"/>
                <w:sz w:val="18"/>
                <w:szCs w:val="18"/>
              </w:rPr>
              <w:t>)</w:t>
            </w:r>
            <w:r w:rsidRPr="507D76BB" w:rsidR="1B065F88">
              <w:rPr>
                <w:rFonts w:eastAsia="Times New Roman" w:cs="Times New Roman"/>
                <w:color w:val="000000" w:themeColor="text1" w:themeTint="FF" w:themeShade="FF"/>
                <w:sz w:val="18"/>
                <w:szCs w:val="18"/>
              </w:rPr>
              <w:t xml:space="preserve">; </w:t>
            </w:r>
            <w:r w:rsidRPr="507D76BB" w:rsidR="4EF28730">
              <w:rPr>
                <w:rFonts w:eastAsia="Times New Roman" w:cs="Times New Roman"/>
                <w:color w:val="000000" w:themeColor="text1" w:themeTint="FF" w:themeShade="FF"/>
                <w:sz w:val="18"/>
                <w:szCs w:val="18"/>
              </w:rPr>
              <w:t>D</w:t>
            </w:r>
            <w:r w:rsidRPr="507D76BB" w:rsidR="067F69CA">
              <w:rPr>
                <w:rFonts w:eastAsia="Times New Roman" w:cs="Times New Roman"/>
                <w:color w:val="000000" w:themeColor="text1" w:themeTint="FF" w:themeShade="FF"/>
                <w:sz w:val="18"/>
                <w:szCs w:val="18"/>
              </w:rPr>
              <w:t>ementia</w:t>
            </w:r>
            <w:r w:rsidRPr="507D76BB" w:rsidR="067F69CA">
              <w:rPr>
                <w:rFonts w:eastAsia="Times New Roman" w:cs="Times New Roman"/>
                <w:color w:val="000000" w:themeColor="text1" w:themeTint="FF" w:themeShade="FF"/>
                <w:sz w:val="18"/>
                <w:szCs w:val="18"/>
              </w:rPr>
              <w:t xml:space="preserve">; </w:t>
            </w:r>
          </w:p>
          <w:p w:rsidR="51C5DE28" w:rsidP="507D76BB" w:rsidRDefault="51C5DE28" w14:paraId="27BE3F5D" w14:textId="166C2EC7">
            <w:pPr>
              <w:pStyle w:val="ListParagraph"/>
              <w:ind w:left="360"/>
              <w:jc w:val="left"/>
              <w:rPr>
                <w:rFonts w:eastAsia="Times New Roman" w:cs="Times New Roman"/>
                <w:color w:val="000000" w:themeColor="text1" w:themeTint="FF" w:themeShade="FF"/>
                <w:sz w:val="24"/>
                <w:szCs w:val="24"/>
              </w:rPr>
            </w:pPr>
            <w:r w:rsidRPr="507D76BB" w:rsidR="6EB30D34">
              <w:rPr>
                <w:rFonts w:eastAsia="Times New Roman" w:cs="Times New Roman"/>
                <w:color w:val="000000" w:themeColor="text1" w:themeTint="FF" w:themeShade="FF"/>
                <w:sz w:val="18"/>
                <w:szCs w:val="18"/>
              </w:rPr>
              <w:t>A</w:t>
            </w:r>
            <w:r w:rsidRPr="507D76BB" w:rsidR="067F69CA">
              <w:rPr>
                <w:rFonts w:eastAsia="Times New Roman" w:cs="Times New Roman"/>
                <w:color w:val="000000" w:themeColor="text1" w:themeTint="FF" w:themeShade="FF"/>
                <w:sz w:val="18"/>
                <w:szCs w:val="18"/>
              </w:rPr>
              <w:t xml:space="preserve">dvanced stage chronic illness; </w:t>
            </w:r>
          </w:p>
          <w:p w:rsidR="51C5DE28" w:rsidP="507D76BB" w:rsidRDefault="51C5DE28" w14:paraId="6B4FD64E" w14:textId="4563E936">
            <w:pPr>
              <w:pStyle w:val="ListParagraph"/>
              <w:ind w:left="360"/>
              <w:jc w:val="left"/>
              <w:rPr>
                <w:rFonts w:eastAsia="Times New Roman" w:cs="Times New Roman"/>
                <w:color w:val="000000" w:themeColor="text1"/>
                <w:sz w:val="24"/>
                <w:szCs w:val="24"/>
              </w:rPr>
            </w:pPr>
            <w:r w:rsidRPr="507D76BB" w:rsidR="1B7820EC">
              <w:rPr>
                <w:rFonts w:eastAsia="Times New Roman" w:cs="Times New Roman"/>
                <w:color w:val="000000" w:themeColor="text1" w:themeTint="FF" w:themeShade="FF"/>
                <w:sz w:val="18"/>
                <w:szCs w:val="18"/>
              </w:rPr>
              <w:t>E</w:t>
            </w:r>
            <w:r w:rsidRPr="507D76BB" w:rsidR="067F69CA">
              <w:rPr>
                <w:rFonts w:eastAsia="Times New Roman" w:cs="Times New Roman"/>
                <w:color w:val="000000" w:themeColor="text1" w:themeTint="FF" w:themeShade="FF"/>
                <w:sz w:val="18"/>
                <w:szCs w:val="18"/>
              </w:rPr>
              <w:t>nd-stage renal disease</w:t>
            </w:r>
          </w:p>
        </w:tc>
        <w:tc>
          <w:tcPr>
            <w:tcW w:w="915" w:type="dxa"/>
            <w:tcBorders/>
            <w:tcMar>
              <w:left w:w="90" w:type="dxa"/>
              <w:right w:w="90" w:type="dxa"/>
            </w:tcMar>
            <w:vAlign w:val="center"/>
          </w:tcPr>
          <w:p w:rsidR="51C5DE28" w:rsidP="507D76BB" w:rsidRDefault="51C5DE28" w14:paraId="0E997F46" w14:textId="5AE06A57">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Hybrid</w:t>
            </w:r>
          </w:p>
        </w:tc>
        <w:tc>
          <w:tcPr>
            <w:tcW w:w="1260" w:type="dxa"/>
            <w:tcBorders/>
            <w:tcMar>
              <w:left w:w="90" w:type="dxa"/>
              <w:right w:w="90" w:type="dxa"/>
            </w:tcMar>
            <w:vAlign w:val="center"/>
          </w:tcPr>
          <w:p w:rsidR="51C5DE28" w:rsidP="507D76BB" w:rsidRDefault="51C5DE28" w14:paraId="05FECCE2" w14:textId="3D47346A">
            <w:pPr>
              <w:jc w:val="left"/>
              <w:rPr>
                <w:rFonts w:eastAsia="Times New Roman" w:cs="Times New Roman"/>
                <w:color w:val="000000" w:themeColor="text1"/>
                <w:sz w:val="18"/>
                <w:szCs w:val="18"/>
              </w:rPr>
            </w:pPr>
            <w:r w:rsidRPr="507D76BB" w:rsidR="6A3AA9CD">
              <w:rPr>
                <w:rFonts w:eastAsia="Times New Roman" w:cs="Times New Roman"/>
                <w:color w:val="000000" w:themeColor="text1" w:themeTint="FF" w:themeShade="FF"/>
                <w:sz w:val="18"/>
                <w:szCs w:val="18"/>
              </w:rPr>
              <w:t>Questionnaire</w:t>
            </w:r>
            <w:r w:rsidRPr="507D76BB" w:rsidR="4EDE4D03">
              <w:rPr>
                <w:rFonts w:eastAsia="Times New Roman" w:cs="Times New Roman"/>
                <w:color w:val="000000" w:themeColor="text1" w:themeTint="FF" w:themeShade="FF"/>
                <w:sz w:val="18"/>
                <w:szCs w:val="18"/>
              </w:rPr>
              <w:t xml:space="preserve"> or </w:t>
            </w:r>
            <w:r w:rsidRPr="507D76BB" w:rsidR="6A3AA9CD">
              <w:rPr>
                <w:rFonts w:eastAsia="Times New Roman" w:cs="Times New Roman"/>
                <w:color w:val="000000" w:themeColor="text1" w:themeTint="FF" w:themeShade="FF"/>
                <w:sz w:val="18"/>
                <w:szCs w:val="18"/>
              </w:rPr>
              <w:t xml:space="preserve"> </w:t>
            </w:r>
            <w:r w:rsidRPr="507D76BB" w:rsidR="067F69CA">
              <w:rPr>
                <w:rFonts w:eastAsia="Times New Roman" w:cs="Times New Roman"/>
                <w:color w:val="000000" w:themeColor="text1" w:themeTint="FF" w:themeShade="FF"/>
                <w:sz w:val="18"/>
                <w:szCs w:val="18"/>
              </w:rPr>
              <w:t>Semi-structured interview</w:t>
            </w:r>
          </w:p>
        </w:tc>
        <w:tc>
          <w:tcPr>
            <w:tcW w:w="1290" w:type="dxa"/>
            <w:tcBorders/>
            <w:tcMar>
              <w:left w:w="90" w:type="dxa"/>
              <w:right w:w="90" w:type="dxa"/>
            </w:tcMar>
            <w:vAlign w:val="center"/>
          </w:tcPr>
          <w:p w:rsidR="51C5DE28" w:rsidP="507D76BB" w:rsidRDefault="51C5DE28" w14:paraId="7A6A7E70" w14:textId="390182CD">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Self</w:t>
            </w:r>
            <w:r w:rsidRPr="507D76BB" w:rsidR="5584186E">
              <w:rPr>
                <w:rFonts w:eastAsia="Times New Roman" w:cs="Times New Roman"/>
                <w:color w:val="000000" w:themeColor="text1" w:themeTint="FF" w:themeShade="FF"/>
                <w:sz w:val="18"/>
                <w:szCs w:val="18"/>
              </w:rPr>
              <w:t xml:space="preserve"> or</w:t>
            </w:r>
            <w:r w:rsidRPr="507D76BB" w:rsidR="067F69CA">
              <w:rPr>
                <w:rFonts w:eastAsia="Times New Roman" w:cs="Times New Roman"/>
                <w:color w:val="000000" w:themeColor="text1" w:themeTint="FF" w:themeShade="FF"/>
                <w:sz w:val="18"/>
                <w:szCs w:val="18"/>
              </w:rPr>
              <w:t xml:space="preserve"> Examiner</w:t>
            </w:r>
          </w:p>
        </w:tc>
        <w:tc>
          <w:tcPr>
            <w:tcW w:w="1448" w:type="dxa"/>
            <w:tcBorders/>
            <w:tcMar>
              <w:left w:w="90" w:type="dxa"/>
              <w:right w:w="90" w:type="dxa"/>
            </w:tcMar>
            <w:vAlign w:val="center"/>
          </w:tcPr>
          <w:p w:rsidR="51C5DE28" w:rsidP="507D76BB" w:rsidRDefault="51C5DE28" w14:paraId="0252DE49" w14:textId="217E9692">
            <w:pPr>
              <w:pStyle w:val="ListParagraph"/>
              <w:ind w:left="360"/>
              <w:jc w:val="left"/>
              <w:rPr>
                <w:rFonts w:eastAsia="Times New Roman" w:cs="Times New Roman"/>
                <w:color w:val="000000" w:themeColor="text1" w:themeTint="FF" w:themeShade="FF"/>
                <w:sz w:val="18"/>
                <w:szCs w:val="18"/>
              </w:rPr>
            </w:pPr>
            <w:r w:rsidRPr="507D76BB" w:rsidR="067F69CA">
              <w:rPr>
                <w:rFonts w:eastAsia="Times New Roman" w:cs="Times New Roman"/>
                <w:color w:val="000000" w:themeColor="text1" w:themeTint="FF" w:themeShade="FF"/>
                <w:sz w:val="18"/>
                <w:szCs w:val="18"/>
              </w:rPr>
              <w:t>Patient</w:t>
            </w:r>
          </w:p>
          <w:p w:rsidR="51C5DE28" w:rsidP="507D76BB" w:rsidRDefault="51C5DE28" w14:paraId="2EA9C0B4" w14:textId="3EF10508">
            <w:pPr>
              <w:pStyle w:val="ListParagraph"/>
              <w:ind w:left="360"/>
              <w:jc w:val="left"/>
              <w:rPr>
                <w:rFonts w:eastAsia="Times New Roman" w:cs="Times New Roman"/>
                <w:color w:val="000000" w:themeColor="text1" w:themeTint="FF" w:themeShade="FF"/>
                <w:sz w:val="18"/>
                <w:szCs w:val="18"/>
              </w:rPr>
            </w:pPr>
            <w:r w:rsidRPr="507D76BB" w:rsidR="067F69CA">
              <w:rPr>
                <w:rFonts w:eastAsia="Times New Roman" w:cs="Times New Roman"/>
                <w:color w:val="000000" w:themeColor="text1" w:themeTint="FF" w:themeShade="FF"/>
                <w:sz w:val="18"/>
                <w:szCs w:val="18"/>
              </w:rPr>
              <w:t>Patient</w:t>
            </w:r>
            <w:r w:rsidRPr="507D76BB" w:rsidR="067F69CA">
              <w:rPr>
                <w:rFonts w:eastAsia="Times New Roman" w:cs="Times New Roman"/>
                <w:color w:val="000000" w:themeColor="text1" w:themeTint="FF" w:themeShade="FF"/>
                <w:sz w:val="18"/>
                <w:szCs w:val="18"/>
              </w:rPr>
              <w:t xml:space="preserve"> and family member</w:t>
            </w:r>
          </w:p>
          <w:p w:rsidR="51C5DE28" w:rsidP="507D76BB" w:rsidRDefault="51C5DE28" w14:paraId="6A7BE16F" w14:textId="7F6E505A">
            <w:pPr>
              <w:pStyle w:val="ListParagraph"/>
              <w:ind w:left="360"/>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Patient and family caregiver</w:t>
            </w:r>
          </w:p>
        </w:tc>
      </w:tr>
      <w:tr w:rsidR="51C5DE28" w:rsidTr="507D76BB" w14:paraId="350B2103" w14:textId="77777777">
        <w:trPr>
          <w:trHeight w:val="300"/>
        </w:trPr>
        <w:tc>
          <w:tcPr>
            <w:tcW w:w="1245" w:type="dxa"/>
            <w:tcBorders/>
            <w:tcMar>
              <w:left w:w="90" w:type="dxa"/>
              <w:right w:w="90" w:type="dxa"/>
            </w:tcMar>
            <w:vAlign w:val="center"/>
          </w:tcPr>
          <w:p w:rsidR="51C5DE28" w:rsidP="507D76BB" w:rsidRDefault="51C5DE28" w14:paraId="02857862" w14:textId="6BF8CAC9">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Decision Regret Scale (DRS)</w:t>
            </w:r>
          </w:p>
        </w:tc>
        <w:tc>
          <w:tcPr>
            <w:tcW w:w="825" w:type="dxa"/>
            <w:tcBorders/>
            <w:tcMar>
              <w:left w:w="90" w:type="dxa"/>
              <w:right w:w="90" w:type="dxa"/>
            </w:tcMar>
            <w:vAlign w:val="center"/>
          </w:tcPr>
          <w:p w:rsidR="51C5DE28" w:rsidP="507D76BB" w:rsidRDefault="51C5DE28" w14:paraId="221FC908" w14:textId="05717AAE">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2</w:t>
            </w:r>
          </w:p>
        </w:tc>
        <w:tc>
          <w:tcPr>
            <w:tcW w:w="1140" w:type="dxa"/>
            <w:tcBorders/>
            <w:tcMar>
              <w:left w:w="90" w:type="dxa"/>
              <w:right w:w="90" w:type="dxa"/>
            </w:tcMar>
            <w:vAlign w:val="center"/>
          </w:tcPr>
          <w:p w:rsidR="51C5DE28" w:rsidP="507D76BB" w:rsidRDefault="51C5DE28" w14:paraId="380038E5" w14:textId="5C7D10D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lang w:val="fr-FR"/>
              </w:rPr>
              <w:t xml:space="preserve">Tan et al., </w:t>
            </w:r>
            <w:r w:rsidRPr="507D76BB" w:rsidR="067F69CA">
              <w:rPr>
                <w:rFonts w:eastAsia="Times New Roman" w:cs="Times New Roman"/>
                <w:color w:val="000000" w:themeColor="text1" w:themeTint="FF" w:themeShade="FF"/>
                <w:sz w:val="18"/>
                <w:szCs w:val="18"/>
                <w:lang w:val="fr-FR"/>
              </w:rPr>
              <w:t>2019;</w:t>
            </w:r>
            <w:r w:rsidRPr="507D76BB" w:rsidR="067F69CA">
              <w:rPr>
                <w:rFonts w:eastAsia="Times New Roman" w:cs="Times New Roman"/>
                <w:color w:val="000000" w:themeColor="text1" w:themeTint="FF" w:themeShade="FF"/>
                <w:sz w:val="18"/>
                <w:szCs w:val="18"/>
                <w:lang w:val="fr-FR"/>
              </w:rPr>
              <w:t xml:space="preserve"> </w:t>
            </w:r>
            <w:r w:rsidRPr="507D76BB" w:rsidR="067F69CA">
              <w:rPr>
                <w:rFonts w:eastAsia="Times New Roman" w:cs="Times New Roman"/>
                <w:color w:val="000000" w:themeColor="text1" w:themeTint="FF" w:themeShade="FF"/>
                <w:sz w:val="18"/>
                <w:szCs w:val="18"/>
                <w:lang w:val="fr-FR"/>
              </w:rPr>
              <w:t>Wilding</w:t>
            </w:r>
            <w:r w:rsidRPr="507D76BB" w:rsidR="067F69CA">
              <w:rPr>
                <w:rFonts w:eastAsia="Times New Roman" w:cs="Times New Roman"/>
                <w:color w:val="000000" w:themeColor="text1" w:themeTint="FF" w:themeShade="FF"/>
                <w:sz w:val="18"/>
                <w:szCs w:val="18"/>
                <w:lang w:val="fr-FR"/>
              </w:rPr>
              <w:t xml:space="preserve">, et al., 2020 </w:t>
            </w:r>
          </w:p>
        </w:tc>
        <w:tc>
          <w:tcPr>
            <w:tcW w:w="2460" w:type="dxa"/>
            <w:tcBorders/>
            <w:tcMar>
              <w:left w:w="90" w:type="dxa"/>
              <w:right w:w="90" w:type="dxa"/>
            </w:tcMar>
            <w:vAlign w:val="center"/>
          </w:tcPr>
          <w:p w:rsidR="51C5DE28" w:rsidP="507D76BB" w:rsidRDefault="51C5DE28" w14:paraId="3849984F" w14:textId="4EFEFBC5">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Tool designed to measure the extent of regret a </w:t>
            </w:r>
            <w:r w:rsidRPr="507D76BB" w:rsidR="067F69CA">
              <w:rPr>
                <w:rFonts w:eastAsia="Times New Roman" w:cs="Times New Roman"/>
                <w:color w:val="000000" w:themeColor="text1" w:themeTint="FF" w:themeShade="FF"/>
                <w:sz w:val="18"/>
                <w:szCs w:val="18"/>
              </w:rPr>
              <w:t>person experiences</w:t>
            </w:r>
            <w:r w:rsidRPr="507D76BB" w:rsidR="067F69CA">
              <w:rPr>
                <w:rFonts w:eastAsia="Times New Roman" w:cs="Times New Roman"/>
                <w:color w:val="000000" w:themeColor="text1" w:themeTint="FF" w:themeShade="FF"/>
                <w:sz w:val="18"/>
                <w:szCs w:val="18"/>
              </w:rPr>
              <w:t xml:space="preserve"> after </w:t>
            </w:r>
            <w:r w:rsidRPr="507D76BB" w:rsidR="067F69CA">
              <w:rPr>
                <w:rFonts w:eastAsia="Times New Roman" w:cs="Times New Roman"/>
                <w:color w:val="000000" w:themeColor="text1" w:themeTint="FF" w:themeShade="FF"/>
                <w:sz w:val="18"/>
                <w:szCs w:val="18"/>
              </w:rPr>
              <w:t>making a decision</w:t>
            </w:r>
            <w:r w:rsidRPr="507D76BB" w:rsidR="067F69CA">
              <w:rPr>
                <w:rFonts w:eastAsia="Times New Roman" w:cs="Times New Roman"/>
                <w:color w:val="000000" w:themeColor="text1" w:themeTint="FF" w:themeShade="FF"/>
                <w:sz w:val="18"/>
                <w:szCs w:val="18"/>
              </w:rPr>
              <w:t>. It assesses how much an individual wishes they had made a different choice and their level of remorse or dissatisfaction with the outcome of the decision.</w:t>
            </w:r>
          </w:p>
        </w:tc>
        <w:tc>
          <w:tcPr>
            <w:tcW w:w="870" w:type="dxa"/>
            <w:tcBorders/>
            <w:tcMar>
              <w:left w:w="90" w:type="dxa"/>
              <w:right w:w="90" w:type="dxa"/>
            </w:tcMar>
            <w:vAlign w:val="center"/>
          </w:tcPr>
          <w:p w:rsidR="51C5DE28" w:rsidP="507D76BB" w:rsidRDefault="51C5DE28" w14:paraId="253E3F58" w14:textId="3A054CE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45-85+</w:t>
            </w:r>
          </w:p>
        </w:tc>
        <w:tc>
          <w:tcPr>
            <w:tcW w:w="2250" w:type="dxa"/>
            <w:tcBorders/>
            <w:tcMar>
              <w:left w:w="90" w:type="dxa"/>
              <w:right w:w="90" w:type="dxa"/>
            </w:tcMar>
            <w:vAlign w:val="center"/>
          </w:tcPr>
          <w:p w:rsidR="51C5DE28" w:rsidP="507D76BB" w:rsidRDefault="51C5DE28" w14:paraId="39E0AA02" w14:textId="46046B12">
            <w:pPr>
              <w:pStyle w:val="ListParagraph"/>
              <w:ind w:left="360"/>
              <w:jc w:val="left"/>
              <w:rPr>
                <w:rFonts w:eastAsia="Times New Roman" w:cs="Times New Roman"/>
                <w:color w:val="000000" w:themeColor="text1" w:themeTint="FF" w:themeShade="FF"/>
                <w:sz w:val="24"/>
                <w:szCs w:val="24"/>
              </w:rPr>
            </w:pPr>
            <w:r w:rsidRPr="507D76BB" w:rsidR="59EE5A02">
              <w:rPr>
                <w:rFonts w:eastAsia="Times New Roman" w:cs="Times New Roman"/>
                <w:color w:val="000000" w:themeColor="text1" w:themeTint="FF" w:themeShade="FF"/>
                <w:sz w:val="18"/>
                <w:szCs w:val="18"/>
              </w:rPr>
              <w:t>Renal disease (d</w:t>
            </w:r>
            <w:r w:rsidRPr="507D76BB" w:rsidR="067F69CA">
              <w:rPr>
                <w:rFonts w:eastAsia="Times New Roman" w:cs="Times New Roman"/>
                <w:color w:val="000000" w:themeColor="text1" w:themeTint="FF" w:themeShade="FF"/>
                <w:sz w:val="18"/>
                <w:szCs w:val="18"/>
              </w:rPr>
              <w:t>ialysis patients</w:t>
            </w:r>
            <w:r w:rsidRPr="507D76BB" w:rsidR="4B17C324">
              <w:rPr>
                <w:rFonts w:eastAsia="Times New Roman" w:cs="Times New Roman"/>
                <w:color w:val="000000" w:themeColor="text1" w:themeTint="FF" w:themeShade="FF"/>
                <w:sz w:val="18"/>
                <w:szCs w:val="18"/>
              </w:rPr>
              <w:t>)</w:t>
            </w:r>
          </w:p>
          <w:p w:rsidR="51C5DE28" w:rsidP="507D76BB" w:rsidRDefault="51C5DE28" w14:paraId="31A40E28" w14:textId="66F1BAE2">
            <w:pPr>
              <w:pStyle w:val="ListParagraph"/>
              <w:ind w:left="360"/>
              <w:jc w:val="left"/>
              <w:rPr>
                <w:rFonts w:eastAsia="Times New Roman" w:cs="Times New Roman"/>
                <w:color w:val="000000" w:themeColor="text1"/>
                <w:sz w:val="24"/>
                <w:szCs w:val="24"/>
              </w:rPr>
            </w:pPr>
            <w:r w:rsidRPr="507D76BB" w:rsidR="31B7C817">
              <w:rPr>
                <w:rFonts w:eastAsia="Times New Roman" w:cs="Times New Roman"/>
                <w:color w:val="000000" w:themeColor="text1" w:themeTint="FF" w:themeShade="FF"/>
                <w:sz w:val="18"/>
                <w:szCs w:val="18"/>
              </w:rPr>
              <w:t>P</w:t>
            </w:r>
            <w:r w:rsidRPr="507D76BB" w:rsidR="067F69CA">
              <w:rPr>
                <w:rFonts w:eastAsia="Times New Roman" w:cs="Times New Roman"/>
                <w:color w:val="000000" w:themeColor="text1" w:themeTint="FF" w:themeShade="FF"/>
                <w:sz w:val="18"/>
                <w:szCs w:val="18"/>
              </w:rPr>
              <w:t>r</w:t>
            </w:r>
            <w:r w:rsidRPr="507D76BB" w:rsidR="31B7C817">
              <w:rPr>
                <w:rFonts w:eastAsia="Times New Roman" w:cs="Times New Roman"/>
                <w:color w:val="000000" w:themeColor="text1" w:themeTint="FF" w:themeShade="FF"/>
                <w:sz w:val="18"/>
                <w:szCs w:val="18"/>
              </w:rPr>
              <w:t>ostate cancer</w:t>
            </w:r>
          </w:p>
        </w:tc>
        <w:tc>
          <w:tcPr>
            <w:tcW w:w="915" w:type="dxa"/>
            <w:tcBorders/>
            <w:tcMar>
              <w:left w:w="90" w:type="dxa"/>
              <w:right w:w="90" w:type="dxa"/>
            </w:tcMar>
            <w:vAlign w:val="center"/>
          </w:tcPr>
          <w:p w:rsidR="51C5DE28" w:rsidP="507D76BB" w:rsidRDefault="51C5DE28" w14:paraId="2E1F3890" w14:textId="352EE829">
            <w:pPr>
              <w:pStyle w:val="Normal"/>
              <w:suppressLineNumbers w:val="0"/>
              <w:bidi w:val="0"/>
              <w:spacing w:before="120" w:beforeAutospacing="off" w:after="240" w:afterAutospacing="off" w:line="240" w:lineRule="auto"/>
              <w:ind w:left="0" w:right="0"/>
              <w:jc w:val="left"/>
            </w:pPr>
            <w:r w:rsidRPr="507D76BB" w:rsidR="6C0AE170">
              <w:rPr>
                <w:rFonts w:eastAsia="Times New Roman" w:cs="Times New Roman"/>
                <w:color w:val="000000" w:themeColor="text1" w:themeTint="FF" w:themeShade="FF"/>
                <w:sz w:val="18"/>
                <w:szCs w:val="18"/>
              </w:rPr>
              <w:t>Hybrid</w:t>
            </w:r>
          </w:p>
        </w:tc>
        <w:tc>
          <w:tcPr>
            <w:tcW w:w="1260" w:type="dxa"/>
            <w:tcBorders/>
            <w:tcMar>
              <w:left w:w="90" w:type="dxa"/>
              <w:right w:w="90" w:type="dxa"/>
            </w:tcMar>
            <w:vAlign w:val="center"/>
          </w:tcPr>
          <w:p w:rsidR="7756F8FA" w:rsidP="507D76BB" w:rsidRDefault="7756F8FA" w14:paraId="19F6C0EB" w14:textId="1A8416CF">
            <w:pPr>
              <w:jc w:val="left"/>
              <w:rPr>
                <w:rFonts w:eastAsia="Times New Roman" w:cs="Times New Roman"/>
                <w:color w:val="000000" w:themeColor="text1" w:themeTint="FF" w:themeShade="FF"/>
                <w:sz w:val="18"/>
                <w:szCs w:val="18"/>
              </w:rPr>
            </w:pPr>
            <w:r w:rsidRPr="507D76BB" w:rsidR="7756F8FA">
              <w:rPr>
                <w:rFonts w:eastAsia="Times New Roman" w:cs="Times New Roman"/>
                <w:color w:val="000000" w:themeColor="text1" w:themeTint="FF" w:themeShade="FF"/>
                <w:sz w:val="18"/>
                <w:szCs w:val="18"/>
              </w:rPr>
              <w:t>Questionnaire</w:t>
            </w:r>
          </w:p>
          <w:p w:rsidR="51C5DE28" w:rsidP="507D76BB" w:rsidRDefault="51C5DE28" w14:paraId="2F6462E7" w14:textId="6FD75006">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 </w:t>
            </w:r>
          </w:p>
        </w:tc>
        <w:tc>
          <w:tcPr>
            <w:tcW w:w="1290" w:type="dxa"/>
            <w:tcBorders/>
            <w:tcMar>
              <w:left w:w="90" w:type="dxa"/>
              <w:right w:w="90" w:type="dxa"/>
            </w:tcMar>
            <w:vAlign w:val="center"/>
          </w:tcPr>
          <w:p w:rsidR="51C5DE28" w:rsidP="507D76BB" w:rsidRDefault="51C5DE28" w14:paraId="53F2E5E0" w14:textId="52EED88D">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Self</w:t>
            </w:r>
          </w:p>
        </w:tc>
        <w:tc>
          <w:tcPr>
            <w:tcW w:w="1448" w:type="dxa"/>
            <w:tcBorders/>
            <w:tcMar>
              <w:left w:w="90" w:type="dxa"/>
              <w:right w:w="90" w:type="dxa"/>
            </w:tcMar>
            <w:vAlign w:val="center"/>
          </w:tcPr>
          <w:p w:rsidR="51C5DE28" w:rsidP="507D76BB" w:rsidRDefault="51C5DE28" w14:paraId="0AA0109F" w14:textId="4A9E035E">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w:t>
            </w:r>
          </w:p>
        </w:tc>
      </w:tr>
      <w:tr w:rsidR="51C5DE28" w:rsidTr="507D76BB" w14:paraId="0F3B2F6C" w14:textId="77777777">
        <w:trPr>
          <w:trHeight w:val="300"/>
        </w:trPr>
        <w:tc>
          <w:tcPr>
            <w:tcW w:w="1245" w:type="dxa"/>
            <w:tcBorders/>
            <w:tcMar>
              <w:left w:w="90" w:type="dxa"/>
              <w:right w:w="90" w:type="dxa"/>
            </w:tcMar>
            <w:vAlign w:val="center"/>
          </w:tcPr>
          <w:p w:rsidR="51C5DE28" w:rsidP="507D76BB" w:rsidRDefault="51C5DE28" w14:paraId="27DB7D1A" w14:textId="70851E26">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End-of-life </w:t>
            </w:r>
            <w:r w:rsidRPr="507D76BB" w:rsidR="3D05F56E">
              <w:rPr>
                <w:rFonts w:eastAsia="Times New Roman" w:cs="Times New Roman"/>
                <w:color w:val="000000" w:themeColor="text1" w:themeTint="FF" w:themeShade="FF"/>
                <w:sz w:val="18"/>
                <w:szCs w:val="18"/>
              </w:rPr>
              <w:t>C</w:t>
            </w:r>
            <w:r w:rsidRPr="507D76BB" w:rsidR="067F69CA">
              <w:rPr>
                <w:rFonts w:eastAsia="Times New Roman" w:cs="Times New Roman"/>
                <w:color w:val="000000" w:themeColor="text1" w:themeTint="FF" w:themeShade="FF"/>
                <w:sz w:val="18"/>
                <w:szCs w:val="18"/>
              </w:rPr>
              <w:t xml:space="preserve">are </w:t>
            </w:r>
            <w:r w:rsidRPr="507D76BB" w:rsidR="0BC76839">
              <w:rPr>
                <w:rFonts w:eastAsia="Times New Roman" w:cs="Times New Roman"/>
                <w:color w:val="000000" w:themeColor="text1" w:themeTint="FF" w:themeShade="FF"/>
                <w:sz w:val="18"/>
                <w:szCs w:val="18"/>
              </w:rPr>
              <w:t>P</w:t>
            </w:r>
            <w:r w:rsidRPr="507D76BB" w:rsidR="067F69CA">
              <w:rPr>
                <w:rFonts w:eastAsia="Times New Roman" w:cs="Times New Roman"/>
                <w:color w:val="000000" w:themeColor="text1" w:themeTint="FF" w:themeShade="FF"/>
                <w:sz w:val="18"/>
                <w:szCs w:val="18"/>
              </w:rPr>
              <w:t xml:space="preserve">reference </w:t>
            </w:r>
            <w:r w:rsidRPr="507D76BB" w:rsidR="6C60BB3E">
              <w:rPr>
                <w:rFonts w:eastAsia="Times New Roman" w:cs="Times New Roman"/>
                <w:color w:val="000000" w:themeColor="text1" w:themeTint="FF" w:themeShade="FF"/>
                <w:sz w:val="18"/>
                <w:szCs w:val="18"/>
              </w:rPr>
              <w:t>Q</w:t>
            </w:r>
            <w:r w:rsidRPr="507D76BB" w:rsidR="067F69CA">
              <w:rPr>
                <w:rFonts w:eastAsia="Times New Roman" w:cs="Times New Roman"/>
                <w:color w:val="000000" w:themeColor="text1" w:themeTint="FF" w:themeShade="FF"/>
                <w:sz w:val="18"/>
                <w:szCs w:val="18"/>
              </w:rPr>
              <w:t>uestionnaire</w:t>
            </w:r>
          </w:p>
        </w:tc>
        <w:tc>
          <w:tcPr>
            <w:tcW w:w="825" w:type="dxa"/>
            <w:tcBorders/>
            <w:tcMar>
              <w:left w:w="90" w:type="dxa"/>
              <w:right w:w="90" w:type="dxa"/>
            </w:tcMar>
            <w:vAlign w:val="center"/>
          </w:tcPr>
          <w:p w:rsidR="51C5DE28" w:rsidP="507D76BB" w:rsidRDefault="51C5DE28" w14:paraId="7E1B0990" w14:textId="47530A90">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120317BC" w14:textId="0F419601">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Ho </w:t>
            </w:r>
            <w:r w:rsidRPr="507D76BB" w:rsidR="067F69CA">
              <w:rPr>
                <w:rFonts w:eastAsia="Times New Roman" w:cs="Times New Roman"/>
                <w:color w:val="000000" w:themeColor="text1" w:themeTint="FF" w:themeShade="FF"/>
                <w:sz w:val="18"/>
                <w:szCs w:val="18"/>
              </w:rPr>
              <w:t>et al., 202</w:t>
            </w:r>
            <w:r w:rsidRPr="507D76BB" w:rsidR="78373856">
              <w:rPr>
                <w:rFonts w:eastAsia="Times New Roman" w:cs="Times New Roman"/>
                <w:color w:val="000000" w:themeColor="text1" w:themeTint="FF" w:themeShade="FF"/>
                <w:sz w:val="18"/>
                <w:szCs w:val="18"/>
              </w:rPr>
              <w:t>2</w:t>
            </w:r>
          </w:p>
        </w:tc>
        <w:tc>
          <w:tcPr>
            <w:tcW w:w="2460" w:type="dxa"/>
            <w:tcBorders/>
            <w:tcMar>
              <w:left w:w="90" w:type="dxa"/>
              <w:right w:w="90" w:type="dxa"/>
            </w:tcMar>
            <w:vAlign w:val="center"/>
          </w:tcPr>
          <w:p w:rsidR="51C5DE28" w:rsidP="507D76BB" w:rsidRDefault="51C5DE28" w14:paraId="1119AADC" w14:textId="20F3F17D">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Questionnaire with 5 domains: care preferences, life-sustaining treatment preferences, information preferences</w:t>
            </w:r>
            <w:r w:rsidRPr="507D76BB" w:rsidR="067F69CA">
              <w:rPr>
                <w:rFonts w:eastAsia="Times New Roman" w:cs="Times New Roman"/>
                <w:color w:val="038387"/>
                <w:sz w:val="18"/>
                <w:szCs w:val="18"/>
              </w:rPr>
              <w:t>,</w:t>
            </w:r>
            <w:r w:rsidRPr="507D76BB" w:rsidR="067F69CA">
              <w:rPr>
                <w:rFonts w:eastAsia="Times New Roman" w:cs="Times New Roman"/>
                <w:color w:val="000000" w:themeColor="text1" w:themeTint="FF" w:themeShade="FF"/>
                <w:sz w:val="18"/>
                <w:szCs w:val="18"/>
              </w:rPr>
              <w:t xml:space="preserve"> decision-making preferences, and death issues. The DM domain </w:t>
            </w:r>
            <w:r w:rsidRPr="507D76BB" w:rsidR="067F69CA">
              <w:rPr>
                <w:rFonts w:eastAsia="Times New Roman" w:cs="Times New Roman"/>
                <w:color w:val="000000" w:themeColor="text1" w:themeTint="FF" w:themeShade="FF"/>
                <w:sz w:val="18"/>
                <w:szCs w:val="18"/>
              </w:rPr>
              <w:t>contains</w:t>
            </w:r>
            <w:r w:rsidRPr="507D76BB" w:rsidR="067F69CA">
              <w:rPr>
                <w:rFonts w:eastAsia="Times New Roman" w:cs="Times New Roman"/>
                <w:color w:val="000000" w:themeColor="text1" w:themeTint="FF" w:themeShade="FF"/>
                <w:sz w:val="18"/>
                <w:szCs w:val="18"/>
              </w:rPr>
              <w:t xml:space="preserve"> four items: eagerness to be involved in DM for treatment plans, preferred decision-maker when patient is incapable, preferred person to discuss </w:t>
            </w:r>
            <w:r w:rsidRPr="507D76BB" w:rsidR="067F69CA">
              <w:rPr>
                <w:rFonts w:eastAsia="Times New Roman" w:cs="Times New Roman"/>
                <w:color w:val="000000" w:themeColor="text1" w:themeTint="FF" w:themeShade="FF"/>
                <w:sz w:val="18"/>
                <w:szCs w:val="18"/>
              </w:rPr>
              <w:t>EoL</w:t>
            </w:r>
            <w:r w:rsidRPr="507D76BB" w:rsidR="067F69CA">
              <w:rPr>
                <w:rFonts w:eastAsia="Times New Roman" w:cs="Times New Roman"/>
                <w:color w:val="000000" w:themeColor="text1" w:themeTint="FF" w:themeShade="FF"/>
                <w:sz w:val="18"/>
                <w:szCs w:val="18"/>
              </w:rPr>
              <w:t xml:space="preserve"> issues with, and use of advance care planning.</w:t>
            </w:r>
          </w:p>
        </w:tc>
        <w:tc>
          <w:tcPr>
            <w:tcW w:w="870" w:type="dxa"/>
            <w:tcBorders/>
            <w:tcMar>
              <w:left w:w="90" w:type="dxa"/>
              <w:right w:w="90" w:type="dxa"/>
            </w:tcMar>
            <w:vAlign w:val="center"/>
          </w:tcPr>
          <w:p w:rsidR="51C5DE28" w:rsidP="507D76BB" w:rsidRDefault="51C5DE28" w14:paraId="6EB7D122" w14:textId="59994246">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65-85+</w:t>
            </w:r>
          </w:p>
        </w:tc>
        <w:tc>
          <w:tcPr>
            <w:tcW w:w="2250" w:type="dxa"/>
            <w:tcBorders/>
            <w:tcMar>
              <w:left w:w="90" w:type="dxa"/>
              <w:right w:w="90" w:type="dxa"/>
            </w:tcMar>
            <w:vAlign w:val="center"/>
          </w:tcPr>
          <w:p w:rsidR="51C5DE28" w:rsidP="507D76BB" w:rsidRDefault="51C5DE28" w14:paraId="45039078" w14:textId="661A0368">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None</w:t>
            </w:r>
          </w:p>
        </w:tc>
        <w:tc>
          <w:tcPr>
            <w:tcW w:w="915" w:type="dxa"/>
            <w:tcBorders/>
            <w:tcMar>
              <w:left w:w="90" w:type="dxa"/>
              <w:right w:w="90" w:type="dxa"/>
            </w:tcMar>
            <w:vAlign w:val="center"/>
          </w:tcPr>
          <w:p w:rsidR="51C5DE28" w:rsidP="507D76BB" w:rsidRDefault="5EBAA96D" w14:paraId="1FE6C2B1" w14:textId="1420A357">
            <w:pPr>
              <w:jc w:val="left"/>
              <w:rPr>
                <w:rFonts w:eastAsia="Times New Roman" w:cs="Times New Roman"/>
                <w:color w:val="000000" w:themeColor="text1"/>
                <w:sz w:val="18"/>
                <w:szCs w:val="18"/>
              </w:rPr>
            </w:pPr>
            <w:r w:rsidRPr="507D76BB" w:rsidR="3F2E03B4">
              <w:rPr>
                <w:rFonts w:eastAsia="Times New Roman" w:cs="Times New Roman"/>
                <w:color w:val="000000" w:themeColor="text1" w:themeTint="FF" w:themeShade="FF"/>
                <w:sz w:val="18"/>
                <w:szCs w:val="18"/>
              </w:rPr>
              <w:t>In</w:t>
            </w:r>
            <w:r w:rsidRPr="507D76BB" w:rsidR="586F5564">
              <w:rPr>
                <w:rFonts w:eastAsia="Times New Roman" w:cs="Times New Roman"/>
                <w:color w:val="000000" w:themeColor="text1" w:themeTint="FF" w:themeShade="FF"/>
                <w:sz w:val="18"/>
                <w:szCs w:val="18"/>
              </w:rPr>
              <w:t xml:space="preserve"> p</w:t>
            </w:r>
            <w:r w:rsidRPr="507D76BB" w:rsidR="3F2E03B4">
              <w:rPr>
                <w:rFonts w:eastAsia="Times New Roman" w:cs="Times New Roman"/>
                <w:color w:val="000000" w:themeColor="text1" w:themeTint="FF" w:themeShade="FF"/>
                <w:sz w:val="18"/>
                <w:szCs w:val="18"/>
              </w:rPr>
              <w:t>erson</w:t>
            </w:r>
          </w:p>
        </w:tc>
        <w:tc>
          <w:tcPr>
            <w:tcW w:w="1260" w:type="dxa"/>
            <w:tcBorders/>
            <w:tcMar>
              <w:left w:w="90" w:type="dxa"/>
              <w:right w:w="90" w:type="dxa"/>
            </w:tcMar>
            <w:vAlign w:val="center"/>
          </w:tcPr>
          <w:p w:rsidR="51C5DE28" w:rsidP="507D76BB" w:rsidRDefault="51C5DE28" w14:paraId="1EE73D13" w14:textId="363008BC">
            <w:pPr>
              <w:jc w:val="left"/>
              <w:rPr>
                <w:rFonts w:eastAsia="Times New Roman" w:cs="Times New Roman"/>
                <w:color w:val="000000" w:themeColor="text1"/>
                <w:sz w:val="18"/>
                <w:szCs w:val="18"/>
              </w:rPr>
            </w:pPr>
            <w:r w:rsidRPr="507D76BB" w:rsidR="1B9D0969">
              <w:rPr>
                <w:rFonts w:eastAsia="Times New Roman" w:cs="Times New Roman"/>
                <w:color w:val="000000" w:themeColor="text1" w:themeTint="FF" w:themeShade="FF"/>
                <w:sz w:val="18"/>
                <w:szCs w:val="18"/>
              </w:rPr>
              <w:t>Questionnaire</w:t>
            </w:r>
            <w:r w:rsidRPr="507D76BB" w:rsidR="35A17F18">
              <w:rPr>
                <w:rFonts w:eastAsia="Times New Roman" w:cs="Times New Roman"/>
                <w:color w:val="000000" w:themeColor="text1" w:themeTint="FF" w:themeShade="FF"/>
                <w:sz w:val="18"/>
                <w:szCs w:val="18"/>
              </w:rPr>
              <w:t xml:space="preserve"> or</w:t>
            </w:r>
            <w:r w:rsidRPr="507D76BB" w:rsidR="1B9D0969">
              <w:rPr>
                <w:rFonts w:eastAsia="Times New Roman" w:cs="Times New Roman"/>
                <w:color w:val="000000" w:themeColor="text1" w:themeTint="FF" w:themeShade="FF"/>
                <w:sz w:val="18"/>
                <w:szCs w:val="18"/>
              </w:rPr>
              <w:t xml:space="preserve"> Semi</w:t>
            </w:r>
            <w:r w:rsidRPr="507D76BB" w:rsidR="067F69CA">
              <w:rPr>
                <w:rFonts w:eastAsia="Times New Roman" w:cs="Times New Roman"/>
                <w:color w:val="000000" w:themeColor="text1" w:themeTint="FF" w:themeShade="FF"/>
                <w:sz w:val="18"/>
                <w:szCs w:val="18"/>
              </w:rPr>
              <w:t>-structured interview</w:t>
            </w:r>
          </w:p>
        </w:tc>
        <w:tc>
          <w:tcPr>
            <w:tcW w:w="1290" w:type="dxa"/>
            <w:tcBorders/>
            <w:tcMar>
              <w:left w:w="90" w:type="dxa"/>
              <w:right w:w="90" w:type="dxa"/>
            </w:tcMar>
            <w:vAlign w:val="center"/>
          </w:tcPr>
          <w:p w:rsidR="51C5DE28" w:rsidP="507D76BB" w:rsidRDefault="51C5DE28" w14:paraId="4A7391AD" w14:textId="36D5F516">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Self</w:t>
            </w:r>
            <w:r w:rsidRPr="507D76BB" w:rsidR="380BD9EF">
              <w:rPr>
                <w:rFonts w:eastAsia="Times New Roman" w:cs="Times New Roman"/>
                <w:color w:val="000000" w:themeColor="text1" w:themeTint="FF" w:themeShade="FF"/>
                <w:sz w:val="18"/>
                <w:szCs w:val="18"/>
              </w:rPr>
              <w:t xml:space="preserve"> and </w:t>
            </w:r>
            <w:r w:rsidRPr="507D76BB" w:rsidR="067F69CA">
              <w:rPr>
                <w:rFonts w:eastAsia="Times New Roman" w:cs="Times New Roman"/>
                <w:color w:val="000000" w:themeColor="text1" w:themeTint="FF" w:themeShade="FF"/>
                <w:sz w:val="18"/>
                <w:szCs w:val="18"/>
              </w:rPr>
              <w:t xml:space="preserve">Examiner </w:t>
            </w:r>
          </w:p>
        </w:tc>
        <w:tc>
          <w:tcPr>
            <w:tcW w:w="1448" w:type="dxa"/>
            <w:tcBorders/>
            <w:tcMar>
              <w:left w:w="90" w:type="dxa"/>
              <w:right w:w="90" w:type="dxa"/>
            </w:tcMar>
            <w:vAlign w:val="center"/>
          </w:tcPr>
          <w:p w:rsidR="51C5DE28" w:rsidP="507D76BB" w:rsidRDefault="51C5DE28" w14:paraId="23EF5EF1" w14:textId="4027CFD0">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w:t>
            </w:r>
          </w:p>
        </w:tc>
      </w:tr>
      <w:tr w:rsidR="51C5DE28" w:rsidTr="507D76BB" w14:paraId="7AF5F9C7" w14:textId="77777777">
        <w:trPr>
          <w:trHeight w:val="300"/>
        </w:trPr>
        <w:tc>
          <w:tcPr>
            <w:tcW w:w="1245" w:type="dxa"/>
            <w:tcBorders/>
            <w:tcMar>
              <w:left w:w="90" w:type="dxa"/>
              <w:right w:w="90" w:type="dxa"/>
            </w:tcMar>
            <w:vAlign w:val="center"/>
          </w:tcPr>
          <w:p w:rsidR="51C5DE28" w:rsidP="507D76BB" w:rsidRDefault="51C5DE28" w14:paraId="4FF49AD0" w14:textId="3C615E90">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End-of-life care survey</w:t>
            </w:r>
          </w:p>
        </w:tc>
        <w:tc>
          <w:tcPr>
            <w:tcW w:w="825" w:type="dxa"/>
            <w:tcBorders/>
            <w:tcMar>
              <w:left w:w="90" w:type="dxa"/>
              <w:right w:w="90" w:type="dxa"/>
            </w:tcMar>
            <w:vAlign w:val="center"/>
          </w:tcPr>
          <w:p w:rsidR="51C5DE28" w:rsidP="507D76BB" w:rsidRDefault="51C5DE28" w14:paraId="23271B92" w14:textId="2CDF0866">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23CA9EA6" w14:textId="2DBA7B99">
            <w:pPr>
              <w:jc w:val="left"/>
              <w:rPr>
                <w:rFonts w:eastAsia="Times New Roman" w:cs="Times New Roman"/>
                <w:color w:val="222222"/>
                <w:sz w:val="18"/>
                <w:szCs w:val="18"/>
              </w:rPr>
            </w:pPr>
            <w:r w:rsidRPr="507D76BB" w:rsidR="067F69CA">
              <w:rPr>
                <w:rFonts w:eastAsia="Times New Roman" w:cs="Times New Roman"/>
                <w:color w:val="222222"/>
                <w:sz w:val="18"/>
                <w:szCs w:val="18"/>
              </w:rPr>
              <w:t>Waller et al., 2018</w:t>
            </w:r>
          </w:p>
        </w:tc>
        <w:tc>
          <w:tcPr>
            <w:tcW w:w="2460" w:type="dxa"/>
            <w:tcBorders/>
            <w:tcMar>
              <w:left w:w="90" w:type="dxa"/>
              <w:right w:w="90" w:type="dxa"/>
            </w:tcMar>
            <w:vAlign w:val="center"/>
          </w:tcPr>
          <w:p w:rsidR="51C5DE28" w:rsidP="507D76BB" w:rsidRDefault="51C5DE28" w14:paraId="7027BC37" w14:textId="07379BB3">
            <w:pPr>
              <w:jc w:val="left"/>
              <w:rPr>
                <w:rFonts w:eastAsia="Times New Roman" w:cs="Times New Roman"/>
                <w:color w:val="222222"/>
                <w:sz w:val="18"/>
                <w:szCs w:val="18"/>
              </w:rPr>
            </w:pPr>
            <w:r w:rsidRPr="507D76BB" w:rsidR="067F69CA">
              <w:rPr>
                <w:rFonts w:eastAsia="Times New Roman" w:cs="Times New Roman"/>
                <w:color w:val="222222"/>
                <w:sz w:val="18"/>
                <w:szCs w:val="18"/>
              </w:rPr>
              <w:t xml:space="preserve">Survey includes questions </w:t>
            </w:r>
            <w:r w:rsidRPr="507D76BB" w:rsidR="067F69CA">
              <w:rPr>
                <w:rFonts w:eastAsia="Times New Roman" w:cs="Times New Roman"/>
                <w:color w:val="222222"/>
                <w:sz w:val="18"/>
                <w:szCs w:val="18"/>
              </w:rPr>
              <w:t>regarding</w:t>
            </w:r>
            <w:r w:rsidRPr="507D76BB" w:rsidR="067F69CA">
              <w:rPr>
                <w:rFonts w:eastAsia="Times New Roman" w:cs="Times New Roman"/>
                <w:color w:val="222222"/>
                <w:sz w:val="18"/>
                <w:szCs w:val="18"/>
              </w:rPr>
              <w:t xml:space="preserve"> preferred type of </w:t>
            </w:r>
            <w:r w:rsidRPr="507D76BB" w:rsidR="067F69CA">
              <w:rPr>
                <w:rFonts w:eastAsia="Times New Roman" w:cs="Times New Roman"/>
                <w:color w:val="222222"/>
                <w:sz w:val="18"/>
                <w:szCs w:val="18"/>
              </w:rPr>
              <w:t>EoL</w:t>
            </w:r>
            <w:r w:rsidRPr="507D76BB" w:rsidR="067F69CA">
              <w:rPr>
                <w:rFonts w:eastAsia="Times New Roman" w:cs="Times New Roman"/>
                <w:color w:val="222222"/>
                <w:sz w:val="18"/>
                <w:szCs w:val="18"/>
              </w:rPr>
              <w:t xml:space="preserve"> care (extending life as long as possible, relieving pain as much as possible, or unsure), preferred location of </w:t>
            </w:r>
            <w:r w:rsidRPr="507D76BB" w:rsidR="067F69CA">
              <w:rPr>
                <w:rFonts w:eastAsia="Times New Roman" w:cs="Times New Roman"/>
                <w:color w:val="222222"/>
                <w:sz w:val="18"/>
                <w:szCs w:val="18"/>
              </w:rPr>
              <w:t>EoL</w:t>
            </w:r>
            <w:r w:rsidRPr="507D76BB" w:rsidR="067F69CA">
              <w:rPr>
                <w:rFonts w:eastAsia="Times New Roman" w:cs="Times New Roman"/>
                <w:color w:val="222222"/>
                <w:sz w:val="18"/>
                <w:szCs w:val="18"/>
              </w:rPr>
              <w:t xml:space="preserve"> care, involvement in </w:t>
            </w:r>
            <w:r w:rsidRPr="507D76BB" w:rsidR="067F69CA">
              <w:rPr>
                <w:rFonts w:eastAsia="Times New Roman" w:cs="Times New Roman"/>
                <w:color w:val="222222"/>
                <w:sz w:val="18"/>
                <w:szCs w:val="18"/>
              </w:rPr>
              <w:t>EoL</w:t>
            </w:r>
            <w:r w:rsidRPr="507D76BB" w:rsidR="067F69CA">
              <w:rPr>
                <w:rFonts w:eastAsia="Times New Roman" w:cs="Times New Roman"/>
                <w:color w:val="222222"/>
                <w:sz w:val="18"/>
                <w:szCs w:val="18"/>
              </w:rPr>
              <w:t xml:space="preserve"> decision-making preferences, and completion of advance care instruments.</w:t>
            </w:r>
          </w:p>
        </w:tc>
        <w:tc>
          <w:tcPr>
            <w:tcW w:w="870" w:type="dxa"/>
            <w:tcBorders/>
            <w:tcMar>
              <w:left w:w="90" w:type="dxa"/>
              <w:right w:w="90" w:type="dxa"/>
            </w:tcMar>
            <w:vAlign w:val="center"/>
          </w:tcPr>
          <w:p w:rsidR="51C5DE28" w:rsidP="507D76BB" w:rsidRDefault="51C5DE28" w14:paraId="502315D7" w14:textId="79962298">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45-85+</w:t>
            </w:r>
          </w:p>
        </w:tc>
        <w:tc>
          <w:tcPr>
            <w:tcW w:w="2250" w:type="dxa"/>
            <w:tcBorders/>
            <w:tcMar>
              <w:left w:w="90" w:type="dxa"/>
              <w:right w:w="90" w:type="dxa"/>
            </w:tcMar>
            <w:vAlign w:val="center"/>
          </w:tcPr>
          <w:p w:rsidR="51C5DE28" w:rsidP="507D76BB" w:rsidRDefault="51C5DE28" w14:paraId="575E515F" w14:textId="19E047EE">
            <w:pPr>
              <w:pStyle w:val="ListParagraph"/>
              <w:suppressLineNumbers w:val="0"/>
              <w:bidi w:val="0"/>
              <w:spacing w:before="120" w:beforeAutospacing="off" w:after="240" w:afterAutospacing="off" w:line="240" w:lineRule="auto"/>
              <w:ind w:left="360" w:right="0"/>
              <w:jc w:val="left"/>
              <w:rPr>
                <w:rFonts w:eastAsia="Times New Roman" w:cs="Times New Roman"/>
                <w:color w:val="000000" w:themeColor="text1" w:themeTint="FF" w:themeShade="FF"/>
                <w:sz w:val="24"/>
                <w:szCs w:val="24"/>
              </w:rPr>
            </w:pPr>
            <w:r w:rsidRPr="507D76BB" w:rsidR="3CA17BC4">
              <w:rPr>
                <w:rFonts w:eastAsia="Times New Roman" w:cs="Times New Roman"/>
                <w:color w:val="000000" w:themeColor="text1" w:themeTint="FF" w:themeShade="FF"/>
                <w:sz w:val="18"/>
                <w:szCs w:val="18"/>
              </w:rPr>
              <w:t>Unspecified cancer</w:t>
            </w:r>
          </w:p>
        </w:tc>
        <w:tc>
          <w:tcPr>
            <w:tcW w:w="915" w:type="dxa"/>
            <w:tcBorders/>
            <w:tcMar>
              <w:left w:w="90" w:type="dxa"/>
              <w:right w:w="90" w:type="dxa"/>
            </w:tcMar>
            <w:vAlign w:val="center"/>
          </w:tcPr>
          <w:p w:rsidR="51C5DE28" w:rsidP="507D76BB" w:rsidRDefault="51C5DE28" w14:paraId="5EEFEDF5" w14:textId="36AFD5C6">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Remote</w:t>
            </w:r>
          </w:p>
        </w:tc>
        <w:tc>
          <w:tcPr>
            <w:tcW w:w="1260" w:type="dxa"/>
            <w:tcBorders/>
            <w:tcMar>
              <w:left w:w="90" w:type="dxa"/>
              <w:right w:w="90" w:type="dxa"/>
            </w:tcMar>
            <w:vAlign w:val="center"/>
          </w:tcPr>
          <w:p w:rsidR="51C5DE28" w:rsidP="507D76BB" w:rsidRDefault="51C5DE28" w14:paraId="0A9459AE" w14:textId="31A0305E">
            <w:pPr>
              <w:jc w:val="left"/>
              <w:rPr>
                <w:rFonts w:eastAsia="Times New Roman" w:cs="Times New Roman"/>
                <w:color w:val="000000" w:themeColor="text1"/>
                <w:sz w:val="18"/>
                <w:szCs w:val="18"/>
              </w:rPr>
            </w:pPr>
            <w:r w:rsidRPr="507D76BB" w:rsidR="4E43B208">
              <w:rPr>
                <w:rFonts w:eastAsia="Times New Roman" w:cs="Times New Roman"/>
                <w:color w:val="000000" w:themeColor="text1" w:themeTint="FF" w:themeShade="FF"/>
                <w:sz w:val="18"/>
                <w:szCs w:val="18"/>
              </w:rPr>
              <w:t>Questionnaire</w:t>
            </w:r>
          </w:p>
        </w:tc>
        <w:tc>
          <w:tcPr>
            <w:tcW w:w="1290" w:type="dxa"/>
            <w:tcBorders/>
            <w:tcMar>
              <w:left w:w="90" w:type="dxa"/>
              <w:right w:w="90" w:type="dxa"/>
            </w:tcMar>
            <w:vAlign w:val="center"/>
          </w:tcPr>
          <w:p w:rsidR="51C5DE28" w:rsidP="507D76BB" w:rsidRDefault="51C5DE28" w14:paraId="67AE095F" w14:textId="56109347">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Self</w:t>
            </w:r>
          </w:p>
        </w:tc>
        <w:tc>
          <w:tcPr>
            <w:tcW w:w="1448" w:type="dxa"/>
            <w:tcBorders/>
            <w:tcMar>
              <w:left w:w="90" w:type="dxa"/>
              <w:right w:w="90" w:type="dxa"/>
            </w:tcMar>
            <w:vAlign w:val="center"/>
          </w:tcPr>
          <w:p w:rsidR="51C5DE28" w:rsidP="507D76BB" w:rsidRDefault="51C5DE28" w14:paraId="7695BA12" w14:textId="7ABBEF05">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 and support person</w:t>
            </w:r>
          </w:p>
        </w:tc>
      </w:tr>
      <w:tr w:rsidR="51C5DE28" w:rsidTr="507D76BB" w14:paraId="5878EE7E" w14:textId="77777777">
        <w:trPr>
          <w:trHeight w:val="300"/>
        </w:trPr>
        <w:tc>
          <w:tcPr>
            <w:tcW w:w="1245" w:type="dxa"/>
            <w:tcBorders/>
            <w:tcMar>
              <w:left w:w="90" w:type="dxa"/>
              <w:right w:w="90" w:type="dxa"/>
            </w:tcMar>
            <w:vAlign w:val="center"/>
          </w:tcPr>
          <w:p w:rsidR="51C5DE28" w:rsidP="507D76BB" w:rsidRDefault="51C5DE28" w14:paraId="44F8EB48" w14:textId="2E6D8DA1">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Problem-Solving Decision-Making scale (Portuguese version)</w:t>
            </w:r>
          </w:p>
        </w:tc>
        <w:tc>
          <w:tcPr>
            <w:tcW w:w="825" w:type="dxa"/>
            <w:tcBorders/>
            <w:tcMar>
              <w:left w:w="90" w:type="dxa"/>
              <w:right w:w="90" w:type="dxa"/>
            </w:tcMar>
            <w:vAlign w:val="center"/>
          </w:tcPr>
          <w:p w:rsidR="51C5DE28" w:rsidP="507D76BB" w:rsidRDefault="51C5DE28" w14:paraId="40E764B0" w14:textId="0C1CAC87">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6FD2184F" w14:textId="01077BBF">
            <w:pPr>
              <w:jc w:val="left"/>
              <w:rPr>
                <w:rFonts w:eastAsia="Times New Roman" w:cs="Times New Roman"/>
                <w:color w:val="222222"/>
                <w:sz w:val="18"/>
                <w:szCs w:val="18"/>
              </w:rPr>
            </w:pPr>
            <w:r w:rsidRPr="507D76BB" w:rsidR="067F69CA">
              <w:rPr>
                <w:rFonts w:eastAsia="Times New Roman" w:cs="Times New Roman"/>
                <w:color w:val="222222"/>
                <w:sz w:val="18"/>
                <w:szCs w:val="18"/>
              </w:rPr>
              <w:t>Gregório et al., 2020</w:t>
            </w:r>
          </w:p>
        </w:tc>
        <w:tc>
          <w:tcPr>
            <w:tcW w:w="2460" w:type="dxa"/>
            <w:tcBorders/>
            <w:tcMar>
              <w:left w:w="90" w:type="dxa"/>
              <w:right w:w="90" w:type="dxa"/>
            </w:tcMar>
            <w:vAlign w:val="center"/>
          </w:tcPr>
          <w:p w:rsidR="51C5DE28" w:rsidP="507D76BB" w:rsidRDefault="51C5DE28" w14:paraId="40589058" w14:textId="7B2D83B3">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Scale presents 3 short vignettes: the morbidity vignette, the quality-of-life vignette, and the mortality vignette. Each vignette presents 6 tasks posing questions as to who should </w:t>
            </w:r>
            <w:r w:rsidRPr="507D76BB" w:rsidR="067F69CA">
              <w:rPr>
                <w:rFonts w:eastAsia="Times New Roman" w:cs="Times New Roman"/>
                <w:color w:val="000000" w:themeColor="text1" w:themeTint="FF" w:themeShade="FF"/>
                <w:sz w:val="18"/>
                <w:szCs w:val="18"/>
              </w:rPr>
              <w:t>be responsible for</w:t>
            </w:r>
            <w:r w:rsidRPr="507D76BB" w:rsidR="067F69CA">
              <w:rPr>
                <w:rFonts w:eastAsia="Times New Roman" w:cs="Times New Roman"/>
                <w:color w:val="000000" w:themeColor="text1" w:themeTint="FF" w:themeShade="FF"/>
                <w:sz w:val="18"/>
                <w:szCs w:val="18"/>
              </w:rPr>
              <w:t xml:space="preserve"> treatment decisions, </w:t>
            </w:r>
            <w:r w:rsidRPr="507D76BB" w:rsidR="067F69CA">
              <w:rPr>
                <w:rFonts w:eastAsia="Times New Roman" w:cs="Times New Roman"/>
                <w:color w:val="000000" w:themeColor="text1" w:themeTint="FF" w:themeShade="FF"/>
                <w:sz w:val="18"/>
                <w:szCs w:val="18"/>
              </w:rPr>
              <w:t>determining</w:t>
            </w:r>
            <w:r w:rsidRPr="507D76BB" w:rsidR="067F69CA">
              <w:rPr>
                <w:rFonts w:eastAsia="Times New Roman" w:cs="Times New Roman"/>
                <w:color w:val="000000" w:themeColor="text1" w:themeTint="FF" w:themeShade="FF"/>
                <w:sz w:val="18"/>
                <w:szCs w:val="18"/>
              </w:rPr>
              <w:t xml:space="preserve"> comfort, diagnosing the problem, etc.</w:t>
            </w:r>
          </w:p>
        </w:tc>
        <w:tc>
          <w:tcPr>
            <w:tcW w:w="870" w:type="dxa"/>
            <w:tcBorders/>
            <w:tcMar>
              <w:left w:w="90" w:type="dxa"/>
              <w:right w:w="90" w:type="dxa"/>
            </w:tcMar>
            <w:vAlign w:val="center"/>
          </w:tcPr>
          <w:p w:rsidR="51C5DE28" w:rsidP="507D76BB" w:rsidRDefault="51C5DE28" w14:paraId="5A9B8C44" w14:textId="1DCDA8B0">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20-96</w:t>
            </w:r>
          </w:p>
        </w:tc>
        <w:tc>
          <w:tcPr>
            <w:tcW w:w="2250" w:type="dxa"/>
            <w:tcBorders/>
            <w:tcMar>
              <w:left w:w="90" w:type="dxa"/>
              <w:right w:w="90" w:type="dxa"/>
            </w:tcMar>
            <w:vAlign w:val="center"/>
          </w:tcPr>
          <w:p w:rsidR="51C5DE28" w:rsidP="507D76BB" w:rsidRDefault="51C5DE28" w14:paraId="69777AD6" w14:textId="494958B7">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None</w:t>
            </w:r>
          </w:p>
        </w:tc>
        <w:tc>
          <w:tcPr>
            <w:tcW w:w="915" w:type="dxa"/>
            <w:tcBorders/>
            <w:tcMar>
              <w:left w:w="90" w:type="dxa"/>
              <w:right w:w="90" w:type="dxa"/>
            </w:tcMar>
            <w:vAlign w:val="center"/>
          </w:tcPr>
          <w:p w:rsidR="51C5DE28" w:rsidP="507D76BB" w:rsidRDefault="51C5DE28" w14:paraId="66A1892F" w14:textId="5605A433">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In person</w:t>
            </w:r>
          </w:p>
        </w:tc>
        <w:tc>
          <w:tcPr>
            <w:tcW w:w="1260" w:type="dxa"/>
            <w:tcBorders/>
            <w:tcMar>
              <w:left w:w="90" w:type="dxa"/>
              <w:right w:w="90" w:type="dxa"/>
            </w:tcMar>
            <w:vAlign w:val="center"/>
          </w:tcPr>
          <w:p w:rsidR="51C5DE28" w:rsidP="507D76BB" w:rsidRDefault="51C5DE28" w14:paraId="0271D930" w14:textId="4F74BF55">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Semi-structured interview</w:t>
            </w:r>
            <w:r w:rsidRPr="507D76BB" w:rsidR="00F14C7A">
              <w:rPr>
                <w:rFonts w:eastAsia="Times New Roman" w:cs="Times New Roman"/>
                <w:color w:val="000000" w:themeColor="text1" w:themeTint="FF" w:themeShade="FF"/>
                <w:sz w:val="18"/>
                <w:szCs w:val="18"/>
              </w:rPr>
              <w:t xml:space="preserve"> (w/ vignettes)</w:t>
            </w:r>
            <w:r w:rsidRPr="507D76BB" w:rsidR="067F69CA">
              <w:rPr>
                <w:rFonts w:eastAsia="Times New Roman" w:cs="Times New Roman"/>
                <w:color w:val="000000" w:themeColor="text1" w:themeTint="FF" w:themeShade="FF"/>
                <w:sz w:val="18"/>
                <w:szCs w:val="18"/>
              </w:rPr>
              <w:t xml:space="preserve"> </w:t>
            </w:r>
          </w:p>
        </w:tc>
        <w:tc>
          <w:tcPr>
            <w:tcW w:w="1290" w:type="dxa"/>
            <w:tcBorders/>
            <w:tcMar>
              <w:left w:w="90" w:type="dxa"/>
              <w:right w:w="90" w:type="dxa"/>
            </w:tcMar>
            <w:vAlign w:val="center"/>
          </w:tcPr>
          <w:p w:rsidR="51C5DE28" w:rsidP="507D76BB" w:rsidRDefault="51C5DE28" w14:paraId="5EFC4856" w14:textId="495FF735">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Examiner</w:t>
            </w:r>
          </w:p>
        </w:tc>
        <w:tc>
          <w:tcPr>
            <w:tcW w:w="1448" w:type="dxa"/>
            <w:tcBorders/>
            <w:tcMar>
              <w:left w:w="90" w:type="dxa"/>
              <w:right w:w="90" w:type="dxa"/>
            </w:tcMar>
            <w:vAlign w:val="center"/>
          </w:tcPr>
          <w:p w:rsidR="51C5DE28" w:rsidP="507D76BB" w:rsidRDefault="51C5DE28" w14:paraId="6B21782B" w14:textId="5E6C1508">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w:t>
            </w:r>
          </w:p>
        </w:tc>
      </w:tr>
      <w:tr w:rsidR="51C5DE28" w:rsidTr="507D76BB" w14:paraId="39E57498" w14:textId="77777777">
        <w:trPr>
          <w:trHeight w:val="300"/>
        </w:trPr>
        <w:tc>
          <w:tcPr>
            <w:tcW w:w="1245" w:type="dxa"/>
            <w:tcBorders/>
            <w:tcMar>
              <w:left w:w="90" w:type="dxa"/>
              <w:right w:w="90" w:type="dxa"/>
            </w:tcMar>
            <w:vAlign w:val="center"/>
          </w:tcPr>
          <w:p w:rsidR="51C5DE28" w:rsidP="507D76BB" w:rsidRDefault="51C5DE28" w14:paraId="1339FDB9" w14:textId="60AB244D">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Advance Care Planning – Capacity Assessment Vignettes Method (ACP–CAV)</w:t>
            </w:r>
          </w:p>
        </w:tc>
        <w:tc>
          <w:tcPr>
            <w:tcW w:w="825" w:type="dxa"/>
            <w:tcBorders/>
            <w:tcMar>
              <w:left w:w="90" w:type="dxa"/>
              <w:right w:w="90" w:type="dxa"/>
            </w:tcMar>
            <w:vAlign w:val="center"/>
          </w:tcPr>
          <w:p w:rsidR="51C5DE28" w:rsidP="507D76BB" w:rsidRDefault="51C5DE28" w14:paraId="08D07D68" w14:textId="5FB68A05">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75D3A31B" w14:textId="5E002978">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Kiriaev</w:t>
            </w:r>
            <w:r w:rsidRPr="507D76BB" w:rsidR="067F69CA">
              <w:rPr>
                <w:rFonts w:eastAsia="Times New Roman" w:cs="Times New Roman"/>
                <w:color w:val="000000" w:themeColor="text1" w:themeTint="FF" w:themeShade="FF"/>
                <w:sz w:val="18"/>
                <w:szCs w:val="18"/>
              </w:rPr>
              <w:t xml:space="preserve"> et al., 2018</w:t>
            </w:r>
          </w:p>
        </w:tc>
        <w:tc>
          <w:tcPr>
            <w:tcW w:w="2460" w:type="dxa"/>
            <w:tcBorders/>
            <w:tcMar>
              <w:left w:w="90" w:type="dxa"/>
              <w:right w:w="90" w:type="dxa"/>
            </w:tcMar>
            <w:vAlign w:val="center"/>
          </w:tcPr>
          <w:p w:rsidR="51C5DE28" w:rsidP="507D76BB" w:rsidRDefault="51C5DE28" w14:paraId="7DC55069" w14:textId="57732C9F">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Two vignettes present two medical situations (1) resuscitation which has a low probability of being successful and allowing a person to return to previous health (2) stomach cancer diagnosis in which a patient is given two options--surgery which results in a feeding tube or care that would focus on pain relief and good nursing care. Participants are then asked to explain the scenario, treatment options, choice, reason for choice, consequences of choice, and repeated expression of choice.</w:t>
            </w:r>
          </w:p>
        </w:tc>
        <w:tc>
          <w:tcPr>
            <w:tcW w:w="870" w:type="dxa"/>
            <w:tcBorders/>
            <w:tcMar>
              <w:left w:w="90" w:type="dxa"/>
              <w:right w:w="90" w:type="dxa"/>
            </w:tcMar>
            <w:vAlign w:val="center"/>
          </w:tcPr>
          <w:p w:rsidR="51C5DE28" w:rsidP="507D76BB" w:rsidRDefault="51C5DE28" w14:paraId="1A882862" w14:textId="0704325F">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60-85+</w:t>
            </w:r>
          </w:p>
        </w:tc>
        <w:tc>
          <w:tcPr>
            <w:tcW w:w="2250" w:type="dxa"/>
            <w:tcBorders/>
            <w:tcMar>
              <w:left w:w="90" w:type="dxa"/>
              <w:right w:w="90" w:type="dxa"/>
            </w:tcMar>
            <w:vAlign w:val="center"/>
          </w:tcPr>
          <w:p w:rsidR="51C5DE28" w:rsidP="507D76BB" w:rsidRDefault="51C5DE28" w14:paraId="5C00D371" w14:textId="5479526C">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Nursing home residents</w:t>
            </w:r>
          </w:p>
        </w:tc>
        <w:tc>
          <w:tcPr>
            <w:tcW w:w="915" w:type="dxa"/>
            <w:tcBorders/>
            <w:tcMar>
              <w:left w:w="90" w:type="dxa"/>
              <w:right w:w="90" w:type="dxa"/>
            </w:tcMar>
            <w:vAlign w:val="center"/>
          </w:tcPr>
          <w:p w:rsidR="51C5DE28" w:rsidP="507D76BB" w:rsidRDefault="51C5DE28" w14:paraId="77E14417" w14:textId="03AA7F3D">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In person</w:t>
            </w:r>
          </w:p>
        </w:tc>
        <w:tc>
          <w:tcPr>
            <w:tcW w:w="1260" w:type="dxa"/>
            <w:tcBorders/>
            <w:tcMar>
              <w:left w:w="90" w:type="dxa"/>
              <w:right w:w="90" w:type="dxa"/>
            </w:tcMar>
            <w:vAlign w:val="center"/>
          </w:tcPr>
          <w:p w:rsidR="51C5DE28" w:rsidP="507D76BB" w:rsidRDefault="51C5DE28" w14:paraId="4A142CC4" w14:textId="3B5660F0">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Semi-structured interview</w:t>
            </w:r>
            <w:r w:rsidRPr="507D76BB" w:rsidR="329CE5B9">
              <w:rPr>
                <w:rFonts w:eastAsia="Times New Roman" w:cs="Times New Roman"/>
                <w:color w:val="000000" w:themeColor="text1" w:themeTint="FF" w:themeShade="FF"/>
                <w:sz w:val="18"/>
                <w:szCs w:val="18"/>
              </w:rPr>
              <w:t xml:space="preserve"> (w/ </w:t>
            </w:r>
            <w:r w:rsidRPr="507D76BB" w:rsidR="3A7A0893">
              <w:rPr>
                <w:rFonts w:eastAsia="Times New Roman" w:cs="Times New Roman"/>
                <w:color w:val="000000" w:themeColor="text1" w:themeTint="FF" w:themeShade="FF"/>
                <w:sz w:val="18"/>
                <w:szCs w:val="18"/>
              </w:rPr>
              <w:t>vignettes</w:t>
            </w:r>
            <w:r w:rsidRPr="507D76BB" w:rsidR="329CE5B9">
              <w:rPr>
                <w:rFonts w:eastAsia="Times New Roman" w:cs="Times New Roman"/>
                <w:color w:val="000000" w:themeColor="text1" w:themeTint="FF" w:themeShade="FF"/>
                <w:sz w:val="18"/>
                <w:szCs w:val="18"/>
              </w:rPr>
              <w:t>)</w:t>
            </w:r>
            <w:r w:rsidRPr="507D76BB" w:rsidR="067F69CA">
              <w:rPr>
                <w:rFonts w:eastAsia="Times New Roman" w:cs="Times New Roman"/>
                <w:color w:val="000000" w:themeColor="text1" w:themeTint="FF" w:themeShade="FF"/>
                <w:sz w:val="18"/>
                <w:szCs w:val="18"/>
              </w:rPr>
              <w:t xml:space="preserve"> </w:t>
            </w:r>
          </w:p>
        </w:tc>
        <w:tc>
          <w:tcPr>
            <w:tcW w:w="1290" w:type="dxa"/>
            <w:tcBorders/>
            <w:tcMar>
              <w:left w:w="90" w:type="dxa"/>
              <w:right w:w="90" w:type="dxa"/>
            </w:tcMar>
            <w:vAlign w:val="center"/>
          </w:tcPr>
          <w:p w:rsidR="51C5DE28" w:rsidP="507D76BB" w:rsidRDefault="51C5DE28" w14:paraId="1C698B49" w14:textId="7CC71E55">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Examiner</w:t>
            </w:r>
          </w:p>
        </w:tc>
        <w:tc>
          <w:tcPr>
            <w:tcW w:w="1448" w:type="dxa"/>
            <w:tcBorders/>
            <w:tcMar>
              <w:left w:w="90" w:type="dxa"/>
              <w:right w:w="90" w:type="dxa"/>
            </w:tcMar>
            <w:vAlign w:val="center"/>
          </w:tcPr>
          <w:p w:rsidR="51C5DE28" w:rsidP="507D76BB" w:rsidRDefault="51C5DE28" w14:paraId="24093629" w14:textId="165082E2">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 and next-of-kin</w:t>
            </w:r>
          </w:p>
        </w:tc>
      </w:tr>
      <w:tr w:rsidR="51C5DE28" w:rsidTr="507D76BB" w14:paraId="2F883F91" w14:textId="77777777">
        <w:trPr>
          <w:trHeight w:val="300"/>
        </w:trPr>
        <w:tc>
          <w:tcPr>
            <w:tcW w:w="1245" w:type="dxa"/>
            <w:tcBorders/>
            <w:tcMar>
              <w:left w:w="90" w:type="dxa"/>
              <w:right w:w="90" w:type="dxa"/>
            </w:tcMar>
            <w:vAlign w:val="center"/>
          </w:tcPr>
          <w:p w:rsidR="51C5DE28" w:rsidP="507D76BB" w:rsidRDefault="51C5DE28" w14:paraId="6FCA39FC" w14:textId="0A657C6D">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Advance Care Planning Engagement Survey</w:t>
            </w:r>
            <w:r w:rsidRPr="507D76BB" w:rsidR="09CCECD6">
              <w:rPr>
                <w:rFonts w:eastAsia="Times New Roman" w:cs="Times New Roman"/>
                <w:color w:val="000000" w:themeColor="text1" w:themeTint="FF" w:themeShade="FF"/>
                <w:sz w:val="18"/>
                <w:szCs w:val="18"/>
              </w:rPr>
              <w:t>- Traditional Chinese</w:t>
            </w:r>
            <w:r w:rsidRPr="507D76BB" w:rsidR="067F69CA">
              <w:rPr>
                <w:rFonts w:eastAsia="Times New Roman" w:cs="Times New Roman"/>
                <w:color w:val="000000" w:themeColor="text1" w:themeTint="FF" w:themeShade="FF"/>
                <w:sz w:val="18"/>
                <w:szCs w:val="18"/>
              </w:rPr>
              <w:t xml:space="preserve"> (ACP-TC) </w:t>
            </w:r>
          </w:p>
        </w:tc>
        <w:tc>
          <w:tcPr>
            <w:tcW w:w="825" w:type="dxa"/>
            <w:tcBorders/>
            <w:tcMar>
              <w:left w:w="90" w:type="dxa"/>
              <w:right w:w="90" w:type="dxa"/>
            </w:tcMar>
            <w:vAlign w:val="center"/>
          </w:tcPr>
          <w:p w:rsidR="51C5DE28" w:rsidP="507D76BB" w:rsidRDefault="51C5DE28" w14:paraId="6DA5C11E" w14:textId="08EF39C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6F74CCF8" w14:textId="7F3EDDDA">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Wei et al., 2022</w:t>
            </w:r>
          </w:p>
        </w:tc>
        <w:tc>
          <w:tcPr>
            <w:tcW w:w="2460" w:type="dxa"/>
            <w:tcBorders/>
            <w:tcMar>
              <w:left w:w="90" w:type="dxa"/>
              <w:right w:w="90" w:type="dxa"/>
            </w:tcMar>
            <w:vAlign w:val="center"/>
          </w:tcPr>
          <w:p w:rsidR="51C5DE28" w:rsidP="507D76BB" w:rsidRDefault="51C5DE28" w14:paraId="77D64E47" w14:textId="6861C0A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The survey evaluates future medical care decision-making processes in individuals regardless of age and health status. The long-form survey </w:t>
            </w:r>
            <w:r w:rsidRPr="507D76BB" w:rsidR="067F69CA">
              <w:rPr>
                <w:rFonts w:eastAsia="Times New Roman" w:cs="Times New Roman"/>
                <w:color w:val="000000" w:themeColor="text1" w:themeTint="FF" w:themeShade="FF"/>
                <w:sz w:val="18"/>
                <w:szCs w:val="18"/>
              </w:rPr>
              <w:t>contains</w:t>
            </w:r>
            <w:r w:rsidRPr="507D76BB" w:rsidR="067F69CA">
              <w:rPr>
                <w:rFonts w:eastAsia="Times New Roman" w:cs="Times New Roman"/>
                <w:color w:val="000000" w:themeColor="text1" w:themeTint="FF" w:themeShade="FF"/>
                <w:sz w:val="18"/>
                <w:szCs w:val="18"/>
              </w:rPr>
              <w:t xml:space="preserve"> 82 items while the shortest version at present </w:t>
            </w:r>
            <w:r w:rsidRPr="507D76BB" w:rsidR="067F69CA">
              <w:rPr>
                <w:rFonts w:eastAsia="Times New Roman" w:cs="Times New Roman"/>
                <w:color w:val="000000" w:themeColor="text1" w:themeTint="FF" w:themeShade="FF"/>
                <w:sz w:val="18"/>
                <w:szCs w:val="18"/>
              </w:rPr>
              <w:t>contains</w:t>
            </w:r>
            <w:r w:rsidRPr="507D76BB" w:rsidR="067F69CA">
              <w:rPr>
                <w:rFonts w:eastAsia="Times New Roman" w:cs="Times New Roman"/>
                <w:color w:val="000000" w:themeColor="text1" w:themeTint="FF" w:themeShade="FF"/>
                <w:sz w:val="18"/>
                <w:szCs w:val="18"/>
              </w:rPr>
              <w:t xml:space="preserve"> 2 subscales (4 questions) regarding: quality of life and medical decision-makers.</w:t>
            </w:r>
          </w:p>
        </w:tc>
        <w:tc>
          <w:tcPr>
            <w:tcW w:w="870" w:type="dxa"/>
            <w:tcBorders/>
            <w:tcMar>
              <w:left w:w="90" w:type="dxa"/>
              <w:right w:w="90" w:type="dxa"/>
            </w:tcMar>
            <w:vAlign w:val="center"/>
          </w:tcPr>
          <w:p w:rsidR="51C5DE28" w:rsidP="507D76BB" w:rsidRDefault="51C5DE28" w14:paraId="400C106A" w14:textId="189B4F03">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18-84</w:t>
            </w:r>
          </w:p>
        </w:tc>
        <w:tc>
          <w:tcPr>
            <w:tcW w:w="2250" w:type="dxa"/>
            <w:tcBorders/>
            <w:tcMar>
              <w:left w:w="90" w:type="dxa"/>
              <w:right w:w="90" w:type="dxa"/>
            </w:tcMar>
            <w:vAlign w:val="center"/>
          </w:tcPr>
          <w:p w:rsidR="51C5DE28" w:rsidP="507D76BB" w:rsidRDefault="51C5DE28" w14:paraId="7F928BB3" w14:textId="7C728A20">
            <w:pPr>
              <w:pStyle w:val="ListParagraph"/>
              <w:spacing w:after="0"/>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None</w:t>
            </w:r>
            <w:r w:rsidRPr="507D76BB" w:rsidR="3D915EE1">
              <w:rPr>
                <w:rFonts w:eastAsia="Times New Roman" w:cs="Times New Roman"/>
                <w:color w:val="000000" w:themeColor="text1" w:themeTint="FF" w:themeShade="FF"/>
                <w:sz w:val="18"/>
                <w:szCs w:val="18"/>
              </w:rPr>
              <w:t xml:space="preserve"> (</w:t>
            </w:r>
            <w:r w:rsidRPr="507D76BB" w:rsidR="067F69CA">
              <w:rPr>
                <w:rFonts w:eastAsia="Times New Roman" w:cs="Times New Roman"/>
                <w:color w:val="000000" w:themeColor="text1" w:themeTint="FF" w:themeShade="FF"/>
                <w:sz w:val="18"/>
                <w:szCs w:val="18"/>
              </w:rPr>
              <w:t>some participants take long-term medication</w:t>
            </w:r>
            <w:r w:rsidRPr="507D76BB" w:rsidR="07AB9E80">
              <w:rPr>
                <w:rFonts w:eastAsia="Times New Roman" w:cs="Times New Roman"/>
                <w:color w:val="000000" w:themeColor="text1" w:themeTint="FF" w:themeShade="FF"/>
                <w:sz w:val="18"/>
                <w:szCs w:val="18"/>
              </w:rPr>
              <w:t>)</w:t>
            </w:r>
          </w:p>
        </w:tc>
        <w:tc>
          <w:tcPr>
            <w:tcW w:w="915" w:type="dxa"/>
            <w:tcBorders/>
            <w:tcMar>
              <w:left w:w="90" w:type="dxa"/>
              <w:right w:w="90" w:type="dxa"/>
            </w:tcMar>
            <w:vAlign w:val="center"/>
          </w:tcPr>
          <w:p w:rsidR="51C5DE28" w:rsidP="507D76BB" w:rsidRDefault="51C5DE28" w14:paraId="40CA44BB" w14:textId="416F36EF">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In person</w:t>
            </w:r>
          </w:p>
        </w:tc>
        <w:tc>
          <w:tcPr>
            <w:tcW w:w="1260" w:type="dxa"/>
            <w:tcBorders/>
            <w:tcMar>
              <w:left w:w="90" w:type="dxa"/>
              <w:right w:w="90" w:type="dxa"/>
            </w:tcMar>
            <w:vAlign w:val="center"/>
          </w:tcPr>
          <w:p w:rsidR="51C5DE28" w:rsidP="507D76BB" w:rsidRDefault="51C5DE28" w14:paraId="594B75E1" w14:textId="016A249D">
            <w:pPr>
              <w:pStyle w:val="Normal"/>
              <w:suppressLineNumbers w:val="0"/>
              <w:bidi w:val="0"/>
              <w:spacing w:before="120" w:beforeAutospacing="off" w:after="240" w:afterAutospacing="off" w:line="240" w:lineRule="auto"/>
              <w:ind w:left="0" w:right="0"/>
              <w:jc w:val="left"/>
              <w:rPr>
                <w:rFonts w:eastAsia="Times New Roman" w:cs="Times New Roman"/>
                <w:color w:val="000000" w:themeColor="text1" w:themeTint="FF" w:themeShade="FF"/>
                <w:sz w:val="18"/>
                <w:szCs w:val="18"/>
              </w:rPr>
            </w:pPr>
            <w:r w:rsidRPr="507D76BB" w:rsidR="765F14A9">
              <w:rPr>
                <w:rFonts w:eastAsia="Times New Roman" w:cs="Times New Roman"/>
                <w:color w:val="000000" w:themeColor="text1" w:themeTint="FF" w:themeShade="FF"/>
                <w:sz w:val="18"/>
                <w:szCs w:val="18"/>
              </w:rPr>
              <w:t>Questionnaire</w:t>
            </w:r>
          </w:p>
          <w:p w:rsidR="51C5DE28" w:rsidP="507D76BB" w:rsidRDefault="51C5DE28" w14:paraId="78987A0A" w14:textId="1EBA2F2B">
            <w:pPr>
              <w:pStyle w:val="Normal"/>
              <w:suppressLineNumbers w:val="0"/>
              <w:bidi w:val="0"/>
              <w:spacing w:before="120" w:beforeAutospacing="off" w:after="240" w:afterAutospacing="off" w:line="240" w:lineRule="auto"/>
              <w:ind w:left="0" w:right="0"/>
              <w:jc w:val="left"/>
              <w:rPr>
                <w:rFonts w:eastAsia="Times New Roman" w:cs="Times New Roman"/>
                <w:color w:val="000000" w:themeColor="text1" w:themeTint="FF" w:themeShade="FF"/>
                <w:sz w:val="18"/>
                <w:szCs w:val="18"/>
              </w:rPr>
            </w:pPr>
          </w:p>
        </w:tc>
        <w:tc>
          <w:tcPr>
            <w:tcW w:w="1290" w:type="dxa"/>
            <w:tcBorders/>
            <w:tcMar>
              <w:left w:w="90" w:type="dxa"/>
              <w:right w:w="90" w:type="dxa"/>
            </w:tcMar>
            <w:vAlign w:val="center"/>
          </w:tcPr>
          <w:p w:rsidR="51C5DE28" w:rsidP="507D76BB" w:rsidRDefault="51C5DE28" w14:paraId="67A642D0" w14:textId="69BEB6B2">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Not reported</w:t>
            </w:r>
          </w:p>
        </w:tc>
        <w:tc>
          <w:tcPr>
            <w:tcW w:w="1448" w:type="dxa"/>
            <w:tcBorders/>
            <w:tcMar>
              <w:left w:w="90" w:type="dxa"/>
              <w:right w:w="90" w:type="dxa"/>
            </w:tcMar>
            <w:vAlign w:val="center"/>
          </w:tcPr>
          <w:p w:rsidR="51C5DE28" w:rsidP="507D76BB" w:rsidRDefault="51C5DE28" w14:paraId="2835AE54" w14:textId="2DCE18E1">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w:t>
            </w:r>
          </w:p>
        </w:tc>
      </w:tr>
      <w:tr w:rsidR="51C5DE28" w:rsidTr="507D76BB" w14:paraId="60D77084" w14:textId="77777777">
        <w:trPr>
          <w:trHeight w:val="300"/>
        </w:trPr>
        <w:tc>
          <w:tcPr>
            <w:tcW w:w="1245" w:type="dxa"/>
            <w:tcBorders/>
            <w:tcMar>
              <w:left w:w="90" w:type="dxa"/>
              <w:right w:w="90" w:type="dxa"/>
            </w:tcMar>
            <w:vAlign w:val="center"/>
          </w:tcPr>
          <w:p w:rsidR="51C5DE28" w:rsidP="507D76BB" w:rsidRDefault="51C5DE28" w14:paraId="254BF91F" w14:textId="7A8359B1">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Advance Care Planning Questionnaire</w:t>
            </w:r>
          </w:p>
        </w:tc>
        <w:tc>
          <w:tcPr>
            <w:tcW w:w="825" w:type="dxa"/>
            <w:tcBorders/>
            <w:tcMar>
              <w:left w:w="90" w:type="dxa"/>
              <w:right w:w="90" w:type="dxa"/>
            </w:tcMar>
            <w:vAlign w:val="center"/>
          </w:tcPr>
          <w:p w:rsidR="51C5DE28" w:rsidP="507D76BB" w:rsidRDefault="51C5DE28" w14:paraId="7A4F0CA5" w14:textId="7485B45E">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5750F4E5" w14:textId="43A7EC5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Lim et al., 2022</w:t>
            </w:r>
          </w:p>
        </w:tc>
        <w:tc>
          <w:tcPr>
            <w:tcW w:w="2460" w:type="dxa"/>
            <w:tcBorders/>
            <w:tcMar>
              <w:left w:w="90" w:type="dxa"/>
              <w:right w:w="90" w:type="dxa"/>
            </w:tcMar>
            <w:vAlign w:val="center"/>
          </w:tcPr>
          <w:p w:rsidR="51C5DE28" w:rsidP="507D76BB" w:rsidRDefault="51C5DE28" w14:paraId="5490E77D" w14:textId="7DE759A8">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Questionnaire that </w:t>
            </w:r>
            <w:r w:rsidRPr="507D76BB" w:rsidR="067F69CA">
              <w:rPr>
                <w:rFonts w:eastAsia="Times New Roman" w:cs="Times New Roman"/>
                <w:color w:val="000000" w:themeColor="text1" w:themeTint="FF" w:themeShade="FF"/>
                <w:sz w:val="18"/>
                <w:szCs w:val="18"/>
              </w:rPr>
              <w:t>contains</w:t>
            </w:r>
            <w:r w:rsidRPr="507D76BB" w:rsidR="067F69CA">
              <w:rPr>
                <w:rFonts w:eastAsia="Times New Roman" w:cs="Times New Roman"/>
                <w:color w:val="000000" w:themeColor="text1" w:themeTint="FF" w:themeShade="FF"/>
                <w:sz w:val="18"/>
                <w:szCs w:val="18"/>
              </w:rPr>
              <w:t xml:space="preserve"> domains associated with advance care planning including knowledge, attitude, justification (for or against ACP), and practice.</w:t>
            </w:r>
          </w:p>
        </w:tc>
        <w:tc>
          <w:tcPr>
            <w:tcW w:w="870" w:type="dxa"/>
            <w:tcBorders/>
            <w:tcMar>
              <w:left w:w="90" w:type="dxa"/>
              <w:right w:w="90" w:type="dxa"/>
            </w:tcMar>
            <w:vAlign w:val="center"/>
          </w:tcPr>
          <w:p w:rsidR="51C5DE28" w:rsidP="507D76BB" w:rsidRDefault="51C5DE28" w14:paraId="154971FF" w14:textId="0FD9F173">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22-88</w:t>
            </w:r>
          </w:p>
        </w:tc>
        <w:tc>
          <w:tcPr>
            <w:tcW w:w="2250" w:type="dxa"/>
            <w:tcBorders/>
            <w:tcMar>
              <w:left w:w="90" w:type="dxa"/>
              <w:right w:w="90" w:type="dxa"/>
            </w:tcMar>
            <w:vAlign w:val="center"/>
          </w:tcPr>
          <w:p w:rsidR="51C5DE28" w:rsidP="507D76BB" w:rsidRDefault="51C5DE28" w14:paraId="5318A255" w14:textId="2FE675FF">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None</w:t>
            </w:r>
          </w:p>
        </w:tc>
        <w:tc>
          <w:tcPr>
            <w:tcW w:w="915" w:type="dxa"/>
            <w:tcBorders/>
            <w:tcMar>
              <w:left w:w="90" w:type="dxa"/>
              <w:right w:w="90" w:type="dxa"/>
            </w:tcMar>
            <w:vAlign w:val="center"/>
          </w:tcPr>
          <w:p w:rsidR="51C5DE28" w:rsidP="507D76BB" w:rsidRDefault="51C5DE28" w14:paraId="5CAA686D" w14:textId="7AA9E707">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In person</w:t>
            </w:r>
          </w:p>
        </w:tc>
        <w:tc>
          <w:tcPr>
            <w:tcW w:w="1260" w:type="dxa"/>
            <w:tcBorders/>
            <w:tcMar>
              <w:left w:w="90" w:type="dxa"/>
              <w:right w:w="90" w:type="dxa"/>
            </w:tcMar>
            <w:vAlign w:val="center"/>
          </w:tcPr>
          <w:p w:rsidR="51C5DE28" w:rsidP="507D76BB" w:rsidRDefault="51C5DE28" w14:paraId="5583B24F" w14:textId="261CC7B7">
            <w:pPr>
              <w:jc w:val="left"/>
              <w:rPr>
                <w:rFonts w:eastAsia="Times New Roman" w:cs="Times New Roman"/>
                <w:color w:val="000000" w:themeColor="text1" w:themeTint="FF" w:themeShade="FF"/>
                <w:sz w:val="18"/>
                <w:szCs w:val="18"/>
              </w:rPr>
            </w:pPr>
            <w:r w:rsidRPr="507D76BB" w:rsidR="20564038">
              <w:rPr>
                <w:rFonts w:eastAsia="Times New Roman" w:cs="Times New Roman"/>
                <w:color w:val="000000" w:themeColor="text1" w:themeTint="FF" w:themeShade="FF"/>
                <w:sz w:val="18"/>
                <w:szCs w:val="18"/>
              </w:rPr>
              <w:t>Questionnaire</w:t>
            </w:r>
          </w:p>
          <w:p w:rsidR="51C5DE28" w:rsidP="507D76BB" w:rsidRDefault="51C5DE28" w14:paraId="6DBA20DE" w14:textId="335EE053">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Semi-structured interview</w:t>
            </w:r>
            <w:r w:rsidRPr="507D76BB" w:rsidR="067F69CA">
              <w:rPr>
                <w:rFonts w:eastAsia="Times New Roman" w:cs="Times New Roman"/>
                <w:color w:val="000000" w:themeColor="text1" w:themeTint="FF" w:themeShade="FF"/>
                <w:sz w:val="18"/>
                <w:szCs w:val="18"/>
              </w:rPr>
              <w:t xml:space="preserve"> </w:t>
            </w:r>
          </w:p>
        </w:tc>
        <w:tc>
          <w:tcPr>
            <w:tcW w:w="1290" w:type="dxa"/>
            <w:tcBorders/>
            <w:tcMar>
              <w:left w:w="90" w:type="dxa"/>
              <w:right w:w="90" w:type="dxa"/>
            </w:tcMar>
            <w:vAlign w:val="center"/>
          </w:tcPr>
          <w:p w:rsidR="51C5DE28" w:rsidP="507D76BB" w:rsidRDefault="51C5DE28" w14:paraId="4ED74C48" w14:textId="66A4B3EA">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Examine</w:t>
            </w:r>
            <w:r w:rsidRPr="507D76BB" w:rsidR="48C4849B">
              <w:rPr>
                <w:rFonts w:eastAsia="Times New Roman" w:cs="Times New Roman"/>
                <w:color w:val="000000" w:themeColor="text1" w:themeTint="FF" w:themeShade="FF"/>
                <w:sz w:val="18"/>
                <w:szCs w:val="18"/>
              </w:rPr>
              <w:t>r</w:t>
            </w:r>
          </w:p>
        </w:tc>
        <w:tc>
          <w:tcPr>
            <w:tcW w:w="1448" w:type="dxa"/>
            <w:tcBorders/>
            <w:tcMar>
              <w:left w:w="90" w:type="dxa"/>
              <w:right w:w="90" w:type="dxa"/>
            </w:tcMar>
            <w:vAlign w:val="center"/>
          </w:tcPr>
          <w:p w:rsidR="51C5DE28" w:rsidP="507D76BB" w:rsidRDefault="51C5DE28" w14:paraId="71F67911" w14:textId="53BD5810">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 xml:space="preserve">Patient and/or </w:t>
            </w:r>
            <w:r w:rsidRPr="507D76BB" w:rsidR="067F69CA">
              <w:rPr>
                <w:rFonts w:eastAsia="Times New Roman" w:cs="Times New Roman"/>
                <w:color w:val="000000" w:themeColor="text1" w:themeTint="FF" w:themeShade="FF"/>
                <w:sz w:val="18"/>
                <w:szCs w:val="18"/>
              </w:rPr>
              <w:t>accompanying</w:t>
            </w:r>
            <w:r w:rsidRPr="507D76BB" w:rsidR="067F69CA">
              <w:rPr>
                <w:rFonts w:eastAsia="Times New Roman" w:cs="Times New Roman"/>
                <w:color w:val="000000" w:themeColor="text1" w:themeTint="FF" w:themeShade="FF"/>
                <w:sz w:val="18"/>
                <w:szCs w:val="18"/>
              </w:rPr>
              <w:t xml:space="preserve"> person</w:t>
            </w:r>
          </w:p>
        </w:tc>
      </w:tr>
      <w:tr w:rsidR="51C5DE28" w:rsidTr="507D76BB" w14:paraId="3B06E6ED" w14:textId="77777777">
        <w:trPr>
          <w:trHeight w:val="300"/>
        </w:trPr>
        <w:tc>
          <w:tcPr>
            <w:tcW w:w="1245" w:type="dxa"/>
            <w:tcBorders/>
            <w:tcMar>
              <w:left w:w="90" w:type="dxa"/>
              <w:right w:w="90" w:type="dxa"/>
            </w:tcMar>
            <w:vAlign w:val="center"/>
          </w:tcPr>
          <w:p w:rsidR="51C5DE28" w:rsidP="507D76BB" w:rsidRDefault="51C5DE28" w14:paraId="0964990B" w14:textId="6B1E1891">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Advanced Care Planning (ACP) (interview/questionnaire) </w:t>
            </w:r>
          </w:p>
        </w:tc>
        <w:tc>
          <w:tcPr>
            <w:tcW w:w="825" w:type="dxa"/>
            <w:tcBorders/>
            <w:tcMar>
              <w:left w:w="90" w:type="dxa"/>
              <w:right w:w="90" w:type="dxa"/>
            </w:tcMar>
            <w:vAlign w:val="center"/>
          </w:tcPr>
          <w:p w:rsidR="51C5DE28" w:rsidP="507D76BB" w:rsidRDefault="51C5DE28" w14:paraId="13AE2C6C" w14:textId="7597988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7F5A2C05" w14:textId="5B029626">
            <w:pPr>
              <w:jc w:val="left"/>
              <w:rPr>
                <w:rFonts w:eastAsia="Times New Roman" w:cs="Times New Roman"/>
                <w:color w:val="222222"/>
                <w:sz w:val="18"/>
                <w:szCs w:val="18"/>
              </w:rPr>
            </w:pPr>
            <w:r w:rsidRPr="507D76BB" w:rsidR="067F69CA">
              <w:rPr>
                <w:rFonts w:eastAsia="Times New Roman" w:cs="Times New Roman"/>
                <w:color w:val="222222"/>
                <w:sz w:val="18"/>
                <w:szCs w:val="18"/>
              </w:rPr>
              <w:t>Jin et al., 2022</w:t>
            </w:r>
          </w:p>
        </w:tc>
        <w:tc>
          <w:tcPr>
            <w:tcW w:w="2460" w:type="dxa"/>
            <w:tcBorders/>
            <w:tcMar>
              <w:left w:w="90" w:type="dxa"/>
              <w:right w:w="90" w:type="dxa"/>
            </w:tcMar>
            <w:vAlign w:val="center"/>
          </w:tcPr>
          <w:p w:rsidR="51C5DE28" w:rsidP="507D76BB" w:rsidRDefault="51C5DE28" w14:paraId="49CA36CA" w14:textId="733C3EE6">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ACP interview and questionnaire that asks questions </w:t>
            </w:r>
            <w:r w:rsidRPr="507D76BB" w:rsidR="067F69CA">
              <w:rPr>
                <w:rFonts w:eastAsia="Times New Roman" w:cs="Times New Roman"/>
                <w:color w:val="000000" w:themeColor="text1" w:themeTint="FF" w:themeShade="FF"/>
                <w:sz w:val="18"/>
                <w:szCs w:val="18"/>
              </w:rPr>
              <w:t>regarding</w:t>
            </w:r>
            <w:r w:rsidRPr="507D76BB" w:rsidR="067F69CA">
              <w:rPr>
                <w:rFonts w:eastAsia="Times New Roman" w:cs="Times New Roman"/>
                <w:color w:val="000000" w:themeColor="text1" w:themeTint="FF" w:themeShade="FF"/>
                <w:sz w:val="18"/>
                <w:szCs w:val="18"/>
              </w:rPr>
              <w:t xml:space="preserve"> preferences for ACP, concerns for ACP, and death preferences. </w:t>
            </w:r>
          </w:p>
        </w:tc>
        <w:tc>
          <w:tcPr>
            <w:tcW w:w="870" w:type="dxa"/>
            <w:tcBorders/>
            <w:tcMar>
              <w:left w:w="90" w:type="dxa"/>
              <w:right w:w="90" w:type="dxa"/>
            </w:tcMar>
            <w:vAlign w:val="center"/>
          </w:tcPr>
          <w:p w:rsidR="51C5DE28" w:rsidP="507D76BB" w:rsidRDefault="51C5DE28" w14:paraId="4C37831A" w14:textId="5FD369C7">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36-98</w:t>
            </w:r>
          </w:p>
        </w:tc>
        <w:tc>
          <w:tcPr>
            <w:tcW w:w="2250" w:type="dxa"/>
            <w:tcBorders/>
            <w:tcMar>
              <w:left w:w="90" w:type="dxa"/>
              <w:right w:w="90" w:type="dxa"/>
            </w:tcMar>
            <w:vAlign w:val="center"/>
          </w:tcPr>
          <w:p w:rsidR="51C5DE28" w:rsidP="507D76BB" w:rsidRDefault="51C5DE28" w14:paraId="0C51D0EC" w14:textId="0E569B56">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Nursing home residents</w:t>
            </w:r>
          </w:p>
        </w:tc>
        <w:tc>
          <w:tcPr>
            <w:tcW w:w="915" w:type="dxa"/>
            <w:tcBorders/>
            <w:tcMar>
              <w:left w:w="90" w:type="dxa"/>
              <w:right w:w="90" w:type="dxa"/>
            </w:tcMar>
            <w:vAlign w:val="center"/>
          </w:tcPr>
          <w:p w:rsidR="51C5DE28" w:rsidP="507D76BB" w:rsidRDefault="51C5DE28" w14:paraId="76C509C9" w14:textId="1725BC18">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In person</w:t>
            </w:r>
          </w:p>
        </w:tc>
        <w:tc>
          <w:tcPr>
            <w:tcW w:w="1260" w:type="dxa"/>
            <w:tcBorders/>
            <w:tcMar>
              <w:left w:w="90" w:type="dxa"/>
              <w:right w:w="90" w:type="dxa"/>
            </w:tcMar>
            <w:vAlign w:val="center"/>
          </w:tcPr>
          <w:p w:rsidR="51C5DE28" w:rsidP="507D76BB" w:rsidRDefault="51C5DE28" w14:paraId="3F00ED0D" w14:textId="39E3DA21">
            <w:pPr>
              <w:jc w:val="left"/>
              <w:rPr>
                <w:rFonts w:eastAsia="Times New Roman" w:cs="Times New Roman"/>
                <w:color w:val="000000" w:themeColor="text1"/>
                <w:sz w:val="18"/>
                <w:szCs w:val="18"/>
              </w:rPr>
            </w:pPr>
            <w:r w:rsidRPr="507D76BB" w:rsidR="26896C26">
              <w:rPr>
                <w:rFonts w:eastAsia="Times New Roman" w:cs="Times New Roman"/>
                <w:color w:val="000000" w:themeColor="text1" w:themeTint="FF" w:themeShade="FF"/>
                <w:sz w:val="18"/>
                <w:szCs w:val="18"/>
              </w:rPr>
              <w:t>Questionnair</w:t>
            </w:r>
            <w:r w:rsidRPr="507D76BB" w:rsidR="574A0FDB">
              <w:rPr>
                <w:rFonts w:eastAsia="Times New Roman" w:cs="Times New Roman"/>
                <w:color w:val="000000" w:themeColor="text1" w:themeTint="FF" w:themeShade="FF"/>
                <w:sz w:val="18"/>
                <w:szCs w:val="18"/>
              </w:rPr>
              <w:t xml:space="preserve">e or </w:t>
            </w:r>
            <w:r w:rsidRPr="507D76BB" w:rsidR="067F69CA">
              <w:rPr>
                <w:rFonts w:eastAsia="Times New Roman" w:cs="Times New Roman"/>
                <w:color w:val="000000" w:themeColor="text1" w:themeTint="FF" w:themeShade="FF"/>
                <w:sz w:val="18"/>
                <w:szCs w:val="18"/>
              </w:rPr>
              <w:t xml:space="preserve">Semi-structured interview </w:t>
            </w:r>
          </w:p>
        </w:tc>
        <w:tc>
          <w:tcPr>
            <w:tcW w:w="1290" w:type="dxa"/>
            <w:tcBorders/>
            <w:tcMar>
              <w:left w:w="90" w:type="dxa"/>
              <w:right w:w="90" w:type="dxa"/>
            </w:tcMar>
            <w:vAlign w:val="center"/>
          </w:tcPr>
          <w:p w:rsidR="51C5DE28" w:rsidP="507D76BB" w:rsidRDefault="51C5DE28" w14:paraId="0A58670A" w14:textId="7F0DA08C">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Examiner</w:t>
            </w:r>
          </w:p>
        </w:tc>
        <w:tc>
          <w:tcPr>
            <w:tcW w:w="1448" w:type="dxa"/>
            <w:tcBorders/>
            <w:tcMar>
              <w:left w:w="90" w:type="dxa"/>
              <w:right w:w="90" w:type="dxa"/>
            </w:tcMar>
            <w:vAlign w:val="center"/>
          </w:tcPr>
          <w:p w:rsidR="51C5DE28" w:rsidP="507D76BB" w:rsidRDefault="51C5DE28" w14:paraId="522E68E3" w14:textId="375DF10A">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 and healthcare professionals</w:t>
            </w:r>
          </w:p>
        </w:tc>
      </w:tr>
      <w:tr w:rsidR="51C5DE28" w:rsidTr="507D76BB" w14:paraId="22C57418" w14:textId="77777777">
        <w:trPr>
          <w:trHeight w:val="300"/>
        </w:trPr>
        <w:tc>
          <w:tcPr>
            <w:tcW w:w="1245" w:type="dxa"/>
            <w:tcBorders/>
            <w:tcMar>
              <w:left w:w="90" w:type="dxa"/>
              <w:right w:w="90" w:type="dxa"/>
            </w:tcMar>
            <w:vAlign w:val="center"/>
          </w:tcPr>
          <w:p w:rsidR="51C5DE28" w:rsidP="507D76BB" w:rsidRDefault="51C5DE28" w14:paraId="41F25204" w14:textId="5C5CA887">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AIP-LTC decision-making</w:t>
            </w:r>
          </w:p>
        </w:tc>
        <w:tc>
          <w:tcPr>
            <w:tcW w:w="825" w:type="dxa"/>
            <w:tcBorders/>
            <w:tcMar>
              <w:left w:w="90" w:type="dxa"/>
              <w:right w:w="90" w:type="dxa"/>
            </w:tcMar>
            <w:vAlign w:val="center"/>
          </w:tcPr>
          <w:p w:rsidR="51C5DE28" w:rsidP="507D76BB" w:rsidRDefault="51C5DE28" w14:paraId="10C24500" w14:textId="60FF49C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225EBB7B" w14:textId="59A96CDD">
            <w:pPr>
              <w:jc w:val="left"/>
              <w:rPr>
                <w:rFonts w:eastAsia="Times New Roman" w:cs="Times New Roman"/>
                <w:color w:val="222222"/>
                <w:sz w:val="18"/>
                <w:szCs w:val="18"/>
              </w:rPr>
            </w:pPr>
            <w:r w:rsidRPr="507D76BB" w:rsidR="067F69CA">
              <w:rPr>
                <w:rFonts w:eastAsia="Times New Roman" w:cs="Times New Roman"/>
                <w:color w:val="222222"/>
                <w:sz w:val="18"/>
                <w:szCs w:val="18"/>
              </w:rPr>
              <w:t>Lindquist et al., 2022</w:t>
            </w:r>
          </w:p>
        </w:tc>
        <w:tc>
          <w:tcPr>
            <w:tcW w:w="2460" w:type="dxa"/>
            <w:tcBorders/>
            <w:tcMar>
              <w:left w:w="90" w:type="dxa"/>
              <w:right w:w="90" w:type="dxa"/>
            </w:tcMar>
            <w:vAlign w:val="center"/>
          </w:tcPr>
          <w:p w:rsidR="51C5DE28" w:rsidP="507D76BB" w:rsidRDefault="51C5DE28" w14:paraId="7D6E89D8" w14:textId="04E45688">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Aging in place/ long term care needs assessed in an online survey format; questions include whether someone has plans if they have AD and are no longer able to live independently. </w:t>
            </w:r>
          </w:p>
        </w:tc>
        <w:tc>
          <w:tcPr>
            <w:tcW w:w="870" w:type="dxa"/>
            <w:tcBorders/>
            <w:tcMar>
              <w:left w:w="90" w:type="dxa"/>
              <w:right w:w="90" w:type="dxa"/>
            </w:tcMar>
            <w:vAlign w:val="center"/>
          </w:tcPr>
          <w:p w:rsidR="51C5DE28" w:rsidP="507D76BB" w:rsidRDefault="51C5DE28" w14:paraId="7850C24D" w14:textId="5A2CD95E">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65-84</w:t>
            </w:r>
          </w:p>
        </w:tc>
        <w:tc>
          <w:tcPr>
            <w:tcW w:w="2250" w:type="dxa"/>
            <w:tcBorders/>
            <w:tcMar>
              <w:left w:w="90" w:type="dxa"/>
              <w:right w:w="90" w:type="dxa"/>
            </w:tcMar>
            <w:vAlign w:val="center"/>
          </w:tcPr>
          <w:p w:rsidR="51C5DE28" w:rsidP="507D76BB" w:rsidRDefault="51C5DE28" w14:paraId="4F6ACF16" w14:textId="6769AECA">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None</w:t>
            </w:r>
          </w:p>
        </w:tc>
        <w:tc>
          <w:tcPr>
            <w:tcW w:w="915" w:type="dxa"/>
            <w:tcBorders/>
            <w:tcMar>
              <w:left w:w="90" w:type="dxa"/>
              <w:right w:w="90" w:type="dxa"/>
            </w:tcMar>
            <w:vAlign w:val="center"/>
          </w:tcPr>
          <w:p w:rsidR="51C5DE28" w:rsidP="507D76BB" w:rsidRDefault="51C5DE28" w14:paraId="1D2E6F1A" w14:textId="2A644A55">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Not reported</w:t>
            </w:r>
          </w:p>
        </w:tc>
        <w:tc>
          <w:tcPr>
            <w:tcW w:w="1260" w:type="dxa"/>
            <w:tcBorders/>
            <w:tcMar>
              <w:left w:w="90" w:type="dxa"/>
              <w:right w:w="90" w:type="dxa"/>
            </w:tcMar>
            <w:vAlign w:val="center"/>
          </w:tcPr>
          <w:p w:rsidR="51C5DE28" w:rsidP="507D76BB" w:rsidRDefault="51C5DE28" w14:paraId="0050C11B" w14:textId="192FB88D">
            <w:pPr>
              <w:pStyle w:val="Normal"/>
              <w:suppressLineNumbers w:val="0"/>
              <w:bidi w:val="0"/>
              <w:spacing w:before="120" w:beforeAutospacing="off" w:after="240" w:afterAutospacing="off" w:line="240" w:lineRule="auto"/>
              <w:ind w:left="0" w:right="0"/>
              <w:jc w:val="left"/>
            </w:pPr>
            <w:r w:rsidRPr="507D76BB" w:rsidR="06099455">
              <w:rPr>
                <w:rFonts w:eastAsia="Times New Roman" w:cs="Times New Roman"/>
                <w:color w:val="000000" w:themeColor="text1" w:themeTint="FF" w:themeShade="FF"/>
                <w:sz w:val="18"/>
                <w:szCs w:val="18"/>
              </w:rPr>
              <w:t>Questionnaire</w:t>
            </w:r>
          </w:p>
          <w:p w:rsidR="51C5DE28" w:rsidP="507D76BB" w:rsidRDefault="51C5DE28" w14:paraId="392A790E" w14:textId="2CCCD7E1">
            <w:pPr>
              <w:pStyle w:val="Normal"/>
              <w:suppressLineNumbers w:val="0"/>
              <w:bidi w:val="0"/>
              <w:spacing w:before="120" w:beforeAutospacing="off" w:after="240" w:afterAutospacing="off" w:line="240" w:lineRule="auto"/>
              <w:ind w:left="0" w:right="0"/>
              <w:jc w:val="left"/>
              <w:rPr>
                <w:rFonts w:eastAsia="Times New Roman" w:cs="Times New Roman"/>
                <w:color w:val="000000" w:themeColor="text1" w:themeTint="FF" w:themeShade="FF"/>
                <w:sz w:val="18"/>
                <w:szCs w:val="18"/>
              </w:rPr>
            </w:pPr>
          </w:p>
        </w:tc>
        <w:tc>
          <w:tcPr>
            <w:tcW w:w="1290" w:type="dxa"/>
            <w:tcBorders/>
            <w:tcMar>
              <w:left w:w="90" w:type="dxa"/>
              <w:right w:w="90" w:type="dxa"/>
            </w:tcMar>
            <w:vAlign w:val="center"/>
          </w:tcPr>
          <w:p w:rsidR="51C5DE28" w:rsidP="507D76BB" w:rsidRDefault="51C5DE28" w14:paraId="28CA889C" w14:textId="2610F140">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Examiner</w:t>
            </w:r>
          </w:p>
        </w:tc>
        <w:tc>
          <w:tcPr>
            <w:tcW w:w="1448" w:type="dxa"/>
            <w:tcBorders/>
            <w:tcMar>
              <w:left w:w="90" w:type="dxa"/>
              <w:right w:w="90" w:type="dxa"/>
            </w:tcMar>
            <w:vAlign w:val="center"/>
          </w:tcPr>
          <w:p w:rsidR="51C5DE28" w:rsidP="507D76BB" w:rsidRDefault="51C5DE28" w14:paraId="21AD020F" w14:textId="56D2E39B">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w:t>
            </w:r>
          </w:p>
        </w:tc>
      </w:tr>
      <w:tr w:rsidR="51C5DE28" w:rsidTr="507D76BB" w14:paraId="127AEAC3" w14:textId="77777777">
        <w:trPr>
          <w:trHeight w:val="300"/>
        </w:trPr>
        <w:tc>
          <w:tcPr>
            <w:tcW w:w="1245" w:type="dxa"/>
            <w:tcBorders/>
            <w:tcMar>
              <w:left w:w="90" w:type="dxa"/>
              <w:right w:w="90" w:type="dxa"/>
            </w:tcMar>
            <w:vAlign w:val="center"/>
          </w:tcPr>
          <w:p w:rsidR="51C5DE28" w:rsidP="507D76BB" w:rsidRDefault="51C5DE28" w14:paraId="2E4BCEB6" w14:textId="5C9E900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Assessment of Capacity to Consent to Treatment (ACCT)</w:t>
            </w:r>
          </w:p>
        </w:tc>
        <w:tc>
          <w:tcPr>
            <w:tcW w:w="825" w:type="dxa"/>
            <w:tcBorders/>
            <w:tcMar>
              <w:left w:w="90" w:type="dxa"/>
              <w:right w:w="90" w:type="dxa"/>
            </w:tcMar>
            <w:vAlign w:val="center"/>
          </w:tcPr>
          <w:p w:rsidR="51C5DE28" w:rsidP="507D76BB" w:rsidRDefault="51C5DE28" w14:paraId="31BA2B4D" w14:textId="64D26F7F">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3EB37271" w14:textId="252D9781">
            <w:pPr>
              <w:jc w:val="left"/>
              <w:rPr>
                <w:rFonts w:eastAsia="Times New Roman" w:cs="Times New Roman"/>
                <w:color w:val="222222"/>
                <w:sz w:val="18"/>
                <w:szCs w:val="18"/>
              </w:rPr>
            </w:pPr>
            <w:r w:rsidRPr="507D76BB" w:rsidR="067F69CA">
              <w:rPr>
                <w:rFonts w:eastAsia="Times New Roman" w:cs="Times New Roman"/>
                <w:color w:val="222222"/>
                <w:sz w:val="18"/>
                <w:szCs w:val="18"/>
              </w:rPr>
              <w:t>Kotzé</w:t>
            </w:r>
            <w:r w:rsidRPr="507D76BB" w:rsidR="067F69CA">
              <w:rPr>
                <w:rFonts w:eastAsia="Times New Roman" w:cs="Times New Roman"/>
                <w:color w:val="222222"/>
                <w:sz w:val="18"/>
                <w:szCs w:val="18"/>
              </w:rPr>
              <w:t xml:space="preserve"> et al., 2021</w:t>
            </w:r>
          </w:p>
        </w:tc>
        <w:tc>
          <w:tcPr>
            <w:tcW w:w="2460" w:type="dxa"/>
            <w:tcBorders/>
            <w:tcMar>
              <w:left w:w="90" w:type="dxa"/>
              <w:right w:w="90" w:type="dxa"/>
            </w:tcMar>
            <w:vAlign w:val="center"/>
          </w:tcPr>
          <w:p w:rsidR="51C5DE28" w:rsidP="507D76BB" w:rsidRDefault="51C5DE28" w14:paraId="0E0076B6" w14:textId="1FA6F723">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A vignette is presented in which an individual has a stroke and there is a </w:t>
            </w:r>
            <w:r w:rsidRPr="507D76BB" w:rsidR="067F69CA">
              <w:rPr>
                <w:rFonts w:eastAsia="Times New Roman" w:cs="Times New Roman"/>
                <w:color w:val="000000" w:themeColor="text1" w:themeTint="FF" w:themeShade="FF"/>
                <w:sz w:val="18"/>
                <w:szCs w:val="18"/>
              </w:rPr>
              <w:t>subsequent</w:t>
            </w:r>
            <w:r w:rsidRPr="507D76BB" w:rsidR="067F69CA">
              <w:rPr>
                <w:rFonts w:eastAsia="Times New Roman" w:cs="Times New Roman"/>
                <w:color w:val="000000" w:themeColor="text1" w:themeTint="FF" w:themeShade="FF"/>
                <w:sz w:val="18"/>
                <w:szCs w:val="18"/>
              </w:rPr>
              <w:t xml:space="preserve"> question asked about resuscitation if the person goes into cardiac arrest; the assessment focuses on impact of choices on valued activities/ relationships, considers individuals’ preferred DM style, and view on quality vs. length of life.</w:t>
            </w:r>
          </w:p>
        </w:tc>
        <w:tc>
          <w:tcPr>
            <w:tcW w:w="870" w:type="dxa"/>
            <w:tcBorders/>
            <w:tcMar>
              <w:left w:w="90" w:type="dxa"/>
              <w:right w:w="90" w:type="dxa"/>
            </w:tcMar>
            <w:vAlign w:val="center"/>
          </w:tcPr>
          <w:p w:rsidR="51C5DE28" w:rsidP="507D76BB" w:rsidRDefault="51C5DE28" w14:paraId="43A462E6" w14:textId="638FED50">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60-84</w:t>
            </w:r>
          </w:p>
        </w:tc>
        <w:tc>
          <w:tcPr>
            <w:tcW w:w="2250" w:type="dxa"/>
            <w:tcBorders/>
            <w:tcMar>
              <w:left w:w="90" w:type="dxa"/>
              <w:right w:w="90" w:type="dxa"/>
            </w:tcMar>
            <w:vAlign w:val="center"/>
          </w:tcPr>
          <w:p w:rsidR="51C5DE28" w:rsidP="507D76BB" w:rsidRDefault="51C5DE28" w14:paraId="26E12D95" w14:textId="2CD2959E">
            <w:pPr>
              <w:pStyle w:val="ListParagraph"/>
              <w:ind w:left="360"/>
              <w:jc w:val="left"/>
              <w:rPr>
                <w:rFonts w:eastAsia="Times New Roman" w:cs="Times New Roman"/>
                <w:color w:val="000000" w:themeColor="text1"/>
                <w:sz w:val="24"/>
                <w:szCs w:val="24"/>
              </w:rPr>
            </w:pPr>
            <w:r w:rsidRPr="507D76BB" w:rsidR="5D5BB24D">
              <w:rPr>
                <w:rFonts w:eastAsia="Times New Roman" w:cs="Times New Roman"/>
                <w:color w:val="000000" w:themeColor="text1" w:themeTint="FF" w:themeShade="FF"/>
                <w:sz w:val="18"/>
                <w:szCs w:val="18"/>
              </w:rPr>
              <w:t>Unspecified m</w:t>
            </w:r>
            <w:r w:rsidRPr="507D76BB" w:rsidR="067F69CA">
              <w:rPr>
                <w:rFonts w:eastAsia="Times New Roman" w:cs="Times New Roman"/>
                <w:color w:val="000000" w:themeColor="text1" w:themeTint="FF" w:themeShade="FF"/>
                <w:sz w:val="18"/>
                <w:szCs w:val="18"/>
              </w:rPr>
              <w:t>ental health illnesses</w:t>
            </w:r>
          </w:p>
        </w:tc>
        <w:tc>
          <w:tcPr>
            <w:tcW w:w="915" w:type="dxa"/>
            <w:tcBorders/>
            <w:tcMar>
              <w:left w:w="90" w:type="dxa"/>
              <w:right w:w="90" w:type="dxa"/>
            </w:tcMar>
            <w:vAlign w:val="center"/>
          </w:tcPr>
          <w:p w:rsidR="51C5DE28" w:rsidP="507D76BB" w:rsidRDefault="51C5DE28" w14:paraId="7F05144C" w14:textId="4D34A22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In person</w:t>
            </w:r>
          </w:p>
        </w:tc>
        <w:tc>
          <w:tcPr>
            <w:tcW w:w="1260" w:type="dxa"/>
            <w:tcBorders/>
            <w:tcMar>
              <w:left w:w="90" w:type="dxa"/>
              <w:right w:w="90" w:type="dxa"/>
            </w:tcMar>
            <w:vAlign w:val="center"/>
          </w:tcPr>
          <w:p w:rsidR="51C5DE28" w:rsidP="507D76BB" w:rsidRDefault="51C5DE28" w14:paraId="0ACC04CA" w14:textId="1B642C45">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Semi-structured interview</w:t>
            </w:r>
            <w:r w:rsidRPr="507D76BB" w:rsidR="2A6F5991">
              <w:rPr>
                <w:rFonts w:eastAsia="Times New Roman" w:cs="Times New Roman"/>
                <w:color w:val="000000" w:themeColor="text1" w:themeTint="FF" w:themeShade="FF"/>
                <w:sz w:val="18"/>
                <w:szCs w:val="18"/>
              </w:rPr>
              <w:t xml:space="preserve"> (w/ </w:t>
            </w:r>
            <w:r w:rsidRPr="507D76BB" w:rsidR="64A71039">
              <w:rPr>
                <w:rFonts w:eastAsia="Times New Roman" w:cs="Times New Roman"/>
                <w:color w:val="000000" w:themeColor="text1" w:themeTint="FF" w:themeShade="FF"/>
                <w:sz w:val="18"/>
                <w:szCs w:val="18"/>
              </w:rPr>
              <w:t>vig</w:t>
            </w:r>
            <w:r w:rsidRPr="507D76BB" w:rsidR="377FBE4D">
              <w:rPr>
                <w:rFonts w:eastAsia="Times New Roman" w:cs="Times New Roman"/>
                <w:color w:val="000000" w:themeColor="text1" w:themeTint="FF" w:themeShade="FF"/>
                <w:sz w:val="18"/>
                <w:szCs w:val="18"/>
              </w:rPr>
              <w:t>n</w:t>
            </w:r>
            <w:r w:rsidRPr="507D76BB" w:rsidR="64A71039">
              <w:rPr>
                <w:rFonts w:eastAsia="Times New Roman" w:cs="Times New Roman"/>
                <w:color w:val="000000" w:themeColor="text1" w:themeTint="FF" w:themeShade="FF"/>
                <w:sz w:val="18"/>
                <w:szCs w:val="18"/>
              </w:rPr>
              <w:t>ette</w:t>
            </w:r>
            <w:r w:rsidRPr="507D76BB" w:rsidR="2A6F5991">
              <w:rPr>
                <w:rFonts w:eastAsia="Times New Roman" w:cs="Times New Roman"/>
                <w:color w:val="000000" w:themeColor="text1" w:themeTint="FF" w:themeShade="FF"/>
                <w:sz w:val="18"/>
                <w:szCs w:val="18"/>
              </w:rPr>
              <w:t>)</w:t>
            </w:r>
            <w:r w:rsidRPr="507D76BB" w:rsidR="067F69CA">
              <w:rPr>
                <w:rFonts w:eastAsia="Times New Roman" w:cs="Times New Roman"/>
                <w:color w:val="000000" w:themeColor="text1" w:themeTint="FF" w:themeShade="FF"/>
                <w:sz w:val="18"/>
                <w:szCs w:val="18"/>
              </w:rPr>
              <w:t xml:space="preserve"> </w:t>
            </w:r>
          </w:p>
        </w:tc>
        <w:tc>
          <w:tcPr>
            <w:tcW w:w="1290" w:type="dxa"/>
            <w:tcBorders/>
            <w:tcMar>
              <w:left w:w="90" w:type="dxa"/>
              <w:right w:w="90" w:type="dxa"/>
            </w:tcMar>
            <w:vAlign w:val="center"/>
          </w:tcPr>
          <w:p w:rsidR="51C5DE28" w:rsidP="507D76BB" w:rsidRDefault="51C5DE28" w14:paraId="129895C3" w14:textId="03A5FE51">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Examiner</w:t>
            </w:r>
          </w:p>
        </w:tc>
        <w:tc>
          <w:tcPr>
            <w:tcW w:w="1448" w:type="dxa"/>
            <w:tcBorders/>
            <w:tcMar>
              <w:left w:w="90" w:type="dxa"/>
              <w:right w:w="90" w:type="dxa"/>
            </w:tcMar>
            <w:vAlign w:val="center"/>
          </w:tcPr>
          <w:p w:rsidR="51C5DE28" w:rsidP="507D76BB" w:rsidRDefault="51C5DE28" w14:paraId="43DEEB43" w14:textId="1B168604">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w:t>
            </w:r>
          </w:p>
        </w:tc>
      </w:tr>
      <w:tr w:rsidR="51C5DE28" w:rsidTr="507D76BB" w14:paraId="4534C63E" w14:textId="77777777">
        <w:trPr>
          <w:trHeight w:val="300"/>
        </w:trPr>
        <w:tc>
          <w:tcPr>
            <w:tcW w:w="1245" w:type="dxa"/>
            <w:tcBorders/>
            <w:tcMar>
              <w:left w:w="90" w:type="dxa"/>
              <w:right w:w="90" w:type="dxa"/>
            </w:tcMar>
            <w:vAlign w:val="center"/>
          </w:tcPr>
          <w:p w:rsidR="51C5DE28" w:rsidP="507D76BB" w:rsidRDefault="51C5DE28" w14:paraId="32BE42E8" w14:textId="7925F1D1">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Confidence in surrogate's ability to make healthcare decisions consistent with the older adult’s wishes</w:t>
            </w:r>
          </w:p>
        </w:tc>
        <w:tc>
          <w:tcPr>
            <w:tcW w:w="825" w:type="dxa"/>
            <w:tcBorders/>
            <w:tcMar>
              <w:left w:w="90" w:type="dxa"/>
              <w:right w:w="90" w:type="dxa"/>
            </w:tcMar>
            <w:vAlign w:val="center"/>
          </w:tcPr>
          <w:p w:rsidR="51C5DE28" w:rsidP="507D76BB" w:rsidRDefault="51C5DE28" w14:paraId="07FBAA0F" w14:textId="3A692E30">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3CAACDAC" w14:textId="7D3FF4EF">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Bravo et al., 2018</w:t>
            </w:r>
          </w:p>
        </w:tc>
        <w:tc>
          <w:tcPr>
            <w:tcW w:w="2460" w:type="dxa"/>
            <w:tcBorders/>
            <w:tcMar>
              <w:left w:w="90" w:type="dxa"/>
              <w:right w:w="90" w:type="dxa"/>
            </w:tcMar>
            <w:vAlign w:val="center"/>
          </w:tcPr>
          <w:p w:rsidR="51C5DE28" w:rsidP="507D76BB" w:rsidRDefault="51C5DE28" w14:paraId="40ADAEC9" w14:textId="60C8BA0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Questions about satisfaction and </w:t>
            </w:r>
            <w:r w:rsidRPr="507D76BB" w:rsidR="067F69CA">
              <w:rPr>
                <w:rFonts w:eastAsia="Times New Roman" w:cs="Times New Roman"/>
                <w:color w:val="000000" w:themeColor="text1" w:themeTint="FF" w:themeShade="FF"/>
                <w:sz w:val="18"/>
                <w:szCs w:val="18"/>
              </w:rPr>
              <w:t>confidence</w:t>
            </w:r>
            <w:r w:rsidRPr="507D76BB" w:rsidR="067F69CA">
              <w:rPr>
                <w:rFonts w:eastAsia="Times New Roman" w:cs="Times New Roman"/>
                <w:color w:val="000000" w:themeColor="text1" w:themeTint="FF" w:themeShade="FF"/>
                <w:sz w:val="18"/>
                <w:szCs w:val="18"/>
              </w:rPr>
              <w:t xml:space="preserve"> a surrogate can decide on behalf of an older adult consistent with the latter’s wishes. The question is asked at the interview's beginning, repeated at the end, and revisited 6 months later.</w:t>
            </w:r>
          </w:p>
        </w:tc>
        <w:tc>
          <w:tcPr>
            <w:tcW w:w="870" w:type="dxa"/>
            <w:tcBorders/>
            <w:tcMar>
              <w:left w:w="90" w:type="dxa"/>
              <w:right w:w="90" w:type="dxa"/>
            </w:tcMar>
            <w:vAlign w:val="center"/>
          </w:tcPr>
          <w:p w:rsidR="51C5DE28" w:rsidP="507D76BB" w:rsidRDefault="51C5DE28" w14:paraId="3C93C106" w14:textId="4273E5C7">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65-85+</w:t>
            </w:r>
          </w:p>
        </w:tc>
        <w:tc>
          <w:tcPr>
            <w:tcW w:w="2250" w:type="dxa"/>
            <w:tcBorders/>
            <w:tcMar>
              <w:left w:w="90" w:type="dxa"/>
              <w:right w:w="90" w:type="dxa"/>
            </w:tcMar>
            <w:vAlign w:val="center"/>
          </w:tcPr>
          <w:p w:rsidR="51C5DE28" w:rsidP="507D76BB" w:rsidRDefault="51C5DE28" w14:paraId="4A03C137" w14:textId="28E96C29">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None</w:t>
            </w:r>
          </w:p>
        </w:tc>
        <w:tc>
          <w:tcPr>
            <w:tcW w:w="915" w:type="dxa"/>
            <w:tcBorders/>
            <w:tcMar>
              <w:left w:w="90" w:type="dxa"/>
              <w:right w:w="90" w:type="dxa"/>
            </w:tcMar>
            <w:vAlign w:val="center"/>
          </w:tcPr>
          <w:p w:rsidR="51C5DE28" w:rsidP="507D76BB" w:rsidRDefault="51C5DE28" w14:paraId="55CAB785" w14:textId="02298266">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In person</w:t>
            </w:r>
          </w:p>
        </w:tc>
        <w:tc>
          <w:tcPr>
            <w:tcW w:w="1260" w:type="dxa"/>
            <w:tcBorders/>
            <w:tcMar>
              <w:left w:w="90" w:type="dxa"/>
              <w:right w:w="90" w:type="dxa"/>
            </w:tcMar>
            <w:vAlign w:val="center"/>
          </w:tcPr>
          <w:p w:rsidR="51C5DE28" w:rsidP="507D76BB" w:rsidRDefault="51C5DE28" w14:paraId="21FF9042" w14:textId="64532369">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Semi-structured interview </w:t>
            </w:r>
          </w:p>
        </w:tc>
        <w:tc>
          <w:tcPr>
            <w:tcW w:w="1290" w:type="dxa"/>
            <w:tcBorders/>
            <w:tcMar>
              <w:left w:w="90" w:type="dxa"/>
              <w:right w:w="90" w:type="dxa"/>
            </w:tcMar>
            <w:vAlign w:val="center"/>
          </w:tcPr>
          <w:p w:rsidR="51C5DE28" w:rsidP="507D76BB" w:rsidRDefault="51C5DE28" w14:paraId="471A1B7F" w14:textId="405052F6">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Examiner</w:t>
            </w:r>
          </w:p>
        </w:tc>
        <w:tc>
          <w:tcPr>
            <w:tcW w:w="1448" w:type="dxa"/>
            <w:tcBorders/>
            <w:tcMar>
              <w:left w:w="90" w:type="dxa"/>
              <w:right w:w="90" w:type="dxa"/>
            </w:tcMar>
            <w:vAlign w:val="center"/>
          </w:tcPr>
          <w:p w:rsidR="51C5DE28" w:rsidP="507D76BB" w:rsidRDefault="51C5DE28" w14:paraId="749B424D" w14:textId="1778E212">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 and surrogate</w:t>
            </w:r>
          </w:p>
        </w:tc>
      </w:tr>
      <w:tr w:rsidR="51C5DE28" w:rsidTr="507D76BB" w14:paraId="10FA481A" w14:textId="77777777">
        <w:trPr>
          <w:trHeight w:val="300"/>
        </w:trPr>
        <w:tc>
          <w:tcPr>
            <w:tcW w:w="1245" w:type="dxa"/>
            <w:tcBorders/>
            <w:tcMar>
              <w:left w:w="90" w:type="dxa"/>
              <w:right w:w="90" w:type="dxa"/>
            </w:tcMar>
            <w:vAlign w:val="center"/>
          </w:tcPr>
          <w:p w:rsidR="51C5DE28" w:rsidP="507D76BB" w:rsidRDefault="51C5DE28" w14:paraId="1D28DB10" w14:textId="47C90242">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Decisional balance, attitudes, practice behaviors of ACP (DAP-ACP)</w:t>
            </w:r>
          </w:p>
        </w:tc>
        <w:tc>
          <w:tcPr>
            <w:tcW w:w="825" w:type="dxa"/>
            <w:tcBorders/>
            <w:tcMar>
              <w:left w:w="90" w:type="dxa"/>
              <w:right w:w="90" w:type="dxa"/>
            </w:tcMar>
            <w:vAlign w:val="center"/>
          </w:tcPr>
          <w:p w:rsidR="51C5DE28" w:rsidP="507D76BB" w:rsidRDefault="51C5DE28" w14:paraId="16CEE84A" w14:textId="76A3C0C6">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2D0AF2DA" w14:textId="2C52AA6E">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Chen et al., 2022</w:t>
            </w:r>
          </w:p>
        </w:tc>
        <w:tc>
          <w:tcPr>
            <w:tcW w:w="2460" w:type="dxa"/>
            <w:tcBorders/>
            <w:tcMar>
              <w:left w:w="90" w:type="dxa"/>
              <w:right w:w="90" w:type="dxa"/>
            </w:tcMar>
            <w:vAlign w:val="center"/>
          </w:tcPr>
          <w:p w:rsidR="51C5DE28" w:rsidP="507D76BB" w:rsidRDefault="51C5DE28" w14:paraId="2003B0A5" w14:textId="318310D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Thirty-four item self-report tool encompassing reporter’s decisional balance (individual’s assessment of the pros and cons in changing their decisions), values/ beliefs, and behavioral practices of ACP.</w:t>
            </w:r>
          </w:p>
        </w:tc>
        <w:tc>
          <w:tcPr>
            <w:tcW w:w="870" w:type="dxa"/>
            <w:tcBorders/>
            <w:tcMar>
              <w:left w:w="90" w:type="dxa"/>
              <w:right w:w="90" w:type="dxa"/>
            </w:tcMar>
            <w:vAlign w:val="center"/>
          </w:tcPr>
          <w:p w:rsidR="51C5DE28" w:rsidP="507D76BB" w:rsidRDefault="51C5DE28" w14:paraId="7F63F9A4" w14:textId="401D9B62">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18-85+</w:t>
            </w:r>
          </w:p>
        </w:tc>
        <w:tc>
          <w:tcPr>
            <w:tcW w:w="2250" w:type="dxa"/>
            <w:tcBorders/>
            <w:tcMar>
              <w:left w:w="90" w:type="dxa"/>
              <w:right w:w="90" w:type="dxa"/>
            </w:tcMar>
            <w:vAlign w:val="center"/>
          </w:tcPr>
          <w:p w:rsidR="51C5DE28" w:rsidP="507D76BB" w:rsidRDefault="51C5DE28" w14:paraId="57986B53" w14:textId="525B2BD2">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Advanced cancer patients</w:t>
            </w:r>
          </w:p>
        </w:tc>
        <w:tc>
          <w:tcPr>
            <w:tcW w:w="915" w:type="dxa"/>
            <w:tcBorders/>
            <w:tcMar>
              <w:left w:w="90" w:type="dxa"/>
              <w:right w:w="90" w:type="dxa"/>
            </w:tcMar>
            <w:vAlign w:val="center"/>
          </w:tcPr>
          <w:p w:rsidR="51C5DE28" w:rsidP="507D76BB" w:rsidRDefault="51C5DE28" w14:paraId="1DA9DAF8" w14:textId="71701712">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In person</w:t>
            </w:r>
          </w:p>
        </w:tc>
        <w:tc>
          <w:tcPr>
            <w:tcW w:w="1260" w:type="dxa"/>
            <w:tcBorders/>
            <w:tcMar>
              <w:left w:w="90" w:type="dxa"/>
              <w:right w:w="90" w:type="dxa"/>
            </w:tcMar>
            <w:vAlign w:val="center"/>
          </w:tcPr>
          <w:p w:rsidR="51C5DE28" w:rsidP="507D76BB" w:rsidRDefault="51C5DE28" w14:paraId="704F80CE" w14:textId="083C2D3B">
            <w:pPr>
              <w:jc w:val="left"/>
              <w:rPr>
                <w:rFonts w:eastAsia="Times New Roman" w:cs="Times New Roman"/>
                <w:color w:val="000000" w:themeColor="text1"/>
                <w:sz w:val="18"/>
                <w:szCs w:val="18"/>
              </w:rPr>
            </w:pPr>
            <w:r w:rsidRPr="507D76BB" w:rsidR="7CFA1EF1">
              <w:rPr>
                <w:rFonts w:eastAsia="Times New Roman" w:cs="Times New Roman"/>
                <w:color w:val="000000" w:themeColor="text1" w:themeTint="FF" w:themeShade="FF"/>
                <w:sz w:val="18"/>
                <w:szCs w:val="18"/>
              </w:rPr>
              <w:t>Questionnaire</w:t>
            </w:r>
          </w:p>
        </w:tc>
        <w:tc>
          <w:tcPr>
            <w:tcW w:w="1290" w:type="dxa"/>
            <w:tcBorders/>
            <w:tcMar>
              <w:left w:w="90" w:type="dxa"/>
              <w:right w:w="90" w:type="dxa"/>
            </w:tcMar>
            <w:vAlign w:val="center"/>
          </w:tcPr>
          <w:p w:rsidR="51C5DE28" w:rsidP="507D76BB" w:rsidRDefault="51C5DE28" w14:paraId="6881B09B" w14:textId="3D4210A0">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Self</w:t>
            </w:r>
          </w:p>
        </w:tc>
        <w:tc>
          <w:tcPr>
            <w:tcW w:w="1448" w:type="dxa"/>
            <w:tcBorders/>
            <w:tcMar>
              <w:left w:w="90" w:type="dxa"/>
              <w:right w:w="90" w:type="dxa"/>
            </w:tcMar>
            <w:vAlign w:val="center"/>
          </w:tcPr>
          <w:p w:rsidR="51C5DE28" w:rsidP="507D76BB" w:rsidRDefault="51C5DE28" w14:paraId="26D2EADF" w14:textId="58C2A330">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w:t>
            </w:r>
          </w:p>
        </w:tc>
      </w:tr>
      <w:tr w:rsidR="51C5DE28" w:rsidTr="507D76BB" w14:paraId="5D31EDDE" w14:textId="77777777">
        <w:trPr>
          <w:trHeight w:val="300"/>
        </w:trPr>
        <w:tc>
          <w:tcPr>
            <w:tcW w:w="1245" w:type="dxa"/>
            <w:tcBorders/>
            <w:tcMar>
              <w:left w:w="90" w:type="dxa"/>
              <w:right w:w="90" w:type="dxa"/>
            </w:tcMar>
            <w:vAlign w:val="center"/>
          </w:tcPr>
          <w:p w:rsidR="51C5DE28" w:rsidP="507D76BB" w:rsidRDefault="51C5DE28" w14:paraId="747398CD" w14:textId="552E2DFC">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EoL</w:t>
            </w:r>
            <w:r w:rsidRPr="507D76BB" w:rsidR="067F69CA">
              <w:rPr>
                <w:rFonts w:eastAsia="Times New Roman" w:cs="Times New Roman"/>
                <w:color w:val="000000" w:themeColor="text1" w:themeTint="FF" w:themeShade="FF"/>
                <w:sz w:val="18"/>
                <w:szCs w:val="18"/>
              </w:rPr>
              <w:t>-care decision scale</w:t>
            </w:r>
          </w:p>
        </w:tc>
        <w:tc>
          <w:tcPr>
            <w:tcW w:w="825" w:type="dxa"/>
            <w:tcBorders/>
            <w:tcMar>
              <w:left w:w="90" w:type="dxa"/>
              <w:right w:w="90" w:type="dxa"/>
            </w:tcMar>
            <w:vAlign w:val="center"/>
          </w:tcPr>
          <w:p w:rsidR="51C5DE28" w:rsidP="507D76BB" w:rsidRDefault="51C5DE28" w14:paraId="0D2508E6" w14:textId="50CA8281">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67F7539F" w14:textId="2A745DEA">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Huang et al., 2022</w:t>
            </w:r>
          </w:p>
        </w:tc>
        <w:tc>
          <w:tcPr>
            <w:tcW w:w="2460" w:type="dxa"/>
            <w:tcBorders/>
            <w:tcMar>
              <w:left w:w="90" w:type="dxa"/>
              <w:right w:w="90" w:type="dxa"/>
            </w:tcMar>
            <w:vAlign w:val="center"/>
          </w:tcPr>
          <w:p w:rsidR="51C5DE28" w:rsidP="507D76BB" w:rsidRDefault="51C5DE28" w14:paraId="0B9EBF68" w14:textId="173F0612">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Scale evaluates patient and family caregiver’s attitudes towards the use of life-sustaining treatment for a person with severe dementia: CPR, artificial respirator, and feeding tube on a 5-point Liker scale (0 being completely unacceptable to 5 being completely acceptable).</w:t>
            </w:r>
          </w:p>
        </w:tc>
        <w:tc>
          <w:tcPr>
            <w:tcW w:w="870" w:type="dxa"/>
            <w:tcBorders/>
            <w:tcMar>
              <w:left w:w="90" w:type="dxa"/>
              <w:right w:w="90" w:type="dxa"/>
            </w:tcMar>
            <w:vAlign w:val="center"/>
          </w:tcPr>
          <w:p w:rsidR="51C5DE28" w:rsidP="507D76BB" w:rsidRDefault="51C5DE28" w14:paraId="633F286D" w14:textId="7B0CA8B5">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45-85+</w:t>
            </w:r>
          </w:p>
        </w:tc>
        <w:tc>
          <w:tcPr>
            <w:tcW w:w="2250" w:type="dxa"/>
            <w:tcBorders/>
            <w:tcMar>
              <w:left w:w="90" w:type="dxa"/>
              <w:right w:w="90" w:type="dxa"/>
            </w:tcMar>
            <w:vAlign w:val="center"/>
          </w:tcPr>
          <w:p w:rsidR="51C5DE28" w:rsidP="507D76BB" w:rsidRDefault="51C5DE28" w14:paraId="6661F2D6" w14:textId="46367718">
            <w:pPr>
              <w:pStyle w:val="ListParagraph"/>
              <w:ind w:left="360"/>
              <w:jc w:val="left"/>
              <w:rPr>
                <w:rFonts w:eastAsia="Times New Roman" w:cs="Times New Roman"/>
                <w:color w:val="000000" w:themeColor="text1"/>
                <w:sz w:val="24"/>
                <w:szCs w:val="24"/>
              </w:rPr>
            </w:pPr>
            <w:r w:rsidRPr="507D76BB" w:rsidR="31AE05D5">
              <w:rPr>
                <w:rFonts w:eastAsia="Times New Roman" w:cs="Times New Roman"/>
                <w:color w:val="000000" w:themeColor="text1" w:themeTint="FF" w:themeShade="FF"/>
                <w:sz w:val="18"/>
                <w:szCs w:val="18"/>
              </w:rPr>
              <w:t>C</w:t>
            </w:r>
            <w:r w:rsidRPr="507D76BB" w:rsidR="067F69CA">
              <w:rPr>
                <w:rFonts w:eastAsia="Times New Roman" w:cs="Times New Roman"/>
                <w:color w:val="000000" w:themeColor="text1" w:themeTint="FF" w:themeShade="FF"/>
                <w:sz w:val="18"/>
                <w:szCs w:val="18"/>
              </w:rPr>
              <w:t xml:space="preserve">ognitive </w:t>
            </w:r>
            <w:r w:rsidRPr="507D76BB" w:rsidR="69666DCC">
              <w:rPr>
                <w:rFonts w:eastAsia="Times New Roman" w:cs="Times New Roman"/>
                <w:color w:val="000000" w:themeColor="text1" w:themeTint="FF" w:themeShade="FF"/>
                <w:sz w:val="18"/>
                <w:szCs w:val="18"/>
              </w:rPr>
              <w:t>I</w:t>
            </w:r>
            <w:r w:rsidRPr="507D76BB" w:rsidR="067F69CA">
              <w:rPr>
                <w:rFonts w:eastAsia="Times New Roman" w:cs="Times New Roman"/>
                <w:color w:val="000000" w:themeColor="text1" w:themeTint="FF" w:themeShade="FF"/>
                <w:sz w:val="18"/>
                <w:szCs w:val="18"/>
              </w:rPr>
              <w:t>mpairment (CI)</w:t>
            </w:r>
          </w:p>
        </w:tc>
        <w:tc>
          <w:tcPr>
            <w:tcW w:w="915" w:type="dxa"/>
            <w:tcBorders/>
            <w:tcMar>
              <w:left w:w="90" w:type="dxa"/>
              <w:right w:w="90" w:type="dxa"/>
            </w:tcMar>
            <w:vAlign w:val="center"/>
          </w:tcPr>
          <w:p w:rsidR="51C5DE28" w:rsidP="507D76BB" w:rsidRDefault="51C5DE28" w14:paraId="77EBEB17" w14:textId="6F52C056">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In person</w:t>
            </w:r>
          </w:p>
        </w:tc>
        <w:tc>
          <w:tcPr>
            <w:tcW w:w="1260" w:type="dxa"/>
            <w:tcBorders/>
            <w:tcMar>
              <w:left w:w="90" w:type="dxa"/>
              <w:right w:w="90" w:type="dxa"/>
            </w:tcMar>
            <w:vAlign w:val="center"/>
          </w:tcPr>
          <w:p w:rsidR="51C5DE28" w:rsidP="507D76BB" w:rsidRDefault="51C5DE28" w14:paraId="21EECC27" w14:textId="647A45B9">
            <w:pPr>
              <w:pStyle w:val="Normal"/>
              <w:suppressLineNumbers w:val="0"/>
              <w:bidi w:val="0"/>
              <w:spacing w:before="120" w:beforeAutospacing="off" w:after="240" w:afterAutospacing="off" w:line="240" w:lineRule="auto"/>
              <w:ind w:left="0" w:right="0"/>
              <w:jc w:val="left"/>
            </w:pPr>
            <w:r w:rsidRPr="507D76BB" w:rsidR="63097CD9">
              <w:rPr>
                <w:rFonts w:eastAsia="Times New Roman" w:cs="Times New Roman"/>
                <w:color w:val="000000" w:themeColor="text1" w:themeTint="FF" w:themeShade="FF"/>
                <w:sz w:val="18"/>
                <w:szCs w:val="18"/>
              </w:rPr>
              <w:t>Questionnaire</w:t>
            </w:r>
          </w:p>
        </w:tc>
        <w:tc>
          <w:tcPr>
            <w:tcW w:w="1290" w:type="dxa"/>
            <w:tcBorders/>
            <w:tcMar>
              <w:left w:w="90" w:type="dxa"/>
              <w:right w:w="90" w:type="dxa"/>
            </w:tcMar>
            <w:vAlign w:val="center"/>
          </w:tcPr>
          <w:p w:rsidR="51C5DE28" w:rsidP="507D76BB" w:rsidRDefault="51C5DE28" w14:paraId="07C4CF2C" w14:textId="41D22CFA">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Examiner</w:t>
            </w:r>
          </w:p>
        </w:tc>
        <w:tc>
          <w:tcPr>
            <w:tcW w:w="1448" w:type="dxa"/>
            <w:tcBorders/>
            <w:tcMar>
              <w:left w:w="90" w:type="dxa"/>
              <w:right w:w="90" w:type="dxa"/>
            </w:tcMar>
            <w:vAlign w:val="center"/>
          </w:tcPr>
          <w:p w:rsidR="51C5DE28" w:rsidP="507D76BB" w:rsidRDefault="51C5DE28" w14:paraId="67228C10" w14:textId="6CB1B0F0">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 and surrogate (family-caregivers)</w:t>
            </w:r>
          </w:p>
        </w:tc>
      </w:tr>
      <w:tr w:rsidR="51C5DE28" w:rsidTr="507D76BB" w14:paraId="29281D1C" w14:textId="77777777">
        <w:trPr>
          <w:trHeight w:val="300"/>
        </w:trPr>
        <w:tc>
          <w:tcPr>
            <w:tcW w:w="1245" w:type="dxa"/>
            <w:tcBorders/>
            <w:tcMar>
              <w:left w:w="90" w:type="dxa"/>
              <w:right w:w="90" w:type="dxa"/>
            </w:tcMar>
            <w:vAlign w:val="center"/>
          </w:tcPr>
          <w:p w:rsidR="51C5DE28" w:rsidP="507D76BB" w:rsidRDefault="51C5DE28" w14:paraId="599B7303" w14:textId="57826BE7">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Life-Support Preferences Questionnaire (LSPQ)</w:t>
            </w:r>
          </w:p>
        </w:tc>
        <w:tc>
          <w:tcPr>
            <w:tcW w:w="825" w:type="dxa"/>
            <w:tcBorders/>
            <w:tcMar>
              <w:left w:w="90" w:type="dxa"/>
              <w:right w:w="90" w:type="dxa"/>
            </w:tcMar>
            <w:vAlign w:val="center"/>
          </w:tcPr>
          <w:p w:rsidR="51C5DE28" w:rsidP="507D76BB" w:rsidRDefault="51C5DE28" w14:paraId="3C36E946" w14:textId="2F3FA54B">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64D36DCC" w14:textId="79A0F343">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Ke et al., 2020</w:t>
            </w:r>
          </w:p>
        </w:tc>
        <w:tc>
          <w:tcPr>
            <w:tcW w:w="2460" w:type="dxa"/>
            <w:tcBorders/>
            <w:tcMar>
              <w:left w:w="90" w:type="dxa"/>
              <w:right w:w="90" w:type="dxa"/>
            </w:tcMar>
            <w:vAlign w:val="center"/>
          </w:tcPr>
          <w:p w:rsidR="51C5DE28" w:rsidP="507D76BB" w:rsidRDefault="51C5DE28" w14:paraId="790E32F9" w14:textId="2B464B3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Nine health-related scenarios (</w:t>
            </w:r>
            <w:r w:rsidRPr="507D76BB" w:rsidR="067F69CA">
              <w:rPr>
                <w:rFonts w:eastAsia="Times New Roman" w:cs="Times New Roman"/>
                <w:color w:val="000000" w:themeColor="text1" w:themeTint="FF" w:themeShade="FF"/>
                <w:sz w:val="18"/>
                <w:szCs w:val="18"/>
              </w:rPr>
              <w:t>i.e.</w:t>
            </w:r>
            <w:r w:rsidRPr="507D76BB" w:rsidR="067F69CA">
              <w:rPr>
                <w:rFonts w:eastAsia="Times New Roman" w:cs="Times New Roman"/>
                <w:color w:val="000000" w:themeColor="text1" w:themeTint="FF" w:themeShade="FF"/>
                <w:sz w:val="18"/>
                <w:szCs w:val="18"/>
              </w:rPr>
              <w:t xml:space="preserve"> severe dementia, coma status with slight chance of recovery, terminal cancer with pain, etc.) are presented to individuals to help </w:t>
            </w:r>
            <w:r w:rsidRPr="507D76BB" w:rsidR="067F69CA">
              <w:rPr>
                <w:rFonts w:eastAsia="Times New Roman" w:cs="Times New Roman"/>
                <w:color w:val="000000" w:themeColor="text1" w:themeTint="FF" w:themeShade="FF"/>
                <w:sz w:val="18"/>
                <w:szCs w:val="18"/>
              </w:rPr>
              <w:t>identify</w:t>
            </w:r>
            <w:r w:rsidRPr="507D76BB" w:rsidR="067F69CA">
              <w:rPr>
                <w:rFonts w:eastAsia="Times New Roman" w:cs="Times New Roman"/>
                <w:color w:val="000000" w:themeColor="text1" w:themeTint="FF" w:themeShade="FF"/>
                <w:sz w:val="18"/>
                <w:szCs w:val="18"/>
              </w:rPr>
              <w:t xml:space="preserve"> their preferences for </w:t>
            </w:r>
            <w:r w:rsidRPr="507D76BB" w:rsidR="067F69CA">
              <w:rPr>
                <w:rFonts w:eastAsia="Times New Roman" w:cs="Times New Roman"/>
                <w:color w:val="000000" w:themeColor="text1" w:themeTint="FF" w:themeShade="FF"/>
                <w:sz w:val="18"/>
                <w:szCs w:val="18"/>
              </w:rPr>
              <w:t>EoL</w:t>
            </w:r>
            <w:r w:rsidRPr="507D76BB" w:rsidR="067F69CA">
              <w:rPr>
                <w:rFonts w:eastAsia="Times New Roman" w:cs="Times New Roman"/>
                <w:color w:val="000000" w:themeColor="text1" w:themeTint="FF" w:themeShade="FF"/>
                <w:sz w:val="18"/>
                <w:szCs w:val="18"/>
              </w:rPr>
              <w:t xml:space="preserve"> care. Each scenario includes 4 potential medical treatments and participants rate each treatment option for each scenario on a 5-point Likert scale (</w:t>
            </w:r>
            <w:r w:rsidRPr="507D76BB" w:rsidR="067F69CA">
              <w:rPr>
                <w:rFonts w:eastAsia="Times New Roman" w:cs="Times New Roman"/>
                <w:color w:val="000000" w:themeColor="text1" w:themeTint="FF" w:themeShade="FF"/>
                <w:sz w:val="18"/>
                <w:szCs w:val="18"/>
              </w:rPr>
              <w:t>absolutely unwanted</w:t>
            </w:r>
            <w:r w:rsidRPr="507D76BB" w:rsidR="067F69CA">
              <w:rPr>
                <w:rFonts w:eastAsia="Times New Roman" w:cs="Times New Roman"/>
                <w:color w:val="000000" w:themeColor="text1" w:themeTint="FF" w:themeShade="FF"/>
                <w:sz w:val="18"/>
                <w:szCs w:val="18"/>
              </w:rPr>
              <w:t xml:space="preserve"> to absolutely wanted). </w:t>
            </w:r>
          </w:p>
        </w:tc>
        <w:tc>
          <w:tcPr>
            <w:tcW w:w="870" w:type="dxa"/>
            <w:tcBorders/>
            <w:tcMar>
              <w:left w:w="90" w:type="dxa"/>
              <w:right w:w="90" w:type="dxa"/>
            </w:tcMar>
            <w:vAlign w:val="center"/>
          </w:tcPr>
          <w:p w:rsidR="51C5DE28" w:rsidP="507D76BB" w:rsidRDefault="51C5DE28" w14:paraId="38E5A5B9" w14:textId="4BE6D4BB">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65-85+</w:t>
            </w:r>
          </w:p>
        </w:tc>
        <w:tc>
          <w:tcPr>
            <w:tcW w:w="2250" w:type="dxa"/>
            <w:tcBorders/>
            <w:tcMar>
              <w:left w:w="90" w:type="dxa"/>
              <w:right w:w="90" w:type="dxa"/>
            </w:tcMar>
            <w:vAlign w:val="center"/>
          </w:tcPr>
          <w:p w:rsidR="51C5DE28" w:rsidP="507D76BB" w:rsidRDefault="51C5DE28" w14:paraId="31504F2A" w14:textId="04EBBB4A">
            <w:pPr>
              <w:pStyle w:val="ListParagraph"/>
              <w:spacing w:after="0"/>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Some type of medical condition</w:t>
            </w:r>
          </w:p>
        </w:tc>
        <w:tc>
          <w:tcPr>
            <w:tcW w:w="915" w:type="dxa"/>
            <w:tcBorders/>
            <w:tcMar>
              <w:left w:w="90" w:type="dxa"/>
              <w:right w:w="90" w:type="dxa"/>
            </w:tcMar>
            <w:vAlign w:val="center"/>
          </w:tcPr>
          <w:p w:rsidR="51C5DE28" w:rsidP="507D76BB" w:rsidRDefault="51C5DE28" w14:paraId="42EBD3D2" w14:textId="7D459E73">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In person</w:t>
            </w:r>
          </w:p>
        </w:tc>
        <w:tc>
          <w:tcPr>
            <w:tcW w:w="1260" w:type="dxa"/>
            <w:tcBorders/>
            <w:tcMar>
              <w:left w:w="90" w:type="dxa"/>
              <w:right w:w="90" w:type="dxa"/>
            </w:tcMar>
            <w:vAlign w:val="center"/>
          </w:tcPr>
          <w:p w:rsidR="51C5DE28" w:rsidP="507D76BB" w:rsidRDefault="51C5DE28" w14:paraId="0062E7FC" w14:textId="2BB1B3D3">
            <w:pPr>
              <w:jc w:val="left"/>
              <w:rPr>
                <w:rFonts w:eastAsia="Times New Roman" w:cs="Times New Roman"/>
                <w:color w:val="000000" w:themeColor="text1"/>
                <w:sz w:val="18"/>
                <w:szCs w:val="18"/>
              </w:rPr>
            </w:pPr>
            <w:r w:rsidRPr="507D76BB" w:rsidR="73EB9229">
              <w:rPr>
                <w:rFonts w:eastAsia="Times New Roman" w:cs="Times New Roman"/>
                <w:color w:val="000000" w:themeColor="text1" w:themeTint="FF" w:themeShade="FF"/>
                <w:sz w:val="18"/>
                <w:szCs w:val="18"/>
              </w:rPr>
              <w:t>Questionnair</w:t>
            </w:r>
            <w:r w:rsidRPr="507D76BB" w:rsidR="680A77C9">
              <w:rPr>
                <w:rFonts w:eastAsia="Times New Roman" w:cs="Times New Roman"/>
                <w:color w:val="000000" w:themeColor="text1" w:themeTint="FF" w:themeShade="FF"/>
                <w:sz w:val="18"/>
                <w:szCs w:val="18"/>
              </w:rPr>
              <w:t xml:space="preserve">e or </w:t>
            </w:r>
            <w:r w:rsidRPr="507D76BB" w:rsidR="067F69CA">
              <w:rPr>
                <w:rFonts w:eastAsia="Times New Roman" w:cs="Times New Roman"/>
                <w:color w:val="000000" w:themeColor="text1" w:themeTint="FF" w:themeShade="FF"/>
                <w:sz w:val="18"/>
                <w:szCs w:val="18"/>
              </w:rPr>
              <w:t xml:space="preserve">Semi-structured interview </w:t>
            </w:r>
          </w:p>
        </w:tc>
        <w:tc>
          <w:tcPr>
            <w:tcW w:w="1290" w:type="dxa"/>
            <w:tcBorders/>
            <w:tcMar>
              <w:left w:w="90" w:type="dxa"/>
              <w:right w:w="90" w:type="dxa"/>
            </w:tcMar>
            <w:vAlign w:val="center"/>
          </w:tcPr>
          <w:p w:rsidR="51C5DE28" w:rsidP="507D76BB" w:rsidRDefault="51C5DE28" w14:paraId="2C844273" w14:textId="68AEAA33">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Examiner</w:t>
            </w:r>
          </w:p>
        </w:tc>
        <w:tc>
          <w:tcPr>
            <w:tcW w:w="1448" w:type="dxa"/>
            <w:tcBorders/>
            <w:tcMar>
              <w:left w:w="90" w:type="dxa"/>
              <w:right w:w="90" w:type="dxa"/>
            </w:tcMar>
            <w:vAlign w:val="center"/>
          </w:tcPr>
          <w:p w:rsidR="51C5DE28" w:rsidP="507D76BB" w:rsidRDefault="51C5DE28" w14:paraId="7C32C043" w14:textId="069D8B18">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 and surrogate (family member or friend)</w:t>
            </w:r>
          </w:p>
        </w:tc>
      </w:tr>
      <w:tr w:rsidR="51C5DE28" w:rsidTr="507D76BB" w14:paraId="56514169" w14:textId="77777777">
        <w:trPr>
          <w:trHeight w:val="300"/>
        </w:trPr>
        <w:tc>
          <w:tcPr>
            <w:tcW w:w="1245" w:type="dxa"/>
            <w:tcBorders/>
            <w:tcMar>
              <w:left w:w="90" w:type="dxa"/>
              <w:right w:w="90" w:type="dxa"/>
            </w:tcMar>
            <w:vAlign w:val="center"/>
          </w:tcPr>
          <w:p w:rsidR="51C5DE28" w:rsidP="507D76BB" w:rsidRDefault="51C5DE28" w14:paraId="037978FC" w14:textId="400F2B71">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MacArthur Competency Assessment Tool for Clinical Research (</w:t>
            </w:r>
            <w:r w:rsidRPr="507D76BB" w:rsidR="067F69CA">
              <w:rPr>
                <w:rFonts w:eastAsia="Times New Roman" w:cs="Times New Roman"/>
                <w:color w:val="000000" w:themeColor="text1" w:themeTint="FF" w:themeShade="FF"/>
                <w:sz w:val="18"/>
                <w:szCs w:val="18"/>
              </w:rPr>
              <w:t>MacCAT</w:t>
            </w:r>
            <w:r w:rsidRPr="507D76BB" w:rsidR="067F69CA">
              <w:rPr>
                <w:rFonts w:eastAsia="Times New Roman" w:cs="Times New Roman"/>
                <w:color w:val="000000" w:themeColor="text1" w:themeTint="FF" w:themeShade="FF"/>
                <w:sz w:val="18"/>
                <w:szCs w:val="18"/>
              </w:rPr>
              <w:t>-CR)</w:t>
            </w:r>
          </w:p>
        </w:tc>
        <w:tc>
          <w:tcPr>
            <w:tcW w:w="825" w:type="dxa"/>
            <w:tcBorders/>
            <w:tcMar>
              <w:left w:w="90" w:type="dxa"/>
              <w:right w:w="90" w:type="dxa"/>
            </w:tcMar>
            <w:vAlign w:val="center"/>
          </w:tcPr>
          <w:p w:rsidR="51C5DE28" w:rsidP="507D76BB" w:rsidRDefault="51C5DE28" w14:paraId="31302B73" w14:textId="10DC0691">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5295EE21" w14:textId="4B5F6F03">
            <w:pPr>
              <w:jc w:val="left"/>
              <w:rPr>
                <w:rFonts w:eastAsia="Times New Roman" w:cs="Times New Roman"/>
                <w:color w:val="222222"/>
                <w:sz w:val="18"/>
                <w:szCs w:val="18"/>
              </w:rPr>
            </w:pPr>
            <w:r w:rsidRPr="507D76BB" w:rsidR="067F69CA">
              <w:rPr>
                <w:rFonts w:eastAsia="Times New Roman" w:cs="Times New Roman"/>
                <w:color w:val="222222"/>
                <w:sz w:val="18"/>
                <w:szCs w:val="18"/>
              </w:rPr>
              <w:t>Goswami et al., 2020</w:t>
            </w:r>
          </w:p>
        </w:tc>
        <w:tc>
          <w:tcPr>
            <w:tcW w:w="2460" w:type="dxa"/>
            <w:tcBorders/>
            <w:tcMar>
              <w:left w:w="90" w:type="dxa"/>
              <w:right w:w="90" w:type="dxa"/>
            </w:tcMar>
            <w:vAlign w:val="center"/>
          </w:tcPr>
          <w:p w:rsidR="51C5DE28" w:rsidP="507D76BB" w:rsidRDefault="51C5DE28" w14:paraId="3BD65E80" w14:textId="197FD973">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The tool employs an interview and vignette format to evaluate four key aspects of competence: understanding relevant information about the condition and proposed treatment, reasoning through the potential risks and benefits of treatment options, appreciating the nature of the situation and the possible consequences of decisions, and expressing a choice. It is specifically designed to assess competence for agreeing to </w:t>
            </w:r>
            <w:r w:rsidRPr="507D76BB" w:rsidR="067F69CA">
              <w:rPr>
                <w:rFonts w:eastAsia="Times New Roman" w:cs="Times New Roman"/>
                <w:color w:val="000000" w:themeColor="text1" w:themeTint="FF" w:themeShade="FF"/>
                <w:sz w:val="18"/>
                <w:szCs w:val="18"/>
              </w:rPr>
              <w:t>participate</w:t>
            </w:r>
            <w:r w:rsidRPr="507D76BB" w:rsidR="067F69CA">
              <w:rPr>
                <w:rFonts w:eastAsia="Times New Roman" w:cs="Times New Roman"/>
                <w:color w:val="000000" w:themeColor="text1" w:themeTint="FF" w:themeShade="FF"/>
                <w:sz w:val="18"/>
                <w:szCs w:val="18"/>
              </w:rPr>
              <w:t xml:space="preserve"> in clinical research.</w:t>
            </w:r>
          </w:p>
        </w:tc>
        <w:tc>
          <w:tcPr>
            <w:tcW w:w="870" w:type="dxa"/>
            <w:tcBorders/>
            <w:tcMar>
              <w:left w:w="90" w:type="dxa"/>
              <w:right w:w="90" w:type="dxa"/>
            </w:tcMar>
            <w:vAlign w:val="center"/>
          </w:tcPr>
          <w:p w:rsidR="51C5DE28" w:rsidP="507D76BB" w:rsidRDefault="51C5DE28" w14:paraId="6C48F945" w14:textId="53B4E7C2">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25-91</w:t>
            </w:r>
          </w:p>
        </w:tc>
        <w:tc>
          <w:tcPr>
            <w:tcW w:w="2250" w:type="dxa"/>
            <w:tcBorders/>
            <w:tcMar>
              <w:left w:w="90" w:type="dxa"/>
              <w:right w:w="90" w:type="dxa"/>
            </w:tcMar>
            <w:vAlign w:val="center"/>
          </w:tcPr>
          <w:p w:rsidR="51C5DE28" w:rsidP="507D76BB" w:rsidRDefault="51C5DE28" w14:paraId="3D20BCFE" w14:textId="5550510B">
            <w:pPr>
              <w:pStyle w:val="ListParagraph"/>
              <w:ind w:left="360"/>
              <w:jc w:val="left"/>
              <w:rPr>
                <w:rFonts w:eastAsia="Times New Roman" w:cs="Times New Roman"/>
                <w:color w:val="000000" w:themeColor="text1"/>
                <w:sz w:val="24"/>
                <w:szCs w:val="24"/>
              </w:rPr>
            </w:pPr>
            <w:r w:rsidRPr="507D76BB" w:rsidR="15A4650B">
              <w:rPr>
                <w:rFonts w:eastAsia="Times New Roman" w:cs="Times New Roman"/>
                <w:color w:val="000000" w:themeColor="text1" w:themeTint="FF" w:themeShade="FF"/>
                <w:sz w:val="18"/>
                <w:szCs w:val="18"/>
              </w:rPr>
              <w:t>A</w:t>
            </w:r>
            <w:r w:rsidRPr="507D76BB" w:rsidR="067F69CA">
              <w:rPr>
                <w:rFonts w:eastAsia="Times New Roman" w:cs="Times New Roman"/>
                <w:color w:val="000000" w:themeColor="text1" w:themeTint="FF" w:themeShade="FF"/>
                <w:sz w:val="18"/>
                <w:szCs w:val="18"/>
              </w:rPr>
              <w:t>dvanced cancer</w:t>
            </w:r>
          </w:p>
        </w:tc>
        <w:tc>
          <w:tcPr>
            <w:tcW w:w="915" w:type="dxa"/>
            <w:tcBorders/>
            <w:tcMar>
              <w:left w:w="90" w:type="dxa"/>
              <w:right w:w="90" w:type="dxa"/>
            </w:tcMar>
            <w:vAlign w:val="center"/>
          </w:tcPr>
          <w:p w:rsidR="51C5DE28" w:rsidP="507D76BB" w:rsidRDefault="51C5DE28" w14:paraId="66CBA9D9" w14:textId="4DD48E49">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In person</w:t>
            </w:r>
          </w:p>
        </w:tc>
        <w:tc>
          <w:tcPr>
            <w:tcW w:w="1260" w:type="dxa"/>
            <w:tcBorders/>
            <w:tcMar>
              <w:left w:w="90" w:type="dxa"/>
              <w:right w:w="90" w:type="dxa"/>
            </w:tcMar>
            <w:vAlign w:val="center"/>
          </w:tcPr>
          <w:p w:rsidR="51C5DE28" w:rsidP="507D76BB" w:rsidRDefault="51C5DE28" w14:paraId="4DF20129" w14:textId="7E4139ED">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Semi-structured interview</w:t>
            </w:r>
            <w:r w:rsidRPr="507D76BB" w:rsidR="600F4A23">
              <w:rPr>
                <w:rFonts w:eastAsia="Times New Roman" w:cs="Times New Roman"/>
                <w:color w:val="000000" w:themeColor="text1" w:themeTint="FF" w:themeShade="FF"/>
                <w:sz w:val="18"/>
                <w:szCs w:val="18"/>
              </w:rPr>
              <w:t xml:space="preserve"> (w/ vignette)</w:t>
            </w:r>
            <w:r w:rsidRPr="507D76BB" w:rsidR="067F69CA">
              <w:rPr>
                <w:rFonts w:eastAsia="Times New Roman" w:cs="Times New Roman"/>
                <w:color w:val="000000" w:themeColor="text1" w:themeTint="FF" w:themeShade="FF"/>
                <w:sz w:val="18"/>
                <w:szCs w:val="18"/>
              </w:rPr>
              <w:t xml:space="preserve"> </w:t>
            </w:r>
          </w:p>
        </w:tc>
        <w:tc>
          <w:tcPr>
            <w:tcW w:w="1290" w:type="dxa"/>
            <w:tcBorders/>
            <w:tcMar>
              <w:left w:w="90" w:type="dxa"/>
              <w:right w:w="90" w:type="dxa"/>
            </w:tcMar>
            <w:vAlign w:val="center"/>
          </w:tcPr>
          <w:p w:rsidR="51C5DE28" w:rsidP="507D76BB" w:rsidRDefault="51C5DE28" w14:paraId="5DBD898E" w14:textId="182C6983">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Examiner</w:t>
            </w:r>
          </w:p>
        </w:tc>
        <w:tc>
          <w:tcPr>
            <w:tcW w:w="1448" w:type="dxa"/>
            <w:tcBorders/>
            <w:tcMar>
              <w:left w:w="90" w:type="dxa"/>
              <w:right w:w="90" w:type="dxa"/>
            </w:tcMar>
            <w:vAlign w:val="center"/>
          </w:tcPr>
          <w:p w:rsidR="51C5DE28" w:rsidP="507D76BB" w:rsidRDefault="51C5DE28" w14:paraId="3635F9CB" w14:textId="1C3CDD58">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w:t>
            </w:r>
          </w:p>
        </w:tc>
      </w:tr>
      <w:tr w:rsidR="51C5DE28" w:rsidTr="507D76BB" w14:paraId="43852738" w14:textId="77777777">
        <w:trPr>
          <w:trHeight w:val="300"/>
        </w:trPr>
        <w:tc>
          <w:tcPr>
            <w:tcW w:w="1245" w:type="dxa"/>
            <w:tcBorders/>
            <w:tcMar>
              <w:left w:w="90" w:type="dxa"/>
              <w:right w:w="90" w:type="dxa"/>
            </w:tcMar>
            <w:vAlign w:val="center"/>
          </w:tcPr>
          <w:p w:rsidR="51C5DE28" w:rsidP="507D76BB" w:rsidRDefault="51C5DE28" w14:paraId="1BE36A86" w14:textId="16C36C1E">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Patient Expectation for Participation in Medical Decision‐making Scale (PEPMDS)</w:t>
            </w:r>
          </w:p>
        </w:tc>
        <w:tc>
          <w:tcPr>
            <w:tcW w:w="825" w:type="dxa"/>
            <w:tcBorders/>
            <w:tcMar>
              <w:left w:w="90" w:type="dxa"/>
              <w:right w:w="90" w:type="dxa"/>
            </w:tcMar>
            <w:vAlign w:val="center"/>
          </w:tcPr>
          <w:p w:rsidR="51C5DE28" w:rsidP="507D76BB" w:rsidRDefault="51C5DE28" w14:paraId="15FAA9CC" w14:textId="7BD6DE27">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1DF5D512" w14:textId="6F54741F">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Xiao et al., 2021</w:t>
            </w:r>
          </w:p>
        </w:tc>
        <w:tc>
          <w:tcPr>
            <w:tcW w:w="2460" w:type="dxa"/>
            <w:tcBorders/>
            <w:tcMar>
              <w:left w:w="90" w:type="dxa"/>
              <w:right w:w="90" w:type="dxa"/>
            </w:tcMar>
            <w:vAlign w:val="center"/>
          </w:tcPr>
          <w:p w:rsidR="51C5DE28" w:rsidP="507D76BB" w:rsidRDefault="51C5DE28" w14:paraId="7F02AFE9" w14:textId="7937B56E">
            <w:pPr>
              <w:jc w:val="left"/>
              <w:rPr>
                <w:rFonts w:eastAsia="Times New Roman" w:cs="Times New Roman"/>
                <w:color w:val="1C1D1E"/>
                <w:sz w:val="18"/>
                <w:szCs w:val="18"/>
              </w:rPr>
            </w:pPr>
            <w:r w:rsidRPr="507D76BB" w:rsidR="067F69CA">
              <w:rPr>
                <w:rFonts w:eastAsia="Times New Roman" w:cs="Times New Roman"/>
                <w:color w:val="1C1D1E"/>
                <w:sz w:val="18"/>
                <w:szCs w:val="18"/>
              </w:rPr>
              <w:t>Twelve-item self-report scale that assesses knowledge/</w:t>
            </w:r>
            <w:r w:rsidRPr="507D76BB" w:rsidR="59852CD6">
              <w:rPr>
                <w:rFonts w:eastAsia="Times New Roman" w:cs="Times New Roman"/>
                <w:color w:val="1C1D1E"/>
                <w:sz w:val="18"/>
                <w:szCs w:val="18"/>
              </w:rPr>
              <w:t>information, and</w:t>
            </w:r>
            <w:r w:rsidRPr="507D76BB" w:rsidR="067F69CA">
              <w:rPr>
                <w:rFonts w:eastAsia="Times New Roman" w:cs="Times New Roman"/>
                <w:color w:val="038387"/>
                <w:sz w:val="18"/>
                <w:szCs w:val="18"/>
              </w:rPr>
              <w:t xml:space="preserve"> </w:t>
            </w:r>
            <w:r w:rsidRPr="507D76BB" w:rsidR="067F69CA">
              <w:rPr>
                <w:rFonts w:eastAsia="Times New Roman" w:cs="Times New Roman"/>
                <w:color w:val="1C1D1E"/>
                <w:sz w:val="18"/>
                <w:szCs w:val="18"/>
              </w:rPr>
              <w:t>decisional preferences</w:t>
            </w:r>
            <w:r w:rsidRPr="507D76BB" w:rsidR="067F69CA">
              <w:rPr>
                <w:rFonts w:eastAsia="Times New Roman" w:cs="Times New Roman"/>
                <w:color w:val="038387"/>
                <w:sz w:val="18"/>
                <w:szCs w:val="18"/>
              </w:rPr>
              <w:t>,</w:t>
            </w:r>
            <w:r w:rsidRPr="507D76BB" w:rsidR="067F69CA">
              <w:rPr>
                <w:rFonts w:eastAsia="Times New Roman" w:cs="Times New Roman"/>
                <w:color w:val="1C1D1E"/>
                <w:sz w:val="18"/>
                <w:szCs w:val="18"/>
              </w:rPr>
              <w:t xml:space="preserve"> and control. Items are ranked on a 5-point Likert scale.</w:t>
            </w:r>
          </w:p>
        </w:tc>
        <w:tc>
          <w:tcPr>
            <w:tcW w:w="870" w:type="dxa"/>
            <w:tcBorders/>
            <w:tcMar>
              <w:left w:w="90" w:type="dxa"/>
              <w:right w:w="90" w:type="dxa"/>
            </w:tcMar>
            <w:vAlign w:val="center"/>
          </w:tcPr>
          <w:p w:rsidR="51C5DE28" w:rsidP="507D76BB" w:rsidRDefault="51C5DE28" w14:paraId="09B8CA39" w14:textId="4CB27B46">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18-77</w:t>
            </w:r>
          </w:p>
        </w:tc>
        <w:tc>
          <w:tcPr>
            <w:tcW w:w="2250" w:type="dxa"/>
            <w:tcBorders/>
            <w:tcMar>
              <w:left w:w="90" w:type="dxa"/>
              <w:right w:w="90" w:type="dxa"/>
            </w:tcMar>
            <w:vAlign w:val="center"/>
          </w:tcPr>
          <w:p w:rsidR="51C5DE28" w:rsidP="507D76BB" w:rsidRDefault="51C5DE28" w14:paraId="153A54CC" w14:textId="551EBCE7">
            <w:pPr>
              <w:pStyle w:val="ListParagraph"/>
              <w:ind w:left="360"/>
              <w:jc w:val="left"/>
              <w:rPr>
                <w:rFonts w:eastAsia="Times New Roman" w:cs="Times New Roman"/>
                <w:color w:val="000000" w:themeColor="text1"/>
                <w:sz w:val="24"/>
                <w:szCs w:val="24"/>
              </w:rPr>
            </w:pPr>
            <w:r w:rsidRPr="507D76BB" w:rsidR="0F3FDCD1">
              <w:rPr>
                <w:rFonts w:eastAsia="Times New Roman" w:cs="Times New Roman"/>
                <w:color w:val="000000" w:themeColor="text1" w:themeTint="FF" w:themeShade="FF"/>
                <w:sz w:val="18"/>
                <w:szCs w:val="18"/>
              </w:rPr>
              <w:t>C</w:t>
            </w:r>
            <w:r w:rsidRPr="507D76BB" w:rsidR="067F69CA">
              <w:rPr>
                <w:rFonts w:eastAsia="Times New Roman" w:cs="Times New Roman"/>
                <w:color w:val="000000" w:themeColor="text1" w:themeTint="FF" w:themeShade="FF"/>
                <w:sz w:val="18"/>
                <w:szCs w:val="18"/>
              </w:rPr>
              <w:t xml:space="preserve">olorectal, </w:t>
            </w:r>
            <w:r w:rsidRPr="507D76BB" w:rsidR="41A17977">
              <w:rPr>
                <w:rFonts w:eastAsia="Times New Roman" w:cs="Times New Roman"/>
                <w:color w:val="000000" w:themeColor="text1" w:themeTint="FF" w:themeShade="FF"/>
                <w:sz w:val="18"/>
                <w:szCs w:val="18"/>
              </w:rPr>
              <w:t>b</w:t>
            </w:r>
            <w:r w:rsidRPr="507D76BB" w:rsidR="067F69CA">
              <w:rPr>
                <w:rFonts w:eastAsia="Times New Roman" w:cs="Times New Roman"/>
                <w:color w:val="000000" w:themeColor="text1" w:themeTint="FF" w:themeShade="FF"/>
                <w:sz w:val="18"/>
                <w:szCs w:val="18"/>
              </w:rPr>
              <w:t>reast</w:t>
            </w:r>
            <w:r w:rsidRPr="507D76BB" w:rsidR="585153D5">
              <w:rPr>
                <w:rFonts w:eastAsia="Times New Roman" w:cs="Times New Roman"/>
                <w:color w:val="000000" w:themeColor="text1" w:themeTint="FF" w:themeShade="FF"/>
                <w:sz w:val="18"/>
                <w:szCs w:val="18"/>
              </w:rPr>
              <w:t>,</w:t>
            </w:r>
            <w:r w:rsidRPr="507D76BB" w:rsidR="067F69CA">
              <w:rPr>
                <w:rFonts w:eastAsia="Times New Roman" w:cs="Times New Roman"/>
                <w:color w:val="000000" w:themeColor="text1" w:themeTint="FF" w:themeShade="FF"/>
                <w:sz w:val="18"/>
                <w:szCs w:val="18"/>
              </w:rPr>
              <w:t xml:space="preserve"> or </w:t>
            </w:r>
            <w:r w:rsidRPr="507D76BB" w:rsidR="706C6C2F">
              <w:rPr>
                <w:rFonts w:eastAsia="Times New Roman" w:cs="Times New Roman"/>
                <w:color w:val="000000" w:themeColor="text1" w:themeTint="FF" w:themeShade="FF"/>
                <w:sz w:val="18"/>
                <w:szCs w:val="18"/>
              </w:rPr>
              <w:t>l</w:t>
            </w:r>
            <w:r w:rsidRPr="507D76BB" w:rsidR="067F69CA">
              <w:rPr>
                <w:rFonts w:eastAsia="Times New Roman" w:cs="Times New Roman"/>
                <w:color w:val="000000" w:themeColor="text1" w:themeTint="FF" w:themeShade="FF"/>
                <w:sz w:val="18"/>
                <w:szCs w:val="18"/>
              </w:rPr>
              <w:t>ung cancer</w:t>
            </w:r>
          </w:p>
        </w:tc>
        <w:tc>
          <w:tcPr>
            <w:tcW w:w="915" w:type="dxa"/>
            <w:tcBorders/>
            <w:tcMar>
              <w:left w:w="90" w:type="dxa"/>
              <w:right w:w="90" w:type="dxa"/>
            </w:tcMar>
            <w:vAlign w:val="center"/>
          </w:tcPr>
          <w:p w:rsidR="51C5DE28" w:rsidP="507D76BB" w:rsidRDefault="51C5DE28" w14:paraId="6A7B4D4A" w14:textId="4A02AC70">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In person</w:t>
            </w:r>
          </w:p>
        </w:tc>
        <w:tc>
          <w:tcPr>
            <w:tcW w:w="1260" w:type="dxa"/>
            <w:tcBorders/>
            <w:tcMar>
              <w:left w:w="90" w:type="dxa"/>
              <w:right w:w="90" w:type="dxa"/>
            </w:tcMar>
            <w:vAlign w:val="center"/>
          </w:tcPr>
          <w:p w:rsidR="51C5DE28" w:rsidP="507D76BB" w:rsidRDefault="51C5DE28" w14:paraId="33604C72" w14:textId="735F9B1E">
            <w:pPr>
              <w:jc w:val="left"/>
              <w:rPr>
                <w:rFonts w:eastAsia="Times New Roman" w:cs="Times New Roman"/>
                <w:color w:val="000000" w:themeColor="text1"/>
                <w:sz w:val="18"/>
                <w:szCs w:val="18"/>
              </w:rPr>
            </w:pPr>
            <w:r w:rsidRPr="507D76BB" w:rsidR="5C1B924D">
              <w:rPr>
                <w:rFonts w:eastAsia="Times New Roman" w:cs="Times New Roman"/>
                <w:color w:val="000000" w:themeColor="text1" w:themeTint="FF" w:themeShade="FF"/>
                <w:sz w:val="18"/>
                <w:szCs w:val="18"/>
              </w:rPr>
              <w:t>Questionnair</w:t>
            </w:r>
            <w:r w:rsidRPr="507D76BB" w:rsidR="21E61F0A">
              <w:rPr>
                <w:rFonts w:eastAsia="Times New Roman" w:cs="Times New Roman"/>
                <w:color w:val="000000" w:themeColor="text1" w:themeTint="FF" w:themeShade="FF"/>
                <w:sz w:val="18"/>
                <w:szCs w:val="18"/>
              </w:rPr>
              <w:t xml:space="preserve">e or </w:t>
            </w:r>
            <w:r w:rsidRPr="507D76BB" w:rsidR="067F69CA">
              <w:rPr>
                <w:rFonts w:eastAsia="Times New Roman" w:cs="Times New Roman"/>
                <w:color w:val="000000" w:themeColor="text1" w:themeTint="FF" w:themeShade="FF"/>
                <w:sz w:val="18"/>
                <w:szCs w:val="18"/>
              </w:rPr>
              <w:t xml:space="preserve">Semi-structured interview </w:t>
            </w:r>
          </w:p>
        </w:tc>
        <w:tc>
          <w:tcPr>
            <w:tcW w:w="1290" w:type="dxa"/>
            <w:tcBorders/>
            <w:tcMar>
              <w:left w:w="90" w:type="dxa"/>
              <w:right w:w="90" w:type="dxa"/>
            </w:tcMar>
            <w:vAlign w:val="center"/>
          </w:tcPr>
          <w:p w:rsidR="51C5DE28" w:rsidP="507D76BB" w:rsidRDefault="51C5DE28" w14:paraId="039C8E87" w14:textId="5D894EAA">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Examiner</w:t>
            </w:r>
          </w:p>
        </w:tc>
        <w:tc>
          <w:tcPr>
            <w:tcW w:w="1448" w:type="dxa"/>
            <w:tcBorders/>
            <w:tcMar>
              <w:left w:w="90" w:type="dxa"/>
              <w:right w:w="90" w:type="dxa"/>
            </w:tcMar>
            <w:vAlign w:val="center"/>
          </w:tcPr>
          <w:p w:rsidR="51C5DE28" w:rsidP="507D76BB" w:rsidRDefault="51C5DE28" w14:paraId="719CF54B" w14:textId="7DC70FF3">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w:t>
            </w:r>
          </w:p>
        </w:tc>
      </w:tr>
      <w:tr w:rsidR="51C5DE28" w:rsidTr="507D76BB" w14:paraId="7999D7D4" w14:textId="77777777">
        <w:trPr>
          <w:trHeight w:val="300"/>
        </w:trPr>
        <w:tc>
          <w:tcPr>
            <w:tcW w:w="1245" w:type="dxa"/>
            <w:tcBorders/>
            <w:tcMar>
              <w:left w:w="90" w:type="dxa"/>
              <w:right w:w="90" w:type="dxa"/>
            </w:tcMar>
            <w:vAlign w:val="center"/>
          </w:tcPr>
          <w:p w:rsidR="51C5DE28" w:rsidP="507D76BB" w:rsidRDefault="51C5DE28" w14:paraId="5237FB70" w14:textId="360BF7C2">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Patients’ perspectives on dialysis treatment decisions and </w:t>
            </w:r>
            <w:r w:rsidRPr="507D76BB" w:rsidR="067F69CA">
              <w:rPr>
                <w:rFonts w:eastAsia="Times New Roman" w:cs="Times New Roman"/>
                <w:color w:val="000000" w:themeColor="text1" w:themeTint="FF" w:themeShade="FF"/>
                <w:sz w:val="18"/>
                <w:szCs w:val="18"/>
              </w:rPr>
              <w:t>EoL</w:t>
            </w:r>
            <w:r w:rsidRPr="507D76BB" w:rsidR="067F69CA">
              <w:rPr>
                <w:rFonts w:eastAsia="Times New Roman" w:cs="Times New Roman"/>
                <w:color w:val="000000" w:themeColor="text1" w:themeTint="FF" w:themeShade="FF"/>
                <w:sz w:val="18"/>
                <w:szCs w:val="18"/>
              </w:rPr>
              <w:t xml:space="preserve"> </w:t>
            </w:r>
            <w:r w:rsidRPr="507D76BB" w:rsidR="093511EA">
              <w:rPr>
                <w:rFonts w:eastAsia="Times New Roman" w:cs="Times New Roman"/>
                <w:color w:val="000000" w:themeColor="text1" w:themeTint="FF" w:themeShade="FF"/>
                <w:sz w:val="18"/>
                <w:szCs w:val="18"/>
              </w:rPr>
              <w:t>C</w:t>
            </w:r>
            <w:r w:rsidRPr="507D76BB" w:rsidR="067F69CA">
              <w:rPr>
                <w:rFonts w:eastAsia="Times New Roman" w:cs="Times New Roman"/>
                <w:color w:val="000000" w:themeColor="text1" w:themeTint="FF" w:themeShade="FF"/>
                <w:sz w:val="18"/>
                <w:szCs w:val="18"/>
              </w:rPr>
              <w:t>are (</w:t>
            </w:r>
            <w:r w:rsidRPr="507D76BB" w:rsidR="067F69CA">
              <w:rPr>
                <w:rFonts w:eastAsia="Times New Roman" w:cs="Times New Roman"/>
                <w:color w:val="000000" w:themeColor="text1" w:themeTint="FF" w:themeShade="FF"/>
                <w:sz w:val="18"/>
                <w:szCs w:val="18"/>
              </w:rPr>
              <w:t>EoLC</w:t>
            </w:r>
            <w:r w:rsidRPr="507D76BB" w:rsidR="067F69CA">
              <w:rPr>
                <w:rFonts w:eastAsia="Times New Roman" w:cs="Times New Roman"/>
                <w:color w:val="000000" w:themeColor="text1" w:themeTint="FF" w:themeShade="FF"/>
                <w:sz w:val="18"/>
                <w:szCs w:val="18"/>
              </w:rPr>
              <w:t>) survey (</w:t>
            </w:r>
            <w:r w:rsidRPr="507D76BB" w:rsidR="067F69CA">
              <w:rPr>
                <w:rFonts w:eastAsia="Times New Roman" w:cs="Times New Roman"/>
                <w:color w:val="000000" w:themeColor="text1" w:themeTint="FF" w:themeShade="FF"/>
                <w:sz w:val="18"/>
                <w:szCs w:val="18"/>
              </w:rPr>
              <w:t>modified</w:t>
            </w:r>
            <w:r w:rsidRPr="507D76BB" w:rsidR="067F69CA">
              <w:rPr>
                <w:rFonts w:eastAsia="Times New Roman" w:cs="Times New Roman"/>
                <w:color w:val="000000" w:themeColor="text1" w:themeTint="FF" w:themeShade="FF"/>
                <w:sz w:val="18"/>
                <w:szCs w:val="18"/>
              </w:rPr>
              <w:t xml:space="preserve"> for current study)</w:t>
            </w:r>
          </w:p>
        </w:tc>
        <w:tc>
          <w:tcPr>
            <w:tcW w:w="825" w:type="dxa"/>
            <w:tcBorders/>
            <w:tcMar>
              <w:left w:w="90" w:type="dxa"/>
              <w:right w:w="90" w:type="dxa"/>
            </w:tcMar>
            <w:vAlign w:val="center"/>
          </w:tcPr>
          <w:p w:rsidR="51C5DE28" w:rsidP="507D76BB" w:rsidRDefault="51C5DE28" w14:paraId="3541FA3F" w14:textId="59F574C1">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68CC7782" w14:textId="244AE78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Saeed et al., 2019</w:t>
            </w:r>
          </w:p>
        </w:tc>
        <w:tc>
          <w:tcPr>
            <w:tcW w:w="2460" w:type="dxa"/>
            <w:tcBorders/>
            <w:tcMar>
              <w:left w:w="90" w:type="dxa"/>
              <w:right w:w="90" w:type="dxa"/>
            </w:tcMar>
            <w:vAlign w:val="center"/>
          </w:tcPr>
          <w:p w:rsidR="51C5DE28" w:rsidP="507D76BB" w:rsidRDefault="51C5DE28" w14:paraId="4AE725BA" w14:textId="05E841C2">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Questionnaire asking patients about their knowledge of their condition, progression of their condition, palliative care services, and their perspectives on their prognosis, </w:t>
            </w:r>
            <w:r w:rsidRPr="507D76BB" w:rsidR="067F69CA">
              <w:rPr>
                <w:rFonts w:eastAsia="Times New Roman" w:cs="Times New Roman"/>
                <w:color w:val="000000" w:themeColor="text1" w:themeTint="FF" w:themeShade="FF"/>
                <w:sz w:val="18"/>
                <w:szCs w:val="18"/>
              </w:rPr>
              <w:t>EoL</w:t>
            </w:r>
            <w:r w:rsidRPr="507D76BB" w:rsidR="067F69CA">
              <w:rPr>
                <w:rFonts w:eastAsia="Times New Roman" w:cs="Times New Roman"/>
                <w:color w:val="000000" w:themeColor="text1" w:themeTint="FF" w:themeShade="FF"/>
                <w:sz w:val="18"/>
                <w:szCs w:val="18"/>
              </w:rPr>
              <w:t xml:space="preserve"> care, and quality of life.</w:t>
            </w:r>
          </w:p>
        </w:tc>
        <w:tc>
          <w:tcPr>
            <w:tcW w:w="870" w:type="dxa"/>
            <w:tcBorders/>
            <w:tcMar>
              <w:left w:w="90" w:type="dxa"/>
              <w:right w:w="90" w:type="dxa"/>
            </w:tcMar>
            <w:vAlign w:val="center"/>
          </w:tcPr>
          <w:p w:rsidR="51C5DE28" w:rsidP="507D76BB" w:rsidRDefault="51C5DE28" w14:paraId="785823B2" w14:textId="597DD2C8">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45-84</w:t>
            </w:r>
          </w:p>
        </w:tc>
        <w:tc>
          <w:tcPr>
            <w:tcW w:w="2250" w:type="dxa"/>
            <w:tcBorders/>
            <w:tcMar>
              <w:left w:w="90" w:type="dxa"/>
              <w:right w:w="90" w:type="dxa"/>
            </w:tcMar>
            <w:vAlign w:val="center"/>
          </w:tcPr>
          <w:p w:rsidR="51C5DE28" w:rsidP="507D76BB" w:rsidRDefault="51C5DE28" w14:paraId="37A7DB14" w14:textId="560CC678">
            <w:pPr>
              <w:pStyle w:val="ListParagraph"/>
              <w:ind w:left="360"/>
              <w:jc w:val="left"/>
              <w:rPr>
                <w:rFonts w:eastAsia="Times New Roman" w:cs="Times New Roman"/>
                <w:color w:val="000000" w:themeColor="text1"/>
                <w:sz w:val="24"/>
                <w:szCs w:val="24"/>
              </w:rPr>
            </w:pPr>
            <w:r w:rsidRPr="507D76BB" w:rsidR="63B7C92F">
              <w:rPr>
                <w:rFonts w:eastAsia="Times New Roman" w:cs="Times New Roman"/>
                <w:color w:val="000000" w:themeColor="text1" w:themeTint="FF" w:themeShade="FF"/>
                <w:sz w:val="18"/>
                <w:szCs w:val="18"/>
              </w:rPr>
              <w:t>C</w:t>
            </w:r>
            <w:r w:rsidRPr="507D76BB" w:rsidR="067F69CA">
              <w:rPr>
                <w:rFonts w:eastAsia="Times New Roman" w:cs="Times New Roman"/>
                <w:color w:val="000000" w:themeColor="text1" w:themeTint="FF" w:themeShade="FF"/>
                <w:sz w:val="18"/>
                <w:szCs w:val="18"/>
              </w:rPr>
              <w:t>hronic kidney disease</w:t>
            </w:r>
          </w:p>
        </w:tc>
        <w:tc>
          <w:tcPr>
            <w:tcW w:w="915" w:type="dxa"/>
            <w:tcBorders/>
            <w:tcMar>
              <w:left w:w="90" w:type="dxa"/>
              <w:right w:w="90" w:type="dxa"/>
            </w:tcMar>
            <w:vAlign w:val="center"/>
          </w:tcPr>
          <w:p w:rsidR="51C5DE28" w:rsidP="507D76BB" w:rsidRDefault="51C5DE28" w14:paraId="1FE722FF" w14:textId="77FE5B79">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Hybrid</w:t>
            </w:r>
          </w:p>
        </w:tc>
        <w:tc>
          <w:tcPr>
            <w:tcW w:w="1260" w:type="dxa"/>
            <w:tcBorders/>
            <w:tcMar>
              <w:left w:w="90" w:type="dxa"/>
              <w:right w:w="90" w:type="dxa"/>
            </w:tcMar>
            <w:vAlign w:val="center"/>
          </w:tcPr>
          <w:p w:rsidR="51C5DE28" w:rsidP="507D76BB" w:rsidRDefault="51C5DE28" w14:paraId="1BD6166A" w14:textId="7F9405EF">
            <w:pPr>
              <w:jc w:val="left"/>
              <w:rPr>
                <w:rFonts w:eastAsia="Times New Roman" w:cs="Times New Roman"/>
                <w:color w:val="000000" w:themeColor="text1"/>
                <w:sz w:val="18"/>
                <w:szCs w:val="18"/>
              </w:rPr>
            </w:pPr>
            <w:r w:rsidRPr="507D76BB" w:rsidR="299CF8AC">
              <w:rPr>
                <w:rFonts w:eastAsia="Times New Roman" w:cs="Times New Roman"/>
                <w:color w:val="000000" w:themeColor="text1" w:themeTint="FF" w:themeShade="FF"/>
                <w:sz w:val="18"/>
                <w:szCs w:val="18"/>
              </w:rPr>
              <w:t>Questionnaire</w:t>
            </w:r>
          </w:p>
        </w:tc>
        <w:tc>
          <w:tcPr>
            <w:tcW w:w="1290" w:type="dxa"/>
            <w:tcBorders/>
            <w:tcMar>
              <w:left w:w="90" w:type="dxa"/>
              <w:right w:w="90" w:type="dxa"/>
            </w:tcMar>
            <w:vAlign w:val="center"/>
          </w:tcPr>
          <w:p w:rsidR="51C5DE28" w:rsidP="507D76BB" w:rsidRDefault="51C5DE28" w14:paraId="3AD2ABA8" w14:textId="3C546C43">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Self</w:t>
            </w:r>
          </w:p>
        </w:tc>
        <w:tc>
          <w:tcPr>
            <w:tcW w:w="1448" w:type="dxa"/>
            <w:tcBorders/>
            <w:tcMar>
              <w:left w:w="90" w:type="dxa"/>
              <w:right w:w="90" w:type="dxa"/>
            </w:tcMar>
            <w:vAlign w:val="center"/>
          </w:tcPr>
          <w:p w:rsidR="51C5DE28" w:rsidP="507D76BB" w:rsidRDefault="51C5DE28" w14:paraId="104BC32A" w14:textId="6E89320C">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w:t>
            </w:r>
          </w:p>
        </w:tc>
      </w:tr>
      <w:tr w:rsidR="51C5DE28" w:rsidTr="507D76BB" w14:paraId="5839B09B" w14:textId="77777777">
        <w:trPr>
          <w:trHeight w:val="300"/>
        </w:trPr>
        <w:tc>
          <w:tcPr>
            <w:tcW w:w="1245" w:type="dxa"/>
            <w:tcBorders/>
            <w:tcMar>
              <w:left w:w="90" w:type="dxa"/>
              <w:right w:w="90" w:type="dxa"/>
            </w:tcMar>
            <w:vAlign w:val="center"/>
          </w:tcPr>
          <w:p w:rsidR="51C5DE28" w:rsidP="507D76BB" w:rsidRDefault="51C5DE28" w14:paraId="1357F373" w14:textId="6F04DB82">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Sure</w:t>
            </w:r>
            <w:r w:rsidRPr="507D76BB" w:rsidR="067F69CA">
              <w:rPr>
                <w:rFonts w:eastAsia="Times New Roman" w:cs="Times New Roman"/>
                <w:color w:val="000000" w:themeColor="text1" w:themeTint="FF" w:themeShade="FF"/>
                <w:sz w:val="18"/>
                <w:szCs w:val="18"/>
              </w:rPr>
              <w:t xml:space="preserve"> of myself, Understand information, Risk/ benefit ratio and Encouragement (SURE) Test</w:t>
            </w:r>
          </w:p>
        </w:tc>
        <w:tc>
          <w:tcPr>
            <w:tcW w:w="825" w:type="dxa"/>
            <w:tcBorders/>
            <w:tcMar>
              <w:left w:w="90" w:type="dxa"/>
              <w:right w:w="90" w:type="dxa"/>
            </w:tcMar>
            <w:vAlign w:val="center"/>
          </w:tcPr>
          <w:p w:rsidR="51C5DE28" w:rsidP="507D76BB" w:rsidRDefault="51C5DE28" w14:paraId="592DDB89" w14:textId="0C9729A7">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6CB15DF0" w14:textId="10EB0836">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Nair &amp; Kohen, 2019</w:t>
            </w:r>
          </w:p>
        </w:tc>
        <w:tc>
          <w:tcPr>
            <w:tcW w:w="2460" w:type="dxa"/>
            <w:tcBorders/>
            <w:tcMar>
              <w:left w:w="90" w:type="dxa"/>
              <w:right w:w="90" w:type="dxa"/>
            </w:tcMar>
            <w:vAlign w:val="center"/>
          </w:tcPr>
          <w:p w:rsidR="51C5DE28" w:rsidP="507D76BB" w:rsidRDefault="51C5DE28" w14:paraId="2CF5C114" w14:textId="77098C7F">
            <w:pPr>
              <w:jc w:val="left"/>
              <w:rPr>
                <w:rFonts w:eastAsia="Times New Roman" w:cs="Times New Roman"/>
                <w:color w:val="333333"/>
                <w:sz w:val="18"/>
                <w:szCs w:val="18"/>
              </w:rPr>
            </w:pPr>
            <w:r w:rsidRPr="507D76BB" w:rsidR="067F69CA">
              <w:rPr>
                <w:rFonts w:eastAsia="Times New Roman" w:cs="Times New Roman"/>
                <w:color w:val="333333"/>
                <w:sz w:val="18"/>
                <w:szCs w:val="18"/>
              </w:rPr>
              <w:t>Four-item assessment of decisional conflict asking participant if they are sure of their choice, whether they know the benefits and risks of their choice, whether it is clear to them what benefits and risks matter to the participant most, and whether they have enough knowledge and support to make a choice.</w:t>
            </w:r>
          </w:p>
        </w:tc>
        <w:tc>
          <w:tcPr>
            <w:tcW w:w="870" w:type="dxa"/>
            <w:tcBorders/>
            <w:tcMar>
              <w:left w:w="90" w:type="dxa"/>
              <w:right w:w="90" w:type="dxa"/>
            </w:tcMar>
            <w:vAlign w:val="center"/>
          </w:tcPr>
          <w:p w:rsidR="51C5DE28" w:rsidP="507D76BB" w:rsidRDefault="51C5DE28" w14:paraId="7BC7B9FE" w14:textId="544DC9BB">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45-84</w:t>
            </w:r>
          </w:p>
        </w:tc>
        <w:tc>
          <w:tcPr>
            <w:tcW w:w="2250" w:type="dxa"/>
            <w:tcBorders/>
            <w:tcMar>
              <w:left w:w="90" w:type="dxa"/>
              <w:right w:w="90" w:type="dxa"/>
            </w:tcMar>
            <w:vAlign w:val="center"/>
          </w:tcPr>
          <w:p w:rsidR="51C5DE28" w:rsidP="507D76BB" w:rsidRDefault="51C5DE28" w14:paraId="6E72385C" w14:textId="5412A86B">
            <w:pPr>
              <w:pStyle w:val="ListParagraph"/>
              <w:ind w:left="360"/>
              <w:jc w:val="left"/>
              <w:rPr>
                <w:rFonts w:eastAsia="Times New Roman" w:cs="Times New Roman"/>
                <w:color w:val="000000" w:themeColor="text1"/>
                <w:sz w:val="24"/>
                <w:szCs w:val="24"/>
              </w:rPr>
            </w:pPr>
            <w:r w:rsidRPr="507D76BB" w:rsidR="2BC43918">
              <w:rPr>
                <w:rFonts w:eastAsia="Times New Roman" w:cs="Times New Roman"/>
                <w:color w:val="000000" w:themeColor="text1" w:themeTint="FF" w:themeShade="FF"/>
                <w:sz w:val="18"/>
                <w:szCs w:val="18"/>
              </w:rPr>
              <w:t>I</w:t>
            </w:r>
            <w:r w:rsidRPr="507D76BB" w:rsidR="067F69CA">
              <w:rPr>
                <w:rFonts w:eastAsia="Times New Roman" w:cs="Times New Roman"/>
                <w:color w:val="000000" w:themeColor="text1" w:themeTint="FF" w:themeShade="FF"/>
                <w:sz w:val="18"/>
                <w:szCs w:val="18"/>
              </w:rPr>
              <w:t xml:space="preserve">ntensive </w:t>
            </w:r>
            <w:r w:rsidRPr="507D76BB" w:rsidR="23505086">
              <w:rPr>
                <w:rFonts w:eastAsia="Times New Roman" w:cs="Times New Roman"/>
                <w:color w:val="000000" w:themeColor="text1" w:themeTint="FF" w:themeShade="FF"/>
                <w:sz w:val="18"/>
                <w:szCs w:val="18"/>
              </w:rPr>
              <w:t>C</w:t>
            </w:r>
            <w:r w:rsidRPr="507D76BB" w:rsidR="067F69CA">
              <w:rPr>
                <w:rFonts w:eastAsia="Times New Roman" w:cs="Times New Roman"/>
                <w:color w:val="000000" w:themeColor="text1" w:themeTint="FF" w:themeShade="FF"/>
                <w:sz w:val="18"/>
                <w:szCs w:val="18"/>
              </w:rPr>
              <w:t xml:space="preserve">are </w:t>
            </w:r>
            <w:r w:rsidRPr="507D76BB" w:rsidR="04F8EDB5">
              <w:rPr>
                <w:rFonts w:eastAsia="Times New Roman" w:cs="Times New Roman"/>
                <w:color w:val="000000" w:themeColor="text1" w:themeTint="FF" w:themeShade="FF"/>
                <w:sz w:val="18"/>
                <w:szCs w:val="18"/>
              </w:rPr>
              <w:t>U</w:t>
            </w:r>
            <w:r w:rsidRPr="507D76BB" w:rsidR="067F69CA">
              <w:rPr>
                <w:rFonts w:eastAsia="Times New Roman" w:cs="Times New Roman"/>
                <w:color w:val="000000" w:themeColor="text1" w:themeTint="FF" w:themeShade="FF"/>
                <w:sz w:val="18"/>
                <w:szCs w:val="18"/>
              </w:rPr>
              <w:t>nit (ICU), telemetry, medical, or surgical ward</w:t>
            </w:r>
            <w:r w:rsidRPr="507D76BB" w:rsidR="35495F4B">
              <w:rPr>
                <w:rFonts w:eastAsia="Times New Roman" w:cs="Times New Roman"/>
                <w:color w:val="000000" w:themeColor="text1" w:themeTint="FF" w:themeShade="FF"/>
                <w:sz w:val="18"/>
                <w:szCs w:val="18"/>
              </w:rPr>
              <w:t xml:space="preserve"> patients</w:t>
            </w:r>
          </w:p>
        </w:tc>
        <w:tc>
          <w:tcPr>
            <w:tcW w:w="915" w:type="dxa"/>
            <w:tcBorders/>
            <w:tcMar>
              <w:left w:w="90" w:type="dxa"/>
              <w:right w:w="90" w:type="dxa"/>
            </w:tcMar>
            <w:vAlign w:val="center"/>
          </w:tcPr>
          <w:p w:rsidR="51C5DE28" w:rsidP="507D76BB" w:rsidRDefault="51C5DE28" w14:paraId="4766B335" w14:textId="17EC4F6B">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In person</w:t>
            </w:r>
          </w:p>
        </w:tc>
        <w:tc>
          <w:tcPr>
            <w:tcW w:w="1260" w:type="dxa"/>
            <w:tcBorders/>
            <w:tcMar>
              <w:left w:w="90" w:type="dxa"/>
              <w:right w:w="90" w:type="dxa"/>
            </w:tcMar>
            <w:vAlign w:val="center"/>
          </w:tcPr>
          <w:p w:rsidR="51C5DE28" w:rsidP="507D76BB" w:rsidRDefault="51C5DE28" w14:paraId="206272B0" w14:textId="1C7275BB">
            <w:pPr>
              <w:pStyle w:val="Normal"/>
              <w:suppressLineNumbers w:val="0"/>
              <w:bidi w:val="0"/>
              <w:spacing w:before="120" w:beforeAutospacing="off" w:after="240" w:afterAutospacing="off" w:line="240" w:lineRule="auto"/>
              <w:ind w:left="0" w:right="0"/>
              <w:jc w:val="left"/>
              <w:rPr>
                <w:rFonts w:eastAsia="Times New Roman" w:cs="Times New Roman"/>
                <w:color w:val="000000" w:themeColor="text1" w:themeTint="FF" w:themeShade="FF"/>
                <w:sz w:val="18"/>
                <w:szCs w:val="18"/>
              </w:rPr>
            </w:pPr>
            <w:r w:rsidRPr="507D76BB" w:rsidR="37E02D4B">
              <w:rPr>
                <w:rFonts w:eastAsia="Times New Roman" w:cs="Times New Roman"/>
                <w:color w:val="000000" w:themeColor="text1" w:themeTint="FF" w:themeShade="FF"/>
                <w:sz w:val="18"/>
                <w:szCs w:val="18"/>
              </w:rPr>
              <w:t>Questionnair</w:t>
            </w:r>
            <w:r w:rsidRPr="507D76BB" w:rsidR="3AD8F6D7">
              <w:rPr>
                <w:rFonts w:eastAsia="Times New Roman" w:cs="Times New Roman"/>
                <w:color w:val="000000" w:themeColor="text1" w:themeTint="FF" w:themeShade="FF"/>
                <w:sz w:val="18"/>
                <w:szCs w:val="18"/>
              </w:rPr>
              <w:t xml:space="preserve">e or </w:t>
            </w:r>
            <w:r w:rsidRPr="507D76BB" w:rsidR="37E02D4B">
              <w:rPr>
                <w:rFonts w:eastAsia="Times New Roman" w:cs="Times New Roman"/>
                <w:color w:val="000000" w:themeColor="text1" w:themeTint="FF" w:themeShade="FF"/>
                <w:sz w:val="18"/>
                <w:szCs w:val="18"/>
              </w:rPr>
              <w:t>Semi-structured Interview</w:t>
            </w:r>
          </w:p>
        </w:tc>
        <w:tc>
          <w:tcPr>
            <w:tcW w:w="1290" w:type="dxa"/>
            <w:tcBorders/>
            <w:tcMar>
              <w:left w:w="90" w:type="dxa"/>
              <w:right w:w="90" w:type="dxa"/>
            </w:tcMar>
            <w:vAlign w:val="center"/>
          </w:tcPr>
          <w:p w:rsidR="51C5DE28" w:rsidP="507D76BB" w:rsidRDefault="51C5DE28" w14:paraId="3DB7D8B8" w14:textId="485FE329">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Examine</w:t>
            </w:r>
            <w:r w:rsidRPr="507D76BB" w:rsidR="2EB8F509">
              <w:rPr>
                <w:rFonts w:eastAsia="Times New Roman" w:cs="Times New Roman"/>
                <w:color w:val="000000" w:themeColor="text1" w:themeTint="FF" w:themeShade="FF"/>
                <w:sz w:val="18"/>
                <w:szCs w:val="18"/>
              </w:rPr>
              <w:t>r</w:t>
            </w:r>
          </w:p>
        </w:tc>
        <w:tc>
          <w:tcPr>
            <w:tcW w:w="1448" w:type="dxa"/>
            <w:tcBorders/>
            <w:tcMar>
              <w:left w:w="90" w:type="dxa"/>
              <w:right w:w="90" w:type="dxa"/>
            </w:tcMar>
            <w:vAlign w:val="center"/>
          </w:tcPr>
          <w:p w:rsidR="51C5DE28" w:rsidP="507D76BB" w:rsidRDefault="51C5DE28" w14:paraId="1BC534A4" w14:textId="5D097B31">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w:t>
            </w:r>
          </w:p>
        </w:tc>
      </w:tr>
      <w:tr w:rsidR="51C5DE28" w:rsidTr="507D76BB" w14:paraId="74D1F7FA" w14:textId="77777777">
        <w:trPr>
          <w:trHeight w:val="300"/>
        </w:trPr>
        <w:tc>
          <w:tcPr>
            <w:tcW w:w="1245" w:type="dxa"/>
            <w:tcBorders/>
            <w:tcMar>
              <w:left w:w="90" w:type="dxa"/>
              <w:right w:w="90" w:type="dxa"/>
            </w:tcMar>
            <w:vAlign w:val="center"/>
          </w:tcPr>
          <w:p w:rsidR="51C5DE28" w:rsidP="507D76BB" w:rsidRDefault="51C5DE28" w14:paraId="60A19009" w14:textId="4A047F7C">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The ACP Acceptance Questionnaire</w:t>
            </w:r>
          </w:p>
        </w:tc>
        <w:tc>
          <w:tcPr>
            <w:tcW w:w="825" w:type="dxa"/>
            <w:tcBorders/>
            <w:tcMar>
              <w:left w:w="90" w:type="dxa"/>
              <w:right w:w="90" w:type="dxa"/>
            </w:tcMar>
            <w:vAlign w:val="center"/>
          </w:tcPr>
          <w:p w:rsidR="51C5DE28" w:rsidP="507D76BB" w:rsidRDefault="51C5DE28" w14:paraId="08476370" w14:textId="4FF62C2A">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51EC7099" w14:textId="7CFFC170">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Yang et al., 2021</w:t>
            </w:r>
          </w:p>
        </w:tc>
        <w:tc>
          <w:tcPr>
            <w:tcW w:w="2460" w:type="dxa"/>
            <w:tcBorders/>
            <w:tcMar>
              <w:left w:w="90" w:type="dxa"/>
              <w:right w:w="90" w:type="dxa"/>
            </w:tcMar>
            <w:vAlign w:val="center"/>
          </w:tcPr>
          <w:p w:rsidR="51C5DE28" w:rsidP="507D76BB" w:rsidRDefault="51C5DE28" w14:paraId="1995CE8C" w14:textId="4B6D2743">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Nineteen-item Likert scale focusing on attitudes towards ACP, feelings about ACP, and intentions towards ACP.</w:t>
            </w:r>
          </w:p>
        </w:tc>
        <w:tc>
          <w:tcPr>
            <w:tcW w:w="870" w:type="dxa"/>
            <w:tcBorders/>
            <w:tcMar>
              <w:left w:w="90" w:type="dxa"/>
              <w:right w:w="90" w:type="dxa"/>
            </w:tcMar>
            <w:vAlign w:val="center"/>
          </w:tcPr>
          <w:p w:rsidR="51C5DE28" w:rsidP="507D76BB" w:rsidRDefault="51C5DE28" w14:paraId="2F6E2432" w14:textId="69F78C45">
            <w:pPr>
              <w:jc w:val="left"/>
              <w:rPr>
                <w:rFonts w:eastAsia="Times New Roman" w:cs="Times New Roman"/>
                <w:color w:val="000000" w:themeColor="text1"/>
                <w:sz w:val="18"/>
                <w:szCs w:val="18"/>
              </w:rPr>
            </w:pPr>
          </w:p>
        </w:tc>
        <w:tc>
          <w:tcPr>
            <w:tcW w:w="2250" w:type="dxa"/>
            <w:tcBorders/>
            <w:tcMar>
              <w:left w:w="90" w:type="dxa"/>
              <w:right w:w="90" w:type="dxa"/>
            </w:tcMar>
            <w:vAlign w:val="center"/>
          </w:tcPr>
          <w:p w:rsidR="51C5DE28" w:rsidP="507D76BB" w:rsidRDefault="51C5DE28" w14:paraId="7B0063B4" w14:textId="44EA05AA">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Patients with at least one chronic condition</w:t>
            </w:r>
          </w:p>
        </w:tc>
        <w:tc>
          <w:tcPr>
            <w:tcW w:w="915" w:type="dxa"/>
            <w:tcBorders/>
            <w:tcMar>
              <w:left w:w="90" w:type="dxa"/>
              <w:right w:w="90" w:type="dxa"/>
            </w:tcMar>
            <w:vAlign w:val="center"/>
          </w:tcPr>
          <w:p w:rsidR="51C5DE28" w:rsidP="507D76BB" w:rsidRDefault="51C5DE28" w14:paraId="5A17B84A" w14:textId="224AC93E">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In person</w:t>
            </w:r>
          </w:p>
        </w:tc>
        <w:tc>
          <w:tcPr>
            <w:tcW w:w="1260" w:type="dxa"/>
            <w:tcBorders/>
            <w:tcMar>
              <w:left w:w="90" w:type="dxa"/>
              <w:right w:w="90" w:type="dxa"/>
            </w:tcMar>
            <w:vAlign w:val="center"/>
          </w:tcPr>
          <w:p w:rsidR="51C5DE28" w:rsidP="507D76BB" w:rsidRDefault="51C5DE28" w14:paraId="2940BFB9" w14:textId="631D631E">
            <w:pPr>
              <w:pStyle w:val="Normal"/>
              <w:suppressLineNumbers w:val="0"/>
              <w:bidi w:val="0"/>
              <w:spacing w:before="120" w:beforeAutospacing="off" w:after="240" w:afterAutospacing="off" w:line="240" w:lineRule="auto"/>
              <w:ind w:left="0" w:right="0"/>
              <w:jc w:val="left"/>
            </w:pPr>
            <w:r w:rsidRPr="507D76BB" w:rsidR="1B49C761">
              <w:rPr>
                <w:rFonts w:eastAsia="Times New Roman" w:cs="Times New Roman"/>
                <w:color w:val="000000" w:themeColor="text1" w:themeTint="FF" w:themeShade="FF"/>
                <w:sz w:val="18"/>
                <w:szCs w:val="18"/>
              </w:rPr>
              <w:t>Questionnaire</w:t>
            </w:r>
          </w:p>
        </w:tc>
        <w:tc>
          <w:tcPr>
            <w:tcW w:w="1290" w:type="dxa"/>
            <w:tcBorders/>
            <w:tcMar>
              <w:left w:w="90" w:type="dxa"/>
              <w:right w:w="90" w:type="dxa"/>
            </w:tcMar>
            <w:vAlign w:val="center"/>
          </w:tcPr>
          <w:p w:rsidR="51C5DE28" w:rsidP="507D76BB" w:rsidRDefault="51C5DE28" w14:paraId="24982C8A" w14:textId="76F7A2F8">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Self</w:t>
            </w:r>
          </w:p>
        </w:tc>
        <w:tc>
          <w:tcPr>
            <w:tcW w:w="1448" w:type="dxa"/>
            <w:tcBorders/>
            <w:tcMar>
              <w:left w:w="90" w:type="dxa"/>
              <w:right w:w="90" w:type="dxa"/>
            </w:tcMar>
            <w:vAlign w:val="center"/>
          </w:tcPr>
          <w:p w:rsidR="51C5DE28" w:rsidP="507D76BB" w:rsidRDefault="51C5DE28" w14:paraId="007E54F3" w14:textId="3996B697">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w:t>
            </w:r>
          </w:p>
        </w:tc>
      </w:tr>
      <w:tr w:rsidR="51C5DE28" w:rsidTr="507D76BB" w14:paraId="561833E0" w14:textId="77777777">
        <w:trPr>
          <w:trHeight w:val="300"/>
        </w:trPr>
        <w:tc>
          <w:tcPr>
            <w:tcW w:w="1245" w:type="dxa"/>
            <w:tcBorders/>
            <w:tcMar>
              <w:left w:w="90" w:type="dxa"/>
              <w:right w:w="90" w:type="dxa"/>
            </w:tcMar>
            <w:vAlign w:val="center"/>
          </w:tcPr>
          <w:p w:rsidR="51C5DE28" w:rsidP="507D76BB" w:rsidRDefault="51C5DE28" w14:paraId="3A9E6D43" w14:textId="29166FE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The Elderly Death Attitude Scale</w:t>
            </w:r>
          </w:p>
        </w:tc>
        <w:tc>
          <w:tcPr>
            <w:tcW w:w="825" w:type="dxa"/>
            <w:tcBorders/>
            <w:tcMar>
              <w:left w:w="90" w:type="dxa"/>
              <w:right w:w="90" w:type="dxa"/>
            </w:tcMar>
            <w:vAlign w:val="center"/>
          </w:tcPr>
          <w:p w:rsidR="51C5DE28" w:rsidP="507D76BB" w:rsidRDefault="51C5DE28" w14:paraId="695A0007" w14:textId="228E22AE">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655D0252" w14:textId="2BD84F01">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Yang et al., 2021</w:t>
            </w:r>
          </w:p>
        </w:tc>
        <w:tc>
          <w:tcPr>
            <w:tcW w:w="2460" w:type="dxa"/>
            <w:tcBorders/>
            <w:tcMar>
              <w:left w:w="90" w:type="dxa"/>
              <w:right w:w="90" w:type="dxa"/>
            </w:tcMar>
            <w:vAlign w:val="center"/>
          </w:tcPr>
          <w:p w:rsidR="51C5DE28" w:rsidP="507D76BB" w:rsidRDefault="51C5DE28" w14:paraId="6B9518EE" w14:textId="29F70563">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Twenty-five item 7-point Likert scale that assesses fear and anxiety of death, escape-oriented death acceptance, natural acceptance, approach-oriented death acceptance, and death escape.</w:t>
            </w:r>
          </w:p>
        </w:tc>
        <w:tc>
          <w:tcPr>
            <w:tcW w:w="870" w:type="dxa"/>
            <w:tcBorders/>
            <w:tcMar>
              <w:left w:w="90" w:type="dxa"/>
              <w:right w:w="90" w:type="dxa"/>
            </w:tcMar>
            <w:vAlign w:val="center"/>
          </w:tcPr>
          <w:p w:rsidR="51C5DE28" w:rsidP="507D76BB" w:rsidRDefault="51C5DE28" w14:paraId="129AACB7" w14:textId="379513DC">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65-85+</w:t>
            </w:r>
          </w:p>
        </w:tc>
        <w:tc>
          <w:tcPr>
            <w:tcW w:w="2250" w:type="dxa"/>
            <w:tcBorders/>
            <w:tcMar>
              <w:left w:w="90" w:type="dxa"/>
              <w:right w:w="90" w:type="dxa"/>
            </w:tcMar>
            <w:vAlign w:val="center"/>
          </w:tcPr>
          <w:p w:rsidR="51C5DE28" w:rsidP="507D76BB" w:rsidRDefault="51C5DE28" w14:paraId="24F62931" w14:textId="63794850">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Patients with at least one chronic condition</w:t>
            </w:r>
          </w:p>
        </w:tc>
        <w:tc>
          <w:tcPr>
            <w:tcW w:w="915" w:type="dxa"/>
            <w:tcBorders/>
            <w:tcMar>
              <w:left w:w="90" w:type="dxa"/>
              <w:right w:w="90" w:type="dxa"/>
            </w:tcMar>
            <w:vAlign w:val="center"/>
          </w:tcPr>
          <w:p w:rsidR="51C5DE28" w:rsidP="507D76BB" w:rsidRDefault="51C5DE28" w14:paraId="7639A9B1" w14:textId="4A7115EE">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In person</w:t>
            </w:r>
          </w:p>
        </w:tc>
        <w:tc>
          <w:tcPr>
            <w:tcW w:w="1260" w:type="dxa"/>
            <w:tcBorders/>
            <w:tcMar>
              <w:left w:w="90" w:type="dxa"/>
              <w:right w:w="90" w:type="dxa"/>
            </w:tcMar>
            <w:vAlign w:val="center"/>
          </w:tcPr>
          <w:p w:rsidR="51C5DE28" w:rsidP="507D76BB" w:rsidRDefault="51C5DE28" w14:paraId="22A39DCC" w14:textId="157F03E0">
            <w:pPr>
              <w:pStyle w:val="Normal"/>
              <w:suppressLineNumbers w:val="0"/>
              <w:bidi w:val="0"/>
              <w:spacing w:before="120" w:beforeAutospacing="off" w:after="240" w:afterAutospacing="off" w:line="240" w:lineRule="auto"/>
              <w:ind w:left="0" w:right="0"/>
              <w:jc w:val="left"/>
            </w:pPr>
            <w:r w:rsidRPr="507D76BB" w:rsidR="2C20E087">
              <w:rPr>
                <w:rFonts w:eastAsia="Times New Roman" w:cs="Times New Roman"/>
                <w:color w:val="000000" w:themeColor="text1" w:themeTint="FF" w:themeShade="FF"/>
                <w:sz w:val="18"/>
                <w:szCs w:val="18"/>
              </w:rPr>
              <w:t>Questionnaire</w:t>
            </w:r>
          </w:p>
        </w:tc>
        <w:tc>
          <w:tcPr>
            <w:tcW w:w="1290" w:type="dxa"/>
            <w:tcBorders/>
            <w:tcMar>
              <w:left w:w="90" w:type="dxa"/>
              <w:right w:w="90" w:type="dxa"/>
            </w:tcMar>
            <w:vAlign w:val="center"/>
          </w:tcPr>
          <w:p w:rsidR="51C5DE28" w:rsidP="507D76BB" w:rsidRDefault="51C5DE28" w14:paraId="7EA642C9" w14:textId="52CF098F">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Self</w:t>
            </w:r>
          </w:p>
        </w:tc>
        <w:tc>
          <w:tcPr>
            <w:tcW w:w="1448" w:type="dxa"/>
            <w:tcBorders/>
            <w:tcMar>
              <w:left w:w="90" w:type="dxa"/>
              <w:right w:w="90" w:type="dxa"/>
            </w:tcMar>
            <w:vAlign w:val="center"/>
          </w:tcPr>
          <w:p w:rsidR="51C5DE28" w:rsidP="507D76BB" w:rsidRDefault="51C5DE28" w14:paraId="68AC6600" w14:textId="19308C76">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w:t>
            </w:r>
          </w:p>
        </w:tc>
      </w:tr>
      <w:tr w:rsidR="51C5DE28" w:rsidTr="507D76BB" w14:paraId="0A3DF047" w14:textId="77777777">
        <w:trPr>
          <w:trHeight w:val="300"/>
        </w:trPr>
        <w:tc>
          <w:tcPr>
            <w:tcW w:w="1245" w:type="dxa"/>
            <w:tcBorders/>
            <w:tcMar>
              <w:left w:w="90" w:type="dxa"/>
              <w:right w:w="90" w:type="dxa"/>
            </w:tcMar>
            <w:vAlign w:val="center"/>
          </w:tcPr>
          <w:p w:rsidR="51C5DE28" w:rsidP="507D76BB" w:rsidRDefault="51C5DE28" w14:paraId="2754F266" w14:textId="072747D0">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The Standard Gamble (SG) assessment</w:t>
            </w:r>
          </w:p>
        </w:tc>
        <w:tc>
          <w:tcPr>
            <w:tcW w:w="825" w:type="dxa"/>
            <w:tcBorders/>
            <w:tcMar>
              <w:left w:w="90" w:type="dxa"/>
              <w:right w:w="90" w:type="dxa"/>
            </w:tcMar>
            <w:vAlign w:val="center"/>
          </w:tcPr>
          <w:p w:rsidR="51C5DE28" w:rsidP="507D76BB" w:rsidRDefault="51C5DE28" w14:paraId="73C37959" w14:textId="77B37FDB">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05907F6C" w14:textId="5CC13DA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Slaughter et al., 2019</w:t>
            </w:r>
          </w:p>
        </w:tc>
        <w:tc>
          <w:tcPr>
            <w:tcW w:w="2460" w:type="dxa"/>
            <w:tcBorders/>
            <w:tcMar>
              <w:left w:w="90" w:type="dxa"/>
              <w:right w:w="90" w:type="dxa"/>
            </w:tcMar>
            <w:vAlign w:val="center"/>
          </w:tcPr>
          <w:p w:rsidR="51C5DE28" w:rsidP="507D76BB" w:rsidRDefault="51C5DE28" w14:paraId="35E66EA6" w14:textId="31946B37">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Assessment consists of a series of choices made between a current health status and a hypothetical treatment that may either produce perfect health or a painless death at varying probabilities.</w:t>
            </w:r>
          </w:p>
        </w:tc>
        <w:tc>
          <w:tcPr>
            <w:tcW w:w="870" w:type="dxa"/>
            <w:tcBorders/>
            <w:tcMar>
              <w:left w:w="90" w:type="dxa"/>
              <w:right w:w="90" w:type="dxa"/>
            </w:tcMar>
            <w:vAlign w:val="center"/>
          </w:tcPr>
          <w:p w:rsidR="51C5DE28" w:rsidP="507D76BB" w:rsidRDefault="51C5DE28" w14:paraId="22F6D032" w14:textId="456E86FF">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49-80</w:t>
            </w:r>
          </w:p>
        </w:tc>
        <w:tc>
          <w:tcPr>
            <w:tcW w:w="2250" w:type="dxa"/>
            <w:tcBorders/>
            <w:tcMar>
              <w:left w:w="90" w:type="dxa"/>
              <w:right w:w="90" w:type="dxa"/>
            </w:tcMar>
            <w:vAlign w:val="center"/>
          </w:tcPr>
          <w:p w:rsidR="51C5DE28" w:rsidP="507D76BB" w:rsidRDefault="51C5DE28" w14:paraId="51B42026" w14:textId="3DAFC7BA">
            <w:pPr>
              <w:pStyle w:val="ListParagraph"/>
              <w:ind w:left="360"/>
              <w:jc w:val="left"/>
              <w:rPr>
                <w:rFonts w:eastAsia="Times New Roman" w:cs="Times New Roman"/>
                <w:color w:val="000000" w:themeColor="text1"/>
                <w:sz w:val="24"/>
                <w:szCs w:val="24"/>
              </w:rPr>
            </w:pPr>
            <w:r w:rsidRPr="507D76BB" w:rsidR="4CBA8D85">
              <w:rPr>
                <w:rFonts w:eastAsia="Times New Roman" w:cs="Times New Roman"/>
                <w:color w:val="000000" w:themeColor="text1" w:themeTint="FF" w:themeShade="FF"/>
                <w:sz w:val="18"/>
                <w:szCs w:val="18"/>
              </w:rPr>
              <w:t>P</w:t>
            </w:r>
            <w:r w:rsidRPr="507D76BB" w:rsidR="067F69CA">
              <w:rPr>
                <w:rFonts w:eastAsia="Times New Roman" w:cs="Times New Roman"/>
                <w:color w:val="000000" w:themeColor="text1" w:themeTint="FF" w:themeShade="FF"/>
                <w:sz w:val="18"/>
                <w:szCs w:val="18"/>
              </w:rPr>
              <w:t>rimary intracerebral hemorrhage</w:t>
            </w:r>
          </w:p>
        </w:tc>
        <w:tc>
          <w:tcPr>
            <w:tcW w:w="915" w:type="dxa"/>
            <w:tcBorders/>
            <w:tcMar>
              <w:left w:w="90" w:type="dxa"/>
              <w:right w:w="90" w:type="dxa"/>
            </w:tcMar>
            <w:vAlign w:val="center"/>
          </w:tcPr>
          <w:p w:rsidR="51C5DE28" w:rsidP="507D76BB" w:rsidRDefault="51C5DE28" w14:paraId="4E7D3A55" w14:textId="4C90FFDB">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In person</w:t>
            </w:r>
          </w:p>
        </w:tc>
        <w:tc>
          <w:tcPr>
            <w:tcW w:w="1260" w:type="dxa"/>
            <w:tcBorders/>
            <w:tcMar>
              <w:left w:w="90" w:type="dxa"/>
              <w:right w:w="90" w:type="dxa"/>
            </w:tcMar>
            <w:vAlign w:val="center"/>
          </w:tcPr>
          <w:p w:rsidR="51C5DE28" w:rsidP="507D76BB" w:rsidRDefault="51C5DE28" w14:paraId="6FD35BAE" w14:textId="044290E6">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Semi-structured interview</w:t>
            </w:r>
            <w:r w:rsidRPr="507D76BB" w:rsidR="3CB44D59">
              <w:rPr>
                <w:rFonts w:eastAsia="Times New Roman" w:cs="Times New Roman"/>
                <w:color w:val="000000" w:themeColor="text1" w:themeTint="FF" w:themeShade="FF"/>
                <w:sz w:val="18"/>
                <w:szCs w:val="18"/>
              </w:rPr>
              <w:t xml:space="preserve"> (w/ vignette)</w:t>
            </w:r>
            <w:r w:rsidRPr="507D76BB" w:rsidR="067F69CA">
              <w:rPr>
                <w:rFonts w:eastAsia="Times New Roman" w:cs="Times New Roman"/>
                <w:color w:val="000000" w:themeColor="text1" w:themeTint="FF" w:themeShade="FF"/>
                <w:sz w:val="18"/>
                <w:szCs w:val="18"/>
              </w:rPr>
              <w:t xml:space="preserve"> </w:t>
            </w:r>
          </w:p>
        </w:tc>
        <w:tc>
          <w:tcPr>
            <w:tcW w:w="1290" w:type="dxa"/>
            <w:tcBorders/>
            <w:tcMar>
              <w:left w:w="90" w:type="dxa"/>
              <w:right w:w="90" w:type="dxa"/>
            </w:tcMar>
            <w:vAlign w:val="center"/>
          </w:tcPr>
          <w:p w:rsidR="51C5DE28" w:rsidP="507D76BB" w:rsidRDefault="51C5DE28" w14:paraId="2FB2E833" w14:textId="2B58AFED">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Examiner</w:t>
            </w:r>
          </w:p>
        </w:tc>
        <w:tc>
          <w:tcPr>
            <w:tcW w:w="1448" w:type="dxa"/>
            <w:tcBorders/>
            <w:tcMar>
              <w:left w:w="90" w:type="dxa"/>
              <w:right w:w="90" w:type="dxa"/>
            </w:tcMar>
            <w:vAlign w:val="center"/>
          </w:tcPr>
          <w:p w:rsidR="51C5DE28" w:rsidP="507D76BB" w:rsidRDefault="51C5DE28" w14:paraId="2AC22758" w14:textId="74667E1B">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 and caregiver</w:t>
            </w:r>
          </w:p>
        </w:tc>
      </w:tr>
      <w:tr w:rsidR="51C5DE28" w:rsidTr="507D76BB" w14:paraId="65CCDE91" w14:textId="77777777">
        <w:trPr>
          <w:trHeight w:val="300"/>
        </w:trPr>
        <w:tc>
          <w:tcPr>
            <w:tcW w:w="1245" w:type="dxa"/>
            <w:tcBorders/>
            <w:tcMar>
              <w:left w:w="90" w:type="dxa"/>
              <w:right w:w="90" w:type="dxa"/>
            </w:tcMar>
            <w:vAlign w:val="center"/>
          </w:tcPr>
          <w:p w:rsidR="51C5DE28" w:rsidP="507D76BB" w:rsidRDefault="51C5DE28" w14:paraId="34E31B38" w14:textId="03873C6B">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The View of Relocation Scale (VRS)</w:t>
            </w:r>
          </w:p>
        </w:tc>
        <w:tc>
          <w:tcPr>
            <w:tcW w:w="825" w:type="dxa"/>
            <w:tcBorders/>
            <w:tcMar>
              <w:left w:w="90" w:type="dxa"/>
              <w:right w:w="90" w:type="dxa"/>
            </w:tcMar>
            <w:vAlign w:val="center"/>
          </w:tcPr>
          <w:p w:rsidR="51C5DE28" w:rsidP="507D76BB" w:rsidRDefault="51C5DE28" w14:paraId="547BED68" w14:textId="7A845F1D">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1C006003" w14:textId="1956E928">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Davison et al., 2022</w:t>
            </w:r>
          </w:p>
        </w:tc>
        <w:tc>
          <w:tcPr>
            <w:tcW w:w="2460" w:type="dxa"/>
            <w:tcBorders/>
            <w:tcMar>
              <w:left w:w="90" w:type="dxa"/>
              <w:right w:w="90" w:type="dxa"/>
            </w:tcMar>
            <w:vAlign w:val="center"/>
          </w:tcPr>
          <w:p w:rsidR="51C5DE28" w:rsidP="507D76BB" w:rsidRDefault="51C5DE28" w14:paraId="2899656C" w14:textId="019390E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Twelve-item self-report measure designed to be completed after relocation to long-term care assessing perceived need and perceived control.</w:t>
            </w:r>
          </w:p>
        </w:tc>
        <w:tc>
          <w:tcPr>
            <w:tcW w:w="870" w:type="dxa"/>
            <w:tcBorders/>
            <w:tcMar>
              <w:left w:w="90" w:type="dxa"/>
              <w:right w:w="90" w:type="dxa"/>
            </w:tcMar>
            <w:vAlign w:val="center"/>
          </w:tcPr>
          <w:p w:rsidR="51C5DE28" w:rsidP="507D76BB" w:rsidRDefault="51C5DE28" w14:paraId="4AEE2C02" w14:textId="165FF485">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62-99</w:t>
            </w:r>
          </w:p>
        </w:tc>
        <w:tc>
          <w:tcPr>
            <w:tcW w:w="2250" w:type="dxa"/>
            <w:tcBorders/>
            <w:tcMar>
              <w:left w:w="90" w:type="dxa"/>
              <w:right w:w="90" w:type="dxa"/>
            </w:tcMar>
            <w:vAlign w:val="center"/>
          </w:tcPr>
          <w:p w:rsidR="51C5DE28" w:rsidP="507D76BB" w:rsidRDefault="51C5DE28" w14:paraId="0CFAD5D1" w14:textId="5EC21F7C">
            <w:pPr>
              <w:pStyle w:val="ListParagraph"/>
              <w:ind w:left="360"/>
              <w:jc w:val="left"/>
              <w:rPr>
                <w:rFonts w:eastAsia="Times New Roman" w:cs="Times New Roman"/>
                <w:color w:val="000000" w:themeColor="text1"/>
                <w:sz w:val="24"/>
                <w:szCs w:val="24"/>
              </w:rPr>
            </w:pPr>
            <w:r w:rsidRPr="507D76BB" w:rsidR="028CA4EB">
              <w:rPr>
                <w:rFonts w:eastAsia="Times New Roman" w:cs="Times New Roman"/>
                <w:color w:val="000000" w:themeColor="text1" w:themeTint="FF" w:themeShade="FF"/>
                <w:sz w:val="18"/>
                <w:szCs w:val="18"/>
              </w:rPr>
              <w:t>P</w:t>
            </w:r>
            <w:r w:rsidRPr="507D76BB" w:rsidR="067F69CA">
              <w:rPr>
                <w:rFonts w:eastAsia="Times New Roman" w:cs="Times New Roman"/>
                <w:color w:val="000000" w:themeColor="text1" w:themeTint="FF" w:themeShade="FF"/>
                <w:sz w:val="18"/>
                <w:szCs w:val="18"/>
              </w:rPr>
              <w:t>ermanent long-term care (LTC) residents</w:t>
            </w:r>
          </w:p>
        </w:tc>
        <w:tc>
          <w:tcPr>
            <w:tcW w:w="915" w:type="dxa"/>
            <w:tcBorders/>
            <w:tcMar>
              <w:left w:w="90" w:type="dxa"/>
              <w:right w:w="90" w:type="dxa"/>
            </w:tcMar>
            <w:vAlign w:val="center"/>
          </w:tcPr>
          <w:p w:rsidR="51C5DE28" w:rsidP="507D76BB" w:rsidRDefault="51C5DE28" w14:paraId="15C74F26" w14:textId="0F5B1CA8">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In person</w:t>
            </w:r>
          </w:p>
        </w:tc>
        <w:tc>
          <w:tcPr>
            <w:tcW w:w="1260" w:type="dxa"/>
            <w:tcBorders/>
            <w:tcMar>
              <w:left w:w="90" w:type="dxa"/>
              <w:right w:w="90" w:type="dxa"/>
            </w:tcMar>
            <w:vAlign w:val="center"/>
          </w:tcPr>
          <w:p w:rsidR="51C5DE28" w:rsidP="507D76BB" w:rsidRDefault="51C5DE28" w14:paraId="4550209F" w14:textId="6C897C51">
            <w:pPr>
              <w:jc w:val="left"/>
              <w:rPr>
                <w:rFonts w:eastAsia="Times New Roman" w:cs="Times New Roman"/>
                <w:color w:val="000000" w:themeColor="text1"/>
                <w:sz w:val="18"/>
                <w:szCs w:val="18"/>
              </w:rPr>
            </w:pPr>
            <w:r w:rsidRPr="507D76BB" w:rsidR="2A9835FD">
              <w:rPr>
                <w:rFonts w:eastAsia="Times New Roman" w:cs="Times New Roman"/>
                <w:color w:val="000000" w:themeColor="text1" w:themeTint="FF" w:themeShade="FF"/>
                <w:sz w:val="18"/>
                <w:szCs w:val="18"/>
              </w:rPr>
              <w:t>Questionnaire</w:t>
            </w:r>
            <w:r w:rsidRPr="507D76BB" w:rsidR="039D2387">
              <w:rPr>
                <w:rFonts w:eastAsia="Times New Roman" w:cs="Times New Roman"/>
                <w:color w:val="000000" w:themeColor="text1" w:themeTint="FF" w:themeShade="FF"/>
                <w:sz w:val="18"/>
                <w:szCs w:val="18"/>
              </w:rPr>
              <w:t xml:space="preserve">or </w:t>
            </w:r>
            <w:r w:rsidRPr="507D76BB" w:rsidR="067F69CA">
              <w:rPr>
                <w:rFonts w:eastAsia="Times New Roman" w:cs="Times New Roman"/>
                <w:color w:val="000000" w:themeColor="text1" w:themeTint="FF" w:themeShade="FF"/>
                <w:sz w:val="18"/>
                <w:szCs w:val="18"/>
              </w:rPr>
              <w:t xml:space="preserve">Semi-structured interview </w:t>
            </w:r>
          </w:p>
        </w:tc>
        <w:tc>
          <w:tcPr>
            <w:tcW w:w="1290" w:type="dxa"/>
            <w:tcBorders/>
            <w:tcMar>
              <w:left w:w="90" w:type="dxa"/>
              <w:right w:w="90" w:type="dxa"/>
            </w:tcMar>
            <w:vAlign w:val="center"/>
          </w:tcPr>
          <w:p w:rsidR="51C5DE28" w:rsidP="507D76BB" w:rsidRDefault="51C5DE28" w14:paraId="368AECEB" w14:textId="7773DDC9">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Examiner</w:t>
            </w:r>
          </w:p>
        </w:tc>
        <w:tc>
          <w:tcPr>
            <w:tcW w:w="1448" w:type="dxa"/>
            <w:tcBorders/>
            <w:tcMar>
              <w:left w:w="90" w:type="dxa"/>
              <w:right w:w="90" w:type="dxa"/>
            </w:tcMar>
            <w:vAlign w:val="center"/>
          </w:tcPr>
          <w:p w:rsidR="51C5DE28" w:rsidP="507D76BB" w:rsidRDefault="51C5DE28" w14:paraId="22A45951" w14:textId="2BB18F02">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w:t>
            </w:r>
          </w:p>
        </w:tc>
      </w:tr>
      <w:tr w:rsidR="51C5DE28" w:rsidTr="507D76BB" w14:paraId="06B6C1CD" w14:textId="77777777">
        <w:trPr>
          <w:trHeight w:val="300"/>
        </w:trPr>
        <w:tc>
          <w:tcPr>
            <w:tcW w:w="1245" w:type="dxa"/>
            <w:tcBorders/>
            <w:tcMar>
              <w:left w:w="90" w:type="dxa"/>
              <w:right w:w="90" w:type="dxa"/>
            </w:tcMar>
            <w:vAlign w:val="center"/>
          </w:tcPr>
          <w:p w:rsidR="51C5DE28" w:rsidP="507D76BB" w:rsidRDefault="51C5DE28" w14:paraId="2EDDC6C6" w14:textId="43B4C15C">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Underspecified questions about organ donation for a relative</w:t>
            </w:r>
          </w:p>
        </w:tc>
        <w:tc>
          <w:tcPr>
            <w:tcW w:w="825" w:type="dxa"/>
            <w:tcBorders/>
            <w:tcMar>
              <w:left w:w="90" w:type="dxa"/>
              <w:right w:w="90" w:type="dxa"/>
            </w:tcMar>
            <w:vAlign w:val="center"/>
          </w:tcPr>
          <w:p w:rsidR="51C5DE28" w:rsidP="507D76BB" w:rsidRDefault="51C5DE28" w14:paraId="1C27F022" w14:textId="4FB908E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7888CF81" w14:textId="45D2E6F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Liu et al., 2021</w:t>
            </w:r>
          </w:p>
        </w:tc>
        <w:tc>
          <w:tcPr>
            <w:tcW w:w="2460" w:type="dxa"/>
            <w:tcBorders/>
            <w:tcMar>
              <w:left w:w="90" w:type="dxa"/>
              <w:right w:w="90" w:type="dxa"/>
            </w:tcMar>
            <w:vAlign w:val="center"/>
          </w:tcPr>
          <w:p w:rsidR="51C5DE28" w:rsidP="507D76BB" w:rsidRDefault="51C5DE28" w14:paraId="229E3458" w14:textId="78BEE2F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Questionnaire included questions about whether one would want to have their organs donated after death and whether they would donate their relatives' organs following their death. Overconfidence </w:t>
            </w:r>
            <w:r w:rsidRPr="507D76BB" w:rsidR="067F69CA">
              <w:rPr>
                <w:rFonts w:eastAsia="Times New Roman" w:cs="Times New Roman"/>
                <w:color w:val="000000" w:themeColor="text1" w:themeTint="FF" w:themeShade="FF"/>
                <w:sz w:val="18"/>
                <w:szCs w:val="18"/>
              </w:rPr>
              <w:t>regarding</w:t>
            </w:r>
            <w:r w:rsidRPr="507D76BB" w:rsidR="067F69CA">
              <w:rPr>
                <w:rFonts w:eastAsia="Times New Roman" w:cs="Times New Roman"/>
                <w:color w:val="000000" w:themeColor="text1" w:themeTint="FF" w:themeShade="FF"/>
                <w:sz w:val="18"/>
                <w:szCs w:val="18"/>
              </w:rPr>
              <w:t xml:space="preserve"> their decisions was measured using a 5-point Likert scale.</w:t>
            </w:r>
          </w:p>
        </w:tc>
        <w:tc>
          <w:tcPr>
            <w:tcW w:w="870" w:type="dxa"/>
            <w:tcBorders/>
            <w:tcMar>
              <w:left w:w="90" w:type="dxa"/>
              <w:right w:w="90" w:type="dxa"/>
            </w:tcMar>
            <w:vAlign w:val="center"/>
          </w:tcPr>
          <w:p w:rsidR="51C5DE28" w:rsidP="507D76BB" w:rsidRDefault="51C5DE28" w14:paraId="20B98389" w14:textId="27DF2123">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21-65+</w:t>
            </w:r>
          </w:p>
        </w:tc>
        <w:tc>
          <w:tcPr>
            <w:tcW w:w="2250" w:type="dxa"/>
            <w:tcBorders/>
            <w:tcMar>
              <w:left w:w="90" w:type="dxa"/>
              <w:right w:w="90" w:type="dxa"/>
            </w:tcMar>
            <w:vAlign w:val="center"/>
          </w:tcPr>
          <w:p w:rsidR="51C5DE28" w:rsidP="507D76BB" w:rsidRDefault="51C5DE28" w14:paraId="48ECE1B0" w14:textId="7F23FE1A">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None</w:t>
            </w:r>
          </w:p>
        </w:tc>
        <w:tc>
          <w:tcPr>
            <w:tcW w:w="915" w:type="dxa"/>
            <w:tcBorders/>
            <w:tcMar>
              <w:left w:w="90" w:type="dxa"/>
              <w:right w:w="90" w:type="dxa"/>
            </w:tcMar>
            <w:vAlign w:val="center"/>
          </w:tcPr>
          <w:p w:rsidR="51C5DE28" w:rsidP="507D76BB" w:rsidRDefault="51C5DE28" w14:paraId="1322FD96" w14:textId="679EDE9F">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Hybrid</w:t>
            </w:r>
          </w:p>
        </w:tc>
        <w:tc>
          <w:tcPr>
            <w:tcW w:w="1260" w:type="dxa"/>
            <w:tcBorders/>
            <w:tcMar>
              <w:left w:w="90" w:type="dxa"/>
              <w:right w:w="90" w:type="dxa"/>
            </w:tcMar>
            <w:vAlign w:val="center"/>
          </w:tcPr>
          <w:p w:rsidR="51C5DE28" w:rsidP="507D76BB" w:rsidRDefault="51C5DE28" w14:paraId="1A9BA3BA" w14:textId="78AA867B">
            <w:pPr>
              <w:jc w:val="left"/>
              <w:rPr>
                <w:rFonts w:eastAsia="Times New Roman" w:cs="Times New Roman"/>
                <w:color w:val="000000" w:themeColor="text1"/>
                <w:sz w:val="18"/>
                <w:szCs w:val="18"/>
              </w:rPr>
            </w:pPr>
            <w:r w:rsidRPr="507D76BB" w:rsidR="76D49C38">
              <w:rPr>
                <w:rFonts w:eastAsia="Times New Roman" w:cs="Times New Roman"/>
                <w:color w:val="000000" w:themeColor="text1" w:themeTint="FF" w:themeShade="FF"/>
                <w:sz w:val="18"/>
                <w:szCs w:val="18"/>
              </w:rPr>
              <w:t>Questionnaire</w:t>
            </w:r>
          </w:p>
        </w:tc>
        <w:tc>
          <w:tcPr>
            <w:tcW w:w="1290" w:type="dxa"/>
            <w:tcBorders/>
            <w:tcMar>
              <w:left w:w="90" w:type="dxa"/>
              <w:right w:w="90" w:type="dxa"/>
            </w:tcMar>
            <w:vAlign w:val="center"/>
          </w:tcPr>
          <w:p w:rsidR="51C5DE28" w:rsidP="507D76BB" w:rsidRDefault="51C5DE28" w14:paraId="07EA1C27" w14:textId="7BAB8EBA">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Not reported</w:t>
            </w:r>
          </w:p>
        </w:tc>
        <w:tc>
          <w:tcPr>
            <w:tcW w:w="1448" w:type="dxa"/>
            <w:tcBorders/>
            <w:tcMar>
              <w:left w:w="90" w:type="dxa"/>
              <w:right w:w="90" w:type="dxa"/>
            </w:tcMar>
            <w:vAlign w:val="center"/>
          </w:tcPr>
          <w:p w:rsidR="51C5DE28" w:rsidP="507D76BB" w:rsidRDefault="51C5DE28" w14:paraId="68349546" w14:textId="6A886F71">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N/A</w:t>
            </w:r>
          </w:p>
        </w:tc>
      </w:tr>
      <w:tr w:rsidR="51C5DE28" w:rsidTr="507D76BB" w14:paraId="698F9C40" w14:textId="77777777">
        <w:trPr>
          <w:trHeight w:val="300"/>
        </w:trPr>
        <w:tc>
          <w:tcPr>
            <w:tcW w:w="1245" w:type="dxa"/>
            <w:tcBorders/>
            <w:tcMar>
              <w:left w:w="90" w:type="dxa"/>
              <w:right w:w="90" w:type="dxa"/>
            </w:tcMar>
            <w:vAlign w:val="center"/>
          </w:tcPr>
          <w:p w:rsidR="51C5DE28" w:rsidP="507D76BB" w:rsidRDefault="51C5DE28" w14:paraId="5DAC4110" w14:textId="1DA1EF95">
            <w:pPr>
              <w:spacing w:after="0"/>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Healthcare related values/ End-of-life values and preferences</w:t>
            </w:r>
          </w:p>
        </w:tc>
        <w:tc>
          <w:tcPr>
            <w:tcW w:w="825" w:type="dxa"/>
            <w:tcBorders/>
            <w:tcMar>
              <w:left w:w="90" w:type="dxa"/>
              <w:right w:w="90" w:type="dxa"/>
            </w:tcMar>
            <w:vAlign w:val="center"/>
          </w:tcPr>
          <w:p w:rsidR="51C5DE28" w:rsidP="507D76BB" w:rsidRDefault="51C5DE28" w14:paraId="23A3FC97" w14:textId="0B44C56E">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65D7F504" w14:textId="79D502FA">
            <w:pPr>
              <w:jc w:val="left"/>
              <w:rPr>
                <w:rFonts w:eastAsia="Times New Roman" w:cs="Times New Roman"/>
                <w:color w:val="222222"/>
                <w:sz w:val="18"/>
                <w:szCs w:val="18"/>
              </w:rPr>
            </w:pPr>
            <w:r w:rsidRPr="507D76BB" w:rsidR="067F69CA">
              <w:rPr>
                <w:rFonts w:eastAsia="Times New Roman" w:cs="Times New Roman"/>
                <w:color w:val="222222"/>
                <w:sz w:val="18"/>
                <w:szCs w:val="18"/>
              </w:rPr>
              <w:t>Kotzé</w:t>
            </w:r>
            <w:r w:rsidRPr="507D76BB" w:rsidR="067F69CA">
              <w:rPr>
                <w:rFonts w:eastAsia="Times New Roman" w:cs="Times New Roman"/>
                <w:color w:val="222222"/>
                <w:sz w:val="18"/>
                <w:szCs w:val="18"/>
              </w:rPr>
              <w:t xml:space="preserve"> et al., 2021</w:t>
            </w:r>
          </w:p>
        </w:tc>
        <w:tc>
          <w:tcPr>
            <w:tcW w:w="2460" w:type="dxa"/>
            <w:tcBorders/>
            <w:tcMar>
              <w:left w:w="90" w:type="dxa"/>
              <w:right w:w="90" w:type="dxa"/>
            </w:tcMar>
            <w:vAlign w:val="center"/>
          </w:tcPr>
          <w:p w:rsidR="51C5DE28" w:rsidP="507D76BB" w:rsidRDefault="51C5DE28" w14:paraId="73603D98" w14:textId="565A8299">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Participants are asked to choose three valued activities from a list including being able to take care of oneself (activities of daily living), move around, live at home, think clearly, make own life decisions, have relationships with family and friends, practice religion/spiritual life, live without significant pain/ discomfort, or do specific activities/ hobbies.</w:t>
            </w:r>
          </w:p>
        </w:tc>
        <w:tc>
          <w:tcPr>
            <w:tcW w:w="870" w:type="dxa"/>
            <w:tcBorders/>
            <w:tcMar>
              <w:left w:w="90" w:type="dxa"/>
              <w:right w:w="90" w:type="dxa"/>
            </w:tcMar>
            <w:vAlign w:val="center"/>
          </w:tcPr>
          <w:p w:rsidR="51C5DE28" w:rsidP="507D76BB" w:rsidRDefault="51C5DE28" w14:paraId="17ADBD94" w14:textId="7628C8C4">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60-84</w:t>
            </w:r>
          </w:p>
        </w:tc>
        <w:tc>
          <w:tcPr>
            <w:tcW w:w="2250" w:type="dxa"/>
            <w:tcBorders/>
            <w:tcMar>
              <w:left w:w="90" w:type="dxa"/>
              <w:right w:w="90" w:type="dxa"/>
            </w:tcMar>
            <w:vAlign w:val="center"/>
          </w:tcPr>
          <w:p w:rsidR="51C5DE28" w:rsidP="507D76BB" w:rsidRDefault="51C5DE28" w14:paraId="253EAEC3" w14:textId="162B7CFD">
            <w:pPr>
              <w:pStyle w:val="ListParagraph"/>
              <w:ind w:left="360"/>
              <w:jc w:val="left"/>
              <w:rPr>
                <w:rFonts w:eastAsia="Times New Roman" w:cs="Times New Roman"/>
                <w:color w:val="000000" w:themeColor="text1"/>
                <w:sz w:val="24"/>
                <w:szCs w:val="24"/>
              </w:rPr>
            </w:pPr>
            <w:r w:rsidRPr="507D76BB" w:rsidR="5FD22FEA">
              <w:rPr>
                <w:rFonts w:eastAsia="Times New Roman" w:cs="Times New Roman"/>
                <w:color w:val="000000" w:themeColor="text1" w:themeTint="FF" w:themeShade="FF"/>
                <w:sz w:val="18"/>
                <w:szCs w:val="18"/>
              </w:rPr>
              <w:t>Unspecified m</w:t>
            </w:r>
            <w:r w:rsidRPr="507D76BB" w:rsidR="067F69CA">
              <w:rPr>
                <w:rFonts w:eastAsia="Times New Roman" w:cs="Times New Roman"/>
                <w:color w:val="000000" w:themeColor="text1" w:themeTint="FF" w:themeShade="FF"/>
                <w:sz w:val="18"/>
                <w:szCs w:val="18"/>
              </w:rPr>
              <w:t>ental health illnesses</w:t>
            </w:r>
          </w:p>
        </w:tc>
        <w:tc>
          <w:tcPr>
            <w:tcW w:w="915" w:type="dxa"/>
            <w:tcBorders/>
            <w:tcMar>
              <w:left w:w="90" w:type="dxa"/>
              <w:right w:w="90" w:type="dxa"/>
            </w:tcMar>
            <w:vAlign w:val="center"/>
          </w:tcPr>
          <w:p w:rsidR="51C5DE28" w:rsidP="507D76BB" w:rsidRDefault="51C5DE28" w14:paraId="0C1A165E" w14:textId="6559C469">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In person</w:t>
            </w:r>
          </w:p>
        </w:tc>
        <w:tc>
          <w:tcPr>
            <w:tcW w:w="1260" w:type="dxa"/>
            <w:tcBorders/>
            <w:tcMar>
              <w:left w:w="90" w:type="dxa"/>
              <w:right w:w="90" w:type="dxa"/>
            </w:tcMar>
            <w:vAlign w:val="center"/>
          </w:tcPr>
          <w:p w:rsidR="51C5DE28" w:rsidP="507D76BB" w:rsidRDefault="51C5DE28" w14:paraId="4D03AFA6" w14:textId="00CA51B6">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Semi-structured intervie</w:t>
            </w:r>
            <w:r w:rsidRPr="507D76BB" w:rsidR="27BB6B99">
              <w:rPr>
                <w:rFonts w:eastAsia="Times New Roman" w:cs="Times New Roman"/>
                <w:color w:val="000000" w:themeColor="text1" w:themeTint="FF" w:themeShade="FF"/>
                <w:sz w:val="18"/>
                <w:szCs w:val="18"/>
              </w:rPr>
              <w:t>w</w:t>
            </w:r>
            <w:r w:rsidRPr="507D76BB" w:rsidR="067F69CA">
              <w:rPr>
                <w:rFonts w:eastAsia="Times New Roman" w:cs="Times New Roman"/>
                <w:color w:val="000000" w:themeColor="text1" w:themeTint="FF" w:themeShade="FF"/>
                <w:sz w:val="18"/>
                <w:szCs w:val="18"/>
              </w:rPr>
              <w:t xml:space="preserve"> </w:t>
            </w:r>
          </w:p>
        </w:tc>
        <w:tc>
          <w:tcPr>
            <w:tcW w:w="1290" w:type="dxa"/>
            <w:tcBorders/>
            <w:tcMar>
              <w:left w:w="90" w:type="dxa"/>
              <w:right w:w="90" w:type="dxa"/>
            </w:tcMar>
            <w:vAlign w:val="center"/>
          </w:tcPr>
          <w:p w:rsidR="51C5DE28" w:rsidP="507D76BB" w:rsidRDefault="51C5DE28" w14:paraId="51ADDDE1" w14:textId="3D6D7F21">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Examiner</w:t>
            </w:r>
          </w:p>
        </w:tc>
        <w:tc>
          <w:tcPr>
            <w:tcW w:w="1448" w:type="dxa"/>
            <w:tcBorders/>
            <w:tcMar>
              <w:left w:w="90" w:type="dxa"/>
              <w:right w:w="90" w:type="dxa"/>
            </w:tcMar>
            <w:vAlign w:val="center"/>
          </w:tcPr>
          <w:p w:rsidR="51C5DE28" w:rsidP="507D76BB" w:rsidRDefault="51C5DE28" w14:paraId="4AE72BE1" w14:textId="6FEAB46E">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w:t>
            </w:r>
          </w:p>
        </w:tc>
      </w:tr>
      <w:tr w:rsidR="51C5DE28" w:rsidTr="507D76BB" w14:paraId="69F6C01D" w14:textId="77777777">
        <w:trPr>
          <w:trHeight w:val="300"/>
        </w:trPr>
        <w:tc>
          <w:tcPr>
            <w:tcW w:w="1245" w:type="dxa"/>
            <w:tcBorders/>
            <w:tcMar>
              <w:left w:w="90" w:type="dxa"/>
              <w:right w:w="90" w:type="dxa"/>
            </w:tcMar>
            <w:vAlign w:val="center"/>
          </w:tcPr>
          <w:p w:rsidR="51C5DE28" w:rsidP="507D76BB" w:rsidRDefault="51C5DE28" w14:paraId="3F97BC74" w14:textId="3EB1446D">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Willingness to Accept Life-sustaining Treatment (WALT)</w:t>
            </w:r>
          </w:p>
        </w:tc>
        <w:tc>
          <w:tcPr>
            <w:tcW w:w="825" w:type="dxa"/>
            <w:tcBorders/>
            <w:tcMar>
              <w:left w:w="90" w:type="dxa"/>
              <w:right w:w="90" w:type="dxa"/>
            </w:tcMar>
            <w:vAlign w:val="center"/>
          </w:tcPr>
          <w:p w:rsidR="51C5DE28" w:rsidP="507D76BB" w:rsidRDefault="51C5DE28" w14:paraId="2752A678" w14:textId="55842BB0">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7641CB5E" w14:textId="7F34ADE6">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Batteux et al., 2020</w:t>
            </w:r>
          </w:p>
        </w:tc>
        <w:tc>
          <w:tcPr>
            <w:tcW w:w="2460" w:type="dxa"/>
            <w:tcBorders/>
            <w:tcMar>
              <w:left w:w="90" w:type="dxa"/>
              <w:right w:w="90" w:type="dxa"/>
            </w:tcMar>
            <w:vAlign w:val="center"/>
          </w:tcPr>
          <w:p w:rsidR="51C5DE28" w:rsidP="507D76BB" w:rsidRDefault="51C5DE28" w14:paraId="566A692C" w14:textId="7D4572BE">
            <w:pPr>
              <w:jc w:val="left"/>
              <w:rPr>
                <w:rFonts w:eastAsia="Times New Roman" w:cs="Times New Roman"/>
                <w:color w:val="222222"/>
                <w:sz w:val="18"/>
                <w:szCs w:val="18"/>
              </w:rPr>
            </w:pPr>
            <w:r w:rsidRPr="507D76BB" w:rsidR="067F69CA">
              <w:rPr>
                <w:rFonts w:eastAsia="Times New Roman" w:cs="Times New Roman"/>
                <w:color w:val="222222"/>
                <w:sz w:val="18"/>
                <w:szCs w:val="18"/>
              </w:rPr>
              <w:t>Three vignettes present life-threatening situations in which the probability that treatment will work ranges from 10 to 90 percent. Vignettes included a death scenario, a functional impairment scenario (bedbound), and a cognitive impairment scenario. Participants answered whether they would accept life-sustaining treatment for these scenarios for themselves and for their partner.</w:t>
            </w:r>
          </w:p>
        </w:tc>
        <w:tc>
          <w:tcPr>
            <w:tcW w:w="870" w:type="dxa"/>
            <w:tcBorders/>
            <w:tcMar>
              <w:left w:w="90" w:type="dxa"/>
              <w:right w:w="90" w:type="dxa"/>
            </w:tcMar>
            <w:vAlign w:val="center"/>
          </w:tcPr>
          <w:p w:rsidR="51C5DE28" w:rsidP="507D76BB" w:rsidRDefault="51C5DE28" w14:paraId="023D4910" w14:textId="0F0C6039">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59-81</w:t>
            </w:r>
          </w:p>
        </w:tc>
        <w:tc>
          <w:tcPr>
            <w:tcW w:w="2250" w:type="dxa"/>
            <w:tcBorders/>
            <w:tcMar>
              <w:left w:w="90" w:type="dxa"/>
              <w:right w:w="90" w:type="dxa"/>
            </w:tcMar>
            <w:vAlign w:val="center"/>
          </w:tcPr>
          <w:p w:rsidR="51C5DE28" w:rsidP="507D76BB" w:rsidRDefault="51C5DE28" w14:paraId="5D7D87BF" w14:textId="2F49ACD3">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None</w:t>
            </w:r>
          </w:p>
        </w:tc>
        <w:tc>
          <w:tcPr>
            <w:tcW w:w="915" w:type="dxa"/>
            <w:tcBorders/>
            <w:tcMar>
              <w:left w:w="90" w:type="dxa"/>
              <w:right w:w="90" w:type="dxa"/>
            </w:tcMar>
            <w:vAlign w:val="center"/>
          </w:tcPr>
          <w:p w:rsidR="51C5DE28" w:rsidP="507D76BB" w:rsidRDefault="51C5DE28" w14:paraId="6384D9A6" w14:textId="12AB1279">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In person</w:t>
            </w:r>
          </w:p>
        </w:tc>
        <w:tc>
          <w:tcPr>
            <w:tcW w:w="1260" w:type="dxa"/>
            <w:tcBorders/>
            <w:tcMar>
              <w:left w:w="90" w:type="dxa"/>
              <w:right w:w="90" w:type="dxa"/>
            </w:tcMar>
            <w:vAlign w:val="center"/>
          </w:tcPr>
          <w:p w:rsidR="51C5DE28" w:rsidP="507D76BB" w:rsidRDefault="51C5DE28" w14:paraId="41860F17" w14:textId="6B2D02B7">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Semi-structured interview</w:t>
            </w:r>
            <w:r w:rsidRPr="507D76BB" w:rsidR="4C0AF2D0">
              <w:rPr>
                <w:rFonts w:eastAsia="Times New Roman" w:cs="Times New Roman"/>
                <w:color w:val="000000" w:themeColor="text1" w:themeTint="FF" w:themeShade="FF"/>
                <w:sz w:val="18"/>
                <w:szCs w:val="18"/>
              </w:rPr>
              <w:t xml:space="preserve"> (w/ </w:t>
            </w:r>
            <w:r w:rsidRPr="507D76BB" w:rsidR="465FC5A2">
              <w:rPr>
                <w:rFonts w:eastAsia="Times New Roman" w:cs="Times New Roman"/>
                <w:color w:val="000000" w:themeColor="text1" w:themeTint="FF" w:themeShade="FF"/>
                <w:sz w:val="18"/>
                <w:szCs w:val="18"/>
              </w:rPr>
              <w:t>vignettes</w:t>
            </w:r>
            <w:r w:rsidRPr="507D76BB" w:rsidR="4C0AF2D0">
              <w:rPr>
                <w:rFonts w:eastAsia="Times New Roman" w:cs="Times New Roman"/>
                <w:color w:val="000000" w:themeColor="text1" w:themeTint="FF" w:themeShade="FF"/>
                <w:sz w:val="18"/>
                <w:szCs w:val="18"/>
              </w:rPr>
              <w:t>)</w:t>
            </w:r>
            <w:r w:rsidRPr="507D76BB" w:rsidR="067F69CA">
              <w:rPr>
                <w:rFonts w:eastAsia="Times New Roman" w:cs="Times New Roman"/>
                <w:color w:val="000000" w:themeColor="text1" w:themeTint="FF" w:themeShade="FF"/>
                <w:sz w:val="18"/>
                <w:szCs w:val="18"/>
              </w:rPr>
              <w:t xml:space="preserve"> </w:t>
            </w:r>
          </w:p>
        </w:tc>
        <w:tc>
          <w:tcPr>
            <w:tcW w:w="1290" w:type="dxa"/>
            <w:tcBorders/>
            <w:tcMar>
              <w:left w:w="90" w:type="dxa"/>
              <w:right w:w="90" w:type="dxa"/>
            </w:tcMar>
            <w:vAlign w:val="center"/>
          </w:tcPr>
          <w:p w:rsidR="51C5DE28" w:rsidP="507D76BB" w:rsidRDefault="51C5DE28" w14:paraId="7A9AFF99" w14:textId="6AE0A8A0">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Examiner</w:t>
            </w:r>
          </w:p>
        </w:tc>
        <w:tc>
          <w:tcPr>
            <w:tcW w:w="1448" w:type="dxa"/>
            <w:tcBorders/>
            <w:tcMar>
              <w:left w:w="90" w:type="dxa"/>
              <w:right w:w="90" w:type="dxa"/>
            </w:tcMar>
            <w:vAlign w:val="center"/>
          </w:tcPr>
          <w:p w:rsidR="51C5DE28" w:rsidP="507D76BB" w:rsidRDefault="51C5DE28" w14:paraId="15284605" w14:textId="0E8DE1DB">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 and surrogate (their partner)</w:t>
            </w:r>
          </w:p>
        </w:tc>
      </w:tr>
      <w:tr w:rsidR="51C5DE28" w:rsidTr="507D76BB" w14:paraId="4C18BF38" w14:textId="77777777">
        <w:trPr>
          <w:trHeight w:val="300"/>
        </w:trPr>
        <w:tc>
          <w:tcPr>
            <w:tcW w:w="1245" w:type="dxa"/>
            <w:tcBorders/>
            <w:tcMar>
              <w:left w:w="90" w:type="dxa"/>
              <w:right w:w="90" w:type="dxa"/>
            </w:tcMar>
            <w:vAlign w:val="center"/>
          </w:tcPr>
          <w:p w:rsidR="51C5DE28" w:rsidP="507D76BB" w:rsidRDefault="51C5DE28" w14:paraId="4EDEC181" w14:textId="40352938">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Goals of Care </w:t>
            </w:r>
          </w:p>
        </w:tc>
        <w:tc>
          <w:tcPr>
            <w:tcW w:w="825" w:type="dxa"/>
            <w:tcBorders/>
            <w:tcMar>
              <w:left w:w="90" w:type="dxa"/>
              <w:right w:w="90" w:type="dxa"/>
            </w:tcMar>
            <w:vAlign w:val="center"/>
          </w:tcPr>
          <w:p w:rsidR="51C5DE28" w:rsidP="507D76BB" w:rsidRDefault="51C5DE28" w14:paraId="04A0895F" w14:textId="7996BB05">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1</w:t>
            </w:r>
          </w:p>
        </w:tc>
        <w:tc>
          <w:tcPr>
            <w:tcW w:w="1140" w:type="dxa"/>
            <w:tcBorders/>
            <w:tcMar>
              <w:left w:w="90" w:type="dxa"/>
              <w:right w:w="90" w:type="dxa"/>
            </w:tcMar>
            <w:vAlign w:val="center"/>
          </w:tcPr>
          <w:p w:rsidR="51C5DE28" w:rsidP="507D76BB" w:rsidRDefault="51C5DE28" w14:paraId="738AA53B" w14:textId="0EA5C1FE">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Song et al., 2019</w:t>
            </w:r>
          </w:p>
        </w:tc>
        <w:tc>
          <w:tcPr>
            <w:tcW w:w="2460" w:type="dxa"/>
            <w:tcBorders/>
            <w:tcMar>
              <w:left w:w="90" w:type="dxa"/>
              <w:right w:w="90" w:type="dxa"/>
            </w:tcMar>
            <w:vAlign w:val="center"/>
          </w:tcPr>
          <w:p w:rsidR="51C5DE28" w:rsidP="507D76BB" w:rsidRDefault="51C5DE28" w14:paraId="1390561A" w14:textId="68384B34">
            <w:pPr>
              <w:spacing w:after="0"/>
              <w:jc w:val="left"/>
              <w:rPr>
                <w:rFonts w:eastAsia="Times New Roman" w:cs="Times New Roman"/>
                <w:color w:val="222222"/>
                <w:sz w:val="18"/>
                <w:szCs w:val="18"/>
              </w:rPr>
            </w:pPr>
            <w:r w:rsidRPr="507D76BB" w:rsidR="067F69CA">
              <w:rPr>
                <w:rFonts w:eastAsia="Times New Roman" w:cs="Times New Roman"/>
                <w:color w:val="222222"/>
                <w:sz w:val="18"/>
                <w:szCs w:val="18"/>
              </w:rPr>
              <w:t xml:space="preserve">Two vignettes are presented in which the responses include the following goals of care: delaying death as long as possible, focusing on treatment options that emphasize comfort and peace, or uncertainty. </w:t>
            </w:r>
          </w:p>
        </w:tc>
        <w:tc>
          <w:tcPr>
            <w:tcW w:w="870" w:type="dxa"/>
            <w:tcBorders/>
            <w:tcMar>
              <w:left w:w="90" w:type="dxa"/>
              <w:right w:w="90" w:type="dxa"/>
            </w:tcMar>
            <w:vAlign w:val="center"/>
          </w:tcPr>
          <w:p w:rsidR="51C5DE28" w:rsidP="507D76BB" w:rsidRDefault="51C5DE28" w14:paraId="2A4ADD57" w14:textId="41473CFA">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55-85+</w:t>
            </w:r>
          </w:p>
        </w:tc>
        <w:tc>
          <w:tcPr>
            <w:tcW w:w="2250" w:type="dxa"/>
            <w:tcBorders/>
            <w:tcMar>
              <w:left w:w="90" w:type="dxa"/>
              <w:right w:w="90" w:type="dxa"/>
            </w:tcMar>
            <w:vAlign w:val="center"/>
          </w:tcPr>
          <w:p w:rsidR="51C5DE28" w:rsidP="507D76BB" w:rsidRDefault="51C5DE28" w14:paraId="11A1C95C" w14:textId="578C99D3">
            <w:pPr>
              <w:pStyle w:val="ListParagraph"/>
              <w:suppressLineNumbers w:val="0"/>
              <w:bidi w:val="0"/>
              <w:spacing w:before="120" w:beforeAutospacing="off" w:after="240" w:afterAutospacing="off" w:line="240" w:lineRule="auto"/>
              <w:ind w:left="360" w:right="0"/>
              <w:jc w:val="left"/>
              <w:rPr>
                <w:rFonts w:eastAsia="Times New Roman" w:cs="Times New Roman"/>
                <w:color w:val="000000" w:themeColor="text1" w:themeTint="FF" w:themeShade="FF"/>
                <w:sz w:val="24"/>
                <w:szCs w:val="24"/>
              </w:rPr>
            </w:pPr>
            <w:r w:rsidRPr="507D76BB" w:rsidR="2F42C4D6">
              <w:rPr>
                <w:rFonts w:eastAsia="Times New Roman" w:cs="Times New Roman"/>
                <w:color w:val="000000" w:themeColor="text1" w:themeTint="FF" w:themeShade="FF"/>
                <w:sz w:val="18"/>
                <w:szCs w:val="18"/>
              </w:rPr>
              <w:t>Dementia</w:t>
            </w:r>
          </w:p>
        </w:tc>
        <w:tc>
          <w:tcPr>
            <w:tcW w:w="915" w:type="dxa"/>
            <w:tcBorders/>
            <w:tcMar>
              <w:left w:w="90" w:type="dxa"/>
              <w:right w:w="90" w:type="dxa"/>
            </w:tcMar>
            <w:vAlign w:val="center"/>
          </w:tcPr>
          <w:p w:rsidR="51C5DE28" w:rsidP="507D76BB" w:rsidRDefault="51C5DE28" w14:paraId="57466054" w14:textId="7DCAE98B">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Hybrid</w:t>
            </w:r>
          </w:p>
        </w:tc>
        <w:tc>
          <w:tcPr>
            <w:tcW w:w="1260" w:type="dxa"/>
            <w:tcBorders/>
            <w:tcMar>
              <w:left w:w="90" w:type="dxa"/>
              <w:right w:w="90" w:type="dxa"/>
            </w:tcMar>
            <w:vAlign w:val="center"/>
          </w:tcPr>
          <w:p w:rsidR="51C5DE28" w:rsidP="507D76BB" w:rsidRDefault="51C5DE28" w14:paraId="7C494B9F" w14:textId="5F5E136F">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Semi-structured interview</w:t>
            </w:r>
            <w:r w:rsidRPr="507D76BB" w:rsidR="0C6E91D8">
              <w:rPr>
                <w:rFonts w:eastAsia="Times New Roman" w:cs="Times New Roman"/>
                <w:color w:val="000000" w:themeColor="text1" w:themeTint="FF" w:themeShade="FF"/>
                <w:sz w:val="18"/>
                <w:szCs w:val="18"/>
              </w:rPr>
              <w:t xml:space="preserve"> (w/ vignette)</w:t>
            </w:r>
            <w:r w:rsidRPr="507D76BB" w:rsidR="067F69CA">
              <w:rPr>
                <w:rFonts w:eastAsia="Times New Roman" w:cs="Times New Roman"/>
                <w:color w:val="000000" w:themeColor="text1" w:themeTint="FF" w:themeShade="FF"/>
                <w:sz w:val="18"/>
                <w:szCs w:val="18"/>
              </w:rPr>
              <w:t xml:space="preserve"> </w:t>
            </w:r>
          </w:p>
        </w:tc>
        <w:tc>
          <w:tcPr>
            <w:tcW w:w="1290" w:type="dxa"/>
            <w:tcBorders/>
            <w:tcMar>
              <w:left w:w="90" w:type="dxa"/>
              <w:right w:w="90" w:type="dxa"/>
            </w:tcMar>
            <w:vAlign w:val="center"/>
          </w:tcPr>
          <w:p w:rsidR="51C5DE28" w:rsidP="507D76BB" w:rsidRDefault="51C5DE28" w14:paraId="25165225" w14:textId="0B3C9948">
            <w:pPr>
              <w:jc w:val="left"/>
              <w:rPr>
                <w:rFonts w:eastAsia="Times New Roman" w:cs="Times New Roman"/>
                <w:color w:val="000000" w:themeColor="text1"/>
                <w:sz w:val="18"/>
                <w:szCs w:val="18"/>
              </w:rPr>
            </w:pPr>
            <w:r w:rsidRPr="507D76BB" w:rsidR="067F69CA">
              <w:rPr>
                <w:rFonts w:eastAsia="Times New Roman" w:cs="Times New Roman"/>
                <w:color w:val="000000" w:themeColor="text1" w:themeTint="FF" w:themeShade="FF"/>
                <w:sz w:val="18"/>
                <w:szCs w:val="18"/>
              </w:rPr>
              <w:t xml:space="preserve">Examiner </w:t>
            </w:r>
          </w:p>
        </w:tc>
        <w:tc>
          <w:tcPr>
            <w:tcW w:w="1448" w:type="dxa"/>
            <w:tcBorders/>
            <w:tcMar>
              <w:left w:w="90" w:type="dxa"/>
              <w:right w:w="90" w:type="dxa"/>
            </w:tcMar>
            <w:vAlign w:val="center"/>
          </w:tcPr>
          <w:p w:rsidR="51C5DE28" w:rsidP="507D76BB" w:rsidRDefault="51C5DE28" w14:paraId="3EB46CB4" w14:textId="4D35A490">
            <w:pPr>
              <w:pStyle w:val="ListParagraph"/>
              <w:ind w:left="360"/>
              <w:jc w:val="left"/>
              <w:rPr>
                <w:rFonts w:eastAsia="Times New Roman" w:cs="Times New Roman"/>
                <w:color w:val="000000" w:themeColor="text1"/>
                <w:sz w:val="24"/>
                <w:szCs w:val="24"/>
              </w:rPr>
            </w:pPr>
            <w:r w:rsidRPr="507D76BB" w:rsidR="067F69CA">
              <w:rPr>
                <w:rFonts w:eastAsia="Times New Roman" w:cs="Times New Roman"/>
                <w:color w:val="000000" w:themeColor="text1" w:themeTint="FF" w:themeShade="FF"/>
                <w:sz w:val="18"/>
                <w:szCs w:val="18"/>
              </w:rPr>
              <w:t>Patient and family caregiver</w:t>
            </w:r>
          </w:p>
        </w:tc>
      </w:tr>
    </w:tbl>
    <w:p w:rsidR="51C5DE28" w:rsidP="51C5DE28" w:rsidRDefault="51C5DE28" w14:paraId="1469FE11" w14:textId="486084EB">
      <w:pPr>
        <w:spacing w:beforeAutospacing="1" w:afterAutospacing="1"/>
        <w:jc w:val="both"/>
        <w:rPr>
          <w:rFonts w:eastAsia="Times New Roman" w:cs="Times New Roman"/>
          <w:lang w:val="en-GB" w:eastAsia="en-GB"/>
        </w:rPr>
      </w:pPr>
    </w:p>
    <w:p w:rsidRPr="001549D3" w:rsidR="00994A3D" w:rsidP="00994A3D" w:rsidRDefault="00994A3D" w14:paraId="4916FCC9" w14:textId="77777777">
      <w:pPr>
        <w:keepNext/>
        <w:rPr>
          <w:rFonts w:cs="Times New Roman"/>
          <w:szCs w:val="24"/>
        </w:rPr>
      </w:pPr>
    </w:p>
    <w:p w:rsidRPr="001549D3" w:rsidR="00DE23E8" w:rsidP="00654E8F" w:rsidRDefault="00DE23E8" w14:paraId="58F1AED1" w14:textId="77777777">
      <w:pPr>
        <w:spacing w:before="240"/>
      </w:pPr>
    </w:p>
    <w:sectPr w:rsidRPr="001549D3" w:rsidR="00DE23E8" w:rsidSect="0093429D">
      <w:headerReference w:type="even" r:id="rId11"/>
      <w:footerReference w:type="even" r:id="rId12"/>
      <w:footerReference w:type="default" r:id="rId13"/>
      <w:headerReference w:type="first" r:id="rId14"/>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2D47" w:rsidP="00117666" w:rsidRDefault="003D2D47" w14:paraId="416AD8FC" w14:textId="77777777">
      <w:pPr>
        <w:spacing w:after="0"/>
      </w:pPr>
      <w:r>
        <w:separator/>
      </w:r>
    </w:p>
  </w:endnote>
  <w:endnote w:type="continuationSeparator" w:id="0">
    <w:p w:rsidR="003D2D47" w:rsidP="00117666" w:rsidRDefault="003D2D47" w14:paraId="68A94BCB" w14:textId="77777777">
      <w:pPr>
        <w:spacing w:after="0"/>
      </w:pPr>
      <w:r>
        <w:continuationSeparator/>
      </w:r>
    </w:p>
  </w:endnote>
  <w:endnote w:type="continuationNotice" w:id="1">
    <w:p w:rsidR="005F28E7" w:rsidRDefault="005F28E7" w14:paraId="4BA1CF96"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577C4C" w:rsidR="001A4450" w:rsidRDefault="00C52A7B" w14:paraId="6314AB28" w14:textId="77777777">
    <w:pPr>
      <w:rPr>
        <w:color w:val="C00000"/>
        <w:szCs w:val="24"/>
      </w:rPr>
    </w:pPr>
    <w:r>
      <w:rPr>
        <w:noProof/>
        <w:lang w:val="en-GB" w:eastAsia="en-GB"/>
      </w:rPr>
      <mc:AlternateContent>
        <mc:Choice Requires="wps">
          <w:drawing>
            <wp:anchor distT="0" distB="0" distL="114300" distR="114300" simplePos="0" relativeHeight="251658241"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Pr="00577C4C" w:rsidR="001A4450" w:rsidRDefault="00C52A7B" w14:paraId="4D054D26" w14:textId="7777777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0A152CD">
              <v:stroke joinstyle="miter"/>
              <v:path gradientshapeok="t" o:connecttype="rect"/>
            </v:shapetype>
            <v:shape id="Text Box 1"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v:textbox style="mso-fit-shape-to-text:t">
                <w:txbxContent>
                  <w:p w:rsidRPr="00577C4C" w:rsidR="001A4450" w:rsidRDefault="00C52A7B" w14:paraId="4D054D26" w14:textId="7777777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577C4C" w:rsidR="001A4450" w:rsidRDefault="00C52A7B" w14:paraId="6322FF27" w14:textId="77777777">
    <w:pPr>
      <w:rPr>
        <w:b/>
        <w:sz w:val="20"/>
        <w:szCs w:val="24"/>
      </w:rPr>
    </w:pPr>
    <w:r>
      <w:rPr>
        <w:noProof/>
        <w:lang w:val="en-GB" w:eastAsia="en-GB"/>
      </w:rPr>
      <mc:AlternateContent>
        <mc:Choice Requires="wps">
          <w:drawing>
            <wp:anchor distT="0" distB="0" distL="114300" distR="114300" simplePos="0" relativeHeight="251658240"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Pr="00577C4C" w:rsidR="001A4450" w:rsidRDefault="00C52A7B" w14:paraId="085E15EB" w14:textId="7777777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151A55C">
              <v:stroke joinstyle="miter"/>
              <v:path gradientshapeok="t" o:connecttype="rect"/>
            </v:shapetype>
            <v:shape id="Text Box 56"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v:textbox style="mso-fit-shape-to-text:t">
                <w:txbxContent>
                  <w:p w:rsidRPr="00577C4C" w:rsidR="001A4450" w:rsidRDefault="00C52A7B" w14:paraId="085E15EB" w14:textId="7777777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2D47" w:rsidP="00117666" w:rsidRDefault="003D2D47" w14:paraId="4BBB35AC" w14:textId="77777777">
      <w:pPr>
        <w:spacing w:after="0"/>
      </w:pPr>
      <w:r>
        <w:separator/>
      </w:r>
    </w:p>
  </w:footnote>
  <w:footnote w:type="continuationSeparator" w:id="0">
    <w:p w:rsidR="003D2D47" w:rsidP="00117666" w:rsidRDefault="003D2D47" w14:paraId="6A0AA9D1" w14:textId="77777777">
      <w:pPr>
        <w:spacing w:after="0"/>
      </w:pPr>
      <w:r>
        <w:continuationSeparator/>
      </w:r>
    </w:p>
  </w:footnote>
  <w:footnote w:type="continuationNotice" w:id="1">
    <w:p w:rsidR="005F28E7" w:rsidRDefault="005F28E7" w14:paraId="09B92093"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151AA" w:rsidR="001A4450" w:rsidRDefault="00C52A7B" w14:paraId="2531EDBA" w14:textId="77777777">
    <w:pPr>
      <w:rPr>
        <w:rFonts w:cs="Times New Roman"/>
      </w:rPr>
    </w:pPr>
    <w:r w:rsidRPr="009151AA">
      <w:rPr>
        <w:rFonts w:cs="Times New Roman"/>
      </w:rPr>
      <w:ptab w:alignment="center" w:relativeTo="margin" w:leader="none"/>
    </w:r>
    <w:r w:rsidRPr="009151AA">
      <w:rPr>
        <w:rFonts w:cs="Times New Roman"/>
      </w:rPr>
      <w:ptab w:alignment="right" w:relativeTo="margin" w:leader="none"/>
    </w:r>
    <w:r w:rsidRPr="009151AA" w:rsidR="001549D3">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A4450" w:rsidP="0093429D" w:rsidRDefault="0093429D" w14:paraId="25711A5B" w14:textId="77777777">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sidR="00C52A7B">
      <w:rPr>
        <w:b/>
      </w:rPr>
      <w:ptab w:alignment="center" w:relativeTo="margin"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5">
    <w:nsid w:val="34d36f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1dc9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667fc0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202478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17c523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1dea24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732e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4d7118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7b244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ec8f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364ad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bcf0d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5e8156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503744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d6e77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2567c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ec414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5994a0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c170c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6516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3f87a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c1977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f3002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96a87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9c21d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f35c5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db843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17c72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32901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56ec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20c8c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2b0bc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bacd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ea2c9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9b8f2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b23d3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afb84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0e3b0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f1c4c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849d4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8fcf4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9b067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ba3cb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35ff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eb090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39dee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9348c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83c9d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97de0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fa6a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4562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61966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d6e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1f4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a9537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f31b9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d77c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5cf7a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ascii="Times New Roman" w:hAnsi="Times New Roman"/>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86E315"/>
    <w:multiLevelType w:val="hybridMultilevel"/>
    <w:tmpl w:val="29728236"/>
    <w:lvl w:ilvl="0" w:tplc="E2F20D0A">
      <w:start w:val="1"/>
      <w:numFmt w:val="decimal"/>
      <w:lvlText w:val="%1"/>
      <w:lvlJc w:val="left"/>
      <w:pPr>
        <w:ind w:left="720" w:hanging="360"/>
      </w:pPr>
    </w:lvl>
    <w:lvl w:ilvl="1" w:tplc="AD7C0880">
      <w:start w:val="1"/>
      <w:numFmt w:val="lowerLetter"/>
      <w:lvlText w:val="%2."/>
      <w:lvlJc w:val="left"/>
      <w:pPr>
        <w:ind w:left="1440" w:hanging="360"/>
      </w:pPr>
    </w:lvl>
    <w:lvl w:ilvl="2" w:tplc="58F4E8F0">
      <w:start w:val="1"/>
      <w:numFmt w:val="lowerRoman"/>
      <w:lvlText w:val="%3."/>
      <w:lvlJc w:val="right"/>
      <w:pPr>
        <w:ind w:left="2160" w:hanging="180"/>
      </w:pPr>
    </w:lvl>
    <w:lvl w:ilvl="3" w:tplc="F12EFC34">
      <w:start w:val="1"/>
      <w:numFmt w:val="decimal"/>
      <w:lvlText w:val="%4."/>
      <w:lvlJc w:val="left"/>
      <w:pPr>
        <w:ind w:left="2880" w:hanging="360"/>
      </w:pPr>
    </w:lvl>
    <w:lvl w:ilvl="4" w:tplc="F6EE8D78">
      <w:start w:val="1"/>
      <w:numFmt w:val="lowerLetter"/>
      <w:lvlText w:val="%5."/>
      <w:lvlJc w:val="left"/>
      <w:pPr>
        <w:ind w:left="3600" w:hanging="360"/>
      </w:pPr>
    </w:lvl>
    <w:lvl w:ilvl="5" w:tplc="AB4067BA">
      <w:start w:val="1"/>
      <w:numFmt w:val="lowerRoman"/>
      <w:lvlText w:val="%6."/>
      <w:lvlJc w:val="right"/>
      <w:pPr>
        <w:ind w:left="4320" w:hanging="180"/>
      </w:pPr>
    </w:lvl>
    <w:lvl w:ilvl="6" w:tplc="A2482BDC">
      <w:start w:val="1"/>
      <w:numFmt w:val="decimal"/>
      <w:lvlText w:val="%7."/>
      <w:lvlJc w:val="left"/>
      <w:pPr>
        <w:ind w:left="5040" w:hanging="360"/>
      </w:pPr>
    </w:lvl>
    <w:lvl w:ilvl="7" w:tplc="0A0A5EF6">
      <w:start w:val="1"/>
      <w:numFmt w:val="lowerLetter"/>
      <w:lvlText w:val="%8."/>
      <w:lvlJc w:val="left"/>
      <w:pPr>
        <w:ind w:left="5760" w:hanging="360"/>
      </w:pPr>
    </w:lvl>
    <w:lvl w:ilvl="8" w:tplc="5A364906">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78">
    <w:abstractNumId w:val="65"/>
  </w:num>
  <w:num w:numId="77">
    <w:abstractNumId w:val="64"/>
  </w:num>
  <w:num w:numId="76">
    <w:abstractNumId w:val="63"/>
  </w:num>
  <w:num w:numId="75">
    <w:abstractNumId w:val="62"/>
  </w:num>
  <w:num w:numId="74">
    <w:abstractNumId w:val="61"/>
  </w:num>
  <w:num w:numId="73">
    <w:abstractNumId w:val="60"/>
  </w:num>
  <w:num w:numId="72">
    <w:abstractNumId w:val="59"/>
  </w:num>
  <w:num w:numId="71">
    <w:abstractNumId w:val="58"/>
  </w:num>
  <w:num w:numId="70">
    <w:abstractNumId w:val="57"/>
  </w:num>
  <w:num w:numId="69">
    <w:abstractNumId w:val="56"/>
  </w:num>
  <w:num w:numId="68">
    <w:abstractNumId w:val="55"/>
  </w:num>
  <w:num w:numId="67">
    <w:abstractNumId w:val="54"/>
  </w:num>
  <w:num w:numId="66">
    <w:abstractNumId w:val="53"/>
  </w:num>
  <w:num w:numId="65">
    <w:abstractNumId w:val="52"/>
  </w:num>
  <w:num w:numId="64">
    <w:abstractNumId w:val="51"/>
  </w:num>
  <w:num w:numId="63">
    <w:abstractNumId w:val="50"/>
  </w:num>
  <w:num w:numId="62">
    <w:abstractNumId w:val="49"/>
  </w:num>
  <w:num w:numId="61">
    <w:abstractNumId w:val="48"/>
  </w:num>
  <w:num w:numId="60">
    <w:abstractNumId w:val="47"/>
  </w:num>
  <w:num w:numId="59">
    <w:abstractNumId w:val="46"/>
  </w:num>
  <w:num w:numId="58">
    <w:abstractNumId w:val="45"/>
  </w:num>
  <w:num w:numId="57">
    <w:abstractNumId w:val="44"/>
  </w:num>
  <w:num w:numId="56">
    <w:abstractNumId w:val="43"/>
  </w:num>
  <w:num w:numId="55">
    <w:abstractNumId w:val="42"/>
  </w:num>
  <w:num w:numId="54">
    <w:abstractNumId w:val="41"/>
  </w:num>
  <w:num w:numId="53">
    <w:abstractNumId w:val="40"/>
  </w:num>
  <w:num w:numId="52">
    <w:abstractNumId w:val="39"/>
  </w:num>
  <w:num w:numId="51">
    <w:abstractNumId w:val="38"/>
  </w:num>
  <w:num w:numId="50">
    <w:abstractNumId w:val="37"/>
  </w:num>
  <w:num w:numId="49">
    <w:abstractNumId w:val="36"/>
  </w:num>
  <w:num w:numId="48">
    <w:abstractNumId w:val="35"/>
  </w:num>
  <w:num w:numId="47">
    <w:abstractNumId w:val="34"/>
  </w:num>
  <w:num w:numId="46">
    <w:abstractNumId w:val="33"/>
  </w:num>
  <w:num w:numId="45">
    <w:abstractNumId w:val="32"/>
  </w:num>
  <w:num w:numId="44">
    <w:abstractNumId w:val="31"/>
  </w:num>
  <w:num w:numId="43">
    <w:abstractNumId w:val="30"/>
  </w:num>
  <w:num w:numId="42">
    <w:abstractNumId w:val="29"/>
  </w:num>
  <w:num w:numId="41">
    <w:abstractNumId w:val="28"/>
  </w:num>
  <w:num w:numId="40">
    <w:abstractNumId w:val="27"/>
  </w:num>
  <w:num w:numId="39">
    <w:abstractNumId w:val="26"/>
  </w:num>
  <w:num w:numId="38">
    <w:abstractNumId w:val="25"/>
  </w:num>
  <w:num w:numId="37">
    <w:abstractNumId w:val="24"/>
  </w:num>
  <w:num w:numId="36">
    <w:abstractNumId w:val="23"/>
  </w:num>
  <w:num w:numId="35">
    <w:abstractNumId w:val="22"/>
  </w:num>
  <w:num w:numId="34">
    <w:abstractNumId w:val="21"/>
  </w:num>
  <w:num w:numId="33">
    <w:abstractNumId w:val="20"/>
  </w:num>
  <w:num w:numId="32">
    <w:abstractNumId w:val="19"/>
  </w:num>
  <w:num w:numId="31">
    <w:abstractNumId w:val="18"/>
  </w:num>
  <w:num w:numId="30">
    <w:abstractNumId w:val="17"/>
  </w:num>
  <w:num w:numId="29">
    <w:abstractNumId w:val="16"/>
  </w:num>
  <w:num w:numId="28">
    <w:abstractNumId w:val="15"/>
  </w:num>
  <w:num w:numId="27">
    <w:abstractNumId w:val="14"/>
  </w:num>
  <w:num w:numId="26">
    <w:abstractNumId w:val="13"/>
  </w:num>
  <w:num w:numId="25">
    <w:abstractNumId w:val="12"/>
  </w:num>
  <w:num w:numId="24">
    <w:abstractNumId w:val="11"/>
  </w:num>
  <w:num w:numId="23">
    <w:abstractNumId w:val="10"/>
  </w:num>
  <w:num w:numId="22">
    <w:abstractNumId w:val="9"/>
  </w:num>
  <w:num w:numId="21">
    <w:abstractNumId w:val="8"/>
  </w:num>
  <w:num w:numId="1" w16cid:durableId="196048626">
    <w:abstractNumId w:val="5"/>
  </w:num>
  <w:num w:numId="2" w16cid:durableId="1821115517">
    <w:abstractNumId w:val="0"/>
  </w:num>
  <w:num w:numId="3" w16cid:durableId="1683165481">
    <w:abstractNumId w:val="4"/>
  </w:num>
  <w:num w:numId="4" w16cid:durableId="615480040">
    <w:abstractNumId w:val="1"/>
  </w:num>
  <w:num w:numId="5" w16cid:durableId="1566183234">
    <w:abstractNumId w:val="6"/>
  </w:num>
  <w:num w:numId="6"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9223692">
    <w:abstractNumId w:val="3"/>
  </w:num>
  <w:num w:numId="8" w16cid:durableId="1359550598">
    <w:abstractNumId w:val="7"/>
  </w:num>
  <w:num w:numId="9" w16cid:durableId="1559510671">
    <w:abstractNumId w:val="7"/>
  </w:num>
  <w:num w:numId="10" w16cid:durableId="1734543462">
    <w:abstractNumId w:val="7"/>
  </w:num>
  <w:num w:numId="11" w16cid:durableId="708839681">
    <w:abstractNumId w:val="7"/>
  </w:num>
  <w:num w:numId="12" w16cid:durableId="2046978920">
    <w:abstractNumId w:val="7"/>
  </w:num>
  <w:num w:numId="13" w16cid:durableId="2124614653">
    <w:abstractNumId w:val="7"/>
  </w:num>
  <w:num w:numId="14" w16cid:durableId="150105246">
    <w:abstractNumId w:val="3"/>
  </w:num>
  <w:num w:numId="15" w16cid:durableId="515769853">
    <w:abstractNumId w:val="2"/>
  </w:num>
  <w:num w:numId="16" w16cid:durableId="1753046014">
    <w:abstractNumId w:val="2"/>
  </w:num>
  <w:num w:numId="17" w16cid:durableId="665939894">
    <w:abstractNumId w:val="2"/>
  </w:num>
  <w:num w:numId="18" w16cid:durableId="2078749421">
    <w:abstractNumId w:val="2"/>
  </w:num>
  <w:num w:numId="19" w16cid:durableId="825047625">
    <w:abstractNumId w:val="2"/>
  </w:num>
  <w:num w:numId="20"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01A64"/>
    <w:rsid w:val="0001436A"/>
    <w:rsid w:val="00034304"/>
    <w:rsid w:val="00035434"/>
    <w:rsid w:val="00052A14"/>
    <w:rsid w:val="00062814"/>
    <w:rsid w:val="00077D53"/>
    <w:rsid w:val="00105FD9"/>
    <w:rsid w:val="00117666"/>
    <w:rsid w:val="001549D3"/>
    <w:rsid w:val="00160065"/>
    <w:rsid w:val="00177D84"/>
    <w:rsid w:val="001A4450"/>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975B8"/>
    <w:rsid w:val="005A47D4"/>
    <w:rsid w:val="005A5EEE"/>
    <w:rsid w:val="005F28E7"/>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231E8"/>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10AE6"/>
    <w:rsid w:val="00D32812"/>
    <w:rsid w:val="00DB59C3"/>
    <w:rsid w:val="00DC259A"/>
    <w:rsid w:val="00DE23E8"/>
    <w:rsid w:val="00E27A95"/>
    <w:rsid w:val="00E52377"/>
    <w:rsid w:val="00E64E17"/>
    <w:rsid w:val="00E866C9"/>
    <w:rsid w:val="00EA3D3C"/>
    <w:rsid w:val="00F14C7A"/>
    <w:rsid w:val="00F46900"/>
    <w:rsid w:val="00F61D89"/>
    <w:rsid w:val="028CA4EB"/>
    <w:rsid w:val="02F1283C"/>
    <w:rsid w:val="0302D513"/>
    <w:rsid w:val="0321E76E"/>
    <w:rsid w:val="039D2387"/>
    <w:rsid w:val="0401E1C8"/>
    <w:rsid w:val="04F8EDB5"/>
    <w:rsid w:val="05C80AC3"/>
    <w:rsid w:val="06099455"/>
    <w:rsid w:val="067F69CA"/>
    <w:rsid w:val="06955686"/>
    <w:rsid w:val="06A7CD28"/>
    <w:rsid w:val="0795D30D"/>
    <w:rsid w:val="07AB9E80"/>
    <w:rsid w:val="082D3138"/>
    <w:rsid w:val="0856C2CA"/>
    <w:rsid w:val="088DAA87"/>
    <w:rsid w:val="0913EEFD"/>
    <w:rsid w:val="093511EA"/>
    <w:rsid w:val="097B349C"/>
    <w:rsid w:val="09883674"/>
    <w:rsid w:val="09CCECD6"/>
    <w:rsid w:val="0A084141"/>
    <w:rsid w:val="0A92BD2C"/>
    <w:rsid w:val="0BBF447C"/>
    <w:rsid w:val="0BC76839"/>
    <w:rsid w:val="0C6E91D8"/>
    <w:rsid w:val="0CECCAB0"/>
    <w:rsid w:val="0D52F4D8"/>
    <w:rsid w:val="0F128288"/>
    <w:rsid w:val="0F3FDCD1"/>
    <w:rsid w:val="10240934"/>
    <w:rsid w:val="10BA51EC"/>
    <w:rsid w:val="10DE2399"/>
    <w:rsid w:val="11140DFB"/>
    <w:rsid w:val="12A7FD74"/>
    <w:rsid w:val="12BF4BD9"/>
    <w:rsid w:val="13334A02"/>
    <w:rsid w:val="1398C522"/>
    <w:rsid w:val="13F57859"/>
    <w:rsid w:val="1455595E"/>
    <w:rsid w:val="14F6A13E"/>
    <w:rsid w:val="15A4650B"/>
    <w:rsid w:val="1651E4A6"/>
    <w:rsid w:val="168C0659"/>
    <w:rsid w:val="16CC23AA"/>
    <w:rsid w:val="1720FE3F"/>
    <w:rsid w:val="18EDC714"/>
    <w:rsid w:val="19160D3A"/>
    <w:rsid w:val="19303396"/>
    <w:rsid w:val="1A25CDED"/>
    <w:rsid w:val="1A6219E9"/>
    <w:rsid w:val="1B065F88"/>
    <w:rsid w:val="1B0CC476"/>
    <w:rsid w:val="1B49C761"/>
    <w:rsid w:val="1B7820EC"/>
    <w:rsid w:val="1B9D0969"/>
    <w:rsid w:val="1BA86C6F"/>
    <w:rsid w:val="1C2392B8"/>
    <w:rsid w:val="1C6AF68F"/>
    <w:rsid w:val="1C6BB2AF"/>
    <w:rsid w:val="1C74D7C4"/>
    <w:rsid w:val="1CCC4537"/>
    <w:rsid w:val="1CFE5016"/>
    <w:rsid w:val="1D151E41"/>
    <w:rsid w:val="2048E074"/>
    <w:rsid w:val="20564038"/>
    <w:rsid w:val="21665345"/>
    <w:rsid w:val="2185B733"/>
    <w:rsid w:val="21D4D89F"/>
    <w:rsid w:val="21E61F0A"/>
    <w:rsid w:val="2258E750"/>
    <w:rsid w:val="22EDF26B"/>
    <w:rsid w:val="2340B454"/>
    <w:rsid w:val="23505086"/>
    <w:rsid w:val="23876BE2"/>
    <w:rsid w:val="23989FD5"/>
    <w:rsid w:val="23E96548"/>
    <w:rsid w:val="24BDC720"/>
    <w:rsid w:val="24FD2CBC"/>
    <w:rsid w:val="2510547F"/>
    <w:rsid w:val="2639BB6C"/>
    <w:rsid w:val="26896C26"/>
    <w:rsid w:val="2710496A"/>
    <w:rsid w:val="273EC08C"/>
    <w:rsid w:val="27684DDE"/>
    <w:rsid w:val="279E8B36"/>
    <w:rsid w:val="27BB6B99"/>
    <w:rsid w:val="28AB87D8"/>
    <w:rsid w:val="29182DB6"/>
    <w:rsid w:val="299CF8AC"/>
    <w:rsid w:val="2A6F5991"/>
    <w:rsid w:val="2A9835FD"/>
    <w:rsid w:val="2B31813F"/>
    <w:rsid w:val="2BC43918"/>
    <w:rsid w:val="2BE9FA05"/>
    <w:rsid w:val="2C20E087"/>
    <w:rsid w:val="2C27F0CA"/>
    <w:rsid w:val="2CEE3B74"/>
    <w:rsid w:val="2E18EF34"/>
    <w:rsid w:val="2EB8F509"/>
    <w:rsid w:val="2F38A5DF"/>
    <w:rsid w:val="2F42C4D6"/>
    <w:rsid w:val="30FF4A99"/>
    <w:rsid w:val="31AE05D5"/>
    <w:rsid w:val="31B7C817"/>
    <w:rsid w:val="31C65E0C"/>
    <w:rsid w:val="31F9C87F"/>
    <w:rsid w:val="3263F708"/>
    <w:rsid w:val="329CE5B9"/>
    <w:rsid w:val="33A740DB"/>
    <w:rsid w:val="34E28B58"/>
    <w:rsid w:val="35495F4B"/>
    <w:rsid w:val="35A17F18"/>
    <w:rsid w:val="35AD3D11"/>
    <w:rsid w:val="36137946"/>
    <w:rsid w:val="366EDDD8"/>
    <w:rsid w:val="36DD0CDB"/>
    <w:rsid w:val="377FBE4D"/>
    <w:rsid w:val="379B57CB"/>
    <w:rsid w:val="37E02D4B"/>
    <w:rsid w:val="37FF7BB7"/>
    <w:rsid w:val="380BD9EF"/>
    <w:rsid w:val="3839D9CD"/>
    <w:rsid w:val="38685119"/>
    <w:rsid w:val="3884BE23"/>
    <w:rsid w:val="3899480E"/>
    <w:rsid w:val="38D41DF3"/>
    <w:rsid w:val="3981EDD9"/>
    <w:rsid w:val="399652D8"/>
    <w:rsid w:val="3A25C481"/>
    <w:rsid w:val="3A61FF19"/>
    <w:rsid w:val="3A7A0893"/>
    <w:rsid w:val="3AD8F6D7"/>
    <w:rsid w:val="3B85CE12"/>
    <w:rsid w:val="3C1EFD17"/>
    <w:rsid w:val="3C5BDDB5"/>
    <w:rsid w:val="3CA17BC4"/>
    <w:rsid w:val="3CB44D59"/>
    <w:rsid w:val="3D05F56E"/>
    <w:rsid w:val="3D915EE1"/>
    <w:rsid w:val="3DB638FF"/>
    <w:rsid w:val="3DC21348"/>
    <w:rsid w:val="3DD668CF"/>
    <w:rsid w:val="3F2E03B4"/>
    <w:rsid w:val="3F705552"/>
    <w:rsid w:val="3F9453B1"/>
    <w:rsid w:val="3FB37368"/>
    <w:rsid w:val="3FB5BFA9"/>
    <w:rsid w:val="3FEDD1A0"/>
    <w:rsid w:val="413E5062"/>
    <w:rsid w:val="41A17977"/>
    <w:rsid w:val="424CAF20"/>
    <w:rsid w:val="425B938A"/>
    <w:rsid w:val="425F8240"/>
    <w:rsid w:val="43599484"/>
    <w:rsid w:val="439DC800"/>
    <w:rsid w:val="4540D50A"/>
    <w:rsid w:val="4552D91D"/>
    <w:rsid w:val="45B942D6"/>
    <w:rsid w:val="465FC5A2"/>
    <w:rsid w:val="46DEA4B3"/>
    <w:rsid w:val="48C4849B"/>
    <w:rsid w:val="4916F855"/>
    <w:rsid w:val="49EDFAD3"/>
    <w:rsid w:val="4A111162"/>
    <w:rsid w:val="4B17C324"/>
    <w:rsid w:val="4B57A43D"/>
    <w:rsid w:val="4B801C32"/>
    <w:rsid w:val="4BB4B1A4"/>
    <w:rsid w:val="4C0AF2D0"/>
    <w:rsid w:val="4C2B99DC"/>
    <w:rsid w:val="4C424655"/>
    <w:rsid w:val="4CBA8D85"/>
    <w:rsid w:val="4DB17203"/>
    <w:rsid w:val="4DDB39B9"/>
    <w:rsid w:val="4E43B208"/>
    <w:rsid w:val="4EDE4D03"/>
    <w:rsid w:val="4EF28730"/>
    <w:rsid w:val="507D76BB"/>
    <w:rsid w:val="513ED6AD"/>
    <w:rsid w:val="51A85E95"/>
    <w:rsid w:val="51C5DE28"/>
    <w:rsid w:val="527E6DC3"/>
    <w:rsid w:val="53046BAC"/>
    <w:rsid w:val="53E2160F"/>
    <w:rsid w:val="54233324"/>
    <w:rsid w:val="548D8FCC"/>
    <w:rsid w:val="54B17933"/>
    <w:rsid w:val="5514F7D1"/>
    <w:rsid w:val="5547FDFA"/>
    <w:rsid w:val="5559B902"/>
    <w:rsid w:val="5584186E"/>
    <w:rsid w:val="56DF3665"/>
    <w:rsid w:val="574A0FDB"/>
    <w:rsid w:val="57EAA6D1"/>
    <w:rsid w:val="581BD511"/>
    <w:rsid w:val="58433E6B"/>
    <w:rsid w:val="585153D5"/>
    <w:rsid w:val="586BD550"/>
    <w:rsid w:val="586F5564"/>
    <w:rsid w:val="589AD5DA"/>
    <w:rsid w:val="59852CD6"/>
    <w:rsid w:val="59D70C41"/>
    <w:rsid w:val="59EE5A02"/>
    <w:rsid w:val="5A41F5E2"/>
    <w:rsid w:val="5B45ABEF"/>
    <w:rsid w:val="5B911FB3"/>
    <w:rsid w:val="5BF37A07"/>
    <w:rsid w:val="5C1B924D"/>
    <w:rsid w:val="5CD713EA"/>
    <w:rsid w:val="5D5BB24D"/>
    <w:rsid w:val="5DCD6050"/>
    <w:rsid w:val="5EBAA96D"/>
    <w:rsid w:val="5ED6C4C4"/>
    <w:rsid w:val="5F9CB3AD"/>
    <w:rsid w:val="5FD22FEA"/>
    <w:rsid w:val="600F4A23"/>
    <w:rsid w:val="604E5A55"/>
    <w:rsid w:val="60582ED5"/>
    <w:rsid w:val="60B1AA11"/>
    <w:rsid w:val="60F24064"/>
    <w:rsid w:val="618F0A2A"/>
    <w:rsid w:val="61CFA01E"/>
    <w:rsid w:val="63097CD9"/>
    <w:rsid w:val="63B7C92F"/>
    <w:rsid w:val="63DDB7A8"/>
    <w:rsid w:val="6457004D"/>
    <w:rsid w:val="64A71039"/>
    <w:rsid w:val="665E1CB8"/>
    <w:rsid w:val="66A1A0E9"/>
    <w:rsid w:val="675032E8"/>
    <w:rsid w:val="6758B320"/>
    <w:rsid w:val="680A77C9"/>
    <w:rsid w:val="69239650"/>
    <w:rsid w:val="69666DCC"/>
    <w:rsid w:val="69D849D4"/>
    <w:rsid w:val="69EE2263"/>
    <w:rsid w:val="6A3AA9CD"/>
    <w:rsid w:val="6A84EC7C"/>
    <w:rsid w:val="6ACEF8FA"/>
    <w:rsid w:val="6ACFFDA6"/>
    <w:rsid w:val="6BBB8DA7"/>
    <w:rsid w:val="6C0AE170"/>
    <w:rsid w:val="6C12F405"/>
    <w:rsid w:val="6C3EC6BE"/>
    <w:rsid w:val="6C60BB3E"/>
    <w:rsid w:val="6EB30D34"/>
    <w:rsid w:val="6EEF4BCA"/>
    <w:rsid w:val="6F17C7FF"/>
    <w:rsid w:val="6F5D20F9"/>
    <w:rsid w:val="706C6C2F"/>
    <w:rsid w:val="70B3969D"/>
    <w:rsid w:val="70E75C0D"/>
    <w:rsid w:val="710F3696"/>
    <w:rsid w:val="711B8357"/>
    <w:rsid w:val="715C2479"/>
    <w:rsid w:val="71A4C31B"/>
    <w:rsid w:val="71D311A1"/>
    <w:rsid w:val="71E6043D"/>
    <w:rsid w:val="7252A311"/>
    <w:rsid w:val="725865EE"/>
    <w:rsid w:val="728429AE"/>
    <w:rsid w:val="729F6FA2"/>
    <w:rsid w:val="73EB9229"/>
    <w:rsid w:val="74DA804E"/>
    <w:rsid w:val="756FBCCF"/>
    <w:rsid w:val="765F14A9"/>
    <w:rsid w:val="76D49C38"/>
    <w:rsid w:val="7756F8FA"/>
    <w:rsid w:val="775B220C"/>
    <w:rsid w:val="78373856"/>
    <w:rsid w:val="783DA889"/>
    <w:rsid w:val="7939EAFF"/>
    <w:rsid w:val="7B3584CD"/>
    <w:rsid w:val="7B359D28"/>
    <w:rsid w:val="7B94DFEA"/>
    <w:rsid w:val="7B9C1372"/>
    <w:rsid w:val="7CFA1EF1"/>
    <w:rsid w:val="7D87473E"/>
    <w:rsid w:val="7E6DFB54"/>
    <w:rsid w:val="7F09FE2F"/>
    <w:rsid w:val="7FC0D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40597792-9381-494F-8FD6-74C2223D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uiPriority="2" w:semiHidden="1" w:unhideWhenUsed="1" w:qFormat="1"/>
    <w:lsdException w:name="heading 3" w:uiPriority="2" w:semiHidden="1" w:unhideWhenUsed="1" w:qFormat="1"/>
    <w:lsdException w:name="heading 4" w:uiPriority="2" w:semiHidden="1" w:unhideWhenUsed="1" w:qFormat="1"/>
    <w:lsdException w:name="heading 5" w:uiPriority="2"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20"/>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20"/>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2"/>
    <w:rsid w:val="00AB6715"/>
    <w:rPr>
      <w:rFonts w:ascii="Times New Roman" w:hAnsi="Times New Roman" w:eastAsia="Cambria" w:cs="Times New Roman"/>
      <w:b/>
      <w:sz w:val="24"/>
      <w:szCs w:val="24"/>
    </w:rPr>
  </w:style>
  <w:style w:type="character" w:styleId="Heading2Char" w:customStyle="1">
    <w:name w:val="Heading 2 Char"/>
    <w:basedOn w:val="DefaultParagraphFont"/>
    <w:link w:val="Heading2"/>
    <w:uiPriority w:val="2"/>
    <w:rsid w:val="00AB6715"/>
    <w:rPr>
      <w:rFonts w:ascii="Times New Roman" w:hAnsi="Times New Roman" w:eastAsia="Cambria"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styleId="SubtitleChar" w:customStyle="1">
    <w:name w:val="Subtitle Char"/>
    <w:basedOn w:val="DefaultParagraphFont"/>
    <w:link w:val="Subtitle"/>
    <w:uiPriority w:val="99"/>
    <w:rsid w:val="00AB6715"/>
    <w:rPr>
      <w:rFonts w:ascii="Times New Roman" w:hAnsi="Times New Roman" w:cs="Times New Roman"/>
      <w:b/>
      <w:sz w:val="24"/>
      <w:szCs w:val="24"/>
    </w:rPr>
  </w:style>
  <w:style w:type="paragraph" w:styleId="AuthorList" w:customStyle="1">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styleId="CommentTextChar" w:customStyle="1">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styleId="CommentSubjectChar" w:customStyle="1">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styleId="EndnoteTextChar" w:customStyle="1">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styleId="FooterChar" w:customStyle="1">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styleId="FootnoteTextChar" w:customStyle="1">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styleId="HeaderChar" w:customStyle="1">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4"/>
      </w:numPr>
      <w:contextualSpacing/>
    </w:pPr>
    <w:rPr>
      <w:rFonts w:eastAsia="Cambria" w:cs="Times New Roman"/>
      <w:szCs w:val="24"/>
    </w:rPr>
  </w:style>
  <w:style w:type="numbering" w:styleId="Headings" w:customStyle="1">
    <w:name w:val="Headings"/>
    <w:uiPriority w:val="99"/>
    <w:rsid w:val="00AB6715"/>
    <w:pPr>
      <w:numPr>
        <w:numId w:val="15"/>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styleId="Heading3Char" w:customStyle="1">
    <w:name w:val="Heading 3 Char"/>
    <w:basedOn w:val="DefaultParagraphFont"/>
    <w:link w:val="Heading3"/>
    <w:uiPriority w:val="2"/>
    <w:rsid w:val="00AB6715"/>
    <w:rPr>
      <w:rFonts w:ascii="Times New Roman" w:hAnsi="Times New Roman" w:eastAsiaTheme="majorEastAsia" w:cstheme="majorBidi"/>
      <w:b/>
      <w:sz w:val="24"/>
      <w:szCs w:val="24"/>
    </w:rPr>
  </w:style>
  <w:style w:type="character" w:styleId="Heading4Char" w:customStyle="1">
    <w:name w:val="Heading 4 Char"/>
    <w:basedOn w:val="DefaultParagraphFont"/>
    <w:link w:val="Heading4"/>
    <w:uiPriority w:val="2"/>
    <w:rsid w:val="00AB6715"/>
    <w:rPr>
      <w:rFonts w:ascii="Times New Roman" w:hAnsi="Times New Roman" w:eastAsiaTheme="majorEastAsia" w:cstheme="majorBidi"/>
      <w:b/>
      <w:iCs/>
      <w:sz w:val="24"/>
      <w:szCs w:val="24"/>
    </w:rPr>
  </w:style>
  <w:style w:type="character" w:styleId="Heading5Char" w:customStyle="1">
    <w:name w:val="Heading 5 Char"/>
    <w:basedOn w:val="DefaultParagraphFont"/>
    <w:link w:val="Heading5"/>
    <w:uiPriority w:val="2"/>
    <w:rsid w:val="00AB6715"/>
    <w:rPr>
      <w:rFonts w:ascii="Times New Roman" w:hAnsi="Times New Roman" w:eastAsiaTheme="majorEastAsia"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styleId="TitleChar" w:customStyle="1">
    <w:name w:val="Title Char"/>
    <w:basedOn w:val="DefaultParagraphFont"/>
    <w:link w:val="Title"/>
    <w:rsid w:val="00AB6715"/>
    <w:rPr>
      <w:rFonts w:ascii="Times New Roman" w:hAnsi="Times New Roman" w:cs="Times New Roman"/>
      <w:b/>
      <w:sz w:val="32"/>
      <w:szCs w:val="32"/>
    </w:rPr>
  </w:style>
  <w:style w:type="paragraph" w:styleId="SupplementaryMaterial" w:customStyle="1">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xmlns:w14="http://schemas.microsoft.com/office/word/2010/wordml" xmlns:mc="http://schemas.openxmlformats.org/markup-compatibility/2006" xmlns:w="http://schemas.openxmlformats.org/wordprocessingml/2006/main" w:type="table" w:styleId="TableGridLight" mc:Ignorable="w14">
    <w:name xmlns:w="http://schemas.openxmlformats.org/wordprocessingml/2006/main" w:val="Grid Table Light"/>
    <w:basedOn xmlns:w="http://schemas.openxmlformats.org/wordprocessingml/2006/main" w:val="TableNormal"/>
    <w:uiPriority xmlns:w="http://schemas.openxmlformats.org/wordprocessingml/2006/main" w:val="40"/>
    <w:pPr xmlns:w="http://schemas.openxmlformats.org/wordprocessingml/2006/main">
      <w:spacing xmlns:w="http://schemas.openxmlformats.org/wordprocessingml/2006/main" w:after="0" w:line="240" w:lineRule="auto"/>
    </w:pPr>
    <w:tblPr xmlns:w="http://schemas.openxmlformats.org/wordprocessingml/2006/main">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A737B2A8074E43ADABB1EB2972D445" ma:contentTypeVersion="15" ma:contentTypeDescription="Create a new document." ma:contentTypeScope="" ma:versionID="4f90b9d125aeff71b92f52bda1136684">
  <xsd:schema xmlns:xsd="http://www.w3.org/2001/XMLSchema" xmlns:xs="http://www.w3.org/2001/XMLSchema" xmlns:p="http://schemas.microsoft.com/office/2006/metadata/properties" xmlns:ns2="c256ce13-2922-49e5-acec-3768acec6eef" xmlns:ns3="5e81fb25-0220-4b61-a556-ca990bf63f56" targetNamespace="http://schemas.microsoft.com/office/2006/metadata/properties" ma:root="true" ma:fieldsID="99599adc7ed9aa1bdaea47c300570ea3" ns2:_="" ns3:_="">
    <xsd:import namespace="c256ce13-2922-49e5-acec-3768acec6eef"/>
    <xsd:import namespace="5e81fb25-0220-4b61-a556-ca990bf63f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ce13-2922-49e5-acec-3768acec6e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70cb1e0-aaad-4ec9-9efd-fddfa34f4be1}" ma:internalName="TaxCatchAll" ma:showField="CatchAllData" ma:web="c256ce13-2922-49e5-acec-3768acec6e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1fb25-0220-4b61-a556-ca990bf63f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256ce13-2922-49e5-acec-3768acec6eef">
      <UserInfo>
        <DisplayName/>
        <AccountId xsi:nil="true"/>
        <AccountType/>
      </UserInfo>
    </SharedWithUsers>
    <lcf76f155ced4ddcb4097134ff3c332f xmlns="5e81fb25-0220-4b61-a556-ca990bf63f56">
      <Terms xmlns="http://schemas.microsoft.com/office/infopath/2007/PartnerControls"/>
    </lcf76f155ced4ddcb4097134ff3c332f>
    <TaxCatchAll xmlns="c256ce13-2922-49e5-acec-3768acec6e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19F50F1-D2BE-4759-9E36-18EB68CCBEB9}"/>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 ds:uri="c256ce13-2922-49e5-acec-3768acec6eef"/>
    <ds:schemaRef ds:uri="5e81fb25-0220-4b61-a556-ca990bf63f56"/>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Supplementary_Material.dotx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Frontiers</dc:creator>
  <keywords/>
  <lastModifiedBy>Patricia Bucko</lastModifiedBy>
  <revision>15</revision>
  <lastPrinted>2013-10-03T14:51:00.0000000Z</lastPrinted>
  <dcterms:created xsi:type="dcterms:W3CDTF">2022-11-17T18:58:00.0000000Z</dcterms:created>
  <dcterms:modified xsi:type="dcterms:W3CDTF">2025-06-05T17:57:16.8654732Z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0x010100F8A737B2A8074E43ADABB1EB2972D445</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