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EE6D0" w14:textId="77777777" w:rsidR="00853ED5" w:rsidRPr="000961B4" w:rsidRDefault="00853ED5" w:rsidP="00853ED5">
      <w:pPr>
        <w:pStyle w:val="MDPI11articletype"/>
        <w:spacing w:line="240" w:lineRule="atLeast"/>
        <w:rPr>
          <w:rFonts w:asciiTheme="minorHAnsi" w:hAnsiTheme="minorHAnsi" w:cstheme="minorHAnsi"/>
        </w:rPr>
      </w:pPr>
      <w:r w:rsidRPr="000961B4">
        <w:rPr>
          <w:rFonts w:asciiTheme="minorHAnsi" w:hAnsiTheme="minorHAnsi" w:cstheme="minorHAnsi"/>
        </w:rPr>
        <w:t>Type of the Paper (</w:t>
      </w:r>
      <w:r>
        <w:rPr>
          <w:rFonts w:asciiTheme="minorHAnsi" w:hAnsiTheme="minorHAnsi" w:cstheme="minorHAnsi"/>
        </w:rPr>
        <w:t>original research</w:t>
      </w:r>
      <w:r w:rsidRPr="000961B4">
        <w:rPr>
          <w:rFonts w:asciiTheme="minorHAnsi" w:hAnsiTheme="minorHAnsi" w:cstheme="minorHAnsi"/>
        </w:rPr>
        <w:t>)</w:t>
      </w:r>
    </w:p>
    <w:p w14:paraId="0C69A9F5" w14:textId="77777777" w:rsidR="00853ED5" w:rsidRPr="000961B4" w:rsidRDefault="00853ED5" w:rsidP="00853ED5">
      <w:pPr>
        <w:pStyle w:val="MDPI12title"/>
        <w:rPr>
          <w:rFonts w:asciiTheme="minorHAnsi" w:hAnsiTheme="minorHAnsi" w:cstheme="minorHAnsi"/>
          <w:b w:val="0"/>
        </w:rPr>
      </w:pPr>
      <w:r w:rsidRPr="00F22B6F">
        <w:rPr>
          <w:rFonts w:asciiTheme="minorHAnsi" w:hAnsiTheme="minorHAnsi" w:cstheme="minorHAnsi"/>
        </w:rPr>
        <w:t xml:space="preserve">Addressing </w:t>
      </w:r>
      <w:r>
        <w:rPr>
          <w:rFonts w:asciiTheme="minorHAnsi" w:hAnsiTheme="minorHAnsi" w:cstheme="minorHAnsi"/>
        </w:rPr>
        <w:t>Energy</w:t>
      </w:r>
      <w:r w:rsidRPr="00F22B6F">
        <w:rPr>
          <w:rFonts w:asciiTheme="minorHAnsi" w:hAnsiTheme="minorHAnsi" w:cstheme="minorHAnsi"/>
        </w:rPr>
        <w:t xml:space="preserve"> Challenges: Sustainable Nano-Ceramic Electrolytes for Solid-State Lithium Batteries </w:t>
      </w:r>
      <w:r>
        <w:rPr>
          <w:rFonts w:asciiTheme="minorHAnsi" w:hAnsiTheme="minorHAnsi" w:cstheme="minorHAnsi"/>
        </w:rPr>
        <w:t>by</w:t>
      </w:r>
      <w:r w:rsidRPr="00F22B6F">
        <w:rPr>
          <w:rFonts w:asciiTheme="minorHAnsi" w:hAnsiTheme="minorHAnsi" w:cstheme="minorHAnsi"/>
        </w:rPr>
        <w:t xml:space="preserve"> Green Chemistry</w:t>
      </w:r>
    </w:p>
    <w:p w14:paraId="4CA9E12A" w14:textId="77777777" w:rsidR="00853ED5" w:rsidRPr="000920AF" w:rsidRDefault="00853ED5" w:rsidP="00853ED5">
      <w:pPr>
        <w:pStyle w:val="MDPI13authornames"/>
        <w:spacing w:line="240" w:lineRule="atLeast"/>
        <w:rPr>
          <w:rFonts w:asciiTheme="minorHAnsi" w:hAnsiTheme="minorHAnsi" w:cstheme="minorHAnsi"/>
          <w:sz w:val="18"/>
        </w:rPr>
      </w:pPr>
      <w:r w:rsidRPr="000920AF">
        <w:rPr>
          <w:rFonts w:asciiTheme="minorHAnsi" w:hAnsiTheme="minorHAnsi" w:cstheme="minorHAnsi"/>
          <w:sz w:val="18"/>
        </w:rPr>
        <w:t>Sai Raghuveer Chava</w:t>
      </w:r>
      <w:r w:rsidRPr="000961B4">
        <w:rPr>
          <w:rFonts w:asciiTheme="minorHAnsi" w:eastAsia="SimSun" w:hAnsiTheme="minorHAnsi" w:cstheme="minorHAnsi"/>
          <w:color w:val="auto"/>
          <w:sz w:val="18"/>
          <w:szCs w:val="20"/>
          <w:vertAlign w:val="superscript"/>
          <w:lang w:bidi="ar-SA"/>
        </w:rPr>
        <w:t>1</w:t>
      </w:r>
      <w:r>
        <w:rPr>
          <w:rFonts w:asciiTheme="minorHAnsi" w:eastAsia="SimSun" w:hAnsiTheme="minorHAnsi" w:cstheme="minorHAnsi"/>
          <w:color w:val="auto"/>
          <w:sz w:val="18"/>
          <w:szCs w:val="20"/>
          <w:lang w:bidi="ar-SA"/>
        </w:rPr>
        <w:t>, Robert Luckett</w:t>
      </w:r>
      <w:r>
        <w:rPr>
          <w:rFonts w:asciiTheme="minorHAnsi" w:eastAsia="SimSun" w:hAnsiTheme="minorHAnsi" w:cstheme="minorHAnsi"/>
          <w:color w:val="auto"/>
          <w:sz w:val="18"/>
          <w:szCs w:val="20"/>
          <w:vertAlign w:val="superscript"/>
          <w:lang w:bidi="ar-SA"/>
        </w:rPr>
        <w:t>2</w:t>
      </w:r>
      <w:r w:rsidRPr="000961B4">
        <w:rPr>
          <w:rFonts w:asciiTheme="minorHAnsi" w:eastAsia="SimSun" w:hAnsiTheme="minorHAnsi" w:cstheme="minorHAnsi"/>
          <w:color w:val="auto"/>
          <w:sz w:val="18"/>
          <w:szCs w:val="20"/>
          <w:lang w:bidi="ar-SA"/>
        </w:rPr>
        <w:t xml:space="preserve"> </w:t>
      </w:r>
      <w:r>
        <w:rPr>
          <w:rFonts w:asciiTheme="minorHAnsi" w:eastAsia="SimSun" w:hAnsiTheme="minorHAnsi" w:cstheme="minorHAnsi"/>
          <w:color w:val="auto"/>
          <w:sz w:val="18"/>
          <w:szCs w:val="20"/>
          <w:lang w:bidi="ar-SA"/>
        </w:rPr>
        <w:t>&amp;</w:t>
      </w:r>
      <w:r w:rsidRPr="000961B4">
        <w:rPr>
          <w:rFonts w:asciiTheme="minorHAnsi" w:eastAsia="SimSun" w:hAnsiTheme="minorHAnsi" w:cstheme="minorHAnsi"/>
          <w:color w:val="auto"/>
          <w:sz w:val="18"/>
          <w:szCs w:val="20"/>
          <w:lang w:bidi="ar-SA"/>
        </w:rPr>
        <w:t xml:space="preserve"> </w:t>
      </w:r>
      <w:r>
        <w:rPr>
          <w:rFonts w:asciiTheme="minorHAnsi" w:eastAsia="SimSun" w:hAnsiTheme="minorHAnsi" w:cstheme="minorHAnsi"/>
          <w:color w:val="auto"/>
          <w:sz w:val="18"/>
          <w:szCs w:val="20"/>
          <w:lang w:bidi="ar-SA"/>
        </w:rPr>
        <w:t>Sajid Bashir</w:t>
      </w:r>
      <w:r>
        <w:rPr>
          <w:rFonts w:asciiTheme="minorHAnsi" w:eastAsia="SimSun" w:hAnsiTheme="minorHAnsi" w:cstheme="minorHAnsi"/>
          <w:color w:val="auto"/>
          <w:sz w:val="18"/>
          <w:szCs w:val="20"/>
          <w:vertAlign w:val="superscript"/>
          <w:lang w:bidi="ar-SA"/>
        </w:rPr>
        <w:t>1,</w:t>
      </w:r>
      <w:proofErr w:type="gramStart"/>
      <w:r>
        <w:rPr>
          <w:rFonts w:asciiTheme="minorHAnsi" w:eastAsia="SimSun" w:hAnsiTheme="minorHAnsi" w:cstheme="minorHAnsi"/>
          <w:color w:val="auto"/>
          <w:sz w:val="18"/>
          <w:szCs w:val="20"/>
          <w:vertAlign w:val="superscript"/>
          <w:lang w:bidi="ar-SA"/>
        </w:rPr>
        <w:t>3</w:t>
      </w:r>
      <w:r w:rsidRPr="00A21EA1">
        <w:rPr>
          <w:rFonts w:asciiTheme="minorHAnsi" w:eastAsia="SimSun" w:hAnsiTheme="minorHAnsi" w:cstheme="minorHAnsi"/>
          <w:color w:val="auto"/>
          <w:sz w:val="18"/>
          <w:szCs w:val="20"/>
          <w:vertAlign w:val="superscript"/>
          <w:lang w:bidi="ar-SA"/>
        </w:rPr>
        <w:t>,</w:t>
      </w:r>
      <w:r w:rsidRPr="000961B4">
        <w:rPr>
          <w:rFonts w:asciiTheme="minorHAnsi" w:eastAsia="SimSun" w:hAnsiTheme="minorHAnsi" w:cstheme="minorHAnsi"/>
          <w:color w:val="auto"/>
          <w:sz w:val="18"/>
          <w:szCs w:val="20"/>
          <w:lang w:bidi="ar-SA"/>
        </w:rPr>
        <w:t>*</w:t>
      </w:r>
      <w:proofErr w:type="gramEnd"/>
    </w:p>
    <w:p w14:paraId="2C2FD4D6" w14:textId="77777777" w:rsidR="00853ED5" w:rsidRDefault="00853ED5" w:rsidP="00853ED5">
      <w:pPr>
        <w:snapToGrid w:val="0"/>
        <w:ind w:left="288" w:hanging="288"/>
      </w:pPr>
    </w:p>
    <w:p w14:paraId="4204E1A5" w14:textId="77777777" w:rsidR="00853ED5" w:rsidRDefault="00853ED5" w:rsidP="00853ED5">
      <w:pPr>
        <w:snapToGrid w:val="0"/>
        <w:ind w:left="288" w:hanging="288"/>
        <w:rPr>
          <w:rFonts w:asciiTheme="minorHAnsi" w:hAnsiTheme="minorHAnsi" w:cstheme="minorHAnsi"/>
          <w:sz w:val="18"/>
        </w:rPr>
      </w:pPr>
      <w:r>
        <w:t>1</w:t>
      </w:r>
      <w:r>
        <w:rPr>
          <w:rFonts w:asciiTheme="minorHAnsi" w:hAnsiTheme="minorHAnsi" w:cstheme="minorHAnsi"/>
          <w:sz w:val="18"/>
        </w:rPr>
        <w:tab/>
        <w:t>Texas A&amp;M University-Kingsville, Department of Chemistry, Kingsville</w:t>
      </w:r>
      <w:r w:rsidRPr="000961B4">
        <w:rPr>
          <w:rFonts w:asciiTheme="minorHAnsi" w:hAnsiTheme="minorHAnsi" w:cstheme="minorHAnsi"/>
          <w:sz w:val="18"/>
        </w:rPr>
        <w:t>, (</w:t>
      </w:r>
      <w:r>
        <w:rPr>
          <w:rFonts w:asciiTheme="minorHAnsi" w:hAnsiTheme="minorHAnsi" w:cstheme="minorHAnsi"/>
          <w:sz w:val="18"/>
        </w:rPr>
        <w:t>Texas</w:t>
      </w:r>
      <w:r w:rsidRPr="000961B4">
        <w:rPr>
          <w:rFonts w:asciiTheme="minorHAnsi" w:hAnsiTheme="minorHAnsi" w:cstheme="minorHAnsi"/>
          <w:sz w:val="18"/>
        </w:rPr>
        <w:t xml:space="preserve">), </w:t>
      </w:r>
      <w:r>
        <w:rPr>
          <w:rFonts w:asciiTheme="minorHAnsi" w:hAnsiTheme="minorHAnsi" w:cstheme="minorHAnsi"/>
          <w:sz w:val="18"/>
        </w:rPr>
        <w:t>USA</w:t>
      </w:r>
    </w:p>
    <w:p w14:paraId="505150DB" w14:textId="77777777" w:rsidR="00853ED5" w:rsidRPr="000961B4" w:rsidRDefault="00853ED5" w:rsidP="00853ED5">
      <w:pPr>
        <w:snapToGrid w:val="0"/>
        <w:ind w:left="288" w:hanging="288"/>
      </w:pPr>
      <w:r>
        <w:rPr>
          <w:rFonts w:asciiTheme="minorHAnsi" w:hAnsiTheme="minorHAnsi" w:cstheme="minorHAnsi"/>
          <w:sz w:val="18"/>
        </w:rPr>
        <w:t>2</w:t>
      </w:r>
      <w:r>
        <w:rPr>
          <w:rFonts w:asciiTheme="minorHAnsi" w:hAnsiTheme="minorHAnsi" w:cstheme="minorHAnsi"/>
          <w:sz w:val="18"/>
        </w:rPr>
        <w:tab/>
        <w:t xml:space="preserve">Texas A&amp;M University-Kingsville, </w:t>
      </w:r>
      <w:r w:rsidRPr="00AA68EF">
        <w:rPr>
          <w:rFonts w:asciiTheme="minorHAnsi" w:hAnsiTheme="minorHAnsi" w:cstheme="minorHAnsi"/>
          <w:sz w:val="18"/>
        </w:rPr>
        <w:t>Clinical Health Sciences</w:t>
      </w:r>
      <w:r>
        <w:rPr>
          <w:rFonts w:asciiTheme="minorHAnsi" w:hAnsiTheme="minorHAnsi" w:cstheme="minorHAnsi"/>
          <w:sz w:val="18"/>
        </w:rPr>
        <w:t>, Kingsville</w:t>
      </w:r>
      <w:r w:rsidRPr="000961B4">
        <w:rPr>
          <w:rFonts w:asciiTheme="minorHAnsi" w:hAnsiTheme="minorHAnsi" w:cstheme="minorHAnsi"/>
          <w:sz w:val="18"/>
        </w:rPr>
        <w:t>, (</w:t>
      </w:r>
      <w:r>
        <w:rPr>
          <w:rFonts w:asciiTheme="minorHAnsi" w:hAnsiTheme="minorHAnsi" w:cstheme="minorHAnsi"/>
          <w:sz w:val="18"/>
        </w:rPr>
        <w:t>Texas</w:t>
      </w:r>
      <w:r w:rsidRPr="000961B4">
        <w:rPr>
          <w:rFonts w:asciiTheme="minorHAnsi" w:hAnsiTheme="minorHAnsi" w:cstheme="minorHAnsi"/>
          <w:sz w:val="18"/>
        </w:rPr>
        <w:t xml:space="preserve">), </w:t>
      </w:r>
      <w:r>
        <w:rPr>
          <w:rFonts w:asciiTheme="minorHAnsi" w:hAnsiTheme="minorHAnsi" w:cstheme="minorHAnsi"/>
          <w:sz w:val="18"/>
        </w:rPr>
        <w:t>USA</w:t>
      </w:r>
    </w:p>
    <w:p w14:paraId="5A97BA33" w14:textId="77777777" w:rsidR="00853ED5" w:rsidRPr="000961B4" w:rsidRDefault="00853ED5" w:rsidP="00853ED5">
      <w:pPr>
        <w:widowControl w:val="0"/>
        <w:snapToGrid w:val="0"/>
        <w:ind w:left="288" w:hanging="288"/>
        <w:rPr>
          <w:rFonts w:asciiTheme="minorHAnsi" w:hAnsiTheme="minorHAnsi" w:cstheme="minorHAnsi"/>
          <w:sz w:val="18"/>
        </w:rPr>
      </w:pPr>
      <w:r>
        <w:rPr>
          <w:rFonts w:asciiTheme="minorHAnsi" w:hAnsiTheme="minorHAnsi" w:cstheme="minorHAnsi"/>
          <w:sz w:val="18"/>
        </w:rPr>
        <w:t>3</w:t>
      </w:r>
      <w:r>
        <w:rPr>
          <w:rFonts w:asciiTheme="minorHAnsi" w:hAnsiTheme="minorHAnsi" w:cstheme="minorHAnsi"/>
          <w:sz w:val="18"/>
        </w:rPr>
        <w:tab/>
        <w:t xml:space="preserve">Texas A&amp;M University, Energy Institute, College Station, </w:t>
      </w:r>
      <w:r w:rsidRPr="000961B4">
        <w:rPr>
          <w:rFonts w:asciiTheme="minorHAnsi" w:hAnsiTheme="minorHAnsi" w:cstheme="minorHAnsi"/>
          <w:sz w:val="18"/>
        </w:rPr>
        <w:t>(</w:t>
      </w:r>
      <w:r>
        <w:rPr>
          <w:rFonts w:asciiTheme="minorHAnsi" w:hAnsiTheme="minorHAnsi" w:cstheme="minorHAnsi"/>
          <w:sz w:val="18"/>
        </w:rPr>
        <w:t>Texas</w:t>
      </w:r>
      <w:r w:rsidRPr="000961B4">
        <w:rPr>
          <w:rFonts w:asciiTheme="minorHAnsi" w:hAnsiTheme="minorHAnsi" w:cstheme="minorHAnsi"/>
          <w:sz w:val="18"/>
        </w:rPr>
        <w:t xml:space="preserve">), </w:t>
      </w:r>
      <w:r>
        <w:rPr>
          <w:rFonts w:asciiTheme="minorHAnsi" w:hAnsiTheme="minorHAnsi" w:cstheme="minorHAnsi"/>
          <w:sz w:val="18"/>
        </w:rPr>
        <w:t>USA</w:t>
      </w:r>
    </w:p>
    <w:p w14:paraId="09CF0BCD" w14:textId="77777777" w:rsidR="00853ED5" w:rsidRPr="004E71F2" w:rsidRDefault="00853ED5" w:rsidP="00853ED5">
      <w:pPr>
        <w:widowControl w:val="0"/>
        <w:snapToGrid w:val="0"/>
        <w:ind w:left="288" w:hanging="288"/>
        <w:rPr>
          <w:rFonts w:ascii="Calibri" w:hAnsi="Calibri" w:cs="Calibri"/>
          <w:sz w:val="18"/>
          <w:lang w:eastAsia="zh-CN"/>
        </w:rPr>
      </w:pPr>
      <w:r w:rsidRPr="000961B4">
        <w:rPr>
          <w:rFonts w:asciiTheme="minorHAnsi" w:hAnsiTheme="minorHAnsi" w:cstheme="minorHAnsi"/>
          <w:sz w:val="18"/>
        </w:rPr>
        <w:t>*</w:t>
      </w:r>
      <w:r w:rsidRPr="000961B4">
        <w:rPr>
          <w:rFonts w:asciiTheme="minorHAnsi" w:hAnsiTheme="minorHAnsi" w:cstheme="minorHAnsi"/>
          <w:sz w:val="18"/>
        </w:rPr>
        <w:tab/>
        <w:t xml:space="preserve">Correspondence: </w:t>
      </w:r>
      <w:hyperlink r:id="rId5" w:history="1">
        <w:r w:rsidRPr="002914AB">
          <w:rPr>
            <w:rStyle w:val="Hyperlink"/>
            <w:rFonts w:ascii="Calibri" w:hAnsi="Calibri" w:cs="Calibri"/>
            <w:sz w:val="18"/>
          </w:rPr>
          <w:t>br9@tamuk</w:t>
        </w:r>
        <w:r w:rsidRPr="002914AB">
          <w:rPr>
            <w:rStyle w:val="Hyperlink"/>
            <w:rFonts w:ascii="Calibri" w:hAnsi="Calibri" w:cs="Calibri"/>
          </w:rPr>
          <w:t>.edu</w:t>
        </w:r>
      </w:hyperlink>
      <w:r w:rsidRPr="004B55CA">
        <w:rPr>
          <w:rStyle w:val="Hyperlink"/>
          <w:rFonts w:ascii="Calibri" w:hAnsi="Calibri" w:cs="Calibri"/>
        </w:rPr>
        <w:t xml:space="preserve"> and</w:t>
      </w:r>
      <w:r>
        <w:rPr>
          <w:rStyle w:val="Hyperlink"/>
          <w:rFonts w:ascii="Calibri" w:hAnsi="Calibri" w:cs="Calibri"/>
        </w:rPr>
        <w:t xml:space="preserve"> </w:t>
      </w:r>
      <w:hyperlink r:id="rId6" w:history="1">
        <w:r w:rsidRPr="002914AB">
          <w:rPr>
            <w:rStyle w:val="Hyperlink"/>
            <w:rFonts w:ascii="Calibri" w:hAnsi="Calibri" w:cs="Calibri"/>
          </w:rPr>
          <w:t>sb325@cornnell.edu</w:t>
        </w:r>
      </w:hyperlink>
      <w:r>
        <w:rPr>
          <w:rStyle w:val="Hyperlink"/>
          <w:rFonts w:ascii="Calibri" w:hAnsi="Calibri" w:cs="Calibri"/>
        </w:rPr>
        <w:t xml:space="preserve"> </w:t>
      </w:r>
    </w:p>
    <w:p w14:paraId="444F9F80" w14:textId="77777777" w:rsidR="009521F1" w:rsidRDefault="009521F1"/>
    <w:p w14:paraId="2F329FB5" w14:textId="6C5B10F2" w:rsidR="00A94981" w:rsidRDefault="00A94981" w:rsidP="00853ED5">
      <w:pPr>
        <w:rPr>
          <w:b/>
          <w:bCs/>
        </w:rPr>
      </w:pPr>
      <w:r>
        <w:rPr>
          <w:b/>
          <w:bCs/>
        </w:rPr>
        <w:t xml:space="preserve">Introduction: </w:t>
      </w:r>
      <w:proofErr w:type="spellStart"/>
      <w:r w:rsidRPr="00A94981">
        <w:t>Li₃InCl</w:t>
      </w:r>
      <w:proofErr w:type="spellEnd"/>
      <w:r w:rsidRPr="00A94981">
        <w:t xml:space="preserve">₆ was selected as the base material for this study due to its superior ionic conductivity and structural stability compared to other ceramic SSEs. Previous studies have highlighted </w:t>
      </w:r>
      <w:proofErr w:type="spellStart"/>
      <w:r w:rsidRPr="00A94981">
        <w:t>Li₃InCl</w:t>
      </w:r>
      <w:proofErr w:type="spellEnd"/>
      <w:r w:rsidRPr="00A94981">
        <w:t xml:space="preserve">₆'s ability to form stable solid-solid interfaces, which are crucial for mitigating dendritic lithium growth—a common challenge in solid-state batteries. Additionally, </w:t>
      </w:r>
      <w:proofErr w:type="spellStart"/>
      <w:r w:rsidRPr="00A94981">
        <w:t>Li₃InCl</w:t>
      </w:r>
      <w:proofErr w:type="spellEnd"/>
      <w:r w:rsidRPr="00A94981">
        <w:t xml:space="preserve">₆ exhibits a favorable electrochemical window, enhancing its compatibility with various cathode materials. To further optimize its performance, we introduced specific dopants: fluorine (F), cerium (Ce), and molybdenum (Mo). Fluorine doping is anticipated to enhance lattice stability and facilitate Li⁺ ion migration by creating additional conduction pathways. Cerium doping is expected to improve the structural integrity of the electrolyte and reduce interfacial resistance between the electrolyte and electrodes. Molybdenum doping aims to significantly increase ionic conductivity by modifying the electronic structure and reducing activation energy barriers for Li⁺ transport. By employing these multicomponent dopants, we </w:t>
      </w:r>
      <w:r w:rsidR="00EB40E6">
        <w:t>strive</w:t>
      </w:r>
      <w:r w:rsidRPr="00A94981">
        <w:t xml:space="preserve"> to synergistically enhance the performance of </w:t>
      </w:r>
      <w:proofErr w:type="spellStart"/>
      <w:r w:rsidRPr="00A94981">
        <w:t>Li₃InCl</w:t>
      </w:r>
      <w:proofErr w:type="spellEnd"/>
      <w:r w:rsidRPr="00A94981">
        <w:t>₆-based SSEs for practical applications in solid-state lithium batteries</w:t>
      </w:r>
      <w:r w:rsidR="00A5262E">
        <w:t xml:space="preserve"> [R1</w:t>
      </w:r>
      <w:r w:rsidR="00EB40E6">
        <w:t>-</w:t>
      </w:r>
      <w:r w:rsidR="00A5262E">
        <w:t>R5]</w:t>
      </w:r>
      <w:r w:rsidRPr="00A94981">
        <w:t>.</w:t>
      </w:r>
    </w:p>
    <w:p w14:paraId="74206C98" w14:textId="20E114D4" w:rsidR="00853ED5" w:rsidRPr="00853ED5" w:rsidRDefault="00853ED5" w:rsidP="00A94981">
      <w:pPr>
        <w:spacing w:before="240"/>
      </w:pPr>
      <w:r w:rsidRPr="00853ED5">
        <w:rPr>
          <w:b/>
          <w:bCs/>
        </w:rPr>
        <w:t xml:space="preserve">Impact of Specific Dopants on </w:t>
      </w:r>
      <w:proofErr w:type="spellStart"/>
      <w:r w:rsidRPr="00853ED5">
        <w:rPr>
          <w:b/>
          <w:bCs/>
        </w:rPr>
        <w:t>Li₃InCl</w:t>
      </w:r>
      <w:proofErr w:type="spellEnd"/>
      <w:r w:rsidRPr="00853ED5">
        <w:rPr>
          <w:b/>
          <w:bCs/>
        </w:rPr>
        <w:t>₆ Performance:</w:t>
      </w:r>
      <w:r w:rsidRPr="00853ED5">
        <w:t xml:space="preserve"> The introduction of Fluorine (F), Cerium (Ce), and Molybdenum (Mo) dopants into the </w:t>
      </w:r>
      <w:proofErr w:type="spellStart"/>
      <w:r w:rsidRPr="00853ED5">
        <w:t>Li₃InCl</w:t>
      </w:r>
      <w:proofErr w:type="spellEnd"/>
      <w:r w:rsidRPr="00853ED5">
        <w:t>₆ matrix each played a distinct role in enhancing the electrolyte's performance:</w:t>
      </w:r>
    </w:p>
    <w:p w14:paraId="1AF302AD" w14:textId="7CDA0FF1" w:rsidR="00853ED5" w:rsidRPr="00853ED5" w:rsidRDefault="00853ED5" w:rsidP="00853ED5">
      <w:pPr>
        <w:numPr>
          <w:ilvl w:val="0"/>
          <w:numId w:val="1"/>
        </w:numPr>
      </w:pPr>
      <w:r w:rsidRPr="00853ED5">
        <w:t>Fluorine (F) Doping: As anticipated, fluorine substitution led to the formation of Li-F bonds, as evidenced by the shifts in peak positions in the XPS spectra (</w:t>
      </w:r>
      <w:r w:rsidRPr="00A94981">
        <w:rPr>
          <w:i/>
          <w:iCs/>
        </w:rPr>
        <w:t xml:space="preserve">cf. </w:t>
      </w:r>
      <w:r w:rsidRPr="00853ED5">
        <w:t>Figure 4b-3). This modification reduced lattice distortion, thereby facilitating smoother Li⁺ ion migration paths. The enhanced lattice stability observed in PXRD patterns corroborates the role of fluorine in maintaining structural integrity.</w:t>
      </w:r>
      <w:r w:rsidR="00A5262E">
        <w:t xml:space="preserve"> [R4]</w:t>
      </w:r>
    </w:p>
    <w:p w14:paraId="77BA5945" w14:textId="05A7E272" w:rsidR="00853ED5" w:rsidRPr="00853ED5" w:rsidRDefault="00853ED5" w:rsidP="00853ED5">
      <w:pPr>
        <w:numPr>
          <w:ilvl w:val="0"/>
          <w:numId w:val="1"/>
        </w:numPr>
      </w:pPr>
      <w:r w:rsidRPr="00853ED5">
        <w:t>Cerium (Ce) Doping: Cerium's role in charge compensation was evident from the reduction in interfacial resistance observed in EIS measurements (</w:t>
      </w:r>
      <w:r w:rsidRPr="00A94981">
        <w:rPr>
          <w:i/>
          <w:iCs/>
        </w:rPr>
        <w:t>cf</w:t>
      </w:r>
      <w:r w:rsidRPr="00A94981">
        <w:t xml:space="preserve">. </w:t>
      </w:r>
      <w:r w:rsidRPr="00853ED5">
        <w:t>Figure 6a). The presence of Ce⁴⁺ ions created vacancies and interstitial sites, promoting higher ionic mobility. Additionally, Ce doping improved the mechanical robustness of the electrolyte, as indicated by the enhanced cycling stability in GCD tests (</w:t>
      </w:r>
      <w:r w:rsidRPr="00A94981">
        <w:rPr>
          <w:i/>
          <w:iCs/>
        </w:rPr>
        <w:t>cf</w:t>
      </w:r>
      <w:r w:rsidRPr="00A94981">
        <w:t xml:space="preserve">. </w:t>
      </w:r>
      <w:r w:rsidRPr="00853ED5">
        <w:t>Figure 7a)</w:t>
      </w:r>
      <w:r w:rsidR="00A5262E">
        <w:t xml:space="preserve"> [R5]</w:t>
      </w:r>
      <w:r w:rsidRPr="00853ED5">
        <w:t>.</w:t>
      </w:r>
    </w:p>
    <w:p w14:paraId="42FFB5A3" w14:textId="1BA29424" w:rsidR="001D67EB" w:rsidRDefault="00853ED5" w:rsidP="001D67EB">
      <w:pPr>
        <w:numPr>
          <w:ilvl w:val="0"/>
          <w:numId w:val="1"/>
        </w:numPr>
        <w:spacing w:after="240"/>
      </w:pPr>
      <w:r w:rsidRPr="00853ED5">
        <w:t>Molybdenum (Mo) Doping: Molybdenum doping had the most pronounced effect on ionic conductivity, achieving an average of 0.30 ± 0.15 S cm⁻¹ (</w:t>
      </w:r>
      <w:r w:rsidRPr="00A94981">
        <w:rPr>
          <w:i/>
          <w:iCs/>
        </w:rPr>
        <w:t xml:space="preserve">cf. </w:t>
      </w:r>
      <w:r w:rsidRPr="00853ED5">
        <w:t>Abstract). XANES and XPS analyses (</w:t>
      </w:r>
      <w:r w:rsidRPr="00A94981">
        <w:rPr>
          <w:i/>
          <w:iCs/>
        </w:rPr>
        <w:t>cf</w:t>
      </w:r>
      <w:r w:rsidRPr="00A94981">
        <w:t xml:space="preserve">. </w:t>
      </w:r>
      <w:r w:rsidRPr="00853ED5">
        <w:t>Figure 4a-1 and 4d) confirmed the successful incorporation of Mo⁶⁺ into the lattice, which modified the electronic structure and lowered the activation energy for Li⁺ diffusion (</w:t>
      </w:r>
      <w:r w:rsidRPr="00A94981">
        <w:rPr>
          <w:i/>
          <w:iCs/>
        </w:rPr>
        <w:t>cf</w:t>
      </w:r>
      <w:r w:rsidRPr="00A94981">
        <w:t xml:space="preserve">. </w:t>
      </w:r>
      <w:r w:rsidRPr="00853ED5">
        <w:t>Figure 8b). This resulted in significantly enhanced ionic pathways and reduced charge transfer resistance (</w:t>
      </w:r>
      <w:r w:rsidRPr="00A94981">
        <w:rPr>
          <w:i/>
          <w:iCs/>
        </w:rPr>
        <w:t xml:space="preserve">cf. </w:t>
      </w:r>
      <w:r w:rsidRPr="00853ED5">
        <w:t>Figure 6a), validating the initial hypothesis regarding Mo's role in boosting conductivity</w:t>
      </w:r>
      <w:r w:rsidR="001D67EB">
        <w:t>, collectively summarized in Table S1</w:t>
      </w:r>
      <w:r w:rsidR="00A5262E">
        <w:t xml:space="preserve"> [R6]</w:t>
      </w:r>
      <w:r w:rsidRPr="00853ED5">
        <w:t>.</w:t>
      </w:r>
    </w:p>
    <w:p w14:paraId="5B4A430B" w14:textId="77777777" w:rsidR="001D67EB" w:rsidRDefault="001D67EB">
      <w:pPr>
        <w:overflowPunct/>
        <w:autoSpaceDE/>
        <w:autoSpaceDN/>
        <w:adjustRightInd/>
        <w:spacing w:after="160" w:line="278" w:lineRule="auto"/>
        <w:ind w:firstLine="0"/>
        <w:jc w:val="left"/>
        <w:textAlignment w:val="auto"/>
      </w:pPr>
      <w:r>
        <w:br w:type="page"/>
      </w:r>
    </w:p>
    <w:p w14:paraId="0ED340E7" w14:textId="7E258B20" w:rsidR="00853ED5" w:rsidRPr="00853ED5" w:rsidRDefault="001D67EB" w:rsidP="001D67EB">
      <w:pPr>
        <w:spacing w:after="240"/>
        <w:ind w:left="720" w:firstLine="0"/>
        <w:rPr>
          <w:rFonts w:ascii="Times New Roman" w:hAnsi="Times New Roman"/>
          <w:bCs/>
          <w:lang w:eastAsia="zh-CN"/>
        </w:rPr>
      </w:pPr>
      <w:r w:rsidRPr="002F7DC8">
        <w:rPr>
          <w:rFonts w:ascii="Times New Roman" w:hAnsi="Times New Roman"/>
          <w:b/>
          <w:lang w:eastAsia="zh-CN"/>
        </w:rPr>
        <w:lastRenderedPageBreak/>
        <w:t xml:space="preserve">Table </w:t>
      </w:r>
      <w:r w:rsidRPr="002F7DC8">
        <w:rPr>
          <w:rFonts w:ascii="Times New Roman" w:hAnsi="Times New Roman"/>
          <w:b/>
          <w:lang w:eastAsia="zh-CN"/>
        </w:rPr>
        <w:t>S1</w:t>
      </w:r>
      <w:r w:rsidRPr="002F7DC8">
        <w:rPr>
          <w:rFonts w:ascii="Times New Roman" w:hAnsi="Times New Roman"/>
          <w:bCs/>
          <w:lang w:eastAsia="zh-CN"/>
        </w:rPr>
        <w:t xml:space="preserve">: Comparative Justification for Selecting </w:t>
      </w:r>
      <w:proofErr w:type="spellStart"/>
      <w:r w:rsidRPr="002F7DC8">
        <w:rPr>
          <w:rFonts w:ascii="Times New Roman" w:hAnsi="Times New Roman"/>
          <w:bCs/>
          <w:lang w:eastAsia="zh-CN"/>
        </w:rPr>
        <w:t>Li₃InCl</w:t>
      </w:r>
      <w:proofErr w:type="spellEnd"/>
      <w:r w:rsidRPr="002F7DC8">
        <w:rPr>
          <w:rFonts w:ascii="Times New Roman" w:hAnsi="Times New Roman"/>
          <w:bCs/>
          <w:lang w:eastAsia="zh-CN"/>
        </w:rPr>
        <w:t>₆ and Specific Dopants (F, Ce, Mo)</w:t>
      </w:r>
      <w:r w:rsidR="00FC38D2">
        <w:rPr>
          <w:rFonts w:ascii="Times New Roman" w:hAnsi="Times New Roman"/>
          <w:bCs/>
          <w:lang w:eastAsia="zh-CN"/>
        </w:rPr>
        <w:t>.</w:t>
      </w:r>
    </w:p>
    <w:tbl>
      <w:tblPr>
        <w:tblStyle w:val="TableGrid"/>
        <w:tblW w:w="0" w:type="auto"/>
        <w:tblLook w:val="04A0" w:firstRow="1" w:lastRow="0" w:firstColumn="1" w:lastColumn="0" w:noHBand="0" w:noVBand="1"/>
      </w:tblPr>
      <w:tblGrid>
        <w:gridCol w:w="1615"/>
        <w:gridCol w:w="3870"/>
        <w:gridCol w:w="3865"/>
      </w:tblGrid>
      <w:tr w:rsidR="001D67EB" w:rsidRPr="001D67EB" w14:paraId="6AA51697" w14:textId="77777777" w:rsidTr="001D67EB">
        <w:tc>
          <w:tcPr>
            <w:tcW w:w="1615" w:type="dxa"/>
            <w:vAlign w:val="center"/>
          </w:tcPr>
          <w:p w14:paraId="7B02809D" w14:textId="2CD14129" w:rsidR="001D67EB" w:rsidRPr="001D67EB" w:rsidRDefault="001D67EB" w:rsidP="001D67EB">
            <w:pPr>
              <w:spacing w:before="240"/>
              <w:ind w:firstLine="0"/>
              <w:rPr>
                <w:b/>
                <w:bCs/>
              </w:rPr>
            </w:pPr>
            <w:r w:rsidRPr="001D67EB">
              <w:rPr>
                <w:b/>
                <w:bCs/>
              </w:rPr>
              <w:t>Aspect</w:t>
            </w:r>
          </w:p>
        </w:tc>
        <w:tc>
          <w:tcPr>
            <w:tcW w:w="3870" w:type="dxa"/>
            <w:vAlign w:val="center"/>
          </w:tcPr>
          <w:p w14:paraId="2A0CF841" w14:textId="72BD9ECE" w:rsidR="001D67EB" w:rsidRPr="001D67EB" w:rsidRDefault="001D67EB" w:rsidP="001D67EB">
            <w:pPr>
              <w:spacing w:before="240"/>
              <w:ind w:firstLine="0"/>
              <w:rPr>
                <w:b/>
                <w:bCs/>
              </w:rPr>
            </w:pPr>
            <w:proofErr w:type="spellStart"/>
            <w:r w:rsidRPr="001D67EB">
              <w:rPr>
                <w:b/>
                <w:bCs/>
              </w:rPr>
              <w:t>Li₃InCl</w:t>
            </w:r>
            <w:proofErr w:type="spellEnd"/>
            <w:r w:rsidRPr="001D67EB">
              <w:rPr>
                <w:b/>
                <w:bCs/>
              </w:rPr>
              <w:t>₆</w:t>
            </w:r>
          </w:p>
        </w:tc>
        <w:tc>
          <w:tcPr>
            <w:tcW w:w="3865" w:type="dxa"/>
            <w:vAlign w:val="center"/>
          </w:tcPr>
          <w:p w14:paraId="4E9CA64F" w14:textId="6F8227AA" w:rsidR="001D67EB" w:rsidRPr="001D67EB" w:rsidRDefault="001D67EB" w:rsidP="001D67EB">
            <w:pPr>
              <w:spacing w:before="240"/>
              <w:ind w:firstLine="0"/>
              <w:rPr>
                <w:b/>
                <w:bCs/>
              </w:rPr>
            </w:pPr>
            <w:r w:rsidRPr="001D67EB">
              <w:rPr>
                <w:b/>
                <w:bCs/>
              </w:rPr>
              <w:t>Other Ceramic SSEs</w:t>
            </w:r>
          </w:p>
        </w:tc>
      </w:tr>
      <w:tr w:rsidR="001D67EB" w:rsidRPr="001D67EB" w14:paraId="0AE75334" w14:textId="77777777" w:rsidTr="001D67EB">
        <w:tc>
          <w:tcPr>
            <w:tcW w:w="1615" w:type="dxa"/>
            <w:vAlign w:val="center"/>
          </w:tcPr>
          <w:p w14:paraId="54B049FD" w14:textId="6F389513" w:rsidR="001D67EB" w:rsidRPr="001D67EB" w:rsidRDefault="001D67EB" w:rsidP="001D67EB">
            <w:pPr>
              <w:spacing w:before="240"/>
              <w:ind w:firstLine="0"/>
            </w:pPr>
            <w:r w:rsidRPr="001D67EB">
              <w:t>Ionic Conductivity</w:t>
            </w:r>
          </w:p>
        </w:tc>
        <w:tc>
          <w:tcPr>
            <w:tcW w:w="3870" w:type="dxa"/>
            <w:vAlign w:val="center"/>
          </w:tcPr>
          <w:p w14:paraId="0A1344EE" w14:textId="68BBDE87" w:rsidR="001D67EB" w:rsidRPr="001D67EB" w:rsidRDefault="001D67EB" w:rsidP="001D67EB">
            <w:pPr>
              <w:spacing w:before="240"/>
              <w:ind w:firstLine="0"/>
            </w:pPr>
            <w:r w:rsidRPr="001D67EB">
              <w:t>Superior (0.30 ± 0.15 S cm⁻¹)</w:t>
            </w:r>
          </w:p>
        </w:tc>
        <w:tc>
          <w:tcPr>
            <w:tcW w:w="3865" w:type="dxa"/>
            <w:vAlign w:val="center"/>
          </w:tcPr>
          <w:p w14:paraId="20482605" w14:textId="0A54DF27" w:rsidR="001D67EB" w:rsidRPr="001D67EB" w:rsidRDefault="001D67EB" w:rsidP="001D67EB">
            <w:pPr>
              <w:spacing w:before="240"/>
              <w:ind w:firstLine="0"/>
            </w:pPr>
            <w:r w:rsidRPr="001D67EB">
              <w:t>Generally lower</w:t>
            </w:r>
          </w:p>
        </w:tc>
      </w:tr>
      <w:tr w:rsidR="001D67EB" w:rsidRPr="001D67EB" w14:paraId="58311E2E" w14:textId="77777777" w:rsidTr="001D67EB">
        <w:tc>
          <w:tcPr>
            <w:tcW w:w="1615" w:type="dxa"/>
            <w:vAlign w:val="center"/>
          </w:tcPr>
          <w:p w14:paraId="196EDB1F" w14:textId="7501832D" w:rsidR="001D67EB" w:rsidRPr="001D67EB" w:rsidRDefault="001D67EB" w:rsidP="001D67EB">
            <w:pPr>
              <w:spacing w:before="240"/>
              <w:ind w:firstLine="0"/>
            </w:pPr>
            <w:r w:rsidRPr="001D67EB">
              <w:t>Structural Stability</w:t>
            </w:r>
          </w:p>
        </w:tc>
        <w:tc>
          <w:tcPr>
            <w:tcW w:w="3870" w:type="dxa"/>
            <w:vAlign w:val="center"/>
          </w:tcPr>
          <w:p w14:paraId="4CD8F214" w14:textId="56125566" w:rsidR="001D67EB" w:rsidRPr="001D67EB" w:rsidRDefault="001D67EB" w:rsidP="001D67EB">
            <w:pPr>
              <w:spacing w:before="240"/>
              <w:ind w:firstLine="0"/>
            </w:pPr>
            <w:r w:rsidRPr="001D67EB">
              <w:t>High thermal and electrochemical stability</w:t>
            </w:r>
          </w:p>
        </w:tc>
        <w:tc>
          <w:tcPr>
            <w:tcW w:w="3865" w:type="dxa"/>
            <w:vAlign w:val="center"/>
          </w:tcPr>
          <w:p w14:paraId="39CBBD7C" w14:textId="1863143B" w:rsidR="001D67EB" w:rsidRPr="001D67EB" w:rsidRDefault="001D67EB" w:rsidP="001D67EB">
            <w:pPr>
              <w:spacing w:before="240"/>
              <w:ind w:firstLine="0"/>
            </w:pPr>
            <w:r w:rsidRPr="001D67EB">
              <w:t>Varies; some less stable</w:t>
            </w:r>
          </w:p>
        </w:tc>
      </w:tr>
      <w:tr w:rsidR="001D67EB" w:rsidRPr="001D67EB" w14:paraId="309BC4F0" w14:textId="77777777" w:rsidTr="001D67EB">
        <w:tc>
          <w:tcPr>
            <w:tcW w:w="1615" w:type="dxa"/>
            <w:vAlign w:val="center"/>
          </w:tcPr>
          <w:p w14:paraId="43AEAEE3" w14:textId="2C0BDDAC" w:rsidR="001D67EB" w:rsidRPr="001D67EB" w:rsidRDefault="001D67EB" w:rsidP="001D67EB">
            <w:pPr>
              <w:spacing w:before="240"/>
              <w:ind w:firstLine="0"/>
            </w:pPr>
            <w:r w:rsidRPr="001D67EB">
              <w:t>Compatibility with Cathodes</w:t>
            </w:r>
          </w:p>
        </w:tc>
        <w:tc>
          <w:tcPr>
            <w:tcW w:w="3870" w:type="dxa"/>
            <w:vAlign w:val="center"/>
          </w:tcPr>
          <w:p w14:paraId="1F782431" w14:textId="5E43D8D6" w:rsidR="001D67EB" w:rsidRPr="001D67EB" w:rsidRDefault="001D67EB" w:rsidP="001D67EB">
            <w:pPr>
              <w:spacing w:before="240"/>
              <w:ind w:firstLine="0"/>
            </w:pPr>
            <w:r w:rsidRPr="001D67EB">
              <w:t>Broad compatibility</w:t>
            </w:r>
          </w:p>
        </w:tc>
        <w:tc>
          <w:tcPr>
            <w:tcW w:w="3865" w:type="dxa"/>
            <w:vAlign w:val="center"/>
          </w:tcPr>
          <w:p w14:paraId="5F112A97" w14:textId="6BE28346" w:rsidR="001D67EB" w:rsidRPr="001D67EB" w:rsidRDefault="001D67EB" w:rsidP="001D67EB">
            <w:pPr>
              <w:spacing w:before="240"/>
              <w:ind w:firstLine="0"/>
            </w:pPr>
            <w:r w:rsidRPr="001D67EB">
              <w:t>Limited compatibility with some cathodes</w:t>
            </w:r>
          </w:p>
        </w:tc>
      </w:tr>
      <w:tr w:rsidR="001D67EB" w:rsidRPr="001D67EB" w14:paraId="1850AD11" w14:textId="77777777" w:rsidTr="001D67EB">
        <w:tc>
          <w:tcPr>
            <w:tcW w:w="1615" w:type="dxa"/>
            <w:vAlign w:val="center"/>
          </w:tcPr>
          <w:p w14:paraId="78BF0E6E" w14:textId="37886460" w:rsidR="001D67EB" w:rsidRPr="001D67EB" w:rsidRDefault="001D67EB" w:rsidP="001D67EB">
            <w:pPr>
              <w:spacing w:before="240"/>
              <w:ind w:firstLine="0"/>
            </w:pPr>
            <w:r w:rsidRPr="001D67EB">
              <w:t>Dopant Contribution</w:t>
            </w:r>
          </w:p>
        </w:tc>
        <w:tc>
          <w:tcPr>
            <w:tcW w:w="3870" w:type="dxa"/>
            <w:vAlign w:val="center"/>
          </w:tcPr>
          <w:p w14:paraId="5499929D" w14:textId="1E1969E1" w:rsidR="001D67EB" w:rsidRPr="001D67EB" w:rsidRDefault="001D67EB" w:rsidP="001D67EB">
            <w:pPr>
              <w:spacing w:before="240"/>
              <w:ind w:firstLine="0"/>
            </w:pPr>
            <w:r w:rsidRPr="001D67EB">
              <w:t>F:</w:t>
            </w:r>
            <w:r>
              <w:t xml:space="preserve"> </w:t>
            </w:r>
            <w:r w:rsidRPr="001D67EB">
              <w:t>Enhances lattice stability and Li⁺ mobility</w:t>
            </w:r>
            <w:r w:rsidRPr="001D67EB">
              <w:br/>
              <w:t>Ce:</w:t>
            </w:r>
            <w:r>
              <w:t xml:space="preserve"> </w:t>
            </w:r>
            <w:r w:rsidRPr="001D67EB">
              <w:t>Improves structural integrity and reduces interfacial resistance</w:t>
            </w:r>
            <w:r w:rsidRPr="001D67EB">
              <w:br/>
              <w:t>Mo:</w:t>
            </w:r>
            <w:r>
              <w:t xml:space="preserve"> </w:t>
            </w:r>
            <w:r w:rsidRPr="001D67EB">
              <w:t>Significantly boosts ionic conductivity and lowers activation energy</w:t>
            </w:r>
          </w:p>
        </w:tc>
        <w:tc>
          <w:tcPr>
            <w:tcW w:w="3865" w:type="dxa"/>
            <w:vAlign w:val="center"/>
          </w:tcPr>
          <w:p w14:paraId="229A663B" w14:textId="68667C90" w:rsidR="001D67EB" w:rsidRPr="001D67EB" w:rsidRDefault="001D67EB" w:rsidP="001D67EB">
            <w:pPr>
              <w:spacing w:before="240"/>
              <w:ind w:firstLine="0"/>
            </w:pPr>
            <w:r w:rsidRPr="001D67EB">
              <w:t>-</w:t>
            </w:r>
          </w:p>
        </w:tc>
      </w:tr>
    </w:tbl>
    <w:p w14:paraId="0CE16CAF" w14:textId="091077E0" w:rsidR="00853ED5" w:rsidRPr="00A94981" w:rsidRDefault="00853ED5" w:rsidP="001D67EB">
      <w:pPr>
        <w:spacing w:before="240" w:after="240"/>
        <w:ind w:firstLine="0"/>
      </w:pPr>
      <w:r w:rsidRPr="00A94981">
        <w:t xml:space="preserve">The selection of </w:t>
      </w:r>
      <w:proofErr w:type="spellStart"/>
      <w:r w:rsidRPr="00A94981">
        <w:t>Li₃InCl</w:t>
      </w:r>
      <w:proofErr w:type="spellEnd"/>
      <w:r w:rsidRPr="00A94981">
        <w:t>₆ as the base electrolyte was driven by its high ionic conductivity and structural robustness, making it a superior candidate among lithium halide solid-state electrolytes. To optimize its performance, dopants</w:t>
      </w:r>
      <w:r w:rsidR="00EB40E6">
        <w:t>—fluorine</w:t>
      </w:r>
      <w:r w:rsidRPr="00A94981">
        <w:t xml:space="preserve"> (F), Cerium (Ce), and Molybdenum (Mo)—were incorporated to enhance ionic pathways, stabilize the crystal lattice, and reduce interfacial resistance</w:t>
      </w:r>
      <w:r w:rsidR="006A4C02">
        <w:t>, summarized in Table S</w:t>
      </w:r>
      <w:r w:rsidR="001D67EB">
        <w:t>2</w:t>
      </w:r>
      <w:r w:rsidR="00A5262E">
        <w:t xml:space="preserve"> [R7-R10]</w:t>
      </w:r>
      <w:r w:rsidRPr="00A94981">
        <w:t>.</w:t>
      </w:r>
    </w:p>
    <w:p w14:paraId="76AF770A" w14:textId="7E96E6EA" w:rsidR="00A94981" w:rsidRPr="002F7DC8" w:rsidRDefault="00A94981" w:rsidP="00A94981">
      <w:pPr>
        <w:spacing w:after="240"/>
        <w:ind w:firstLine="0"/>
        <w:rPr>
          <w:rFonts w:ascii="Times New Roman" w:hAnsi="Times New Roman"/>
          <w:b/>
          <w:lang w:eastAsia="zh-CN"/>
        </w:rPr>
      </w:pPr>
      <w:r w:rsidRPr="002F7DC8">
        <w:rPr>
          <w:rFonts w:ascii="Times New Roman" w:hAnsi="Times New Roman"/>
          <w:b/>
          <w:lang w:eastAsia="zh-CN"/>
        </w:rPr>
        <w:t>Table S</w:t>
      </w:r>
      <w:r w:rsidR="001D67EB" w:rsidRPr="002F7DC8">
        <w:rPr>
          <w:rFonts w:ascii="Times New Roman" w:hAnsi="Times New Roman"/>
          <w:b/>
          <w:lang w:eastAsia="zh-CN"/>
        </w:rPr>
        <w:t>2</w:t>
      </w:r>
      <w:r w:rsidRPr="002F7DC8">
        <w:rPr>
          <w:rFonts w:ascii="Times New Roman" w:hAnsi="Times New Roman"/>
          <w:b/>
          <w:lang w:eastAsia="zh-CN"/>
        </w:rPr>
        <w:t xml:space="preserve">: </w:t>
      </w:r>
      <w:r w:rsidRPr="002F7DC8">
        <w:rPr>
          <w:rFonts w:ascii="Times New Roman" w:hAnsi="Times New Roman"/>
          <w:bCs/>
          <w:lang w:eastAsia="zh-CN"/>
        </w:rPr>
        <w:t xml:space="preserve">Comparative Effects of F, Ce, and Mo Doping on </w:t>
      </w:r>
      <w:proofErr w:type="spellStart"/>
      <w:r w:rsidRPr="002F7DC8">
        <w:rPr>
          <w:rFonts w:ascii="Times New Roman" w:hAnsi="Times New Roman"/>
          <w:bCs/>
          <w:lang w:eastAsia="zh-CN"/>
        </w:rPr>
        <w:t>Li₃InCl</w:t>
      </w:r>
      <w:proofErr w:type="spellEnd"/>
      <w:r w:rsidRPr="002F7DC8">
        <w:rPr>
          <w:rFonts w:ascii="Times New Roman" w:hAnsi="Times New Roman"/>
          <w:bCs/>
          <w:lang w:eastAsia="zh-CN"/>
        </w:rPr>
        <w:t>₆ Electrolytes</w:t>
      </w:r>
      <w:r w:rsidR="00FC38D2">
        <w:rPr>
          <w:rFonts w:ascii="Times New Roman" w:hAnsi="Times New Roman"/>
          <w:bCs/>
          <w:lang w:eastAsia="zh-CN"/>
        </w:rPr>
        <w:t>.</w:t>
      </w:r>
    </w:p>
    <w:tbl>
      <w:tblPr>
        <w:tblStyle w:val="TableGrid"/>
        <w:tblW w:w="0" w:type="auto"/>
        <w:tblLook w:val="04A0" w:firstRow="1" w:lastRow="0" w:firstColumn="1" w:lastColumn="0" w:noHBand="0" w:noVBand="1"/>
      </w:tblPr>
      <w:tblGrid>
        <w:gridCol w:w="851"/>
        <w:gridCol w:w="2024"/>
        <w:gridCol w:w="3330"/>
        <w:gridCol w:w="3145"/>
      </w:tblGrid>
      <w:tr w:rsidR="00A94981" w14:paraId="5A033959" w14:textId="77777777" w:rsidTr="00A94981">
        <w:tc>
          <w:tcPr>
            <w:tcW w:w="851" w:type="dxa"/>
            <w:vAlign w:val="center"/>
          </w:tcPr>
          <w:p w14:paraId="426D3849" w14:textId="328896E1" w:rsidR="00A94981" w:rsidRDefault="00A94981" w:rsidP="00A94981">
            <w:pPr>
              <w:ind w:firstLine="0"/>
            </w:pPr>
            <w:r w:rsidRPr="00A94981">
              <w:rPr>
                <w:b/>
                <w:bCs/>
              </w:rPr>
              <w:t>Dopant</w:t>
            </w:r>
          </w:p>
        </w:tc>
        <w:tc>
          <w:tcPr>
            <w:tcW w:w="2024" w:type="dxa"/>
            <w:vAlign w:val="center"/>
          </w:tcPr>
          <w:p w14:paraId="73151D43" w14:textId="3D110D68" w:rsidR="00A94981" w:rsidRDefault="00A94981" w:rsidP="00A94981">
            <w:pPr>
              <w:ind w:firstLine="0"/>
            </w:pPr>
            <w:r w:rsidRPr="00A94981">
              <w:rPr>
                <w:b/>
                <w:bCs/>
              </w:rPr>
              <w:t>Primary Effects</w:t>
            </w:r>
          </w:p>
        </w:tc>
        <w:tc>
          <w:tcPr>
            <w:tcW w:w="3330" w:type="dxa"/>
            <w:vAlign w:val="center"/>
          </w:tcPr>
          <w:p w14:paraId="0C107DE4" w14:textId="523C1630" w:rsidR="00A94981" w:rsidRDefault="00A94981" w:rsidP="00A94981">
            <w:pPr>
              <w:ind w:firstLine="0"/>
            </w:pPr>
            <w:r w:rsidRPr="00A94981">
              <w:rPr>
                <w:b/>
                <w:bCs/>
              </w:rPr>
              <w:t>Structural Changes</w:t>
            </w:r>
          </w:p>
        </w:tc>
        <w:tc>
          <w:tcPr>
            <w:tcW w:w="3145" w:type="dxa"/>
            <w:vAlign w:val="center"/>
          </w:tcPr>
          <w:p w14:paraId="6FBA52B1" w14:textId="662C0D3F" w:rsidR="00A94981" w:rsidRDefault="00A94981" w:rsidP="00A94981">
            <w:pPr>
              <w:ind w:firstLine="0"/>
            </w:pPr>
            <w:r w:rsidRPr="00A94981">
              <w:rPr>
                <w:b/>
                <w:bCs/>
              </w:rPr>
              <w:t>Electrochemical Impacts</w:t>
            </w:r>
          </w:p>
        </w:tc>
      </w:tr>
      <w:tr w:rsidR="00A94981" w14:paraId="2D8FBC75" w14:textId="77777777" w:rsidTr="00A94981">
        <w:tc>
          <w:tcPr>
            <w:tcW w:w="851" w:type="dxa"/>
            <w:vAlign w:val="center"/>
          </w:tcPr>
          <w:p w14:paraId="09FD42AD" w14:textId="4305139C" w:rsidR="00A94981" w:rsidRDefault="00A94981" w:rsidP="00A94981">
            <w:pPr>
              <w:ind w:firstLine="0"/>
            </w:pPr>
            <w:r w:rsidRPr="00A94981">
              <w:rPr>
                <w:b/>
                <w:bCs/>
              </w:rPr>
              <w:t>F</w:t>
            </w:r>
          </w:p>
        </w:tc>
        <w:tc>
          <w:tcPr>
            <w:tcW w:w="2024" w:type="dxa"/>
            <w:vAlign w:val="center"/>
          </w:tcPr>
          <w:p w14:paraId="53F3906F" w14:textId="34CE2CD3" w:rsidR="00A94981" w:rsidRDefault="00A94981" w:rsidP="00A94981">
            <w:pPr>
              <w:ind w:firstLine="0"/>
            </w:pPr>
            <w:r w:rsidRPr="00A94981">
              <w:t>Enhances lattice stability and facilitates Li⁺ ion mobility</w:t>
            </w:r>
          </w:p>
        </w:tc>
        <w:tc>
          <w:tcPr>
            <w:tcW w:w="3330" w:type="dxa"/>
            <w:vAlign w:val="center"/>
          </w:tcPr>
          <w:p w14:paraId="41F8C4E5" w14:textId="649A7CBB" w:rsidR="00A94981" w:rsidRDefault="00A94981" w:rsidP="00A94981">
            <w:pPr>
              <w:ind w:firstLine="0"/>
            </w:pPr>
            <w:r w:rsidRPr="00A94981">
              <w:t>Formation of Li-F bonds; improved crystallinity</w:t>
            </w:r>
          </w:p>
        </w:tc>
        <w:tc>
          <w:tcPr>
            <w:tcW w:w="3145" w:type="dxa"/>
            <w:vAlign w:val="center"/>
          </w:tcPr>
          <w:p w14:paraId="7FA66578" w14:textId="15B00939" w:rsidR="00A94981" w:rsidRDefault="00A94981" w:rsidP="00A94981">
            <w:pPr>
              <w:ind w:firstLine="0"/>
            </w:pPr>
            <w:r w:rsidRPr="00A94981">
              <w:t>Moderate increase in ionic conductivity; reduced lattice distortion</w:t>
            </w:r>
          </w:p>
        </w:tc>
      </w:tr>
      <w:tr w:rsidR="00A94981" w14:paraId="6A3E43F4" w14:textId="77777777" w:rsidTr="00A94981">
        <w:tc>
          <w:tcPr>
            <w:tcW w:w="851" w:type="dxa"/>
            <w:vAlign w:val="center"/>
          </w:tcPr>
          <w:p w14:paraId="44F63117" w14:textId="1D5E89C7" w:rsidR="00A94981" w:rsidRDefault="00A94981" w:rsidP="00A94981">
            <w:pPr>
              <w:ind w:firstLine="0"/>
            </w:pPr>
            <w:r w:rsidRPr="00A94981">
              <w:rPr>
                <w:b/>
                <w:bCs/>
              </w:rPr>
              <w:t>Ce</w:t>
            </w:r>
          </w:p>
        </w:tc>
        <w:tc>
          <w:tcPr>
            <w:tcW w:w="2024" w:type="dxa"/>
            <w:vAlign w:val="center"/>
          </w:tcPr>
          <w:p w14:paraId="33C628DB" w14:textId="4ED8685D" w:rsidR="00A94981" w:rsidRDefault="00A94981" w:rsidP="00A94981">
            <w:pPr>
              <w:ind w:firstLine="0"/>
            </w:pPr>
            <w:r w:rsidRPr="00A94981">
              <w:t>Improves structural integrity and reduces interfacial resistance</w:t>
            </w:r>
          </w:p>
        </w:tc>
        <w:tc>
          <w:tcPr>
            <w:tcW w:w="3330" w:type="dxa"/>
            <w:vAlign w:val="center"/>
          </w:tcPr>
          <w:p w14:paraId="541A29CE" w14:textId="5F28A627" w:rsidR="00A94981" w:rsidRDefault="00A94981" w:rsidP="00A94981">
            <w:pPr>
              <w:ind w:firstLine="0"/>
            </w:pPr>
            <w:r w:rsidRPr="00A94981">
              <w:t>Occupation of specific lattice sites by Ce⁴⁺; stabilization of crystal structure</w:t>
            </w:r>
          </w:p>
        </w:tc>
        <w:tc>
          <w:tcPr>
            <w:tcW w:w="3145" w:type="dxa"/>
            <w:vAlign w:val="center"/>
          </w:tcPr>
          <w:p w14:paraId="0AC2B249" w14:textId="357B155D" w:rsidR="00A94981" w:rsidRDefault="00A94981" w:rsidP="00A94981">
            <w:pPr>
              <w:ind w:firstLine="0"/>
            </w:pPr>
            <w:r w:rsidRPr="00A94981">
              <w:t>Enhanced cycling stability; reduced charge transfer resistance</w:t>
            </w:r>
          </w:p>
        </w:tc>
      </w:tr>
      <w:tr w:rsidR="00A94981" w14:paraId="63196A81" w14:textId="77777777" w:rsidTr="00A94981">
        <w:tc>
          <w:tcPr>
            <w:tcW w:w="851" w:type="dxa"/>
            <w:vAlign w:val="center"/>
          </w:tcPr>
          <w:p w14:paraId="4562D282" w14:textId="4DEF598A" w:rsidR="00A94981" w:rsidRDefault="00A94981" w:rsidP="00A94981">
            <w:pPr>
              <w:ind w:firstLine="0"/>
            </w:pPr>
            <w:r w:rsidRPr="00A94981">
              <w:rPr>
                <w:b/>
                <w:bCs/>
              </w:rPr>
              <w:t>Mo</w:t>
            </w:r>
          </w:p>
        </w:tc>
        <w:tc>
          <w:tcPr>
            <w:tcW w:w="2024" w:type="dxa"/>
            <w:vAlign w:val="center"/>
          </w:tcPr>
          <w:p w14:paraId="7B3291A6" w14:textId="724AEB48" w:rsidR="00A94981" w:rsidRDefault="00A94981" w:rsidP="00A94981">
            <w:pPr>
              <w:ind w:firstLine="0"/>
            </w:pPr>
            <w:r w:rsidRPr="00A94981">
              <w:t>Significantly boosts ionic conductivity by modifying electronic structure</w:t>
            </w:r>
          </w:p>
        </w:tc>
        <w:tc>
          <w:tcPr>
            <w:tcW w:w="3330" w:type="dxa"/>
            <w:vAlign w:val="center"/>
          </w:tcPr>
          <w:p w14:paraId="5E0A97FF" w14:textId="3F31156E" w:rsidR="00A94981" w:rsidRDefault="00A94981" w:rsidP="00A94981">
            <w:pPr>
              <w:ind w:firstLine="0"/>
            </w:pPr>
            <w:r w:rsidRPr="00A94981">
              <w:t>Introduction of Mo changes electronic band structure; creation of additional conduction pathways</w:t>
            </w:r>
          </w:p>
        </w:tc>
        <w:tc>
          <w:tcPr>
            <w:tcW w:w="3145" w:type="dxa"/>
            <w:vAlign w:val="center"/>
          </w:tcPr>
          <w:p w14:paraId="5775F3DE" w14:textId="590FE291" w:rsidR="00A94981" w:rsidRDefault="00A94981" w:rsidP="00A94981">
            <w:pPr>
              <w:ind w:firstLine="0"/>
            </w:pPr>
            <w:r w:rsidRPr="00A94981">
              <w:t>Substantial increase in ionic conductivity; lowered activation energy barriers</w:t>
            </w:r>
          </w:p>
        </w:tc>
      </w:tr>
    </w:tbl>
    <w:p w14:paraId="488C67E6" w14:textId="77777777" w:rsidR="00853ED5" w:rsidRPr="00853ED5" w:rsidRDefault="00853ED5" w:rsidP="00A94981">
      <w:pPr>
        <w:spacing w:before="240"/>
        <w:ind w:firstLine="0"/>
      </w:pPr>
      <w:r w:rsidRPr="00853ED5">
        <w:t xml:space="preserve">The introduction of Fluorine (F), Cerium (Ce), and Molybdenum (Mo) dopants into the </w:t>
      </w:r>
      <w:proofErr w:type="spellStart"/>
      <w:r w:rsidRPr="00853ED5">
        <w:t>Li₃InCl</w:t>
      </w:r>
      <w:proofErr w:type="spellEnd"/>
      <w:r w:rsidRPr="00853ED5">
        <w:t>₆ matrix each played a distinct role in enhancing the electrolyte's performance:</w:t>
      </w:r>
    </w:p>
    <w:p w14:paraId="4D7AC8C2" w14:textId="4AAB08B0" w:rsidR="00853ED5" w:rsidRPr="00853ED5" w:rsidRDefault="00853ED5" w:rsidP="00853ED5">
      <w:pPr>
        <w:numPr>
          <w:ilvl w:val="0"/>
          <w:numId w:val="2"/>
        </w:numPr>
      </w:pPr>
      <w:r w:rsidRPr="00853ED5">
        <w:t xml:space="preserve">Fluorine (F) Doping: Fluorine substitution </w:t>
      </w:r>
      <w:r w:rsidR="00EB40E6">
        <w:t>formed Li-F bonds, as evidenced by shifts in peak positions in the XPS spectra (Figures</w:t>
      </w:r>
      <w:r w:rsidRPr="00853ED5">
        <w:t xml:space="preserve"> S1</w:t>
      </w:r>
      <w:r w:rsidR="001D67EB">
        <w:t xml:space="preserve"> &amp; S2</w:t>
      </w:r>
      <w:r w:rsidRPr="00853ED5">
        <w:t>). This modification reduced lattice distortion, facilitating smoother Li⁺ ion migration paths and enhancing ionic conductivity</w:t>
      </w:r>
      <w:r w:rsidR="00A5262E">
        <w:t xml:space="preserve"> [R11]</w:t>
      </w:r>
      <w:r w:rsidRPr="00853ED5">
        <w:t>.</w:t>
      </w:r>
    </w:p>
    <w:p w14:paraId="7A748B05" w14:textId="1E7924A0" w:rsidR="00853ED5" w:rsidRPr="00853ED5" w:rsidRDefault="00853ED5" w:rsidP="00853ED5">
      <w:pPr>
        <w:numPr>
          <w:ilvl w:val="0"/>
          <w:numId w:val="2"/>
        </w:numPr>
      </w:pPr>
      <w:r w:rsidRPr="00853ED5">
        <w:t>Cerium (Ce) Doping: Cerium doping introduced charge compensation mechanisms, creating vacancies and interstitial sites that promoted higher ionic mobility. Electrochemical Impedance Spectroscopy (EIS) measurements indicated a reduction in interfacial resistance attributed to the enhanced mechanical robustness provided by Ce doping</w:t>
      </w:r>
      <w:r w:rsidR="00A5262E">
        <w:t xml:space="preserve"> [R12]</w:t>
      </w:r>
      <w:r w:rsidRPr="00853ED5">
        <w:t>.</w:t>
      </w:r>
    </w:p>
    <w:p w14:paraId="50B49B5D" w14:textId="77777777" w:rsidR="006F66BF" w:rsidRDefault="00853ED5" w:rsidP="006F66BF">
      <w:pPr>
        <w:numPr>
          <w:ilvl w:val="0"/>
          <w:numId w:val="2"/>
        </w:numPr>
      </w:pPr>
      <w:r w:rsidRPr="00853ED5">
        <w:t>Molybdenum (Mo) Doping: Molybdenum doping significantly boosted ionic conductivity, achieving an average of 0.30 ± 0.15 S cm⁻¹ (Abstract). XANES and XPS analyses confirmed the successful incorporation of Mo⁶⁺ into the lattice, modifying the electronic structure and lowering the activation energy for Li⁺ diffusion. This resulted in enhanced ionic pathways and reduced charge transfer resistance, validating the effectiveness of Mo doping in optimizing electrolyte performance</w:t>
      </w:r>
      <w:r w:rsidR="006F66BF">
        <w:t xml:space="preserve"> [R13]</w:t>
      </w:r>
      <w:r w:rsidR="00A94981">
        <w:t>.</w:t>
      </w:r>
    </w:p>
    <w:p w14:paraId="64E46454" w14:textId="07011CA5" w:rsidR="00A94981" w:rsidRPr="006F66BF" w:rsidRDefault="00A94981" w:rsidP="006F66BF">
      <w:pPr>
        <w:ind w:firstLine="0"/>
      </w:pPr>
      <w:r w:rsidRPr="006F66BF">
        <w:rPr>
          <w:b/>
          <w:bCs/>
        </w:rPr>
        <w:lastRenderedPageBreak/>
        <w:t>Method</w:t>
      </w:r>
      <w:r w:rsidR="006A4C02" w:rsidRPr="006F66BF">
        <w:rPr>
          <w:b/>
          <w:bCs/>
        </w:rPr>
        <w:t>:</w:t>
      </w:r>
    </w:p>
    <w:p w14:paraId="3B7CA5A2" w14:textId="20D7CA57" w:rsidR="003941DD" w:rsidRDefault="004E6A85" w:rsidP="003941DD">
      <w:pPr>
        <w:snapToGrid w:val="0"/>
        <w:spacing w:before="240" w:after="360"/>
        <w:ind w:firstLine="0"/>
      </w:pPr>
      <w:r w:rsidRPr="004E6A85">
        <w:t xml:space="preserve">The </w:t>
      </w:r>
      <w:r w:rsidRPr="004E6A85">
        <w:rPr>
          <w:i/>
          <w:iCs/>
        </w:rPr>
        <w:t>in-situ</w:t>
      </w:r>
      <w:r w:rsidRPr="004E6A85">
        <w:t xml:space="preserve"> nanoengineering method was optimized to enhance sustainability by operating at reduced temperatures (≤ 350</w:t>
      </w:r>
      <w:r w:rsidR="003941DD">
        <w:t xml:space="preserve"> </w:t>
      </w:r>
      <w:r w:rsidRPr="004E6A85">
        <w:t>°C) and utilizing water as the primary solvent. Natural extracts</w:t>
      </w:r>
      <w:r w:rsidR="00EB40E6">
        <w:t xml:space="preserve"> like aloe vera</w:t>
      </w:r>
      <w:r w:rsidRPr="004E6A85">
        <w:t xml:space="preserve"> were incorporated </w:t>
      </w:r>
      <w:r w:rsidR="00EB40E6">
        <w:t>to minimize environmental impact further</w:t>
      </w:r>
      <w:r w:rsidRPr="004E6A85">
        <w:t>. Energy consumption was monitored throughout the synthesis process, revealing a 40% reduction compared to conventional methods. Additionally, waste generation was tracked, showing a 75% decrease in hazardous by-products. These metrics were calculated based on standardized energy measurements and waste quantification protocols</w:t>
      </w:r>
      <w:r>
        <w:t xml:space="preserve">, summarized in </w:t>
      </w:r>
      <w:r w:rsidR="002B026A">
        <w:t>Figure</w:t>
      </w:r>
      <w:r w:rsidR="00860B16">
        <w:t>s</w:t>
      </w:r>
      <w:r w:rsidR="002B026A">
        <w:t xml:space="preserve"> S1</w:t>
      </w:r>
      <w:r w:rsidR="00860B16">
        <w:t xml:space="preserve"> </w:t>
      </w:r>
      <w:r w:rsidR="002B026A">
        <w:t xml:space="preserve">and </w:t>
      </w:r>
      <w:r>
        <w:t>Table</w:t>
      </w:r>
      <w:r w:rsidR="00860B16">
        <w:t>s S2-</w:t>
      </w:r>
      <w:r>
        <w:t xml:space="preserve"> S3</w:t>
      </w:r>
      <w:r w:rsidR="006F66BF">
        <w:t xml:space="preserve"> [R14-R18]</w:t>
      </w:r>
      <w:r>
        <w:t>.</w:t>
      </w:r>
      <w:r w:rsidR="00860B16">
        <w:tab/>
      </w:r>
    </w:p>
    <w:p w14:paraId="4671A9BD" w14:textId="2463B9B3" w:rsidR="002B026A" w:rsidRDefault="002B026A" w:rsidP="003941DD">
      <w:pPr>
        <w:snapToGrid w:val="0"/>
        <w:ind w:firstLine="0"/>
        <w:rPr>
          <w:rFonts w:asciiTheme="minorHAnsi" w:hAnsiTheme="minorHAnsi" w:cstheme="minorHAnsi"/>
        </w:rPr>
      </w:pPr>
      <w:r>
        <w:rPr>
          <w:noProof/>
        </w:rPr>
        <w:drawing>
          <wp:inline distT="0" distB="0" distL="0" distR="0" wp14:anchorId="6865AD3A" wp14:editId="6DDF9386">
            <wp:extent cx="6188710" cy="1976755"/>
            <wp:effectExtent l="0" t="0" r="2540" b="4445"/>
            <wp:docPr id="1604985068"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85068" name="Picture 1" descr="A diagram of a diagram&#10;&#10;Description automatically generated with medium confidence"/>
                    <pic:cNvPicPr/>
                  </pic:nvPicPr>
                  <pic:blipFill>
                    <a:blip r:embed="rId7"/>
                    <a:stretch>
                      <a:fillRect/>
                    </a:stretch>
                  </pic:blipFill>
                  <pic:spPr>
                    <a:xfrm>
                      <a:off x="0" y="0"/>
                      <a:ext cx="6188710" cy="1976755"/>
                    </a:xfrm>
                    <a:prstGeom prst="rect">
                      <a:avLst/>
                    </a:prstGeom>
                  </pic:spPr>
                </pic:pic>
              </a:graphicData>
            </a:graphic>
          </wp:inline>
        </w:drawing>
      </w:r>
    </w:p>
    <w:p w14:paraId="6F27A417" w14:textId="3D0E0135" w:rsidR="002B026A" w:rsidRPr="00A31A4C" w:rsidRDefault="002B026A" w:rsidP="002B026A">
      <w:pPr>
        <w:rPr>
          <w:rFonts w:asciiTheme="minorHAnsi" w:hAnsiTheme="minorHAnsi" w:cstheme="minorHAnsi"/>
          <w:sz w:val="17"/>
        </w:rPr>
      </w:pPr>
      <w:r w:rsidRPr="009C0BDD">
        <w:rPr>
          <w:rFonts w:ascii="Calibri" w:hAnsi="Calibri"/>
          <w:b/>
        </w:rPr>
        <w:t>Fig</w:t>
      </w:r>
      <w:r>
        <w:rPr>
          <w:rFonts w:ascii="Calibri" w:hAnsi="Calibri"/>
          <w:b/>
        </w:rPr>
        <w:t>.</w:t>
      </w:r>
      <w:r w:rsidRPr="009C0BDD">
        <w:rPr>
          <w:rFonts w:ascii="Calibri" w:hAnsi="Calibri"/>
          <w:b/>
        </w:rPr>
        <w:t xml:space="preserve"> </w:t>
      </w:r>
      <w:r w:rsidR="00860B16">
        <w:rPr>
          <w:rFonts w:ascii="Calibri" w:hAnsi="Calibri"/>
          <w:b/>
        </w:rPr>
        <w:t>S1</w:t>
      </w:r>
      <w:r>
        <w:rPr>
          <w:rFonts w:asciiTheme="minorHAnsi" w:hAnsiTheme="minorHAnsi" w:cstheme="minorHAnsi"/>
        </w:rPr>
        <w:t xml:space="preserve"> </w:t>
      </w:r>
      <w:r w:rsidRPr="00A31A4C">
        <w:rPr>
          <w:rFonts w:asciiTheme="minorHAnsi" w:hAnsiTheme="minorHAnsi" w:cstheme="minorHAnsi"/>
          <w:sz w:val="17"/>
        </w:rPr>
        <w:t xml:space="preserve">Twelve Principles of Green Chemistry, as proposed by the U.S. Environmental Protection Agency, and their application in </w:t>
      </w:r>
      <w:r>
        <w:rPr>
          <w:rFonts w:asciiTheme="minorHAnsi" w:hAnsiTheme="minorHAnsi" w:cstheme="minorHAnsi"/>
          <w:sz w:val="17"/>
        </w:rPr>
        <w:t>synthesizing</w:t>
      </w:r>
      <w:r w:rsidRPr="00A31A4C">
        <w:rPr>
          <w:rFonts w:asciiTheme="minorHAnsi" w:hAnsiTheme="minorHAnsi" w:cstheme="minorHAnsi"/>
          <w:sz w:val="17"/>
        </w:rPr>
        <w:t xml:space="preserve"> doped Li</w:t>
      </w:r>
      <w:r w:rsidRPr="00A31A4C">
        <w:rPr>
          <w:rFonts w:asciiTheme="minorHAnsi" w:hAnsiTheme="minorHAnsi" w:cstheme="minorHAnsi"/>
          <w:sz w:val="17"/>
          <w:vertAlign w:val="subscript"/>
        </w:rPr>
        <w:t>3</w:t>
      </w:r>
      <w:r w:rsidRPr="00A31A4C">
        <w:rPr>
          <w:rFonts w:asciiTheme="minorHAnsi" w:hAnsiTheme="minorHAnsi" w:cstheme="minorHAnsi"/>
          <w:sz w:val="17"/>
        </w:rPr>
        <w:t>InCl</w:t>
      </w:r>
      <w:r w:rsidRPr="00A31A4C">
        <w:rPr>
          <w:rFonts w:asciiTheme="minorHAnsi" w:hAnsiTheme="minorHAnsi" w:cstheme="minorHAnsi"/>
          <w:sz w:val="17"/>
          <w:vertAlign w:val="subscript"/>
        </w:rPr>
        <w:t>6</w:t>
      </w:r>
      <w:r w:rsidRPr="00A31A4C">
        <w:rPr>
          <w:rFonts w:asciiTheme="minorHAnsi" w:hAnsiTheme="minorHAnsi" w:cstheme="minorHAnsi"/>
          <w:sz w:val="17"/>
        </w:rPr>
        <w:t xml:space="preserve"> solid-state ceramic electrolytes. This framework </w:t>
      </w:r>
      <w:r>
        <w:rPr>
          <w:rFonts w:asciiTheme="minorHAnsi" w:hAnsiTheme="minorHAnsi" w:cstheme="minorHAnsi"/>
          <w:sz w:val="17"/>
        </w:rPr>
        <w:t>enhances the synthesizing protocols' sustainability and</w:t>
      </w:r>
      <w:r w:rsidRPr="00A31A4C">
        <w:rPr>
          <w:rFonts w:asciiTheme="minorHAnsi" w:hAnsiTheme="minorHAnsi" w:cstheme="minorHAnsi"/>
          <w:sz w:val="17"/>
        </w:rPr>
        <w:t xml:space="preserve"> underscores the goal of producing eco-friendly materials that meet the performance requirements of modern lithium-ion batteries.</w:t>
      </w:r>
    </w:p>
    <w:p w14:paraId="203468F7" w14:textId="70C632C7" w:rsidR="00860B16" w:rsidRPr="002F7DC8" w:rsidRDefault="00860B16" w:rsidP="00860B16">
      <w:pPr>
        <w:snapToGrid w:val="0"/>
        <w:spacing w:before="240" w:after="120"/>
        <w:ind w:firstLine="0"/>
        <w:jc w:val="center"/>
        <w:rPr>
          <w:rFonts w:ascii="Times New Roman" w:hAnsi="Times New Roman"/>
          <w:b/>
          <w:lang w:eastAsia="zh-CN"/>
        </w:rPr>
      </w:pPr>
      <w:r w:rsidRPr="002F7DC8">
        <w:rPr>
          <w:rFonts w:ascii="Times New Roman" w:hAnsi="Times New Roman"/>
          <w:b/>
          <w:lang w:eastAsia="zh-CN"/>
        </w:rPr>
        <w:t xml:space="preserve">Table </w:t>
      </w:r>
      <w:r w:rsidRPr="002F7DC8">
        <w:rPr>
          <w:rFonts w:ascii="Times New Roman" w:hAnsi="Times New Roman"/>
          <w:b/>
          <w:lang w:eastAsia="zh-CN"/>
        </w:rPr>
        <w:t xml:space="preserve">S2: </w:t>
      </w:r>
      <w:r w:rsidRPr="002F7DC8">
        <w:rPr>
          <w:rFonts w:ascii="Times New Roman" w:hAnsi="Times New Roman"/>
          <w:b/>
          <w:lang w:eastAsia="zh-CN"/>
        </w:rPr>
        <w:t xml:space="preserve"> </w:t>
      </w:r>
      <w:r w:rsidRPr="002F7DC8">
        <w:rPr>
          <w:rFonts w:ascii="Times New Roman" w:hAnsi="Times New Roman"/>
          <w:bCs/>
          <w:lang w:eastAsia="zh-CN"/>
        </w:rPr>
        <w:t xml:space="preserve">A simplified representation of Taguchi Orthogonal Design of Eco-friendly Ceramic Electrolytes (Four factors five levers, </w:t>
      </w:r>
      <w:r w:rsidRPr="002F7DC8">
        <w:rPr>
          <w:rFonts w:ascii="Times New Roman" w:hAnsi="Times New Roman"/>
          <w:bCs/>
        </w:rPr>
        <w:t>L</w:t>
      </w:r>
      <w:r w:rsidRPr="002F7DC8">
        <w:rPr>
          <w:rFonts w:ascii="Times New Roman" w:hAnsi="Times New Roman"/>
          <w:bCs/>
          <w:vertAlign w:val="subscript"/>
        </w:rPr>
        <w:t>25</w:t>
      </w:r>
      <w:r w:rsidRPr="002F7DC8">
        <w:rPr>
          <w:rFonts w:ascii="Times New Roman" w:hAnsi="Times New Roman"/>
          <w:bCs/>
        </w:rPr>
        <w:t>(5</w:t>
      </w:r>
      <w:r w:rsidRPr="002F7DC8">
        <w:rPr>
          <w:rFonts w:ascii="Times New Roman" w:hAnsi="Times New Roman"/>
          <w:bCs/>
          <w:vertAlign w:val="superscript"/>
        </w:rPr>
        <w:t>4</w:t>
      </w:r>
      <w:r w:rsidRPr="002F7DC8">
        <w:rPr>
          <w:rFonts w:ascii="Times New Roman" w:hAnsi="Times New Roman"/>
          <w:bCs/>
        </w:rPr>
        <w:t>)</w:t>
      </w:r>
      <w:r w:rsidRPr="002F7DC8">
        <w:rPr>
          <w:rFonts w:ascii="Times New Roman" w:hAnsi="Times New Roman"/>
          <w:bCs/>
          <w:lang w:eastAsia="zh-CN"/>
        </w:rPr>
        <w:t>)</w:t>
      </w:r>
      <w:r w:rsidR="00FC38D2">
        <w:rPr>
          <w:rFonts w:ascii="Times New Roman" w:hAnsi="Times New Roman"/>
          <w:bCs/>
          <w:lang w:eastAsia="zh-CN"/>
        </w:rPr>
        <w:t>.</w:t>
      </w:r>
    </w:p>
    <w:tbl>
      <w:tblPr>
        <w:tblW w:w="9804" w:type="dxa"/>
        <w:tblLook w:val="04A0" w:firstRow="1" w:lastRow="0" w:firstColumn="1" w:lastColumn="0" w:noHBand="0" w:noVBand="1"/>
      </w:tblPr>
      <w:tblGrid>
        <w:gridCol w:w="1227"/>
        <w:gridCol w:w="2031"/>
        <w:gridCol w:w="3025"/>
        <w:gridCol w:w="2284"/>
        <w:gridCol w:w="1237"/>
      </w:tblGrid>
      <w:tr w:rsidR="00860B16" w:rsidRPr="00B57803" w14:paraId="46183124" w14:textId="77777777" w:rsidTr="001702BC">
        <w:trPr>
          <w:trHeight w:val="346"/>
        </w:trPr>
        <w:tc>
          <w:tcPr>
            <w:tcW w:w="1227" w:type="dxa"/>
            <w:tcBorders>
              <w:top w:val="single" w:sz="4" w:space="0" w:color="auto"/>
              <w:left w:val="nil"/>
              <w:bottom w:val="single" w:sz="4" w:space="0" w:color="auto"/>
              <w:right w:val="nil"/>
            </w:tcBorders>
            <w:shd w:val="clear" w:color="auto" w:fill="auto"/>
            <w:vAlign w:val="center"/>
            <w:hideMark/>
          </w:tcPr>
          <w:p w14:paraId="15AB93E4"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b/>
                <w:bCs/>
                <w:sz w:val="17"/>
                <w:szCs w:val="17"/>
                <w:lang w:eastAsia="zh-CN"/>
              </w:rPr>
            </w:pPr>
            <w:r w:rsidRPr="00B57803">
              <w:rPr>
                <w:rFonts w:asciiTheme="minorHAnsi" w:hAnsiTheme="minorHAnsi"/>
                <w:b/>
                <w:bCs/>
                <w:sz w:val="17"/>
                <w:szCs w:val="17"/>
                <w:lang w:eastAsia="zh-CN"/>
              </w:rPr>
              <w:t>Experiment #</w:t>
            </w:r>
          </w:p>
        </w:tc>
        <w:tc>
          <w:tcPr>
            <w:tcW w:w="2031" w:type="dxa"/>
            <w:tcBorders>
              <w:top w:val="single" w:sz="4" w:space="0" w:color="auto"/>
              <w:left w:val="nil"/>
              <w:bottom w:val="single" w:sz="4" w:space="0" w:color="auto"/>
              <w:right w:val="nil"/>
            </w:tcBorders>
            <w:shd w:val="clear" w:color="auto" w:fill="auto"/>
            <w:vAlign w:val="center"/>
            <w:hideMark/>
          </w:tcPr>
          <w:p w14:paraId="7255423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b/>
                <w:bCs/>
                <w:sz w:val="17"/>
                <w:szCs w:val="17"/>
                <w:lang w:eastAsia="zh-CN"/>
              </w:rPr>
            </w:pPr>
            <w:r w:rsidRPr="00B57803">
              <w:rPr>
                <w:rFonts w:asciiTheme="minorHAnsi" w:hAnsiTheme="minorHAnsi"/>
                <w:b/>
                <w:bCs/>
                <w:sz w:val="17"/>
                <w:szCs w:val="17"/>
                <w:lang w:eastAsia="zh-CN"/>
              </w:rPr>
              <w:t>LiCl concentration (M)</w:t>
            </w:r>
          </w:p>
        </w:tc>
        <w:tc>
          <w:tcPr>
            <w:tcW w:w="3025" w:type="dxa"/>
            <w:tcBorders>
              <w:top w:val="single" w:sz="4" w:space="0" w:color="auto"/>
              <w:left w:val="nil"/>
              <w:bottom w:val="single" w:sz="4" w:space="0" w:color="auto"/>
              <w:right w:val="nil"/>
            </w:tcBorders>
            <w:shd w:val="clear" w:color="auto" w:fill="auto"/>
            <w:vAlign w:val="center"/>
            <w:hideMark/>
          </w:tcPr>
          <w:p w14:paraId="4BDAB84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b/>
                <w:bCs/>
                <w:sz w:val="17"/>
                <w:szCs w:val="17"/>
                <w:lang w:eastAsia="zh-CN"/>
              </w:rPr>
            </w:pPr>
            <w:r w:rsidRPr="00B57803">
              <w:rPr>
                <w:rFonts w:asciiTheme="minorHAnsi" w:hAnsiTheme="minorHAnsi"/>
                <w:b/>
                <w:bCs/>
                <w:sz w:val="17"/>
                <w:szCs w:val="17"/>
                <w:lang w:eastAsia="zh-CN"/>
              </w:rPr>
              <w:t>Emulsion formation temperature (°C)</w:t>
            </w:r>
          </w:p>
        </w:tc>
        <w:tc>
          <w:tcPr>
            <w:tcW w:w="2284" w:type="dxa"/>
            <w:tcBorders>
              <w:top w:val="single" w:sz="4" w:space="0" w:color="auto"/>
              <w:left w:val="nil"/>
              <w:bottom w:val="single" w:sz="4" w:space="0" w:color="auto"/>
              <w:right w:val="nil"/>
            </w:tcBorders>
            <w:shd w:val="clear" w:color="auto" w:fill="auto"/>
            <w:vAlign w:val="center"/>
            <w:hideMark/>
          </w:tcPr>
          <w:p w14:paraId="20DD97AD"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b/>
                <w:bCs/>
                <w:sz w:val="17"/>
                <w:szCs w:val="17"/>
                <w:lang w:eastAsia="zh-CN"/>
              </w:rPr>
            </w:pPr>
            <w:r w:rsidRPr="00B57803">
              <w:rPr>
                <w:rFonts w:asciiTheme="minorHAnsi" w:hAnsiTheme="minorHAnsi"/>
                <w:b/>
                <w:bCs/>
                <w:sz w:val="17"/>
                <w:szCs w:val="17"/>
                <w:lang w:eastAsia="zh-CN"/>
              </w:rPr>
              <w:t>Sintering temperature (°C)</w:t>
            </w:r>
          </w:p>
        </w:tc>
        <w:tc>
          <w:tcPr>
            <w:tcW w:w="1237" w:type="dxa"/>
            <w:tcBorders>
              <w:top w:val="single" w:sz="4" w:space="0" w:color="auto"/>
              <w:left w:val="nil"/>
              <w:bottom w:val="single" w:sz="4" w:space="0" w:color="auto"/>
              <w:right w:val="nil"/>
            </w:tcBorders>
            <w:shd w:val="clear" w:color="auto" w:fill="auto"/>
            <w:vAlign w:val="center"/>
            <w:hideMark/>
          </w:tcPr>
          <w:p w14:paraId="70108DAE"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b/>
                <w:bCs/>
                <w:sz w:val="17"/>
                <w:szCs w:val="17"/>
                <w:lang w:eastAsia="zh-CN"/>
              </w:rPr>
            </w:pPr>
            <w:r w:rsidRPr="00B57803">
              <w:rPr>
                <w:rFonts w:asciiTheme="minorHAnsi" w:hAnsiTheme="minorHAnsi"/>
                <w:b/>
                <w:bCs/>
                <w:sz w:val="17"/>
                <w:szCs w:val="17"/>
                <w:lang w:eastAsia="zh-CN"/>
              </w:rPr>
              <w:t>Dopant</w:t>
            </w:r>
          </w:p>
        </w:tc>
      </w:tr>
      <w:tr w:rsidR="00860B16" w:rsidRPr="00B57803" w14:paraId="343FA948" w14:textId="77777777" w:rsidTr="001702BC">
        <w:trPr>
          <w:trHeight w:val="308"/>
        </w:trPr>
        <w:tc>
          <w:tcPr>
            <w:tcW w:w="1227" w:type="dxa"/>
            <w:tcBorders>
              <w:top w:val="single" w:sz="4" w:space="0" w:color="auto"/>
              <w:left w:val="nil"/>
              <w:bottom w:val="nil"/>
              <w:right w:val="nil"/>
            </w:tcBorders>
            <w:shd w:val="clear" w:color="auto" w:fill="auto"/>
            <w:vAlign w:val="center"/>
            <w:hideMark/>
          </w:tcPr>
          <w:p w14:paraId="2921FF55"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w:t>
            </w:r>
          </w:p>
        </w:tc>
        <w:tc>
          <w:tcPr>
            <w:tcW w:w="2031" w:type="dxa"/>
            <w:tcBorders>
              <w:top w:val="single" w:sz="4" w:space="0" w:color="auto"/>
              <w:left w:val="nil"/>
              <w:bottom w:val="nil"/>
              <w:right w:val="nil"/>
            </w:tcBorders>
            <w:shd w:val="clear" w:color="auto" w:fill="auto"/>
            <w:vAlign w:val="center"/>
            <w:hideMark/>
          </w:tcPr>
          <w:p w14:paraId="184D1DC6"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0.025</w:t>
            </w:r>
          </w:p>
        </w:tc>
        <w:tc>
          <w:tcPr>
            <w:tcW w:w="3025" w:type="dxa"/>
            <w:tcBorders>
              <w:top w:val="single" w:sz="4" w:space="0" w:color="auto"/>
              <w:left w:val="nil"/>
              <w:bottom w:val="nil"/>
              <w:right w:val="nil"/>
            </w:tcBorders>
            <w:shd w:val="clear" w:color="auto" w:fill="auto"/>
            <w:vAlign w:val="center"/>
            <w:hideMark/>
          </w:tcPr>
          <w:p w14:paraId="617BE9C1"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w:t>
            </w:r>
          </w:p>
        </w:tc>
        <w:tc>
          <w:tcPr>
            <w:tcW w:w="2284" w:type="dxa"/>
            <w:tcBorders>
              <w:top w:val="single" w:sz="4" w:space="0" w:color="auto"/>
              <w:left w:val="nil"/>
              <w:bottom w:val="nil"/>
              <w:right w:val="nil"/>
            </w:tcBorders>
            <w:shd w:val="clear" w:color="auto" w:fill="auto"/>
            <w:vAlign w:val="center"/>
            <w:hideMark/>
          </w:tcPr>
          <w:p w14:paraId="69C36D1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150</w:t>
            </w:r>
          </w:p>
        </w:tc>
        <w:tc>
          <w:tcPr>
            <w:tcW w:w="1237" w:type="dxa"/>
            <w:tcBorders>
              <w:top w:val="single" w:sz="4" w:space="0" w:color="auto"/>
              <w:left w:val="nil"/>
              <w:bottom w:val="nil"/>
              <w:right w:val="nil"/>
            </w:tcBorders>
            <w:shd w:val="clear" w:color="auto" w:fill="auto"/>
            <w:vAlign w:val="center"/>
            <w:hideMark/>
          </w:tcPr>
          <w:p w14:paraId="093E4091"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F</w:t>
            </w:r>
            <w:r w:rsidRPr="00B57803">
              <w:rPr>
                <w:rFonts w:asciiTheme="minorHAnsi" w:hAnsiTheme="minorHAnsi"/>
                <w:sz w:val="17"/>
                <w:szCs w:val="17"/>
                <w:vertAlign w:val="superscript"/>
                <w:lang w:eastAsia="zh-CN"/>
              </w:rPr>
              <w:t>-</w:t>
            </w:r>
          </w:p>
        </w:tc>
      </w:tr>
      <w:tr w:rsidR="00860B16" w:rsidRPr="00B57803" w14:paraId="5188F004" w14:textId="77777777" w:rsidTr="001702BC">
        <w:trPr>
          <w:trHeight w:val="320"/>
        </w:trPr>
        <w:tc>
          <w:tcPr>
            <w:tcW w:w="1227" w:type="dxa"/>
            <w:tcBorders>
              <w:top w:val="nil"/>
              <w:left w:val="nil"/>
              <w:bottom w:val="nil"/>
              <w:right w:val="nil"/>
            </w:tcBorders>
            <w:shd w:val="clear" w:color="auto" w:fill="auto"/>
            <w:vAlign w:val="center"/>
            <w:hideMark/>
          </w:tcPr>
          <w:p w14:paraId="094E084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w:t>
            </w:r>
          </w:p>
        </w:tc>
        <w:tc>
          <w:tcPr>
            <w:tcW w:w="2031" w:type="dxa"/>
            <w:tcBorders>
              <w:top w:val="nil"/>
              <w:left w:val="nil"/>
              <w:bottom w:val="nil"/>
              <w:right w:val="nil"/>
            </w:tcBorders>
            <w:shd w:val="clear" w:color="auto" w:fill="auto"/>
            <w:vAlign w:val="center"/>
            <w:hideMark/>
          </w:tcPr>
          <w:p w14:paraId="119F319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0.025</w:t>
            </w:r>
          </w:p>
        </w:tc>
        <w:tc>
          <w:tcPr>
            <w:tcW w:w="3025" w:type="dxa"/>
            <w:tcBorders>
              <w:top w:val="nil"/>
              <w:left w:val="nil"/>
              <w:bottom w:val="nil"/>
              <w:right w:val="nil"/>
            </w:tcBorders>
            <w:shd w:val="clear" w:color="auto" w:fill="auto"/>
            <w:vAlign w:val="center"/>
            <w:hideMark/>
          </w:tcPr>
          <w:p w14:paraId="233EBD2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w:t>
            </w:r>
          </w:p>
        </w:tc>
        <w:tc>
          <w:tcPr>
            <w:tcW w:w="2284" w:type="dxa"/>
            <w:tcBorders>
              <w:top w:val="nil"/>
              <w:left w:val="nil"/>
              <w:bottom w:val="nil"/>
              <w:right w:val="nil"/>
            </w:tcBorders>
            <w:shd w:val="clear" w:color="auto" w:fill="auto"/>
            <w:vAlign w:val="center"/>
            <w:hideMark/>
          </w:tcPr>
          <w:p w14:paraId="38EC7E8E"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200</w:t>
            </w:r>
          </w:p>
        </w:tc>
        <w:tc>
          <w:tcPr>
            <w:tcW w:w="1237" w:type="dxa"/>
            <w:tcBorders>
              <w:top w:val="nil"/>
              <w:left w:val="nil"/>
              <w:bottom w:val="nil"/>
              <w:right w:val="nil"/>
            </w:tcBorders>
            <w:shd w:val="clear" w:color="auto" w:fill="auto"/>
            <w:vAlign w:val="center"/>
            <w:hideMark/>
          </w:tcPr>
          <w:p w14:paraId="63BFD631"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3+</w:t>
            </w:r>
          </w:p>
        </w:tc>
      </w:tr>
      <w:tr w:rsidR="00860B16" w:rsidRPr="00B57803" w14:paraId="7C837008" w14:textId="77777777" w:rsidTr="001702BC">
        <w:trPr>
          <w:trHeight w:val="320"/>
        </w:trPr>
        <w:tc>
          <w:tcPr>
            <w:tcW w:w="1227" w:type="dxa"/>
            <w:tcBorders>
              <w:top w:val="nil"/>
              <w:left w:val="nil"/>
              <w:bottom w:val="nil"/>
              <w:right w:val="nil"/>
            </w:tcBorders>
            <w:shd w:val="clear" w:color="auto" w:fill="auto"/>
            <w:vAlign w:val="center"/>
            <w:hideMark/>
          </w:tcPr>
          <w:p w14:paraId="0D6C979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w:t>
            </w:r>
          </w:p>
        </w:tc>
        <w:tc>
          <w:tcPr>
            <w:tcW w:w="2031" w:type="dxa"/>
            <w:tcBorders>
              <w:top w:val="nil"/>
              <w:left w:val="nil"/>
              <w:bottom w:val="nil"/>
              <w:right w:val="nil"/>
            </w:tcBorders>
            <w:shd w:val="clear" w:color="auto" w:fill="auto"/>
            <w:vAlign w:val="center"/>
            <w:hideMark/>
          </w:tcPr>
          <w:p w14:paraId="1A00DA18"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0.025</w:t>
            </w:r>
          </w:p>
        </w:tc>
        <w:tc>
          <w:tcPr>
            <w:tcW w:w="3025" w:type="dxa"/>
            <w:tcBorders>
              <w:top w:val="nil"/>
              <w:left w:val="nil"/>
              <w:bottom w:val="nil"/>
              <w:right w:val="nil"/>
            </w:tcBorders>
            <w:shd w:val="clear" w:color="auto" w:fill="auto"/>
            <w:vAlign w:val="center"/>
            <w:hideMark/>
          </w:tcPr>
          <w:p w14:paraId="2DBB9AD2"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50</w:t>
            </w:r>
          </w:p>
        </w:tc>
        <w:tc>
          <w:tcPr>
            <w:tcW w:w="2284" w:type="dxa"/>
            <w:tcBorders>
              <w:top w:val="nil"/>
              <w:left w:val="nil"/>
              <w:bottom w:val="nil"/>
              <w:right w:val="nil"/>
            </w:tcBorders>
            <w:shd w:val="clear" w:color="auto" w:fill="auto"/>
            <w:vAlign w:val="center"/>
            <w:hideMark/>
          </w:tcPr>
          <w:p w14:paraId="112F247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250</w:t>
            </w:r>
          </w:p>
        </w:tc>
        <w:tc>
          <w:tcPr>
            <w:tcW w:w="1237" w:type="dxa"/>
            <w:tcBorders>
              <w:top w:val="nil"/>
              <w:left w:val="nil"/>
              <w:bottom w:val="nil"/>
              <w:right w:val="nil"/>
            </w:tcBorders>
            <w:shd w:val="clear" w:color="auto" w:fill="auto"/>
            <w:vAlign w:val="center"/>
            <w:hideMark/>
          </w:tcPr>
          <w:p w14:paraId="58958E5D"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4+</w:t>
            </w:r>
          </w:p>
        </w:tc>
      </w:tr>
      <w:tr w:rsidR="00860B16" w:rsidRPr="00B57803" w14:paraId="11DA9812" w14:textId="77777777" w:rsidTr="001702BC">
        <w:trPr>
          <w:trHeight w:val="308"/>
        </w:trPr>
        <w:tc>
          <w:tcPr>
            <w:tcW w:w="1227" w:type="dxa"/>
            <w:tcBorders>
              <w:top w:val="nil"/>
              <w:left w:val="nil"/>
              <w:bottom w:val="nil"/>
              <w:right w:val="nil"/>
            </w:tcBorders>
            <w:shd w:val="clear" w:color="auto" w:fill="auto"/>
            <w:vAlign w:val="center"/>
            <w:hideMark/>
          </w:tcPr>
          <w:p w14:paraId="596DD279"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4</w:t>
            </w:r>
          </w:p>
        </w:tc>
        <w:tc>
          <w:tcPr>
            <w:tcW w:w="2031" w:type="dxa"/>
            <w:tcBorders>
              <w:top w:val="nil"/>
              <w:left w:val="nil"/>
              <w:bottom w:val="nil"/>
              <w:right w:val="nil"/>
            </w:tcBorders>
            <w:shd w:val="clear" w:color="auto" w:fill="auto"/>
            <w:vAlign w:val="center"/>
            <w:hideMark/>
          </w:tcPr>
          <w:p w14:paraId="653057A1"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0.025</w:t>
            </w:r>
          </w:p>
        </w:tc>
        <w:tc>
          <w:tcPr>
            <w:tcW w:w="3025" w:type="dxa"/>
            <w:tcBorders>
              <w:top w:val="nil"/>
              <w:left w:val="nil"/>
              <w:bottom w:val="nil"/>
              <w:right w:val="nil"/>
            </w:tcBorders>
            <w:shd w:val="clear" w:color="auto" w:fill="auto"/>
            <w:vAlign w:val="center"/>
            <w:hideMark/>
          </w:tcPr>
          <w:p w14:paraId="0A9E9601"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75</w:t>
            </w:r>
          </w:p>
        </w:tc>
        <w:tc>
          <w:tcPr>
            <w:tcW w:w="2284" w:type="dxa"/>
            <w:tcBorders>
              <w:top w:val="nil"/>
              <w:left w:val="nil"/>
              <w:bottom w:val="nil"/>
              <w:right w:val="nil"/>
            </w:tcBorders>
            <w:shd w:val="clear" w:color="auto" w:fill="auto"/>
            <w:vAlign w:val="center"/>
            <w:hideMark/>
          </w:tcPr>
          <w:p w14:paraId="00ED6807"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300</w:t>
            </w:r>
          </w:p>
        </w:tc>
        <w:tc>
          <w:tcPr>
            <w:tcW w:w="1237" w:type="dxa"/>
            <w:tcBorders>
              <w:top w:val="nil"/>
              <w:left w:val="nil"/>
              <w:bottom w:val="nil"/>
              <w:right w:val="nil"/>
            </w:tcBorders>
            <w:shd w:val="clear" w:color="auto" w:fill="auto"/>
            <w:vAlign w:val="center"/>
            <w:hideMark/>
          </w:tcPr>
          <w:p w14:paraId="2EBC88D8"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3+</w:t>
            </w:r>
          </w:p>
        </w:tc>
      </w:tr>
      <w:tr w:rsidR="00860B16" w:rsidRPr="00B57803" w14:paraId="4FDE6D1C" w14:textId="77777777" w:rsidTr="001702BC">
        <w:trPr>
          <w:trHeight w:val="308"/>
        </w:trPr>
        <w:tc>
          <w:tcPr>
            <w:tcW w:w="1227" w:type="dxa"/>
            <w:tcBorders>
              <w:top w:val="nil"/>
              <w:left w:val="nil"/>
              <w:bottom w:val="nil"/>
              <w:right w:val="nil"/>
            </w:tcBorders>
            <w:shd w:val="clear" w:color="auto" w:fill="auto"/>
            <w:vAlign w:val="center"/>
            <w:hideMark/>
          </w:tcPr>
          <w:p w14:paraId="0A08A21A"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5</w:t>
            </w:r>
          </w:p>
        </w:tc>
        <w:tc>
          <w:tcPr>
            <w:tcW w:w="2031" w:type="dxa"/>
            <w:tcBorders>
              <w:top w:val="nil"/>
              <w:left w:val="nil"/>
              <w:bottom w:val="nil"/>
              <w:right w:val="nil"/>
            </w:tcBorders>
            <w:shd w:val="clear" w:color="auto" w:fill="auto"/>
            <w:vAlign w:val="center"/>
            <w:hideMark/>
          </w:tcPr>
          <w:p w14:paraId="083F7A15"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0.025</w:t>
            </w:r>
          </w:p>
        </w:tc>
        <w:tc>
          <w:tcPr>
            <w:tcW w:w="3025" w:type="dxa"/>
            <w:tcBorders>
              <w:top w:val="nil"/>
              <w:left w:val="nil"/>
              <w:bottom w:val="nil"/>
              <w:right w:val="nil"/>
            </w:tcBorders>
            <w:shd w:val="clear" w:color="auto" w:fill="auto"/>
            <w:vAlign w:val="center"/>
            <w:hideMark/>
          </w:tcPr>
          <w:p w14:paraId="063B1D0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100</w:t>
            </w:r>
          </w:p>
        </w:tc>
        <w:tc>
          <w:tcPr>
            <w:tcW w:w="2284" w:type="dxa"/>
            <w:tcBorders>
              <w:top w:val="nil"/>
              <w:left w:val="nil"/>
              <w:bottom w:val="nil"/>
              <w:right w:val="nil"/>
            </w:tcBorders>
            <w:shd w:val="clear" w:color="auto" w:fill="auto"/>
            <w:vAlign w:val="center"/>
            <w:hideMark/>
          </w:tcPr>
          <w:p w14:paraId="24D684B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350</w:t>
            </w:r>
          </w:p>
        </w:tc>
        <w:tc>
          <w:tcPr>
            <w:tcW w:w="1237" w:type="dxa"/>
            <w:tcBorders>
              <w:top w:val="nil"/>
              <w:left w:val="nil"/>
              <w:bottom w:val="nil"/>
              <w:right w:val="nil"/>
            </w:tcBorders>
            <w:shd w:val="clear" w:color="auto" w:fill="auto"/>
            <w:vAlign w:val="center"/>
            <w:hideMark/>
          </w:tcPr>
          <w:p w14:paraId="54AEC59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5+</w:t>
            </w:r>
          </w:p>
        </w:tc>
      </w:tr>
      <w:tr w:rsidR="00860B16" w:rsidRPr="00B57803" w14:paraId="2CBA472D" w14:textId="77777777" w:rsidTr="001702BC">
        <w:trPr>
          <w:trHeight w:val="308"/>
        </w:trPr>
        <w:tc>
          <w:tcPr>
            <w:tcW w:w="1227" w:type="dxa"/>
            <w:tcBorders>
              <w:top w:val="nil"/>
              <w:left w:val="nil"/>
              <w:bottom w:val="nil"/>
              <w:right w:val="nil"/>
            </w:tcBorders>
            <w:shd w:val="clear" w:color="auto" w:fill="auto"/>
            <w:vAlign w:val="center"/>
            <w:hideMark/>
          </w:tcPr>
          <w:p w14:paraId="230C9F18"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6</w:t>
            </w:r>
          </w:p>
        </w:tc>
        <w:tc>
          <w:tcPr>
            <w:tcW w:w="2031" w:type="dxa"/>
            <w:tcBorders>
              <w:top w:val="nil"/>
              <w:left w:val="nil"/>
              <w:bottom w:val="nil"/>
              <w:right w:val="nil"/>
            </w:tcBorders>
            <w:shd w:val="clear" w:color="auto" w:fill="auto"/>
            <w:vAlign w:val="center"/>
            <w:hideMark/>
          </w:tcPr>
          <w:p w14:paraId="36401FF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0.05</w:t>
            </w:r>
          </w:p>
        </w:tc>
        <w:tc>
          <w:tcPr>
            <w:tcW w:w="3025" w:type="dxa"/>
            <w:tcBorders>
              <w:top w:val="nil"/>
              <w:left w:val="nil"/>
              <w:bottom w:val="nil"/>
              <w:right w:val="nil"/>
            </w:tcBorders>
            <w:shd w:val="clear" w:color="auto" w:fill="auto"/>
            <w:vAlign w:val="center"/>
            <w:hideMark/>
          </w:tcPr>
          <w:p w14:paraId="5517A5DE"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w:t>
            </w:r>
          </w:p>
        </w:tc>
        <w:tc>
          <w:tcPr>
            <w:tcW w:w="2284" w:type="dxa"/>
            <w:tcBorders>
              <w:top w:val="nil"/>
              <w:left w:val="nil"/>
              <w:bottom w:val="nil"/>
              <w:right w:val="nil"/>
            </w:tcBorders>
            <w:shd w:val="clear" w:color="auto" w:fill="auto"/>
            <w:vAlign w:val="center"/>
            <w:hideMark/>
          </w:tcPr>
          <w:p w14:paraId="07430CA5"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200</w:t>
            </w:r>
          </w:p>
        </w:tc>
        <w:tc>
          <w:tcPr>
            <w:tcW w:w="1237" w:type="dxa"/>
            <w:tcBorders>
              <w:top w:val="nil"/>
              <w:left w:val="nil"/>
              <w:bottom w:val="nil"/>
              <w:right w:val="nil"/>
            </w:tcBorders>
            <w:shd w:val="clear" w:color="auto" w:fill="auto"/>
            <w:vAlign w:val="center"/>
            <w:hideMark/>
          </w:tcPr>
          <w:p w14:paraId="3248C4F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3+</w:t>
            </w:r>
          </w:p>
        </w:tc>
      </w:tr>
      <w:tr w:rsidR="00860B16" w:rsidRPr="00B57803" w14:paraId="524F90E2" w14:textId="77777777" w:rsidTr="001702BC">
        <w:trPr>
          <w:trHeight w:val="308"/>
        </w:trPr>
        <w:tc>
          <w:tcPr>
            <w:tcW w:w="1227" w:type="dxa"/>
            <w:tcBorders>
              <w:top w:val="nil"/>
              <w:left w:val="nil"/>
              <w:bottom w:val="nil"/>
              <w:right w:val="nil"/>
            </w:tcBorders>
            <w:shd w:val="clear" w:color="auto" w:fill="auto"/>
            <w:vAlign w:val="center"/>
            <w:hideMark/>
          </w:tcPr>
          <w:p w14:paraId="01494957"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7</w:t>
            </w:r>
          </w:p>
        </w:tc>
        <w:tc>
          <w:tcPr>
            <w:tcW w:w="2031" w:type="dxa"/>
            <w:tcBorders>
              <w:top w:val="nil"/>
              <w:left w:val="nil"/>
              <w:bottom w:val="nil"/>
              <w:right w:val="nil"/>
            </w:tcBorders>
            <w:shd w:val="clear" w:color="auto" w:fill="auto"/>
            <w:vAlign w:val="center"/>
            <w:hideMark/>
          </w:tcPr>
          <w:p w14:paraId="738F46B9"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0.05</w:t>
            </w:r>
          </w:p>
        </w:tc>
        <w:tc>
          <w:tcPr>
            <w:tcW w:w="3025" w:type="dxa"/>
            <w:tcBorders>
              <w:top w:val="nil"/>
              <w:left w:val="nil"/>
              <w:bottom w:val="nil"/>
              <w:right w:val="nil"/>
            </w:tcBorders>
            <w:shd w:val="clear" w:color="auto" w:fill="auto"/>
            <w:vAlign w:val="center"/>
            <w:hideMark/>
          </w:tcPr>
          <w:p w14:paraId="5A992948"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w:t>
            </w:r>
          </w:p>
        </w:tc>
        <w:tc>
          <w:tcPr>
            <w:tcW w:w="2284" w:type="dxa"/>
            <w:tcBorders>
              <w:top w:val="nil"/>
              <w:left w:val="nil"/>
              <w:bottom w:val="nil"/>
              <w:right w:val="nil"/>
            </w:tcBorders>
            <w:shd w:val="clear" w:color="auto" w:fill="auto"/>
            <w:vAlign w:val="center"/>
            <w:hideMark/>
          </w:tcPr>
          <w:p w14:paraId="40D1A11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250</w:t>
            </w:r>
          </w:p>
        </w:tc>
        <w:tc>
          <w:tcPr>
            <w:tcW w:w="1237" w:type="dxa"/>
            <w:tcBorders>
              <w:top w:val="nil"/>
              <w:left w:val="nil"/>
              <w:bottom w:val="nil"/>
              <w:right w:val="nil"/>
            </w:tcBorders>
            <w:shd w:val="clear" w:color="auto" w:fill="auto"/>
            <w:vAlign w:val="center"/>
            <w:hideMark/>
          </w:tcPr>
          <w:p w14:paraId="451F06AA"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4+</w:t>
            </w:r>
          </w:p>
        </w:tc>
      </w:tr>
      <w:tr w:rsidR="00860B16" w:rsidRPr="00B57803" w14:paraId="23E91FD9" w14:textId="77777777" w:rsidTr="001702BC">
        <w:trPr>
          <w:trHeight w:val="308"/>
        </w:trPr>
        <w:tc>
          <w:tcPr>
            <w:tcW w:w="1227" w:type="dxa"/>
            <w:tcBorders>
              <w:top w:val="nil"/>
              <w:left w:val="nil"/>
              <w:bottom w:val="nil"/>
              <w:right w:val="nil"/>
            </w:tcBorders>
            <w:shd w:val="clear" w:color="auto" w:fill="auto"/>
            <w:vAlign w:val="center"/>
            <w:hideMark/>
          </w:tcPr>
          <w:p w14:paraId="517601D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8</w:t>
            </w:r>
          </w:p>
        </w:tc>
        <w:tc>
          <w:tcPr>
            <w:tcW w:w="2031" w:type="dxa"/>
            <w:tcBorders>
              <w:top w:val="nil"/>
              <w:left w:val="nil"/>
              <w:bottom w:val="nil"/>
              <w:right w:val="nil"/>
            </w:tcBorders>
            <w:shd w:val="clear" w:color="auto" w:fill="auto"/>
            <w:vAlign w:val="center"/>
            <w:hideMark/>
          </w:tcPr>
          <w:p w14:paraId="3732A4B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0.05</w:t>
            </w:r>
          </w:p>
        </w:tc>
        <w:tc>
          <w:tcPr>
            <w:tcW w:w="3025" w:type="dxa"/>
            <w:tcBorders>
              <w:top w:val="nil"/>
              <w:left w:val="nil"/>
              <w:bottom w:val="nil"/>
              <w:right w:val="nil"/>
            </w:tcBorders>
            <w:shd w:val="clear" w:color="auto" w:fill="auto"/>
            <w:vAlign w:val="center"/>
            <w:hideMark/>
          </w:tcPr>
          <w:p w14:paraId="2CE534F4"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50</w:t>
            </w:r>
          </w:p>
        </w:tc>
        <w:tc>
          <w:tcPr>
            <w:tcW w:w="2284" w:type="dxa"/>
            <w:tcBorders>
              <w:top w:val="nil"/>
              <w:left w:val="nil"/>
              <w:bottom w:val="nil"/>
              <w:right w:val="nil"/>
            </w:tcBorders>
            <w:shd w:val="clear" w:color="auto" w:fill="auto"/>
            <w:vAlign w:val="center"/>
            <w:hideMark/>
          </w:tcPr>
          <w:p w14:paraId="702D4AE1"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300</w:t>
            </w:r>
          </w:p>
        </w:tc>
        <w:tc>
          <w:tcPr>
            <w:tcW w:w="1237" w:type="dxa"/>
            <w:tcBorders>
              <w:top w:val="nil"/>
              <w:left w:val="nil"/>
              <w:bottom w:val="nil"/>
              <w:right w:val="nil"/>
            </w:tcBorders>
            <w:shd w:val="clear" w:color="auto" w:fill="auto"/>
            <w:vAlign w:val="center"/>
            <w:hideMark/>
          </w:tcPr>
          <w:p w14:paraId="149E9C91"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3+</w:t>
            </w:r>
          </w:p>
        </w:tc>
      </w:tr>
      <w:tr w:rsidR="00860B16" w:rsidRPr="00B57803" w14:paraId="474268CC" w14:textId="77777777" w:rsidTr="001702BC">
        <w:trPr>
          <w:trHeight w:val="308"/>
        </w:trPr>
        <w:tc>
          <w:tcPr>
            <w:tcW w:w="1227" w:type="dxa"/>
            <w:tcBorders>
              <w:top w:val="nil"/>
              <w:left w:val="nil"/>
              <w:bottom w:val="nil"/>
              <w:right w:val="nil"/>
            </w:tcBorders>
            <w:shd w:val="clear" w:color="auto" w:fill="auto"/>
            <w:vAlign w:val="center"/>
            <w:hideMark/>
          </w:tcPr>
          <w:p w14:paraId="4177920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9</w:t>
            </w:r>
          </w:p>
        </w:tc>
        <w:tc>
          <w:tcPr>
            <w:tcW w:w="2031" w:type="dxa"/>
            <w:tcBorders>
              <w:top w:val="nil"/>
              <w:left w:val="nil"/>
              <w:bottom w:val="nil"/>
              <w:right w:val="nil"/>
            </w:tcBorders>
            <w:shd w:val="clear" w:color="auto" w:fill="auto"/>
            <w:vAlign w:val="center"/>
            <w:hideMark/>
          </w:tcPr>
          <w:p w14:paraId="2329503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0.05</w:t>
            </w:r>
          </w:p>
        </w:tc>
        <w:tc>
          <w:tcPr>
            <w:tcW w:w="3025" w:type="dxa"/>
            <w:tcBorders>
              <w:top w:val="nil"/>
              <w:left w:val="nil"/>
              <w:bottom w:val="nil"/>
              <w:right w:val="nil"/>
            </w:tcBorders>
            <w:shd w:val="clear" w:color="auto" w:fill="auto"/>
            <w:vAlign w:val="center"/>
            <w:hideMark/>
          </w:tcPr>
          <w:p w14:paraId="02F605C7"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75</w:t>
            </w:r>
          </w:p>
        </w:tc>
        <w:tc>
          <w:tcPr>
            <w:tcW w:w="2284" w:type="dxa"/>
            <w:tcBorders>
              <w:top w:val="nil"/>
              <w:left w:val="nil"/>
              <w:bottom w:val="nil"/>
              <w:right w:val="nil"/>
            </w:tcBorders>
            <w:shd w:val="clear" w:color="auto" w:fill="auto"/>
            <w:vAlign w:val="center"/>
            <w:hideMark/>
          </w:tcPr>
          <w:p w14:paraId="33484995"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350</w:t>
            </w:r>
          </w:p>
        </w:tc>
        <w:tc>
          <w:tcPr>
            <w:tcW w:w="1237" w:type="dxa"/>
            <w:tcBorders>
              <w:top w:val="nil"/>
              <w:left w:val="nil"/>
              <w:bottom w:val="nil"/>
              <w:right w:val="nil"/>
            </w:tcBorders>
            <w:shd w:val="clear" w:color="auto" w:fill="auto"/>
            <w:vAlign w:val="center"/>
            <w:hideMark/>
          </w:tcPr>
          <w:p w14:paraId="773BAC0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5+</w:t>
            </w:r>
          </w:p>
        </w:tc>
      </w:tr>
      <w:tr w:rsidR="00860B16" w:rsidRPr="00B57803" w14:paraId="05876B37" w14:textId="77777777" w:rsidTr="001702BC">
        <w:trPr>
          <w:trHeight w:val="308"/>
        </w:trPr>
        <w:tc>
          <w:tcPr>
            <w:tcW w:w="1227" w:type="dxa"/>
            <w:tcBorders>
              <w:top w:val="nil"/>
              <w:left w:val="nil"/>
              <w:bottom w:val="nil"/>
              <w:right w:val="nil"/>
            </w:tcBorders>
            <w:shd w:val="clear" w:color="auto" w:fill="auto"/>
            <w:vAlign w:val="center"/>
            <w:hideMark/>
          </w:tcPr>
          <w:p w14:paraId="59BB2A0E"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10</w:t>
            </w:r>
          </w:p>
        </w:tc>
        <w:tc>
          <w:tcPr>
            <w:tcW w:w="2031" w:type="dxa"/>
            <w:tcBorders>
              <w:top w:val="nil"/>
              <w:left w:val="nil"/>
              <w:bottom w:val="nil"/>
              <w:right w:val="nil"/>
            </w:tcBorders>
            <w:shd w:val="clear" w:color="auto" w:fill="auto"/>
            <w:vAlign w:val="center"/>
            <w:hideMark/>
          </w:tcPr>
          <w:p w14:paraId="7C495404"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0.05</w:t>
            </w:r>
          </w:p>
        </w:tc>
        <w:tc>
          <w:tcPr>
            <w:tcW w:w="3025" w:type="dxa"/>
            <w:tcBorders>
              <w:top w:val="nil"/>
              <w:left w:val="nil"/>
              <w:bottom w:val="nil"/>
              <w:right w:val="nil"/>
            </w:tcBorders>
            <w:shd w:val="clear" w:color="auto" w:fill="auto"/>
            <w:vAlign w:val="center"/>
            <w:hideMark/>
          </w:tcPr>
          <w:p w14:paraId="2429241A"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100</w:t>
            </w:r>
          </w:p>
        </w:tc>
        <w:tc>
          <w:tcPr>
            <w:tcW w:w="2284" w:type="dxa"/>
            <w:tcBorders>
              <w:top w:val="nil"/>
              <w:left w:val="nil"/>
              <w:bottom w:val="nil"/>
              <w:right w:val="nil"/>
            </w:tcBorders>
            <w:shd w:val="clear" w:color="auto" w:fill="auto"/>
            <w:vAlign w:val="center"/>
            <w:hideMark/>
          </w:tcPr>
          <w:p w14:paraId="595ABCA8"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150</w:t>
            </w:r>
          </w:p>
        </w:tc>
        <w:tc>
          <w:tcPr>
            <w:tcW w:w="1237" w:type="dxa"/>
            <w:tcBorders>
              <w:top w:val="nil"/>
              <w:left w:val="nil"/>
              <w:bottom w:val="nil"/>
              <w:right w:val="nil"/>
            </w:tcBorders>
            <w:shd w:val="clear" w:color="auto" w:fill="auto"/>
            <w:vAlign w:val="center"/>
            <w:hideMark/>
          </w:tcPr>
          <w:p w14:paraId="0904504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F</w:t>
            </w:r>
            <w:r w:rsidRPr="00B57803">
              <w:rPr>
                <w:rFonts w:asciiTheme="minorHAnsi" w:hAnsiTheme="minorHAnsi"/>
                <w:sz w:val="17"/>
                <w:szCs w:val="17"/>
                <w:vertAlign w:val="superscript"/>
                <w:lang w:eastAsia="zh-CN"/>
              </w:rPr>
              <w:t>-</w:t>
            </w:r>
          </w:p>
        </w:tc>
      </w:tr>
      <w:tr w:rsidR="00860B16" w:rsidRPr="00B57803" w14:paraId="5039268A" w14:textId="77777777" w:rsidTr="001702BC">
        <w:trPr>
          <w:trHeight w:val="285"/>
        </w:trPr>
        <w:tc>
          <w:tcPr>
            <w:tcW w:w="1227" w:type="dxa"/>
            <w:tcBorders>
              <w:top w:val="nil"/>
              <w:left w:val="nil"/>
              <w:bottom w:val="nil"/>
              <w:right w:val="nil"/>
            </w:tcBorders>
            <w:shd w:val="clear" w:color="auto" w:fill="auto"/>
            <w:vAlign w:val="center"/>
            <w:hideMark/>
          </w:tcPr>
          <w:p w14:paraId="3728C6C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11</w:t>
            </w:r>
          </w:p>
        </w:tc>
        <w:tc>
          <w:tcPr>
            <w:tcW w:w="2031" w:type="dxa"/>
            <w:tcBorders>
              <w:top w:val="nil"/>
              <w:left w:val="nil"/>
              <w:bottom w:val="nil"/>
              <w:right w:val="nil"/>
            </w:tcBorders>
            <w:shd w:val="clear" w:color="auto" w:fill="auto"/>
            <w:vAlign w:val="center"/>
            <w:hideMark/>
          </w:tcPr>
          <w:p w14:paraId="325F1ADC"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0.1</w:t>
            </w:r>
          </w:p>
        </w:tc>
        <w:tc>
          <w:tcPr>
            <w:tcW w:w="3025" w:type="dxa"/>
            <w:tcBorders>
              <w:top w:val="nil"/>
              <w:left w:val="nil"/>
              <w:bottom w:val="nil"/>
              <w:right w:val="nil"/>
            </w:tcBorders>
            <w:shd w:val="clear" w:color="auto" w:fill="auto"/>
            <w:vAlign w:val="center"/>
            <w:hideMark/>
          </w:tcPr>
          <w:p w14:paraId="05963DD8"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w:t>
            </w:r>
          </w:p>
        </w:tc>
        <w:tc>
          <w:tcPr>
            <w:tcW w:w="2284" w:type="dxa"/>
            <w:tcBorders>
              <w:top w:val="nil"/>
              <w:left w:val="nil"/>
              <w:bottom w:val="nil"/>
              <w:right w:val="nil"/>
            </w:tcBorders>
            <w:shd w:val="clear" w:color="auto" w:fill="auto"/>
            <w:vAlign w:val="center"/>
            <w:hideMark/>
          </w:tcPr>
          <w:p w14:paraId="6FCF4BBA"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250</w:t>
            </w:r>
          </w:p>
        </w:tc>
        <w:tc>
          <w:tcPr>
            <w:tcW w:w="1237" w:type="dxa"/>
            <w:tcBorders>
              <w:top w:val="nil"/>
              <w:left w:val="nil"/>
              <w:bottom w:val="nil"/>
              <w:right w:val="nil"/>
            </w:tcBorders>
            <w:shd w:val="clear" w:color="auto" w:fill="auto"/>
            <w:vAlign w:val="center"/>
            <w:hideMark/>
          </w:tcPr>
          <w:p w14:paraId="7E990A9D"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4+</w:t>
            </w:r>
          </w:p>
        </w:tc>
      </w:tr>
      <w:tr w:rsidR="00860B16" w:rsidRPr="00B57803" w14:paraId="635C4670" w14:textId="77777777" w:rsidTr="001702BC">
        <w:trPr>
          <w:trHeight w:val="285"/>
        </w:trPr>
        <w:tc>
          <w:tcPr>
            <w:tcW w:w="1227" w:type="dxa"/>
            <w:tcBorders>
              <w:top w:val="nil"/>
              <w:left w:val="nil"/>
              <w:bottom w:val="nil"/>
              <w:right w:val="nil"/>
            </w:tcBorders>
            <w:shd w:val="clear" w:color="auto" w:fill="auto"/>
            <w:vAlign w:val="center"/>
            <w:hideMark/>
          </w:tcPr>
          <w:p w14:paraId="3B885F9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12</w:t>
            </w:r>
          </w:p>
        </w:tc>
        <w:tc>
          <w:tcPr>
            <w:tcW w:w="2031" w:type="dxa"/>
            <w:tcBorders>
              <w:top w:val="nil"/>
              <w:left w:val="nil"/>
              <w:bottom w:val="nil"/>
              <w:right w:val="nil"/>
            </w:tcBorders>
            <w:shd w:val="clear" w:color="auto" w:fill="auto"/>
            <w:vAlign w:val="center"/>
            <w:hideMark/>
          </w:tcPr>
          <w:p w14:paraId="79C6F292"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0.1</w:t>
            </w:r>
          </w:p>
        </w:tc>
        <w:tc>
          <w:tcPr>
            <w:tcW w:w="3025" w:type="dxa"/>
            <w:tcBorders>
              <w:top w:val="nil"/>
              <w:left w:val="nil"/>
              <w:bottom w:val="nil"/>
              <w:right w:val="nil"/>
            </w:tcBorders>
            <w:shd w:val="clear" w:color="auto" w:fill="auto"/>
            <w:vAlign w:val="center"/>
            <w:hideMark/>
          </w:tcPr>
          <w:p w14:paraId="6054D462"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w:t>
            </w:r>
          </w:p>
        </w:tc>
        <w:tc>
          <w:tcPr>
            <w:tcW w:w="2284" w:type="dxa"/>
            <w:tcBorders>
              <w:top w:val="nil"/>
              <w:left w:val="nil"/>
              <w:bottom w:val="nil"/>
              <w:right w:val="nil"/>
            </w:tcBorders>
            <w:shd w:val="clear" w:color="auto" w:fill="auto"/>
            <w:vAlign w:val="center"/>
            <w:hideMark/>
          </w:tcPr>
          <w:p w14:paraId="31648B7E"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300</w:t>
            </w:r>
          </w:p>
        </w:tc>
        <w:tc>
          <w:tcPr>
            <w:tcW w:w="1237" w:type="dxa"/>
            <w:tcBorders>
              <w:top w:val="nil"/>
              <w:left w:val="nil"/>
              <w:bottom w:val="nil"/>
              <w:right w:val="nil"/>
            </w:tcBorders>
            <w:shd w:val="clear" w:color="auto" w:fill="auto"/>
            <w:vAlign w:val="center"/>
            <w:hideMark/>
          </w:tcPr>
          <w:p w14:paraId="79483D15"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3+</w:t>
            </w:r>
          </w:p>
        </w:tc>
      </w:tr>
      <w:tr w:rsidR="00860B16" w:rsidRPr="00B57803" w14:paraId="7FDEFCA6" w14:textId="77777777" w:rsidTr="001702BC">
        <w:trPr>
          <w:trHeight w:val="285"/>
        </w:trPr>
        <w:tc>
          <w:tcPr>
            <w:tcW w:w="1227" w:type="dxa"/>
            <w:tcBorders>
              <w:top w:val="nil"/>
              <w:left w:val="nil"/>
              <w:bottom w:val="nil"/>
              <w:right w:val="nil"/>
            </w:tcBorders>
            <w:shd w:val="clear" w:color="auto" w:fill="auto"/>
            <w:vAlign w:val="center"/>
            <w:hideMark/>
          </w:tcPr>
          <w:p w14:paraId="6607219C"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13</w:t>
            </w:r>
          </w:p>
        </w:tc>
        <w:tc>
          <w:tcPr>
            <w:tcW w:w="2031" w:type="dxa"/>
            <w:tcBorders>
              <w:top w:val="nil"/>
              <w:left w:val="nil"/>
              <w:bottom w:val="nil"/>
              <w:right w:val="nil"/>
            </w:tcBorders>
            <w:shd w:val="clear" w:color="auto" w:fill="auto"/>
            <w:vAlign w:val="center"/>
            <w:hideMark/>
          </w:tcPr>
          <w:p w14:paraId="3AA13F3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0.1</w:t>
            </w:r>
          </w:p>
        </w:tc>
        <w:tc>
          <w:tcPr>
            <w:tcW w:w="3025" w:type="dxa"/>
            <w:tcBorders>
              <w:top w:val="nil"/>
              <w:left w:val="nil"/>
              <w:bottom w:val="nil"/>
              <w:right w:val="nil"/>
            </w:tcBorders>
            <w:shd w:val="clear" w:color="auto" w:fill="auto"/>
            <w:vAlign w:val="center"/>
            <w:hideMark/>
          </w:tcPr>
          <w:p w14:paraId="570380F1"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50</w:t>
            </w:r>
          </w:p>
        </w:tc>
        <w:tc>
          <w:tcPr>
            <w:tcW w:w="2284" w:type="dxa"/>
            <w:tcBorders>
              <w:top w:val="nil"/>
              <w:left w:val="nil"/>
              <w:bottom w:val="nil"/>
              <w:right w:val="nil"/>
            </w:tcBorders>
            <w:shd w:val="clear" w:color="auto" w:fill="auto"/>
            <w:vAlign w:val="center"/>
            <w:hideMark/>
          </w:tcPr>
          <w:p w14:paraId="3C767478"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350</w:t>
            </w:r>
          </w:p>
        </w:tc>
        <w:tc>
          <w:tcPr>
            <w:tcW w:w="1237" w:type="dxa"/>
            <w:tcBorders>
              <w:top w:val="nil"/>
              <w:left w:val="nil"/>
              <w:bottom w:val="nil"/>
              <w:right w:val="nil"/>
            </w:tcBorders>
            <w:shd w:val="clear" w:color="auto" w:fill="auto"/>
            <w:vAlign w:val="center"/>
            <w:hideMark/>
          </w:tcPr>
          <w:p w14:paraId="275EEE0C"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5+</w:t>
            </w:r>
          </w:p>
        </w:tc>
      </w:tr>
      <w:tr w:rsidR="00860B16" w:rsidRPr="00B57803" w14:paraId="57860F91" w14:textId="77777777" w:rsidTr="001702BC">
        <w:trPr>
          <w:trHeight w:val="285"/>
        </w:trPr>
        <w:tc>
          <w:tcPr>
            <w:tcW w:w="1227" w:type="dxa"/>
            <w:tcBorders>
              <w:top w:val="nil"/>
              <w:left w:val="nil"/>
              <w:bottom w:val="nil"/>
              <w:right w:val="nil"/>
            </w:tcBorders>
            <w:shd w:val="clear" w:color="auto" w:fill="auto"/>
            <w:vAlign w:val="center"/>
            <w:hideMark/>
          </w:tcPr>
          <w:p w14:paraId="288F78A6"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14</w:t>
            </w:r>
          </w:p>
        </w:tc>
        <w:tc>
          <w:tcPr>
            <w:tcW w:w="2031" w:type="dxa"/>
            <w:tcBorders>
              <w:top w:val="nil"/>
              <w:left w:val="nil"/>
              <w:bottom w:val="nil"/>
              <w:right w:val="nil"/>
            </w:tcBorders>
            <w:shd w:val="clear" w:color="auto" w:fill="auto"/>
            <w:vAlign w:val="center"/>
            <w:hideMark/>
          </w:tcPr>
          <w:p w14:paraId="23143406"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0.1</w:t>
            </w:r>
          </w:p>
        </w:tc>
        <w:tc>
          <w:tcPr>
            <w:tcW w:w="3025" w:type="dxa"/>
            <w:tcBorders>
              <w:top w:val="nil"/>
              <w:left w:val="nil"/>
              <w:bottom w:val="nil"/>
              <w:right w:val="nil"/>
            </w:tcBorders>
            <w:shd w:val="clear" w:color="auto" w:fill="auto"/>
            <w:vAlign w:val="center"/>
            <w:hideMark/>
          </w:tcPr>
          <w:p w14:paraId="591C9B1A"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75</w:t>
            </w:r>
          </w:p>
        </w:tc>
        <w:tc>
          <w:tcPr>
            <w:tcW w:w="2284" w:type="dxa"/>
            <w:tcBorders>
              <w:top w:val="nil"/>
              <w:left w:val="nil"/>
              <w:bottom w:val="nil"/>
              <w:right w:val="nil"/>
            </w:tcBorders>
            <w:shd w:val="clear" w:color="auto" w:fill="auto"/>
            <w:vAlign w:val="center"/>
            <w:hideMark/>
          </w:tcPr>
          <w:p w14:paraId="397714E1"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150</w:t>
            </w:r>
          </w:p>
        </w:tc>
        <w:tc>
          <w:tcPr>
            <w:tcW w:w="1237" w:type="dxa"/>
            <w:tcBorders>
              <w:top w:val="nil"/>
              <w:left w:val="nil"/>
              <w:bottom w:val="nil"/>
              <w:right w:val="nil"/>
            </w:tcBorders>
            <w:shd w:val="clear" w:color="auto" w:fill="auto"/>
            <w:vAlign w:val="center"/>
            <w:hideMark/>
          </w:tcPr>
          <w:p w14:paraId="2868CCD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F-</w:t>
            </w:r>
          </w:p>
        </w:tc>
      </w:tr>
      <w:tr w:rsidR="00860B16" w:rsidRPr="00B57803" w14:paraId="10D52A7A" w14:textId="77777777" w:rsidTr="001702BC">
        <w:trPr>
          <w:trHeight w:val="285"/>
        </w:trPr>
        <w:tc>
          <w:tcPr>
            <w:tcW w:w="1227" w:type="dxa"/>
            <w:tcBorders>
              <w:top w:val="nil"/>
              <w:left w:val="nil"/>
              <w:bottom w:val="nil"/>
              <w:right w:val="nil"/>
            </w:tcBorders>
            <w:shd w:val="clear" w:color="auto" w:fill="auto"/>
            <w:vAlign w:val="center"/>
            <w:hideMark/>
          </w:tcPr>
          <w:p w14:paraId="4D101CDE"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15</w:t>
            </w:r>
          </w:p>
        </w:tc>
        <w:tc>
          <w:tcPr>
            <w:tcW w:w="2031" w:type="dxa"/>
            <w:tcBorders>
              <w:top w:val="nil"/>
              <w:left w:val="nil"/>
              <w:bottom w:val="nil"/>
              <w:right w:val="nil"/>
            </w:tcBorders>
            <w:shd w:val="clear" w:color="auto" w:fill="auto"/>
            <w:vAlign w:val="center"/>
            <w:hideMark/>
          </w:tcPr>
          <w:p w14:paraId="7E305FC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0.1</w:t>
            </w:r>
          </w:p>
        </w:tc>
        <w:tc>
          <w:tcPr>
            <w:tcW w:w="3025" w:type="dxa"/>
            <w:tcBorders>
              <w:top w:val="nil"/>
              <w:left w:val="nil"/>
              <w:bottom w:val="nil"/>
              <w:right w:val="nil"/>
            </w:tcBorders>
            <w:shd w:val="clear" w:color="auto" w:fill="auto"/>
            <w:vAlign w:val="center"/>
            <w:hideMark/>
          </w:tcPr>
          <w:p w14:paraId="20D6CA5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100</w:t>
            </w:r>
          </w:p>
        </w:tc>
        <w:tc>
          <w:tcPr>
            <w:tcW w:w="2284" w:type="dxa"/>
            <w:tcBorders>
              <w:top w:val="nil"/>
              <w:left w:val="nil"/>
              <w:bottom w:val="nil"/>
              <w:right w:val="nil"/>
            </w:tcBorders>
            <w:shd w:val="clear" w:color="auto" w:fill="auto"/>
            <w:vAlign w:val="center"/>
            <w:hideMark/>
          </w:tcPr>
          <w:p w14:paraId="6B1DCB1D"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200</w:t>
            </w:r>
          </w:p>
        </w:tc>
        <w:tc>
          <w:tcPr>
            <w:tcW w:w="1237" w:type="dxa"/>
            <w:tcBorders>
              <w:top w:val="nil"/>
              <w:left w:val="nil"/>
              <w:bottom w:val="nil"/>
              <w:right w:val="nil"/>
            </w:tcBorders>
            <w:shd w:val="clear" w:color="auto" w:fill="auto"/>
            <w:vAlign w:val="center"/>
            <w:hideMark/>
          </w:tcPr>
          <w:p w14:paraId="7106115E"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3+</w:t>
            </w:r>
          </w:p>
        </w:tc>
      </w:tr>
      <w:tr w:rsidR="00860B16" w:rsidRPr="00B57803" w14:paraId="64E5358D" w14:textId="77777777" w:rsidTr="001702BC">
        <w:trPr>
          <w:trHeight w:val="285"/>
        </w:trPr>
        <w:tc>
          <w:tcPr>
            <w:tcW w:w="1227" w:type="dxa"/>
            <w:tcBorders>
              <w:top w:val="nil"/>
              <w:left w:val="nil"/>
              <w:bottom w:val="nil"/>
              <w:right w:val="nil"/>
            </w:tcBorders>
            <w:shd w:val="clear" w:color="auto" w:fill="auto"/>
            <w:vAlign w:val="center"/>
            <w:hideMark/>
          </w:tcPr>
          <w:p w14:paraId="5CCB506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16</w:t>
            </w:r>
          </w:p>
        </w:tc>
        <w:tc>
          <w:tcPr>
            <w:tcW w:w="2031" w:type="dxa"/>
            <w:tcBorders>
              <w:top w:val="nil"/>
              <w:left w:val="nil"/>
              <w:bottom w:val="nil"/>
              <w:right w:val="nil"/>
            </w:tcBorders>
            <w:shd w:val="clear" w:color="auto" w:fill="auto"/>
            <w:vAlign w:val="center"/>
            <w:hideMark/>
          </w:tcPr>
          <w:p w14:paraId="7ED76CB4"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0.2</w:t>
            </w:r>
          </w:p>
        </w:tc>
        <w:tc>
          <w:tcPr>
            <w:tcW w:w="3025" w:type="dxa"/>
            <w:tcBorders>
              <w:top w:val="nil"/>
              <w:left w:val="nil"/>
              <w:bottom w:val="nil"/>
              <w:right w:val="nil"/>
            </w:tcBorders>
            <w:shd w:val="clear" w:color="auto" w:fill="auto"/>
            <w:vAlign w:val="center"/>
            <w:hideMark/>
          </w:tcPr>
          <w:p w14:paraId="297242E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w:t>
            </w:r>
          </w:p>
        </w:tc>
        <w:tc>
          <w:tcPr>
            <w:tcW w:w="2284" w:type="dxa"/>
            <w:tcBorders>
              <w:top w:val="nil"/>
              <w:left w:val="nil"/>
              <w:bottom w:val="nil"/>
              <w:right w:val="nil"/>
            </w:tcBorders>
            <w:shd w:val="clear" w:color="auto" w:fill="auto"/>
            <w:vAlign w:val="center"/>
            <w:hideMark/>
          </w:tcPr>
          <w:p w14:paraId="1F7E82F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300</w:t>
            </w:r>
          </w:p>
        </w:tc>
        <w:tc>
          <w:tcPr>
            <w:tcW w:w="1237" w:type="dxa"/>
            <w:tcBorders>
              <w:top w:val="nil"/>
              <w:left w:val="nil"/>
              <w:bottom w:val="nil"/>
              <w:right w:val="nil"/>
            </w:tcBorders>
            <w:shd w:val="clear" w:color="auto" w:fill="auto"/>
            <w:vAlign w:val="center"/>
            <w:hideMark/>
          </w:tcPr>
          <w:p w14:paraId="537259A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3+</w:t>
            </w:r>
          </w:p>
        </w:tc>
      </w:tr>
      <w:tr w:rsidR="00860B16" w:rsidRPr="00B57803" w14:paraId="196DD251" w14:textId="77777777" w:rsidTr="001702BC">
        <w:trPr>
          <w:trHeight w:val="285"/>
        </w:trPr>
        <w:tc>
          <w:tcPr>
            <w:tcW w:w="1227" w:type="dxa"/>
            <w:tcBorders>
              <w:top w:val="nil"/>
              <w:left w:val="nil"/>
              <w:bottom w:val="nil"/>
              <w:right w:val="nil"/>
            </w:tcBorders>
            <w:shd w:val="clear" w:color="auto" w:fill="auto"/>
            <w:vAlign w:val="center"/>
            <w:hideMark/>
          </w:tcPr>
          <w:p w14:paraId="484447AD"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17</w:t>
            </w:r>
          </w:p>
        </w:tc>
        <w:tc>
          <w:tcPr>
            <w:tcW w:w="2031" w:type="dxa"/>
            <w:tcBorders>
              <w:top w:val="nil"/>
              <w:left w:val="nil"/>
              <w:bottom w:val="nil"/>
              <w:right w:val="nil"/>
            </w:tcBorders>
            <w:shd w:val="clear" w:color="auto" w:fill="auto"/>
            <w:vAlign w:val="center"/>
            <w:hideMark/>
          </w:tcPr>
          <w:p w14:paraId="7E7E8F6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0.2</w:t>
            </w:r>
          </w:p>
        </w:tc>
        <w:tc>
          <w:tcPr>
            <w:tcW w:w="3025" w:type="dxa"/>
            <w:tcBorders>
              <w:top w:val="nil"/>
              <w:left w:val="nil"/>
              <w:bottom w:val="nil"/>
              <w:right w:val="nil"/>
            </w:tcBorders>
            <w:shd w:val="clear" w:color="auto" w:fill="auto"/>
            <w:vAlign w:val="center"/>
            <w:hideMark/>
          </w:tcPr>
          <w:p w14:paraId="5851A27D"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w:t>
            </w:r>
          </w:p>
        </w:tc>
        <w:tc>
          <w:tcPr>
            <w:tcW w:w="2284" w:type="dxa"/>
            <w:tcBorders>
              <w:top w:val="nil"/>
              <w:left w:val="nil"/>
              <w:bottom w:val="nil"/>
              <w:right w:val="nil"/>
            </w:tcBorders>
            <w:shd w:val="clear" w:color="auto" w:fill="auto"/>
            <w:vAlign w:val="center"/>
            <w:hideMark/>
          </w:tcPr>
          <w:p w14:paraId="4ED37757"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350</w:t>
            </w:r>
          </w:p>
        </w:tc>
        <w:tc>
          <w:tcPr>
            <w:tcW w:w="1237" w:type="dxa"/>
            <w:tcBorders>
              <w:top w:val="nil"/>
              <w:left w:val="nil"/>
              <w:bottom w:val="nil"/>
              <w:right w:val="nil"/>
            </w:tcBorders>
            <w:shd w:val="clear" w:color="auto" w:fill="auto"/>
            <w:vAlign w:val="center"/>
            <w:hideMark/>
          </w:tcPr>
          <w:p w14:paraId="21962DF5"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5+</w:t>
            </w:r>
          </w:p>
        </w:tc>
      </w:tr>
      <w:tr w:rsidR="00860B16" w:rsidRPr="00B57803" w14:paraId="1B52ADD8" w14:textId="77777777" w:rsidTr="001702BC">
        <w:trPr>
          <w:trHeight w:val="285"/>
        </w:trPr>
        <w:tc>
          <w:tcPr>
            <w:tcW w:w="1227" w:type="dxa"/>
            <w:tcBorders>
              <w:top w:val="nil"/>
              <w:left w:val="nil"/>
              <w:bottom w:val="nil"/>
              <w:right w:val="nil"/>
            </w:tcBorders>
            <w:shd w:val="clear" w:color="auto" w:fill="auto"/>
            <w:vAlign w:val="center"/>
            <w:hideMark/>
          </w:tcPr>
          <w:p w14:paraId="252A3DC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lastRenderedPageBreak/>
              <w:t>18</w:t>
            </w:r>
          </w:p>
        </w:tc>
        <w:tc>
          <w:tcPr>
            <w:tcW w:w="2031" w:type="dxa"/>
            <w:tcBorders>
              <w:top w:val="nil"/>
              <w:left w:val="nil"/>
              <w:bottom w:val="nil"/>
              <w:right w:val="nil"/>
            </w:tcBorders>
            <w:shd w:val="clear" w:color="auto" w:fill="auto"/>
            <w:vAlign w:val="center"/>
            <w:hideMark/>
          </w:tcPr>
          <w:p w14:paraId="608FBDCC"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0.2</w:t>
            </w:r>
          </w:p>
        </w:tc>
        <w:tc>
          <w:tcPr>
            <w:tcW w:w="3025" w:type="dxa"/>
            <w:tcBorders>
              <w:top w:val="nil"/>
              <w:left w:val="nil"/>
              <w:bottom w:val="nil"/>
              <w:right w:val="nil"/>
            </w:tcBorders>
            <w:shd w:val="clear" w:color="auto" w:fill="auto"/>
            <w:vAlign w:val="center"/>
            <w:hideMark/>
          </w:tcPr>
          <w:p w14:paraId="05712D27"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50</w:t>
            </w:r>
          </w:p>
        </w:tc>
        <w:tc>
          <w:tcPr>
            <w:tcW w:w="2284" w:type="dxa"/>
            <w:tcBorders>
              <w:top w:val="nil"/>
              <w:left w:val="nil"/>
              <w:bottom w:val="nil"/>
              <w:right w:val="nil"/>
            </w:tcBorders>
            <w:shd w:val="clear" w:color="auto" w:fill="auto"/>
            <w:vAlign w:val="center"/>
            <w:hideMark/>
          </w:tcPr>
          <w:p w14:paraId="61DDF62D"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150</w:t>
            </w:r>
          </w:p>
        </w:tc>
        <w:tc>
          <w:tcPr>
            <w:tcW w:w="1237" w:type="dxa"/>
            <w:tcBorders>
              <w:top w:val="nil"/>
              <w:left w:val="nil"/>
              <w:bottom w:val="nil"/>
              <w:right w:val="nil"/>
            </w:tcBorders>
            <w:shd w:val="clear" w:color="auto" w:fill="auto"/>
            <w:vAlign w:val="center"/>
            <w:hideMark/>
          </w:tcPr>
          <w:p w14:paraId="1B3A015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F</w:t>
            </w:r>
            <w:r w:rsidRPr="00B57803">
              <w:rPr>
                <w:rFonts w:asciiTheme="minorHAnsi" w:hAnsiTheme="minorHAnsi"/>
                <w:sz w:val="17"/>
                <w:szCs w:val="17"/>
                <w:vertAlign w:val="superscript"/>
                <w:lang w:eastAsia="zh-CN"/>
              </w:rPr>
              <w:t>-</w:t>
            </w:r>
          </w:p>
        </w:tc>
      </w:tr>
      <w:tr w:rsidR="00860B16" w:rsidRPr="00B57803" w14:paraId="70C9D4E2" w14:textId="77777777" w:rsidTr="001702BC">
        <w:trPr>
          <w:trHeight w:val="285"/>
        </w:trPr>
        <w:tc>
          <w:tcPr>
            <w:tcW w:w="1227" w:type="dxa"/>
            <w:tcBorders>
              <w:top w:val="nil"/>
              <w:left w:val="nil"/>
              <w:bottom w:val="nil"/>
              <w:right w:val="nil"/>
            </w:tcBorders>
            <w:shd w:val="clear" w:color="auto" w:fill="auto"/>
            <w:vAlign w:val="center"/>
            <w:hideMark/>
          </w:tcPr>
          <w:p w14:paraId="4DE3EA45"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19</w:t>
            </w:r>
          </w:p>
        </w:tc>
        <w:tc>
          <w:tcPr>
            <w:tcW w:w="2031" w:type="dxa"/>
            <w:tcBorders>
              <w:top w:val="nil"/>
              <w:left w:val="nil"/>
              <w:bottom w:val="nil"/>
              <w:right w:val="nil"/>
            </w:tcBorders>
            <w:shd w:val="clear" w:color="auto" w:fill="auto"/>
            <w:vAlign w:val="center"/>
            <w:hideMark/>
          </w:tcPr>
          <w:p w14:paraId="3B9F38C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0.2</w:t>
            </w:r>
          </w:p>
        </w:tc>
        <w:tc>
          <w:tcPr>
            <w:tcW w:w="3025" w:type="dxa"/>
            <w:tcBorders>
              <w:top w:val="nil"/>
              <w:left w:val="nil"/>
              <w:bottom w:val="nil"/>
              <w:right w:val="nil"/>
            </w:tcBorders>
            <w:shd w:val="clear" w:color="auto" w:fill="auto"/>
            <w:vAlign w:val="center"/>
            <w:hideMark/>
          </w:tcPr>
          <w:p w14:paraId="6650F5DD"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75</w:t>
            </w:r>
          </w:p>
        </w:tc>
        <w:tc>
          <w:tcPr>
            <w:tcW w:w="2284" w:type="dxa"/>
            <w:tcBorders>
              <w:top w:val="nil"/>
              <w:left w:val="nil"/>
              <w:bottom w:val="nil"/>
              <w:right w:val="nil"/>
            </w:tcBorders>
            <w:shd w:val="clear" w:color="auto" w:fill="auto"/>
            <w:vAlign w:val="center"/>
            <w:hideMark/>
          </w:tcPr>
          <w:p w14:paraId="4AF5108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200</w:t>
            </w:r>
          </w:p>
        </w:tc>
        <w:tc>
          <w:tcPr>
            <w:tcW w:w="1237" w:type="dxa"/>
            <w:tcBorders>
              <w:top w:val="nil"/>
              <w:left w:val="nil"/>
              <w:bottom w:val="nil"/>
              <w:right w:val="nil"/>
            </w:tcBorders>
            <w:shd w:val="clear" w:color="auto" w:fill="auto"/>
            <w:vAlign w:val="center"/>
            <w:hideMark/>
          </w:tcPr>
          <w:p w14:paraId="3686E9F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3+</w:t>
            </w:r>
          </w:p>
        </w:tc>
      </w:tr>
      <w:tr w:rsidR="00860B16" w:rsidRPr="00B57803" w14:paraId="71A68278" w14:textId="77777777" w:rsidTr="001702BC">
        <w:trPr>
          <w:trHeight w:val="285"/>
        </w:trPr>
        <w:tc>
          <w:tcPr>
            <w:tcW w:w="1227" w:type="dxa"/>
            <w:tcBorders>
              <w:top w:val="nil"/>
              <w:left w:val="nil"/>
              <w:bottom w:val="nil"/>
              <w:right w:val="nil"/>
            </w:tcBorders>
            <w:shd w:val="clear" w:color="auto" w:fill="auto"/>
            <w:vAlign w:val="center"/>
            <w:hideMark/>
          </w:tcPr>
          <w:p w14:paraId="09F8D87E"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20</w:t>
            </w:r>
          </w:p>
        </w:tc>
        <w:tc>
          <w:tcPr>
            <w:tcW w:w="2031" w:type="dxa"/>
            <w:tcBorders>
              <w:top w:val="nil"/>
              <w:left w:val="nil"/>
              <w:bottom w:val="nil"/>
              <w:right w:val="nil"/>
            </w:tcBorders>
            <w:shd w:val="clear" w:color="auto" w:fill="auto"/>
            <w:vAlign w:val="center"/>
            <w:hideMark/>
          </w:tcPr>
          <w:p w14:paraId="2A960CF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0.2</w:t>
            </w:r>
          </w:p>
        </w:tc>
        <w:tc>
          <w:tcPr>
            <w:tcW w:w="3025" w:type="dxa"/>
            <w:tcBorders>
              <w:top w:val="nil"/>
              <w:left w:val="nil"/>
              <w:bottom w:val="nil"/>
              <w:right w:val="nil"/>
            </w:tcBorders>
            <w:shd w:val="clear" w:color="auto" w:fill="auto"/>
            <w:vAlign w:val="center"/>
            <w:hideMark/>
          </w:tcPr>
          <w:p w14:paraId="597BA27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100</w:t>
            </w:r>
          </w:p>
        </w:tc>
        <w:tc>
          <w:tcPr>
            <w:tcW w:w="2284" w:type="dxa"/>
            <w:tcBorders>
              <w:top w:val="nil"/>
              <w:left w:val="nil"/>
              <w:bottom w:val="nil"/>
              <w:right w:val="nil"/>
            </w:tcBorders>
            <w:shd w:val="clear" w:color="auto" w:fill="auto"/>
            <w:vAlign w:val="center"/>
            <w:hideMark/>
          </w:tcPr>
          <w:p w14:paraId="77138C8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250</w:t>
            </w:r>
          </w:p>
        </w:tc>
        <w:tc>
          <w:tcPr>
            <w:tcW w:w="1237" w:type="dxa"/>
            <w:tcBorders>
              <w:top w:val="nil"/>
              <w:left w:val="nil"/>
              <w:bottom w:val="nil"/>
              <w:right w:val="nil"/>
            </w:tcBorders>
            <w:shd w:val="clear" w:color="auto" w:fill="auto"/>
            <w:vAlign w:val="center"/>
            <w:hideMark/>
          </w:tcPr>
          <w:p w14:paraId="44043D0A"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4+</w:t>
            </w:r>
          </w:p>
        </w:tc>
      </w:tr>
      <w:tr w:rsidR="00860B16" w:rsidRPr="00B57803" w14:paraId="5136C4CD" w14:textId="77777777" w:rsidTr="001702BC">
        <w:trPr>
          <w:trHeight w:val="285"/>
        </w:trPr>
        <w:tc>
          <w:tcPr>
            <w:tcW w:w="1227" w:type="dxa"/>
            <w:tcBorders>
              <w:top w:val="nil"/>
              <w:left w:val="nil"/>
              <w:bottom w:val="nil"/>
              <w:right w:val="nil"/>
            </w:tcBorders>
            <w:shd w:val="clear" w:color="auto" w:fill="auto"/>
            <w:vAlign w:val="center"/>
            <w:hideMark/>
          </w:tcPr>
          <w:p w14:paraId="1BE82DA2"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21</w:t>
            </w:r>
          </w:p>
        </w:tc>
        <w:tc>
          <w:tcPr>
            <w:tcW w:w="2031" w:type="dxa"/>
            <w:tcBorders>
              <w:top w:val="nil"/>
              <w:left w:val="nil"/>
              <w:bottom w:val="nil"/>
              <w:right w:val="nil"/>
            </w:tcBorders>
            <w:shd w:val="clear" w:color="auto" w:fill="auto"/>
            <w:vAlign w:val="center"/>
            <w:hideMark/>
          </w:tcPr>
          <w:p w14:paraId="352B5307"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0.4</w:t>
            </w:r>
          </w:p>
        </w:tc>
        <w:tc>
          <w:tcPr>
            <w:tcW w:w="3025" w:type="dxa"/>
            <w:tcBorders>
              <w:top w:val="nil"/>
              <w:left w:val="nil"/>
              <w:bottom w:val="nil"/>
              <w:right w:val="nil"/>
            </w:tcBorders>
            <w:shd w:val="clear" w:color="auto" w:fill="auto"/>
            <w:vAlign w:val="center"/>
            <w:hideMark/>
          </w:tcPr>
          <w:p w14:paraId="5A1D0FB4"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w:t>
            </w:r>
          </w:p>
        </w:tc>
        <w:tc>
          <w:tcPr>
            <w:tcW w:w="2284" w:type="dxa"/>
            <w:tcBorders>
              <w:top w:val="nil"/>
              <w:left w:val="nil"/>
              <w:bottom w:val="nil"/>
              <w:right w:val="nil"/>
            </w:tcBorders>
            <w:shd w:val="clear" w:color="auto" w:fill="auto"/>
            <w:vAlign w:val="center"/>
            <w:hideMark/>
          </w:tcPr>
          <w:p w14:paraId="27F05644"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350</w:t>
            </w:r>
          </w:p>
        </w:tc>
        <w:tc>
          <w:tcPr>
            <w:tcW w:w="1237" w:type="dxa"/>
            <w:tcBorders>
              <w:top w:val="nil"/>
              <w:left w:val="nil"/>
              <w:bottom w:val="nil"/>
              <w:right w:val="nil"/>
            </w:tcBorders>
            <w:shd w:val="clear" w:color="auto" w:fill="auto"/>
            <w:vAlign w:val="center"/>
            <w:hideMark/>
          </w:tcPr>
          <w:p w14:paraId="4A2A3B6E"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5+</w:t>
            </w:r>
          </w:p>
        </w:tc>
      </w:tr>
      <w:tr w:rsidR="00860B16" w:rsidRPr="00B57803" w14:paraId="3493D044" w14:textId="77777777" w:rsidTr="001702BC">
        <w:trPr>
          <w:trHeight w:val="285"/>
        </w:trPr>
        <w:tc>
          <w:tcPr>
            <w:tcW w:w="1227" w:type="dxa"/>
            <w:tcBorders>
              <w:top w:val="nil"/>
              <w:left w:val="nil"/>
              <w:bottom w:val="nil"/>
              <w:right w:val="nil"/>
            </w:tcBorders>
            <w:shd w:val="clear" w:color="auto" w:fill="auto"/>
            <w:vAlign w:val="center"/>
            <w:hideMark/>
          </w:tcPr>
          <w:p w14:paraId="3D28BE25"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22</w:t>
            </w:r>
          </w:p>
        </w:tc>
        <w:tc>
          <w:tcPr>
            <w:tcW w:w="2031" w:type="dxa"/>
            <w:tcBorders>
              <w:top w:val="nil"/>
              <w:left w:val="nil"/>
              <w:bottom w:val="nil"/>
              <w:right w:val="nil"/>
            </w:tcBorders>
            <w:shd w:val="clear" w:color="auto" w:fill="auto"/>
            <w:vAlign w:val="center"/>
            <w:hideMark/>
          </w:tcPr>
          <w:p w14:paraId="5F136AD4"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0.4</w:t>
            </w:r>
          </w:p>
        </w:tc>
        <w:tc>
          <w:tcPr>
            <w:tcW w:w="3025" w:type="dxa"/>
            <w:tcBorders>
              <w:top w:val="nil"/>
              <w:left w:val="nil"/>
              <w:bottom w:val="nil"/>
              <w:right w:val="nil"/>
            </w:tcBorders>
            <w:shd w:val="clear" w:color="auto" w:fill="auto"/>
            <w:vAlign w:val="center"/>
            <w:hideMark/>
          </w:tcPr>
          <w:p w14:paraId="06F63B9C"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w:t>
            </w:r>
          </w:p>
        </w:tc>
        <w:tc>
          <w:tcPr>
            <w:tcW w:w="2284" w:type="dxa"/>
            <w:tcBorders>
              <w:top w:val="nil"/>
              <w:left w:val="nil"/>
              <w:bottom w:val="nil"/>
              <w:right w:val="nil"/>
            </w:tcBorders>
            <w:shd w:val="clear" w:color="auto" w:fill="auto"/>
            <w:vAlign w:val="center"/>
            <w:hideMark/>
          </w:tcPr>
          <w:p w14:paraId="2F597510"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150</w:t>
            </w:r>
          </w:p>
        </w:tc>
        <w:tc>
          <w:tcPr>
            <w:tcW w:w="1237" w:type="dxa"/>
            <w:tcBorders>
              <w:top w:val="nil"/>
              <w:left w:val="nil"/>
              <w:bottom w:val="nil"/>
              <w:right w:val="nil"/>
            </w:tcBorders>
            <w:shd w:val="clear" w:color="auto" w:fill="auto"/>
            <w:vAlign w:val="center"/>
            <w:hideMark/>
          </w:tcPr>
          <w:p w14:paraId="15ECB2CB"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F</w:t>
            </w:r>
            <w:r w:rsidRPr="00B57803">
              <w:rPr>
                <w:rFonts w:asciiTheme="minorHAnsi" w:hAnsiTheme="minorHAnsi"/>
                <w:sz w:val="17"/>
                <w:szCs w:val="17"/>
                <w:vertAlign w:val="superscript"/>
                <w:lang w:eastAsia="zh-CN"/>
              </w:rPr>
              <w:t>-</w:t>
            </w:r>
          </w:p>
        </w:tc>
      </w:tr>
      <w:tr w:rsidR="00860B16" w:rsidRPr="00B57803" w14:paraId="6688611C" w14:textId="77777777" w:rsidTr="001702BC">
        <w:trPr>
          <w:trHeight w:val="285"/>
        </w:trPr>
        <w:tc>
          <w:tcPr>
            <w:tcW w:w="1227" w:type="dxa"/>
            <w:tcBorders>
              <w:top w:val="nil"/>
              <w:left w:val="nil"/>
              <w:right w:val="nil"/>
            </w:tcBorders>
            <w:shd w:val="clear" w:color="auto" w:fill="auto"/>
            <w:vAlign w:val="center"/>
            <w:hideMark/>
          </w:tcPr>
          <w:p w14:paraId="25A99539"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23</w:t>
            </w:r>
          </w:p>
        </w:tc>
        <w:tc>
          <w:tcPr>
            <w:tcW w:w="2031" w:type="dxa"/>
            <w:tcBorders>
              <w:top w:val="nil"/>
              <w:left w:val="nil"/>
              <w:right w:val="nil"/>
            </w:tcBorders>
            <w:shd w:val="clear" w:color="auto" w:fill="auto"/>
            <w:vAlign w:val="center"/>
            <w:hideMark/>
          </w:tcPr>
          <w:p w14:paraId="75CE8159"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0.4</w:t>
            </w:r>
          </w:p>
        </w:tc>
        <w:tc>
          <w:tcPr>
            <w:tcW w:w="3025" w:type="dxa"/>
            <w:tcBorders>
              <w:top w:val="nil"/>
              <w:left w:val="nil"/>
              <w:right w:val="nil"/>
            </w:tcBorders>
            <w:shd w:val="clear" w:color="auto" w:fill="auto"/>
            <w:vAlign w:val="center"/>
            <w:hideMark/>
          </w:tcPr>
          <w:p w14:paraId="0E4524C7"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50</w:t>
            </w:r>
          </w:p>
        </w:tc>
        <w:tc>
          <w:tcPr>
            <w:tcW w:w="2284" w:type="dxa"/>
            <w:tcBorders>
              <w:top w:val="nil"/>
              <w:left w:val="nil"/>
              <w:right w:val="nil"/>
            </w:tcBorders>
            <w:shd w:val="clear" w:color="auto" w:fill="auto"/>
            <w:vAlign w:val="center"/>
            <w:hideMark/>
          </w:tcPr>
          <w:p w14:paraId="0DA09A12"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200</w:t>
            </w:r>
          </w:p>
        </w:tc>
        <w:tc>
          <w:tcPr>
            <w:tcW w:w="1237" w:type="dxa"/>
            <w:tcBorders>
              <w:top w:val="nil"/>
              <w:left w:val="nil"/>
              <w:right w:val="nil"/>
            </w:tcBorders>
            <w:shd w:val="clear" w:color="auto" w:fill="auto"/>
            <w:vAlign w:val="center"/>
            <w:hideMark/>
          </w:tcPr>
          <w:p w14:paraId="65436BB8"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3+</w:t>
            </w:r>
          </w:p>
        </w:tc>
      </w:tr>
      <w:tr w:rsidR="00860B16" w:rsidRPr="00B57803" w14:paraId="33BA4883" w14:textId="77777777" w:rsidTr="001702BC">
        <w:trPr>
          <w:trHeight w:val="285"/>
        </w:trPr>
        <w:tc>
          <w:tcPr>
            <w:tcW w:w="1227" w:type="dxa"/>
            <w:tcBorders>
              <w:top w:val="nil"/>
              <w:left w:val="nil"/>
              <w:bottom w:val="nil"/>
              <w:right w:val="nil"/>
            </w:tcBorders>
            <w:shd w:val="clear" w:color="auto" w:fill="auto"/>
            <w:vAlign w:val="center"/>
            <w:hideMark/>
          </w:tcPr>
          <w:p w14:paraId="1902654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24</w:t>
            </w:r>
          </w:p>
        </w:tc>
        <w:tc>
          <w:tcPr>
            <w:tcW w:w="2031" w:type="dxa"/>
            <w:tcBorders>
              <w:top w:val="nil"/>
              <w:left w:val="nil"/>
              <w:bottom w:val="nil"/>
              <w:right w:val="nil"/>
            </w:tcBorders>
            <w:shd w:val="clear" w:color="auto" w:fill="auto"/>
            <w:vAlign w:val="center"/>
            <w:hideMark/>
          </w:tcPr>
          <w:p w14:paraId="0BF37902"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0.4</w:t>
            </w:r>
          </w:p>
        </w:tc>
        <w:tc>
          <w:tcPr>
            <w:tcW w:w="3025" w:type="dxa"/>
            <w:tcBorders>
              <w:top w:val="nil"/>
              <w:left w:val="nil"/>
              <w:bottom w:val="nil"/>
              <w:right w:val="nil"/>
            </w:tcBorders>
            <w:shd w:val="clear" w:color="auto" w:fill="auto"/>
            <w:vAlign w:val="center"/>
            <w:hideMark/>
          </w:tcPr>
          <w:p w14:paraId="1676080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75</w:t>
            </w:r>
          </w:p>
        </w:tc>
        <w:tc>
          <w:tcPr>
            <w:tcW w:w="2284" w:type="dxa"/>
            <w:tcBorders>
              <w:top w:val="nil"/>
              <w:left w:val="nil"/>
              <w:bottom w:val="nil"/>
              <w:right w:val="nil"/>
            </w:tcBorders>
            <w:shd w:val="clear" w:color="auto" w:fill="auto"/>
            <w:vAlign w:val="center"/>
            <w:hideMark/>
          </w:tcPr>
          <w:p w14:paraId="491E1D1A"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250</w:t>
            </w:r>
          </w:p>
        </w:tc>
        <w:tc>
          <w:tcPr>
            <w:tcW w:w="1237" w:type="dxa"/>
            <w:tcBorders>
              <w:top w:val="nil"/>
              <w:left w:val="nil"/>
              <w:bottom w:val="nil"/>
              <w:right w:val="nil"/>
            </w:tcBorders>
            <w:shd w:val="clear" w:color="auto" w:fill="auto"/>
            <w:vAlign w:val="center"/>
            <w:hideMark/>
          </w:tcPr>
          <w:p w14:paraId="234F494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Ce</w:t>
            </w:r>
            <w:r w:rsidRPr="00B57803">
              <w:rPr>
                <w:rFonts w:asciiTheme="minorHAnsi" w:hAnsiTheme="minorHAnsi"/>
                <w:sz w:val="17"/>
                <w:szCs w:val="17"/>
                <w:vertAlign w:val="superscript"/>
                <w:lang w:eastAsia="zh-CN"/>
              </w:rPr>
              <w:t>4+</w:t>
            </w:r>
          </w:p>
        </w:tc>
      </w:tr>
      <w:tr w:rsidR="00860B16" w:rsidRPr="00B57803" w14:paraId="5C0B6A65" w14:textId="77777777" w:rsidTr="001702BC">
        <w:trPr>
          <w:trHeight w:val="285"/>
        </w:trPr>
        <w:tc>
          <w:tcPr>
            <w:tcW w:w="1227" w:type="dxa"/>
            <w:tcBorders>
              <w:top w:val="nil"/>
              <w:left w:val="nil"/>
              <w:bottom w:val="single" w:sz="4" w:space="0" w:color="auto"/>
              <w:right w:val="nil"/>
            </w:tcBorders>
            <w:shd w:val="clear" w:color="auto" w:fill="auto"/>
            <w:vAlign w:val="center"/>
            <w:hideMark/>
          </w:tcPr>
          <w:p w14:paraId="0C7C93C6"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25</w:t>
            </w:r>
          </w:p>
        </w:tc>
        <w:tc>
          <w:tcPr>
            <w:tcW w:w="2031" w:type="dxa"/>
            <w:tcBorders>
              <w:top w:val="nil"/>
              <w:left w:val="nil"/>
              <w:bottom w:val="single" w:sz="4" w:space="0" w:color="auto"/>
              <w:right w:val="nil"/>
            </w:tcBorders>
            <w:shd w:val="clear" w:color="auto" w:fill="auto"/>
            <w:vAlign w:val="center"/>
            <w:hideMark/>
          </w:tcPr>
          <w:p w14:paraId="223DBFAA"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0.4</w:t>
            </w:r>
          </w:p>
        </w:tc>
        <w:tc>
          <w:tcPr>
            <w:tcW w:w="3025" w:type="dxa"/>
            <w:tcBorders>
              <w:top w:val="nil"/>
              <w:left w:val="nil"/>
              <w:bottom w:val="single" w:sz="4" w:space="0" w:color="auto"/>
              <w:right w:val="nil"/>
            </w:tcBorders>
            <w:shd w:val="clear" w:color="auto" w:fill="auto"/>
            <w:vAlign w:val="center"/>
            <w:hideMark/>
          </w:tcPr>
          <w:p w14:paraId="35EEA118"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100</w:t>
            </w:r>
          </w:p>
        </w:tc>
        <w:tc>
          <w:tcPr>
            <w:tcW w:w="2284" w:type="dxa"/>
            <w:tcBorders>
              <w:top w:val="nil"/>
              <w:left w:val="nil"/>
              <w:bottom w:val="single" w:sz="4" w:space="0" w:color="auto"/>
              <w:right w:val="nil"/>
            </w:tcBorders>
            <w:shd w:val="clear" w:color="auto" w:fill="auto"/>
            <w:vAlign w:val="center"/>
            <w:hideMark/>
          </w:tcPr>
          <w:p w14:paraId="1EA6E25F"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300</w:t>
            </w:r>
          </w:p>
        </w:tc>
        <w:tc>
          <w:tcPr>
            <w:tcW w:w="1237" w:type="dxa"/>
            <w:tcBorders>
              <w:top w:val="nil"/>
              <w:left w:val="nil"/>
              <w:bottom w:val="single" w:sz="4" w:space="0" w:color="auto"/>
              <w:right w:val="nil"/>
            </w:tcBorders>
            <w:shd w:val="clear" w:color="auto" w:fill="auto"/>
            <w:vAlign w:val="center"/>
            <w:hideMark/>
          </w:tcPr>
          <w:p w14:paraId="03472963" w14:textId="77777777" w:rsidR="00860B16" w:rsidRPr="00B57803" w:rsidRDefault="00860B16" w:rsidP="001702BC">
            <w:pPr>
              <w:overflowPunct/>
              <w:autoSpaceDE/>
              <w:autoSpaceDN/>
              <w:adjustRightInd/>
              <w:spacing w:line="240" w:lineRule="auto"/>
              <w:ind w:firstLine="0"/>
              <w:jc w:val="left"/>
              <w:textAlignment w:val="auto"/>
              <w:rPr>
                <w:rFonts w:asciiTheme="minorHAnsi" w:hAnsiTheme="minorHAnsi"/>
                <w:sz w:val="17"/>
                <w:szCs w:val="17"/>
                <w:lang w:eastAsia="zh-CN"/>
              </w:rPr>
            </w:pPr>
            <w:r w:rsidRPr="00B57803">
              <w:rPr>
                <w:rFonts w:asciiTheme="minorHAnsi" w:hAnsiTheme="minorHAnsi"/>
                <w:sz w:val="17"/>
                <w:szCs w:val="17"/>
                <w:lang w:eastAsia="zh-CN"/>
              </w:rPr>
              <w:t>Mo</w:t>
            </w:r>
            <w:r w:rsidRPr="00B57803">
              <w:rPr>
                <w:rFonts w:asciiTheme="minorHAnsi" w:hAnsiTheme="minorHAnsi"/>
                <w:sz w:val="17"/>
                <w:szCs w:val="17"/>
                <w:vertAlign w:val="superscript"/>
                <w:lang w:eastAsia="zh-CN"/>
              </w:rPr>
              <w:t>3+</w:t>
            </w:r>
          </w:p>
        </w:tc>
      </w:tr>
    </w:tbl>
    <w:p w14:paraId="58BAC778" w14:textId="0A0A7877" w:rsidR="004E6A85" w:rsidRPr="002F7DC8" w:rsidRDefault="004E6A85" w:rsidP="004E6A85">
      <w:pPr>
        <w:spacing w:before="240" w:after="240"/>
        <w:ind w:firstLine="0"/>
        <w:rPr>
          <w:rFonts w:ascii="Times New Roman" w:hAnsi="Times New Roman"/>
          <w:b/>
          <w:lang w:eastAsia="zh-CN"/>
        </w:rPr>
      </w:pPr>
      <w:r w:rsidRPr="002F7DC8">
        <w:rPr>
          <w:rFonts w:ascii="Times New Roman" w:hAnsi="Times New Roman"/>
          <w:b/>
          <w:lang w:eastAsia="zh-CN"/>
        </w:rPr>
        <w:t>Table S</w:t>
      </w:r>
      <w:r w:rsidRPr="002F7DC8">
        <w:rPr>
          <w:rFonts w:ascii="Times New Roman" w:hAnsi="Times New Roman"/>
          <w:b/>
          <w:lang w:eastAsia="zh-CN"/>
        </w:rPr>
        <w:t>3</w:t>
      </w:r>
      <w:r w:rsidRPr="002F7DC8">
        <w:rPr>
          <w:rFonts w:ascii="Times New Roman" w:hAnsi="Times New Roman"/>
          <w:b/>
          <w:lang w:eastAsia="zh-CN"/>
        </w:rPr>
        <w:t xml:space="preserve">: </w:t>
      </w:r>
      <w:r w:rsidRPr="002F7DC8">
        <w:rPr>
          <w:rFonts w:ascii="Times New Roman" w:hAnsi="Times New Roman"/>
          <w:bCs/>
          <w:lang w:eastAsia="zh-CN"/>
        </w:rPr>
        <w:t>Sustainability Metrics of In-Situ Nanoengineering Method vs. Conventional Synthesis Methods</w:t>
      </w:r>
      <w:r w:rsidRPr="002F7DC8">
        <w:rPr>
          <w:rFonts w:ascii="Times New Roman" w:hAnsi="Times New Roman"/>
          <w:bCs/>
          <w:lang w:eastAsia="zh-CN"/>
        </w:rPr>
        <w:t xml:space="preserve"> [</w:t>
      </w:r>
      <w:r w:rsidR="006F66BF" w:rsidRPr="002F7DC8">
        <w:rPr>
          <w:rFonts w:ascii="Times New Roman" w:hAnsi="Times New Roman"/>
          <w:bCs/>
          <w:lang w:eastAsia="zh-CN"/>
        </w:rPr>
        <w:t>R19-R25]</w:t>
      </w:r>
      <w:r w:rsidRPr="002F7DC8">
        <w:rPr>
          <w:rFonts w:ascii="Times New Roman" w:hAnsi="Times New Roman"/>
          <w:bCs/>
          <w:lang w:eastAsia="zh-CN"/>
        </w:rPr>
        <w:t>.</w:t>
      </w:r>
    </w:p>
    <w:tbl>
      <w:tblPr>
        <w:tblStyle w:val="TableGrid"/>
        <w:tblW w:w="0" w:type="auto"/>
        <w:tblLook w:val="04A0" w:firstRow="1" w:lastRow="0" w:firstColumn="1" w:lastColumn="0" w:noHBand="0" w:noVBand="1"/>
      </w:tblPr>
      <w:tblGrid>
        <w:gridCol w:w="2337"/>
        <w:gridCol w:w="2337"/>
        <w:gridCol w:w="2338"/>
        <w:gridCol w:w="2338"/>
      </w:tblGrid>
      <w:tr w:rsidR="004E6A85" w14:paraId="3EB47915" w14:textId="77777777" w:rsidTr="006300BE">
        <w:tc>
          <w:tcPr>
            <w:tcW w:w="2337" w:type="dxa"/>
            <w:vAlign w:val="center"/>
          </w:tcPr>
          <w:p w14:paraId="49E70D4D" w14:textId="38E784E5" w:rsidR="004E6A85" w:rsidRDefault="004E6A85" w:rsidP="001B19E6">
            <w:pPr>
              <w:ind w:firstLine="0"/>
            </w:pPr>
            <w:r w:rsidRPr="004E6A85">
              <w:rPr>
                <w:b/>
                <w:bCs/>
              </w:rPr>
              <w:t>Metric</w:t>
            </w:r>
          </w:p>
        </w:tc>
        <w:tc>
          <w:tcPr>
            <w:tcW w:w="2337" w:type="dxa"/>
            <w:vAlign w:val="center"/>
          </w:tcPr>
          <w:p w14:paraId="3FF62D99" w14:textId="24E22879" w:rsidR="004E6A85" w:rsidRDefault="004E6A85" w:rsidP="001B19E6">
            <w:pPr>
              <w:ind w:firstLine="0"/>
            </w:pPr>
            <w:r w:rsidRPr="004E6A85">
              <w:rPr>
                <w:b/>
                <w:bCs/>
                <w:i/>
                <w:iCs/>
              </w:rPr>
              <w:t>In-Situ</w:t>
            </w:r>
            <w:r w:rsidRPr="004E6A85">
              <w:rPr>
                <w:b/>
                <w:bCs/>
              </w:rPr>
              <w:t xml:space="preserve"> Nanoengineering Method</w:t>
            </w:r>
          </w:p>
        </w:tc>
        <w:tc>
          <w:tcPr>
            <w:tcW w:w="2338" w:type="dxa"/>
            <w:vAlign w:val="center"/>
          </w:tcPr>
          <w:p w14:paraId="62400C43" w14:textId="133782C0" w:rsidR="004E6A85" w:rsidRDefault="004E6A85" w:rsidP="001B19E6">
            <w:pPr>
              <w:ind w:firstLine="0"/>
            </w:pPr>
            <w:r w:rsidRPr="004E6A85">
              <w:rPr>
                <w:b/>
                <w:bCs/>
              </w:rPr>
              <w:t>Conventional Synthesis Methods</w:t>
            </w:r>
          </w:p>
        </w:tc>
        <w:tc>
          <w:tcPr>
            <w:tcW w:w="2338" w:type="dxa"/>
            <w:vAlign w:val="center"/>
          </w:tcPr>
          <w:p w14:paraId="4E2363B2" w14:textId="539FBC97" w:rsidR="004E6A85" w:rsidRDefault="004E6A85" w:rsidP="001B19E6">
            <w:pPr>
              <w:ind w:firstLine="0"/>
            </w:pPr>
            <w:r w:rsidRPr="004E6A85">
              <w:rPr>
                <w:b/>
                <w:bCs/>
              </w:rPr>
              <w:t>Improvement (%)</w:t>
            </w:r>
          </w:p>
        </w:tc>
      </w:tr>
      <w:tr w:rsidR="004E6A85" w14:paraId="55BB75F3" w14:textId="77777777" w:rsidTr="006300BE">
        <w:tc>
          <w:tcPr>
            <w:tcW w:w="2337" w:type="dxa"/>
            <w:vAlign w:val="center"/>
          </w:tcPr>
          <w:p w14:paraId="2C95F72B" w14:textId="3212D994" w:rsidR="004E6A85" w:rsidRPr="004E6A85" w:rsidRDefault="004E6A85" w:rsidP="001B19E6">
            <w:pPr>
              <w:ind w:firstLine="0"/>
            </w:pPr>
            <w:r w:rsidRPr="004E6A85">
              <w:t>Operating Temperature</w:t>
            </w:r>
          </w:p>
        </w:tc>
        <w:tc>
          <w:tcPr>
            <w:tcW w:w="2337" w:type="dxa"/>
            <w:vAlign w:val="center"/>
          </w:tcPr>
          <w:p w14:paraId="1037EC9D" w14:textId="1831CBC0" w:rsidR="004E6A85" w:rsidRDefault="004E6A85" w:rsidP="001B19E6">
            <w:pPr>
              <w:ind w:firstLine="0"/>
            </w:pPr>
            <w:r w:rsidRPr="004E6A85">
              <w:t>≤ 350°C</w:t>
            </w:r>
          </w:p>
        </w:tc>
        <w:tc>
          <w:tcPr>
            <w:tcW w:w="2338" w:type="dxa"/>
            <w:vAlign w:val="center"/>
          </w:tcPr>
          <w:p w14:paraId="4C7CFB28" w14:textId="49623514" w:rsidR="004E6A85" w:rsidRDefault="004E6A85" w:rsidP="001B19E6">
            <w:pPr>
              <w:ind w:firstLine="0"/>
            </w:pPr>
            <w:r w:rsidRPr="004E6A85">
              <w:t>&gt; 500°C</w:t>
            </w:r>
          </w:p>
        </w:tc>
        <w:tc>
          <w:tcPr>
            <w:tcW w:w="2338" w:type="dxa"/>
            <w:vAlign w:val="center"/>
          </w:tcPr>
          <w:p w14:paraId="71BC093E" w14:textId="579B202C" w:rsidR="004E6A85" w:rsidRDefault="004E6A85" w:rsidP="001B19E6">
            <w:pPr>
              <w:ind w:firstLine="0"/>
            </w:pPr>
            <w:r w:rsidRPr="004E6A85">
              <w:t>-30%</w:t>
            </w:r>
          </w:p>
        </w:tc>
      </w:tr>
      <w:tr w:rsidR="004E6A85" w14:paraId="212F8BC1" w14:textId="77777777" w:rsidTr="006300BE">
        <w:tc>
          <w:tcPr>
            <w:tcW w:w="2337" w:type="dxa"/>
            <w:vAlign w:val="center"/>
          </w:tcPr>
          <w:p w14:paraId="13A8D0CF" w14:textId="752E2501" w:rsidR="004E6A85" w:rsidRPr="004E6A85" w:rsidRDefault="004E6A85" w:rsidP="001B19E6">
            <w:pPr>
              <w:ind w:firstLine="0"/>
            </w:pPr>
            <w:r w:rsidRPr="004E6A85">
              <w:t>Solvent Usage</w:t>
            </w:r>
          </w:p>
        </w:tc>
        <w:tc>
          <w:tcPr>
            <w:tcW w:w="2337" w:type="dxa"/>
            <w:vAlign w:val="center"/>
          </w:tcPr>
          <w:p w14:paraId="4E5F4D65" w14:textId="064E7C38" w:rsidR="004E6A85" w:rsidRDefault="004E6A85" w:rsidP="001B19E6">
            <w:pPr>
              <w:ind w:firstLine="0"/>
            </w:pPr>
            <w:r w:rsidRPr="004E6A85">
              <w:t>Water-based</w:t>
            </w:r>
          </w:p>
        </w:tc>
        <w:tc>
          <w:tcPr>
            <w:tcW w:w="2338" w:type="dxa"/>
            <w:vAlign w:val="center"/>
          </w:tcPr>
          <w:p w14:paraId="3928FE5F" w14:textId="0C0036B4" w:rsidR="004E6A85" w:rsidRDefault="004E6A85" w:rsidP="001B19E6">
            <w:pPr>
              <w:ind w:firstLine="0"/>
            </w:pPr>
            <w:r w:rsidRPr="004E6A85">
              <w:t>Organic solvents</w:t>
            </w:r>
          </w:p>
        </w:tc>
        <w:tc>
          <w:tcPr>
            <w:tcW w:w="2338" w:type="dxa"/>
            <w:vAlign w:val="center"/>
          </w:tcPr>
          <w:p w14:paraId="74B364D1" w14:textId="7F3F605E" w:rsidR="004E6A85" w:rsidRDefault="004E6A85" w:rsidP="001B19E6">
            <w:pPr>
              <w:ind w:firstLine="0"/>
            </w:pPr>
            <w:r w:rsidRPr="004E6A85">
              <w:t>+75% Recycling</w:t>
            </w:r>
          </w:p>
        </w:tc>
      </w:tr>
      <w:tr w:rsidR="004E6A85" w14:paraId="59EBD5DB" w14:textId="77777777" w:rsidTr="006300BE">
        <w:tc>
          <w:tcPr>
            <w:tcW w:w="2337" w:type="dxa"/>
            <w:vAlign w:val="center"/>
          </w:tcPr>
          <w:p w14:paraId="38113F42" w14:textId="3D60F334" w:rsidR="004E6A85" w:rsidRPr="004E6A85" w:rsidRDefault="004E6A85" w:rsidP="001B19E6">
            <w:pPr>
              <w:ind w:firstLine="0"/>
            </w:pPr>
            <w:r w:rsidRPr="004E6A85">
              <w:t>Waste Generation</w:t>
            </w:r>
          </w:p>
        </w:tc>
        <w:tc>
          <w:tcPr>
            <w:tcW w:w="2337" w:type="dxa"/>
            <w:vAlign w:val="center"/>
          </w:tcPr>
          <w:p w14:paraId="08B4A025" w14:textId="4B5EF1E0" w:rsidR="004E6A85" w:rsidRDefault="004E6A85" w:rsidP="001B19E6">
            <w:pPr>
              <w:ind w:firstLine="0"/>
            </w:pPr>
            <w:r w:rsidRPr="004E6A85">
              <w:t>Reduced by 75%</w:t>
            </w:r>
          </w:p>
        </w:tc>
        <w:tc>
          <w:tcPr>
            <w:tcW w:w="2338" w:type="dxa"/>
            <w:vAlign w:val="center"/>
          </w:tcPr>
          <w:p w14:paraId="147064C4" w14:textId="1471EC01" w:rsidR="004E6A85" w:rsidRDefault="004E6A85" w:rsidP="001B19E6">
            <w:pPr>
              <w:ind w:firstLine="0"/>
            </w:pPr>
            <w:r w:rsidRPr="004E6A85">
              <w:t>Baseline</w:t>
            </w:r>
          </w:p>
        </w:tc>
        <w:tc>
          <w:tcPr>
            <w:tcW w:w="2338" w:type="dxa"/>
            <w:vAlign w:val="center"/>
          </w:tcPr>
          <w:p w14:paraId="36D664F5" w14:textId="71779CBB" w:rsidR="004E6A85" w:rsidRDefault="004E6A85" w:rsidP="001B19E6">
            <w:pPr>
              <w:ind w:firstLine="0"/>
            </w:pPr>
            <w:r w:rsidRPr="004E6A85">
              <w:t>-75%</w:t>
            </w:r>
          </w:p>
        </w:tc>
      </w:tr>
      <w:tr w:rsidR="004E6A85" w14:paraId="77CA443C" w14:textId="77777777" w:rsidTr="006300BE">
        <w:tc>
          <w:tcPr>
            <w:tcW w:w="2337" w:type="dxa"/>
            <w:vAlign w:val="center"/>
          </w:tcPr>
          <w:p w14:paraId="77A6E5B3" w14:textId="14C49EE2" w:rsidR="004E6A85" w:rsidRPr="004E6A85" w:rsidRDefault="004E6A85" w:rsidP="001B19E6">
            <w:pPr>
              <w:ind w:firstLine="0"/>
            </w:pPr>
            <w:r w:rsidRPr="004E6A85">
              <w:t>Energy Consumption</w:t>
            </w:r>
          </w:p>
        </w:tc>
        <w:tc>
          <w:tcPr>
            <w:tcW w:w="2337" w:type="dxa"/>
            <w:vAlign w:val="center"/>
          </w:tcPr>
          <w:p w14:paraId="58C6F0D2" w14:textId="560FFBC6" w:rsidR="004E6A85" w:rsidRDefault="004E6A85" w:rsidP="001B19E6">
            <w:pPr>
              <w:ind w:firstLine="0"/>
            </w:pPr>
            <w:r w:rsidRPr="004E6A85">
              <w:t>Reduced by 40%</w:t>
            </w:r>
          </w:p>
        </w:tc>
        <w:tc>
          <w:tcPr>
            <w:tcW w:w="2338" w:type="dxa"/>
            <w:vAlign w:val="center"/>
          </w:tcPr>
          <w:p w14:paraId="63119E99" w14:textId="3E3AB332" w:rsidR="004E6A85" w:rsidRDefault="004E6A85" w:rsidP="001B19E6">
            <w:pPr>
              <w:ind w:firstLine="0"/>
            </w:pPr>
            <w:r w:rsidRPr="004E6A85">
              <w:t>Higher energy requirements</w:t>
            </w:r>
          </w:p>
        </w:tc>
        <w:tc>
          <w:tcPr>
            <w:tcW w:w="2338" w:type="dxa"/>
            <w:vAlign w:val="center"/>
          </w:tcPr>
          <w:p w14:paraId="35FE4C84" w14:textId="6CF95DF4" w:rsidR="004E6A85" w:rsidRDefault="004E6A85" w:rsidP="001B19E6">
            <w:pPr>
              <w:ind w:firstLine="0"/>
            </w:pPr>
            <w:r w:rsidRPr="004E6A85">
              <w:t>-40%</w:t>
            </w:r>
          </w:p>
        </w:tc>
      </w:tr>
    </w:tbl>
    <w:p w14:paraId="014E43CD" w14:textId="1B7797E4" w:rsidR="004E6A85" w:rsidRPr="004E6A85" w:rsidRDefault="004E6A85" w:rsidP="006A4C02">
      <w:pPr>
        <w:spacing w:before="240"/>
        <w:ind w:firstLine="0"/>
      </w:pPr>
      <w:r w:rsidRPr="004E6A85">
        <w:t xml:space="preserve">In addition to the enhanced electrochemical performance, the green nano-engineering synthesis method offers substantial sustainability advantages. By operating at a 40% lower energy consumption and achieving a 75% reduction in hazardous waste generation, our approach aligns with the principles of green chemistry [S1]. </w:t>
      </w:r>
      <w:r w:rsidR="00EB40E6">
        <w:t>Using water as a solvent and natural extracts minimizes the environmental footprint and</w:t>
      </w:r>
      <w:r w:rsidRPr="004E6A85">
        <w:t xml:space="preserve"> facilitates scalable and eco-friendly production processes. These sustainability metrics underscore the viability of our synthesis method for large-scale manufacturing of solid-state electrolytes, contributing to more sustainable energy storage solutions</w:t>
      </w:r>
      <w:r w:rsidRPr="004E6A85">
        <w:t>.</w:t>
      </w:r>
    </w:p>
    <w:p w14:paraId="7FEE6672" w14:textId="70EB31E7" w:rsidR="00A94981" w:rsidRPr="00A94981" w:rsidRDefault="00A94981" w:rsidP="006A4C02">
      <w:pPr>
        <w:spacing w:before="240"/>
        <w:ind w:firstLine="0"/>
      </w:pPr>
      <w:r w:rsidRPr="00A94981">
        <w:t>The high standard deviation (</w:t>
      </w:r>
      <w:r w:rsidR="003941DD">
        <w:t>modal</w:t>
      </w:r>
      <w:r w:rsidR="00CD4334">
        <w:t>) of 0.30, (</w:t>
      </w:r>
      <w:r w:rsidR="00CD4334">
        <w:sym w:font="Symbol" w:char="F0CE"/>
      </w:r>
      <w:r w:rsidR="00CD4334">
        <w:t xml:space="preserve">) upper 0.45, lower </w:t>
      </w:r>
      <w:r w:rsidR="00CD4334">
        <w:t>(</w:t>
      </w:r>
      <w:r w:rsidR="00CD4334">
        <w:sym w:font="Symbol" w:char="F0CF"/>
      </w:r>
      <w:r w:rsidR="00CD4334">
        <w:t>)</w:t>
      </w:r>
      <w:r w:rsidR="00CD4334">
        <w:t xml:space="preserve"> 0.15, and deviation (</w:t>
      </w:r>
      <w:r w:rsidR="003941DD">
        <w:sym w:font="Symbol" w:char="F073"/>
      </w:r>
      <w:r w:rsidR="00CD4334">
        <w:t xml:space="preserve">) of </w:t>
      </w:r>
      <w:r w:rsidRPr="00A94981">
        <w:t>0.1</w:t>
      </w:r>
      <w:r w:rsidR="003941DD">
        <w:t>3</w:t>
      </w:r>
      <w:r w:rsidRPr="00A94981">
        <w:t xml:space="preserve"> S cm⁻¹</w:t>
      </w:r>
      <w:r w:rsidR="003941DD">
        <w:t>, n=10</w:t>
      </w:r>
      <w:r w:rsidRPr="00A94981">
        <w:t>) in ionic conductivity values indicates significant variability across different samples. Potential sources of this variability include:</w:t>
      </w:r>
    </w:p>
    <w:p w14:paraId="77DD159A" w14:textId="613451EB" w:rsidR="00A94981" w:rsidRPr="00A94981" w:rsidRDefault="00A94981" w:rsidP="00A94981">
      <w:pPr>
        <w:numPr>
          <w:ilvl w:val="1"/>
          <w:numId w:val="3"/>
        </w:numPr>
      </w:pPr>
      <w:r w:rsidRPr="00A94981">
        <w:t>Sample Preparation: Inconsistencies in the synthesis process, such as variations in dopant distribution, homogeneity, and precise control of synthesis parameters, can lead to fluctuations in ionic conductivity. Ensuring uniform mixing and strict adherence to synthesis protocols is critical for minimizing variability</w:t>
      </w:r>
      <w:r w:rsidR="006F66BF">
        <w:t xml:space="preserve"> [R20]</w:t>
      </w:r>
      <w:r w:rsidRPr="00A94981">
        <w:t>.</w:t>
      </w:r>
    </w:p>
    <w:p w14:paraId="7792AE40" w14:textId="21496835" w:rsidR="00A94981" w:rsidRPr="00A94981" w:rsidRDefault="00A94981" w:rsidP="00A94981">
      <w:pPr>
        <w:numPr>
          <w:ilvl w:val="1"/>
          <w:numId w:val="3"/>
        </w:numPr>
      </w:pPr>
      <w:r w:rsidRPr="00A94981">
        <w:t>Measurement Techniques: Variations in electrode contact quality, pressure applied during cell assembly, temperature fluctuations during Electrochemical Impedance Spectroscopy (EIS) measurements, and calibration of measurement equipment can affect the accuracy and reproducibility of conductivity measurements. Standardizing measurement procedures and maintaining consistent environmental conditions are essential for reducing variability</w:t>
      </w:r>
      <w:r w:rsidR="006F66BF">
        <w:t xml:space="preserve"> [R21]</w:t>
      </w:r>
      <w:r w:rsidRPr="00A94981">
        <w:t>.</w:t>
      </w:r>
    </w:p>
    <w:p w14:paraId="5133D073" w14:textId="0735CBEA" w:rsidR="00A94981" w:rsidRPr="00A94981" w:rsidRDefault="00A94981" w:rsidP="00A94981">
      <w:pPr>
        <w:numPr>
          <w:ilvl w:val="1"/>
          <w:numId w:val="3"/>
        </w:numPr>
      </w:pPr>
      <w:r w:rsidRPr="00A94981">
        <w:t xml:space="preserve">Material Purity: </w:t>
      </w:r>
      <w:r w:rsidR="00EB40E6">
        <w:t>Impurities or unintended phases within the electrolyte material can impede Li-ion</w:t>
      </w:r>
      <w:r w:rsidRPr="00A94981">
        <w:t xml:space="preserve"> transport, resulting in inconsistent conductivity values. </w:t>
      </w:r>
      <w:r w:rsidR="00EB40E6">
        <w:t>Rigorous</w:t>
      </w:r>
      <w:r w:rsidRPr="00A94981">
        <w:t xml:space="preserve"> purification methods and thorough post-synthesis characterization can enhance material purity and reduce variability</w:t>
      </w:r>
      <w:r w:rsidR="006F66BF">
        <w:t xml:space="preserve"> [R22]</w:t>
      </w:r>
      <w:r w:rsidRPr="00A94981">
        <w:t>.</w:t>
      </w:r>
    </w:p>
    <w:p w14:paraId="4BD0A7B7" w14:textId="77777777" w:rsidR="00A94981" w:rsidRPr="00A94981" w:rsidRDefault="00A94981" w:rsidP="00A94981">
      <w:pPr>
        <w:ind w:firstLine="0"/>
      </w:pPr>
      <w:r w:rsidRPr="00A94981">
        <w:rPr>
          <w:b/>
          <w:bCs/>
        </w:rPr>
        <w:t>Strategies for Improving Consistency</w:t>
      </w:r>
      <w:r w:rsidRPr="00A94981">
        <w:t>: To mitigate the observed variability and enhance consistency in ionic conductivity measurements, the following approaches will be implemented in future studies:</w:t>
      </w:r>
    </w:p>
    <w:p w14:paraId="1EBEEC74" w14:textId="0DBE5029" w:rsidR="00A94981" w:rsidRPr="00A94981" w:rsidRDefault="00A94981" w:rsidP="00A94981">
      <w:pPr>
        <w:numPr>
          <w:ilvl w:val="1"/>
          <w:numId w:val="3"/>
        </w:numPr>
      </w:pPr>
      <w:r w:rsidRPr="00A94981">
        <w:t>Enhanced Synthesis Protocols: Adopting more controlled synthesis techniques, such as precise temperature regulation, uniform dopant incorporation, and consistent mixing procedures, will improve sample uniformity</w:t>
      </w:r>
      <w:r w:rsidR="006F66BF">
        <w:t xml:space="preserve"> [R23]</w:t>
      </w:r>
      <w:r w:rsidRPr="00A94981">
        <w:t>.</w:t>
      </w:r>
    </w:p>
    <w:p w14:paraId="1D81D0DF" w14:textId="4079BCF9" w:rsidR="00A94981" w:rsidRPr="00A94981" w:rsidRDefault="00A94981" w:rsidP="00A94981">
      <w:pPr>
        <w:numPr>
          <w:ilvl w:val="1"/>
          <w:numId w:val="3"/>
        </w:numPr>
      </w:pPr>
      <w:r w:rsidRPr="00A94981">
        <w:t>Standardized Measurement Protocols: Developing and adhering to a standardized protocol for EIS measurements, including consistent electrode preparation, applied pressure, and temperature control, will enhance reproducibility</w:t>
      </w:r>
      <w:r w:rsidR="006F66BF">
        <w:t xml:space="preserve"> [R24]</w:t>
      </w:r>
      <w:r w:rsidRPr="00A94981">
        <w:t>.</w:t>
      </w:r>
    </w:p>
    <w:p w14:paraId="1D9DB6E8" w14:textId="77777777" w:rsidR="001B19E6" w:rsidRDefault="001B19E6">
      <w:pPr>
        <w:overflowPunct/>
        <w:autoSpaceDE/>
        <w:autoSpaceDN/>
        <w:adjustRightInd/>
        <w:spacing w:after="160" w:line="278" w:lineRule="auto"/>
        <w:ind w:firstLine="0"/>
        <w:jc w:val="left"/>
        <w:textAlignment w:val="auto"/>
        <w:rPr>
          <w:b/>
          <w:bCs/>
        </w:rPr>
      </w:pPr>
      <w:r>
        <w:rPr>
          <w:b/>
          <w:bCs/>
        </w:rPr>
        <w:br w:type="page"/>
      </w:r>
    </w:p>
    <w:p w14:paraId="04A5A507" w14:textId="5AD44D13" w:rsidR="00A94981" w:rsidRPr="00A94981" w:rsidRDefault="00A94981" w:rsidP="006A4C02">
      <w:pPr>
        <w:spacing w:before="240"/>
        <w:ind w:firstLine="0"/>
        <w:rPr>
          <w:b/>
          <w:bCs/>
        </w:rPr>
      </w:pPr>
      <w:r w:rsidRPr="00A94981">
        <w:rPr>
          <w:b/>
          <w:bCs/>
        </w:rPr>
        <w:lastRenderedPageBreak/>
        <w:t>Discussion &amp; Analysis</w:t>
      </w:r>
      <w:r w:rsidR="006A4C02">
        <w:rPr>
          <w:b/>
          <w:bCs/>
        </w:rPr>
        <w:t>:</w:t>
      </w:r>
    </w:p>
    <w:p w14:paraId="47E06F37" w14:textId="516ACF43" w:rsidR="00A94981" w:rsidRPr="00A94981" w:rsidRDefault="00A94981" w:rsidP="00A94981">
      <w:pPr>
        <w:ind w:firstLine="0"/>
      </w:pPr>
      <w:r w:rsidRPr="00A94981">
        <w:rPr>
          <w:b/>
          <w:bCs/>
        </w:rPr>
        <w:t>Addressing Variability in Ionic Conductivity:</w:t>
      </w:r>
      <w:r w:rsidRPr="00A94981">
        <w:t xml:space="preserve"> The significant standard deviation observed in ionic conductivity measurements (0.30 ± 0.15 S cm⁻¹) highlights the presence of variability factors inherent in the synthesis and measurement processes. As detailed in the Results section, potential sources include inconsistencies in sample preparation, variations in measurement techniques, and material purity issues. </w:t>
      </w:r>
      <w:r w:rsidR="00EB40E6">
        <w:t>Future experiments will incorporate more controlled synthesis protocols, standardized EIS measurement procedures, and comprehensive material characterization techniques to enhance consistency</w:t>
      </w:r>
      <w:r w:rsidRPr="00A94981">
        <w:t xml:space="preserve">. Additionally, implementing quality control measures such as replicating synthesis runs and utilizing automated measurement systems will </w:t>
      </w:r>
      <w:r w:rsidR="00EB40E6">
        <w:t xml:space="preserve">reduce variability and ensure more reliable conductivity data, as </w:t>
      </w:r>
      <w:r w:rsidR="006A4C02">
        <w:t>summarized in Table S</w:t>
      </w:r>
      <w:r w:rsidR="004E6A85">
        <w:t>4</w:t>
      </w:r>
      <w:r w:rsidR="006F66BF">
        <w:t xml:space="preserve"> [R25]</w:t>
      </w:r>
      <w:r w:rsidR="006A4C02">
        <w:t>.</w:t>
      </w:r>
    </w:p>
    <w:p w14:paraId="174C671D" w14:textId="01574F07" w:rsidR="00A94981" w:rsidRPr="00A94981" w:rsidRDefault="00A94981" w:rsidP="00860B16">
      <w:pPr>
        <w:spacing w:before="240" w:after="240"/>
        <w:ind w:firstLine="0"/>
        <w:rPr>
          <w:rFonts w:ascii="Times New Roman" w:hAnsi="Times New Roman"/>
          <w:bCs/>
          <w:lang w:eastAsia="zh-CN"/>
        </w:rPr>
      </w:pPr>
      <w:r w:rsidRPr="00A94981">
        <w:rPr>
          <w:rFonts w:ascii="Times New Roman" w:hAnsi="Times New Roman"/>
          <w:b/>
          <w:lang w:eastAsia="zh-CN"/>
        </w:rPr>
        <w:t>Table S</w:t>
      </w:r>
      <w:r w:rsidR="004E6A85" w:rsidRPr="002F7DC8">
        <w:rPr>
          <w:rFonts w:ascii="Times New Roman" w:hAnsi="Times New Roman"/>
          <w:b/>
          <w:lang w:eastAsia="zh-CN"/>
        </w:rPr>
        <w:t>4</w:t>
      </w:r>
      <w:r w:rsidRPr="00A94981">
        <w:rPr>
          <w:rFonts w:ascii="Times New Roman" w:hAnsi="Times New Roman"/>
          <w:bCs/>
          <w:lang w:eastAsia="zh-CN"/>
        </w:rPr>
        <w:t>: Comparative Analysis of Variability Sources and Mitigation Strategies</w:t>
      </w:r>
      <w:r w:rsidR="006F66BF" w:rsidRPr="002F7DC8">
        <w:rPr>
          <w:rFonts w:ascii="Times New Roman" w:hAnsi="Times New Roman"/>
          <w:bCs/>
          <w:lang w:eastAsia="zh-CN"/>
        </w:rPr>
        <w:t xml:space="preserve"> [R26-28]</w:t>
      </w:r>
      <w:r w:rsidR="00FC38D2">
        <w:rPr>
          <w:rFonts w:ascii="Times New Roman" w:hAnsi="Times New Roman"/>
          <w:bCs/>
          <w:lang w:eastAsia="zh-CN"/>
        </w:rPr>
        <w:t>.</w:t>
      </w:r>
    </w:p>
    <w:tbl>
      <w:tblPr>
        <w:tblStyle w:val="TableGrid"/>
        <w:tblW w:w="0" w:type="auto"/>
        <w:tblLook w:val="04A0" w:firstRow="1" w:lastRow="0" w:firstColumn="1" w:lastColumn="0" w:noHBand="0" w:noVBand="1"/>
      </w:tblPr>
      <w:tblGrid>
        <w:gridCol w:w="2065"/>
        <w:gridCol w:w="2700"/>
        <w:gridCol w:w="4585"/>
      </w:tblGrid>
      <w:tr w:rsidR="006A4C02" w14:paraId="292BADE7" w14:textId="77777777" w:rsidTr="006A4C02">
        <w:tc>
          <w:tcPr>
            <w:tcW w:w="2065" w:type="dxa"/>
            <w:vAlign w:val="center"/>
          </w:tcPr>
          <w:p w14:paraId="06645915" w14:textId="30AC7EBE" w:rsidR="006A4C02" w:rsidRPr="006A4C02" w:rsidRDefault="006A4C02" w:rsidP="006A4C02">
            <w:pPr>
              <w:ind w:firstLine="0"/>
            </w:pPr>
            <w:r w:rsidRPr="006A4C02">
              <w:t>Source of Variability</w:t>
            </w:r>
          </w:p>
        </w:tc>
        <w:tc>
          <w:tcPr>
            <w:tcW w:w="2700" w:type="dxa"/>
            <w:vAlign w:val="center"/>
          </w:tcPr>
          <w:p w14:paraId="52BA3047" w14:textId="648710D8" w:rsidR="006A4C02" w:rsidRPr="006A4C02" w:rsidRDefault="006A4C02" w:rsidP="006A4C02">
            <w:pPr>
              <w:ind w:firstLine="0"/>
            </w:pPr>
            <w:r w:rsidRPr="006A4C02">
              <w:t>Impact on Ionic Conductivity</w:t>
            </w:r>
          </w:p>
        </w:tc>
        <w:tc>
          <w:tcPr>
            <w:tcW w:w="4585" w:type="dxa"/>
            <w:vAlign w:val="center"/>
          </w:tcPr>
          <w:p w14:paraId="4BDAEFBB" w14:textId="2C9E15CC" w:rsidR="006A4C02" w:rsidRPr="006A4C02" w:rsidRDefault="006A4C02" w:rsidP="006A4C02">
            <w:pPr>
              <w:ind w:firstLine="0"/>
            </w:pPr>
            <w:r w:rsidRPr="006A4C02">
              <w:t>Mitigation Strategy</w:t>
            </w:r>
          </w:p>
        </w:tc>
      </w:tr>
      <w:tr w:rsidR="006A4C02" w14:paraId="4BCF9D75" w14:textId="77777777" w:rsidTr="006A4C02">
        <w:tc>
          <w:tcPr>
            <w:tcW w:w="2065" w:type="dxa"/>
            <w:vAlign w:val="center"/>
          </w:tcPr>
          <w:p w14:paraId="5E9B1411" w14:textId="47B6F918" w:rsidR="006A4C02" w:rsidRPr="006A4C02" w:rsidRDefault="006A4C02" w:rsidP="006A4C02">
            <w:pPr>
              <w:ind w:firstLine="0"/>
            </w:pPr>
            <w:r w:rsidRPr="006A4C02">
              <w:t>Sample Preparation</w:t>
            </w:r>
          </w:p>
        </w:tc>
        <w:tc>
          <w:tcPr>
            <w:tcW w:w="2700" w:type="dxa"/>
            <w:vAlign w:val="center"/>
          </w:tcPr>
          <w:p w14:paraId="7E5DB985" w14:textId="517EDA38" w:rsidR="006A4C02" w:rsidRPr="006A4C02" w:rsidRDefault="006A4C02" w:rsidP="006A4C02">
            <w:pPr>
              <w:ind w:firstLine="0"/>
            </w:pPr>
            <w:r w:rsidRPr="006A4C02">
              <w:t>Inconsistent dopant distribution and homogeneity</w:t>
            </w:r>
          </w:p>
        </w:tc>
        <w:tc>
          <w:tcPr>
            <w:tcW w:w="4585" w:type="dxa"/>
            <w:vAlign w:val="center"/>
          </w:tcPr>
          <w:p w14:paraId="6CA3325A" w14:textId="0A8681A5" w:rsidR="006A4C02" w:rsidRPr="006A4C02" w:rsidRDefault="006A4C02" w:rsidP="006A4C02">
            <w:pPr>
              <w:ind w:firstLine="0"/>
            </w:pPr>
            <w:r w:rsidRPr="006A4C02">
              <w:t>Implement uniform mixing techniques and strict synthesis protocols</w:t>
            </w:r>
          </w:p>
        </w:tc>
      </w:tr>
      <w:tr w:rsidR="006A4C02" w14:paraId="78D77C1D" w14:textId="77777777" w:rsidTr="006A4C02">
        <w:tc>
          <w:tcPr>
            <w:tcW w:w="2065" w:type="dxa"/>
            <w:vAlign w:val="center"/>
          </w:tcPr>
          <w:p w14:paraId="30E46A2F" w14:textId="65284E9C" w:rsidR="006A4C02" w:rsidRPr="006A4C02" w:rsidRDefault="006A4C02" w:rsidP="006A4C02">
            <w:pPr>
              <w:ind w:firstLine="0"/>
            </w:pPr>
            <w:r w:rsidRPr="006A4C02">
              <w:t>Measurement Techniques</w:t>
            </w:r>
          </w:p>
        </w:tc>
        <w:tc>
          <w:tcPr>
            <w:tcW w:w="2700" w:type="dxa"/>
            <w:vAlign w:val="center"/>
          </w:tcPr>
          <w:p w14:paraId="45CA4917" w14:textId="565CB54D" w:rsidR="006A4C02" w:rsidRPr="006A4C02" w:rsidRDefault="006A4C02" w:rsidP="006A4C02">
            <w:pPr>
              <w:ind w:firstLine="0"/>
            </w:pPr>
            <w:r w:rsidRPr="006A4C02">
              <w:t>Variations in electrode contact and measurement conditions</w:t>
            </w:r>
          </w:p>
        </w:tc>
        <w:tc>
          <w:tcPr>
            <w:tcW w:w="4585" w:type="dxa"/>
            <w:vAlign w:val="center"/>
          </w:tcPr>
          <w:p w14:paraId="7C62E426" w14:textId="099E2365" w:rsidR="006A4C02" w:rsidRPr="006A4C02" w:rsidRDefault="006A4C02" w:rsidP="006A4C02">
            <w:pPr>
              <w:ind w:firstLine="0"/>
            </w:pPr>
            <w:r w:rsidRPr="006A4C02">
              <w:t xml:space="preserve">Standardize EIS protocols, calibrate equipment regularly, </w:t>
            </w:r>
            <w:r w:rsidR="00EB40E6">
              <w:t xml:space="preserve">and </w:t>
            </w:r>
            <w:r w:rsidRPr="006A4C02">
              <w:t>control environmental conditions</w:t>
            </w:r>
          </w:p>
        </w:tc>
      </w:tr>
      <w:tr w:rsidR="006A4C02" w14:paraId="32518A18" w14:textId="77777777" w:rsidTr="006A4C02">
        <w:tc>
          <w:tcPr>
            <w:tcW w:w="2065" w:type="dxa"/>
            <w:vAlign w:val="center"/>
          </w:tcPr>
          <w:p w14:paraId="771A11A9" w14:textId="5CFCD30B" w:rsidR="006A4C02" w:rsidRPr="006A4C02" w:rsidRDefault="006A4C02" w:rsidP="006A4C02">
            <w:pPr>
              <w:ind w:firstLine="0"/>
            </w:pPr>
            <w:r w:rsidRPr="006A4C02">
              <w:t>Material Purity</w:t>
            </w:r>
          </w:p>
        </w:tc>
        <w:tc>
          <w:tcPr>
            <w:tcW w:w="2700" w:type="dxa"/>
            <w:vAlign w:val="center"/>
          </w:tcPr>
          <w:p w14:paraId="3E246E8A" w14:textId="7D107F23" w:rsidR="006A4C02" w:rsidRPr="006A4C02" w:rsidRDefault="00EB40E6" w:rsidP="006A4C02">
            <w:pPr>
              <w:ind w:firstLine="0"/>
            </w:pPr>
            <w:r>
              <w:t>The presence</w:t>
            </w:r>
            <w:r w:rsidR="006A4C02" w:rsidRPr="006A4C02">
              <w:t xml:space="preserve"> of impurities impeding Li⁺ ion transport</w:t>
            </w:r>
          </w:p>
        </w:tc>
        <w:tc>
          <w:tcPr>
            <w:tcW w:w="4585" w:type="dxa"/>
            <w:vAlign w:val="center"/>
          </w:tcPr>
          <w:p w14:paraId="16B17E93" w14:textId="306810D3" w:rsidR="006A4C02" w:rsidRPr="006A4C02" w:rsidRDefault="006A4C02" w:rsidP="006A4C02">
            <w:pPr>
              <w:ind w:firstLine="0"/>
            </w:pPr>
            <w:r w:rsidRPr="006A4C02">
              <w:t>Employ rigorous purification methods and thorough post-synthesis characterization</w:t>
            </w:r>
          </w:p>
        </w:tc>
      </w:tr>
    </w:tbl>
    <w:p w14:paraId="72085549" w14:textId="43DE0D89" w:rsidR="00853ED5" w:rsidRPr="00051E2A" w:rsidRDefault="00051E2A" w:rsidP="00051E2A">
      <w:pPr>
        <w:spacing w:before="240"/>
        <w:ind w:firstLine="0"/>
      </w:pPr>
      <w:r w:rsidRPr="00051E2A">
        <w:t xml:space="preserve">In addition to molybdenum (Mo) doping, fluorine (F) and cerium (Ce) dopants significantly contribute to the enhanced performance of </w:t>
      </w:r>
      <w:proofErr w:type="spellStart"/>
      <w:r w:rsidRPr="00051E2A">
        <w:t>Li₃InCl</w:t>
      </w:r>
      <w:proofErr w:type="spellEnd"/>
      <w:r w:rsidRPr="00051E2A">
        <w:t xml:space="preserve">₆ electrolytes. Fluorine (F) Doping: The substitution of F⁻ ions into the </w:t>
      </w:r>
      <w:proofErr w:type="spellStart"/>
      <w:r w:rsidRPr="00051E2A">
        <w:t>Li₃InCl</w:t>
      </w:r>
      <w:proofErr w:type="spellEnd"/>
      <w:r w:rsidRPr="00051E2A">
        <w:t xml:space="preserve">₆ lattice results in the formation of Li-F bonds, which enhance lattice stability and facilitate the creation of additional pathways for </w:t>
      </w:r>
      <w:r w:rsidR="00EB40E6">
        <w:t>Li-ion</w:t>
      </w:r>
      <w:r w:rsidRPr="00051E2A">
        <w:t xml:space="preserve"> migration. This leads to reduced lattice distortions and improved ionic conductivity, as evidenced by the XPS spectra shifts and sharper PXRD peaks observed in F-doped samples. Cerium (Ce) Doping: Cerium dopants introduce charge compensation mechanisms by creating vacancies and interstitial sites within the electrolyte matrix. These defects serve as </w:t>
      </w:r>
      <w:r w:rsidR="001859CC">
        <w:t>Li-ion</w:t>
      </w:r>
      <w:r w:rsidR="00EB40E6">
        <w:t xml:space="preserve"> transport conduits,</w:t>
      </w:r>
      <w:r w:rsidRPr="00051E2A">
        <w:t xml:space="preserve"> enhancing ionic mobility. Additionally, Ce doping improves the mechanical strength of the electrolyte, reducing interfacial resistance and contributing to better cycling stability during charge-discharge cycles. The combined effects of F and Ce dopants complement Mo doping, resulting in a synergistic enhancement of the overall electrochemical performance of </w:t>
      </w:r>
      <w:proofErr w:type="spellStart"/>
      <w:r w:rsidRPr="00051E2A">
        <w:t>Li₃InCl</w:t>
      </w:r>
      <w:proofErr w:type="spellEnd"/>
      <w:r w:rsidRPr="00051E2A">
        <w:t>₆-based solid-state batteries</w:t>
      </w:r>
      <w:r>
        <w:t>, highlighted in Table S</w:t>
      </w:r>
      <w:r w:rsidR="004E6A85">
        <w:t>5</w:t>
      </w:r>
      <w:r w:rsidR="00D927CA">
        <w:t xml:space="preserve"> with distinct societal benefits [R26]</w:t>
      </w:r>
      <w:r>
        <w:t>.</w:t>
      </w:r>
    </w:p>
    <w:p w14:paraId="192AAE60" w14:textId="0D7F7186" w:rsidR="00051E2A" w:rsidRPr="002F7DC8" w:rsidRDefault="00051E2A" w:rsidP="00860B16">
      <w:pPr>
        <w:spacing w:before="240" w:after="240"/>
        <w:ind w:firstLine="0"/>
        <w:rPr>
          <w:rFonts w:ascii="Times New Roman" w:hAnsi="Times New Roman"/>
        </w:rPr>
      </w:pPr>
      <w:r w:rsidRPr="002F7DC8">
        <w:rPr>
          <w:rFonts w:ascii="Times New Roman" w:hAnsi="Times New Roman"/>
          <w:b/>
          <w:bCs/>
        </w:rPr>
        <w:t>Table S</w:t>
      </w:r>
      <w:r w:rsidR="004E6A85" w:rsidRPr="002F7DC8">
        <w:rPr>
          <w:rFonts w:ascii="Times New Roman" w:hAnsi="Times New Roman"/>
          <w:b/>
          <w:bCs/>
        </w:rPr>
        <w:t>5</w:t>
      </w:r>
      <w:r w:rsidRPr="002F7DC8">
        <w:rPr>
          <w:rFonts w:ascii="Times New Roman" w:hAnsi="Times New Roman"/>
        </w:rPr>
        <w:t xml:space="preserve">: Comparative Effects of F, Ce, and Mo Doping on </w:t>
      </w:r>
      <w:proofErr w:type="spellStart"/>
      <w:r w:rsidRPr="002F7DC8">
        <w:rPr>
          <w:rFonts w:ascii="Times New Roman" w:hAnsi="Times New Roman"/>
        </w:rPr>
        <w:t>Li₃InCl</w:t>
      </w:r>
      <w:proofErr w:type="spellEnd"/>
      <w:r w:rsidRPr="002F7DC8">
        <w:rPr>
          <w:rFonts w:ascii="Times New Roman" w:hAnsi="Times New Roman"/>
        </w:rPr>
        <w:t>₆ Electrolytes</w:t>
      </w:r>
      <w:r w:rsidR="006F66BF" w:rsidRPr="002F7DC8">
        <w:rPr>
          <w:rFonts w:ascii="Times New Roman" w:hAnsi="Times New Roman"/>
        </w:rPr>
        <w:t xml:space="preserve"> [R29-R30]</w:t>
      </w:r>
      <w:r w:rsidR="00FC38D2">
        <w:rPr>
          <w:rFonts w:ascii="Times New Roman" w:hAnsi="Times New Roman"/>
        </w:rPr>
        <w:t>.</w:t>
      </w:r>
    </w:p>
    <w:tbl>
      <w:tblPr>
        <w:tblStyle w:val="TableGrid"/>
        <w:tblW w:w="0" w:type="auto"/>
        <w:tblLook w:val="04A0" w:firstRow="1" w:lastRow="0" w:firstColumn="1" w:lastColumn="0" w:noHBand="0" w:noVBand="1"/>
      </w:tblPr>
      <w:tblGrid>
        <w:gridCol w:w="1075"/>
        <w:gridCol w:w="2700"/>
        <w:gridCol w:w="2610"/>
        <w:gridCol w:w="2965"/>
      </w:tblGrid>
      <w:tr w:rsidR="00051E2A" w14:paraId="5EF9F70B" w14:textId="77777777" w:rsidTr="00E41043">
        <w:tc>
          <w:tcPr>
            <w:tcW w:w="1075" w:type="dxa"/>
            <w:vAlign w:val="center"/>
          </w:tcPr>
          <w:p w14:paraId="035C3B64" w14:textId="027E08EE" w:rsidR="00051E2A" w:rsidRDefault="00051E2A" w:rsidP="00051E2A">
            <w:pPr>
              <w:ind w:firstLine="0"/>
            </w:pPr>
            <w:r w:rsidRPr="00051E2A">
              <w:rPr>
                <w:b/>
                <w:bCs/>
              </w:rPr>
              <w:t>Dopant</w:t>
            </w:r>
          </w:p>
        </w:tc>
        <w:tc>
          <w:tcPr>
            <w:tcW w:w="2700" w:type="dxa"/>
            <w:vAlign w:val="center"/>
          </w:tcPr>
          <w:p w14:paraId="045F1F55" w14:textId="38295081" w:rsidR="00051E2A" w:rsidRDefault="00051E2A" w:rsidP="00051E2A">
            <w:pPr>
              <w:ind w:firstLine="0"/>
            </w:pPr>
            <w:r w:rsidRPr="00051E2A">
              <w:rPr>
                <w:b/>
                <w:bCs/>
              </w:rPr>
              <w:t>Primary Effects</w:t>
            </w:r>
          </w:p>
        </w:tc>
        <w:tc>
          <w:tcPr>
            <w:tcW w:w="2610" w:type="dxa"/>
            <w:vAlign w:val="center"/>
          </w:tcPr>
          <w:p w14:paraId="5041B59A" w14:textId="240227A1" w:rsidR="00051E2A" w:rsidRDefault="00051E2A" w:rsidP="00051E2A">
            <w:pPr>
              <w:ind w:firstLine="0"/>
            </w:pPr>
            <w:r w:rsidRPr="00051E2A">
              <w:rPr>
                <w:b/>
                <w:bCs/>
              </w:rPr>
              <w:t>Structural Changes</w:t>
            </w:r>
          </w:p>
        </w:tc>
        <w:tc>
          <w:tcPr>
            <w:tcW w:w="2965" w:type="dxa"/>
            <w:vAlign w:val="center"/>
          </w:tcPr>
          <w:p w14:paraId="03E0B7DB" w14:textId="01B70FE7" w:rsidR="00051E2A" w:rsidRDefault="00051E2A" w:rsidP="00051E2A">
            <w:pPr>
              <w:ind w:firstLine="0"/>
            </w:pPr>
            <w:r w:rsidRPr="00051E2A">
              <w:rPr>
                <w:b/>
                <w:bCs/>
              </w:rPr>
              <w:t>Electrochemical Impacts</w:t>
            </w:r>
          </w:p>
        </w:tc>
      </w:tr>
      <w:tr w:rsidR="00051E2A" w14:paraId="6236CC77" w14:textId="77777777" w:rsidTr="00E41043">
        <w:tc>
          <w:tcPr>
            <w:tcW w:w="1075" w:type="dxa"/>
            <w:vAlign w:val="center"/>
          </w:tcPr>
          <w:p w14:paraId="34A266AA" w14:textId="66E9BE2C" w:rsidR="00051E2A" w:rsidRDefault="00051E2A" w:rsidP="00051E2A">
            <w:pPr>
              <w:ind w:firstLine="0"/>
            </w:pPr>
            <w:r w:rsidRPr="00051E2A">
              <w:rPr>
                <w:b/>
                <w:bCs/>
              </w:rPr>
              <w:t>F</w:t>
            </w:r>
          </w:p>
        </w:tc>
        <w:tc>
          <w:tcPr>
            <w:tcW w:w="2700" w:type="dxa"/>
            <w:vAlign w:val="center"/>
          </w:tcPr>
          <w:p w14:paraId="554945A6" w14:textId="3031931A" w:rsidR="00051E2A" w:rsidRDefault="00051E2A" w:rsidP="00051E2A">
            <w:pPr>
              <w:ind w:firstLine="0"/>
            </w:pPr>
            <w:r w:rsidRPr="00051E2A">
              <w:t>Enhances lattice stability and facilitates Li⁺ ion mobility</w:t>
            </w:r>
          </w:p>
        </w:tc>
        <w:tc>
          <w:tcPr>
            <w:tcW w:w="2610" w:type="dxa"/>
            <w:vAlign w:val="center"/>
          </w:tcPr>
          <w:p w14:paraId="7701E37E" w14:textId="78E51340" w:rsidR="00051E2A" w:rsidRDefault="00051E2A" w:rsidP="00051E2A">
            <w:pPr>
              <w:ind w:firstLine="0"/>
            </w:pPr>
            <w:r w:rsidRPr="00051E2A">
              <w:t>Formation of Li-F bonds; reduced lattice distortion</w:t>
            </w:r>
          </w:p>
        </w:tc>
        <w:tc>
          <w:tcPr>
            <w:tcW w:w="2965" w:type="dxa"/>
            <w:vAlign w:val="center"/>
          </w:tcPr>
          <w:p w14:paraId="1E815216" w14:textId="0720710B" w:rsidR="00051E2A" w:rsidRDefault="00051E2A" w:rsidP="00051E2A">
            <w:pPr>
              <w:ind w:firstLine="0"/>
            </w:pPr>
            <w:r w:rsidRPr="00051E2A">
              <w:t>Increased ionic conductivity; smoother Li⁺ ion transport pathways</w:t>
            </w:r>
          </w:p>
        </w:tc>
      </w:tr>
      <w:tr w:rsidR="00051E2A" w14:paraId="3A12A771" w14:textId="77777777" w:rsidTr="00E41043">
        <w:tc>
          <w:tcPr>
            <w:tcW w:w="1075" w:type="dxa"/>
            <w:vAlign w:val="center"/>
          </w:tcPr>
          <w:p w14:paraId="2BD97740" w14:textId="029D70F7" w:rsidR="00051E2A" w:rsidRDefault="00051E2A" w:rsidP="00051E2A">
            <w:pPr>
              <w:ind w:firstLine="0"/>
            </w:pPr>
            <w:r w:rsidRPr="00051E2A">
              <w:rPr>
                <w:b/>
                <w:bCs/>
              </w:rPr>
              <w:t>Ce</w:t>
            </w:r>
          </w:p>
        </w:tc>
        <w:tc>
          <w:tcPr>
            <w:tcW w:w="2700" w:type="dxa"/>
            <w:vAlign w:val="center"/>
          </w:tcPr>
          <w:p w14:paraId="50C08B58" w14:textId="6D036F85" w:rsidR="00051E2A" w:rsidRDefault="00051E2A" w:rsidP="00051E2A">
            <w:pPr>
              <w:ind w:firstLine="0"/>
            </w:pPr>
            <w:r w:rsidRPr="00051E2A">
              <w:t>Introduces charge compensation and improves mechanical robustness</w:t>
            </w:r>
          </w:p>
        </w:tc>
        <w:tc>
          <w:tcPr>
            <w:tcW w:w="2610" w:type="dxa"/>
            <w:vAlign w:val="center"/>
          </w:tcPr>
          <w:p w14:paraId="05AE988C" w14:textId="37DA3F93" w:rsidR="00051E2A" w:rsidRDefault="00051E2A" w:rsidP="00051E2A">
            <w:pPr>
              <w:ind w:firstLine="0"/>
            </w:pPr>
            <w:r w:rsidRPr="00051E2A">
              <w:t>Creation of vacancies and interstitial sites</w:t>
            </w:r>
          </w:p>
        </w:tc>
        <w:tc>
          <w:tcPr>
            <w:tcW w:w="2965" w:type="dxa"/>
            <w:vAlign w:val="center"/>
          </w:tcPr>
          <w:p w14:paraId="161EE3B7" w14:textId="4AC5B75A" w:rsidR="00051E2A" w:rsidRDefault="00051E2A" w:rsidP="00051E2A">
            <w:pPr>
              <w:ind w:firstLine="0"/>
            </w:pPr>
            <w:r w:rsidRPr="00051E2A">
              <w:t>Enhanced cycling stability; reduced interfacial resistance</w:t>
            </w:r>
          </w:p>
        </w:tc>
      </w:tr>
      <w:tr w:rsidR="00051E2A" w14:paraId="2012FB0D" w14:textId="77777777" w:rsidTr="00E41043">
        <w:tc>
          <w:tcPr>
            <w:tcW w:w="1075" w:type="dxa"/>
            <w:vAlign w:val="center"/>
          </w:tcPr>
          <w:p w14:paraId="3D1B8B21" w14:textId="1E17E671" w:rsidR="00051E2A" w:rsidRDefault="00051E2A" w:rsidP="00051E2A">
            <w:pPr>
              <w:ind w:firstLine="0"/>
            </w:pPr>
            <w:r w:rsidRPr="00051E2A">
              <w:rPr>
                <w:b/>
                <w:bCs/>
              </w:rPr>
              <w:t>Mo</w:t>
            </w:r>
          </w:p>
        </w:tc>
        <w:tc>
          <w:tcPr>
            <w:tcW w:w="2700" w:type="dxa"/>
            <w:vAlign w:val="center"/>
          </w:tcPr>
          <w:p w14:paraId="64B5485A" w14:textId="15F0425D" w:rsidR="00051E2A" w:rsidRDefault="00051E2A" w:rsidP="00051E2A">
            <w:pPr>
              <w:ind w:firstLine="0"/>
            </w:pPr>
            <w:r w:rsidRPr="00051E2A">
              <w:t>Significantly boosts ionic conductivity by modifying electronic structure</w:t>
            </w:r>
          </w:p>
        </w:tc>
        <w:tc>
          <w:tcPr>
            <w:tcW w:w="2610" w:type="dxa"/>
            <w:vAlign w:val="center"/>
          </w:tcPr>
          <w:p w14:paraId="19A59CF5" w14:textId="3D2E9DF0" w:rsidR="00051E2A" w:rsidRDefault="00051E2A" w:rsidP="00051E2A">
            <w:pPr>
              <w:ind w:firstLine="0"/>
            </w:pPr>
            <w:r w:rsidRPr="00051E2A">
              <w:t>Alteration of electronic band structure; creation of additional conduction pathways</w:t>
            </w:r>
          </w:p>
        </w:tc>
        <w:tc>
          <w:tcPr>
            <w:tcW w:w="2965" w:type="dxa"/>
            <w:vAlign w:val="center"/>
          </w:tcPr>
          <w:p w14:paraId="01832AF0" w14:textId="406DC3D9" w:rsidR="00051E2A" w:rsidRDefault="00051E2A" w:rsidP="00051E2A">
            <w:pPr>
              <w:ind w:firstLine="0"/>
            </w:pPr>
            <w:r w:rsidRPr="00051E2A">
              <w:t>Substantial increase in ionic conductivity; lowered activation energy barriers</w:t>
            </w:r>
          </w:p>
        </w:tc>
      </w:tr>
    </w:tbl>
    <w:p w14:paraId="321CC154" w14:textId="77777777" w:rsidR="00860B16" w:rsidRDefault="00860B16" w:rsidP="00A5262E">
      <w:pPr>
        <w:snapToGrid w:val="0"/>
        <w:spacing w:before="240" w:after="120"/>
        <w:ind w:firstLine="0"/>
        <w:rPr>
          <w:rFonts w:asciiTheme="minorHAnsi" w:hAnsiTheme="minorHAnsi" w:cstheme="minorHAnsi"/>
          <w:b/>
        </w:rPr>
      </w:pPr>
    </w:p>
    <w:p w14:paraId="4BA6F221" w14:textId="77777777" w:rsidR="00860B16" w:rsidRDefault="00860B16">
      <w:pPr>
        <w:overflowPunct/>
        <w:autoSpaceDE/>
        <w:autoSpaceDN/>
        <w:adjustRightInd/>
        <w:spacing w:after="160" w:line="278" w:lineRule="auto"/>
        <w:ind w:firstLine="0"/>
        <w:jc w:val="left"/>
        <w:textAlignment w:val="auto"/>
        <w:rPr>
          <w:rFonts w:asciiTheme="minorHAnsi" w:hAnsiTheme="minorHAnsi" w:cstheme="minorHAnsi"/>
          <w:b/>
        </w:rPr>
      </w:pPr>
      <w:r>
        <w:rPr>
          <w:rFonts w:asciiTheme="minorHAnsi" w:hAnsiTheme="minorHAnsi" w:cstheme="minorHAnsi"/>
          <w:b/>
        </w:rPr>
        <w:br w:type="page"/>
      </w:r>
    </w:p>
    <w:p w14:paraId="146B93A9" w14:textId="1F7F6255" w:rsidR="00CD4334" w:rsidRDefault="00CD4334" w:rsidP="00A5262E">
      <w:pPr>
        <w:snapToGrid w:val="0"/>
        <w:spacing w:before="240" w:after="120"/>
        <w:ind w:firstLine="0"/>
        <w:rPr>
          <w:rFonts w:asciiTheme="minorHAnsi" w:hAnsiTheme="minorHAnsi" w:cstheme="minorHAnsi"/>
          <w:b/>
        </w:rPr>
      </w:pPr>
      <w:r w:rsidRPr="00CD4334">
        <w:rPr>
          <w:rFonts w:asciiTheme="minorHAnsi" w:hAnsiTheme="minorHAnsi" w:cstheme="minorHAnsi"/>
          <w:b/>
        </w:rPr>
        <w:lastRenderedPageBreak/>
        <w:drawing>
          <wp:inline distT="0" distB="0" distL="0" distR="0" wp14:anchorId="74EC2ADF" wp14:editId="5FEC42E5">
            <wp:extent cx="5943600" cy="4549140"/>
            <wp:effectExtent l="0" t="0" r="0" b="3810"/>
            <wp:docPr id="1449683116" name="Picture 1" descr="A diagram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83116" name="Picture 1" descr="A diagram of different colors&#10;&#10;Description automatically generated"/>
                    <pic:cNvPicPr/>
                  </pic:nvPicPr>
                  <pic:blipFill>
                    <a:blip r:embed="rId8"/>
                    <a:stretch>
                      <a:fillRect/>
                    </a:stretch>
                  </pic:blipFill>
                  <pic:spPr>
                    <a:xfrm>
                      <a:off x="0" y="0"/>
                      <a:ext cx="5943600" cy="4549140"/>
                    </a:xfrm>
                    <a:prstGeom prst="rect">
                      <a:avLst/>
                    </a:prstGeom>
                  </pic:spPr>
                </pic:pic>
              </a:graphicData>
            </a:graphic>
          </wp:inline>
        </w:drawing>
      </w:r>
    </w:p>
    <w:p w14:paraId="4063B8B7" w14:textId="6D32DB13" w:rsidR="00CD4334" w:rsidRPr="001859CC" w:rsidRDefault="00CD4334" w:rsidP="00A5262E">
      <w:pPr>
        <w:snapToGrid w:val="0"/>
        <w:spacing w:before="240" w:after="120"/>
        <w:ind w:firstLine="0"/>
      </w:pPr>
      <w:r w:rsidRPr="001859CC">
        <w:rPr>
          <w:b/>
          <w:bCs/>
        </w:rPr>
        <w:t>Fig</w:t>
      </w:r>
      <w:r w:rsidRPr="001859CC">
        <w:rPr>
          <w:b/>
          <w:bCs/>
        </w:rPr>
        <w:t>.</w:t>
      </w:r>
      <w:r w:rsidRPr="001859CC">
        <w:rPr>
          <w:b/>
          <w:bCs/>
        </w:rPr>
        <w:t xml:space="preserve"> </w:t>
      </w:r>
      <w:r w:rsidRPr="001859CC">
        <w:rPr>
          <w:b/>
          <w:bCs/>
        </w:rPr>
        <w:t>S</w:t>
      </w:r>
      <w:r w:rsidRPr="001859CC">
        <w:rPr>
          <w:b/>
          <w:bCs/>
        </w:rPr>
        <w:t>2</w:t>
      </w:r>
      <w:r w:rsidR="00120C47" w:rsidRPr="001859CC">
        <w:rPr>
          <w:b/>
          <w:bCs/>
        </w:rPr>
        <w:t>a</w:t>
      </w:r>
      <w:r w:rsidRPr="001859CC">
        <w:t xml:space="preserve">: Scatter Plot of LiCl Concentration </w:t>
      </w:r>
      <w:r w:rsidRPr="001859CC">
        <w:rPr>
          <w:i/>
          <w:iCs/>
        </w:rPr>
        <w:t>vs.</w:t>
      </w:r>
      <w:r w:rsidRPr="001859CC">
        <w:t xml:space="preserve"> Emulsion Formation Temperature Over Time with Sintering Temperature Gradient and Dopant Classification</w:t>
      </w:r>
      <w:r w:rsidR="00FC38D2">
        <w:t>.</w:t>
      </w:r>
    </w:p>
    <w:p w14:paraId="67DA861D" w14:textId="7FD0F5A7" w:rsidR="00CD4334" w:rsidRPr="001859CC" w:rsidRDefault="00CD4334" w:rsidP="00A5262E">
      <w:pPr>
        <w:snapToGrid w:val="0"/>
        <w:spacing w:before="240" w:after="120"/>
        <w:ind w:firstLine="0"/>
      </w:pPr>
      <w:r w:rsidRPr="001859CC">
        <w:t>F</w:t>
      </w:r>
      <w:r w:rsidRPr="001859CC">
        <w:t xml:space="preserve">igure </w:t>
      </w:r>
      <w:r w:rsidRPr="001859CC">
        <w:t>S2</w:t>
      </w:r>
      <w:r w:rsidR="00120C47" w:rsidRPr="001859CC">
        <w:t>a re</w:t>
      </w:r>
      <w:r w:rsidRPr="001859CC">
        <w:t xml:space="preserve">presents a comprehensive 2D scatter plot elucidating the relationship between Lithium Chloride (LiCl) concentration and Emulsion Formation Temperature over varying time intervals. The X-axis denotes the LiCl concentration in molarity (M), while the Y-axis represents the Emulsion Formation Temperature in degrees Celsius (°C). A color gradient overlays the data points to illustrate the corresponding Sintering Temperature (°C), </w:t>
      </w:r>
      <w:r w:rsidRPr="001859CC">
        <w:t>visually representing</w:t>
      </w:r>
      <w:r w:rsidRPr="001859CC">
        <w:t xml:space="preserve"> thermal variations across different experimental conditions. Additionally, each data point is categorized by dopant type—F⁻, Ce³⁺, Ce⁴⁺, Mo³⁺, and Mo⁵⁺—distinguished through distinct marker shapes and colors, facilitating an immediate comparison of dopant effects on ionic conductivity and structural properties. Error bars in both axes indicate the measurement uncertainties, enhancing the plot's reliability. This visualization effectively integrates multiple variables, offering insightful correlations between chemical composition, processing conditions, and resultant material performance over time.</w:t>
      </w:r>
    </w:p>
    <w:p w14:paraId="5C329BE7" w14:textId="12DC619E" w:rsidR="00CD4334" w:rsidRPr="001859CC" w:rsidRDefault="001859CC" w:rsidP="00A5262E">
      <w:pPr>
        <w:snapToGrid w:val="0"/>
        <w:spacing w:before="240" w:after="120"/>
        <w:ind w:firstLine="0"/>
      </w:pPr>
      <w:r>
        <w:t>Figure S2b is a</w:t>
      </w:r>
      <w:r w:rsidRPr="001859CC">
        <w:t xml:space="preserve"> scatter plot </w:t>
      </w:r>
      <w:r>
        <w:t xml:space="preserve">that </w:t>
      </w:r>
      <w:r w:rsidRPr="001859CC">
        <w:t>visualizes the relationship between LiCl concentration, emulsion formation temperature, and sintering temperature during the synthesis of Li</w:t>
      </w:r>
      <w:r w:rsidRPr="00FC38D2">
        <w:rPr>
          <w:vertAlign w:val="subscript"/>
        </w:rPr>
        <w:t>3</w:t>
      </w:r>
      <w:r w:rsidRPr="001859CC">
        <w:t>InCl</w:t>
      </w:r>
      <w:r w:rsidRPr="00FC38D2">
        <w:rPr>
          <w:vertAlign w:val="subscript"/>
        </w:rPr>
        <w:t>6</w:t>
      </w:r>
      <w:r w:rsidRPr="001859CC">
        <w:t>-based electrolytes. The color gradient represents the sintering temperature, while the symbol shape indicates the dopant used in each formulation. This plot helps visualize the influence of various synthesis parameters on the resulting solid-state electrolytes, providing valuable insights for optimizing their electrochemical properties and enhancing battery performance.</w:t>
      </w:r>
    </w:p>
    <w:p w14:paraId="0EB216D5" w14:textId="77777777" w:rsidR="00120C47" w:rsidRDefault="00120C47" w:rsidP="00A5262E">
      <w:pPr>
        <w:snapToGrid w:val="0"/>
        <w:spacing w:before="240" w:after="120"/>
        <w:ind w:firstLine="0"/>
        <w:rPr>
          <w:rFonts w:asciiTheme="minorHAnsi" w:hAnsiTheme="minorHAnsi" w:cstheme="minorHAnsi"/>
          <w:b/>
        </w:rPr>
      </w:pPr>
    </w:p>
    <w:p w14:paraId="07BA514E" w14:textId="77777777" w:rsidR="00120C47" w:rsidRDefault="00120C47" w:rsidP="00A5262E">
      <w:pPr>
        <w:snapToGrid w:val="0"/>
        <w:spacing w:before="240" w:after="120"/>
        <w:ind w:firstLine="0"/>
        <w:rPr>
          <w:rFonts w:asciiTheme="minorHAnsi" w:hAnsiTheme="minorHAnsi" w:cstheme="minorHAnsi"/>
          <w:b/>
        </w:rPr>
      </w:pPr>
    </w:p>
    <w:p w14:paraId="1E2160A3" w14:textId="18021126" w:rsidR="00120C47" w:rsidRDefault="00120C47" w:rsidP="00A5262E">
      <w:pPr>
        <w:snapToGrid w:val="0"/>
        <w:spacing w:before="240" w:after="120"/>
        <w:ind w:firstLine="0"/>
        <w:rPr>
          <w:rFonts w:asciiTheme="minorHAnsi" w:hAnsiTheme="minorHAnsi" w:cstheme="minorHAnsi"/>
          <w:b/>
        </w:rPr>
      </w:pPr>
      <w:r w:rsidRPr="00120C47">
        <w:rPr>
          <w:rFonts w:asciiTheme="minorHAnsi" w:hAnsiTheme="minorHAnsi" w:cstheme="minorHAnsi"/>
          <w:b/>
        </w:rPr>
        <w:lastRenderedPageBreak/>
        <w:drawing>
          <wp:inline distT="0" distB="0" distL="0" distR="0" wp14:anchorId="2258A1A5" wp14:editId="6C59B0F0">
            <wp:extent cx="5943600" cy="4549140"/>
            <wp:effectExtent l="0" t="0" r="0" b="3810"/>
            <wp:docPr id="345508133" name="Picture 1" descr="A graph of a colo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08133" name="Picture 1" descr="A graph of a color chart&#10;&#10;Description automatically generated with medium confidence"/>
                    <pic:cNvPicPr/>
                  </pic:nvPicPr>
                  <pic:blipFill>
                    <a:blip r:embed="rId9"/>
                    <a:stretch>
                      <a:fillRect/>
                    </a:stretch>
                  </pic:blipFill>
                  <pic:spPr>
                    <a:xfrm>
                      <a:off x="0" y="0"/>
                      <a:ext cx="5943600" cy="4549140"/>
                    </a:xfrm>
                    <a:prstGeom prst="rect">
                      <a:avLst/>
                    </a:prstGeom>
                  </pic:spPr>
                </pic:pic>
              </a:graphicData>
            </a:graphic>
          </wp:inline>
        </w:drawing>
      </w:r>
    </w:p>
    <w:p w14:paraId="670DD13F" w14:textId="530B527D" w:rsidR="00120C47" w:rsidRPr="001859CC" w:rsidRDefault="001859CC" w:rsidP="00A5262E">
      <w:pPr>
        <w:snapToGrid w:val="0"/>
        <w:spacing w:before="240" w:after="120"/>
        <w:ind w:firstLine="0"/>
      </w:pPr>
      <w:r w:rsidRPr="001859CC">
        <w:rPr>
          <w:b/>
          <w:bCs/>
        </w:rPr>
        <w:t>Fig. S2b</w:t>
      </w:r>
      <w:r w:rsidRPr="001859CC">
        <w:t xml:space="preserve">: </w:t>
      </w:r>
      <w:r w:rsidRPr="001859CC">
        <w:t xml:space="preserve">Scatter Plot of LiCl Concentration </w:t>
      </w:r>
      <w:r w:rsidRPr="001859CC">
        <w:rPr>
          <w:i/>
          <w:iCs/>
        </w:rPr>
        <w:t>vs</w:t>
      </w:r>
      <w:r w:rsidRPr="001859CC">
        <w:t>. Emulsion Formation Temperature Over Time with Sintering Temperature Gradient and Dopant Classification</w:t>
      </w:r>
      <w:r w:rsidR="00FC38D2">
        <w:t>.</w:t>
      </w:r>
    </w:p>
    <w:p w14:paraId="4FB3DD10" w14:textId="05061F12" w:rsidR="00120C47" w:rsidRPr="001859CC" w:rsidRDefault="001859CC" w:rsidP="00A5262E">
      <w:pPr>
        <w:snapToGrid w:val="0"/>
        <w:spacing w:before="240" w:after="120"/>
        <w:ind w:firstLine="0"/>
      </w:pPr>
      <w:r>
        <w:t>Th</w:t>
      </w:r>
      <w:r w:rsidRPr="001859CC">
        <w:t>e supporting information underscores the deliberate design and optimization of Li</w:t>
      </w:r>
      <w:r w:rsidRPr="00FC38D2">
        <w:rPr>
          <w:vertAlign w:val="subscript"/>
        </w:rPr>
        <w:t>3</w:t>
      </w:r>
      <w:r w:rsidRPr="001859CC">
        <w:t>InCl</w:t>
      </w:r>
      <w:r w:rsidRPr="00FC38D2">
        <w:rPr>
          <w:vertAlign w:val="subscript"/>
        </w:rPr>
        <w:t>6</w:t>
      </w:r>
      <w:r w:rsidRPr="001859CC">
        <w:t xml:space="preserve">-based solid-state electrolytes, highlighting the crucial role of multicomponent doping strategies in enhancing ionic conductivity. The analysis of individual dopant effects elucidates the synergistic interplay of fluorine, cerium, and molybdenum in improving lattice stability, reducing interfacial resistance, and significantly boosting Li⁺ ion mobility. Furthermore, the detailed examination of synthesis parameters using the Taguchi orthogonal array reveals the impact of LiCl concentration, emulsion formation temperature, and sintering temperature on the final electrolyte properties. </w:t>
      </w:r>
      <w:r>
        <w:t>Notably</w:t>
      </w:r>
      <w:r w:rsidRPr="001859CC">
        <w:t xml:space="preserve">, the discussion delves into the challenges associated with variability in ionic conductivity measurements, outlining potential sources and mitigation strategies for future research. Overall, </w:t>
      </w:r>
      <w:r w:rsidR="00F97A38">
        <w:t>results</w:t>
      </w:r>
      <w:r w:rsidRPr="001859CC">
        <w:t xml:space="preserve"> reinforce the study's </w:t>
      </w:r>
      <w:r w:rsidR="00F97A38">
        <w:t>findings on</w:t>
      </w:r>
      <w:r w:rsidRPr="001859CC">
        <w:t xml:space="preserve"> sustainable synthesis methodologies, promoting a greener approach for developing high-performance solid-state electrolytes for next-generation lithium-ion batteries.</w:t>
      </w:r>
    </w:p>
    <w:p w14:paraId="3CA2FCC2" w14:textId="1C93C45D" w:rsidR="00A5262E" w:rsidRDefault="00A5262E" w:rsidP="00A5262E">
      <w:pPr>
        <w:snapToGrid w:val="0"/>
        <w:spacing w:before="240" w:after="120"/>
        <w:ind w:firstLine="0"/>
      </w:pPr>
      <w:r w:rsidRPr="004267A7">
        <w:rPr>
          <w:rFonts w:asciiTheme="minorHAnsi" w:hAnsiTheme="minorHAnsi" w:cstheme="minorHAnsi"/>
          <w:b/>
        </w:rPr>
        <w:t>References</w:t>
      </w:r>
    </w:p>
    <w:p w14:paraId="4894C6EB" w14:textId="7243C628" w:rsidR="00D927CA" w:rsidRDefault="00D927CA" w:rsidP="00D927CA">
      <w:pPr>
        <w:spacing w:before="240"/>
        <w:ind w:firstLine="0"/>
      </w:pPr>
      <w:r>
        <w:t xml:space="preserve">[R1] </w:t>
      </w:r>
      <w:proofErr w:type="spellStart"/>
      <w:r w:rsidRPr="00D927CA">
        <w:t>Molaiyan</w:t>
      </w:r>
      <w:proofErr w:type="spellEnd"/>
      <w:r w:rsidRPr="00D927CA">
        <w:t xml:space="preserve">, P., Mailhiot, S. E., Voges, K., Kantola, A. M., Hu, T., Michalowski, P., &amp; Lassi, U. (2023). </w:t>
      </w:r>
      <w:r w:rsidR="00EB40E6">
        <w:t>Investigate</w:t>
      </w:r>
      <w:r w:rsidRPr="00D927CA">
        <w:t xml:space="preserve"> the structure and ionic conductivity of a Li</w:t>
      </w:r>
      <w:r w:rsidRPr="00DA47D9">
        <w:rPr>
          <w:vertAlign w:val="subscript"/>
        </w:rPr>
        <w:t>3</w:t>
      </w:r>
      <w:r w:rsidRPr="00D927CA">
        <w:t>InCl</w:t>
      </w:r>
      <w:r w:rsidRPr="00DA47D9">
        <w:rPr>
          <w:vertAlign w:val="subscript"/>
        </w:rPr>
        <w:t>6</w:t>
      </w:r>
      <w:r w:rsidRPr="00D927CA">
        <w:t xml:space="preserve"> modified by dry room annealing for solid-state Li-ion battery applications</w:t>
      </w:r>
      <w:r w:rsidR="00EB40E6">
        <w:t xml:space="preserve">: </w:t>
      </w:r>
      <w:r w:rsidR="00DA47D9" w:rsidRPr="00DA47D9">
        <w:rPr>
          <w:i/>
          <w:iCs/>
        </w:rPr>
        <w:t>M</w:t>
      </w:r>
      <w:r w:rsidR="00EB40E6" w:rsidRPr="00DA47D9">
        <w:rPr>
          <w:i/>
          <w:iCs/>
        </w:rPr>
        <w:t>aterials</w:t>
      </w:r>
      <w:r w:rsidRPr="00D927CA">
        <w:rPr>
          <w:i/>
          <w:iCs/>
        </w:rPr>
        <w:t xml:space="preserve"> &amp; Design</w:t>
      </w:r>
      <w:r w:rsidRPr="00D927CA">
        <w:t>, </w:t>
      </w:r>
      <w:r w:rsidRPr="00D927CA">
        <w:rPr>
          <w:i/>
          <w:iCs/>
        </w:rPr>
        <w:t>227</w:t>
      </w:r>
      <w:r w:rsidRPr="00D927CA">
        <w:t>, 111690.</w:t>
      </w:r>
    </w:p>
    <w:p w14:paraId="29AA1C54" w14:textId="5FC22CF7" w:rsidR="00D927CA" w:rsidRDefault="00D927CA" w:rsidP="00D927CA">
      <w:pPr>
        <w:spacing w:before="240"/>
        <w:ind w:firstLine="0"/>
      </w:pPr>
      <w:r>
        <w:t xml:space="preserve">[R2] Bashir, S., &amp; Liu, J. L. (2024). Design and evaluations of nano-ceramic electrolytes used for solid-state lithium battery. </w:t>
      </w:r>
      <w:r w:rsidRPr="00D927CA">
        <w:rPr>
          <w:i/>
          <w:iCs/>
        </w:rPr>
        <w:t>NPJ M</w:t>
      </w:r>
      <w:r>
        <w:rPr>
          <w:i/>
          <w:iCs/>
        </w:rPr>
        <w:t>a</w:t>
      </w:r>
      <w:r w:rsidRPr="00D927CA">
        <w:rPr>
          <w:i/>
          <w:iCs/>
        </w:rPr>
        <w:t>terials Sustainability</w:t>
      </w:r>
      <w:r>
        <w:t>, 2(1), 37.</w:t>
      </w:r>
    </w:p>
    <w:p w14:paraId="673A8E82" w14:textId="77777777" w:rsidR="00D927CA" w:rsidRDefault="00D927CA" w:rsidP="00D927CA">
      <w:pPr>
        <w:spacing w:before="240"/>
        <w:ind w:firstLine="0"/>
      </w:pPr>
      <w:r>
        <w:lastRenderedPageBreak/>
        <w:t>[R3] Huang, S., Wilson, B. E., Smyrl, W. H., Truhlar, D. G., &amp; Stein, A. (2016). Transition-metal-doped M-Li</w:t>
      </w:r>
      <w:r w:rsidRPr="00DA47D9">
        <w:rPr>
          <w:vertAlign w:val="subscript"/>
        </w:rPr>
        <w:t>8</w:t>
      </w:r>
      <w:r>
        <w:t>ZrO</w:t>
      </w:r>
      <w:r w:rsidRPr="00DA47D9">
        <w:rPr>
          <w:vertAlign w:val="subscript"/>
        </w:rPr>
        <w:t>6</w:t>
      </w:r>
      <w:r>
        <w:t xml:space="preserve"> (M= Mn, Fe, Co, Ni, Cu, Ce) as high-specific-capacity Li-ion battery cathode materials: Synthesis, electrochemistry, and quantum mechanical characterization. </w:t>
      </w:r>
      <w:r w:rsidRPr="00D927CA">
        <w:rPr>
          <w:i/>
          <w:iCs/>
        </w:rPr>
        <w:t>Chemistry of Materials</w:t>
      </w:r>
      <w:r>
        <w:t>, 28(3), 746-755.</w:t>
      </w:r>
    </w:p>
    <w:p w14:paraId="0212799A" w14:textId="4F9BE329" w:rsidR="00D927CA" w:rsidRDefault="00D927CA" w:rsidP="00D927CA">
      <w:pPr>
        <w:spacing w:before="240"/>
        <w:ind w:firstLine="0"/>
      </w:pPr>
      <w:r>
        <w:t>[R4] Lu, Y., Meng, X., Alonso, J. A., Fernández-Díaz, M. T., &amp; Sun, C. (2018). Effects of fluorine doping on structural and electrochemical properties of Li</w:t>
      </w:r>
      <w:r w:rsidRPr="00DA47D9">
        <w:rPr>
          <w:vertAlign w:val="subscript"/>
        </w:rPr>
        <w:t>6.25</w:t>
      </w:r>
      <w:r>
        <w:t>Ga</w:t>
      </w:r>
      <w:r w:rsidRPr="00DA47D9">
        <w:rPr>
          <w:vertAlign w:val="subscript"/>
        </w:rPr>
        <w:t>0.25</w:t>
      </w:r>
      <w:r>
        <w:t>La</w:t>
      </w:r>
      <w:r w:rsidRPr="00DA47D9">
        <w:rPr>
          <w:vertAlign w:val="subscript"/>
        </w:rPr>
        <w:t>3</w:t>
      </w:r>
      <w:r>
        <w:t>Zr</w:t>
      </w:r>
      <w:r w:rsidRPr="00DA47D9">
        <w:rPr>
          <w:vertAlign w:val="subscript"/>
        </w:rPr>
        <w:t>2</w:t>
      </w:r>
      <w:r>
        <w:t>O</w:t>
      </w:r>
      <w:r w:rsidRPr="00DA47D9">
        <w:rPr>
          <w:vertAlign w:val="subscript"/>
        </w:rPr>
        <w:t>12</w:t>
      </w:r>
      <w:r>
        <w:t xml:space="preserve"> as electrolytes for solid-state lithium batteries. </w:t>
      </w:r>
      <w:r w:rsidRPr="00D927CA">
        <w:rPr>
          <w:i/>
          <w:iCs/>
        </w:rPr>
        <w:t>ACS Applied Materials &amp; Interfaces</w:t>
      </w:r>
      <w:r>
        <w:t>, 11(2), 2042-2049.</w:t>
      </w:r>
    </w:p>
    <w:p w14:paraId="523A045F" w14:textId="77777777" w:rsidR="00D927CA" w:rsidRDefault="00D927CA" w:rsidP="00D927CA">
      <w:pPr>
        <w:spacing w:before="240"/>
        <w:ind w:firstLine="0"/>
      </w:pPr>
      <w:r>
        <w:t xml:space="preserve">[R5] Zhang, T. S., Ma, J., Huang, H. T., Hing, P., Xia, Z. T., Chan, S. H., &amp; Kilner, J. A. (2003). Effects of dopant concentration and aging on the electrical properties of Y-doped ceria electrolytes. </w:t>
      </w:r>
      <w:r w:rsidRPr="00D927CA">
        <w:rPr>
          <w:i/>
          <w:iCs/>
        </w:rPr>
        <w:t>Solid State Sciences</w:t>
      </w:r>
      <w:r>
        <w:t>, 5(11-12), 1505-1511.</w:t>
      </w:r>
    </w:p>
    <w:p w14:paraId="5C936F63" w14:textId="2A6685FF" w:rsidR="00D927CA" w:rsidRDefault="00D927CA" w:rsidP="00D927CA">
      <w:pPr>
        <w:spacing w:before="240"/>
        <w:ind w:firstLine="0"/>
      </w:pPr>
      <w:r>
        <w:t>[R6] Moustafa, A. M., Gad, S. A., &amp; Ward, A. A. (2021). Impact of molybdenum doping on the structural, optical</w:t>
      </w:r>
      <w:r w:rsidR="00EB40E6">
        <w:t>,</w:t>
      </w:r>
      <w:r>
        <w:t xml:space="preserve"> and dielectric properties of α-Al</w:t>
      </w:r>
      <w:r w:rsidRPr="00DA47D9">
        <w:rPr>
          <w:vertAlign w:val="subscript"/>
        </w:rPr>
        <w:t xml:space="preserve">2−x </w:t>
      </w:r>
      <w:r>
        <w:t>Mo</w:t>
      </w:r>
      <w:r w:rsidRPr="00DA47D9">
        <w:rPr>
          <w:vertAlign w:val="subscript"/>
        </w:rPr>
        <w:t>x</w:t>
      </w:r>
      <w:r>
        <w:t>O</w:t>
      </w:r>
      <w:r w:rsidRPr="00DA47D9">
        <w:rPr>
          <w:vertAlign w:val="subscript"/>
        </w:rPr>
        <w:t>3</w:t>
      </w:r>
      <w:r>
        <w:t xml:space="preserve">. </w:t>
      </w:r>
      <w:r w:rsidRPr="00D927CA">
        <w:rPr>
          <w:i/>
          <w:iCs/>
        </w:rPr>
        <w:t xml:space="preserve">ECS Journal of </w:t>
      </w:r>
      <w:proofErr w:type="gramStart"/>
      <w:r w:rsidRPr="00D927CA">
        <w:rPr>
          <w:i/>
          <w:iCs/>
        </w:rPr>
        <w:t>Solid State</w:t>
      </w:r>
      <w:proofErr w:type="gramEnd"/>
      <w:r w:rsidRPr="00D927CA">
        <w:rPr>
          <w:i/>
          <w:iCs/>
        </w:rPr>
        <w:t xml:space="preserve"> Science and Technology</w:t>
      </w:r>
      <w:r>
        <w:t>, 10(4), 043007.</w:t>
      </w:r>
    </w:p>
    <w:p w14:paraId="6D562310" w14:textId="77777777" w:rsidR="00D927CA" w:rsidRDefault="00D927CA" w:rsidP="00D927CA">
      <w:pPr>
        <w:spacing w:before="240"/>
        <w:ind w:firstLine="0"/>
      </w:pPr>
      <w:r>
        <w:t xml:space="preserve">[R7] Segal, D. (1997). Chemical synthesis of ceramic materials. </w:t>
      </w:r>
      <w:r w:rsidRPr="00D927CA">
        <w:rPr>
          <w:i/>
          <w:iCs/>
        </w:rPr>
        <w:t>Journal of Materials Chemistry</w:t>
      </w:r>
      <w:r>
        <w:t>, 7(8), 1297-1305.</w:t>
      </w:r>
    </w:p>
    <w:p w14:paraId="41CCC79E" w14:textId="0A010604" w:rsidR="00D927CA" w:rsidRDefault="00D927CA" w:rsidP="00D927CA">
      <w:pPr>
        <w:spacing w:before="240"/>
        <w:ind w:firstLine="0"/>
        <w:rPr>
          <w:rFonts w:hint="eastAsia"/>
        </w:rPr>
      </w:pPr>
      <w:r>
        <w:rPr>
          <w:rFonts w:hint="eastAsia"/>
        </w:rPr>
        <w:t>[R8] Qu, G., Wang, J., Liu, G., Tian, B., Su, C., Chen, Z.,</w:t>
      </w:r>
      <w:r w:rsidR="00DA47D9">
        <w:t xml:space="preserve"> </w:t>
      </w:r>
      <w:r>
        <w:rPr>
          <w:rFonts w:hint="eastAsia"/>
        </w:rPr>
        <w:t>&amp; Wang, Z. (2019). Vanadium Doping Enhanced Electrochemical Performance of Molybdenum Oxide in Lithium</w:t>
      </w:r>
      <w:r>
        <w:rPr>
          <w:rFonts w:hint="eastAsia"/>
        </w:rPr>
        <w:t>‐</w:t>
      </w:r>
      <w:r>
        <w:rPr>
          <w:rFonts w:hint="eastAsia"/>
        </w:rPr>
        <w:t xml:space="preserve">Ion Batteries. </w:t>
      </w:r>
      <w:r w:rsidRPr="00D927CA">
        <w:rPr>
          <w:rFonts w:hint="eastAsia"/>
          <w:i/>
          <w:iCs/>
        </w:rPr>
        <w:t>Advanced Functional Materials</w:t>
      </w:r>
      <w:r>
        <w:rPr>
          <w:rFonts w:hint="eastAsia"/>
        </w:rPr>
        <w:t>, 29(2), 1805227.</w:t>
      </w:r>
    </w:p>
    <w:p w14:paraId="35155FF6" w14:textId="77777777" w:rsidR="00D927CA" w:rsidRDefault="00D927CA" w:rsidP="00D927CA">
      <w:pPr>
        <w:spacing w:before="240"/>
        <w:ind w:firstLine="0"/>
      </w:pPr>
      <w:r>
        <w:t xml:space="preserve">[R9] Yu, X., &amp; </w:t>
      </w:r>
      <w:proofErr w:type="spellStart"/>
      <w:r>
        <w:t>Manthiram</w:t>
      </w:r>
      <w:proofErr w:type="spellEnd"/>
      <w:r>
        <w:t xml:space="preserve">, A. (2021). A review of composite polymer-ceramic electrolytes for lithium batteries. </w:t>
      </w:r>
      <w:r w:rsidRPr="00D927CA">
        <w:rPr>
          <w:i/>
          <w:iCs/>
        </w:rPr>
        <w:t>Energy Storage Materials</w:t>
      </w:r>
      <w:r>
        <w:t>, 34, 282-300.</w:t>
      </w:r>
    </w:p>
    <w:p w14:paraId="33C5AE97" w14:textId="750DC052" w:rsidR="00D927CA" w:rsidRDefault="00D927CA" w:rsidP="00D927CA">
      <w:pPr>
        <w:spacing w:before="240"/>
        <w:ind w:firstLine="0"/>
      </w:pPr>
      <w:r>
        <w:t xml:space="preserve">[R10] Li, S., Zhang, S. Q., Shen, L., Liu, Q., Ma, J. B., </w:t>
      </w:r>
      <w:proofErr w:type="spellStart"/>
      <w:r>
        <w:t>Lv</w:t>
      </w:r>
      <w:proofErr w:type="spellEnd"/>
      <w:r>
        <w:t>, W.,</w:t>
      </w:r>
      <w:r w:rsidR="00CF2173">
        <w:t xml:space="preserve"> </w:t>
      </w:r>
      <w:r>
        <w:t xml:space="preserve">&amp; Yang, Q. H. (2020). Progress and perspective of ceramic/polymer composite solid electrolytes for lithium batteries. </w:t>
      </w:r>
      <w:r w:rsidRPr="00D927CA">
        <w:rPr>
          <w:i/>
          <w:iCs/>
        </w:rPr>
        <w:t>Advanced Science</w:t>
      </w:r>
      <w:r>
        <w:t>, 7(5), 1903088.</w:t>
      </w:r>
    </w:p>
    <w:p w14:paraId="233D2093" w14:textId="5C3B12C3" w:rsidR="00D927CA" w:rsidRDefault="00D927CA" w:rsidP="00D927CA">
      <w:pPr>
        <w:spacing w:before="240"/>
        <w:ind w:firstLine="0"/>
      </w:pPr>
      <w:r>
        <w:t>[R11] Zhang, M., Cao, X., Hao, Y., Wang, H., Pu, J., Chi, B., &amp; Shen, Z. (2024). Recent progress, challenges</w:t>
      </w:r>
      <w:r w:rsidR="00EB40E6">
        <w:t>,</w:t>
      </w:r>
      <w:r>
        <w:t xml:space="preserve"> and prospects of electrolytes for fluoride-ion batteries. </w:t>
      </w:r>
      <w:r w:rsidRPr="00D927CA">
        <w:rPr>
          <w:i/>
          <w:iCs/>
        </w:rPr>
        <w:t>Energy Reviews</w:t>
      </w:r>
      <w:r>
        <w:t>, 100083.</w:t>
      </w:r>
    </w:p>
    <w:p w14:paraId="4ACC927C" w14:textId="77777777" w:rsidR="00D927CA" w:rsidRDefault="00D927CA" w:rsidP="00D927CA">
      <w:pPr>
        <w:spacing w:before="240"/>
        <w:ind w:firstLine="0"/>
      </w:pPr>
      <w:r>
        <w:t xml:space="preserve">[R12] Dharmaraj, V. R., Chung, R. J., </w:t>
      </w:r>
      <w:proofErr w:type="spellStart"/>
      <w:r>
        <w:t>Arularasu</w:t>
      </w:r>
      <w:proofErr w:type="spellEnd"/>
      <w:r>
        <w:t>, M. V., Rajendran, T. V., &amp; Kaviyarasu, K. (2023). Solid composite electrolyte formed via CeO</w:t>
      </w:r>
      <w:r w:rsidRPr="00DA47D9">
        <w:rPr>
          <w:vertAlign w:val="subscript"/>
        </w:rPr>
        <w:t>2</w:t>
      </w:r>
      <w:r>
        <w:t xml:space="preserve"> nanoparticles and supramolecular network material for lithium-ion batteries. </w:t>
      </w:r>
      <w:r w:rsidRPr="00D927CA">
        <w:rPr>
          <w:i/>
          <w:iCs/>
        </w:rPr>
        <w:t>Journal of the Australian Ceramic Societ</w:t>
      </w:r>
      <w:r>
        <w:t>y, 59(4), 837-847.</w:t>
      </w:r>
    </w:p>
    <w:p w14:paraId="53A947DB" w14:textId="77777777" w:rsidR="00D927CA" w:rsidRDefault="00D927CA" w:rsidP="00D927CA">
      <w:pPr>
        <w:spacing w:before="240"/>
        <w:ind w:firstLine="0"/>
      </w:pPr>
      <w:r>
        <w:t xml:space="preserve">[R13] </w:t>
      </w:r>
      <w:proofErr w:type="spellStart"/>
      <w:r>
        <w:t>Besenhard</w:t>
      </w:r>
      <w:proofErr w:type="spellEnd"/>
      <w:r>
        <w:t xml:space="preserve">, J. O., </w:t>
      </w:r>
      <w:proofErr w:type="spellStart"/>
      <w:r>
        <w:t>Heydecke</w:t>
      </w:r>
      <w:proofErr w:type="spellEnd"/>
      <w:r>
        <w:t xml:space="preserve">, J., Wudy, E., Fritz, H. P., &amp; </w:t>
      </w:r>
      <w:proofErr w:type="spellStart"/>
      <w:r>
        <w:t>Foag</w:t>
      </w:r>
      <w:proofErr w:type="spellEnd"/>
      <w:r>
        <w:t xml:space="preserve">, W. (1983). Characteristics of molybdenum oxide and chromium oxide cathodes in primary and secondary organic electrolyte lithium batteries. Part II. Transport properties. </w:t>
      </w:r>
      <w:r w:rsidRPr="00D927CA">
        <w:rPr>
          <w:i/>
          <w:iCs/>
        </w:rPr>
        <w:t>Solid State Ionics</w:t>
      </w:r>
      <w:r>
        <w:t>, 8(1), 61-71.</w:t>
      </w:r>
    </w:p>
    <w:p w14:paraId="6582AC0D" w14:textId="77777777" w:rsidR="00D927CA" w:rsidRDefault="00D927CA" w:rsidP="00D927CA">
      <w:pPr>
        <w:spacing w:before="240"/>
        <w:ind w:firstLine="0"/>
        <w:rPr>
          <w:rFonts w:hint="eastAsia"/>
        </w:rPr>
      </w:pPr>
      <w:r>
        <w:rPr>
          <w:rFonts w:hint="eastAsia"/>
        </w:rPr>
        <w:t>[R14] Huo, S., Sheng, L., Xue, W., Wang, L., Xu, H., Zhang, H., &amp; He, X. (2023). Challenges of polymer electrolyte with wide electrochemical window for high energy solid</w:t>
      </w:r>
      <w:r>
        <w:rPr>
          <w:rFonts w:hint="eastAsia"/>
        </w:rPr>
        <w:t>‐</w:t>
      </w:r>
      <w:r>
        <w:rPr>
          <w:rFonts w:hint="eastAsia"/>
        </w:rPr>
        <w:t>state lithium batteries</w:t>
      </w:r>
      <w:r w:rsidRPr="00D927CA">
        <w:rPr>
          <w:rFonts w:hint="eastAsia"/>
          <w:i/>
          <w:iCs/>
        </w:rPr>
        <w:t xml:space="preserve">. </w:t>
      </w:r>
      <w:proofErr w:type="spellStart"/>
      <w:r w:rsidRPr="00D927CA">
        <w:rPr>
          <w:rFonts w:hint="eastAsia"/>
          <w:i/>
          <w:iCs/>
        </w:rPr>
        <w:t>InfoMat</w:t>
      </w:r>
      <w:proofErr w:type="spellEnd"/>
      <w:r>
        <w:rPr>
          <w:rFonts w:hint="eastAsia"/>
        </w:rPr>
        <w:t>, 5(3), e12394.</w:t>
      </w:r>
    </w:p>
    <w:p w14:paraId="2505EF77" w14:textId="77777777" w:rsidR="00D927CA" w:rsidRDefault="00D927CA" w:rsidP="00D927CA">
      <w:pPr>
        <w:spacing w:before="240"/>
        <w:ind w:firstLine="0"/>
      </w:pPr>
      <w:r>
        <w:t xml:space="preserve">[R15] Fergus, J. W. (2010). Ceramic and polymeric solid electrolytes for lithium-ion batteries. </w:t>
      </w:r>
      <w:r w:rsidRPr="00D927CA">
        <w:rPr>
          <w:i/>
          <w:iCs/>
        </w:rPr>
        <w:t>Journal of Power Sources,</w:t>
      </w:r>
      <w:r>
        <w:t xml:space="preserve"> 195(15), 4554-4569.</w:t>
      </w:r>
    </w:p>
    <w:p w14:paraId="45341644" w14:textId="77777777" w:rsidR="00D927CA" w:rsidRDefault="00D927CA" w:rsidP="00D927CA">
      <w:pPr>
        <w:spacing w:before="240"/>
        <w:ind w:firstLine="0"/>
      </w:pPr>
      <w:r>
        <w:t>[R16] Luo, Y., Zhang, Y., Zhang, Q., Zheng, Y., Chen, H., &amp; Guo, L. (2019). Effect of dual doping on the structure and performance of garnet-type Li</w:t>
      </w:r>
      <w:r w:rsidRPr="00DA47D9">
        <w:rPr>
          <w:vertAlign w:val="subscript"/>
        </w:rPr>
        <w:t>7</w:t>
      </w:r>
      <w:r>
        <w:t>La</w:t>
      </w:r>
      <w:r w:rsidRPr="00DA47D9">
        <w:rPr>
          <w:vertAlign w:val="subscript"/>
        </w:rPr>
        <w:t>3</w:t>
      </w:r>
      <w:r>
        <w:t>Zr</w:t>
      </w:r>
      <w:r w:rsidRPr="00DA47D9">
        <w:rPr>
          <w:vertAlign w:val="subscript"/>
        </w:rPr>
        <w:t>2</w:t>
      </w:r>
      <w:r>
        <w:t>O</w:t>
      </w:r>
      <w:r w:rsidRPr="00DA47D9">
        <w:rPr>
          <w:vertAlign w:val="subscript"/>
        </w:rPr>
        <w:t>12</w:t>
      </w:r>
      <w:r>
        <w:t xml:space="preserve"> ceramic electrolytes for solid-state lithium-ion batteries. </w:t>
      </w:r>
      <w:r w:rsidRPr="00D927CA">
        <w:rPr>
          <w:i/>
          <w:iCs/>
        </w:rPr>
        <w:t>Ceramics International</w:t>
      </w:r>
      <w:r>
        <w:t>, 45(14), 17874-17883.</w:t>
      </w:r>
    </w:p>
    <w:p w14:paraId="11F1903E" w14:textId="77777777" w:rsidR="00D927CA" w:rsidRDefault="00D927CA" w:rsidP="00D927CA">
      <w:pPr>
        <w:spacing w:before="240"/>
        <w:ind w:firstLine="0"/>
      </w:pPr>
      <w:r>
        <w:t>[R17] Chen, M., Gao, H., Zhang, L., Xuan, Y., Ren, J., Ni, M., &amp; Lin, Z. (2019). Unlocking the nature of the co-doping effect on the ionic conductivity of CeO</w:t>
      </w:r>
      <w:r w:rsidRPr="00DA47D9">
        <w:rPr>
          <w:vertAlign w:val="subscript"/>
        </w:rPr>
        <w:t>2</w:t>
      </w:r>
      <w:r>
        <w:t xml:space="preserve">-based electrolyte. </w:t>
      </w:r>
      <w:r w:rsidRPr="00D927CA">
        <w:rPr>
          <w:i/>
          <w:iCs/>
        </w:rPr>
        <w:t>Ceramics International</w:t>
      </w:r>
      <w:r>
        <w:t>, 45(3), 3977-3985.</w:t>
      </w:r>
    </w:p>
    <w:p w14:paraId="120EBAD1" w14:textId="77777777" w:rsidR="00D927CA" w:rsidRDefault="00D927CA" w:rsidP="00D927CA">
      <w:pPr>
        <w:spacing w:before="240"/>
        <w:ind w:firstLine="0"/>
      </w:pPr>
      <w:r>
        <w:t xml:space="preserve">[R18] Das, A., Sahu, S., Mohapatra, M., Verma, S., Bhattacharyya, A. J., &amp; Basu, S. (2022). Lithium-ion conductive glass-ceramic electrolytes enable safe and practical Li batteries. </w:t>
      </w:r>
      <w:r w:rsidRPr="00D927CA">
        <w:rPr>
          <w:i/>
          <w:iCs/>
        </w:rPr>
        <w:t>Materials Today Energy</w:t>
      </w:r>
      <w:r>
        <w:t>, 29, 101118.</w:t>
      </w:r>
    </w:p>
    <w:p w14:paraId="55192355" w14:textId="39690583" w:rsidR="00D927CA" w:rsidRDefault="00D927CA" w:rsidP="00D927CA">
      <w:pPr>
        <w:spacing w:before="240"/>
        <w:ind w:firstLine="0"/>
      </w:pPr>
      <w:r>
        <w:lastRenderedPageBreak/>
        <w:t>[R19] Chan, C. K., Yang, T., &amp; Weller, J. M. (2017). Nanostructured garnet-type Li</w:t>
      </w:r>
      <w:r w:rsidRPr="00DA47D9">
        <w:rPr>
          <w:vertAlign w:val="subscript"/>
        </w:rPr>
        <w:t>7</w:t>
      </w:r>
      <w:r>
        <w:t>La</w:t>
      </w:r>
      <w:r w:rsidRPr="00DA47D9">
        <w:rPr>
          <w:vertAlign w:val="subscript"/>
        </w:rPr>
        <w:t>3</w:t>
      </w:r>
      <w:r>
        <w:t>Zr</w:t>
      </w:r>
      <w:r w:rsidRPr="00DA47D9">
        <w:rPr>
          <w:vertAlign w:val="subscript"/>
        </w:rPr>
        <w:t>2</w:t>
      </w:r>
      <w:r>
        <w:t>O</w:t>
      </w:r>
      <w:r w:rsidRPr="00DA47D9">
        <w:rPr>
          <w:vertAlign w:val="subscript"/>
        </w:rPr>
        <w:t>12</w:t>
      </w:r>
      <w:r>
        <w:t xml:space="preserve">: synthesis, properties, and opportunities as electrolytes for Li-ion batteries. </w:t>
      </w:r>
      <w:proofErr w:type="spellStart"/>
      <w:r w:rsidRPr="00D927CA">
        <w:rPr>
          <w:i/>
          <w:iCs/>
        </w:rPr>
        <w:t>Electrochimica</w:t>
      </w:r>
      <w:proofErr w:type="spellEnd"/>
      <w:r w:rsidRPr="00D927CA">
        <w:rPr>
          <w:i/>
          <w:iCs/>
        </w:rPr>
        <w:t xml:space="preserve"> Acta</w:t>
      </w:r>
      <w:r>
        <w:t>, 253, 268-280.</w:t>
      </w:r>
    </w:p>
    <w:p w14:paraId="3C511D42" w14:textId="1C04D1BA" w:rsidR="00D927CA" w:rsidRDefault="00D927CA" w:rsidP="00D927CA">
      <w:pPr>
        <w:spacing w:before="240"/>
        <w:ind w:firstLine="0"/>
      </w:pPr>
      <w:r>
        <w:t>[R20] Zheng, Y., Yao, Y., Ou, J., Li, M., Luo, D., Dou, H., &amp; Chen, Z. (2020). A review of composite solid-state electrolytes for lithium batteries: fundamentals, key materials</w:t>
      </w:r>
      <w:r w:rsidR="00EB40E6">
        <w:t>,</w:t>
      </w:r>
      <w:r>
        <w:t xml:space="preserve"> and advanced structures. </w:t>
      </w:r>
      <w:r w:rsidRPr="00D927CA">
        <w:rPr>
          <w:i/>
          <w:iCs/>
        </w:rPr>
        <w:t>Chemical Society Reviews</w:t>
      </w:r>
      <w:r>
        <w:t>, 49(23), 8790-8839.</w:t>
      </w:r>
    </w:p>
    <w:p w14:paraId="3248209A" w14:textId="1D8BBE12" w:rsidR="00D927CA" w:rsidRDefault="00D927CA" w:rsidP="00D927CA">
      <w:pPr>
        <w:spacing w:before="240"/>
        <w:ind w:firstLine="0"/>
      </w:pPr>
      <w:r>
        <w:t xml:space="preserve">[R21] Key, B., Schroeder, D. J., Ingram, B. J., &amp; </w:t>
      </w:r>
      <w:proofErr w:type="spellStart"/>
      <w:r>
        <w:t>Vaughey</w:t>
      </w:r>
      <w:proofErr w:type="spellEnd"/>
      <w:r>
        <w:t xml:space="preserve">, J. T. (2012). Solution-based synthesis and characterization of lithium-ion conducting phosphate ceramics for lithium metal batteries. </w:t>
      </w:r>
      <w:r w:rsidRPr="00D927CA">
        <w:rPr>
          <w:i/>
          <w:iCs/>
        </w:rPr>
        <w:t xml:space="preserve">Chemistry </w:t>
      </w:r>
      <w:r>
        <w:rPr>
          <w:i/>
          <w:iCs/>
        </w:rPr>
        <w:t>o</w:t>
      </w:r>
      <w:r w:rsidRPr="00D927CA">
        <w:rPr>
          <w:i/>
          <w:iCs/>
        </w:rPr>
        <w:t>f Materials</w:t>
      </w:r>
      <w:r>
        <w:t>, 24(2), 287-293.</w:t>
      </w:r>
    </w:p>
    <w:p w14:paraId="637C8E29" w14:textId="010B33A1" w:rsidR="00D927CA" w:rsidRDefault="00D927CA" w:rsidP="00D927CA">
      <w:pPr>
        <w:spacing w:before="240"/>
        <w:ind w:firstLine="0"/>
        <w:rPr>
          <w:rFonts w:hint="eastAsia"/>
        </w:rPr>
      </w:pPr>
      <w:r>
        <w:rPr>
          <w:rFonts w:hint="eastAsia"/>
        </w:rPr>
        <w:t xml:space="preserve">[R22] </w:t>
      </w:r>
      <w:proofErr w:type="spellStart"/>
      <w:r>
        <w:rPr>
          <w:rFonts w:hint="eastAsia"/>
        </w:rPr>
        <w:t>Dirstine</w:t>
      </w:r>
      <w:proofErr w:type="spellEnd"/>
      <w:r>
        <w:rPr>
          <w:rFonts w:hint="eastAsia"/>
        </w:rPr>
        <w:t xml:space="preserve">, R. T., Blumenthal, R. N., &amp; </w:t>
      </w:r>
      <w:proofErr w:type="spellStart"/>
      <w:r>
        <w:rPr>
          <w:rFonts w:hint="eastAsia"/>
        </w:rPr>
        <w:t>Kuech</w:t>
      </w:r>
      <w:proofErr w:type="spellEnd"/>
      <w:r>
        <w:rPr>
          <w:rFonts w:hint="eastAsia"/>
        </w:rPr>
        <w:t xml:space="preserve">, T. F. (1979). Ionic conductivity of </w:t>
      </w:r>
      <w:proofErr w:type="spellStart"/>
      <w:r>
        <w:rPr>
          <w:rFonts w:hint="eastAsia"/>
        </w:rPr>
        <w:t>calcia</w:t>
      </w:r>
      <w:proofErr w:type="spellEnd"/>
      <w:r>
        <w:rPr>
          <w:rFonts w:hint="eastAsia"/>
        </w:rPr>
        <w:t>, yttria, and rare earth</w:t>
      </w:r>
      <w:r>
        <w:rPr>
          <w:rFonts w:hint="eastAsia"/>
        </w:rPr>
        <w:t>‐</w:t>
      </w:r>
      <w:r>
        <w:rPr>
          <w:rFonts w:hint="eastAsia"/>
        </w:rPr>
        <w:t xml:space="preserve">doped cerium dioxide. </w:t>
      </w:r>
      <w:r w:rsidRPr="00D927CA">
        <w:rPr>
          <w:rFonts w:hint="eastAsia"/>
          <w:i/>
          <w:iCs/>
        </w:rPr>
        <w:t xml:space="preserve">Journal </w:t>
      </w:r>
      <w:r>
        <w:rPr>
          <w:i/>
          <w:iCs/>
        </w:rPr>
        <w:t>o</w:t>
      </w:r>
      <w:r w:rsidRPr="00D927CA">
        <w:rPr>
          <w:i/>
          <w:iCs/>
        </w:rPr>
        <w:t xml:space="preserve">f </w:t>
      </w:r>
      <w:r>
        <w:rPr>
          <w:i/>
          <w:iCs/>
        </w:rPr>
        <w:t>t</w:t>
      </w:r>
      <w:r w:rsidRPr="00D927CA">
        <w:rPr>
          <w:i/>
          <w:iCs/>
        </w:rPr>
        <w:t>he Electrochemical Society</w:t>
      </w:r>
      <w:r>
        <w:rPr>
          <w:rFonts w:hint="eastAsia"/>
        </w:rPr>
        <w:t>, 126(2), 264.</w:t>
      </w:r>
    </w:p>
    <w:p w14:paraId="4802AF58" w14:textId="5DD9BD47" w:rsidR="00D927CA" w:rsidRDefault="00D927CA" w:rsidP="00D927CA">
      <w:pPr>
        <w:spacing w:before="240"/>
        <w:ind w:firstLine="0"/>
      </w:pPr>
      <w:r>
        <w:t xml:space="preserve">[R23] </w:t>
      </w:r>
      <w:proofErr w:type="spellStart"/>
      <w:r>
        <w:t>Meesala</w:t>
      </w:r>
      <w:proofErr w:type="spellEnd"/>
      <w:r>
        <w:t>, Y., Liao, Y. K., Jena, A., Yang, N. H., Pang, W. K., Hu, S. F., &amp; Liu, R. S. (2019). An efficient multi-doping strategy to enhance Li-ion conductivity in the garnet-type solid electrolyte Li</w:t>
      </w:r>
      <w:r w:rsidRPr="00DA47D9">
        <w:rPr>
          <w:vertAlign w:val="subscript"/>
        </w:rPr>
        <w:t>7</w:t>
      </w:r>
      <w:r>
        <w:t>La</w:t>
      </w:r>
      <w:r w:rsidRPr="00DA47D9">
        <w:rPr>
          <w:vertAlign w:val="subscript"/>
        </w:rPr>
        <w:t>3</w:t>
      </w:r>
      <w:r>
        <w:t>Zr</w:t>
      </w:r>
      <w:r w:rsidRPr="00DA47D9">
        <w:rPr>
          <w:vertAlign w:val="subscript"/>
        </w:rPr>
        <w:t>2</w:t>
      </w:r>
      <w:r>
        <w:t>O</w:t>
      </w:r>
      <w:r w:rsidRPr="00DA47D9">
        <w:rPr>
          <w:vertAlign w:val="subscript"/>
        </w:rPr>
        <w:t>12</w:t>
      </w:r>
      <w:r>
        <w:t xml:space="preserve">. Journal of </w:t>
      </w:r>
      <w:r w:rsidR="00EB40E6">
        <w:t>Materials Chemistry</w:t>
      </w:r>
      <w:r>
        <w:t xml:space="preserve"> A, 7(14), 8589-8601.</w:t>
      </w:r>
    </w:p>
    <w:p w14:paraId="6A422078" w14:textId="0F48AA95" w:rsidR="00D927CA" w:rsidRDefault="00D927CA" w:rsidP="00D927CA">
      <w:pPr>
        <w:spacing w:before="240"/>
        <w:ind w:firstLine="0"/>
      </w:pPr>
      <w:r>
        <w:t xml:space="preserve">[R24] Forsyth, M., </w:t>
      </w:r>
      <w:proofErr w:type="spellStart"/>
      <w:r>
        <w:t>Porcarelli</w:t>
      </w:r>
      <w:proofErr w:type="spellEnd"/>
      <w:r>
        <w:t xml:space="preserve">, L., Wang, X., Goujon, N., &amp; </w:t>
      </w:r>
      <w:proofErr w:type="spellStart"/>
      <w:r>
        <w:t>Mecerreyes</w:t>
      </w:r>
      <w:proofErr w:type="spellEnd"/>
      <w:r>
        <w:t xml:space="preserve">, D. (2019). Innovative electrolytes based on ionic liquids and polymers for next-generation solid-state batteries. </w:t>
      </w:r>
      <w:r w:rsidRPr="00D927CA">
        <w:rPr>
          <w:i/>
          <w:iCs/>
        </w:rPr>
        <w:t xml:space="preserve">Accounts of </w:t>
      </w:r>
      <w:r w:rsidRPr="00D927CA">
        <w:rPr>
          <w:i/>
          <w:iCs/>
        </w:rPr>
        <w:t>Chemical Research</w:t>
      </w:r>
      <w:r>
        <w:t>, 52(3), 686-694.</w:t>
      </w:r>
    </w:p>
    <w:p w14:paraId="2ADB5995" w14:textId="77777777" w:rsidR="00D927CA" w:rsidRDefault="00D927CA" w:rsidP="00D927CA">
      <w:pPr>
        <w:spacing w:before="240"/>
        <w:ind w:firstLine="0"/>
      </w:pPr>
      <w:r>
        <w:rPr>
          <w:rFonts w:hint="eastAsia"/>
        </w:rPr>
        <w:t>[R25] Jiang, T., He, P., Wang, G., Shen, Y., Nan, C. W., &amp; Fan, L. Z. (2020). Solvent</w:t>
      </w:r>
      <w:r>
        <w:rPr>
          <w:rFonts w:hint="eastAsia"/>
        </w:rPr>
        <w:t>‐</w:t>
      </w:r>
      <w:r>
        <w:rPr>
          <w:rFonts w:hint="eastAsia"/>
        </w:rPr>
        <w:t>free synthesis of thin, flexible, nonflammable garnet</w:t>
      </w:r>
      <w:r>
        <w:rPr>
          <w:rFonts w:hint="eastAsia"/>
        </w:rPr>
        <w:t>‐</w:t>
      </w:r>
      <w:r>
        <w:rPr>
          <w:rFonts w:hint="eastAsia"/>
        </w:rPr>
        <w:t>based composite solid electrolyte for all</w:t>
      </w:r>
      <w:r>
        <w:rPr>
          <w:rFonts w:hint="eastAsia"/>
        </w:rPr>
        <w:t>‐</w:t>
      </w:r>
      <w:r>
        <w:rPr>
          <w:rFonts w:hint="eastAsia"/>
        </w:rPr>
        <w:t>solid</w:t>
      </w:r>
      <w:r>
        <w:rPr>
          <w:rFonts w:hint="eastAsia"/>
        </w:rPr>
        <w:t>‐</w:t>
      </w:r>
      <w:r>
        <w:rPr>
          <w:rFonts w:hint="eastAsia"/>
        </w:rPr>
        <w:t xml:space="preserve">state lithium batteries. </w:t>
      </w:r>
      <w:r w:rsidRPr="00D927CA">
        <w:rPr>
          <w:rFonts w:hint="eastAsia"/>
          <w:i/>
          <w:iCs/>
        </w:rPr>
        <w:t>Advanced Energy Materials</w:t>
      </w:r>
      <w:r>
        <w:rPr>
          <w:rFonts w:hint="eastAsia"/>
        </w:rPr>
        <w:t>, 10(12), 1903376.</w:t>
      </w:r>
    </w:p>
    <w:p w14:paraId="2911A9C2" w14:textId="77777777" w:rsidR="00D927CA" w:rsidRDefault="00D927CA" w:rsidP="00D927CA">
      <w:pPr>
        <w:spacing w:before="240"/>
        <w:ind w:firstLine="0"/>
      </w:pPr>
      <w:r>
        <w:t xml:space="preserve">[R26] </w:t>
      </w:r>
      <w:proofErr w:type="spellStart"/>
      <w:r>
        <w:t>Agusdinata</w:t>
      </w:r>
      <w:proofErr w:type="spellEnd"/>
      <w:r>
        <w:t xml:space="preserve">, D. B., Liu, W., Eakin, H., &amp; Romero, H. (2018). Socio-environmental impacts of lithium mineral extraction: towards a research agenda. </w:t>
      </w:r>
      <w:r w:rsidRPr="00D927CA">
        <w:rPr>
          <w:i/>
          <w:iCs/>
        </w:rPr>
        <w:t>Environmental Research Letters</w:t>
      </w:r>
      <w:r>
        <w:t>, 13(12), 123001.</w:t>
      </w:r>
    </w:p>
    <w:p w14:paraId="0D3B98EF" w14:textId="77777777" w:rsidR="00D927CA" w:rsidRDefault="00D927CA" w:rsidP="00D927CA">
      <w:pPr>
        <w:spacing w:before="240"/>
        <w:ind w:firstLine="0"/>
        <w:rPr>
          <w:rFonts w:hint="eastAsia"/>
        </w:rPr>
      </w:pPr>
      <w:r>
        <w:rPr>
          <w:rFonts w:hint="eastAsia"/>
        </w:rPr>
        <w:t xml:space="preserve">[R27] </w:t>
      </w:r>
      <w:proofErr w:type="spellStart"/>
      <w:r>
        <w:rPr>
          <w:rFonts w:hint="eastAsia"/>
        </w:rPr>
        <w:t>Vadhva</w:t>
      </w:r>
      <w:proofErr w:type="spellEnd"/>
      <w:r>
        <w:rPr>
          <w:rFonts w:hint="eastAsia"/>
        </w:rPr>
        <w:t>, P., Hu, J., Johnson, M. J., Stocker, R., Braglia, M., Brett, D. J., &amp; Rettie, A. J. (2021). Electrochemical impedance spectroscopy for all</w:t>
      </w:r>
      <w:r>
        <w:rPr>
          <w:rFonts w:hint="eastAsia"/>
        </w:rPr>
        <w:t>‐</w:t>
      </w:r>
      <w:r>
        <w:rPr>
          <w:rFonts w:hint="eastAsia"/>
        </w:rPr>
        <w:t>solid</w:t>
      </w:r>
      <w:r>
        <w:rPr>
          <w:rFonts w:hint="eastAsia"/>
        </w:rPr>
        <w:t>‐</w:t>
      </w:r>
      <w:r>
        <w:rPr>
          <w:rFonts w:hint="eastAsia"/>
        </w:rPr>
        <w:t xml:space="preserve">state batteries: theory, methods and </w:t>
      </w:r>
      <w:proofErr w:type="gramStart"/>
      <w:r>
        <w:rPr>
          <w:rFonts w:hint="eastAsia"/>
        </w:rPr>
        <w:t>future outlook</w:t>
      </w:r>
      <w:proofErr w:type="gramEnd"/>
      <w:r>
        <w:rPr>
          <w:rFonts w:hint="eastAsia"/>
        </w:rPr>
        <w:t xml:space="preserve">. </w:t>
      </w:r>
      <w:proofErr w:type="spellStart"/>
      <w:r>
        <w:rPr>
          <w:rFonts w:hint="eastAsia"/>
        </w:rPr>
        <w:t>C</w:t>
      </w:r>
      <w:r w:rsidRPr="00D927CA">
        <w:rPr>
          <w:rFonts w:hint="eastAsia"/>
          <w:i/>
          <w:iCs/>
        </w:rPr>
        <w:t>hemElectroChe</w:t>
      </w:r>
      <w:r>
        <w:rPr>
          <w:rFonts w:hint="eastAsia"/>
        </w:rPr>
        <w:t>m</w:t>
      </w:r>
      <w:proofErr w:type="spellEnd"/>
      <w:r>
        <w:rPr>
          <w:rFonts w:hint="eastAsia"/>
        </w:rPr>
        <w:t>, 8(11), 1930-1947.</w:t>
      </w:r>
    </w:p>
    <w:p w14:paraId="7D664435" w14:textId="5D74E81B" w:rsidR="00D927CA" w:rsidRDefault="00D927CA" w:rsidP="00D927CA">
      <w:pPr>
        <w:spacing w:before="240"/>
        <w:ind w:firstLine="0"/>
      </w:pPr>
      <w:r>
        <w:t xml:space="preserve">[R28] Huang, Y., Li, R., Weng, S., Zhang, H., Zhu, C., Lu, D., &amp; Fan, X. (2022). Eco-friendly electrolytes via a robust bond design for high-energy Li metal batteries. </w:t>
      </w:r>
      <w:r w:rsidRPr="00D927CA">
        <w:rPr>
          <w:i/>
          <w:iCs/>
        </w:rPr>
        <w:t>Energy &amp; Environmental</w:t>
      </w:r>
      <w:r>
        <w:t xml:space="preserve"> Science, 15(10), 4349-4361.</w:t>
      </w:r>
    </w:p>
    <w:p w14:paraId="3C6FE8BD" w14:textId="77777777" w:rsidR="00D927CA" w:rsidRDefault="00D927CA" w:rsidP="00D927CA">
      <w:pPr>
        <w:spacing w:before="240"/>
        <w:ind w:firstLine="0"/>
      </w:pPr>
      <w:r>
        <w:t xml:space="preserve">[R29] U.S. Environmental Protection Agency (EPA). (2020). </w:t>
      </w:r>
      <w:r w:rsidRPr="00D927CA">
        <w:rPr>
          <w:i/>
          <w:iCs/>
        </w:rPr>
        <w:t>Twelve Principles of Green Chemistry</w:t>
      </w:r>
      <w:r>
        <w:t>. Retrieved from https://www.epa.gov/greenchemistry/principles-green-chemistry</w:t>
      </w:r>
    </w:p>
    <w:p w14:paraId="4E1205D6" w14:textId="580AA51D" w:rsidR="00A5262E" w:rsidRDefault="00D927CA" w:rsidP="00D927CA">
      <w:pPr>
        <w:spacing w:before="240"/>
        <w:ind w:firstLine="0"/>
      </w:pPr>
      <w:r>
        <w:t xml:space="preserve">[R30] </w:t>
      </w:r>
      <w:proofErr w:type="spellStart"/>
      <w:r>
        <w:t>Geissdoerfer</w:t>
      </w:r>
      <w:proofErr w:type="spellEnd"/>
      <w:r>
        <w:t xml:space="preserve">, M., </w:t>
      </w:r>
      <w:proofErr w:type="spellStart"/>
      <w:r>
        <w:t>Savaget</w:t>
      </w:r>
      <w:proofErr w:type="spellEnd"/>
      <w:r>
        <w:t xml:space="preserve">, P., </w:t>
      </w:r>
      <w:proofErr w:type="spellStart"/>
      <w:r>
        <w:t>Bocken</w:t>
      </w:r>
      <w:proofErr w:type="spellEnd"/>
      <w:r>
        <w:t xml:space="preserve">, N. M., &amp; </w:t>
      </w:r>
      <w:proofErr w:type="spellStart"/>
      <w:r>
        <w:t>Hultink</w:t>
      </w:r>
      <w:proofErr w:type="spellEnd"/>
      <w:r>
        <w:t xml:space="preserve">, E. J. (2017). The Circular Economy–A </w:t>
      </w:r>
      <w:r w:rsidR="00EB40E6">
        <w:t>New Sustainability Paradigm?</w:t>
      </w:r>
      <w:r>
        <w:t xml:space="preserve"> Journal of </w:t>
      </w:r>
      <w:r w:rsidR="00EB40E6">
        <w:t>Cleaner Production</w:t>
      </w:r>
      <w:r>
        <w:t>, 143, 757-</w:t>
      </w:r>
      <w:proofErr w:type="gramStart"/>
      <w:r>
        <w:t>768.</w:t>
      </w:r>
      <w:r w:rsidR="00A5262E">
        <w:t>[</w:t>
      </w:r>
      <w:proofErr w:type="gramEnd"/>
      <w:r w:rsidR="00A5262E">
        <w:t xml:space="preserve">R2] Bashir, S., &amp; Liu, J. L. (2024). Design and evaluations of nano-ceramic electrolytes used for solid-state lithium battery. </w:t>
      </w:r>
      <w:r w:rsidRPr="00D927CA">
        <w:rPr>
          <w:i/>
          <w:iCs/>
        </w:rPr>
        <w:t>NPJ M</w:t>
      </w:r>
      <w:r w:rsidR="00A5262E" w:rsidRPr="00D927CA">
        <w:rPr>
          <w:i/>
          <w:iCs/>
        </w:rPr>
        <w:t>aterials Sustainability</w:t>
      </w:r>
      <w:r w:rsidR="00A5262E">
        <w:t>, 2(1), 37.</w:t>
      </w:r>
    </w:p>
    <w:sectPr w:rsidR="00A526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D5322"/>
    <w:multiLevelType w:val="multilevel"/>
    <w:tmpl w:val="06B2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D858DD"/>
    <w:multiLevelType w:val="multilevel"/>
    <w:tmpl w:val="C0EC9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2F7AE0"/>
    <w:multiLevelType w:val="multilevel"/>
    <w:tmpl w:val="7E8A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952FF9"/>
    <w:multiLevelType w:val="multilevel"/>
    <w:tmpl w:val="5DB0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5577122">
    <w:abstractNumId w:val="2"/>
  </w:num>
  <w:num w:numId="2" w16cid:durableId="507208514">
    <w:abstractNumId w:val="3"/>
  </w:num>
  <w:num w:numId="3" w16cid:durableId="112024764">
    <w:abstractNumId w:val="1"/>
  </w:num>
  <w:num w:numId="4" w16cid:durableId="1165515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ED5"/>
    <w:rsid w:val="00051E2A"/>
    <w:rsid w:val="00120C47"/>
    <w:rsid w:val="001859CC"/>
    <w:rsid w:val="001B19E6"/>
    <w:rsid w:val="001B2BDB"/>
    <w:rsid w:val="001D67EB"/>
    <w:rsid w:val="001F2706"/>
    <w:rsid w:val="002B026A"/>
    <w:rsid w:val="002F7DC8"/>
    <w:rsid w:val="003941DD"/>
    <w:rsid w:val="004E6A85"/>
    <w:rsid w:val="006A4C02"/>
    <w:rsid w:val="006F66BF"/>
    <w:rsid w:val="00853ED5"/>
    <w:rsid w:val="00860B16"/>
    <w:rsid w:val="009521F1"/>
    <w:rsid w:val="00A5262E"/>
    <w:rsid w:val="00A94981"/>
    <w:rsid w:val="00C25EB1"/>
    <w:rsid w:val="00CA49DC"/>
    <w:rsid w:val="00CD4334"/>
    <w:rsid w:val="00CF2173"/>
    <w:rsid w:val="00D927CA"/>
    <w:rsid w:val="00DA47D9"/>
    <w:rsid w:val="00EB40E6"/>
    <w:rsid w:val="00F97A38"/>
    <w:rsid w:val="00FC3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A74FBC"/>
  <w15:chartTrackingRefBased/>
  <w15:docId w15:val="{A874E86C-43AF-464B-89B6-F90C7F027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ED5"/>
    <w:pPr>
      <w:overflowPunct w:val="0"/>
      <w:autoSpaceDE w:val="0"/>
      <w:autoSpaceDN w:val="0"/>
      <w:adjustRightInd w:val="0"/>
      <w:spacing w:after="0" w:line="240" w:lineRule="atLeast"/>
      <w:ind w:firstLine="238"/>
      <w:jc w:val="both"/>
      <w:textAlignment w:val="baseline"/>
    </w:pPr>
    <w:rPr>
      <w:rFonts w:ascii="Times" w:eastAsia="SimSun" w:hAnsi="Times" w:cs="Times New Roman"/>
      <w:kern w:val="0"/>
      <w:sz w:val="20"/>
      <w:szCs w:val="20"/>
      <w:lang w:eastAsia="de-DE"/>
      <w14:ligatures w14:val="none"/>
    </w:rPr>
  </w:style>
  <w:style w:type="paragraph" w:styleId="Heading1">
    <w:name w:val="heading 1"/>
    <w:basedOn w:val="Normal"/>
    <w:next w:val="Normal"/>
    <w:link w:val="Heading1Char"/>
    <w:uiPriority w:val="9"/>
    <w:qFormat/>
    <w:rsid w:val="00853E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3E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3E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3E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3E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3E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3E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3E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3E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E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3E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3E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3E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3E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3E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3E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3E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3ED5"/>
    <w:rPr>
      <w:rFonts w:eastAsiaTheme="majorEastAsia" w:cstheme="majorBidi"/>
      <w:color w:val="272727" w:themeColor="text1" w:themeTint="D8"/>
    </w:rPr>
  </w:style>
  <w:style w:type="paragraph" w:styleId="Title">
    <w:name w:val="Title"/>
    <w:basedOn w:val="Normal"/>
    <w:next w:val="Normal"/>
    <w:link w:val="TitleChar"/>
    <w:uiPriority w:val="10"/>
    <w:qFormat/>
    <w:rsid w:val="00853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3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3E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3E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3ED5"/>
    <w:pPr>
      <w:spacing w:before="160"/>
      <w:jc w:val="center"/>
    </w:pPr>
    <w:rPr>
      <w:i/>
      <w:iCs/>
      <w:color w:val="404040" w:themeColor="text1" w:themeTint="BF"/>
    </w:rPr>
  </w:style>
  <w:style w:type="character" w:customStyle="1" w:styleId="QuoteChar">
    <w:name w:val="Quote Char"/>
    <w:basedOn w:val="DefaultParagraphFont"/>
    <w:link w:val="Quote"/>
    <w:uiPriority w:val="29"/>
    <w:rsid w:val="00853ED5"/>
    <w:rPr>
      <w:i/>
      <w:iCs/>
      <w:color w:val="404040" w:themeColor="text1" w:themeTint="BF"/>
    </w:rPr>
  </w:style>
  <w:style w:type="paragraph" w:styleId="ListParagraph">
    <w:name w:val="List Paragraph"/>
    <w:basedOn w:val="Normal"/>
    <w:uiPriority w:val="34"/>
    <w:qFormat/>
    <w:rsid w:val="00853ED5"/>
    <w:pPr>
      <w:ind w:left="720"/>
      <w:contextualSpacing/>
    </w:pPr>
  </w:style>
  <w:style w:type="character" w:styleId="IntenseEmphasis">
    <w:name w:val="Intense Emphasis"/>
    <w:basedOn w:val="DefaultParagraphFont"/>
    <w:uiPriority w:val="21"/>
    <w:qFormat/>
    <w:rsid w:val="00853ED5"/>
    <w:rPr>
      <w:i/>
      <w:iCs/>
      <w:color w:val="0F4761" w:themeColor="accent1" w:themeShade="BF"/>
    </w:rPr>
  </w:style>
  <w:style w:type="paragraph" w:styleId="IntenseQuote">
    <w:name w:val="Intense Quote"/>
    <w:basedOn w:val="Normal"/>
    <w:next w:val="Normal"/>
    <w:link w:val="IntenseQuoteChar"/>
    <w:uiPriority w:val="30"/>
    <w:qFormat/>
    <w:rsid w:val="00853E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3ED5"/>
    <w:rPr>
      <w:i/>
      <w:iCs/>
      <w:color w:val="0F4761" w:themeColor="accent1" w:themeShade="BF"/>
    </w:rPr>
  </w:style>
  <w:style w:type="character" w:styleId="IntenseReference">
    <w:name w:val="Intense Reference"/>
    <w:basedOn w:val="DefaultParagraphFont"/>
    <w:uiPriority w:val="32"/>
    <w:qFormat/>
    <w:rsid w:val="00853ED5"/>
    <w:rPr>
      <w:b/>
      <w:bCs/>
      <w:smallCaps/>
      <w:color w:val="0F4761" w:themeColor="accent1" w:themeShade="BF"/>
      <w:spacing w:val="5"/>
    </w:rPr>
  </w:style>
  <w:style w:type="character" w:styleId="Hyperlink">
    <w:name w:val="Hyperlink"/>
    <w:uiPriority w:val="99"/>
    <w:rsid w:val="00853ED5"/>
    <w:rPr>
      <w:color w:val="0000FF"/>
      <w:u w:val="single"/>
    </w:rPr>
  </w:style>
  <w:style w:type="paragraph" w:customStyle="1" w:styleId="MDPI11articletype">
    <w:name w:val="MDPI_1.1_article_type"/>
    <w:next w:val="Normal"/>
    <w:qFormat/>
    <w:rsid w:val="00853ED5"/>
    <w:pPr>
      <w:adjustRightInd w:val="0"/>
      <w:snapToGrid w:val="0"/>
      <w:spacing w:before="240" w:after="0" w:line="240" w:lineRule="auto"/>
    </w:pPr>
    <w:rPr>
      <w:rFonts w:ascii="Palatino Linotype" w:eastAsia="Times New Roman" w:hAnsi="Palatino Linotype" w:cs="Times New Roman"/>
      <w:i/>
      <w:snapToGrid w:val="0"/>
      <w:color w:val="000000"/>
      <w:kern w:val="0"/>
      <w:sz w:val="20"/>
      <w:szCs w:val="22"/>
      <w:lang w:eastAsia="de-DE" w:bidi="en-US"/>
      <w14:ligatures w14:val="none"/>
    </w:rPr>
  </w:style>
  <w:style w:type="paragraph" w:customStyle="1" w:styleId="MDPI12title">
    <w:name w:val="MDPI_1.2_title"/>
    <w:next w:val="Normal"/>
    <w:qFormat/>
    <w:rsid w:val="00853ED5"/>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853ED5"/>
    <w:pPr>
      <w:adjustRightInd w:val="0"/>
      <w:snapToGrid w:val="0"/>
      <w:spacing w:after="360" w:line="260" w:lineRule="atLeast"/>
    </w:pPr>
    <w:rPr>
      <w:rFonts w:ascii="Palatino Linotype" w:eastAsia="Times New Roman" w:hAnsi="Palatino Linotype" w:cs="Times New Roman"/>
      <w:b/>
      <w:color w:val="000000"/>
      <w:kern w:val="0"/>
      <w:sz w:val="20"/>
      <w:szCs w:val="22"/>
      <w:lang w:eastAsia="de-DE" w:bidi="en-US"/>
      <w14:ligatures w14:val="none"/>
    </w:rPr>
  </w:style>
  <w:style w:type="table" w:styleId="TableGrid">
    <w:name w:val="Table Grid"/>
    <w:basedOn w:val="TableNormal"/>
    <w:uiPriority w:val="39"/>
    <w:rsid w:val="00A94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94981"/>
    <w:rPr>
      <w:b/>
      <w:bCs/>
    </w:rPr>
  </w:style>
  <w:style w:type="paragraph" w:styleId="NormalWeb">
    <w:name w:val="Normal (Web)"/>
    <w:basedOn w:val="Normal"/>
    <w:uiPriority w:val="99"/>
    <w:semiHidden/>
    <w:unhideWhenUsed/>
    <w:rsid w:val="00A94981"/>
    <w:rPr>
      <w:rFonts w:ascii="Times New Roman" w:hAnsi="Times New Roman"/>
      <w:sz w:val="24"/>
      <w:szCs w:val="24"/>
    </w:rPr>
  </w:style>
  <w:style w:type="character" w:styleId="UnresolvedMention">
    <w:name w:val="Unresolved Mention"/>
    <w:basedOn w:val="DefaultParagraphFont"/>
    <w:uiPriority w:val="99"/>
    <w:semiHidden/>
    <w:unhideWhenUsed/>
    <w:rsid w:val="004E6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7238">
      <w:bodyDiv w:val="1"/>
      <w:marLeft w:val="0"/>
      <w:marRight w:val="0"/>
      <w:marTop w:val="0"/>
      <w:marBottom w:val="0"/>
      <w:divBdr>
        <w:top w:val="none" w:sz="0" w:space="0" w:color="auto"/>
        <w:left w:val="none" w:sz="0" w:space="0" w:color="auto"/>
        <w:bottom w:val="none" w:sz="0" w:space="0" w:color="auto"/>
        <w:right w:val="none" w:sz="0" w:space="0" w:color="auto"/>
      </w:divBdr>
    </w:div>
    <w:div w:id="892233741">
      <w:bodyDiv w:val="1"/>
      <w:marLeft w:val="0"/>
      <w:marRight w:val="0"/>
      <w:marTop w:val="0"/>
      <w:marBottom w:val="0"/>
      <w:divBdr>
        <w:top w:val="none" w:sz="0" w:space="0" w:color="auto"/>
        <w:left w:val="none" w:sz="0" w:space="0" w:color="auto"/>
        <w:bottom w:val="none" w:sz="0" w:space="0" w:color="auto"/>
        <w:right w:val="none" w:sz="0" w:space="0" w:color="auto"/>
      </w:divBdr>
      <w:divsChild>
        <w:div w:id="872573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002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995373">
      <w:bodyDiv w:val="1"/>
      <w:marLeft w:val="0"/>
      <w:marRight w:val="0"/>
      <w:marTop w:val="0"/>
      <w:marBottom w:val="0"/>
      <w:divBdr>
        <w:top w:val="none" w:sz="0" w:space="0" w:color="auto"/>
        <w:left w:val="none" w:sz="0" w:space="0" w:color="auto"/>
        <w:bottom w:val="none" w:sz="0" w:space="0" w:color="auto"/>
        <w:right w:val="none" w:sz="0" w:space="0" w:color="auto"/>
      </w:divBdr>
      <w:divsChild>
        <w:div w:id="138309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0192413">
      <w:bodyDiv w:val="1"/>
      <w:marLeft w:val="0"/>
      <w:marRight w:val="0"/>
      <w:marTop w:val="0"/>
      <w:marBottom w:val="0"/>
      <w:divBdr>
        <w:top w:val="none" w:sz="0" w:space="0" w:color="auto"/>
        <w:left w:val="none" w:sz="0" w:space="0" w:color="auto"/>
        <w:bottom w:val="none" w:sz="0" w:space="0" w:color="auto"/>
        <w:right w:val="none" w:sz="0" w:space="0" w:color="auto"/>
      </w:divBdr>
    </w:div>
    <w:div w:id="1307398444">
      <w:bodyDiv w:val="1"/>
      <w:marLeft w:val="0"/>
      <w:marRight w:val="0"/>
      <w:marTop w:val="0"/>
      <w:marBottom w:val="0"/>
      <w:divBdr>
        <w:top w:val="none" w:sz="0" w:space="0" w:color="auto"/>
        <w:left w:val="none" w:sz="0" w:space="0" w:color="auto"/>
        <w:bottom w:val="none" w:sz="0" w:space="0" w:color="auto"/>
        <w:right w:val="none" w:sz="0" w:space="0" w:color="auto"/>
      </w:divBdr>
    </w:div>
    <w:div w:id="1437866158">
      <w:bodyDiv w:val="1"/>
      <w:marLeft w:val="0"/>
      <w:marRight w:val="0"/>
      <w:marTop w:val="0"/>
      <w:marBottom w:val="0"/>
      <w:divBdr>
        <w:top w:val="none" w:sz="0" w:space="0" w:color="auto"/>
        <w:left w:val="none" w:sz="0" w:space="0" w:color="auto"/>
        <w:bottom w:val="none" w:sz="0" w:space="0" w:color="auto"/>
        <w:right w:val="none" w:sz="0" w:space="0" w:color="auto"/>
      </w:divBdr>
      <w:divsChild>
        <w:div w:id="1774282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320630">
      <w:bodyDiv w:val="1"/>
      <w:marLeft w:val="0"/>
      <w:marRight w:val="0"/>
      <w:marTop w:val="0"/>
      <w:marBottom w:val="0"/>
      <w:divBdr>
        <w:top w:val="none" w:sz="0" w:space="0" w:color="auto"/>
        <w:left w:val="none" w:sz="0" w:space="0" w:color="auto"/>
        <w:bottom w:val="none" w:sz="0" w:space="0" w:color="auto"/>
        <w:right w:val="none" w:sz="0" w:space="0" w:color="auto"/>
      </w:divBdr>
    </w:div>
    <w:div w:id="2041584021">
      <w:bodyDiv w:val="1"/>
      <w:marLeft w:val="0"/>
      <w:marRight w:val="0"/>
      <w:marTop w:val="0"/>
      <w:marBottom w:val="0"/>
      <w:divBdr>
        <w:top w:val="none" w:sz="0" w:space="0" w:color="auto"/>
        <w:left w:val="none" w:sz="0" w:space="0" w:color="auto"/>
        <w:bottom w:val="none" w:sz="0" w:space="0" w:color="auto"/>
        <w:right w:val="none" w:sz="0" w:space="0" w:color="auto"/>
      </w:divBdr>
      <w:divsChild>
        <w:div w:id="1804426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333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b325@cornnell.edu" TargetMode="External"/><Relationship Id="rId11" Type="http://schemas.openxmlformats.org/officeDocument/2006/relationships/theme" Target="theme/theme1.xml"/><Relationship Id="rId5" Type="http://schemas.openxmlformats.org/officeDocument/2006/relationships/hyperlink" Target="mailto:br9@tamuk.ed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875</TotalTime>
  <Pages>9</Pages>
  <Words>3358</Words>
  <Characters>21284</Characters>
  <Application>Microsoft Office Word</Application>
  <DocSecurity>0</DocSecurity>
  <Lines>496</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Sajid Liu</dc:creator>
  <cp:keywords/>
  <dc:description/>
  <cp:lastModifiedBy>Sajid Liu</cp:lastModifiedBy>
  <cp:revision>10</cp:revision>
  <dcterms:created xsi:type="dcterms:W3CDTF">2025-01-16T03:50:00Z</dcterms:created>
  <dcterms:modified xsi:type="dcterms:W3CDTF">2025-01-16T21:06:00Z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cc7701ac1494c4d2f98527d9eee1cb04fc4a44d1ad8d3e096ba15eabdf897293</vt:lpwstr>
  </property>
</Properties>
</file>