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7FF11">
      <w:pPr>
        <w:pStyle w:val="3"/>
        <w:keepNext w:val="0"/>
        <w:keepLines w:val="0"/>
        <w:widowControl/>
        <w:suppressLineNumbers w:val="0"/>
        <w:shd w:val="clear" w:fill="FFFFFF"/>
        <w:spacing w:before="450" w:beforeAutospacing="0" w:after="0" w:afterAutospacing="0" w:line="240" w:lineRule="auto"/>
        <w:ind w:left="0" w:firstLine="0"/>
        <w:jc w:val="both"/>
        <w:rPr>
          <w:rFonts w:hint="default" w:ascii="Times New Roman" w:hAnsi="Times New Roman" w:eastAsia="Cambri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/>
          <w:lang w:eastAsia="zh-CN"/>
        </w:rPr>
      </w:pPr>
      <w:r>
        <w:rPr>
          <w:rFonts w:hint="default" w:ascii="Times New Roman" w:hAnsi="Times New Roman" w:eastAsia="PingFang SC" w:cs="Times New Roman"/>
          <w:i w:val="0"/>
          <w:iCs w:val="0"/>
          <w:caps w:val="0"/>
          <w:color w:val="2A2F45"/>
          <w:spacing w:val="0"/>
          <w:sz w:val="24"/>
          <w:szCs w:val="24"/>
          <w:shd w:val="clear" w:fill="FFFFFF"/>
        </w:rPr>
        <w:t>Clinical Baseline Analy</w:t>
      </w:r>
      <w:bookmarkStart w:id="0" w:name="_GoBack"/>
      <w:bookmarkEnd w:id="0"/>
      <w:r>
        <w:rPr>
          <w:rFonts w:hint="default" w:ascii="Times New Roman" w:hAnsi="Times New Roman" w:eastAsia="PingFang SC" w:cs="Times New Roman"/>
          <w:i w:val="0"/>
          <w:iCs w:val="0"/>
          <w:caps w:val="0"/>
          <w:color w:val="2A2F45"/>
          <w:spacing w:val="0"/>
          <w:sz w:val="24"/>
          <w:szCs w:val="24"/>
          <w:shd w:val="clear" w:fill="FFFFFF"/>
        </w:rPr>
        <w:t>sis of the Association Between ARIH2 Expression and Diverse Clinicopathological Characteristics of HCC Patients in the TCGA Database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2"/>
        <w:gridCol w:w="2442"/>
        <w:gridCol w:w="2482"/>
        <w:gridCol w:w="1011"/>
      </w:tblGrid>
      <w:tr w14:paraId="7DD66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08C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Characteristics</w:t>
            </w:r>
          </w:p>
        </w:tc>
        <w:tc>
          <w:tcPr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DF3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Low expression of ARIH2</w:t>
            </w:r>
          </w:p>
        </w:tc>
        <w:tc>
          <w:tcPr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3A46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High expression of ARIH2</w:t>
            </w:r>
          </w:p>
        </w:tc>
        <w:tc>
          <w:tcPr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11D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P value</w:t>
            </w:r>
          </w:p>
        </w:tc>
      </w:tr>
      <w:tr w14:paraId="04D47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BC9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n</w:t>
            </w:r>
          </w:p>
        </w:tc>
        <w:tc>
          <w:tcPr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29B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187</w:t>
            </w:r>
          </w:p>
        </w:tc>
        <w:tc>
          <w:tcPr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199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187</w:t>
            </w:r>
          </w:p>
        </w:tc>
        <w:tc>
          <w:tcPr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566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0089B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606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Age,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69D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F60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5D0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0.234</w:t>
            </w:r>
          </w:p>
        </w:tc>
      </w:tr>
      <w:tr w14:paraId="79F21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5C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&lt;= 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0A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83 (22.3%)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C13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94 (25.2%)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5A6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2A313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89F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&gt; 60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415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104 (27.9%)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0AE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92 (24.7%)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79F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6E0B7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E51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Gender,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9D06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D15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F9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0.912</w:t>
            </w:r>
          </w:p>
        </w:tc>
      </w:tr>
      <w:tr w14:paraId="649A7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045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Female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68D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60 (16%)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13A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61 (16.3%)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7C4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0AD32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E0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Male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109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127 (34%)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A29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126 (33.7%)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C0D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7EAD9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EBD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Race,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198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657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EBC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0.728</w:t>
            </w:r>
          </w:p>
        </w:tc>
      </w:tr>
      <w:tr w14:paraId="22ACB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51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Asian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D9E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78 (21.5%)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3FC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82 (22.7%)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26D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2A49B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6C7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Black or African American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58D4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7 (1.9%)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501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10 (2.8%)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986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54CAE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45D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White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693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94 (26%)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92B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91 (25.1%)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10B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7C2AE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72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BMI,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822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651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163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0.466</w:t>
            </w:r>
          </w:p>
        </w:tc>
      </w:tr>
      <w:tr w14:paraId="4213C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D1D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&lt;= 25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17C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87 (25.8%)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C13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90 (26.7%)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934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425C3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AC6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&gt; 25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175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85 (25.2%)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3D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75 (22.3%)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BAD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3D8A5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E13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AFP(ng/ml),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F30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8F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D75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0.003</w:t>
            </w:r>
          </w:p>
        </w:tc>
      </w:tr>
      <w:tr w14:paraId="6A868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2AF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&lt;= 400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437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124 (44.3%)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D3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91 (32.5%)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446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12C32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E3B4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&gt; 400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1DD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24 (8.6%)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266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41 (14.6%)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30C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7567A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50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Albumin(g/dl),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A75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81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FA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0.451</w:t>
            </w:r>
          </w:p>
        </w:tc>
      </w:tr>
      <w:tr w14:paraId="1AAAB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82C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&lt; 3.5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100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40 (13.3%)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66F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29 (9.7%)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2C7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4357F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9F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&gt;= 3.5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97D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122 (40.7%)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C85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109 (36.3%)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AB1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3B628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4E4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Adjacent hepatic tissue inflammation,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84C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F87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8A8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0.841</w:t>
            </w:r>
          </w:p>
        </w:tc>
      </w:tr>
      <w:tr w14:paraId="39912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E92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None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A989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64 (27%)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9BC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54 (22.8%)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AA9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14D7E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ED9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Mild&amp;Severe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7E8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63 (26.6%)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F0C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56 (23.6%)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8713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19C33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B8E1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Child-Pugh grade,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97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F0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4A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0.551</w:t>
            </w:r>
          </w:p>
        </w:tc>
      </w:tr>
      <w:tr w14:paraId="2FBC4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8EF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A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DF5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124 (51.5%)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9DB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95 (39.4%)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821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45C5A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70B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B&amp;C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729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11 (4.6%)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F93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11 (4.6%)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4EB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666C2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BC7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Pathologic stage,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8A96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4DB0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578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0.004</w:t>
            </w:r>
          </w:p>
        </w:tc>
      </w:tr>
      <w:tr w14:paraId="1D160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91D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Stage I&amp;Stage II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C88F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144 (41.1%)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133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116 (33.1%)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F9F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1E6F8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CA5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Stage III&amp;Stage IV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06E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34 (9.7%)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CA5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56 (16%)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8F2C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1FFE9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06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Pathologic T stage,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063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0C1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A3F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0.008</w:t>
            </w:r>
          </w:p>
        </w:tc>
      </w:tr>
      <w:tr w14:paraId="58C7F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DF2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T1&amp;T2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AE3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149 (40.2%)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D0F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129 (34.8%)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9DA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050CE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274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T3&amp;T4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F1A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35 (9.4%)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E6D8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58 (15.6%)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92A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7D28A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D0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Pathologic N stage,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234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CF0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44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0.716</w:t>
            </w:r>
          </w:p>
        </w:tc>
      </w:tr>
      <w:tr w14:paraId="7B963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48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N0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3A6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119 (46.1%)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F50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135 (52.3%)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42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24B18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A8B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N1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148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 (0.4%)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F6D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3 (1.2%)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246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24D2B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4F5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Pathologic M stage,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E86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78E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C5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0.604</w:t>
            </w:r>
          </w:p>
        </w:tc>
      </w:tr>
      <w:tr w14:paraId="1C686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EAE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M0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B3F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132 (48.5%)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F1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136 (50%)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2A89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15309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6F8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M1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07A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3 (1.1%)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BC6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 (0.4%)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571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7BA82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0DC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Tumor status,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D92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471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33A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0.098</w:t>
            </w:r>
          </w:p>
        </w:tc>
      </w:tr>
      <w:tr w14:paraId="45EB8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3D3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Tumor free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E22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109 (30.7%)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570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93 (26.2%)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AF5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7E9E8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AD0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With tumor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EBA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69 (19.4%)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C85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84 (23.7%)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3A6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7ED8C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351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Vascular invasion,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388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F01F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1CB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0.778</w:t>
            </w:r>
          </w:p>
        </w:tc>
      </w:tr>
      <w:tr w14:paraId="3A8902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6140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No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7C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110 (34.6%)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9C0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98 (30.8%)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41A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47BEA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CA2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Yes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8AB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60 (18.9%)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CE2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50 (15.7%)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38D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33BD3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15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Residual tumor,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570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804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71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0.889</w:t>
            </w:r>
          </w:p>
        </w:tc>
      </w:tr>
      <w:tr w14:paraId="171CC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96D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R0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0AEF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169 (49%)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161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158 (45.8%)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30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476C4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AAC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R1&amp;R2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4D2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 (2.6%)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B34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9 (2.6%)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EF9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64BD55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A3E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Histologic grade, n (%)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59C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F94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91C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0.006</w:t>
            </w:r>
          </w:p>
        </w:tc>
      </w:tr>
      <w:tr w14:paraId="7B0E5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1B7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G1&amp;G2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F3C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129 (35%)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E0CB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104 (28.2%)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C49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  <w:tr w14:paraId="08886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A01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G3&amp;G4</w:t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C3D7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55 (14.9%)</w:t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E87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color w:val="auto"/>
                <w:sz w:val="24"/>
                <w:szCs w:val="24"/>
                <w:u w:val="none"/>
                <w:shd w:val="clear"/>
              </w:rPr>
              <w:t>81 (22%)</w:t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039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 w:line="240" w:lineRule="auto"/>
              <w:ind w:left="100" w:right="100" w:firstLine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/>
              </w:rPr>
            </w:pPr>
          </w:p>
        </w:tc>
      </w:tr>
    </w:tbl>
    <w:p w14:paraId="2976E2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EC1FB6"/>
    <w:rsid w:val="56AA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440</Words>
  <Characters>1380</Characters>
  <Lines>0</Lines>
  <Paragraphs>0</Paragraphs>
  <TotalTime>1</TotalTime>
  <ScaleCrop>false</ScaleCrop>
  <LinksUpToDate>false</LinksUpToDate>
  <CharactersWithSpaces>1529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2024-12-10T10:02:00Z</dcterms:created>
  <dc:creator>舒强</dc:creator>
  <cp:lastModifiedBy>舒强</cp:lastModifiedBy>
  <dcterms:modified xsi:type="dcterms:W3CDTF">2024-12-12T08:24:56Z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C1E62D1565C04565B9300FB65C5EB724_12</vt:lpwstr>
  </property>
</Properties>
</file>